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A01FD2" w14:textId="28E135F3" w:rsidR="00F15292" w:rsidRPr="00A341C6" w:rsidRDefault="00F15292" w:rsidP="00EE1B2C">
      <w:pPr>
        <w:spacing w:after="0" w:line="240" w:lineRule="auto"/>
        <w:ind w:left="-567" w:right="-518"/>
        <w:jc w:val="center"/>
        <w:rPr>
          <w:rFonts w:ascii="Arial" w:hAnsi="Arial" w:cs="Arial"/>
          <w:b/>
          <w:sz w:val="24"/>
          <w:szCs w:val="24"/>
        </w:rPr>
      </w:pPr>
      <w:bookmarkStart w:id="0" w:name="_GoBack"/>
      <w:bookmarkEnd w:id="0"/>
      <w:r w:rsidRPr="00A341C6">
        <w:rPr>
          <w:rFonts w:ascii="Arial" w:hAnsi="Arial" w:cs="Arial"/>
          <w:b/>
          <w:sz w:val="24"/>
          <w:szCs w:val="24"/>
        </w:rPr>
        <w:t xml:space="preserve">ENCUESTA ANUAL DE LA INDUSTRIA MANUFACTURERA (EAIM) </w:t>
      </w:r>
      <w:r>
        <w:rPr>
          <w:rFonts w:ascii="Arial" w:hAnsi="Arial" w:cs="Arial"/>
          <w:b/>
          <w:sz w:val="24"/>
          <w:szCs w:val="24"/>
        </w:rPr>
        <w:t>2020</w:t>
      </w:r>
    </w:p>
    <w:p w14:paraId="70F19A85" w14:textId="77777777" w:rsidR="00F15292" w:rsidRPr="00A341C6" w:rsidRDefault="00F15292" w:rsidP="00EE1B2C">
      <w:pPr>
        <w:spacing w:after="0" w:line="240" w:lineRule="auto"/>
        <w:ind w:left="-567" w:right="-518"/>
        <w:jc w:val="center"/>
        <w:rPr>
          <w:rFonts w:ascii="Arial" w:hAnsi="Arial" w:cs="Arial"/>
          <w:b/>
          <w:sz w:val="24"/>
          <w:szCs w:val="24"/>
        </w:rPr>
      </w:pPr>
      <w:r w:rsidRPr="00A341C6">
        <w:rPr>
          <w:rFonts w:ascii="Arial" w:hAnsi="Arial" w:cs="Arial"/>
          <w:b/>
          <w:sz w:val="24"/>
          <w:szCs w:val="24"/>
        </w:rPr>
        <w:t xml:space="preserve">CIFRAS </w:t>
      </w:r>
      <w:r w:rsidR="00D535E8">
        <w:rPr>
          <w:rFonts w:ascii="Arial" w:hAnsi="Arial" w:cs="Arial"/>
          <w:b/>
          <w:sz w:val="24"/>
          <w:szCs w:val="24"/>
        </w:rPr>
        <w:t>PRELIMINARES</w:t>
      </w:r>
    </w:p>
    <w:p w14:paraId="7FC1DB58" w14:textId="77777777" w:rsidR="00F15292" w:rsidRDefault="00F15292" w:rsidP="00EE1B2C">
      <w:pPr>
        <w:pStyle w:val="Pa27"/>
        <w:spacing w:line="240" w:lineRule="auto"/>
        <w:ind w:right="-518"/>
        <w:jc w:val="both"/>
        <w:rPr>
          <w:rFonts w:eastAsia="Times New Roman"/>
          <w:sz w:val="22"/>
          <w:szCs w:val="22"/>
          <w:lang w:val="es-MX" w:eastAsia="es-MX"/>
        </w:rPr>
      </w:pPr>
    </w:p>
    <w:p w14:paraId="4B08C910" w14:textId="77777777" w:rsidR="00D535E8" w:rsidRDefault="00D50C33" w:rsidP="00EE1B2C">
      <w:pPr>
        <w:pStyle w:val="Pa27"/>
        <w:spacing w:line="240" w:lineRule="auto"/>
        <w:ind w:left="-567" w:right="-518"/>
        <w:jc w:val="both"/>
        <w:rPr>
          <w:rFonts w:eastAsia="Times New Roman"/>
          <w:sz w:val="22"/>
          <w:szCs w:val="22"/>
          <w:lang w:val="es-MX" w:eastAsia="es-MX"/>
        </w:rPr>
      </w:pPr>
      <w:r w:rsidRPr="00A76774">
        <w:rPr>
          <w:rFonts w:eastAsia="Times New Roman"/>
          <w:sz w:val="22"/>
          <w:szCs w:val="22"/>
          <w:lang w:val="es-MX" w:eastAsia="es-MX"/>
        </w:rPr>
        <w:t xml:space="preserve">El Instituto Nacional de Estadística y Geografía (INEGI) presenta los resultados </w:t>
      </w:r>
      <w:r w:rsidR="00D535E8">
        <w:rPr>
          <w:rFonts w:eastAsia="Times New Roman"/>
          <w:sz w:val="22"/>
          <w:szCs w:val="22"/>
          <w:lang w:val="es-MX" w:eastAsia="es-MX"/>
        </w:rPr>
        <w:t xml:space="preserve">preliminares </w:t>
      </w:r>
      <w:r w:rsidRPr="00A76774">
        <w:rPr>
          <w:rFonts w:eastAsia="Times New Roman"/>
          <w:sz w:val="22"/>
          <w:szCs w:val="22"/>
          <w:lang w:val="es-MX" w:eastAsia="es-MX"/>
        </w:rPr>
        <w:t>de la Encuesta Anual de la Industria Manufacturera (EAIM) 2020</w:t>
      </w:r>
      <w:r w:rsidR="00D535E8">
        <w:rPr>
          <w:rFonts w:eastAsia="Times New Roman"/>
          <w:sz w:val="22"/>
          <w:szCs w:val="22"/>
          <w:lang w:val="es-MX" w:eastAsia="es-MX"/>
        </w:rPr>
        <w:t xml:space="preserve"> con los que se ofrece un panorama </w:t>
      </w:r>
      <w:r w:rsidR="00D535E8" w:rsidRPr="00A76774">
        <w:rPr>
          <w:rFonts w:eastAsia="Times New Roman"/>
          <w:sz w:val="22"/>
          <w:szCs w:val="22"/>
          <w:lang w:val="es-MX" w:eastAsia="es-MX"/>
        </w:rPr>
        <w:t>sobre el comportamiento económico de estructura de las principales variables del sector manufacturero del país</w:t>
      </w:r>
      <w:r w:rsidR="00D535E8">
        <w:rPr>
          <w:rFonts w:eastAsia="Times New Roman"/>
          <w:sz w:val="22"/>
          <w:szCs w:val="22"/>
          <w:lang w:val="es-MX" w:eastAsia="es-MX"/>
        </w:rPr>
        <w:t>.</w:t>
      </w:r>
    </w:p>
    <w:p w14:paraId="2B163BA9" w14:textId="77777777" w:rsidR="00D535E8" w:rsidRDefault="00EE1B2C" w:rsidP="00EE1B2C">
      <w:pPr>
        <w:pStyle w:val="Pa27"/>
        <w:tabs>
          <w:tab w:val="left" w:pos="3840"/>
        </w:tabs>
        <w:spacing w:line="240" w:lineRule="auto"/>
        <w:ind w:left="-567" w:right="-518"/>
        <w:jc w:val="both"/>
        <w:rPr>
          <w:rFonts w:eastAsia="Times New Roman"/>
          <w:sz w:val="22"/>
          <w:szCs w:val="22"/>
          <w:lang w:val="es-MX" w:eastAsia="es-MX"/>
        </w:rPr>
      </w:pPr>
      <w:r>
        <w:rPr>
          <w:rFonts w:eastAsia="Times New Roman"/>
          <w:sz w:val="22"/>
          <w:szCs w:val="22"/>
          <w:lang w:val="es-MX" w:eastAsia="es-MX"/>
        </w:rPr>
        <w:tab/>
      </w:r>
    </w:p>
    <w:p w14:paraId="0EFB9BDD" w14:textId="77777777" w:rsidR="00D535E8" w:rsidRPr="00A76774" w:rsidRDefault="00D535E8" w:rsidP="00EE1B2C">
      <w:pPr>
        <w:pStyle w:val="Pa27"/>
        <w:spacing w:line="240" w:lineRule="auto"/>
        <w:ind w:left="-567" w:right="-518"/>
        <w:jc w:val="both"/>
        <w:rPr>
          <w:rFonts w:eastAsia="Times New Roman"/>
          <w:sz w:val="22"/>
          <w:szCs w:val="22"/>
          <w:lang w:val="es-MX" w:eastAsia="es-MX"/>
        </w:rPr>
      </w:pPr>
      <w:r>
        <w:rPr>
          <w:rFonts w:eastAsia="Times New Roman"/>
          <w:sz w:val="22"/>
          <w:szCs w:val="22"/>
          <w:lang w:val="es-MX" w:eastAsia="es-MX"/>
        </w:rPr>
        <w:t xml:space="preserve">La EAIM </w:t>
      </w:r>
      <w:r w:rsidRPr="00A76774">
        <w:rPr>
          <w:rFonts w:eastAsia="Times New Roman"/>
          <w:sz w:val="22"/>
          <w:szCs w:val="22"/>
          <w:lang w:val="es-MX" w:eastAsia="es-MX"/>
        </w:rPr>
        <w:t xml:space="preserve">sirve como insumo fundamental para la generación de diversos cálculos macroeconómicos, así como de indicadores económicos relacionados con el empleo, la producción y la inversión de la industria manufacturera. </w:t>
      </w:r>
    </w:p>
    <w:p w14:paraId="65971C1D" w14:textId="77777777" w:rsidR="00D50C33" w:rsidRPr="00A76774" w:rsidRDefault="00D50C33" w:rsidP="00EE1B2C">
      <w:pPr>
        <w:spacing w:after="0" w:line="240" w:lineRule="auto"/>
        <w:ind w:left="-567" w:right="-518"/>
        <w:jc w:val="both"/>
        <w:rPr>
          <w:rFonts w:ascii="Arial" w:eastAsia="Times New Roman" w:hAnsi="Arial" w:cs="Arial"/>
          <w:lang w:eastAsia="es-MX"/>
        </w:rPr>
      </w:pPr>
    </w:p>
    <w:p w14:paraId="711E7287" w14:textId="77777777" w:rsidR="00D50C33" w:rsidRPr="00A76774" w:rsidRDefault="00D50C33" w:rsidP="00EE1B2C">
      <w:pPr>
        <w:spacing w:after="0" w:line="240" w:lineRule="auto"/>
        <w:ind w:left="-567" w:right="-518"/>
        <w:jc w:val="both"/>
        <w:rPr>
          <w:rFonts w:ascii="Arial" w:eastAsia="Calibri" w:hAnsi="Arial" w:cs="Arial"/>
        </w:rPr>
      </w:pPr>
      <w:r w:rsidRPr="00A76774">
        <w:rPr>
          <w:rFonts w:ascii="Arial" w:eastAsia="Calibri" w:hAnsi="Arial" w:cs="Arial"/>
        </w:rPr>
        <w:t xml:space="preserve">La oferta estadística está conformada por valores absolutos de personal ocupado, horas trabajadas, remuneraciones, gastos por consumo de bienes y servicios, ingresos por suministro de bienes y servicios, valor de producción, existencias y activos fijos, las cuales se desagregan por sector, subsector, rama y clase de actividad de acuerdo con el Sistema de Clasificación Industrial de América del Norte (SCIAN) 2013, lo que permiten dar seguimiento al comportamiento de la actividad económica de este sector. </w:t>
      </w:r>
    </w:p>
    <w:p w14:paraId="381C97C2" w14:textId="77777777" w:rsidR="00D50C33" w:rsidRDefault="00D50C33" w:rsidP="00EE1B2C">
      <w:pPr>
        <w:pStyle w:val="Pa27"/>
        <w:spacing w:line="240" w:lineRule="auto"/>
        <w:ind w:left="-567" w:right="-518"/>
        <w:jc w:val="both"/>
        <w:rPr>
          <w:rFonts w:eastAsia="Times New Roman"/>
          <w:b/>
          <w:sz w:val="22"/>
          <w:lang w:val="es-MX" w:eastAsia="es-MX"/>
        </w:rPr>
      </w:pPr>
    </w:p>
    <w:p w14:paraId="3BF6CAEA" w14:textId="77777777" w:rsidR="00D50C33" w:rsidRPr="00A341C6" w:rsidRDefault="00EE1B2C" w:rsidP="00EE1B2C">
      <w:pPr>
        <w:pStyle w:val="Pa27"/>
        <w:spacing w:line="240" w:lineRule="auto"/>
        <w:ind w:left="-567" w:right="-518"/>
        <w:jc w:val="both"/>
        <w:rPr>
          <w:rFonts w:eastAsia="Times New Roman"/>
          <w:b/>
          <w:sz w:val="22"/>
          <w:lang w:val="es-MX" w:eastAsia="es-MX"/>
        </w:rPr>
      </w:pPr>
      <w:r w:rsidRPr="00A341C6">
        <w:rPr>
          <w:rFonts w:eastAsia="Times New Roman"/>
          <w:b/>
          <w:sz w:val="22"/>
          <w:lang w:val="es-MX" w:eastAsia="es-MX"/>
        </w:rPr>
        <w:t>PRINCIPALES RESULTADOS</w:t>
      </w:r>
    </w:p>
    <w:p w14:paraId="05D339E5" w14:textId="77777777" w:rsidR="00D50C33" w:rsidRPr="00A341C6" w:rsidRDefault="00D50C33" w:rsidP="00EE1B2C">
      <w:pPr>
        <w:pStyle w:val="Pa27"/>
        <w:spacing w:line="240" w:lineRule="auto"/>
        <w:ind w:left="-567" w:right="-518"/>
        <w:jc w:val="both"/>
        <w:rPr>
          <w:rFonts w:eastAsia="Times New Roman"/>
          <w:sz w:val="22"/>
          <w:lang w:val="es-MX" w:eastAsia="es-MX"/>
        </w:rPr>
      </w:pPr>
    </w:p>
    <w:p w14:paraId="1360B33A" w14:textId="77777777" w:rsidR="00D50C33" w:rsidRPr="00A76774" w:rsidRDefault="00D50C33" w:rsidP="00EE1B2C">
      <w:pPr>
        <w:pStyle w:val="Default"/>
        <w:ind w:left="-567" w:right="-518"/>
        <w:jc w:val="both"/>
        <w:rPr>
          <w:color w:val="auto"/>
          <w:sz w:val="22"/>
          <w:szCs w:val="22"/>
          <w:lang w:eastAsia="es-MX"/>
        </w:rPr>
      </w:pPr>
      <w:r w:rsidRPr="00A76774">
        <w:rPr>
          <w:color w:val="auto"/>
          <w:sz w:val="22"/>
          <w:szCs w:val="22"/>
          <w:lang w:eastAsia="es-MX"/>
        </w:rPr>
        <w:t>En 2020, la EAIM present</w:t>
      </w:r>
      <w:r w:rsidR="00EE1B2C">
        <w:rPr>
          <w:color w:val="auto"/>
          <w:sz w:val="22"/>
          <w:szCs w:val="22"/>
          <w:lang w:eastAsia="es-MX"/>
        </w:rPr>
        <w:t>ó</w:t>
      </w:r>
      <w:r w:rsidRPr="00A76774">
        <w:rPr>
          <w:color w:val="auto"/>
          <w:sz w:val="22"/>
          <w:szCs w:val="22"/>
          <w:lang w:eastAsia="es-MX"/>
        </w:rPr>
        <w:t xml:space="preserve"> variaciones anuales negativas en cinco de sus principales variables respecto a 2019: </w:t>
      </w:r>
      <w:r w:rsidR="00C472F2">
        <w:rPr>
          <w:color w:val="auto"/>
          <w:sz w:val="22"/>
          <w:szCs w:val="22"/>
          <w:lang w:eastAsia="es-MX"/>
        </w:rPr>
        <w:t>p</w:t>
      </w:r>
      <w:r w:rsidRPr="00A76774">
        <w:rPr>
          <w:color w:val="auto"/>
          <w:sz w:val="22"/>
          <w:szCs w:val="22"/>
          <w:lang w:eastAsia="es-MX"/>
        </w:rPr>
        <w:t>ersonal ocupado</w:t>
      </w:r>
      <w:r w:rsidR="00D535E8">
        <w:rPr>
          <w:color w:val="auto"/>
          <w:sz w:val="22"/>
          <w:szCs w:val="22"/>
          <w:lang w:eastAsia="es-MX"/>
        </w:rPr>
        <w:t xml:space="preserve"> con 2.3%</w:t>
      </w:r>
      <w:r w:rsidRPr="00A76774">
        <w:rPr>
          <w:color w:val="auto"/>
          <w:sz w:val="22"/>
          <w:szCs w:val="22"/>
          <w:lang w:eastAsia="es-MX"/>
        </w:rPr>
        <w:t>, horas trabajadas</w:t>
      </w:r>
      <w:r w:rsidR="00D535E8">
        <w:rPr>
          <w:color w:val="auto"/>
          <w:sz w:val="22"/>
          <w:szCs w:val="22"/>
          <w:lang w:eastAsia="es-MX"/>
        </w:rPr>
        <w:t xml:space="preserve"> con 7.4%</w:t>
      </w:r>
      <w:r w:rsidRPr="00A76774">
        <w:rPr>
          <w:color w:val="auto"/>
          <w:sz w:val="22"/>
          <w:szCs w:val="22"/>
          <w:lang w:eastAsia="es-MX"/>
        </w:rPr>
        <w:t>, valor de producción</w:t>
      </w:r>
      <w:r w:rsidR="00D535E8">
        <w:rPr>
          <w:color w:val="auto"/>
          <w:sz w:val="22"/>
          <w:szCs w:val="22"/>
          <w:lang w:eastAsia="es-MX"/>
        </w:rPr>
        <w:t xml:space="preserve"> con 5.2%</w:t>
      </w:r>
      <w:r w:rsidRPr="00A76774">
        <w:rPr>
          <w:color w:val="auto"/>
          <w:sz w:val="22"/>
          <w:szCs w:val="22"/>
          <w:lang w:eastAsia="es-MX"/>
        </w:rPr>
        <w:t xml:space="preserve">, gastos </w:t>
      </w:r>
      <w:r w:rsidR="00D535E8">
        <w:rPr>
          <w:color w:val="auto"/>
          <w:sz w:val="22"/>
          <w:szCs w:val="22"/>
          <w:lang w:eastAsia="es-MX"/>
        </w:rPr>
        <w:t>totales con 4.9%</w:t>
      </w:r>
      <w:r w:rsidRPr="00A76774">
        <w:rPr>
          <w:color w:val="auto"/>
          <w:sz w:val="22"/>
          <w:szCs w:val="22"/>
          <w:lang w:eastAsia="es-MX"/>
        </w:rPr>
        <w:t>,</w:t>
      </w:r>
      <w:r w:rsidR="00D535E8" w:rsidRPr="00A76774">
        <w:rPr>
          <w:color w:val="auto"/>
          <w:sz w:val="22"/>
          <w:szCs w:val="22"/>
          <w:lang w:eastAsia="es-MX"/>
        </w:rPr>
        <w:t xml:space="preserve"> ingresos totales</w:t>
      </w:r>
      <w:r w:rsidR="00D535E8">
        <w:rPr>
          <w:color w:val="auto"/>
          <w:sz w:val="22"/>
          <w:szCs w:val="22"/>
          <w:lang w:eastAsia="es-MX"/>
        </w:rPr>
        <w:t xml:space="preserve"> </w:t>
      </w:r>
      <w:r w:rsidRPr="00A76774">
        <w:rPr>
          <w:color w:val="auto"/>
          <w:sz w:val="22"/>
          <w:szCs w:val="22"/>
          <w:lang w:eastAsia="es-MX"/>
        </w:rPr>
        <w:t xml:space="preserve">con </w:t>
      </w:r>
      <w:r w:rsidR="00D535E8">
        <w:rPr>
          <w:color w:val="auto"/>
          <w:sz w:val="22"/>
          <w:szCs w:val="22"/>
          <w:lang w:eastAsia="es-MX"/>
        </w:rPr>
        <w:t>4.7%,</w:t>
      </w:r>
      <w:r w:rsidRPr="00A76774">
        <w:rPr>
          <w:color w:val="auto"/>
          <w:sz w:val="22"/>
          <w:szCs w:val="22"/>
          <w:lang w:eastAsia="es-MX"/>
        </w:rPr>
        <w:t xml:space="preserve"> mientras que el valor de los activos fijos</w:t>
      </w:r>
      <w:r w:rsidR="00762936">
        <w:rPr>
          <w:color w:val="auto"/>
          <w:sz w:val="22"/>
          <w:szCs w:val="22"/>
          <w:lang w:eastAsia="es-MX"/>
        </w:rPr>
        <w:t xml:space="preserve"> tuvo un</w:t>
      </w:r>
      <w:r w:rsidRPr="00A76774">
        <w:rPr>
          <w:color w:val="auto"/>
          <w:sz w:val="22"/>
          <w:szCs w:val="22"/>
          <w:lang w:eastAsia="es-MX"/>
        </w:rPr>
        <w:t xml:space="preserve"> crecimiento anual de 3.8% en dicho periodo. </w:t>
      </w:r>
    </w:p>
    <w:p w14:paraId="7FC871E9" w14:textId="77777777" w:rsidR="00D50C33" w:rsidRPr="00A341C6" w:rsidRDefault="00D50C33" w:rsidP="00EE1B2C">
      <w:pPr>
        <w:pStyle w:val="Default"/>
        <w:rPr>
          <w:b/>
          <w:color w:val="auto"/>
          <w:sz w:val="22"/>
          <w:lang w:eastAsia="es-MX"/>
        </w:rPr>
      </w:pPr>
    </w:p>
    <w:p w14:paraId="47C7008A" w14:textId="77777777" w:rsidR="00D50C33" w:rsidRPr="00A341C6" w:rsidRDefault="00D50C33" w:rsidP="00D50C33">
      <w:pPr>
        <w:pStyle w:val="Default"/>
        <w:jc w:val="center"/>
        <w:rPr>
          <w:b/>
          <w:color w:val="auto"/>
          <w:sz w:val="22"/>
          <w:lang w:eastAsia="es-MX"/>
        </w:rPr>
      </w:pPr>
      <w:r>
        <w:rPr>
          <w:b/>
          <w:color w:val="auto"/>
          <w:sz w:val="22"/>
          <w:lang w:eastAsia="es-MX"/>
        </w:rPr>
        <w:t>R</w:t>
      </w:r>
      <w:r w:rsidRPr="00A341C6">
        <w:rPr>
          <w:b/>
          <w:color w:val="auto"/>
          <w:sz w:val="22"/>
          <w:lang w:eastAsia="es-MX"/>
        </w:rPr>
        <w:t>esultados de las</w:t>
      </w:r>
      <w:r>
        <w:rPr>
          <w:b/>
          <w:color w:val="auto"/>
          <w:sz w:val="22"/>
          <w:lang w:eastAsia="es-MX"/>
        </w:rPr>
        <w:t xml:space="preserve"> principales variables de las i</w:t>
      </w:r>
      <w:r w:rsidRPr="00A341C6">
        <w:rPr>
          <w:b/>
          <w:color w:val="auto"/>
          <w:sz w:val="22"/>
          <w:lang w:eastAsia="es-MX"/>
        </w:rPr>
        <w:t xml:space="preserve">ndustrias manufactureras </w:t>
      </w:r>
    </w:p>
    <w:p w14:paraId="386C8294" w14:textId="77777777" w:rsidR="00D50C33" w:rsidRPr="00A341C6" w:rsidRDefault="00D50C33" w:rsidP="00D50C33">
      <w:pPr>
        <w:pStyle w:val="Default"/>
        <w:jc w:val="center"/>
        <w:rPr>
          <w:b/>
          <w:color w:val="auto"/>
          <w:sz w:val="22"/>
          <w:lang w:eastAsia="es-MX"/>
        </w:rPr>
      </w:pPr>
      <w:r w:rsidRPr="00A341C6">
        <w:rPr>
          <w:b/>
          <w:color w:val="auto"/>
          <w:sz w:val="22"/>
          <w:lang w:eastAsia="es-MX"/>
        </w:rPr>
        <w:t>(Miles de millones de pesos corrientes)</w:t>
      </w:r>
      <w:r>
        <w:rPr>
          <w:b/>
          <w:color w:val="auto"/>
          <w:sz w:val="22"/>
          <w:lang w:eastAsia="es-MX"/>
        </w:rPr>
        <w:t xml:space="preserve"> </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460"/>
        <w:gridCol w:w="1267"/>
        <w:gridCol w:w="1039"/>
        <w:gridCol w:w="1451"/>
      </w:tblGrid>
      <w:tr w:rsidR="00D50C33" w:rsidRPr="001C5FBA" w14:paraId="5207ED6A" w14:textId="77777777" w:rsidTr="00D50C33">
        <w:trPr>
          <w:trHeight w:val="20"/>
          <w:jc w:val="center"/>
        </w:trPr>
        <w:tc>
          <w:tcPr>
            <w:tcW w:w="4460" w:type="dxa"/>
            <w:vMerge w:val="restart"/>
            <w:shd w:val="clear" w:color="auto" w:fill="A8D08D" w:themeFill="accent6" w:themeFillTint="99"/>
            <w:tcMar>
              <w:top w:w="15" w:type="dxa"/>
              <w:left w:w="15" w:type="dxa"/>
              <w:bottom w:w="0" w:type="dxa"/>
              <w:right w:w="15" w:type="dxa"/>
            </w:tcMar>
            <w:vAlign w:val="center"/>
            <w:hideMark/>
          </w:tcPr>
          <w:p w14:paraId="35DA3671" w14:textId="77777777" w:rsidR="00D50C33" w:rsidRPr="001C5FBA" w:rsidRDefault="00D50C33" w:rsidP="00D50C33">
            <w:pPr>
              <w:pStyle w:val="Default"/>
              <w:jc w:val="center"/>
              <w:rPr>
                <w:b/>
                <w:color w:val="auto"/>
                <w:sz w:val="18"/>
                <w:szCs w:val="18"/>
                <w:lang w:eastAsia="es-MX"/>
              </w:rPr>
            </w:pPr>
            <w:r w:rsidRPr="001C5FBA">
              <w:rPr>
                <w:b/>
                <w:bCs/>
                <w:color w:val="auto"/>
                <w:sz w:val="18"/>
                <w:szCs w:val="18"/>
                <w:lang w:eastAsia="es-MX"/>
              </w:rPr>
              <w:t>Variable</w:t>
            </w:r>
          </w:p>
        </w:tc>
        <w:tc>
          <w:tcPr>
            <w:tcW w:w="2306" w:type="dxa"/>
            <w:gridSpan w:val="2"/>
            <w:shd w:val="clear" w:color="auto" w:fill="A8D08D" w:themeFill="accent6" w:themeFillTint="99"/>
            <w:tcMar>
              <w:top w:w="15" w:type="dxa"/>
              <w:left w:w="15" w:type="dxa"/>
              <w:bottom w:w="0" w:type="dxa"/>
              <w:right w:w="15" w:type="dxa"/>
            </w:tcMar>
            <w:vAlign w:val="center"/>
            <w:hideMark/>
          </w:tcPr>
          <w:p w14:paraId="0F675C41" w14:textId="77777777" w:rsidR="00D50C33" w:rsidRPr="001C5FBA" w:rsidRDefault="00D50C33" w:rsidP="00D50C33">
            <w:pPr>
              <w:pStyle w:val="Default"/>
              <w:jc w:val="center"/>
              <w:rPr>
                <w:b/>
                <w:bCs/>
                <w:color w:val="auto"/>
                <w:sz w:val="18"/>
                <w:szCs w:val="18"/>
                <w:lang w:eastAsia="es-MX"/>
              </w:rPr>
            </w:pPr>
            <w:r w:rsidRPr="001C5FBA">
              <w:rPr>
                <w:b/>
                <w:bCs/>
                <w:color w:val="auto"/>
                <w:sz w:val="18"/>
                <w:szCs w:val="18"/>
                <w:lang w:eastAsia="es-MX"/>
              </w:rPr>
              <w:t>Año</w:t>
            </w:r>
          </w:p>
        </w:tc>
        <w:tc>
          <w:tcPr>
            <w:tcW w:w="1451" w:type="dxa"/>
            <w:vMerge w:val="restart"/>
            <w:shd w:val="clear" w:color="auto" w:fill="A8D08D" w:themeFill="accent6" w:themeFillTint="99"/>
            <w:tcMar>
              <w:top w:w="15" w:type="dxa"/>
              <w:left w:w="15" w:type="dxa"/>
              <w:bottom w:w="0" w:type="dxa"/>
              <w:right w:w="15" w:type="dxa"/>
            </w:tcMar>
            <w:vAlign w:val="center"/>
            <w:hideMark/>
          </w:tcPr>
          <w:p w14:paraId="0B4ADCDE" w14:textId="77777777" w:rsidR="00D50C33" w:rsidRPr="001C5FBA" w:rsidRDefault="00D50C33" w:rsidP="00D50C33">
            <w:pPr>
              <w:pStyle w:val="Default"/>
              <w:jc w:val="center"/>
              <w:rPr>
                <w:b/>
                <w:color w:val="auto"/>
                <w:sz w:val="18"/>
                <w:szCs w:val="18"/>
                <w:lang w:eastAsia="es-MX"/>
              </w:rPr>
            </w:pPr>
            <w:r w:rsidRPr="001C5FBA">
              <w:rPr>
                <w:b/>
                <w:bCs/>
                <w:color w:val="auto"/>
                <w:sz w:val="18"/>
                <w:szCs w:val="18"/>
                <w:lang w:eastAsia="es-MX"/>
              </w:rPr>
              <w:t>Variación anual (%)</w:t>
            </w:r>
          </w:p>
        </w:tc>
      </w:tr>
      <w:tr w:rsidR="00D50C33" w:rsidRPr="001C5FBA" w14:paraId="597A0F07" w14:textId="77777777" w:rsidTr="00D50C33">
        <w:trPr>
          <w:trHeight w:val="20"/>
          <w:jc w:val="center"/>
        </w:trPr>
        <w:tc>
          <w:tcPr>
            <w:tcW w:w="4460" w:type="dxa"/>
            <w:vMerge/>
            <w:shd w:val="clear" w:color="auto" w:fill="A8D08D" w:themeFill="accent6" w:themeFillTint="99"/>
            <w:tcMar>
              <w:top w:w="15" w:type="dxa"/>
              <w:left w:w="15" w:type="dxa"/>
              <w:bottom w:w="0" w:type="dxa"/>
              <w:right w:w="15" w:type="dxa"/>
            </w:tcMar>
            <w:vAlign w:val="center"/>
          </w:tcPr>
          <w:p w14:paraId="152BE143" w14:textId="77777777" w:rsidR="00D50C33" w:rsidRPr="001C5FBA" w:rsidRDefault="00D50C33" w:rsidP="00D50C33">
            <w:pPr>
              <w:pStyle w:val="Default"/>
              <w:jc w:val="center"/>
              <w:rPr>
                <w:b/>
                <w:bCs/>
                <w:color w:val="auto"/>
                <w:sz w:val="18"/>
                <w:szCs w:val="18"/>
                <w:lang w:eastAsia="es-MX"/>
              </w:rPr>
            </w:pPr>
          </w:p>
        </w:tc>
        <w:tc>
          <w:tcPr>
            <w:tcW w:w="1267" w:type="dxa"/>
            <w:shd w:val="clear" w:color="auto" w:fill="A8D08D" w:themeFill="accent6" w:themeFillTint="99"/>
            <w:tcMar>
              <w:top w:w="15" w:type="dxa"/>
              <w:left w:w="15" w:type="dxa"/>
              <w:bottom w:w="0" w:type="dxa"/>
              <w:right w:w="15" w:type="dxa"/>
            </w:tcMar>
            <w:vAlign w:val="center"/>
          </w:tcPr>
          <w:p w14:paraId="4F6D9471" w14:textId="77777777" w:rsidR="00D50C33" w:rsidRPr="001C5FBA" w:rsidRDefault="00D50C33" w:rsidP="00D50C33">
            <w:pPr>
              <w:pStyle w:val="Default"/>
              <w:jc w:val="center"/>
              <w:rPr>
                <w:b/>
                <w:bCs/>
                <w:color w:val="auto"/>
                <w:sz w:val="18"/>
                <w:szCs w:val="18"/>
                <w:lang w:eastAsia="es-MX"/>
              </w:rPr>
            </w:pPr>
            <w:r w:rsidRPr="001C5FBA">
              <w:rPr>
                <w:b/>
                <w:bCs/>
                <w:color w:val="auto"/>
                <w:sz w:val="18"/>
                <w:szCs w:val="18"/>
                <w:lang w:eastAsia="es-MX"/>
              </w:rPr>
              <w:t>2019</w:t>
            </w:r>
          </w:p>
        </w:tc>
        <w:tc>
          <w:tcPr>
            <w:tcW w:w="1039" w:type="dxa"/>
            <w:shd w:val="clear" w:color="auto" w:fill="A8D08D" w:themeFill="accent6" w:themeFillTint="99"/>
            <w:vAlign w:val="center"/>
          </w:tcPr>
          <w:p w14:paraId="39E4895E" w14:textId="77777777" w:rsidR="00D50C33" w:rsidRPr="001C5FBA" w:rsidRDefault="00D50C33" w:rsidP="00D50C33">
            <w:pPr>
              <w:pStyle w:val="Default"/>
              <w:jc w:val="center"/>
              <w:rPr>
                <w:b/>
                <w:bCs/>
                <w:color w:val="auto"/>
                <w:sz w:val="18"/>
                <w:szCs w:val="18"/>
                <w:lang w:eastAsia="es-MX"/>
              </w:rPr>
            </w:pPr>
            <w:r w:rsidRPr="001C5FBA">
              <w:rPr>
                <w:b/>
                <w:bCs/>
                <w:color w:val="auto"/>
                <w:sz w:val="18"/>
                <w:szCs w:val="18"/>
                <w:lang w:eastAsia="es-MX"/>
              </w:rPr>
              <w:t>2020</w:t>
            </w:r>
            <w:r w:rsidRPr="001C5FBA">
              <w:rPr>
                <w:rFonts w:eastAsia="Times New Roman"/>
                <w:b/>
                <w:bCs/>
                <w:sz w:val="18"/>
                <w:szCs w:val="18"/>
                <w:vertAlign w:val="superscript"/>
                <w:lang w:eastAsia="es-MX"/>
              </w:rPr>
              <w:t>p/</w:t>
            </w:r>
          </w:p>
        </w:tc>
        <w:tc>
          <w:tcPr>
            <w:tcW w:w="1451" w:type="dxa"/>
            <w:vMerge/>
            <w:shd w:val="clear" w:color="auto" w:fill="A8D08D" w:themeFill="accent6" w:themeFillTint="99"/>
            <w:tcMar>
              <w:top w:w="15" w:type="dxa"/>
              <w:left w:w="15" w:type="dxa"/>
              <w:bottom w:w="0" w:type="dxa"/>
              <w:right w:w="15" w:type="dxa"/>
            </w:tcMar>
            <w:vAlign w:val="center"/>
          </w:tcPr>
          <w:p w14:paraId="0F76BE95" w14:textId="77777777" w:rsidR="00D50C33" w:rsidRPr="001C5FBA" w:rsidRDefault="00D50C33" w:rsidP="00D50C33">
            <w:pPr>
              <w:pStyle w:val="Default"/>
              <w:jc w:val="center"/>
              <w:rPr>
                <w:b/>
                <w:bCs/>
                <w:color w:val="auto"/>
                <w:sz w:val="18"/>
                <w:szCs w:val="18"/>
                <w:lang w:eastAsia="es-MX"/>
              </w:rPr>
            </w:pPr>
          </w:p>
        </w:tc>
      </w:tr>
      <w:tr w:rsidR="00D50C33" w:rsidRPr="001C5FBA" w14:paraId="4F4958B9" w14:textId="77777777" w:rsidTr="00D50C33">
        <w:trPr>
          <w:trHeight w:val="227"/>
          <w:jc w:val="center"/>
        </w:trPr>
        <w:tc>
          <w:tcPr>
            <w:tcW w:w="4460" w:type="dxa"/>
            <w:shd w:val="clear" w:color="auto" w:fill="auto"/>
            <w:tcMar>
              <w:top w:w="15" w:type="dxa"/>
              <w:left w:w="15" w:type="dxa"/>
              <w:bottom w:w="0" w:type="dxa"/>
              <w:right w:w="15" w:type="dxa"/>
            </w:tcMar>
            <w:vAlign w:val="center"/>
            <w:hideMark/>
          </w:tcPr>
          <w:p w14:paraId="3A9F6286" w14:textId="77777777" w:rsidR="00D50C33" w:rsidRPr="001C5FBA" w:rsidRDefault="00D50C33" w:rsidP="00D50C33">
            <w:pPr>
              <w:pStyle w:val="Default"/>
              <w:rPr>
                <w:color w:val="auto"/>
                <w:sz w:val="18"/>
                <w:szCs w:val="18"/>
                <w:lang w:eastAsia="es-MX"/>
              </w:rPr>
            </w:pPr>
            <w:r w:rsidRPr="001C5FBA">
              <w:rPr>
                <w:color w:val="auto"/>
                <w:sz w:val="18"/>
                <w:szCs w:val="18"/>
                <w:lang w:eastAsia="es-MX"/>
              </w:rPr>
              <w:t>Personal ocupado total (miles de personas)</w:t>
            </w:r>
          </w:p>
        </w:tc>
        <w:tc>
          <w:tcPr>
            <w:tcW w:w="1267" w:type="dxa"/>
            <w:shd w:val="clear" w:color="auto" w:fill="auto"/>
            <w:tcMar>
              <w:top w:w="15" w:type="dxa"/>
              <w:left w:w="15" w:type="dxa"/>
              <w:bottom w:w="0" w:type="dxa"/>
              <w:right w:w="15" w:type="dxa"/>
            </w:tcMar>
            <w:vAlign w:val="center"/>
          </w:tcPr>
          <w:p w14:paraId="0F938680" w14:textId="77777777" w:rsidR="00D50C33" w:rsidRPr="001C5FBA" w:rsidRDefault="00D50C33" w:rsidP="00EE1B2C">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4</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343</w:t>
            </w:r>
          </w:p>
        </w:tc>
        <w:tc>
          <w:tcPr>
            <w:tcW w:w="1039" w:type="dxa"/>
            <w:vAlign w:val="center"/>
          </w:tcPr>
          <w:p w14:paraId="299B8B7B" w14:textId="77777777" w:rsidR="00D50C33" w:rsidRPr="001C5FBA" w:rsidRDefault="00D50C33" w:rsidP="00D50C33">
            <w:pPr>
              <w:pStyle w:val="Default"/>
              <w:jc w:val="center"/>
              <w:rPr>
                <w:color w:val="auto"/>
                <w:sz w:val="18"/>
                <w:szCs w:val="18"/>
                <w:lang w:eastAsia="es-MX"/>
              </w:rPr>
            </w:pPr>
            <w:r w:rsidRPr="001C5FBA">
              <w:rPr>
                <w:rFonts w:eastAsia="Helvetica Neue Medium"/>
                <w:color w:val="auto"/>
                <w:sz w:val="18"/>
                <w:szCs w:val="18"/>
              </w:rPr>
              <w:t>4</w:t>
            </w:r>
            <w:r w:rsidR="00EE1B2C">
              <w:rPr>
                <w:rFonts w:eastAsia="Helvetica Neue Medium"/>
                <w:color w:val="auto"/>
                <w:sz w:val="18"/>
                <w:szCs w:val="18"/>
              </w:rPr>
              <w:t xml:space="preserve"> </w:t>
            </w:r>
            <w:r w:rsidRPr="001C5FBA">
              <w:rPr>
                <w:rFonts w:eastAsia="Helvetica Neue Medium"/>
                <w:color w:val="auto"/>
                <w:sz w:val="18"/>
                <w:szCs w:val="18"/>
              </w:rPr>
              <w:t>241</w:t>
            </w:r>
          </w:p>
        </w:tc>
        <w:tc>
          <w:tcPr>
            <w:tcW w:w="1451" w:type="dxa"/>
            <w:shd w:val="clear" w:color="auto" w:fill="auto"/>
            <w:tcMar>
              <w:top w:w="15" w:type="dxa"/>
              <w:left w:w="15" w:type="dxa"/>
              <w:bottom w:w="0" w:type="dxa"/>
              <w:right w:w="15" w:type="dxa"/>
            </w:tcMar>
            <w:vAlign w:val="center"/>
          </w:tcPr>
          <w:p w14:paraId="4F42C340" w14:textId="77777777" w:rsidR="00D50C33" w:rsidRPr="001C5FBA" w:rsidRDefault="00D50C33" w:rsidP="00D50C33">
            <w:pPr>
              <w:pStyle w:val="Default"/>
              <w:jc w:val="center"/>
              <w:rPr>
                <w:color w:val="auto"/>
                <w:sz w:val="18"/>
                <w:szCs w:val="18"/>
                <w:lang w:eastAsia="es-MX"/>
              </w:rPr>
            </w:pPr>
            <w:r w:rsidRPr="001C5FBA">
              <w:rPr>
                <w:color w:val="auto"/>
                <w:sz w:val="18"/>
                <w:szCs w:val="18"/>
                <w:lang w:eastAsia="es-MX"/>
              </w:rPr>
              <w:t>-2.3</w:t>
            </w:r>
          </w:p>
        </w:tc>
      </w:tr>
      <w:tr w:rsidR="00D50C33" w:rsidRPr="001C5FBA" w14:paraId="34749B9A" w14:textId="77777777" w:rsidTr="00D50C33">
        <w:trPr>
          <w:trHeight w:val="227"/>
          <w:jc w:val="center"/>
        </w:trPr>
        <w:tc>
          <w:tcPr>
            <w:tcW w:w="4460" w:type="dxa"/>
            <w:shd w:val="clear" w:color="auto" w:fill="auto"/>
            <w:tcMar>
              <w:top w:w="15" w:type="dxa"/>
              <w:left w:w="15" w:type="dxa"/>
              <w:bottom w:w="0" w:type="dxa"/>
              <w:right w:w="15" w:type="dxa"/>
            </w:tcMar>
            <w:vAlign w:val="center"/>
          </w:tcPr>
          <w:p w14:paraId="4BDD8F51" w14:textId="77777777" w:rsidR="00D50C33" w:rsidRPr="001C5FBA" w:rsidRDefault="00D50C33" w:rsidP="00D50C33">
            <w:pPr>
              <w:pStyle w:val="Default"/>
              <w:rPr>
                <w:color w:val="auto"/>
                <w:sz w:val="18"/>
                <w:szCs w:val="18"/>
                <w:lang w:eastAsia="es-MX"/>
              </w:rPr>
            </w:pPr>
            <w:r w:rsidRPr="001C5FBA">
              <w:rPr>
                <w:color w:val="auto"/>
                <w:sz w:val="18"/>
                <w:szCs w:val="18"/>
                <w:lang w:eastAsia="es-MX"/>
              </w:rPr>
              <w:t>Horas trabajadas (millones de horas)</w:t>
            </w:r>
          </w:p>
        </w:tc>
        <w:tc>
          <w:tcPr>
            <w:tcW w:w="1267" w:type="dxa"/>
            <w:shd w:val="clear" w:color="auto" w:fill="auto"/>
            <w:tcMar>
              <w:top w:w="15" w:type="dxa"/>
              <w:left w:w="15" w:type="dxa"/>
              <w:bottom w:w="0" w:type="dxa"/>
              <w:right w:w="15" w:type="dxa"/>
            </w:tcMar>
            <w:vAlign w:val="center"/>
          </w:tcPr>
          <w:p w14:paraId="0DCFF5AA" w14:textId="77777777" w:rsidR="00D50C33" w:rsidRPr="001C5FBA" w:rsidRDefault="00D50C33" w:rsidP="00EE1B2C">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10</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353</w:t>
            </w:r>
          </w:p>
        </w:tc>
        <w:tc>
          <w:tcPr>
            <w:tcW w:w="1039" w:type="dxa"/>
            <w:vAlign w:val="center"/>
          </w:tcPr>
          <w:p w14:paraId="7E10290F" w14:textId="77777777" w:rsidR="00D50C33" w:rsidRPr="001C5FBA" w:rsidRDefault="00D50C33" w:rsidP="00D50C33">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9</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582</w:t>
            </w:r>
          </w:p>
        </w:tc>
        <w:tc>
          <w:tcPr>
            <w:tcW w:w="1451" w:type="dxa"/>
            <w:shd w:val="clear" w:color="auto" w:fill="auto"/>
            <w:tcMar>
              <w:top w:w="15" w:type="dxa"/>
              <w:left w:w="15" w:type="dxa"/>
              <w:bottom w:w="0" w:type="dxa"/>
              <w:right w:w="15" w:type="dxa"/>
            </w:tcMar>
            <w:vAlign w:val="center"/>
          </w:tcPr>
          <w:p w14:paraId="4D042E64" w14:textId="77777777" w:rsidR="00D50C33" w:rsidRPr="001C5FBA" w:rsidRDefault="00D50C33" w:rsidP="00D50C33">
            <w:pPr>
              <w:pStyle w:val="Default"/>
              <w:jc w:val="center"/>
              <w:rPr>
                <w:color w:val="auto"/>
                <w:sz w:val="18"/>
                <w:szCs w:val="18"/>
                <w:lang w:eastAsia="es-MX"/>
              </w:rPr>
            </w:pPr>
            <w:r w:rsidRPr="001C5FBA">
              <w:rPr>
                <w:color w:val="auto"/>
                <w:sz w:val="18"/>
                <w:szCs w:val="18"/>
                <w:lang w:eastAsia="es-MX"/>
              </w:rPr>
              <w:t>-7.4</w:t>
            </w:r>
          </w:p>
        </w:tc>
      </w:tr>
      <w:tr w:rsidR="00D50C33" w:rsidRPr="001C5FBA" w14:paraId="64FB8D6E" w14:textId="77777777" w:rsidTr="00D50C33">
        <w:trPr>
          <w:trHeight w:val="227"/>
          <w:jc w:val="center"/>
        </w:trPr>
        <w:tc>
          <w:tcPr>
            <w:tcW w:w="4460" w:type="dxa"/>
            <w:shd w:val="clear" w:color="auto" w:fill="auto"/>
            <w:tcMar>
              <w:top w:w="15" w:type="dxa"/>
              <w:left w:w="15" w:type="dxa"/>
              <w:bottom w:w="0" w:type="dxa"/>
              <w:right w:w="15" w:type="dxa"/>
            </w:tcMar>
            <w:vAlign w:val="center"/>
            <w:hideMark/>
          </w:tcPr>
          <w:p w14:paraId="788244A6" w14:textId="77777777" w:rsidR="00D50C33" w:rsidRPr="001C5FBA" w:rsidRDefault="00D50C33" w:rsidP="00D50C33">
            <w:pPr>
              <w:pStyle w:val="Default"/>
              <w:rPr>
                <w:color w:val="auto"/>
                <w:sz w:val="18"/>
                <w:szCs w:val="18"/>
                <w:lang w:eastAsia="es-MX"/>
              </w:rPr>
            </w:pPr>
            <w:r w:rsidRPr="001C5FBA">
              <w:rPr>
                <w:color w:val="auto"/>
                <w:sz w:val="18"/>
                <w:szCs w:val="18"/>
                <w:lang w:eastAsia="es-MX"/>
              </w:rPr>
              <w:t>Valor de producción</w:t>
            </w:r>
          </w:p>
        </w:tc>
        <w:tc>
          <w:tcPr>
            <w:tcW w:w="1267" w:type="dxa"/>
            <w:shd w:val="clear" w:color="auto" w:fill="auto"/>
            <w:tcMar>
              <w:top w:w="15" w:type="dxa"/>
              <w:left w:w="15" w:type="dxa"/>
              <w:bottom w:w="0" w:type="dxa"/>
              <w:right w:w="15" w:type="dxa"/>
            </w:tcMar>
            <w:vAlign w:val="center"/>
          </w:tcPr>
          <w:p w14:paraId="38908F1D" w14:textId="77777777" w:rsidR="00D50C33" w:rsidRPr="001C5FBA" w:rsidRDefault="00D50C33" w:rsidP="00EE1B2C">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8</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436</w:t>
            </w:r>
          </w:p>
        </w:tc>
        <w:tc>
          <w:tcPr>
            <w:tcW w:w="1039" w:type="dxa"/>
            <w:vAlign w:val="center"/>
          </w:tcPr>
          <w:p w14:paraId="1CCF1A4A" w14:textId="77777777" w:rsidR="00D50C33" w:rsidRPr="001C5FBA" w:rsidRDefault="00D50C33" w:rsidP="00D50C33">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8</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001</w:t>
            </w:r>
          </w:p>
        </w:tc>
        <w:tc>
          <w:tcPr>
            <w:tcW w:w="1451" w:type="dxa"/>
            <w:shd w:val="clear" w:color="auto" w:fill="auto"/>
            <w:tcMar>
              <w:top w:w="15" w:type="dxa"/>
              <w:left w:w="15" w:type="dxa"/>
              <w:bottom w:w="0" w:type="dxa"/>
              <w:right w:w="15" w:type="dxa"/>
            </w:tcMar>
            <w:vAlign w:val="center"/>
          </w:tcPr>
          <w:p w14:paraId="503038B0" w14:textId="77777777" w:rsidR="00D50C33" w:rsidRPr="001C5FBA" w:rsidRDefault="00D50C33" w:rsidP="00D50C33">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-5.2</w:t>
            </w:r>
          </w:p>
        </w:tc>
      </w:tr>
      <w:tr w:rsidR="00D50C33" w:rsidRPr="001C5FBA" w14:paraId="4E66E5A9" w14:textId="77777777" w:rsidTr="00D50C33">
        <w:trPr>
          <w:trHeight w:val="227"/>
          <w:jc w:val="center"/>
        </w:trPr>
        <w:tc>
          <w:tcPr>
            <w:tcW w:w="4460" w:type="dxa"/>
            <w:shd w:val="clear" w:color="auto" w:fill="auto"/>
            <w:tcMar>
              <w:top w:w="15" w:type="dxa"/>
              <w:left w:w="15" w:type="dxa"/>
              <w:bottom w:w="0" w:type="dxa"/>
              <w:right w:w="15" w:type="dxa"/>
            </w:tcMar>
            <w:vAlign w:val="center"/>
            <w:hideMark/>
          </w:tcPr>
          <w:p w14:paraId="216D9878" w14:textId="77777777" w:rsidR="00D50C33" w:rsidRPr="001C5FBA" w:rsidRDefault="00D50C33" w:rsidP="00D50C33">
            <w:pPr>
              <w:pStyle w:val="Default"/>
              <w:rPr>
                <w:color w:val="auto"/>
                <w:sz w:val="18"/>
                <w:szCs w:val="18"/>
                <w:lang w:eastAsia="es-MX"/>
              </w:rPr>
            </w:pPr>
            <w:r w:rsidRPr="001C5FBA">
              <w:rPr>
                <w:color w:val="auto"/>
                <w:sz w:val="18"/>
                <w:szCs w:val="18"/>
                <w:lang w:eastAsia="es-MX"/>
              </w:rPr>
              <w:t>Gastos por consumo de bienes y servicios</w:t>
            </w:r>
          </w:p>
        </w:tc>
        <w:tc>
          <w:tcPr>
            <w:tcW w:w="1267" w:type="dxa"/>
            <w:shd w:val="clear" w:color="auto" w:fill="auto"/>
            <w:tcMar>
              <w:top w:w="15" w:type="dxa"/>
              <w:left w:w="15" w:type="dxa"/>
              <w:bottom w:w="0" w:type="dxa"/>
              <w:right w:w="15" w:type="dxa"/>
            </w:tcMar>
            <w:vAlign w:val="center"/>
          </w:tcPr>
          <w:p w14:paraId="047EEF77" w14:textId="77777777" w:rsidR="00D50C33" w:rsidRPr="001C5FBA" w:rsidRDefault="00D50C33" w:rsidP="00EE1B2C">
            <w:pPr>
              <w:pStyle w:val="NormalWeb"/>
              <w:spacing w:before="0" w:beforeAutospacing="0" w:after="0" w:afterAutospacing="0"/>
              <w:jc w:val="center"/>
              <w:textAlignment w:val="bottom"/>
              <w:rPr>
                <w:rFonts w:ascii="Arial" w:hAnsi="Arial" w:cs="Arial"/>
                <w:sz w:val="18"/>
                <w:szCs w:val="18"/>
              </w:rPr>
            </w:pPr>
            <w:r w:rsidRPr="001C5FBA">
              <w:rPr>
                <w:rFonts w:ascii="Arial" w:hAnsi="Arial" w:cs="Arial"/>
                <w:sz w:val="18"/>
                <w:szCs w:val="18"/>
              </w:rPr>
              <w:t>6</w:t>
            </w:r>
            <w:r w:rsidR="00EE1B2C">
              <w:rPr>
                <w:rFonts w:ascii="Arial" w:hAnsi="Arial" w:cs="Arial"/>
                <w:sz w:val="18"/>
                <w:szCs w:val="18"/>
              </w:rPr>
              <w:t xml:space="preserve"> </w:t>
            </w:r>
            <w:r w:rsidRPr="001C5FBA">
              <w:rPr>
                <w:rFonts w:ascii="Arial" w:hAnsi="Arial" w:cs="Arial"/>
                <w:sz w:val="18"/>
                <w:szCs w:val="18"/>
              </w:rPr>
              <w:t>115</w:t>
            </w:r>
          </w:p>
        </w:tc>
        <w:tc>
          <w:tcPr>
            <w:tcW w:w="1039" w:type="dxa"/>
            <w:vAlign w:val="center"/>
          </w:tcPr>
          <w:p w14:paraId="14B560BB" w14:textId="77777777" w:rsidR="00D50C33" w:rsidRPr="001C5FBA" w:rsidRDefault="00D50C33" w:rsidP="00D50C33">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5</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817</w:t>
            </w:r>
          </w:p>
        </w:tc>
        <w:tc>
          <w:tcPr>
            <w:tcW w:w="1451" w:type="dxa"/>
            <w:shd w:val="clear" w:color="auto" w:fill="auto"/>
            <w:tcMar>
              <w:top w:w="15" w:type="dxa"/>
              <w:left w:w="15" w:type="dxa"/>
              <w:bottom w:w="0" w:type="dxa"/>
              <w:right w:w="15" w:type="dxa"/>
            </w:tcMar>
            <w:vAlign w:val="center"/>
          </w:tcPr>
          <w:p w14:paraId="0D4C97C4" w14:textId="77777777" w:rsidR="00D50C33" w:rsidRPr="001C5FBA" w:rsidRDefault="00D50C33" w:rsidP="00D50C33">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-4.9</w:t>
            </w:r>
          </w:p>
        </w:tc>
      </w:tr>
      <w:tr w:rsidR="00D50C33" w:rsidRPr="001C5FBA" w14:paraId="00B7D01B" w14:textId="77777777" w:rsidTr="00D50C33">
        <w:trPr>
          <w:trHeight w:val="227"/>
          <w:jc w:val="center"/>
        </w:trPr>
        <w:tc>
          <w:tcPr>
            <w:tcW w:w="4460" w:type="dxa"/>
            <w:shd w:val="clear" w:color="auto" w:fill="auto"/>
            <w:tcMar>
              <w:top w:w="15" w:type="dxa"/>
              <w:left w:w="15" w:type="dxa"/>
              <w:bottom w:w="0" w:type="dxa"/>
              <w:right w:w="15" w:type="dxa"/>
            </w:tcMar>
            <w:vAlign w:val="center"/>
            <w:hideMark/>
          </w:tcPr>
          <w:p w14:paraId="5C856BB8" w14:textId="77777777" w:rsidR="00D50C33" w:rsidRPr="001C5FBA" w:rsidRDefault="00D50C33" w:rsidP="00D50C33">
            <w:pPr>
              <w:pStyle w:val="Default"/>
              <w:rPr>
                <w:color w:val="auto"/>
                <w:sz w:val="18"/>
                <w:szCs w:val="18"/>
                <w:lang w:eastAsia="es-MX"/>
              </w:rPr>
            </w:pPr>
            <w:r w:rsidRPr="001C5FBA">
              <w:rPr>
                <w:color w:val="auto"/>
                <w:sz w:val="18"/>
                <w:szCs w:val="18"/>
                <w:lang w:eastAsia="es-MX"/>
              </w:rPr>
              <w:t>Ingresos por suministro de bienes y servicios</w:t>
            </w:r>
          </w:p>
        </w:tc>
        <w:tc>
          <w:tcPr>
            <w:tcW w:w="1267" w:type="dxa"/>
            <w:shd w:val="clear" w:color="auto" w:fill="auto"/>
            <w:tcMar>
              <w:top w:w="15" w:type="dxa"/>
              <w:left w:w="15" w:type="dxa"/>
              <w:bottom w:w="0" w:type="dxa"/>
              <w:right w:w="15" w:type="dxa"/>
            </w:tcMar>
            <w:vAlign w:val="center"/>
          </w:tcPr>
          <w:p w14:paraId="05825E32" w14:textId="77777777" w:rsidR="00D50C33" w:rsidRPr="001C5FBA" w:rsidRDefault="00D50C33" w:rsidP="00EE1B2C">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9</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314</w:t>
            </w:r>
          </w:p>
        </w:tc>
        <w:tc>
          <w:tcPr>
            <w:tcW w:w="1039" w:type="dxa"/>
            <w:vAlign w:val="center"/>
          </w:tcPr>
          <w:p w14:paraId="75644A4D" w14:textId="77777777" w:rsidR="00D50C33" w:rsidRPr="001C5FBA" w:rsidRDefault="00D50C33" w:rsidP="00D50C33">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8</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873</w:t>
            </w:r>
          </w:p>
        </w:tc>
        <w:tc>
          <w:tcPr>
            <w:tcW w:w="1451" w:type="dxa"/>
            <w:shd w:val="clear" w:color="auto" w:fill="auto"/>
            <w:tcMar>
              <w:top w:w="15" w:type="dxa"/>
              <w:left w:w="15" w:type="dxa"/>
              <w:bottom w:w="0" w:type="dxa"/>
              <w:right w:w="15" w:type="dxa"/>
            </w:tcMar>
            <w:vAlign w:val="center"/>
          </w:tcPr>
          <w:p w14:paraId="23835746" w14:textId="77777777" w:rsidR="00D50C33" w:rsidRPr="001C5FBA" w:rsidRDefault="00D50C33" w:rsidP="00D50C33">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-4.7</w:t>
            </w:r>
          </w:p>
        </w:tc>
      </w:tr>
      <w:tr w:rsidR="00D50C33" w:rsidRPr="001C5FBA" w14:paraId="7687CBD3" w14:textId="77777777" w:rsidTr="00D50C33">
        <w:trPr>
          <w:trHeight w:val="227"/>
          <w:jc w:val="center"/>
        </w:trPr>
        <w:tc>
          <w:tcPr>
            <w:tcW w:w="4460" w:type="dxa"/>
            <w:shd w:val="clear" w:color="auto" w:fill="auto"/>
            <w:tcMar>
              <w:top w:w="15" w:type="dxa"/>
              <w:left w:w="15" w:type="dxa"/>
              <w:bottom w:w="0" w:type="dxa"/>
              <w:right w:w="15" w:type="dxa"/>
            </w:tcMar>
            <w:vAlign w:val="center"/>
            <w:hideMark/>
          </w:tcPr>
          <w:p w14:paraId="26B74DB6" w14:textId="77777777" w:rsidR="00D50C33" w:rsidRPr="001C5FBA" w:rsidRDefault="00D50C33" w:rsidP="00D50C33">
            <w:pPr>
              <w:pStyle w:val="Default"/>
              <w:rPr>
                <w:color w:val="auto"/>
                <w:sz w:val="18"/>
                <w:szCs w:val="18"/>
                <w:lang w:eastAsia="es-MX"/>
              </w:rPr>
            </w:pPr>
            <w:r w:rsidRPr="001C5FBA">
              <w:rPr>
                <w:color w:val="auto"/>
                <w:sz w:val="18"/>
                <w:szCs w:val="18"/>
                <w:lang w:eastAsia="es-MX"/>
              </w:rPr>
              <w:t>Valor de activos fijos totales</w:t>
            </w:r>
          </w:p>
        </w:tc>
        <w:tc>
          <w:tcPr>
            <w:tcW w:w="1267" w:type="dxa"/>
            <w:shd w:val="clear" w:color="auto" w:fill="auto"/>
            <w:tcMar>
              <w:top w:w="15" w:type="dxa"/>
              <w:left w:w="15" w:type="dxa"/>
              <w:bottom w:w="0" w:type="dxa"/>
              <w:right w:w="15" w:type="dxa"/>
            </w:tcMar>
            <w:vAlign w:val="center"/>
          </w:tcPr>
          <w:p w14:paraId="612D17E8" w14:textId="77777777" w:rsidR="00D50C33" w:rsidRPr="001C5FBA" w:rsidRDefault="00D50C33" w:rsidP="00EE1B2C">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3</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497</w:t>
            </w:r>
          </w:p>
        </w:tc>
        <w:tc>
          <w:tcPr>
            <w:tcW w:w="1039" w:type="dxa"/>
            <w:vAlign w:val="center"/>
          </w:tcPr>
          <w:p w14:paraId="19FB0DFE" w14:textId="77777777" w:rsidR="00D50C33" w:rsidRPr="001C5FBA" w:rsidRDefault="00D50C33" w:rsidP="00D50C33">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3</w:t>
            </w:r>
            <w:r w:rsidR="00EE1B2C">
              <w:rPr>
                <w:rFonts w:ascii="Arial" w:eastAsia="Helvetica Neue Medium" w:hAnsi="Arial" w:cs="Arial"/>
                <w:sz w:val="18"/>
                <w:szCs w:val="18"/>
              </w:rPr>
              <w:t xml:space="preserve"> </w:t>
            </w:r>
            <w:r w:rsidRPr="001C5FBA">
              <w:rPr>
                <w:rFonts w:ascii="Arial" w:eastAsia="Helvetica Neue Medium" w:hAnsi="Arial" w:cs="Arial"/>
                <w:sz w:val="18"/>
                <w:szCs w:val="18"/>
              </w:rPr>
              <w:t>629</w:t>
            </w:r>
          </w:p>
        </w:tc>
        <w:tc>
          <w:tcPr>
            <w:tcW w:w="1451" w:type="dxa"/>
            <w:shd w:val="clear" w:color="auto" w:fill="auto"/>
            <w:tcMar>
              <w:top w:w="15" w:type="dxa"/>
              <w:left w:w="15" w:type="dxa"/>
              <w:bottom w:w="0" w:type="dxa"/>
              <w:right w:w="15" w:type="dxa"/>
            </w:tcMar>
            <w:vAlign w:val="center"/>
          </w:tcPr>
          <w:p w14:paraId="4F5477E1" w14:textId="77777777" w:rsidR="00D50C33" w:rsidRPr="001C5FBA" w:rsidRDefault="00D50C33" w:rsidP="00D50C33">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3.8</w:t>
            </w:r>
          </w:p>
        </w:tc>
      </w:tr>
    </w:tbl>
    <w:p w14:paraId="52A35CBB" w14:textId="77777777" w:rsidR="00D50C33" w:rsidRPr="00A341C6" w:rsidRDefault="00D50C33" w:rsidP="00D50C33">
      <w:pPr>
        <w:pStyle w:val="Default"/>
        <w:ind w:left="284"/>
        <w:jc w:val="both"/>
        <w:rPr>
          <w:color w:val="auto"/>
          <w:sz w:val="16"/>
          <w:lang w:eastAsia="es-MX"/>
        </w:rPr>
      </w:pPr>
      <w:r w:rsidRPr="00A341C6">
        <w:rPr>
          <w:color w:val="auto"/>
          <w:sz w:val="16"/>
          <w:vertAlign w:val="superscript"/>
          <w:lang w:eastAsia="es-MX"/>
        </w:rPr>
        <w:t>p/</w:t>
      </w:r>
      <w:r>
        <w:rPr>
          <w:color w:val="auto"/>
          <w:sz w:val="16"/>
          <w:vertAlign w:val="superscript"/>
          <w:lang w:eastAsia="es-MX"/>
        </w:rPr>
        <w:t xml:space="preserve"> </w:t>
      </w:r>
      <w:r>
        <w:rPr>
          <w:color w:val="auto"/>
          <w:sz w:val="16"/>
          <w:lang w:eastAsia="es-MX"/>
        </w:rPr>
        <w:t>Cifras preliminares.</w:t>
      </w:r>
    </w:p>
    <w:p w14:paraId="60294E2B" w14:textId="77777777" w:rsidR="00D50C33" w:rsidRPr="00A341C6" w:rsidRDefault="00D50C33" w:rsidP="00D50C33">
      <w:pPr>
        <w:pStyle w:val="Default"/>
        <w:ind w:left="284"/>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p>
    <w:p w14:paraId="2BA8B877" w14:textId="77777777" w:rsidR="00D50C33" w:rsidRDefault="00D50C33" w:rsidP="00D50C33">
      <w:pPr>
        <w:pStyle w:val="Default"/>
        <w:jc w:val="both"/>
        <w:rPr>
          <w:b/>
          <w:color w:val="auto"/>
          <w:sz w:val="22"/>
          <w:lang w:eastAsia="es-MX"/>
        </w:rPr>
      </w:pPr>
    </w:p>
    <w:p w14:paraId="02B975D7" w14:textId="77777777" w:rsidR="00D50C33" w:rsidRDefault="00D50C33" w:rsidP="00762936">
      <w:pPr>
        <w:pStyle w:val="Default"/>
        <w:ind w:left="-567" w:right="-518"/>
        <w:jc w:val="both"/>
        <w:rPr>
          <w:bCs/>
          <w:color w:val="auto"/>
          <w:sz w:val="22"/>
          <w:lang w:eastAsia="es-MX"/>
        </w:rPr>
      </w:pPr>
      <w:r>
        <w:rPr>
          <w:bCs/>
          <w:color w:val="auto"/>
          <w:sz w:val="22"/>
          <w:lang w:eastAsia="es-MX"/>
        </w:rPr>
        <w:t>En 2020, la participación del personal ocupado subcontratado se redu</w:t>
      </w:r>
      <w:r w:rsidR="00EE1B2C">
        <w:rPr>
          <w:bCs/>
          <w:color w:val="auto"/>
          <w:sz w:val="22"/>
          <w:lang w:eastAsia="es-MX"/>
        </w:rPr>
        <w:t>jo</w:t>
      </w:r>
      <w:r>
        <w:rPr>
          <w:bCs/>
          <w:color w:val="auto"/>
          <w:sz w:val="22"/>
          <w:lang w:eastAsia="es-MX"/>
        </w:rPr>
        <w:t xml:space="preserve"> en 0.4 puntos en comparación con la contribución que tenía en 2019.</w:t>
      </w:r>
      <w:r w:rsidR="00762936">
        <w:rPr>
          <w:bCs/>
          <w:color w:val="auto"/>
          <w:sz w:val="22"/>
          <w:lang w:eastAsia="es-MX"/>
        </w:rPr>
        <w:t xml:space="preserve"> </w:t>
      </w:r>
      <w:r w:rsidR="00EE1B2C">
        <w:rPr>
          <w:bCs/>
          <w:color w:val="auto"/>
          <w:sz w:val="22"/>
          <w:lang w:eastAsia="es-MX"/>
        </w:rPr>
        <w:t>Este</w:t>
      </w:r>
      <w:r>
        <w:rPr>
          <w:bCs/>
          <w:color w:val="auto"/>
          <w:sz w:val="22"/>
          <w:lang w:eastAsia="es-MX"/>
        </w:rPr>
        <w:t xml:space="preserve"> rubro registr</w:t>
      </w:r>
      <w:r w:rsidR="00EE1B2C">
        <w:rPr>
          <w:bCs/>
          <w:color w:val="auto"/>
          <w:sz w:val="22"/>
          <w:lang w:eastAsia="es-MX"/>
        </w:rPr>
        <w:t>ó</w:t>
      </w:r>
      <w:r>
        <w:rPr>
          <w:bCs/>
          <w:color w:val="auto"/>
          <w:sz w:val="22"/>
          <w:lang w:eastAsia="es-MX"/>
        </w:rPr>
        <w:t xml:space="preserve"> disminuciones en 13 subsectores</w:t>
      </w:r>
      <w:r w:rsidR="00EE1B2C">
        <w:rPr>
          <w:bCs/>
          <w:color w:val="auto"/>
          <w:sz w:val="22"/>
          <w:lang w:eastAsia="es-MX"/>
        </w:rPr>
        <w:t xml:space="preserve">. Los descensos más pronunciados ocurrieron en </w:t>
      </w:r>
      <w:r>
        <w:rPr>
          <w:bCs/>
          <w:color w:val="auto"/>
          <w:sz w:val="22"/>
          <w:lang w:eastAsia="es-MX"/>
        </w:rPr>
        <w:t xml:space="preserve"> la impresión e industrias conexas </w:t>
      </w:r>
      <w:r w:rsidR="00762936">
        <w:rPr>
          <w:bCs/>
          <w:color w:val="auto"/>
          <w:sz w:val="22"/>
          <w:lang w:eastAsia="es-MX"/>
        </w:rPr>
        <w:t>(</w:t>
      </w:r>
      <w:r>
        <w:rPr>
          <w:bCs/>
          <w:color w:val="auto"/>
          <w:sz w:val="22"/>
          <w:lang w:eastAsia="es-MX"/>
        </w:rPr>
        <w:t>3 puntos</w:t>
      </w:r>
      <w:r w:rsidR="00762936">
        <w:rPr>
          <w:bCs/>
          <w:color w:val="auto"/>
          <w:sz w:val="22"/>
          <w:lang w:eastAsia="es-MX"/>
        </w:rPr>
        <w:t>)</w:t>
      </w:r>
      <w:r>
        <w:rPr>
          <w:bCs/>
          <w:color w:val="auto"/>
          <w:sz w:val="22"/>
          <w:lang w:eastAsia="es-MX"/>
        </w:rPr>
        <w:t xml:space="preserve">, industria del plástico y del hule </w:t>
      </w:r>
      <w:r w:rsidR="00762936">
        <w:rPr>
          <w:bCs/>
          <w:color w:val="auto"/>
          <w:sz w:val="22"/>
          <w:lang w:eastAsia="es-MX"/>
        </w:rPr>
        <w:t>(</w:t>
      </w:r>
      <w:r>
        <w:rPr>
          <w:bCs/>
          <w:color w:val="auto"/>
          <w:sz w:val="22"/>
          <w:lang w:eastAsia="es-MX"/>
        </w:rPr>
        <w:t>2.1 puntos</w:t>
      </w:r>
      <w:r w:rsidR="00762936">
        <w:rPr>
          <w:bCs/>
          <w:color w:val="auto"/>
          <w:sz w:val="22"/>
          <w:lang w:eastAsia="es-MX"/>
        </w:rPr>
        <w:t>)</w:t>
      </w:r>
      <w:r>
        <w:rPr>
          <w:bCs/>
          <w:color w:val="auto"/>
          <w:sz w:val="22"/>
          <w:lang w:eastAsia="es-MX"/>
        </w:rPr>
        <w:t xml:space="preserve">, industria de la madera </w:t>
      </w:r>
      <w:r w:rsidR="00762936">
        <w:rPr>
          <w:bCs/>
          <w:color w:val="auto"/>
          <w:sz w:val="22"/>
          <w:lang w:eastAsia="es-MX"/>
        </w:rPr>
        <w:t>(</w:t>
      </w:r>
      <w:r>
        <w:rPr>
          <w:bCs/>
          <w:color w:val="auto"/>
          <w:sz w:val="22"/>
          <w:lang w:eastAsia="es-MX"/>
        </w:rPr>
        <w:t>1.8 puntos</w:t>
      </w:r>
      <w:r w:rsidR="00762936">
        <w:rPr>
          <w:bCs/>
          <w:color w:val="auto"/>
          <w:sz w:val="22"/>
          <w:lang w:eastAsia="es-MX"/>
        </w:rPr>
        <w:t>)</w:t>
      </w:r>
      <w:r>
        <w:rPr>
          <w:bCs/>
          <w:color w:val="auto"/>
          <w:sz w:val="22"/>
          <w:lang w:eastAsia="es-MX"/>
        </w:rPr>
        <w:t xml:space="preserve">, fabricación de maquinaria y equipo </w:t>
      </w:r>
      <w:r w:rsidR="00762936">
        <w:rPr>
          <w:bCs/>
          <w:color w:val="auto"/>
          <w:sz w:val="22"/>
          <w:lang w:eastAsia="es-MX"/>
        </w:rPr>
        <w:t>(</w:t>
      </w:r>
      <w:r>
        <w:rPr>
          <w:bCs/>
          <w:color w:val="auto"/>
          <w:sz w:val="22"/>
          <w:lang w:eastAsia="es-MX"/>
        </w:rPr>
        <w:t>1.2 puntos</w:t>
      </w:r>
      <w:r w:rsidR="00762936">
        <w:rPr>
          <w:bCs/>
          <w:color w:val="auto"/>
          <w:sz w:val="22"/>
          <w:lang w:eastAsia="es-MX"/>
        </w:rPr>
        <w:t>)</w:t>
      </w:r>
      <w:r>
        <w:rPr>
          <w:bCs/>
          <w:color w:val="auto"/>
          <w:sz w:val="22"/>
          <w:lang w:eastAsia="es-MX"/>
        </w:rPr>
        <w:t xml:space="preserve"> y fabricación de muebles </w:t>
      </w:r>
      <w:r w:rsidR="00762936">
        <w:rPr>
          <w:bCs/>
          <w:color w:val="auto"/>
          <w:sz w:val="22"/>
          <w:lang w:eastAsia="es-MX"/>
        </w:rPr>
        <w:t>(</w:t>
      </w:r>
      <w:r>
        <w:rPr>
          <w:bCs/>
          <w:color w:val="auto"/>
          <w:sz w:val="22"/>
          <w:lang w:eastAsia="es-MX"/>
        </w:rPr>
        <w:t>1.1 puntos</w:t>
      </w:r>
      <w:r w:rsidR="00762936">
        <w:rPr>
          <w:bCs/>
          <w:color w:val="auto"/>
          <w:sz w:val="22"/>
          <w:lang w:eastAsia="es-MX"/>
        </w:rPr>
        <w:t>)</w:t>
      </w:r>
      <w:r>
        <w:rPr>
          <w:bCs/>
          <w:color w:val="auto"/>
          <w:sz w:val="22"/>
          <w:lang w:eastAsia="es-MX"/>
        </w:rPr>
        <w:t>.</w:t>
      </w:r>
    </w:p>
    <w:p w14:paraId="1FEA6CF5" w14:textId="77777777" w:rsidR="00D50C33" w:rsidRDefault="00D50C33" w:rsidP="00762936">
      <w:pPr>
        <w:pStyle w:val="Default"/>
        <w:ind w:right="-518"/>
        <w:jc w:val="both"/>
        <w:rPr>
          <w:b/>
          <w:color w:val="auto"/>
          <w:sz w:val="22"/>
          <w:lang w:eastAsia="es-MX"/>
        </w:rPr>
      </w:pPr>
    </w:p>
    <w:p w14:paraId="7F62C127" w14:textId="1233F4BE" w:rsidR="00D50C33" w:rsidRDefault="00D50C33" w:rsidP="00EE1B2C">
      <w:pPr>
        <w:pStyle w:val="Default"/>
        <w:ind w:left="-567" w:right="-518"/>
        <w:jc w:val="both"/>
        <w:rPr>
          <w:bCs/>
          <w:color w:val="auto"/>
          <w:sz w:val="22"/>
          <w:lang w:eastAsia="es-MX"/>
        </w:rPr>
      </w:pPr>
      <w:r>
        <w:rPr>
          <w:bCs/>
          <w:color w:val="auto"/>
          <w:sz w:val="22"/>
          <w:lang w:eastAsia="es-MX"/>
        </w:rPr>
        <w:t xml:space="preserve">Con relación al </w:t>
      </w:r>
      <w:r w:rsidRPr="000E61D3">
        <w:rPr>
          <w:bCs/>
          <w:color w:val="auto"/>
          <w:sz w:val="22"/>
          <w:lang w:eastAsia="es-MX"/>
        </w:rPr>
        <w:t>personal ocupado total de las industrias manufactureras</w:t>
      </w:r>
      <w:r>
        <w:rPr>
          <w:bCs/>
          <w:color w:val="auto"/>
          <w:sz w:val="22"/>
          <w:lang w:eastAsia="es-MX"/>
        </w:rPr>
        <w:t xml:space="preserve"> </w:t>
      </w:r>
      <w:r w:rsidRPr="000E61D3">
        <w:rPr>
          <w:bCs/>
          <w:color w:val="auto"/>
          <w:sz w:val="22"/>
          <w:lang w:eastAsia="es-MX"/>
        </w:rPr>
        <w:t xml:space="preserve">por sexo y </w:t>
      </w:r>
      <w:r>
        <w:rPr>
          <w:bCs/>
          <w:color w:val="auto"/>
          <w:sz w:val="22"/>
          <w:lang w:eastAsia="es-MX"/>
        </w:rPr>
        <w:t>s</w:t>
      </w:r>
      <w:r w:rsidRPr="000E61D3">
        <w:rPr>
          <w:bCs/>
          <w:color w:val="auto"/>
          <w:sz w:val="22"/>
          <w:lang w:eastAsia="es-MX"/>
        </w:rPr>
        <w:t>ubsector</w:t>
      </w:r>
      <w:r>
        <w:rPr>
          <w:bCs/>
          <w:color w:val="auto"/>
          <w:sz w:val="22"/>
          <w:lang w:eastAsia="es-MX"/>
        </w:rPr>
        <w:t xml:space="preserve"> en 2020, seis </w:t>
      </w:r>
      <w:r w:rsidRPr="0014423B">
        <w:rPr>
          <w:bCs/>
          <w:color w:val="auto"/>
          <w:sz w:val="22"/>
          <w:lang w:eastAsia="es-MX"/>
        </w:rPr>
        <w:t>subsector</w:t>
      </w:r>
      <w:r>
        <w:rPr>
          <w:bCs/>
          <w:color w:val="auto"/>
          <w:sz w:val="22"/>
          <w:lang w:eastAsia="es-MX"/>
        </w:rPr>
        <w:t>es</w:t>
      </w:r>
      <w:r w:rsidRPr="0014423B">
        <w:rPr>
          <w:bCs/>
          <w:color w:val="auto"/>
          <w:sz w:val="22"/>
          <w:lang w:eastAsia="es-MX"/>
        </w:rPr>
        <w:t xml:space="preserve"> </w:t>
      </w:r>
      <w:r w:rsidR="00762936">
        <w:rPr>
          <w:bCs/>
          <w:color w:val="auto"/>
          <w:sz w:val="22"/>
          <w:lang w:eastAsia="es-MX"/>
        </w:rPr>
        <w:t>registraron</w:t>
      </w:r>
      <w:r>
        <w:rPr>
          <w:bCs/>
          <w:color w:val="auto"/>
          <w:sz w:val="22"/>
          <w:lang w:eastAsia="es-MX"/>
        </w:rPr>
        <w:t xml:space="preserve"> más de 40% de mujeres laborando en sus industrias</w:t>
      </w:r>
      <w:r w:rsidR="00762936">
        <w:rPr>
          <w:bCs/>
          <w:color w:val="auto"/>
          <w:sz w:val="22"/>
          <w:lang w:eastAsia="es-MX"/>
        </w:rPr>
        <w:t>;</w:t>
      </w:r>
      <w:r>
        <w:rPr>
          <w:bCs/>
          <w:color w:val="auto"/>
          <w:sz w:val="22"/>
          <w:lang w:eastAsia="es-MX"/>
        </w:rPr>
        <w:t xml:space="preserve"> el de mayor participación </w:t>
      </w:r>
      <w:r w:rsidR="00762936">
        <w:rPr>
          <w:bCs/>
          <w:color w:val="auto"/>
          <w:sz w:val="22"/>
          <w:lang w:eastAsia="es-MX"/>
        </w:rPr>
        <w:t>fue e</w:t>
      </w:r>
      <w:r>
        <w:rPr>
          <w:bCs/>
          <w:color w:val="auto"/>
          <w:sz w:val="22"/>
          <w:lang w:eastAsia="es-MX"/>
        </w:rPr>
        <w:t xml:space="preserve">l </w:t>
      </w:r>
      <w:r w:rsidRPr="0014423B">
        <w:rPr>
          <w:bCs/>
          <w:color w:val="auto"/>
          <w:sz w:val="22"/>
          <w:lang w:eastAsia="es-MX"/>
        </w:rPr>
        <w:t xml:space="preserve">de </w:t>
      </w:r>
      <w:r>
        <w:rPr>
          <w:bCs/>
          <w:color w:val="auto"/>
          <w:sz w:val="22"/>
          <w:lang w:eastAsia="es-MX"/>
        </w:rPr>
        <w:t>fabricación de prendas de vestir con 56.4% del total de personal</w:t>
      </w:r>
      <w:r w:rsidR="00762936">
        <w:rPr>
          <w:bCs/>
          <w:color w:val="auto"/>
          <w:sz w:val="22"/>
          <w:lang w:eastAsia="es-MX"/>
        </w:rPr>
        <w:t xml:space="preserve">. Le siguieron el de </w:t>
      </w:r>
      <w:r>
        <w:rPr>
          <w:bCs/>
          <w:color w:val="auto"/>
          <w:sz w:val="22"/>
          <w:lang w:eastAsia="es-MX"/>
        </w:rPr>
        <w:t xml:space="preserve">otras industrias manufactureras </w:t>
      </w:r>
      <w:r w:rsidR="00762936">
        <w:rPr>
          <w:bCs/>
          <w:color w:val="auto"/>
          <w:sz w:val="22"/>
          <w:lang w:eastAsia="es-MX"/>
        </w:rPr>
        <w:t xml:space="preserve">con </w:t>
      </w:r>
      <w:r>
        <w:rPr>
          <w:bCs/>
          <w:color w:val="auto"/>
          <w:sz w:val="22"/>
          <w:lang w:eastAsia="es-MX"/>
        </w:rPr>
        <w:t>54.9%</w:t>
      </w:r>
      <w:r w:rsidR="00762936">
        <w:rPr>
          <w:bCs/>
          <w:color w:val="auto"/>
          <w:sz w:val="22"/>
          <w:lang w:eastAsia="es-MX"/>
        </w:rPr>
        <w:t xml:space="preserve"> y el de</w:t>
      </w:r>
      <w:r>
        <w:rPr>
          <w:bCs/>
          <w:color w:val="auto"/>
          <w:sz w:val="22"/>
          <w:lang w:eastAsia="es-MX"/>
        </w:rPr>
        <w:t xml:space="preserve"> fabricación de equipo de computación 51.6</w:t>
      </w:r>
      <w:r w:rsidR="00762936">
        <w:rPr>
          <w:bCs/>
          <w:color w:val="auto"/>
          <w:sz w:val="22"/>
          <w:lang w:eastAsia="es-MX"/>
        </w:rPr>
        <w:t xml:space="preserve"> por ciento.</w:t>
      </w:r>
      <w:r>
        <w:rPr>
          <w:bCs/>
          <w:color w:val="auto"/>
          <w:sz w:val="22"/>
          <w:lang w:eastAsia="es-MX"/>
        </w:rPr>
        <w:t xml:space="preserve"> </w:t>
      </w:r>
    </w:p>
    <w:p w14:paraId="17673F6D" w14:textId="77777777" w:rsidR="000067F8" w:rsidRDefault="000067F8" w:rsidP="00EE1B2C">
      <w:pPr>
        <w:pStyle w:val="Default"/>
        <w:ind w:left="-567" w:right="-518"/>
        <w:jc w:val="both"/>
        <w:rPr>
          <w:bCs/>
          <w:color w:val="auto"/>
          <w:sz w:val="22"/>
          <w:lang w:eastAsia="es-MX"/>
        </w:rPr>
      </w:pPr>
    </w:p>
    <w:p w14:paraId="0A98F752" w14:textId="6E40D418" w:rsidR="00D50C33" w:rsidRPr="00443454" w:rsidRDefault="00D50C33" w:rsidP="00EE1B2C">
      <w:pPr>
        <w:spacing w:after="0" w:line="240" w:lineRule="auto"/>
        <w:ind w:left="-567" w:right="-518"/>
        <w:jc w:val="both"/>
        <w:rPr>
          <w:rFonts w:ascii="Arial" w:hAnsi="Arial" w:cs="Arial"/>
          <w:bCs/>
          <w:lang w:eastAsia="es-MX"/>
        </w:rPr>
      </w:pPr>
      <w:r w:rsidRPr="00443454">
        <w:rPr>
          <w:rFonts w:ascii="Arial" w:hAnsi="Arial" w:cs="Arial"/>
          <w:bCs/>
          <w:lang w:eastAsia="es-MX"/>
        </w:rPr>
        <w:lastRenderedPageBreak/>
        <w:t xml:space="preserve">En </w:t>
      </w:r>
      <w:r w:rsidR="00762936">
        <w:rPr>
          <w:rFonts w:ascii="Arial" w:hAnsi="Arial" w:cs="Arial"/>
          <w:bCs/>
          <w:lang w:eastAsia="es-MX"/>
        </w:rPr>
        <w:t>2020 se</w:t>
      </w:r>
      <w:r>
        <w:rPr>
          <w:rFonts w:ascii="Arial" w:hAnsi="Arial" w:cs="Arial"/>
          <w:bCs/>
          <w:lang w:eastAsia="es-MX"/>
        </w:rPr>
        <w:t xml:space="preserve"> registr</w:t>
      </w:r>
      <w:r w:rsidR="00762936">
        <w:rPr>
          <w:rFonts w:ascii="Arial" w:hAnsi="Arial" w:cs="Arial"/>
          <w:bCs/>
          <w:lang w:eastAsia="es-MX"/>
        </w:rPr>
        <w:t>ó</w:t>
      </w:r>
      <w:r>
        <w:rPr>
          <w:rFonts w:ascii="Arial" w:hAnsi="Arial" w:cs="Arial"/>
          <w:bCs/>
          <w:lang w:eastAsia="es-MX"/>
        </w:rPr>
        <w:t xml:space="preserve"> un crecimiento en las horas laboradas por el personal dependiente de la razón social de 0.4 puntos porcentuales</w:t>
      </w:r>
      <w:r w:rsidR="000131E7">
        <w:rPr>
          <w:rFonts w:ascii="Arial" w:hAnsi="Arial" w:cs="Arial"/>
          <w:bCs/>
          <w:lang w:eastAsia="es-MX"/>
        </w:rPr>
        <w:t xml:space="preserve">. Las </w:t>
      </w:r>
      <w:r>
        <w:rPr>
          <w:rFonts w:ascii="Arial" w:hAnsi="Arial" w:cs="Arial"/>
          <w:bCs/>
          <w:lang w:eastAsia="es-MX"/>
        </w:rPr>
        <w:t>horas trabajadas por el personal subcontratado</w:t>
      </w:r>
      <w:r w:rsidR="000131E7">
        <w:rPr>
          <w:rFonts w:ascii="Arial" w:hAnsi="Arial" w:cs="Arial"/>
          <w:bCs/>
          <w:lang w:eastAsia="es-MX"/>
        </w:rPr>
        <w:t xml:space="preserve"> descendieron 0.4 </w:t>
      </w:r>
      <w:r w:rsidR="000067F8">
        <w:rPr>
          <w:rFonts w:ascii="Arial" w:hAnsi="Arial" w:cs="Arial"/>
          <w:bCs/>
          <w:lang w:eastAsia="es-MX"/>
        </w:rPr>
        <w:t>puntos porcentuales</w:t>
      </w:r>
      <w:r>
        <w:rPr>
          <w:rFonts w:ascii="Arial" w:hAnsi="Arial" w:cs="Arial"/>
          <w:bCs/>
          <w:lang w:eastAsia="es-MX"/>
        </w:rPr>
        <w:t>.</w:t>
      </w:r>
    </w:p>
    <w:p w14:paraId="2954CBE6" w14:textId="77777777" w:rsidR="00D50C33" w:rsidRDefault="00D50C33" w:rsidP="00EE1B2C">
      <w:pPr>
        <w:tabs>
          <w:tab w:val="left" w:pos="1095"/>
          <w:tab w:val="center" w:pos="4419"/>
        </w:tabs>
        <w:spacing w:after="0" w:line="240" w:lineRule="auto"/>
        <w:ind w:left="-567" w:right="-518"/>
        <w:rPr>
          <w:rFonts w:ascii="Arial" w:hAnsi="Arial" w:cs="Arial"/>
          <w:b/>
          <w:sz w:val="24"/>
          <w:szCs w:val="24"/>
        </w:rPr>
      </w:pPr>
    </w:p>
    <w:p w14:paraId="351EF87E" w14:textId="77777777" w:rsidR="000131E7" w:rsidRDefault="00D50C33" w:rsidP="00EE1B2C">
      <w:pPr>
        <w:pStyle w:val="Default"/>
        <w:ind w:left="-567" w:right="-518"/>
        <w:jc w:val="both"/>
        <w:rPr>
          <w:bCs/>
          <w:color w:val="auto"/>
          <w:sz w:val="22"/>
          <w:lang w:eastAsia="es-MX"/>
        </w:rPr>
      </w:pPr>
      <w:r>
        <w:rPr>
          <w:bCs/>
          <w:color w:val="auto"/>
          <w:sz w:val="22"/>
          <w:lang w:eastAsia="es-MX"/>
        </w:rPr>
        <w:t>Las remuneraciones medias de las industrias manufactureras presenta</w:t>
      </w:r>
      <w:r w:rsidR="000131E7">
        <w:rPr>
          <w:bCs/>
          <w:color w:val="auto"/>
          <w:sz w:val="22"/>
          <w:lang w:eastAsia="es-MX"/>
        </w:rPr>
        <w:t>ro</w:t>
      </w:r>
      <w:r>
        <w:rPr>
          <w:bCs/>
          <w:color w:val="auto"/>
          <w:sz w:val="22"/>
          <w:lang w:eastAsia="es-MX"/>
        </w:rPr>
        <w:t xml:space="preserve">n un incremento en 2020 de 4.1% respecto al año inmediato anterior. En 20 de los 21 subsectores se presenta aumento, destacando la fabricación de aparatos eléctricos 8%, fabricación de productos metálicos 7.2% </w:t>
      </w:r>
      <w:r w:rsidR="000131E7">
        <w:rPr>
          <w:bCs/>
          <w:color w:val="auto"/>
          <w:sz w:val="22"/>
          <w:lang w:eastAsia="es-MX"/>
        </w:rPr>
        <w:t xml:space="preserve">y </w:t>
      </w:r>
      <w:r>
        <w:rPr>
          <w:bCs/>
          <w:color w:val="auto"/>
          <w:sz w:val="22"/>
          <w:lang w:eastAsia="es-MX"/>
        </w:rPr>
        <w:t xml:space="preserve">otras industrias manufactureras </w:t>
      </w:r>
      <w:r w:rsidR="000131E7">
        <w:rPr>
          <w:bCs/>
          <w:color w:val="auto"/>
          <w:sz w:val="22"/>
          <w:lang w:eastAsia="es-MX"/>
        </w:rPr>
        <w:t xml:space="preserve">con </w:t>
      </w:r>
      <w:r>
        <w:rPr>
          <w:bCs/>
          <w:color w:val="auto"/>
          <w:sz w:val="22"/>
          <w:lang w:eastAsia="es-MX"/>
        </w:rPr>
        <w:t>6</w:t>
      </w:r>
      <w:r w:rsidR="000131E7">
        <w:rPr>
          <w:bCs/>
          <w:color w:val="auto"/>
          <w:sz w:val="22"/>
          <w:lang w:eastAsia="es-MX"/>
        </w:rPr>
        <w:t xml:space="preserve"> por ciento.</w:t>
      </w:r>
    </w:p>
    <w:p w14:paraId="002FCD9F" w14:textId="77777777" w:rsidR="00D50C33" w:rsidRPr="0003202F" w:rsidRDefault="00D50C33" w:rsidP="000131E7">
      <w:pPr>
        <w:pStyle w:val="Default"/>
        <w:ind w:right="-518"/>
        <w:jc w:val="both"/>
        <w:rPr>
          <w:bCs/>
          <w:color w:val="auto"/>
          <w:sz w:val="22"/>
          <w:lang w:eastAsia="es-MX"/>
        </w:rPr>
      </w:pPr>
    </w:p>
    <w:p w14:paraId="44F00A0E" w14:textId="77777777" w:rsidR="000131E7" w:rsidRDefault="000131E7" w:rsidP="00EE1B2C">
      <w:pPr>
        <w:pStyle w:val="Default"/>
        <w:ind w:left="-567" w:right="-518"/>
        <w:jc w:val="both"/>
        <w:rPr>
          <w:color w:val="auto"/>
          <w:sz w:val="22"/>
          <w:szCs w:val="22"/>
          <w:lang w:eastAsia="es-MX"/>
        </w:rPr>
      </w:pPr>
      <w:r>
        <w:rPr>
          <w:color w:val="auto"/>
          <w:sz w:val="22"/>
          <w:szCs w:val="22"/>
          <w:lang w:eastAsia="es-MX"/>
        </w:rPr>
        <w:t>E</w:t>
      </w:r>
      <w:r w:rsidR="00D50C33" w:rsidRPr="00BE18E2">
        <w:rPr>
          <w:color w:val="auto"/>
          <w:sz w:val="22"/>
          <w:szCs w:val="22"/>
          <w:lang w:eastAsia="es-MX"/>
        </w:rPr>
        <w:t>n el valor de la producción los cinco principales subsectores concentr</w:t>
      </w:r>
      <w:r>
        <w:rPr>
          <w:color w:val="auto"/>
          <w:sz w:val="22"/>
          <w:szCs w:val="22"/>
          <w:lang w:eastAsia="es-MX"/>
        </w:rPr>
        <w:t xml:space="preserve">aron </w:t>
      </w:r>
      <w:r w:rsidR="00D50C33" w:rsidRPr="00BE18E2">
        <w:rPr>
          <w:color w:val="auto"/>
          <w:sz w:val="22"/>
          <w:szCs w:val="22"/>
          <w:lang w:eastAsia="es-MX"/>
        </w:rPr>
        <w:t xml:space="preserve">72.3% de </w:t>
      </w:r>
      <w:r w:rsidR="00D50C33">
        <w:rPr>
          <w:color w:val="auto"/>
          <w:sz w:val="22"/>
          <w:szCs w:val="22"/>
          <w:lang w:eastAsia="es-MX"/>
        </w:rPr>
        <w:t xml:space="preserve">la producción total de </w:t>
      </w:r>
      <w:r w:rsidR="00D50C33" w:rsidRPr="00BE18E2">
        <w:rPr>
          <w:color w:val="auto"/>
          <w:sz w:val="22"/>
          <w:szCs w:val="22"/>
          <w:lang w:eastAsia="es-MX"/>
        </w:rPr>
        <w:t xml:space="preserve">las </w:t>
      </w:r>
      <w:r w:rsidR="00D50C33">
        <w:rPr>
          <w:color w:val="auto"/>
          <w:sz w:val="22"/>
          <w:szCs w:val="22"/>
          <w:lang w:eastAsia="es-MX"/>
        </w:rPr>
        <w:t>i</w:t>
      </w:r>
      <w:r w:rsidR="00D50C33" w:rsidRPr="00BE18E2">
        <w:rPr>
          <w:color w:val="auto"/>
          <w:sz w:val="22"/>
          <w:szCs w:val="22"/>
          <w:lang w:eastAsia="es-MX"/>
        </w:rPr>
        <w:t xml:space="preserve">ndustrias manufactureras </w:t>
      </w:r>
      <w:r>
        <w:rPr>
          <w:color w:val="auto"/>
          <w:sz w:val="22"/>
          <w:szCs w:val="22"/>
          <w:lang w:eastAsia="es-MX"/>
        </w:rPr>
        <w:t>durante</w:t>
      </w:r>
      <w:r w:rsidR="00D50C33" w:rsidRPr="00BE18E2">
        <w:rPr>
          <w:color w:val="auto"/>
          <w:sz w:val="22"/>
          <w:szCs w:val="22"/>
          <w:lang w:eastAsia="es-MX"/>
        </w:rPr>
        <w:t xml:space="preserve"> 2020. </w:t>
      </w:r>
    </w:p>
    <w:p w14:paraId="47BE84E4" w14:textId="77777777" w:rsidR="000131E7" w:rsidRDefault="000131E7" w:rsidP="00EE1B2C">
      <w:pPr>
        <w:pStyle w:val="Default"/>
        <w:ind w:left="-567" w:right="-518"/>
        <w:jc w:val="both"/>
        <w:rPr>
          <w:sz w:val="22"/>
          <w:szCs w:val="22"/>
          <w:lang w:eastAsia="es-MX"/>
        </w:rPr>
      </w:pPr>
    </w:p>
    <w:p w14:paraId="72FD03D4" w14:textId="77777777" w:rsidR="00D50C33" w:rsidRDefault="00D50C33" w:rsidP="00EE1B2C">
      <w:pPr>
        <w:pStyle w:val="Default"/>
        <w:ind w:left="-567" w:right="-518"/>
        <w:jc w:val="both"/>
        <w:rPr>
          <w:sz w:val="22"/>
          <w:szCs w:val="22"/>
          <w:lang w:eastAsia="es-MX"/>
        </w:rPr>
      </w:pPr>
      <w:r w:rsidRPr="00057F18">
        <w:rPr>
          <w:sz w:val="22"/>
          <w:szCs w:val="22"/>
          <w:lang w:eastAsia="es-MX"/>
        </w:rPr>
        <w:t>En 2020, las materias primas y auxiliares representa</w:t>
      </w:r>
      <w:r w:rsidR="000131E7">
        <w:rPr>
          <w:sz w:val="22"/>
          <w:szCs w:val="22"/>
          <w:lang w:eastAsia="es-MX"/>
        </w:rPr>
        <w:t>ro</w:t>
      </w:r>
      <w:r w:rsidRPr="00057F18">
        <w:rPr>
          <w:sz w:val="22"/>
          <w:szCs w:val="22"/>
          <w:lang w:eastAsia="es-MX"/>
        </w:rPr>
        <w:t>n el principal rubro del consumo de bienes y servicios al contribuir con 75.4% del total del sector, seguido del resto de consumos (fletes, energía eléctrica y otros consumos) con 16.4%</w:t>
      </w:r>
      <w:r w:rsidR="000131E7">
        <w:rPr>
          <w:sz w:val="22"/>
          <w:szCs w:val="22"/>
          <w:lang w:eastAsia="es-MX"/>
        </w:rPr>
        <w:t xml:space="preserve"> y el </w:t>
      </w:r>
      <w:r w:rsidRPr="00057F18">
        <w:rPr>
          <w:sz w:val="22"/>
          <w:szCs w:val="22"/>
          <w:lang w:eastAsia="es-MX"/>
        </w:rPr>
        <w:t xml:space="preserve">consumo de envases y empaques </w:t>
      </w:r>
      <w:r w:rsidR="000131E7">
        <w:rPr>
          <w:sz w:val="22"/>
          <w:szCs w:val="22"/>
          <w:lang w:eastAsia="es-MX"/>
        </w:rPr>
        <w:t xml:space="preserve">con </w:t>
      </w:r>
      <w:r w:rsidRPr="00057F18">
        <w:rPr>
          <w:sz w:val="22"/>
          <w:szCs w:val="22"/>
          <w:lang w:eastAsia="es-MX"/>
        </w:rPr>
        <w:t>4.2</w:t>
      </w:r>
      <w:r w:rsidR="000131E7">
        <w:rPr>
          <w:sz w:val="22"/>
          <w:szCs w:val="22"/>
          <w:lang w:eastAsia="es-MX"/>
        </w:rPr>
        <w:t xml:space="preserve"> por ciento.</w:t>
      </w:r>
    </w:p>
    <w:p w14:paraId="6F88D685" w14:textId="77777777" w:rsidR="00D50C33" w:rsidRDefault="00D50C33" w:rsidP="00EE1B2C">
      <w:pPr>
        <w:pStyle w:val="Default"/>
        <w:ind w:left="-567" w:right="-518"/>
        <w:jc w:val="both"/>
        <w:rPr>
          <w:color w:val="auto"/>
          <w:sz w:val="22"/>
          <w:lang w:eastAsia="es-MX"/>
        </w:rPr>
      </w:pPr>
    </w:p>
    <w:p w14:paraId="6F9AABEB" w14:textId="77777777" w:rsidR="00D50C33" w:rsidRPr="004230E5" w:rsidRDefault="000131E7" w:rsidP="00EE1B2C">
      <w:pPr>
        <w:pStyle w:val="Default"/>
        <w:ind w:left="-567" w:right="-518"/>
        <w:jc w:val="both"/>
        <w:rPr>
          <w:sz w:val="22"/>
          <w:szCs w:val="22"/>
          <w:lang w:eastAsia="es-MX"/>
        </w:rPr>
      </w:pPr>
      <w:r>
        <w:rPr>
          <w:sz w:val="22"/>
          <w:szCs w:val="22"/>
          <w:lang w:eastAsia="es-MX"/>
        </w:rPr>
        <w:t>L</w:t>
      </w:r>
      <w:r w:rsidR="00D50C33">
        <w:rPr>
          <w:sz w:val="22"/>
          <w:szCs w:val="22"/>
          <w:lang w:eastAsia="es-MX"/>
        </w:rPr>
        <w:t xml:space="preserve">as </w:t>
      </w:r>
      <w:r w:rsidR="00D50C33" w:rsidRPr="004230E5">
        <w:rPr>
          <w:sz w:val="22"/>
          <w:szCs w:val="22"/>
          <w:lang w:eastAsia="es-MX"/>
        </w:rPr>
        <w:t xml:space="preserve">ventas netas de productos elaborados </w:t>
      </w:r>
      <w:r w:rsidR="00D50C33">
        <w:rPr>
          <w:sz w:val="22"/>
          <w:szCs w:val="22"/>
          <w:lang w:eastAsia="es-MX"/>
        </w:rPr>
        <w:t>de las i</w:t>
      </w:r>
      <w:r w:rsidR="00D50C33" w:rsidRPr="004230E5">
        <w:rPr>
          <w:sz w:val="22"/>
          <w:szCs w:val="22"/>
          <w:lang w:eastAsia="es-MX"/>
        </w:rPr>
        <w:t>ndustrias manufactureras representa</w:t>
      </w:r>
      <w:r>
        <w:rPr>
          <w:sz w:val="22"/>
          <w:szCs w:val="22"/>
          <w:lang w:eastAsia="es-MX"/>
        </w:rPr>
        <w:t>ro</w:t>
      </w:r>
      <w:r w:rsidR="00D50C33" w:rsidRPr="004230E5">
        <w:rPr>
          <w:sz w:val="22"/>
          <w:szCs w:val="22"/>
          <w:lang w:eastAsia="es-MX"/>
        </w:rPr>
        <w:t xml:space="preserve">n el principal ingreso por suministro de bienes y servicios, </w:t>
      </w:r>
      <w:r w:rsidR="00D50C33">
        <w:rPr>
          <w:sz w:val="22"/>
          <w:szCs w:val="22"/>
          <w:lang w:eastAsia="es-MX"/>
        </w:rPr>
        <w:t>contribuyendo</w:t>
      </w:r>
      <w:r w:rsidR="00D50C33" w:rsidRPr="004230E5">
        <w:rPr>
          <w:sz w:val="22"/>
          <w:szCs w:val="22"/>
          <w:lang w:eastAsia="es-MX"/>
        </w:rPr>
        <w:t xml:space="preserve"> con 9</w:t>
      </w:r>
      <w:r w:rsidR="00D50C33">
        <w:rPr>
          <w:sz w:val="22"/>
          <w:szCs w:val="22"/>
          <w:lang w:eastAsia="es-MX"/>
        </w:rPr>
        <w:t>0.1</w:t>
      </w:r>
      <w:r w:rsidR="00D50C33" w:rsidRPr="004230E5">
        <w:rPr>
          <w:sz w:val="22"/>
          <w:szCs w:val="22"/>
          <w:lang w:eastAsia="es-MX"/>
        </w:rPr>
        <w:t>% del total</w:t>
      </w:r>
      <w:r>
        <w:rPr>
          <w:sz w:val="22"/>
          <w:szCs w:val="22"/>
          <w:lang w:eastAsia="es-MX"/>
        </w:rPr>
        <w:t>;</w:t>
      </w:r>
      <w:r w:rsidR="00D50C33" w:rsidRPr="004230E5">
        <w:rPr>
          <w:sz w:val="22"/>
          <w:szCs w:val="22"/>
          <w:lang w:eastAsia="es-MX"/>
        </w:rPr>
        <w:t xml:space="preserve"> en segundo lugar</w:t>
      </w:r>
      <w:r w:rsidR="00D50C33">
        <w:rPr>
          <w:sz w:val="22"/>
          <w:szCs w:val="22"/>
          <w:lang w:eastAsia="es-MX"/>
        </w:rPr>
        <w:t>,</w:t>
      </w:r>
      <w:r w:rsidR="00D50C33" w:rsidRPr="004230E5">
        <w:rPr>
          <w:sz w:val="22"/>
          <w:szCs w:val="22"/>
          <w:lang w:eastAsia="es-MX"/>
        </w:rPr>
        <w:t xml:space="preserve"> </w:t>
      </w:r>
      <w:r>
        <w:rPr>
          <w:sz w:val="22"/>
          <w:szCs w:val="22"/>
          <w:lang w:eastAsia="es-MX"/>
        </w:rPr>
        <w:t>destacó</w:t>
      </w:r>
      <w:r w:rsidR="00D50C33" w:rsidRPr="004230E5">
        <w:rPr>
          <w:sz w:val="22"/>
          <w:szCs w:val="22"/>
          <w:lang w:eastAsia="es-MX"/>
        </w:rPr>
        <w:t xml:space="preserve"> el ingreso por maquila con 8.4 por ciento.</w:t>
      </w:r>
    </w:p>
    <w:p w14:paraId="1BC23D1A" w14:textId="77777777" w:rsidR="00D50C33" w:rsidRPr="004230E5" w:rsidRDefault="00D50C33" w:rsidP="00EE1B2C">
      <w:pPr>
        <w:pStyle w:val="Default"/>
        <w:ind w:left="-567" w:right="-518"/>
        <w:jc w:val="both"/>
        <w:rPr>
          <w:sz w:val="22"/>
          <w:szCs w:val="22"/>
          <w:lang w:eastAsia="es-MX"/>
        </w:rPr>
      </w:pPr>
    </w:p>
    <w:p w14:paraId="05AEC320" w14:textId="77777777" w:rsidR="00D50C33" w:rsidRDefault="000131E7" w:rsidP="00EE1B2C">
      <w:pPr>
        <w:pStyle w:val="Default"/>
        <w:ind w:left="-567" w:right="-518"/>
        <w:jc w:val="both"/>
        <w:rPr>
          <w:color w:val="auto"/>
          <w:sz w:val="22"/>
          <w:szCs w:val="22"/>
          <w:lang w:eastAsia="es-MX"/>
        </w:rPr>
      </w:pPr>
      <w:r>
        <w:rPr>
          <w:color w:val="auto"/>
          <w:sz w:val="22"/>
          <w:szCs w:val="22"/>
          <w:lang w:eastAsia="es-MX"/>
        </w:rPr>
        <w:t>L</w:t>
      </w:r>
      <w:r w:rsidR="00D50C33" w:rsidRPr="004230E5">
        <w:rPr>
          <w:color w:val="auto"/>
          <w:sz w:val="22"/>
          <w:szCs w:val="22"/>
          <w:lang w:eastAsia="es-MX"/>
        </w:rPr>
        <w:t xml:space="preserve">a maquinaria y equipo de producción </w:t>
      </w:r>
      <w:r>
        <w:rPr>
          <w:color w:val="auto"/>
          <w:sz w:val="22"/>
          <w:szCs w:val="22"/>
          <w:lang w:eastAsia="es-MX"/>
        </w:rPr>
        <w:t>constituyó e</w:t>
      </w:r>
      <w:r w:rsidR="00D50C33" w:rsidRPr="004230E5">
        <w:rPr>
          <w:color w:val="auto"/>
          <w:sz w:val="22"/>
          <w:szCs w:val="22"/>
          <w:lang w:eastAsia="es-MX"/>
        </w:rPr>
        <w:t xml:space="preserve">l activo más importante de las </w:t>
      </w:r>
      <w:r w:rsidR="00D50C33">
        <w:rPr>
          <w:color w:val="auto"/>
          <w:sz w:val="22"/>
          <w:szCs w:val="22"/>
          <w:lang w:eastAsia="es-MX"/>
        </w:rPr>
        <w:t>i</w:t>
      </w:r>
      <w:r w:rsidR="00D50C33" w:rsidRPr="004230E5">
        <w:rPr>
          <w:color w:val="auto"/>
          <w:sz w:val="22"/>
          <w:szCs w:val="22"/>
          <w:lang w:eastAsia="es-MX"/>
        </w:rPr>
        <w:t>ndustrias manufactureras, seguido por los bienes inmuebles. Ambos conceptos concentra</w:t>
      </w:r>
      <w:r>
        <w:rPr>
          <w:color w:val="auto"/>
          <w:sz w:val="22"/>
          <w:szCs w:val="22"/>
          <w:lang w:eastAsia="es-MX"/>
        </w:rPr>
        <w:t>ro</w:t>
      </w:r>
      <w:r w:rsidR="00D50C33" w:rsidRPr="004230E5">
        <w:rPr>
          <w:color w:val="auto"/>
          <w:sz w:val="22"/>
          <w:szCs w:val="22"/>
          <w:lang w:eastAsia="es-MX"/>
        </w:rPr>
        <w:t>n más de 90% del total de activos fijos.</w:t>
      </w:r>
    </w:p>
    <w:p w14:paraId="1C804A57" w14:textId="77777777" w:rsidR="00D535E8" w:rsidRDefault="00D535E8" w:rsidP="00762936">
      <w:pPr>
        <w:pStyle w:val="Default"/>
        <w:ind w:right="-518"/>
        <w:jc w:val="both"/>
        <w:rPr>
          <w:color w:val="auto"/>
          <w:sz w:val="22"/>
          <w:szCs w:val="22"/>
          <w:lang w:eastAsia="es-MX"/>
        </w:rPr>
      </w:pPr>
    </w:p>
    <w:p w14:paraId="00B0A96D" w14:textId="77777777" w:rsidR="00F15292" w:rsidRPr="004230E5" w:rsidRDefault="00F15292" w:rsidP="00EE1B2C">
      <w:pPr>
        <w:pStyle w:val="Default"/>
        <w:ind w:left="-567" w:right="-518"/>
        <w:jc w:val="both"/>
        <w:rPr>
          <w:color w:val="auto"/>
          <w:sz w:val="22"/>
          <w:szCs w:val="22"/>
          <w:lang w:eastAsia="es-MX"/>
        </w:rPr>
      </w:pPr>
      <w:r w:rsidRPr="004230E5">
        <w:rPr>
          <w:color w:val="auto"/>
          <w:sz w:val="22"/>
          <w:szCs w:val="22"/>
          <w:lang w:eastAsia="es-MX"/>
        </w:rPr>
        <w:t>Los resultados completos de la EAIM de 2020 y años previos se encuentran disponibles en el portal del Instituto (</w:t>
      </w:r>
      <w:hyperlink r:id="rId8" w:history="1">
        <w:r w:rsidRPr="004230E5">
          <w:rPr>
            <w:rStyle w:val="Hipervnculo"/>
            <w:sz w:val="22"/>
            <w:szCs w:val="22"/>
            <w:lang w:eastAsia="es-MX"/>
          </w:rPr>
          <w:t>www.inegi.org.mx</w:t>
        </w:r>
      </w:hyperlink>
      <w:r w:rsidRPr="004230E5">
        <w:rPr>
          <w:color w:val="auto"/>
          <w:sz w:val="22"/>
          <w:szCs w:val="22"/>
          <w:lang w:eastAsia="es-MX"/>
        </w:rPr>
        <w:t>), en las siguientes secciones:</w:t>
      </w:r>
    </w:p>
    <w:p w14:paraId="14606875" w14:textId="77777777" w:rsidR="00F15292" w:rsidRPr="004230E5" w:rsidRDefault="00F15292" w:rsidP="00EE1B2C">
      <w:pPr>
        <w:pStyle w:val="Default"/>
        <w:ind w:left="-567" w:right="-518"/>
        <w:jc w:val="both"/>
        <w:rPr>
          <w:color w:val="auto"/>
          <w:sz w:val="22"/>
          <w:szCs w:val="22"/>
          <w:lang w:eastAsia="es-MX"/>
        </w:rPr>
      </w:pPr>
    </w:p>
    <w:p w14:paraId="51940A46" w14:textId="77777777" w:rsidR="00F15292" w:rsidRPr="00762936" w:rsidRDefault="00F15292" w:rsidP="00762936">
      <w:pPr>
        <w:pStyle w:val="Default"/>
        <w:ind w:left="-567" w:right="-518"/>
        <w:jc w:val="both"/>
        <w:rPr>
          <w:rStyle w:val="Hipervnculo"/>
          <w:color w:val="000000"/>
          <w:sz w:val="22"/>
          <w:szCs w:val="22"/>
          <w:u w:val="none"/>
        </w:rPr>
      </w:pPr>
      <w:r w:rsidRPr="004230E5">
        <w:rPr>
          <w:rStyle w:val="A1"/>
          <w:sz w:val="22"/>
          <w:szCs w:val="22"/>
        </w:rPr>
        <w:t xml:space="preserve">Programas:  </w:t>
      </w:r>
      <w:hyperlink r:id="rId9" w:history="1">
        <w:r w:rsidR="00762936" w:rsidRPr="004104E7">
          <w:rPr>
            <w:rStyle w:val="Hipervnculo"/>
            <w:sz w:val="22"/>
            <w:szCs w:val="22"/>
          </w:rPr>
          <w:t>https://www.inegi.org.mx/programas/eaim/2013/</w:t>
        </w:r>
      </w:hyperlink>
    </w:p>
    <w:p w14:paraId="375B067F" w14:textId="77777777" w:rsidR="00F15292" w:rsidRPr="004230E5" w:rsidRDefault="00F15292" w:rsidP="00762936">
      <w:pPr>
        <w:pStyle w:val="Default"/>
        <w:ind w:left="-567" w:right="-518"/>
        <w:jc w:val="both"/>
        <w:rPr>
          <w:sz w:val="22"/>
          <w:szCs w:val="22"/>
        </w:rPr>
      </w:pPr>
      <w:r w:rsidRPr="004230E5">
        <w:rPr>
          <w:rStyle w:val="A1"/>
          <w:sz w:val="22"/>
          <w:szCs w:val="22"/>
        </w:rPr>
        <w:t xml:space="preserve">Banco de Información Económica (BIE): </w:t>
      </w:r>
      <w:hyperlink r:id="rId10" w:history="1">
        <w:r w:rsidR="00762936" w:rsidRPr="004104E7">
          <w:rPr>
            <w:rStyle w:val="Hipervnculo"/>
            <w:sz w:val="22"/>
            <w:szCs w:val="22"/>
          </w:rPr>
          <w:t>https://www.inegi.org.mx/app/indicadores/bie.html</w:t>
        </w:r>
      </w:hyperlink>
    </w:p>
    <w:p w14:paraId="3A14F6E0" w14:textId="77777777" w:rsidR="00F15292" w:rsidRPr="00A341C6" w:rsidRDefault="00F15292" w:rsidP="00EE1B2C">
      <w:pPr>
        <w:pStyle w:val="Default"/>
        <w:ind w:left="-567" w:right="-518"/>
        <w:jc w:val="both"/>
        <w:rPr>
          <w:b/>
          <w:color w:val="auto"/>
          <w:sz w:val="22"/>
          <w:szCs w:val="22"/>
          <w:lang w:eastAsia="es-MX"/>
        </w:rPr>
      </w:pPr>
    </w:p>
    <w:p w14:paraId="514FC6D1" w14:textId="77777777" w:rsidR="00F15292" w:rsidRPr="004230E5" w:rsidRDefault="00F15292" w:rsidP="00EE1B2C">
      <w:pPr>
        <w:spacing w:after="0" w:line="240" w:lineRule="auto"/>
        <w:ind w:left="-567" w:right="-518"/>
        <w:jc w:val="both"/>
        <w:rPr>
          <w:rFonts w:ascii="Arial" w:eastAsia="Calibri" w:hAnsi="Arial" w:cs="Arial"/>
          <w:b/>
        </w:rPr>
      </w:pPr>
      <w:r w:rsidRPr="004230E5">
        <w:rPr>
          <w:rFonts w:ascii="Arial" w:eastAsia="Calibri" w:hAnsi="Arial" w:cs="Arial"/>
          <w:b/>
        </w:rPr>
        <w:t>Nota al usuario.</w:t>
      </w:r>
    </w:p>
    <w:p w14:paraId="7C8B18CA" w14:textId="77777777" w:rsidR="00F15292" w:rsidRPr="004230E5" w:rsidRDefault="00F15292" w:rsidP="00EE1B2C">
      <w:pPr>
        <w:spacing w:after="0" w:line="240" w:lineRule="auto"/>
        <w:ind w:left="-567" w:right="-518"/>
        <w:jc w:val="both"/>
        <w:rPr>
          <w:rFonts w:ascii="Arial" w:eastAsia="Calibri" w:hAnsi="Arial" w:cs="Arial"/>
        </w:rPr>
      </w:pPr>
    </w:p>
    <w:p w14:paraId="7F42E78D" w14:textId="77777777" w:rsidR="00F15292" w:rsidRPr="004230E5" w:rsidRDefault="00F15292" w:rsidP="00EE1B2C">
      <w:pPr>
        <w:spacing w:after="0" w:line="240" w:lineRule="auto"/>
        <w:ind w:left="-567" w:right="-518"/>
        <w:jc w:val="both"/>
        <w:rPr>
          <w:rFonts w:ascii="Arial" w:eastAsia="Calibri" w:hAnsi="Arial" w:cs="Arial"/>
        </w:rPr>
      </w:pPr>
      <w:r w:rsidRPr="004230E5">
        <w:rPr>
          <w:rFonts w:ascii="Arial" w:eastAsia="Calibri" w:hAnsi="Arial" w:cs="Arial"/>
        </w:rPr>
        <w:t xml:space="preserve">La Tasa de No Respuesta de la Encuesta Anual de la Industria Manufacturera (EAIM), correspondiente al año de estudio 2020, registró porcentajes apropiados conforme al diseño estadístico de la encuesta, lo que permitió la generación de estadísticas con niveles altos de precisión. </w:t>
      </w:r>
    </w:p>
    <w:p w14:paraId="44BA1B43" w14:textId="77777777" w:rsidR="00F15292" w:rsidRPr="004230E5" w:rsidRDefault="00F15292" w:rsidP="00EE1B2C">
      <w:pPr>
        <w:spacing w:after="0" w:line="240" w:lineRule="auto"/>
        <w:ind w:left="-567" w:right="-518"/>
        <w:jc w:val="both"/>
        <w:rPr>
          <w:rFonts w:ascii="Arial" w:eastAsia="Calibri" w:hAnsi="Arial" w:cs="Arial"/>
        </w:rPr>
      </w:pPr>
    </w:p>
    <w:p w14:paraId="32B4A9BD" w14:textId="77777777" w:rsidR="00F15292" w:rsidRPr="004230E5" w:rsidRDefault="00F15292" w:rsidP="00EE1B2C">
      <w:pPr>
        <w:spacing w:after="0" w:line="240" w:lineRule="auto"/>
        <w:ind w:left="-567" w:right="-518"/>
        <w:jc w:val="both"/>
        <w:rPr>
          <w:rFonts w:ascii="Arial" w:eastAsia="Calibri" w:hAnsi="Arial" w:cs="Arial"/>
        </w:rPr>
      </w:pPr>
      <w:r w:rsidRPr="004230E5">
        <w:rPr>
          <w:rFonts w:ascii="Arial" w:eastAsia="Calibri" w:hAnsi="Arial" w:cs="Arial"/>
        </w:rPr>
        <w:t>De las 223 clases de actividad que estudia la encuesta solo 14 presentaron problemas, las cuales representan 2.9% en relación con la variabl</w:t>
      </w:r>
      <w:r>
        <w:rPr>
          <w:rFonts w:ascii="Arial" w:eastAsia="Calibri" w:hAnsi="Arial" w:cs="Arial"/>
        </w:rPr>
        <w:t>e de ingresos del total de las industrias m</w:t>
      </w:r>
      <w:r w:rsidRPr="004230E5">
        <w:rPr>
          <w:rFonts w:ascii="Arial" w:eastAsia="Calibri" w:hAnsi="Arial" w:cs="Arial"/>
        </w:rPr>
        <w:t>anufactureras</w:t>
      </w:r>
      <w:r>
        <w:rPr>
          <w:rFonts w:ascii="Arial" w:eastAsia="Calibri" w:hAnsi="Arial" w:cs="Arial"/>
        </w:rPr>
        <w:t>, entre las que se encuentran: c</w:t>
      </w:r>
      <w:r w:rsidRPr="004230E5">
        <w:rPr>
          <w:rFonts w:ascii="Arial" w:eastAsia="Calibri" w:hAnsi="Arial" w:cs="Arial"/>
        </w:rPr>
        <w:t>orte y empacado de carne de ganado, aves</w:t>
      </w:r>
      <w:r>
        <w:rPr>
          <w:rFonts w:ascii="Arial" w:eastAsia="Calibri" w:hAnsi="Arial" w:cs="Arial"/>
        </w:rPr>
        <w:t xml:space="preserve"> y otros animales comestibles, elaboración de cigarros, complejos siderúrgicos, l</w:t>
      </w:r>
      <w:r w:rsidRPr="004230E5">
        <w:rPr>
          <w:rFonts w:ascii="Arial" w:eastAsia="Calibri" w:hAnsi="Arial" w:cs="Arial"/>
        </w:rPr>
        <w:t>am</w:t>
      </w:r>
      <w:r>
        <w:rPr>
          <w:rFonts w:ascii="Arial" w:eastAsia="Calibri" w:hAnsi="Arial" w:cs="Arial"/>
        </w:rPr>
        <w:t>inación secundaria de cobre y, f</w:t>
      </w:r>
      <w:r w:rsidRPr="004230E5">
        <w:rPr>
          <w:rFonts w:ascii="Arial" w:eastAsia="Calibri" w:hAnsi="Arial" w:cs="Arial"/>
        </w:rPr>
        <w:t>abricación de maquinaria y equipo para la construcción, para las que se recomienda el uso con reserva de las estimaciones.</w:t>
      </w:r>
    </w:p>
    <w:p w14:paraId="57E08DAD" w14:textId="77777777" w:rsidR="00F15292" w:rsidRPr="007353D8" w:rsidRDefault="00F15292" w:rsidP="00F15292">
      <w:pPr>
        <w:spacing w:after="0" w:line="240" w:lineRule="auto"/>
        <w:jc w:val="both"/>
        <w:rPr>
          <w:rFonts w:ascii="Arial" w:eastAsia="Calibri" w:hAnsi="Arial" w:cs="Arial"/>
        </w:rPr>
      </w:pPr>
    </w:p>
    <w:p w14:paraId="5CA813C4" w14:textId="77777777" w:rsidR="000131E7" w:rsidRPr="007353D8" w:rsidRDefault="000131E7" w:rsidP="000131E7">
      <w:pPr>
        <w:pStyle w:val="NormalWeb"/>
        <w:spacing w:before="0" w:beforeAutospacing="0" w:after="0" w:afterAutospacing="0"/>
        <w:ind w:left="-426" w:right="-233"/>
        <w:contextualSpacing/>
        <w:jc w:val="center"/>
        <w:rPr>
          <w:rFonts w:ascii="Arial" w:hAnsi="Arial" w:cs="Arial"/>
          <w:b/>
          <w:sz w:val="22"/>
          <w:szCs w:val="22"/>
        </w:rPr>
      </w:pPr>
      <w:r w:rsidRPr="007353D8">
        <w:rPr>
          <w:rFonts w:ascii="Arial" w:hAnsi="Arial" w:cs="Arial"/>
          <w:b/>
          <w:sz w:val="22"/>
          <w:szCs w:val="22"/>
        </w:rPr>
        <w:t>Se anexa nota técnica</w:t>
      </w:r>
    </w:p>
    <w:p w14:paraId="370B31F3" w14:textId="77777777" w:rsidR="000131E7" w:rsidRPr="007353D8" w:rsidRDefault="000131E7" w:rsidP="000131E7">
      <w:pPr>
        <w:pStyle w:val="NormalWeb"/>
        <w:spacing w:before="0" w:beforeAutospacing="0" w:after="0" w:afterAutospacing="0"/>
        <w:ind w:left="-426" w:right="-233"/>
        <w:contextualSpacing/>
        <w:jc w:val="center"/>
        <w:rPr>
          <w:rFonts w:ascii="Arial" w:hAnsi="Arial" w:cs="Arial"/>
          <w:sz w:val="22"/>
          <w:szCs w:val="22"/>
        </w:rPr>
      </w:pPr>
    </w:p>
    <w:p w14:paraId="438818C2" w14:textId="77777777" w:rsidR="000131E7" w:rsidRPr="007353D8" w:rsidRDefault="000131E7" w:rsidP="000131E7">
      <w:pPr>
        <w:pStyle w:val="NormalWeb"/>
        <w:spacing w:before="0" w:beforeAutospacing="0" w:after="0" w:afterAutospacing="0"/>
        <w:ind w:left="-426" w:right="-233"/>
        <w:contextualSpacing/>
        <w:jc w:val="center"/>
        <w:rPr>
          <w:rFonts w:ascii="Arial" w:hAnsi="Arial" w:cs="Arial"/>
          <w:sz w:val="22"/>
          <w:szCs w:val="22"/>
        </w:rPr>
      </w:pPr>
      <w:r w:rsidRPr="007353D8">
        <w:rPr>
          <w:rFonts w:ascii="Arial" w:hAnsi="Arial" w:cs="Arial"/>
          <w:sz w:val="22"/>
          <w:szCs w:val="22"/>
        </w:rPr>
        <w:t xml:space="preserve">Para consultas de medios y periodistas, contactar a: </w:t>
      </w:r>
      <w:hyperlink r:id="rId11" w:history="1">
        <w:r w:rsidRPr="007353D8">
          <w:rPr>
            <w:rStyle w:val="Hipervnculo"/>
            <w:rFonts w:ascii="Arial" w:hAnsi="Arial" w:cs="Arial"/>
            <w:sz w:val="22"/>
            <w:szCs w:val="22"/>
          </w:rPr>
          <w:t>comunicacionsocial@inegi.org.mx</w:t>
        </w:r>
      </w:hyperlink>
    </w:p>
    <w:p w14:paraId="1BBD5447" w14:textId="6A251E82" w:rsidR="000131E7" w:rsidRPr="00576565" w:rsidRDefault="000131E7" w:rsidP="00576565">
      <w:pPr>
        <w:pStyle w:val="NormalWeb"/>
        <w:spacing w:before="0" w:beforeAutospacing="0" w:after="0" w:afterAutospacing="0"/>
        <w:ind w:left="-426" w:right="-233"/>
        <w:contextualSpacing/>
        <w:jc w:val="center"/>
        <w:rPr>
          <w:rFonts w:ascii="Arial" w:hAnsi="Arial" w:cs="Arial"/>
          <w:sz w:val="22"/>
          <w:szCs w:val="22"/>
        </w:rPr>
      </w:pPr>
      <w:r w:rsidRPr="007353D8">
        <w:rPr>
          <w:rFonts w:ascii="Arial" w:hAnsi="Arial" w:cs="Arial"/>
          <w:sz w:val="22"/>
          <w:szCs w:val="22"/>
        </w:rPr>
        <w:t xml:space="preserve">o llamar al teléfono (55) 52-78-10-00, </w:t>
      </w:r>
      <w:proofErr w:type="spellStart"/>
      <w:r w:rsidRPr="007353D8">
        <w:rPr>
          <w:rFonts w:ascii="Arial" w:hAnsi="Arial" w:cs="Arial"/>
          <w:sz w:val="22"/>
          <w:szCs w:val="22"/>
        </w:rPr>
        <w:t>exts</w:t>
      </w:r>
      <w:proofErr w:type="spellEnd"/>
      <w:r w:rsidRPr="007353D8">
        <w:rPr>
          <w:rFonts w:ascii="Arial" w:hAnsi="Arial" w:cs="Arial"/>
          <w:sz w:val="22"/>
          <w:szCs w:val="22"/>
        </w:rPr>
        <w:t>. 1134, 1260 y 1241.</w:t>
      </w:r>
    </w:p>
    <w:p w14:paraId="4956F5DE" w14:textId="77777777" w:rsidR="000131E7" w:rsidRPr="007353D8" w:rsidRDefault="000131E7" w:rsidP="000131E7">
      <w:pPr>
        <w:ind w:left="-426" w:right="-233"/>
        <w:contextualSpacing/>
        <w:jc w:val="center"/>
        <w:rPr>
          <w:rFonts w:ascii="Arial" w:hAnsi="Arial" w:cs="Arial"/>
        </w:rPr>
      </w:pPr>
      <w:r w:rsidRPr="007353D8">
        <w:rPr>
          <w:rFonts w:ascii="Arial" w:hAnsi="Arial" w:cs="Arial"/>
        </w:rPr>
        <w:t>Dirección de Atención a Medios / Dirección General Adjunta de Comunicación</w:t>
      </w:r>
    </w:p>
    <w:p w14:paraId="282329D4" w14:textId="77777777" w:rsidR="000131E7" w:rsidRPr="00D62445" w:rsidRDefault="000131E7" w:rsidP="007353D8">
      <w:pPr>
        <w:ind w:right="-518"/>
        <w:contextualSpacing/>
      </w:pPr>
    </w:p>
    <w:p w14:paraId="68087E3C" w14:textId="77777777" w:rsidR="00C472F2" w:rsidRDefault="000131E7" w:rsidP="000131E7">
      <w:pPr>
        <w:ind w:left="-425" w:right="-516"/>
        <w:contextualSpacing/>
        <w:rPr>
          <w:noProof/>
          <w:lang w:eastAsia="es-MX"/>
        </w:rPr>
        <w:sectPr w:rsidR="00C472F2" w:rsidSect="000131E7">
          <w:headerReference w:type="default" r:id="rId12"/>
          <w:footerReference w:type="default" r:id="rId13"/>
          <w:type w:val="continuous"/>
          <w:pgSz w:w="12242" w:h="15842" w:code="1"/>
          <w:pgMar w:top="1985" w:right="1418" w:bottom="1134" w:left="1559" w:header="567" w:footer="567" w:gutter="0"/>
          <w:paperSrc w:first="7" w:other="7"/>
          <w:pgNumType w:start="1"/>
          <w:cols w:space="720"/>
          <w:docGrid w:linePitch="360"/>
        </w:sectPr>
      </w:pPr>
      <w:r>
        <w:rPr>
          <w:noProof/>
          <w:lang w:eastAsia="es-MX"/>
        </w:rPr>
        <w:t xml:space="preserve">                                            </w:t>
      </w:r>
      <w:r w:rsidRPr="00D62445">
        <w:rPr>
          <w:noProof/>
          <w:lang w:eastAsia="es-MX"/>
        </w:rPr>
        <w:drawing>
          <wp:inline distT="0" distB="0" distL="0" distR="0" wp14:anchorId="19C9976F" wp14:editId="65C340C2">
            <wp:extent cx="307975" cy="304800"/>
            <wp:effectExtent l="0" t="0" r="0" b="0"/>
            <wp:docPr id="17" name="Imagen 17" descr="C:\Users\saladeprensa\Desktop\NVOS LOGOS\F.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163" cy="305976"/>
                    </a:xfrm>
                    <a:prstGeom prst="rect">
                      <a:avLst/>
                    </a:prstGeom>
                    <a:noFill/>
                    <a:ln>
                      <a:noFill/>
                    </a:ln>
                  </pic:spPr>
                </pic:pic>
              </a:graphicData>
            </a:graphic>
          </wp:inline>
        </w:drawing>
      </w:r>
      <w:r w:rsidRPr="00D62445">
        <w:rPr>
          <w:noProof/>
          <w:lang w:eastAsia="es-MX"/>
        </w:rPr>
        <w:t xml:space="preserve"> </w:t>
      </w:r>
      <w:r w:rsidRPr="00D62445">
        <w:rPr>
          <w:noProof/>
          <w:lang w:eastAsia="es-MX"/>
        </w:rPr>
        <w:drawing>
          <wp:inline distT="0" distB="0" distL="0" distR="0" wp14:anchorId="0E983E9A" wp14:editId="01A6518C">
            <wp:extent cx="295275" cy="295275"/>
            <wp:effectExtent l="0" t="0" r="9525" b="9525"/>
            <wp:docPr id="19" name="Imagen 19" descr="C:\Users\saladeprensa\Desktop\NVOS LOGOS\I.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lang w:eastAsia="es-MX"/>
        </w:rPr>
        <w:t xml:space="preserve"> </w:t>
      </w:r>
      <w:r w:rsidRPr="00D62445">
        <w:rPr>
          <w:noProof/>
          <w:lang w:eastAsia="es-MX"/>
        </w:rPr>
        <w:drawing>
          <wp:inline distT="0" distB="0" distL="0" distR="0" wp14:anchorId="649312CB" wp14:editId="7944D2A8">
            <wp:extent cx="295275" cy="295275"/>
            <wp:effectExtent l="0" t="0" r="9525" b="9525"/>
            <wp:docPr id="20" name="Imagen 20" descr="C:\Users\saladeprensa\Desktop\NVOS LOGOS\T.jp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lang w:eastAsia="es-MX"/>
        </w:rPr>
        <w:t xml:space="preserve"> </w:t>
      </w:r>
      <w:r w:rsidRPr="00D62445">
        <w:rPr>
          <w:noProof/>
          <w:lang w:eastAsia="es-MX"/>
        </w:rPr>
        <w:drawing>
          <wp:inline distT="0" distB="0" distL="0" distR="0" wp14:anchorId="60526553" wp14:editId="54060960">
            <wp:extent cx="295275" cy="295275"/>
            <wp:effectExtent l="0" t="0" r="9525" b="9525"/>
            <wp:docPr id="13" name="Imagen 13" descr="C:\Users\saladeprensa\Desktop\NVOS LOGOS\Y.jpg">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D62445">
        <w:rPr>
          <w:noProof/>
          <w:lang w:eastAsia="es-MX"/>
        </w:rPr>
        <w:t xml:space="preserve">  </w:t>
      </w:r>
      <w:r w:rsidRPr="00D62445">
        <w:rPr>
          <w:noProof/>
          <w:lang w:eastAsia="es-MX"/>
        </w:rPr>
        <w:drawing>
          <wp:inline distT="0" distB="0" distL="0" distR="0" wp14:anchorId="06A29B1E" wp14:editId="27258F50">
            <wp:extent cx="2286000" cy="274320"/>
            <wp:effectExtent l="0" t="0" r="0" b="0"/>
            <wp:docPr id="18" name="Imagen 18">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8DFA3EE" w14:textId="77777777" w:rsidR="000131E7" w:rsidRDefault="000131E7" w:rsidP="000131E7">
      <w:pPr>
        <w:ind w:left="-425" w:right="-516"/>
        <w:contextualSpacing/>
        <w:rPr>
          <w:noProof/>
          <w:lang w:eastAsia="es-MX"/>
        </w:rPr>
        <w:sectPr w:rsidR="000131E7" w:rsidSect="000131E7">
          <w:type w:val="continuous"/>
          <w:pgSz w:w="12242" w:h="15842" w:code="1"/>
          <w:pgMar w:top="1985" w:right="1418" w:bottom="1134" w:left="1559" w:header="567" w:footer="567" w:gutter="0"/>
          <w:paperSrc w:first="7" w:other="7"/>
          <w:pgNumType w:start="1"/>
          <w:cols w:space="720"/>
          <w:docGrid w:linePitch="360"/>
        </w:sectPr>
      </w:pPr>
    </w:p>
    <w:p w14:paraId="26A0BD06" w14:textId="77777777" w:rsidR="00F15292" w:rsidRDefault="00F15292" w:rsidP="00CE3561">
      <w:pPr>
        <w:tabs>
          <w:tab w:val="left" w:pos="1095"/>
          <w:tab w:val="center" w:pos="4419"/>
        </w:tabs>
        <w:spacing w:after="0" w:line="240" w:lineRule="auto"/>
        <w:rPr>
          <w:rFonts w:ascii="Arial" w:hAnsi="Arial" w:cs="Arial"/>
          <w:b/>
          <w:sz w:val="24"/>
          <w:szCs w:val="24"/>
        </w:rPr>
      </w:pPr>
    </w:p>
    <w:p w14:paraId="7F8067AB" w14:textId="77777777" w:rsidR="00F47EF4" w:rsidRDefault="00F47EF4" w:rsidP="00C472F2">
      <w:pPr>
        <w:tabs>
          <w:tab w:val="left" w:pos="1095"/>
          <w:tab w:val="center" w:pos="4419"/>
        </w:tabs>
        <w:spacing w:after="0" w:line="240" w:lineRule="auto"/>
        <w:jc w:val="center"/>
        <w:rPr>
          <w:rFonts w:ascii="Arial" w:hAnsi="Arial" w:cs="Arial"/>
          <w:b/>
          <w:sz w:val="24"/>
          <w:szCs w:val="24"/>
        </w:rPr>
      </w:pPr>
      <w:r w:rsidRPr="00A341C6">
        <w:rPr>
          <w:rFonts w:ascii="Arial" w:hAnsi="Arial" w:cs="Arial"/>
          <w:b/>
          <w:sz w:val="24"/>
          <w:szCs w:val="24"/>
        </w:rPr>
        <w:t>NOTA TÉCNICA</w:t>
      </w:r>
    </w:p>
    <w:p w14:paraId="7C15F8D0" w14:textId="77777777" w:rsidR="007257F9" w:rsidRPr="00A341C6" w:rsidRDefault="007257F9" w:rsidP="00C472F2">
      <w:pPr>
        <w:tabs>
          <w:tab w:val="left" w:pos="1095"/>
          <w:tab w:val="center" w:pos="4419"/>
        </w:tabs>
        <w:spacing w:after="0" w:line="240" w:lineRule="auto"/>
        <w:jc w:val="center"/>
        <w:rPr>
          <w:rFonts w:ascii="Arial" w:hAnsi="Arial" w:cs="Arial"/>
          <w:b/>
          <w:sz w:val="24"/>
          <w:szCs w:val="24"/>
        </w:rPr>
      </w:pPr>
    </w:p>
    <w:p w14:paraId="71F740C4" w14:textId="77777777" w:rsidR="00843BCA" w:rsidRPr="00A341C6" w:rsidRDefault="00D26405" w:rsidP="00CE3561">
      <w:pPr>
        <w:spacing w:after="0" w:line="240" w:lineRule="auto"/>
        <w:jc w:val="center"/>
        <w:rPr>
          <w:rFonts w:ascii="Arial" w:hAnsi="Arial" w:cs="Arial"/>
          <w:b/>
          <w:sz w:val="24"/>
          <w:szCs w:val="24"/>
        </w:rPr>
      </w:pPr>
      <w:r w:rsidRPr="00A341C6">
        <w:rPr>
          <w:rFonts w:ascii="Arial" w:hAnsi="Arial" w:cs="Arial"/>
          <w:b/>
          <w:sz w:val="24"/>
          <w:szCs w:val="24"/>
        </w:rPr>
        <w:t>ENCUESTA ANUAL DE LA IND</w:t>
      </w:r>
      <w:r w:rsidR="001D4B18" w:rsidRPr="00A341C6">
        <w:rPr>
          <w:rFonts w:ascii="Arial" w:hAnsi="Arial" w:cs="Arial"/>
          <w:b/>
          <w:sz w:val="24"/>
          <w:szCs w:val="24"/>
        </w:rPr>
        <w:t>USTRIA MANUFACTURERA (EAIM)</w:t>
      </w:r>
      <w:r w:rsidRPr="00A341C6">
        <w:rPr>
          <w:rFonts w:ascii="Arial" w:hAnsi="Arial" w:cs="Arial"/>
          <w:b/>
          <w:sz w:val="24"/>
          <w:szCs w:val="24"/>
        </w:rPr>
        <w:t xml:space="preserve"> </w:t>
      </w:r>
    </w:p>
    <w:p w14:paraId="357C8D20" w14:textId="77777777" w:rsidR="00F47EF4" w:rsidRPr="00A341C6" w:rsidRDefault="00D26405" w:rsidP="00CE3561">
      <w:pPr>
        <w:spacing w:after="0" w:line="240" w:lineRule="auto"/>
        <w:jc w:val="center"/>
        <w:rPr>
          <w:rFonts w:ascii="Arial" w:hAnsi="Arial" w:cs="Arial"/>
          <w:b/>
          <w:sz w:val="24"/>
          <w:szCs w:val="24"/>
        </w:rPr>
      </w:pPr>
      <w:r w:rsidRPr="00A341C6">
        <w:rPr>
          <w:rFonts w:ascii="Arial" w:hAnsi="Arial" w:cs="Arial"/>
          <w:b/>
          <w:sz w:val="24"/>
          <w:szCs w:val="24"/>
        </w:rPr>
        <w:t>CI</w:t>
      </w:r>
      <w:r w:rsidR="001D4B18" w:rsidRPr="00A341C6">
        <w:rPr>
          <w:rFonts w:ascii="Arial" w:hAnsi="Arial" w:cs="Arial"/>
          <w:b/>
          <w:sz w:val="24"/>
          <w:szCs w:val="24"/>
        </w:rPr>
        <w:t>FRAS DE 2020</w:t>
      </w:r>
    </w:p>
    <w:p w14:paraId="063ECA16" w14:textId="77777777" w:rsidR="00B25A45" w:rsidRDefault="00B25A45" w:rsidP="00D26405">
      <w:pPr>
        <w:pStyle w:val="Pa27"/>
        <w:spacing w:line="240" w:lineRule="auto"/>
        <w:jc w:val="both"/>
        <w:rPr>
          <w:rFonts w:eastAsia="Times New Roman"/>
          <w:sz w:val="22"/>
          <w:szCs w:val="22"/>
          <w:lang w:val="es-MX" w:eastAsia="es-MX"/>
        </w:rPr>
      </w:pPr>
    </w:p>
    <w:p w14:paraId="31DB7015" w14:textId="77777777" w:rsidR="00D26405" w:rsidRPr="00A76774" w:rsidRDefault="00D26405" w:rsidP="00D26405">
      <w:pPr>
        <w:pStyle w:val="Pa27"/>
        <w:spacing w:line="240" w:lineRule="auto"/>
        <w:jc w:val="both"/>
        <w:rPr>
          <w:rFonts w:eastAsia="Times New Roman"/>
          <w:sz w:val="22"/>
          <w:szCs w:val="22"/>
          <w:lang w:val="es-MX" w:eastAsia="es-MX"/>
        </w:rPr>
      </w:pPr>
      <w:r w:rsidRPr="00A76774">
        <w:rPr>
          <w:rFonts w:eastAsia="Times New Roman"/>
          <w:sz w:val="22"/>
          <w:szCs w:val="22"/>
          <w:lang w:val="es-MX" w:eastAsia="es-MX"/>
        </w:rPr>
        <w:t xml:space="preserve">El Instituto Nacional de Estadística y Geografía (INEGI) </w:t>
      </w:r>
      <w:r w:rsidR="00D87992" w:rsidRPr="00A76774">
        <w:rPr>
          <w:rFonts w:eastAsia="Times New Roman"/>
          <w:sz w:val="22"/>
          <w:szCs w:val="22"/>
          <w:lang w:val="es-MX" w:eastAsia="es-MX"/>
        </w:rPr>
        <w:t>presenta</w:t>
      </w:r>
      <w:r w:rsidRPr="00A76774">
        <w:rPr>
          <w:rFonts w:eastAsia="Times New Roman"/>
          <w:sz w:val="22"/>
          <w:szCs w:val="22"/>
          <w:lang w:val="es-MX" w:eastAsia="es-MX"/>
        </w:rPr>
        <w:t xml:space="preserve"> los resultados de la Encuesta Anual de la Industria Manufacturera (EAIM) </w:t>
      </w:r>
      <w:r w:rsidR="00814956" w:rsidRPr="00A76774">
        <w:rPr>
          <w:rFonts w:eastAsia="Times New Roman"/>
          <w:sz w:val="22"/>
          <w:szCs w:val="22"/>
          <w:lang w:val="es-MX" w:eastAsia="es-MX"/>
        </w:rPr>
        <w:t>con info</w:t>
      </w:r>
      <w:r w:rsidR="001D4B18" w:rsidRPr="00A76774">
        <w:rPr>
          <w:rFonts w:eastAsia="Times New Roman"/>
          <w:sz w:val="22"/>
          <w:szCs w:val="22"/>
          <w:lang w:val="es-MX" w:eastAsia="es-MX"/>
        </w:rPr>
        <w:t>rmación referida a 2020</w:t>
      </w:r>
      <w:r w:rsidRPr="00A76774">
        <w:rPr>
          <w:rFonts w:eastAsia="Times New Roman"/>
          <w:sz w:val="22"/>
          <w:szCs w:val="22"/>
          <w:lang w:val="es-MX" w:eastAsia="es-MX"/>
        </w:rPr>
        <w:t xml:space="preserve">. </w:t>
      </w:r>
    </w:p>
    <w:p w14:paraId="4A67910C" w14:textId="77777777" w:rsidR="00D26405" w:rsidRPr="00A76774" w:rsidRDefault="00D26405" w:rsidP="00D26405">
      <w:pPr>
        <w:pStyle w:val="Default"/>
        <w:jc w:val="both"/>
        <w:rPr>
          <w:sz w:val="22"/>
          <w:szCs w:val="22"/>
          <w:lang w:eastAsia="es-MX"/>
        </w:rPr>
      </w:pPr>
    </w:p>
    <w:p w14:paraId="023454C7" w14:textId="77777777" w:rsidR="00994C7F" w:rsidRPr="00A76774" w:rsidRDefault="00CE3561" w:rsidP="00D26405">
      <w:pPr>
        <w:pStyle w:val="Pa27"/>
        <w:spacing w:line="240" w:lineRule="auto"/>
        <w:jc w:val="both"/>
        <w:rPr>
          <w:rFonts w:eastAsia="Times New Roman"/>
          <w:sz w:val="22"/>
          <w:szCs w:val="22"/>
          <w:lang w:val="es-MX" w:eastAsia="es-MX"/>
        </w:rPr>
      </w:pPr>
      <w:r w:rsidRPr="00A76774">
        <w:rPr>
          <w:rFonts w:eastAsia="Times New Roman"/>
          <w:sz w:val="22"/>
          <w:szCs w:val="22"/>
          <w:lang w:val="es-MX" w:eastAsia="es-MX"/>
        </w:rPr>
        <w:t xml:space="preserve">La EAIM surgió en 1963, es decir, que tiene una historia de casi 60 años brindando </w:t>
      </w:r>
      <w:r w:rsidR="00994C7F" w:rsidRPr="00A76774">
        <w:rPr>
          <w:rFonts w:eastAsia="Times New Roman"/>
          <w:sz w:val="22"/>
          <w:szCs w:val="22"/>
          <w:lang w:val="es-MX" w:eastAsia="es-MX"/>
        </w:rPr>
        <w:t xml:space="preserve">estadísticas básicas </w:t>
      </w:r>
      <w:r w:rsidRPr="00A76774">
        <w:rPr>
          <w:rFonts w:eastAsia="Times New Roman"/>
          <w:sz w:val="22"/>
          <w:szCs w:val="22"/>
          <w:lang w:val="es-MX" w:eastAsia="es-MX"/>
        </w:rPr>
        <w:t>sobre</w:t>
      </w:r>
      <w:r w:rsidR="00994C7F" w:rsidRPr="00A76774">
        <w:rPr>
          <w:rFonts w:eastAsia="Times New Roman"/>
          <w:sz w:val="22"/>
          <w:szCs w:val="22"/>
          <w:lang w:val="es-MX" w:eastAsia="es-MX"/>
        </w:rPr>
        <w:t xml:space="preserve"> el comportamiento económico de estructura de las principales variables del sector manufacturero del país</w:t>
      </w:r>
      <w:r w:rsidR="00964A74" w:rsidRPr="00A76774">
        <w:rPr>
          <w:rFonts w:eastAsia="Times New Roman"/>
          <w:sz w:val="22"/>
          <w:szCs w:val="22"/>
          <w:lang w:val="es-MX" w:eastAsia="es-MX"/>
        </w:rPr>
        <w:t xml:space="preserve">, </w:t>
      </w:r>
      <w:r w:rsidR="00994C7F" w:rsidRPr="00A76774">
        <w:rPr>
          <w:rFonts w:eastAsia="Times New Roman"/>
          <w:sz w:val="22"/>
          <w:szCs w:val="22"/>
          <w:lang w:val="es-MX" w:eastAsia="es-MX"/>
        </w:rPr>
        <w:t>que sirv</w:t>
      </w:r>
      <w:r w:rsidR="00964A74" w:rsidRPr="00A76774">
        <w:rPr>
          <w:rFonts w:eastAsia="Times New Roman"/>
          <w:sz w:val="22"/>
          <w:szCs w:val="22"/>
          <w:lang w:val="es-MX" w:eastAsia="es-MX"/>
        </w:rPr>
        <w:t>e</w:t>
      </w:r>
      <w:r w:rsidR="00994C7F" w:rsidRPr="00A76774">
        <w:rPr>
          <w:rFonts w:eastAsia="Times New Roman"/>
          <w:sz w:val="22"/>
          <w:szCs w:val="22"/>
          <w:lang w:val="es-MX" w:eastAsia="es-MX"/>
        </w:rPr>
        <w:t xml:space="preserve"> como insumo fundamental para la generación de diversos cálculos macroeconómicos, así como de indicadores económicos relacionados con el empleo, la producción y la inversión de la industria manufacturera.</w:t>
      </w:r>
      <w:r w:rsidR="00D26405" w:rsidRPr="00A76774">
        <w:rPr>
          <w:rFonts w:eastAsia="Times New Roman"/>
          <w:sz w:val="22"/>
          <w:szCs w:val="22"/>
          <w:lang w:val="es-MX" w:eastAsia="es-MX"/>
        </w:rPr>
        <w:t xml:space="preserve"> </w:t>
      </w:r>
    </w:p>
    <w:p w14:paraId="2CA4FA7C" w14:textId="77777777" w:rsidR="00922953" w:rsidRPr="00A76774" w:rsidRDefault="00922953" w:rsidP="00922953">
      <w:pPr>
        <w:spacing w:after="0" w:line="240" w:lineRule="auto"/>
        <w:jc w:val="both"/>
        <w:rPr>
          <w:rFonts w:ascii="Arial" w:eastAsia="Times New Roman" w:hAnsi="Arial" w:cs="Arial"/>
          <w:lang w:eastAsia="es-MX"/>
        </w:rPr>
      </w:pPr>
    </w:p>
    <w:p w14:paraId="502A369F" w14:textId="77777777" w:rsidR="00630E50" w:rsidRPr="00A76774" w:rsidRDefault="00DF03E3" w:rsidP="00CE3561">
      <w:pPr>
        <w:spacing w:after="0" w:line="240" w:lineRule="auto"/>
        <w:jc w:val="both"/>
        <w:rPr>
          <w:rFonts w:ascii="Arial" w:eastAsia="Calibri" w:hAnsi="Arial" w:cs="Arial"/>
        </w:rPr>
      </w:pPr>
      <w:r w:rsidRPr="00A76774">
        <w:rPr>
          <w:rFonts w:ascii="Arial" w:eastAsia="Calibri" w:hAnsi="Arial" w:cs="Arial"/>
        </w:rPr>
        <w:t xml:space="preserve">La </w:t>
      </w:r>
      <w:r w:rsidR="00570D8F" w:rsidRPr="00A76774">
        <w:rPr>
          <w:rFonts w:ascii="Arial" w:eastAsia="Calibri" w:hAnsi="Arial" w:cs="Arial"/>
        </w:rPr>
        <w:t>oferta estadística está conformada por valores absolutos de</w:t>
      </w:r>
      <w:r w:rsidR="00964A74" w:rsidRPr="00A76774">
        <w:rPr>
          <w:rFonts w:ascii="Arial" w:eastAsia="Calibri" w:hAnsi="Arial" w:cs="Arial"/>
        </w:rPr>
        <w:t xml:space="preserve"> personal ocupado, horas trabajadas, remuneraciones, </w:t>
      </w:r>
      <w:r w:rsidR="00CE1F06" w:rsidRPr="00A76774">
        <w:rPr>
          <w:rFonts w:ascii="Arial" w:eastAsia="Calibri" w:hAnsi="Arial" w:cs="Arial"/>
        </w:rPr>
        <w:t xml:space="preserve">gastos por consumo de bienes y servicios, ingresos por suministro de bienes y servicios, valor de producción, existencias y activos fijos, </w:t>
      </w:r>
      <w:r w:rsidR="00570D8F" w:rsidRPr="00A76774">
        <w:rPr>
          <w:rFonts w:ascii="Arial" w:eastAsia="Calibri" w:hAnsi="Arial" w:cs="Arial"/>
        </w:rPr>
        <w:t>l</w:t>
      </w:r>
      <w:r w:rsidR="00CE1F06" w:rsidRPr="00A76774">
        <w:rPr>
          <w:rFonts w:ascii="Arial" w:eastAsia="Calibri" w:hAnsi="Arial" w:cs="Arial"/>
        </w:rPr>
        <w:t>a</w:t>
      </w:r>
      <w:r w:rsidR="00570D8F" w:rsidRPr="00A76774">
        <w:rPr>
          <w:rFonts w:ascii="Arial" w:eastAsia="Calibri" w:hAnsi="Arial" w:cs="Arial"/>
        </w:rPr>
        <w:t>s cuales se desagregan por sector, subsector, rama y clase de actividad de</w:t>
      </w:r>
      <w:r w:rsidR="00A86500" w:rsidRPr="00A76774">
        <w:rPr>
          <w:rFonts w:ascii="Arial" w:eastAsia="Calibri" w:hAnsi="Arial" w:cs="Arial"/>
        </w:rPr>
        <w:t xml:space="preserve"> acuerdo con el</w:t>
      </w:r>
      <w:r w:rsidR="00570D8F" w:rsidRPr="00A76774">
        <w:rPr>
          <w:rFonts w:ascii="Arial" w:eastAsia="Calibri" w:hAnsi="Arial" w:cs="Arial"/>
        </w:rPr>
        <w:t xml:space="preserve"> S</w:t>
      </w:r>
      <w:r w:rsidR="00CE1F06" w:rsidRPr="00A76774">
        <w:rPr>
          <w:rFonts w:ascii="Arial" w:eastAsia="Calibri" w:hAnsi="Arial" w:cs="Arial"/>
        </w:rPr>
        <w:t xml:space="preserve">istema de Clasificación Industrial de América del Norte (SCIAN) 2013, </w:t>
      </w:r>
      <w:r w:rsidR="00570D8F" w:rsidRPr="00A76774">
        <w:rPr>
          <w:rFonts w:ascii="Arial" w:eastAsia="Calibri" w:hAnsi="Arial" w:cs="Arial"/>
        </w:rPr>
        <w:t xml:space="preserve">lo que </w:t>
      </w:r>
      <w:r w:rsidR="00541A58" w:rsidRPr="00A76774">
        <w:rPr>
          <w:rFonts w:ascii="Arial" w:eastAsia="Calibri" w:hAnsi="Arial" w:cs="Arial"/>
        </w:rPr>
        <w:t>permite</w:t>
      </w:r>
      <w:r w:rsidR="00570D8F" w:rsidRPr="00A76774">
        <w:rPr>
          <w:rFonts w:ascii="Arial" w:eastAsia="Calibri" w:hAnsi="Arial" w:cs="Arial"/>
        </w:rPr>
        <w:t>n</w:t>
      </w:r>
      <w:r w:rsidR="00541A58" w:rsidRPr="00A76774">
        <w:rPr>
          <w:rFonts w:ascii="Arial" w:eastAsia="Calibri" w:hAnsi="Arial" w:cs="Arial"/>
        </w:rPr>
        <w:t xml:space="preserve"> dar seguimiento al comportamiento de</w:t>
      </w:r>
      <w:r w:rsidR="00D11718" w:rsidRPr="00A76774">
        <w:rPr>
          <w:rFonts w:ascii="Arial" w:eastAsia="Calibri" w:hAnsi="Arial" w:cs="Arial"/>
        </w:rPr>
        <w:t xml:space="preserve"> la actividad económica de este </w:t>
      </w:r>
      <w:r w:rsidR="00541A58" w:rsidRPr="00A76774">
        <w:rPr>
          <w:rFonts w:ascii="Arial" w:eastAsia="Calibri" w:hAnsi="Arial" w:cs="Arial"/>
        </w:rPr>
        <w:t>sector.</w:t>
      </w:r>
      <w:r w:rsidR="00630E50" w:rsidRPr="00A76774">
        <w:rPr>
          <w:rFonts w:ascii="Arial" w:eastAsia="Calibri" w:hAnsi="Arial" w:cs="Arial"/>
        </w:rPr>
        <w:t xml:space="preserve"> </w:t>
      </w:r>
    </w:p>
    <w:p w14:paraId="7E7E5EDB" w14:textId="77777777" w:rsidR="00630E50" w:rsidRPr="00A76774" w:rsidRDefault="00630E50" w:rsidP="00CE3561">
      <w:pPr>
        <w:spacing w:after="0" w:line="240" w:lineRule="auto"/>
        <w:jc w:val="both"/>
        <w:rPr>
          <w:rFonts w:ascii="Arial" w:eastAsia="Calibri" w:hAnsi="Arial" w:cs="Arial"/>
        </w:rPr>
      </w:pPr>
    </w:p>
    <w:p w14:paraId="5109E361" w14:textId="77777777" w:rsidR="00CE1F06" w:rsidRPr="00A76774" w:rsidRDefault="00CE1F06" w:rsidP="00CE3561">
      <w:pPr>
        <w:spacing w:after="0" w:line="240" w:lineRule="auto"/>
        <w:jc w:val="both"/>
        <w:rPr>
          <w:rFonts w:ascii="Arial" w:eastAsia="Calibri" w:hAnsi="Arial" w:cs="Arial"/>
        </w:rPr>
      </w:pPr>
      <w:r w:rsidRPr="00A76774">
        <w:rPr>
          <w:rFonts w:ascii="Arial" w:eastAsia="Calibri" w:hAnsi="Arial" w:cs="Arial"/>
        </w:rPr>
        <w:t>Asimismo, se difunde información de carácter cualitativo sobre la vinculación internacional, capacitación, gastos e ingresos del comercio electrónico y características generales de los establecimientos manufactureros.</w:t>
      </w:r>
    </w:p>
    <w:p w14:paraId="0364E8C4" w14:textId="77777777" w:rsidR="00FD5284" w:rsidRPr="00A76774" w:rsidRDefault="00FD5284" w:rsidP="00CE3561">
      <w:pPr>
        <w:spacing w:after="0" w:line="240" w:lineRule="auto"/>
        <w:jc w:val="both"/>
        <w:rPr>
          <w:rFonts w:ascii="Arial" w:eastAsia="Calibri" w:hAnsi="Arial" w:cs="Arial"/>
        </w:rPr>
      </w:pPr>
    </w:p>
    <w:p w14:paraId="51426997" w14:textId="77777777" w:rsidR="006468CA" w:rsidRPr="006468CA" w:rsidRDefault="006468CA" w:rsidP="00CE3561">
      <w:pPr>
        <w:spacing w:after="0" w:line="240" w:lineRule="auto"/>
        <w:jc w:val="both"/>
        <w:rPr>
          <w:rFonts w:ascii="Arial" w:eastAsia="Calibri" w:hAnsi="Arial" w:cs="Arial"/>
        </w:rPr>
      </w:pPr>
      <w:r w:rsidRPr="006468CA">
        <w:rPr>
          <w:rFonts w:ascii="Arial" w:eastAsia="Calibri" w:hAnsi="Arial" w:cs="Arial"/>
        </w:rPr>
        <w:t xml:space="preserve">La EAIM serie 2013 ofrece información del periodo 2013-2020. Las series anteriores cubren </w:t>
      </w:r>
      <w:r w:rsidR="00C472F2">
        <w:rPr>
          <w:rFonts w:ascii="Arial" w:eastAsia="Calibri" w:hAnsi="Arial" w:cs="Arial"/>
        </w:rPr>
        <w:t>la información</w:t>
      </w:r>
      <w:r w:rsidRPr="006468CA">
        <w:rPr>
          <w:rFonts w:ascii="Arial" w:eastAsia="Calibri" w:hAnsi="Arial" w:cs="Arial"/>
        </w:rPr>
        <w:t xml:space="preserve"> a partir de1994.</w:t>
      </w:r>
    </w:p>
    <w:p w14:paraId="7BD99D25" w14:textId="77777777" w:rsidR="00881FC6" w:rsidRDefault="00881FC6" w:rsidP="00D009A4">
      <w:pPr>
        <w:pStyle w:val="Pa27"/>
        <w:spacing w:line="240" w:lineRule="auto"/>
        <w:jc w:val="both"/>
        <w:rPr>
          <w:rFonts w:eastAsia="Times New Roman"/>
          <w:b/>
          <w:sz w:val="22"/>
          <w:lang w:val="es-MX" w:eastAsia="es-MX"/>
        </w:rPr>
      </w:pPr>
    </w:p>
    <w:p w14:paraId="666E85BB" w14:textId="77777777" w:rsidR="00D009A4" w:rsidRPr="00A341C6" w:rsidRDefault="00D009A4" w:rsidP="00D009A4">
      <w:pPr>
        <w:pStyle w:val="Pa27"/>
        <w:spacing w:line="240" w:lineRule="auto"/>
        <w:jc w:val="both"/>
        <w:rPr>
          <w:rFonts w:eastAsia="Times New Roman"/>
          <w:b/>
          <w:sz w:val="22"/>
          <w:lang w:val="es-MX" w:eastAsia="es-MX"/>
        </w:rPr>
      </w:pPr>
      <w:r w:rsidRPr="00A341C6">
        <w:rPr>
          <w:rFonts w:eastAsia="Times New Roman"/>
          <w:b/>
          <w:sz w:val="22"/>
          <w:lang w:val="es-MX" w:eastAsia="es-MX"/>
        </w:rPr>
        <w:t>Principales resultados.</w:t>
      </w:r>
    </w:p>
    <w:p w14:paraId="390D495A" w14:textId="77777777" w:rsidR="00D009A4" w:rsidRPr="00A341C6" w:rsidRDefault="00D009A4" w:rsidP="00D009A4">
      <w:pPr>
        <w:pStyle w:val="Pa27"/>
        <w:spacing w:line="240" w:lineRule="auto"/>
        <w:jc w:val="both"/>
        <w:rPr>
          <w:rFonts w:eastAsia="Times New Roman"/>
          <w:sz w:val="22"/>
          <w:lang w:val="es-MX" w:eastAsia="es-MX"/>
        </w:rPr>
      </w:pPr>
    </w:p>
    <w:p w14:paraId="4DC3C32F" w14:textId="77777777" w:rsidR="008F3E12" w:rsidRPr="00A76774" w:rsidRDefault="00A86500" w:rsidP="008F3E12">
      <w:pPr>
        <w:pStyle w:val="Default"/>
        <w:jc w:val="both"/>
        <w:rPr>
          <w:color w:val="auto"/>
          <w:sz w:val="22"/>
          <w:szCs w:val="22"/>
          <w:lang w:eastAsia="es-MX"/>
        </w:rPr>
      </w:pPr>
      <w:r w:rsidRPr="00A76774">
        <w:rPr>
          <w:color w:val="auto"/>
          <w:sz w:val="22"/>
          <w:szCs w:val="22"/>
          <w:lang w:eastAsia="es-MX"/>
        </w:rPr>
        <w:t>E</w:t>
      </w:r>
      <w:r w:rsidR="00C472F2">
        <w:rPr>
          <w:color w:val="auto"/>
          <w:sz w:val="22"/>
          <w:szCs w:val="22"/>
          <w:lang w:eastAsia="es-MX"/>
        </w:rPr>
        <w:t>n</w:t>
      </w:r>
      <w:r w:rsidRPr="00A76774">
        <w:rPr>
          <w:color w:val="auto"/>
          <w:sz w:val="22"/>
          <w:szCs w:val="22"/>
          <w:lang w:eastAsia="es-MX"/>
        </w:rPr>
        <w:t xml:space="preserve"> 2020, l</w:t>
      </w:r>
      <w:r w:rsidR="00843BCA" w:rsidRPr="00A76774">
        <w:rPr>
          <w:color w:val="auto"/>
          <w:sz w:val="22"/>
          <w:szCs w:val="22"/>
          <w:lang w:eastAsia="es-MX"/>
        </w:rPr>
        <w:t xml:space="preserve">a </w:t>
      </w:r>
      <w:r w:rsidR="00D009A4" w:rsidRPr="00A76774">
        <w:rPr>
          <w:color w:val="auto"/>
          <w:sz w:val="22"/>
          <w:szCs w:val="22"/>
          <w:lang w:eastAsia="es-MX"/>
        </w:rPr>
        <w:t xml:space="preserve">EAIM presenta variaciones anuales </w:t>
      </w:r>
      <w:r w:rsidR="00356A76" w:rsidRPr="00A76774">
        <w:rPr>
          <w:color w:val="auto"/>
          <w:sz w:val="22"/>
          <w:szCs w:val="22"/>
          <w:lang w:eastAsia="es-MX"/>
        </w:rPr>
        <w:t>negat</w:t>
      </w:r>
      <w:r w:rsidR="00D009A4" w:rsidRPr="00A76774">
        <w:rPr>
          <w:color w:val="auto"/>
          <w:sz w:val="22"/>
          <w:szCs w:val="22"/>
          <w:lang w:eastAsia="es-MX"/>
        </w:rPr>
        <w:t xml:space="preserve">ivas en </w:t>
      </w:r>
      <w:r w:rsidR="00356A76" w:rsidRPr="00A76774">
        <w:rPr>
          <w:color w:val="auto"/>
          <w:sz w:val="22"/>
          <w:szCs w:val="22"/>
          <w:lang w:eastAsia="es-MX"/>
        </w:rPr>
        <w:t>c</w:t>
      </w:r>
      <w:r w:rsidR="0018776A" w:rsidRPr="00A76774">
        <w:rPr>
          <w:color w:val="auto"/>
          <w:sz w:val="22"/>
          <w:szCs w:val="22"/>
          <w:lang w:eastAsia="es-MX"/>
        </w:rPr>
        <w:t>inco</w:t>
      </w:r>
      <w:r w:rsidR="00356A76" w:rsidRPr="00A76774">
        <w:rPr>
          <w:color w:val="auto"/>
          <w:sz w:val="22"/>
          <w:szCs w:val="22"/>
          <w:lang w:eastAsia="es-MX"/>
        </w:rPr>
        <w:t xml:space="preserve"> de sus </w:t>
      </w:r>
      <w:r w:rsidR="00D009A4" w:rsidRPr="00A76774">
        <w:rPr>
          <w:color w:val="auto"/>
          <w:sz w:val="22"/>
          <w:szCs w:val="22"/>
          <w:lang w:eastAsia="es-MX"/>
        </w:rPr>
        <w:t xml:space="preserve">principales variables </w:t>
      </w:r>
      <w:r w:rsidR="00F562A2" w:rsidRPr="00A76774">
        <w:rPr>
          <w:color w:val="auto"/>
          <w:sz w:val="22"/>
          <w:szCs w:val="22"/>
          <w:lang w:eastAsia="es-MX"/>
        </w:rPr>
        <w:t xml:space="preserve">respecto </w:t>
      </w:r>
      <w:r w:rsidR="00682A9F" w:rsidRPr="00A76774">
        <w:rPr>
          <w:color w:val="auto"/>
          <w:sz w:val="22"/>
          <w:szCs w:val="22"/>
          <w:lang w:eastAsia="es-MX"/>
        </w:rPr>
        <w:t>a</w:t>
      </w:r>
      <w:r w:rsidR="00F562A2" w:rsidRPr="00A76774">
        <w:rPr>
          <w:color w:val="auto"/>
          <w:sz w:val="22"/>
          <w:szCs w:val="22"/>
          <w:lang w:eastAsia="es-MX"/>
        </w:rPr>
        <w:t xml:space="preserve"> 2019</w:t>
      </w:r>
      <w:r w:rsidR="00682A9F" w:rsidRPr="00A76774">
        <w:rPr>
          <w:color w:val="auto"/>
          <w:sz w:val="22"/>
          <w:szCs w:val="22"/>
          <w:lang w:eastAsia="es-MX"/>
        </w:rPr>
        <w:t xml:space="preserve">: </w:t>
      </w:r>
      <w:r w:rsidR="00C472F2">
        <w:rPr>
          <w:color w:val="auto"/>
          <w:sz w:val="22"/>
          <w:szCs w:val="22"/>
          <w:lang w:eastAsia="es-MX"/>
        </w:rPr>
        <w:t>p</w:t>
      </w:r>
      <w:r w:rsidR="008F3E12" w:rsidRPr="00A76774">
        <w:rPr>
          <w:color w:val="auto"/>
          <w:sz w:val="22"/>
          <w:szCs w:val="22"/>
          <w:lang w:eastAsia="es-MX"/>
        </w:rPr>
        <w:t xml:space="preserve">ersonal ocupado, </w:t>
      </w:r>
      <w:r w:rsidR="0018776A" w:rsidRPr="00A76774">
        <w:rPr>
          <w:color w:val="auto"/>
          <w:sz w:val="22"/>
          <w:szCs w:val="22"/>
          <w:lang w:eastAsia="es-MX"/>
        </w:rPr>
        <w:t xml:space="preserve">horas trabajadas, </w:t>
      </w:r>
      <w:r w:rsidR="008F3E12" w:rsidRPr="00A76774">
        <w:rPr>
          <w:color w:val="auto"/>
          <w:sz w:val="22"/>
          <w:szCs w:val="22"/>
          <w:lang w:eastAsia="es-MX"/>
        </w:rPr>
        <w:t xml:space="preserve">valor de producción, </w:t>
      </w:r>
      <w:r w:rsidR="00FD5284" w:rsidRPr="00A76774">
        <w:rPr>
          <w:color w:val="auto"/>
          <w:sz w:val="22"/>
          <w:szCs w:val="22"/>
          <w:lang w:eastAsia="es-MX"/>
        </w:rPr>
        <w:t>gastos e ingresos totales</w:t>
      </w:r>
      <w:r w:rsidR="008F3E12" w:rsidRPr="00A76774">
        <w:rPr>
          <w:color w:val="auto"/>
          <w:sz w:val="22"/>
          <w:szCs w:val="22"/>
          <w:lang w:eastAsia="es-MX"/>
        </w:rPr>
        <w:t xml:space="preserve">, con </w:t>
      </w:r>
      <w:r w:rsidR="00056DE9" w:rsidRPr="00A76774">
        <w:rPr>
          <w:color w:val="auto"/>
          <w:sz w:val="22"/>
          <w:szCs w:val="22"/>
          <w:lang w:eastAsia="es-MX"/>
        </w:rPr>
        <w:t xml:space="preserve">2.3%, </w:t>
      </w:r>
      <w:r w:rsidR="0018776A" w:rsidRPr="00A76774">
        <w:rPr>
          <w:color w:val="auto"/>
          <w:sz w:val="22"/>
          <w:szCs w:val="22"/>
          <w:lang w:eastAsia="es-MX"/>
        </w:rPr>
        <w:t>7.</w:t>
      </w:r>
      <w:r w:rsidR="0061449F" w:rsidRPr="00A76774">
        <w:rPr>
          <w:color w:val="auto"/>
          <w:sz w:val="22"/>
          <w:szCs w:val="22"/>
          <w:lang w:eastAsia="es-MX"/>
        </w:rPr>
        <w:t>4</w:t>
      </w:r>
      <w:r w:rsidR="0018776A" w:rsidRPr="00A76774">
        <w:rPr>
          <w:color w:val="auto"/>
          <w:sz w:val="22"/>
          <w:szCs w:val="22"/>
          <w:lang w:eastAsia="es-MX"/>
        </w:rPr>
        <w:t xml:space="preserve">%, </w:t>
      </w:r>
      <w:r w:rsidR="008F3E12" w:rsidRPr="00A76774">
        <w:rPr>
          <w:color w:val="auto"/>
          <w:sz w:val="22"/>
          <w:szCs w:val="22"/>
          <w:lang w:eastAsia="es-MX"/>
        </w:rPr>
        <w:t xml:space="preserve">5.2%, </w:t>
      </w:r>
      <w:r w:rsidR="00056DE9" w:rsidRPr="00A76774">
        <w:rPr>
          <w:color w:val="auto"/>
          <w:sz w:val="22"/>
          <w:szCs w:val="22"/>
          <w:lang w:eastAsia="es-MX"/>
        </w:rPr>
        <w:t xml:space="preserve">4.9%, y </w:t>
      </w:r>
      <w:r w:rsidR="008F3E12" w:rsidRPr="00A76774">
        <w:rPr>
          <w:color w:val="auto"/>
          <w:sz w:val="22"/>
          <w:szCs w:val="22"/>
          <w:lang w:eastAsia="es-MX"/>
        </w:rPr>
        <w:t>4.</w:t>
      </w:r>
      <w:r w:rsidR="002C14F2" w:rsidRPr="00A76774">
        <w:rPr>
          <w:color w:val="auto"/>
          <w:sz w:val="22"/>
          <w:szCs w:val="22"/>
          <w:lang w:eastAsia="es-MX"/>
        </w:rPr>
        <w:t>7</w:t>
      </w:r>
      <w:r w:rsidR="008F3E12" w:rsidRPr="00A76774">
        <w:rPr>
          <w:color w:val="auto"/>
          <w:sz w:val="22"/>
          <w:szCs w:val="22"/>
          <w:lang w:eastAsia="es-MX"/>
        </w:rPr>
        <w:t>% respectivamente</w:t>
      </w:r>
      <w:r w:rsidRPr="00A76774">
        <w:rPr>
          <w:color w:val="auto"/>
          <w:sz w:val="22"/>
          <w:szCs w:val="22"/>
          <w:lang w:eastAsia="es-MX"/>
        </w:rPr>
        <w:t>;</w:t>
      </w:r>
      <w:r w:rsidR="008F3E12" w:rsidRPr="00A76774">
        <w:rPr>
          <w:color w:val="auto"/>
          <w:sz w:val="22"/>
          <w:szCs w:val="22"/>
          <w:lang w:eastAsia="es-MX"/>
        </w:rPr>
        <w:t xml:space="preserve"> mientras </w:t>
      </w:r>
      <w:r w:rsidR="00682A9F" w:rsidRPr="00A76774">
        <w:rPr>
          <w:color w:val="auto"/>
          <w:sz w:val="22"/>
          <w:szCs w:val="22"/>
          <w:lang w:eastAsia="es-MX"/>
        </w:rPr>
        <w:t xml:space="preserve">que </w:t>
      </w:r>
      <w:r w:rsidR="008F3E12" w:rsidRPr="00A76774">
        <w:rPr>
          <w:color w:val="auto"/>
          <w:sz w:val="22"/>
          <w:szCs w:val="22"/>
          <w:lang w:eastAsia="es-MX"/>
        </w:rPr>
        <w:t>el valor de los activos fijos muestra crecimiento anual de 3.8</w:t>
      </w:r>
      <w:r w:rsidR="00FD5284" w:rsidRPr="00A76774">
        <w:rPr>
          <w:color w:val="auto"/>
          <w:sz w:val="22"/>
          <w:szCs w:val="22"/>
          <w:lang w:eastAsia="es-MX"/>
        </w:rPr>
        <w:t xml:space="preserve">% en dicho periodo. </w:t>
      </w:r>
    </w:p>
    <w:p w14:paraId="6A23B278" w14:textId="77777777" w:rsidR="00D009A4" w:rsidRPr="00A341C6" w:rsidRDefault="00D009A4" w:rsidP="00D009A4">
      <w:pPr>
        <w:pStyle w:val="Default"/>
        <w:jc w:val="both"/>
        <w:rPr>
          <w:color w:val="auto"/>
          <w:sz w:val="22"/>
          <w:lang w:eastAsia="es-MX"/>
        </w:rPr>
      </w:pPr>
    </w:p>
    <w:p w14:paraId="7682A1F9" w14:textId="77777777" w:rsidR="00D009A4" w:rsidRPr="00A341C6" w:rsidRDefault="00D009A4" w:rsidP="00D009A4">
      <w:pPr>
        <w:pStyle w:val="Default"/>
        <w:jc w:val="center"/>
        <w:rPr>
          <w:b/>
          <w:color w:val="auto"/>
          <w:sz w:val="22"/>
          <w:lang w:eastAsia="es-MX"/>
        </w:rPr>
      </w:pPr>
      <w:r w:rsidRPr="00A341C6">
        <w:rPr>
          <w:b/>
          <w:color w:val="auto"/>
          <w:sz w:val="22"/>
          <w:lang w:eastAsia="es-MX"/>
        </w:rPr>
        <w:t>Cuadro</w:t>
      </w:r>
      <w:r w:rsidR="00D11718">
        <w:rPr>
          <w:b/>
          <w:color w:val="auto"/>
          <w:sz w:val="22"/>
          <w:lang w:eastAsia="es-MX"/>
        </w:rPr>
        <w:t xml:space="preserve"> </w:t>
      </w:r>
      <w:r w:rsidRPr="00A341C6">
        <w:rPr>
          <w:b/>
          <w:color w:val="auto"/>
          <w:sz w:val="22"/>
          <w:lang w:eastAsia="es-MX"/>
        </w:rPr>
        <w:t xml:space="preserve">1 </w:t>
      </w:r>
    </w:p>
    <w:p w14:paraId="0C8CBB61" w14:textId="77777777" w:rsidR="00C2070A" w:rsidRPr="00A341C6" w:rsidRDefault="00D11718" w:rsidP="00D009A4">
      <w:pPr>
        <w:pStyle w:val="Default"/>
        <w:jc w:val="center"/>
        <w:rPr>
          <w:b/>
          <w:color w:val="auto"/>
          <w:sz w:val="22"/>
          <w:lang w:eastAsia="es-MX"/>
        </w:rPr>
      </w:pPr>
      <w:r>
        <w:rPr>
          <w:b/>
          <w:color w:val="auto"/>
          <w:sz w:val="22"/>
          <w:lang w:eastAsia="es-MX"/>
        </w:rPr>
        <w:t>R</w:t>
      </w:r>
      <w:r w:rsidR="00D009A4" w:rsidRPr="00A341C6">
        <w:rPr>
          <w:b/>
          <w:color w:val="auto"/>
          <w:sz w:val="22"/>
          <w:lang w:eastAsia="es-MX"/>
        </w:rPr>
        <w:t>esultados de las</w:t>
      </w:r>
      <w:r>
        <w:rPr>
          <w:b/>
          <w:color w:val="auto"/>
          <w:sz w:val="22"/>
          <w:lang w:eastAsia="es-MX"/>
        </w:rPr>
        <w:t xml:space="preserve"> principales variables de las</w:t>
      </w:r>
      <w:r w:rsidR="00761323">
        <w:rPr>
          <w:b/>
          <w:color w:val="auto"/>
          <w:sz w:val="22"/>
          <w:lang w:eastAsia="es-MX"/>
        </w:rPr>
        <w:t xml:space="preserve"> </w:t>
      </w:r>
      <w:r w:rsidR="0014423B">
        <w:rPr>
          <w:b/>
          <w:color w:val="auto"/>
          <w:sz w:val="22"/>
          <w:lang w:eastAsia="es-MX"/>
        </w:rPr>
        <w:t>i</w:t>
      </w:r>
      <w:r w:rsidR="00D009A4" w:rsidRPr="00A341C6">
        <w:rPr>
          <w:b/>
          <w:color w:val="auto"/>
          <w:sz w:val="22"/>
          <w:lang w:eastAsia="es-MX"/>
        </w:rPr>
        <w:t>ndustrias manufactureras</w:t>
      </w:r>
      <w:r w:rsidR="007F53F2" w:rsidRPr="00A341C6">
        <w:rPr>
          <w:b/>
          <w:color w:val="auto"/>
          <w:sz w:val="22"/>
          <w:lang w:eastAsia="es-MX"/>
        </w:rPr>
        <w:t xml:space="preserve"> </w:t>
      </w:r>
    </w:p>
    <w:p w14:paraId="0DFD3DB3" w14:textId="77777777" w:rsidR="00BD264E" w:rsidRPr="00A341C6" w:rsidRDefault="00D009A4" w:rsidP="00D009A4">
      <w:pPr>
        <w:pStyle w:val="Default"/>
        <w:jc w:val="center"/>
        <w:rPr>
          <w:b/>
          <w:color w:val="auto"/>
          <w:sz w:val="22"/>
          <w:lang w:eastAsia="es-MX"/>
        </w:rPr>
      </w:pPr>
      <w:r w:rsidRPr="00A341C6">
        <w:rPr>
          <w:b/>
          <w:color w:val="auto"/>
          <w:sz w:val="22"/>
          <w:lang w:eastAsia="es-MX"/>
        </w:rPr>
        <w:t>(Miles de millones de pesos corrientes)</w:t>
      </w:r>
      <w:r w:rsidR="00197166">
        <w:rPr>
          <w:b/>
          <w:color w:val="auto"/>
          <w:sz w:val="22"/>
          <w:lang w:eastAsia="es-MX"/>
        </w:rPr>
        <w:t xml:space="preserve"> </w:t>
      </w:r>
    </w:p>
    <w:tbl>
      <w:tblPr>
        <w:tblW w:w="8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600" w:firstRow="0" w:lastRow="0" w:firstColumn="0" w:lastColumn="0" w:noHBand="1" w:noVBand="1"/>
      </w:tblPr>
      <w:tblGrid>
        <w:gridCol w:w="4460"/>
        <w:gridCol w:w="1267"/>
        <w:gridCol w:w="1039"/>
        <w:gridCol w:w="1451"/>
      </w:tblGrid>
      <w:tr w:rsidR="007F53F2" w:rsidRPr="001C5FBA" w14:paraId="19C588A9" w14:textId="77777777" w:rsidTr="004C017C">
        <w:trPr>
          <w:trHeight w:val="20"/>
          <w:jc w:val="center"/>
        </w:trPr>
        <w:tc>
          <w:tcPr>
            <w:tcW w:w="4460" w:type="dxa"/>
            <w:vMerge w:val="restart"/>
            <w:shd w:val="clear" w:color="auto" w:fill="A8D08D" w:themeFill="accent6" w:themeFillTint="99"/>
            <w:tcMar>
              <w:top w:w="15" w:type="dxa"/>
              <w:left w:w="15" w:type="dxa"/>
              <w:bottom w:w="0" w:type="dxa"/>
              <w:right w:w="15" w:type="dxa"/>
            </w:tcMar>
            <w:vAlign w:val="center"/>
            <w:hideMark/>
          </w:tcPr>
          <w:p w14:paraId="4734BE1D" w14:textId="77777777" w:rsidR="00283D9D" w:rsidRPr="001C5FBA" w:rsidRDefault="00283D9D" w:rsidP="00283D9D">
            <w:pPr>
              <w:pStyle w:val="Default"/>
              <w:jc w:val="center"/>
              <w:rPr>
                <w:b/>
                <w:color w:val="auto"/>
                <w:sz w:val="18"/>
                <w:szCs w:val="18"/>
                <w:lang w:eastAsia="es-MX"/>
              </w:rPr>
            </w:pPr>
            <w:r w:rsidRPr="001C5FBA">
              <w:rPr>
                <w:b/>
                <w:bCs/>
                <w:color w:val="auto"/>
                <w:sz w:val="18"/>
                <w:szCs w:val="18"/>
                <w:lang w:eastAsia="es-MX"/>
              </w:rPr>
              <w:t>Variable</w:t>
            </w:r>
          </w:p>
        </w:tc>
        <w:tc>
          <w:tcPr>
            <w:tcW w:w="2306" w:type="dxa"/>
            <w:gridSpan w:val="2"/>
            <w:shd w:val="clear" w:color="auto" w:fill="A8D08D" w:themeFill="accent6" w:themeFillTint="99"/>
            <w:tcMar>
              <w:top w:w="15" w:type="dxa"/>
              <w:left w:w="15" w:type="dxa"/>
              <w:bottom w:w="0" w:type="dxa"/>
              <w:right w:w="15" w:type="dxa"/>
            </w:tcMar>
            <w:vAlign w:val="center"/>
            <w:hideMark/>
          </w:tcPr>
          <w:p w14:paraId="4D6E4051" w14:textId="77777777" w:rsidR="00283D9D" w:rsidRPr="001C5FBA" w:rsidRDefault="00283D9D" w:rsidP="00283D9D">
            <w:pPr>
              <w:pStyle w:val="Default"/>
              <w:jc w:val="center"/>
              <w:rPr>
                <w:b/>
                <w:bCs/>
                <w:color w:val="auto"/>
                <w:sz w:val="18"/>
                <w:szCs w:val="18"/>
                <w:lang w:eastAsia="es-MX"/>
              </w:rPr>
            </w:pPr>
            <w:r w:rsidRPr="001C5FBA">
              <w:rPr>
                <w:b/>
                <w:bCs/>
                <w:color w:val="auto"/>
                <w:sz w:val="18"/>
                <w:szCs w:val="18"/>
                <w:lang w:eastAsia="es-MX"/>
              </w:rPr>
              <w:t>Año</w:t>
            </w:r>
          </w:p>
        </w:tc>
        <w:tc>
          <w:tcPr>
            <w:tcW w:w="1451" w:type="dxa"/>
            <w:vMerge w:val="restart"/>
            <w:shd w:val="clear" w:color="auto" w:fill="A8D08D" w:themeFill="accent6" w:themeFillTint="99"/>
            <w:tcMar>
              <w:top w:w="15" w:type="dxa"/>
              <w:left w:w="15" w:type="dxa"/>
              <w:bottom w:w="0" w:type="dxa"/>
              <w:right w:w="15" w:type="dxa"/>
            </w:tcMar>
            <w:vAlign w:val="center"/>
            <w:hideMark/>
          </w:tcPr>
          <w:p w14:paraId="19A63ED7" w14:textId="77777777" w:rsidR="00283D9D" w:rsidRPr="001C5FBA" w:rsidRDefault="00283D9D" w:rsidP="00283D9D">
            <w:pPr>
              <w:pStyle w:val="Default"/>
              <w:jc w:val="center"/>
              <w:rPr>
                <w:b/>
                <w:color w:val="auto"/>
                <w:sz w:val="18"/>
                <w:szCs w:val="18"/>
                <w:lang w:eastAsia="es-MX"/>
              </w:rPr>
            </w:pPr>
            <w:r w:rsidRPr="001C5FBA">
              <w:rPr>
                <w:b/>
                <w:bCs/>
                <w:color w:val="auto"/>
                <w:sz w:val="18"/>
                <w:szCs w:val="18"/>
                <w:lang w:eastAsia="es-MX"/>
              </w:rPr>
              <w:t xml:space="preserve">Variación anual </w:t>
            </w:r>
            <w:r w:rsidR="007203D4" w:rsidRPr="001C5FBA">
              <w:rPr>
                <w:b/>
                <w:bCs/>
                <w:color w:val="auto"/>
                <w:sz w:val="18"/>
                <w:szCs w:val="18"/>
                <w:lang w:eastAsia="es-MX"/>
              </w:rPr>
              <w:t>(</w:t>
            </w:r>
            <w:r w:rsidR="00FD5284" w:rsidRPr="001C5FBA">
              <w:rPr>
                <w:b/>
                <w:bCs/>
                <w:color w:val="auto"/>
                <w:sz w:val="18"/>
                <w:szCs w:val="18"/>
                <w:lang w:eastAsia="es-MX"/>
              </w:rPr>
              <w:t>%</w:t>
            </w:r>
            <w:r w:rsidRPr="001C5FBA">
              <w:rPr>
                <w:b/>
                <w:bCs/>
                <w:color w:val="auto"/>
                <w:sz w:val="18"/>
                <w:szCs w:val="18"/>
                <w:lang w:eastAsia="es-MX"/>
              </w:rPr>
              <w:t>)</w:t>
            </w:r>
          </w:p>
        </w:tc>
      </w:tr>
      <w:tr w:rsidR="007F53F2" w:rsidRPr="001C5FBA" w14:paraId="5BDE0721" w14:textId="77777777" w:rsidTr="004C017C">
        <w:trPr>
          <w:trHeight w:val="20"/>
          <w:jc w:val="center"/>
        </w:trPr>
        <w:tc>
          <w:tcPr>
            <w:tcW w:w="4460" w:type="dxa"/>
            <w:vMerge/>
            <w:shd w:val="clear" w:color="auto" w:fill="A8D08D" w:themeFill="accent6" w:themeFillTint="99"/>
            <w:tcMar>
              <w:top w:w="15" w:type="dxa"/>
              <w:left w:w="15" w:type="dxa"/>
              <w:bottom w:w="0" w:type="dxa"/>
              <w:right w:w="15" w:type="dxa"/>
            </w:tcMar>
            <w:vAlign w:val="center"/>
          </w:tcPr>
          <w:p w14:paraId="4A188AF8" w14:textId="77777777" w:rsidR="00283D9D" w:rsidRPr="001C5FBA" w:rsidRDefault="00283D9D" w:rsidP="00283D9D">
            <w:pPr>
              <w:pStyle w:val="Default"/>
              <w:jc w:val="center"/>
              <w:rPr>
                <w:b/>
                <w:bCs/>
                <w:color w:val="auto"/>
                <w:sz w:val="18"/>
                <w:szCs w:val="18"/>
                <w:lang w:eastAsia="es-MX"/>
              </w:rPr>
            </w:pPr>
          </w:p>
        </w:tc>
        <w:tc>
          <w:tcPr>
            <w:tcW w:w="1267" w:type="dxa"/>
            <w:shd w:val="clear" w:color="auto" w:fill="A8D08D" w:themeFill="accent6" w:themeFillTint="99"/>
            <w:tcMar>
              <w:top w:w="15" w:type="dxa"/>
              <w:left w:w="15" w:type="dxa"/>
              <w:bottom w:w="0" w:type="dxa"/>
              <w:right w:w="15" w:type="dxa"/>
            </w:tcMar>
            <w:vAlign w:val="center"/>
          </w:tcPr>
          <w:p w14:paraId="2A982230" w14:textId="77777777" w:rsidR="00283D9D" w:rsidRPr="001C5FBA" w:rsidRDefault="00AA0654" w:rsidP="00283D9D">
            <w:pPr>
              <w:pStyle w:val="Default"/>
              <w:jc w:val="center"/>
              <w:rPr>
                <w:b/>
                <w:bCs/>
                <w:color w:val="auto"/>
                <w:sz w:val="18"/>
                <w:szCs w:val="18"/>
                <w:lang w:eastAsia="es-MX"/>
              </w:rPr>
            </w:pPr>
            <w:r w:rsidRPr="001C5FBA">
              <w:rPr>
                <w:b/>
                <w:bCs/>
                <w:color w:val="auto"/>
                <w:sz w:val="18"/>
                <w:szCs w:val="18"/>
                <w:lang w:eastAsia="es-MX"/>
              </w:rPr>
              <w:t>2019</w:t>
            </w:r>
          </w:p>
        </w:tc>
        <w:tc>
          <w:tcPr>
            <w:tcW w:w="1039" w:type="dxa"/>
            <w:shd w:val="clear" w:color="auto" w:fill="A8D08D" w:themeFill="accent6" w:themeFillTint="99"/>
            <w:vAlign w:val="center"/>
          </w:tcPr>
          <w:p w14:paraId="296459F7" w14:textId="77777777" w:rsidR="00283D9D" w:rsidRPr="001C5FBA" w:rsidRDefault="00AA0654" w:rsidP="00494A00">
            <w:pPr>
              <w:pStyle w:val="Default"/>
              <w:jc w:val="center"/>
              <w:rPr>
                <w:b/>
                <w:bCs/>
                <w:color w:val="auto"/>
                <w:sz w:val="18"/>
                <w:szCs w:val="18"/>
                <w:lang w:eastAsia="es-MX"/>
              </w:rPr>
            </w:pPr>
            <w:r w:rsidRPr="001C5FBA">
              <w:rPr>
                <w:b/>
                <w:bCs/>
                <w:color w:val="auto"/>
                <w:sz w:val="18"/>
                <w:szCs w:val="18"/>
                <w:lang w:eastAsia="es-MX"/>
              </w:rPr>
              <w:t>2020</w:t>
            </w:r>
            <w:r w:rsidR="00C2070A" w:rsidRPr="001C5FBA">
              <w:rPr>
                <w:rFonts w:eastAsia="Times New Roman"/>
                <w:b/>
                <w:bCs/>
                <w:sz w:val="18"/>
                <w:szCs w:val="18"/>
                <w:vertAlign w:val="superscript"/>
                <w:lang w:eastAsia="es-MX"/>
              </w:rPr>
              <w:t>p/</w:t>
            </w:r>
          </w:p>
        </w:tc>
        <w:tc>
          <w:tcPr>
            <w:tcW w:w="1451" w:type="dxa"/>
            <w:vMerge/>
            <w:shd w:val="clear" w:color="auto" w:fill="A8D08D" w:themeFill="accent6" w:themeFillTint="99"/>
            <w:tcMar>
              <w:top w:w="15" w:type="dxa"/>
              <w:left w:w="15" w:type="dxa"/>
              <w:bottom w:w="0" w:type="dxa"/>
              <w:right w:w="15" w:type="dxa"/>
            </w:tcMar>
            <w:vAlign w:val="center"/>
          </w:tcPr>
          <w:p w14:paraId="09DC19FF" w14:textId="77777777" w:rsidR="00283D9D" w:rsidRPr="001C5FBA" w:rsidRDefault="00283D9D" w:rsidP="00283D9D">
            <w:pPr>
              <w:pStyle w:val="Default"/>
              <w:jc w:val="center"/>
              <w:rPr>
                <w:b/>
                <w:bCs/>
                <w:color w:val="auto"/>
                <w:sz w:val="18"/>
                <w:szCs w:val="18"/>
                <w:lang w:eastAsia="es-MX"/>
              </w:rPr>
            </w:pPr>
          </w:p>
        </w:tc>
      </w:tr>
      <w:tr w:rsidR="007F53F2" w:rsidRPr="001C5FBA" w14:paraId="76AE65D7" w14:textId="77777777" w:rsidTr="00CD47EE">
        <w:trPr>
          <w:trHeight w:val="227"/>
          <w:jc w:val="center"/>
        </w:trPr>
        <w:tc>
          <w:tcPr>
            <w:tcW w:w="4460" w:type="dxa"/>
            <w:shd w:val="clear" w:color="auto" w:fill="auto"/>
            <w:tcMar>
              <w:top w:w="15" w:type="dxa"/>
              <w:left w:w="15" w:type="dxa"/>
              <w:bottom w:w="0" w:type="dxa"/>
              <w:right w:w="15" w:type="dxa"/>
            </w:tcMar>
            <w:vAlign w:val="center"/>
            <w:hideMark/>
          </w:tcPr>
          <w:p w14:paraId="6FC45F5E" w14:textId="77777777" w:rsidR="00283D9D" w:rsidRPr="001C5FBA" w:rsidRDefault="00283D9D" w:rsidP="00CD47EE">
            <w:pPr>
              <w:pStyle w:val="Default"/>
              <w:rPr>
                <w:color w:val="auto"/>
                <w:sz w:val="18"/>
                <w:szCs w:val="18"/>
                <w:lang w:eastAsia="es-MX"/>
              </w:rPr>
            </w:pPr>
            <w:r w:rsidRPr="001C5FBA">
              <w:rPr>
                <w:color w:val="auto"/>
                <w:sz w:val="18"/>
                <w:szCs w:val="18"/>
                <w:lang w:eastAsia="es-MX"/>
              </w:rPr>
              <w:t>Personal ocupado total (miles de personas)</w:t>
            </w:r>
          </w:p>
        </w:tc>
        <w:tc>
          <w:tcPr>
            <w:tcW w:w="1267" w:type="dxa"/>
            <w:shd w:val="clear" w:color="auto" w:fill="auto"/>
            <w:tcMar>
              <w:top w:w="15" w:type="dxa"/>
              <w:left w:w="15" w:type="dxa"/>
              <w:bottom w:w="0" w:type="dxa"/>
              <w:right w:w="15" w:type="dxa"/>
            </w:tcMar>
            <w:vAlign w:val="center"/>
          </w:tcPr>
          <w:p w14:paraId="5B8B85F1" w14:textId="77777777" w:rsidR="00283D9D" w:rsidRPr="001C5FBA" w:rsidRDefault="00283D9D" w:rsidP="00C472F2">
            <w:pPr>
              <w:pStyle w:val="NormalWeb"/>
              <w:tabs>
                <w:tab w:val="decimal" w:pos="540"/>
              </w:tabs>
              <w:spacing w:before="0" w:beforeAutospacing="0" w:after="0" w:afterAutospacing="0"/>
              <w:textAlignment w:val="bottom"/>
              <w:rPr>
                <w:rFonts w:ascii="Arial" w:hAnsi="Arial" w:cs="Arial"/>
                <w:sz w:val="18"/>
                <w:szCs w:val="18"/>
              </w:rPr>
            </w:pPr>
            <w:r w:rsidRPr="001C5FBA">
              <w:rPr>
                <w:rFonts w:ascii="Arial" w:eastAsia="Helvetica Neue Medium" w:hAnsi="Arial" w:cs="Arial"/>
                <w:sz w:val="18"/>
                <w:szCs w:val="18"/>
              </w:rPr>
              <w:t>4</w:t>
            </w:r>
            <w:r w:rsidR="00C472F2">
              <w:rPr>
                <w:rFonts w:ascii="Arial" w:eastAsia="Helvetica Neue Medium" w:hAnsi="Arial" w:cs="Arial"/>
                <w:sz w:val="18"/>
                <w:szCs w:val="18"/>
              </w:rPr>
              <w:t xml:space="preserve"> </w:t>
            </w:r>
            <w:r w:rsidR="00916A4F" w:rsidRPr="001C5FBA">
              <w:rPr>
                <w:rFonts w:ascii="Arial" w:eastAsia="Helvetica Neue Medium" w:hAnsi="Arial" w:cs="Arial"/>
                <w:sz w:val="18"/>
                <w:szCs w:val="18"/>
              </w:rPr>
              <w:t>343</w:t>
            </w:r>
          </w:p>
        </w:tc>
        <w:tc>
          <w:tcPr>
            <w:tcW w:w="1039" w:type="dxa"/>
            <w:vAlign w:val="center"/>
          </w:tcPr>
          <w:p w14:paraId="129E64DE" w14:textId="77777777" w:rsidR="00283D9D" w:rsidRPr="001C5FBA" w:rsidRDefault="00E07213" w:rsidP="00283D9D">
            <w:pPr>
              <w:pStyle w:val="Default"/>
              <w:jc w:val="center"/>
              <w:rPr>
                <w:color w:val="auto"/>
                <w:sz w:val="18"/>
                <w:szCs w:val="18"/>
                <w:lang w:eastAsia="es-MX"/>
              </w:rPr>
            </w:pPr>
            <w:r w:rsidRPr="001C5FBA">
              <w:rPr>
                <w:rFonts w:eastAsia="Helvetica Neue Medium"/>
                <w:color w:val="auto"/>
                <w:sz w:val="18"/>
                <w:szCs w:val="18"/>
              </w:rPr>
              <w:t>4</w:t>
            </w:r>
            <w:r w:rsidR="00C472F2">
              <w:rPr>
                <w:rFonts w:eastAsia="Helvetica Neue Medium"/>
                <w:color w:val="auto"/>
                <w:sz w:val="18"/>
                <w:szCs w:val="18"/>
              </w:rPr>
              <w:t xml:space="preserve"> </w:t>
            </w:r>
            <w:r w:rsidRPr="001C5FBA">
              <w:rPr>
                <w:rFonts w:eastAsia="Helvetica Neue Medium"/>
                <w:color w:val="auto"/>
                <w:sz w:val="18"/>
                <w:szCs w:val="18"/>
              </w:rPr>
              <w:t>241</w:t>
            </w:r>
          </w:p>
        </w:tc>
        <w:tc>
          <w:tcPr>
            <w:tcW w:w="1451" w:type="dxa"/>
            <w:shd w:val="clear" w:color="auto" w:fill="auto"/>
            <w:tcMar>
              <w:top w:w="15" w:type="dxa"/>
              <w:left w:w="15" w:type="dxa"/>
              <w:bottom w:w="0" w:type="dxa"/>
              <w:right w:w="15" w:type="dxa"/>
            </w:tcMar>
            <w:vAlign w:val="center"/>
          </w:tcPr>
          <w:p w14:paraId="619044DB" w14:textId="77777777" w:rsidR="00283D9D" w:rsidRPr="001C5FBA" w:rsidRDefault="00916A4F" w:rsidP="00283D9D">
            <w:pPr>
              <w:pStyle w:val="Default"/>
              <w:jc w:val="center"/>
              <w:rPr>
                <w:color w:val="auto"/>
                <w:sz w:val="18"/>
                <w:szCs w:val="18"/>
                <w:lang w:eastAsia="es-MX"/>
              </w:rPr>
            </w:pPr>
            <w:r w:rsidRPr="001C5FBA">
              <w:rPr>
                <w:color w:val="auto"/>
                <w:sz w:val="18"/>
                <w:szCs w:val="18"/>
                <w:lang w:eastAsia="es-MX"/>
              </w:rPr>
              <w:t>-2.3</w:t>
            </w:r>
          </w:p>
        </w:tc>
      </w:tr>
      <w:tr w:rsidR="00843BCA" w:rsidRPr="001C5FBA" w14:paraId="5A8D6821" w14:textId="77777777" w:rsidTr="00CD47EE">
        <w:trPr>
          <w:trHeight w:val="227"/>
          <w:jc w:val="center"/>
        </w:trPr>
        <w:tc>
          <w:tcPr>
            <w:tcW w:w="4460" w:type="dxa"/>
            <w:shd w:val="clear" w:color="auto" w:fill="auto"/>
            <w:tcMar>
              <w:top w:w="15" w:type="dxa"/>
              <w:left w:w="15" w:type="dxa"/>
              <w:bottom w:w="0" w:type="dxa"/>
              <w:right w:w="15" w:type="dxa"/>
            </w:tcMar>
            <w:vAlign w:val="center"/>
          </w:tcPr>
          <w:p w14:paraId="1B85D29B" w14:textId="77777777" w:rsidR="00843BCA" w:rsidRPr="001C5FBA" w:rsidRDefault="00843BCA" w:rsidP="00CD47EE">
            <w:pPr>
              <w:pStyle w:val="Default"/>
              <w:rPr>
                <w:color w:val="auto"/>
                <w:sz w:val="18"/>
                <w:szCs w:val="18"/>
                <w:lang w:eastAsia="es-MX"/>
              </w:rPr>
            </w:pPr>
            <w:r w:rsidRPr="001C5FBA">
              <w:rPr>
                <w:color w:val="auto"/>
                <w:sz w:val="18"/>
                <w:szCs w:val="18"/>
                <w:lang w:eastAsia="es-MX"/>
              </w:rPr>
              <w:t>Horas trabajadas</w:t>
            </w:r>
            <w:r w:rsidR="00A718E7" w:rsidRPr="001C5FBA">
              <w:rPr>
                <w:color w:val="auto"/>
                <w:sz w:val="18"/>
                <w:szCs w:val="18"/>
                <w:lang w:eastAsia="es-MX"/>
              </w:rPr>
              <w:t xml:space="preserve"> (</w:t>
            </w:r>
            <w:r w:rsidR="00F005B6" w:rsidRPr="001C5FBA">
              <w:rPr>
                <w:color w:val="auto"/>
                <w:sz w:val="18"/>
                <w:szCs w:val="18"/>
                <w:lang w:eastAsia="es-MX"/>
              </w:rPr>
              <w:t>millones de horas)</w:t>
            </w:r>
          </w:p>
        </w:tc>
        <w:tc>
          <w:tcPr>
            <w:tcW w:w="1267" w:type="dxa"/>
            <w:shd w:val="clear" w:color="auto" w:fill="auto"/>
            <w:tcMar>
              <w:top w:w="15" w:type="dxa"/>
              <w:left w:w="15" w:type="dxa"/>
              <w:bottom w:w="0" w:type="dxa"/>
              <w:right w:w="15" w:type="dxa"/>
            </w:tcMar>
            <w:vAlign w:val="center"/>
          </w:tcPr>
          <w:p w14:paraId="77ED548E" w14:textId="77777777" w:rsidR="00843BCA" w:rsidRPr="001C5FBA" w:rsidRDefault="004E67B1" w:rsidP="00C472F2">
            <w:pPr>
              <w:pStyle w:val="NormalWeb"/>
              <w:tabs>
                <w:tab w:val="decimal" w:pos="540"/>
              </w:tabs>
              <w:spacing w:before="0" w:beforeAutospacing="0" w:after="0" w:afterAutospacing="0"/>
              <w:textAlignment w:val="bottom"/>
              <w:rPr>
                <w:rFonts w:ascii="Arial" w:eastAsia="Helvetica Neue Medium" w:hAnsi="Arial" w:cs="Arial"/>
                <w:sz w:val="18"/>
                <w:szCs w:val="18"/>
              </w:rPr>
            </w:pPr>
            <w:r w:rsidRPr="001C5FBA">
              <w:rPr>
                <w:rFonts w:ascii="Arial" w:eastAsia="Helvetica Neue Medium" w:hAnsi="Arial" w:cs="Arial"/>
                <w:sz w:val="18"/>
                <w:szCs w:val="18"/>
              </w:rPr>
              <w:t>10</w:t>
            </w:r>
            <w:r w:rsidR="00C472F2">
              <w:rPr>
                <w:rFonts w:ascii="Arial" w:eastAsia="Helvetica Neue Medium" w:hAnsi="Arial" w:cs="Arial"/>
                <w:sz w:val="18"/>
                <w:szCs w:val="18"/>
              </w:rPr>
              <w:t xml:space="preserve"> </w:t>
            </w:r>
            <w:r w:rsidRPr="001C5FBA">
              <w:rPr>
                <w:rFonts w:ascii="Arial" w:eastAsia="Helvetica Neue Medium" w:hAnsi="Arial" w:cs="Arial"/>
                <w:sz w:val="18"/>
                <w:szCs w:val="18"/>
              </w:rPr>
              <w:t>353</w:t>
            </w:r>
          </w:p>
        </w:tc>
        <w:tc>
          <w:tcPr>
            <w:tcW w:w="1039" w:type="dxa"/>
            <w:vAlign w:val="center"/>
          </w:tcPr>
          <w:p w14:paraId="66D1BA07" w14:textId="77777777" w:rsidR="00843BCA" w:rsidRPr="001C5FBA" w:rsidRDefault="008D6E8A" w:rsidP="008D6E8A">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9</w:t>
            </w:r>
            <w:r w:rsidR="00C472F2">
              <w:rPr>
                <w:rFonts w:ascii="Arial" w:eastAsia="Helvetica Neue Medium" w:hAnsi="Arial" w:cs="Arial"/>
                <w:sz w:val="18"/>
                <w:szCs w:val="18"/>
              </w:rPr>
              <w:t xml:space="preserve"> </w:t>
            </w:r>
            <w:r w:rsidRPr="001C5FBA">
              <w:rPr>
                <w:rFonts w:ascii="Arial" w:eastAsia="Helvetica Neue Medium" w:hAnsi="Arial" w:cs="Arial"/>
                <w:sz w:val="18"/>
                <w:szCs w:val="18"/>
              </w:rPr>
              <w:t>582</w:t>
            </w:r>
          </w:p>
        </w:tc>
        <w:tc>
          <w:tcPr>
            <w:tcW w:w="1451" w:type="dxa"/>
            <w:shd w:val="clear" w:color="auto" w:fill="auto"/>
            <w:tcMar>
              <w:top w:w="15" w:type="dxa"/>
              <w:left w:w="15" w:type="dxa"/>
              <w:bottom w:w="0" w:type="dxa"/>
              <w:right w:w="15" w:type="dxa"/>
            </w:tcMar>
            <w:vAlign w:val="center"/>
          </w:tcPr>
          <w:p w14:paraId="16DA94DC" w14:textId="77777777" w:rsidR="00843BCA" w:rsidRPr="001C5FBA" w:rsidRDefault="008D6E8A" w:rsidP="0061449F">
            <w:pPr>
              <w:pStyle w:val="Default"/>
              <w:jc w:val="center"/>
              <w:rPr>
                <w:color w:val="auto"/>
                <w:sz w:val="18"/>
                <w:szCs w:val="18"/>
                <w:lang w:eastAsia="es-MX"/>
              </w:rPr>
            </w:pPr>
            <w:r w:rsidRPr="001C5FBA">
              <w:rPr>
                <w:color w:val="auto"/>
                <w:sz w:val="18"/>
                <w:szCs w:val="18"/>
                <w:lang w:eastAsia="es-MX"/>
              </w:rPr>
              <w:t>-7.</w:t>
            </w:r>
            <w:r w:rsidR="0061449F" w:rsidRPr="001C5FBA">
              <w:rPr>
                <w:color w:val="auto"/>
                <w:sz w:val="18"/>
                <w:szCs w:val="18"/>
                <w:lang w:eastAsia="es-MX"/>
              </w:rPr>
              <w:t>4</w:t>
            </w:r>
          </w:p>
        </w:tc>
      </w:tr>
      <w:tr w:rsidR="007F53F2" w:rsidRPr="001C5FBA" w14:paraId="3EAFA4A9" w14:textId="77777777" w:rsidTr="00CD47EE">
        <w:trPr>
          <w:trHeight w:val="227"/>
          <w:jc w:val="center"/>
        </w:trPr>
        <w:tc>
          <w:tcPr>
            <w:tcW w:w="4460" w:type="dxa"/>
            <w:shd w:val="clear" w:color="auto" w:fill="auto"/>
            <w:tcMar>
              <w:top w:w="15" w:type="dxa"/>
              <w:left w:w="15" w:type="dxa"/>
              <w:bottom w:w="0" w:type="dxa"/>
              <w:right w:w="15" w:type="dxa"/>
            </w:tcMar>
            <w:vAlign w:val="center"/>
            <w:hideMark/>
          </w:tcPr>
          <w:p w14:paraId="7DE09A45" w14:textId="77777777" w:rsidR="00283D9D" w:rsidRPr="001C5FBA" w:rsidRDefault="00283D9D" w:rsidP="00CD47EE">
            <w:pPr>
              <w:pStyle w:val="Default"/>
              <w:rPr>
                <w:color w:val="auto"/>
                <w:sz w:val="18"/>
                <w:szCs w:val="18"/>
                <w:lang w:eastAsia="es-MX"/>
              </w:rPr>
            </w:pPr>
            <w:r w:rsidRPr="001C5FBA">
              <w:rPr>
                <w:color w:val="auto"/>
                <w:sz w:val="18"/>
                <w:szCs w:val="18"/>
                <w:lang w:eastAsia="es-MX"/>
              </w:rPr>
              <w:t>Valor de producción</w:t>
            </w:r>
          </w:p>
        </w:tc>
        <w:tc>
          <w:tcPr>
            <w:tcW w:w="1267" w:type="dxa"/>
            <w:shd w:val="clear" w:color="auto" w:fill="auto"/>
            <w:tcMar>
              <w:top w:w="15" w:type="dxa"/>
              <w:left w:w="15" w:type="dxa"/>
              <w:bottom w:w="0" w:type="dxa"/>
              <w:right w:w="15" w:type="dxa"/>
            </w:tcMar>
            <w:vAlign w:val="center"/>
          </w:tcPr>
          <w:p w14:paraId="2C8B3291" w14:textId="77777777" w:rsidR="00283D9D" w:rsidRPr="001C5FBA" w:rsidRDefault="00234F64" w:rsidP="00C472F2">
            <w:pPr>
              <w:pStyle w:val="NormalWeb"/>
              <w:tabs>
                <w:tab w:val="decimal" w:pos="540"/>
              </w:tabs>
              <w:spacing w:before="0" w:beforeAutospacing="0" w:after="0" w:afterAutospacing="0"/>
              <w:textAlignment w:val="bottom"/>
              <w:rPr>
                <w:rFonts w:ascii="Arial" w:hAnsi="Arial" w:cs="Arial"/>
                <w:sz w:val="18"/>
                <w:szCs w:val="18"/>
              </w:rPr>
            </w:pPr>
            <w:r w:rsidRPr="001C5FBA">
              <w:rPr>
                <w:rFonts w:ascii="Arial" w:eastAsia="Helvetica Neue Medium" w:hAnsi="Arial" w:cs="Arial"/>
                <w:sz w:val="18"/>
                <w:szCs w:val="18"/>
              </w:rPr>
              <w:t>8</w:t>
            </w:r>
            <w:r w:rsidR="00C472F2">
              <w:rPr>
                <w:rFonts w:ascii="Arial" w:eastAsia="Helvetica Neue Medium" w:hAnsi="Arial" w:cs="Arial"/>
                <w:sz w:val="18"/>
                <w:szCs w:val="18"/>
              </w:rPr>
              <w:t xml:space="preserve"> </w:t>
            </w:r>
            <w:r w:rsidRPr="001C5FBA">
              <w:rPr>
                <w:rFonts w:ascii="Arial" w:eastAsia="Helvetica Neue Medium" w:hAnsi="Arial" w:cs="Arial"/>
                <w:sz w:val="18"/>
                <w:szCs w:val="18"/>
              </w:rPr>
              <w:t>436</w:t>
            </w:r>
          </w:p>
        </w:tc>
        <w:tc>
          <w:tcPr>
            <w:tcW w:w="1039" w:type="dxa"/>
            <w:vAlign w:val="center"/>
          </w:tcPr>
          <w:p w14:paraId="731FB4EC" w14:textId="77777777" w:rsidR="00283D9D" w:rsidRPr="001C5FBA" w:rsidRDefault="00283D9D" w:rsidP="00D75F2F">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8</w:t>
            </w:r>
            <w:r w:rsidR="00C472F2">
              <w:rPr>
                <w:rFonts w:ascii="Arial" w:eastAsia="Helvetica Neue Medium" w:hAnsi="Arial" w:cs="Arial"/>
                <w:sz w:val="18"/>
                <w:szCs w:val="18"/>
              </w:rPr>
              <w:t xml:space="preserve"> </w:t>
            </w:r>
            <w:r w:rsidR="00916A4F" w:rsidRPr="001C5FBA">
              <w:rPr>
                <w:rFonts w:ascii="Arial" w:eastAsia="Helvetica Neue Medium" w:hAnsi="Arial" w:cs="Arial"/>
                <w:sz w:val="18"/>
                <w:szCs w:val="18"/>
              </w:rPr>
              <w:t>00</w:t>
            </w:r>
            <w:r w:rsidR="00D75F2F" w:rsidRPr="001C5FBA">
              <w:rPr>
                <w:rFonts w:ascii="Arial" w:eastAsia="Helvetica Neue Medium" w:hAnsi="Arial" w:cs="Arial"/>
                <w:sz w:val="18"/>
                <w:szCs w:val="18"/>
              </w:rPr>
              <w:t>1</w:t>
            </w:r>
          </w:p>
        </w:tc>
        <w:tc>
          <w:tcPr>
            <w:tcW w:w="1451" w:type="dxa"/>
            <w:shd w:val="clear" w:color="auto" w:fill="auto"/>
            <w:tcMar>
              <w:top w:w="15" w:type="dxa"/>
              <w:left w:w="15" w:type="dxa"/>
              <w:bottom w:w="0" w:type="dxa"/>
              <w:right w:w="15" w:type="dxa"/>
            </w:tcMar>
            <w:vAlign w:val="center"/>
          </w:tcPr>
          <w:p w14:paraId="226CB02E" w14:textId="77777777" w:rsidR="00283D9D" w:rsidRPr="001C5FBA" w:rsidRDefault="00916A4F" w:rsidP="00283D9D">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-5.2</w:t>
            </w:r>
          </w:p>
        </w:tc>
      </w:tr>
      <w:tr w:rsidR="007F53F2" w:rsidRPr="001C5FBA" w14:paraId="749203C7" w14:textId="77777777" w:rsidTr="00CD47EE">
        <w:trPr>
          <w:trHeight w:val="227"/>
          <w:jc w:val="center"/>
        </w:trPr>
        <w:tc>
          <w:tcPr>
            <w:tcW w:w="4460" w:type="dxa"/>
            <w:shd w:val="clear" w:color="auto" w:fill="auto"/>
            <w:tcMar>
              <w:top w:w="15" w:type="dxa"/>
              <w:left w:w="15" w:type="dxa"/>
              <w:bottom w:w="0" w:type="dxa"/>
              <w:right w:w="15" w:type="dxa"/>
            </w:tcMar>
            <w:vAlign w:val="center"/>
            <w:hideMark/>
          </w:tcPr>
          <w:p w14:paraId="734CB9F6" w14:textId="77777777" w:rsidR="00283D9D" w:rsidRPr="001C5FBA" w:rsidRDefault="00043729" w:rsidP="00CD47EE">
            <w:pPr>
              <w:pStyle w:val="Default"/>
              <w:rPr>
                <w:color w:val="auto"/>
                <w:sz w:val="18"/>
                <w:szCs w:val="18"/>
                <w:lang w:eastAsia="es-MX"/>
              </w:rPr>
            </w:pPr>
            <w:r w:rsidRPr="001C5FBA">
              <w:rPr>
                <w:color w:val="auto"/>
                <w:sz w:val="18"/>
                <w:szCs w:val="18"/>
                <w:lang w:eastAsia="es-MX"/>
              </w:rPr>
              <w:t>Gastos por consumo</w:t>
            </w:r>
            <w:r w:rsidR="00283D9D" w:rsidRPr="001C5FBA">
              <w:rPr>
                <w:color w:val="auto"/>
                <w:sz w:val="18"/>
                <w:szCs w:val="18"/>
                <w:lang w:eastAsia="es-MX"/>
              </w:rPr>
              <w:t xml:space="preserve"> de bienes y servicios</w:t>
            </w:r>
          </w:p>
        </w:tc>
        <w:tc>
          <w:tcPr>
            <w:tcW w:w="1267" w:type="dxa"/>
            <w:shd w:val="clear" w:color="auto" w:fill="auto"/>
            <w:tcMar>
              <w:top w:w="15" w:type="dxa"/>
              <w:left w:w="15" w:type="dxa"/>
              <w:bottom w:w="0" w:type="dxa"/>
              <w:right w:w="15" w:type="dxa"/>
            </w:tcMar>
            <w:vAlign w:val="center"/>
          </w:tcPr>
          <w:p w14:paraId="61871903" w14:textId="77777777" w:rsidR="00283D9D" w:rsidRPr="001C5FBA" w:rsidRDefault="0097075E" w:rsidP="00C472F2">
            <w:pPr>
              <w:pStyle w:val="NormalWeb"/>
              <w:tabs>
                <w:tab w:val="decimal" w:pos="540"/>
              </w:tabs>
              <w:spacing w:before="0" w:beforeAutospacing="0" w:after="0" w:afterAutospacing="0"/>
              <w:textAlignment w:val="bottom"/>
              <w:rPr>
                <w:rFonts w:ascii="Arial" w:hAnsi="Arial" w:cs="Arial"/>
                <w:sz w:val="18"/>
                <w:szCs w:val="18"/>
              </w:rPr>
            </w:pPr>
            <w:r w:rsidRPr="001C5FBA">
              <w:rPr>
                <w:rFonts w:ascii="Arial" w:hAnsi="Arial" w:cs="Arial"/>
                <w:sz w:val="18"/>
                <w:szCs w:val="18"/>
              </w:rPr>
              <w:t>6</w:t>
            </w:r>
            <w:r w:rsidR="00C472F2">
              <w:rPr>
                <w:rFonts w:ascii="Arial" w:hAnsi="Arial" w:cs="Arial"/>
                <w:sz w:val="18"/>
                <w:szCs w:val="18"/>
              </w:rPr>
              <w:t xml:space="preserve"> </w:t>
            </w:r>
            <w:r w:rsidRPr="001C5FBA">
              <w:rPr>
                <w:rFonts w:ascii="Arial" w:hAnsi="Arial" w:cs="Arial"/>
                <w:sz w:val="18"/>
                <w:szCs w:val="18"/>
              </w:rPr>
              <w:t>115</w:t>
            </w:r>
          </w:p>
        </w:tc>
        <w:tc>
          <w:tcPr>
            <w:tcW w:w="1039" w:type="dxa"/>
            <w:vAlign w:val="center"/>
          </w:tcPr>
          <w:p w14:paraId="16D771AB" w14:textId="77777777" w:rsidR="00283D9D" w:rsidRPr="001C5FBA" w:rsidRDefault="0097075E" w:rsidP="00283D9D">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5</w:t>
            </w:r>
            <w:r w:rsidR="00C472F2">
              <w:rPr>
                <w:rFonts w:ascii="Arial" w:eastAsia="Helvetica Neue Medium" w:hAnsi="Arial" w:cs="Arial"/>
                <w:sz w:val="18"/>
                <w:szCs w:val="18"/>
              </w:rPr>
              <w:t xml:space="preserve"> </w:t>
            </w:r>
            <w:r w:rsidRPr="001C5FBA">
              <w:rPr>
                <w:rFonts w:ascii="Arial" w:eastAsia="Helvetica Neue Medium" w:hAnsi="Arial" w:cs="Arial"/>
                <w:sz w:val="18"/>
                <w:szCs w:val="18"/>
              </w:rPr>
              <w:t>817</w:t>
            </w:r>
          </w:p>
        </w:tc>
        <w:tc>
          <w:tcPr>
            <w:tcW w:w="1451" w:type="dxa"/>
            <w:shd w:val="clear" w:color="auto" w:fill="auto"/>
            <w:tcMar>
              <w:top w:w="15" w:type="dxa"/>
              <w:left w:w="15" w:type="dxa"/>
              <w:bottom w:w="0" w:type="dxa"/>
              <w:right w:w="15" w:type="dxa"/>
            </w:tcMar>
            <w:vAlign w:val="center"/>
          </w:tcPr>
          <w:p w14:paraId="62305DF9" w14:textId="77777777" w:rsidR="00283D9D" w:rsidRPr="001C5FBA" w:rsidRDefault="00323663" w:rsidP="00283D9D">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-4.9</w:t>
            </w:r>
          </w:p>
        </w:tc>
      </w:tr>
      <w:tr w:rsidR="007F53F2" w:rsidRPr="001C5FBA" w14:paraId="5F48222F" w14:textId="77777777" w:rsidTr="00CD47EE">
        <w:trPr>
          <w:trHeight w:val="227"/>
          <w:jc w:val="center"/>
        </w:trPr>
        <w:tc>
          <w:tcPr>
            <w:tcW w:w="4460" w:type="dxa"/>
            <w:shd w:val="clear" w:color="auto" w:fill="auto"/>
            <w:tcMar>
              <w:top w:w="15" w:type="dxa"/>
              <w:left w:w="15" w:type="dxa"/>
              <w:bottom w:w="0" w:type="dxa"/>
              <w:right w:w="15" w:type="dxa"/>
            </w:tcMar>
            <w:vAlign w:val="center"/>
            <w:hideMark/>
          </w:tcPr>
          <w:p w14:paraId="20A7DFD5" w14:textId="77777777" w:rsidR="00283D9D" w:rsidRPr="001C5FBA" w:rsidRDefault="00283D9D" w:rsidP="00CD47EE">
            <w:pPr>
              <w:pStyle w:val="Default"/>
              <w:rPr>
                <w:color w:val="auto"/>
                <w:sz w:val="18"/>
                <w:szCs w:val="18"/>
                <w:lang w:eastAsia="es-MX"/>
              </w:rPr>
            </w:pPr>
            <w:r w:rsidRPr="001C5FBA">
              <w:rPr>
                <w:color w:val="auto"/>
                <w:sz w:val="18"/>
                <w:szCs w:val="18"/>
                <w:lang w:eastAsia="es-MX"/>
              </w:rPr>
              <w:t>Ingresos por suministro de bienes y servicios</w:t>
            </w:r>
          </w:p>
        </w:tc>
        <w:tc>
          <w:tcPr>
            <w:tcW w:w="1267" w:type="dxa"/>
            <w:shd w:val="clear" w:color="auto" w:fill="auto"/>
            <w:tcMar>
              <w:top w:w="15" w:type="dxa"/>
              <w:left w:w="15" w:type="dxa"/>
              <w:bottom w:w="0" w:type="dxa"/>
              <w:right w:w="15" w:type="dxa"/>
            </w:tcMar>
            <w:vAlign w:val="center"/>
          </w:tcPr>
          <w:p w14:paraId="6342AFA4" w14:textId="77777777" w:rsidR="00283D9D" w:rsidRPr="001C5FBA" w:rsidRDefault="0097075E" w:rsidP="00C472F2">
            <w:pPr>
              <w:pStyle w:val="NormalWeb"/>
              <w:tabs>
                <w:tab w:val="decimal" w:pos="540"/>
              </w:tabs>
              <w:spacing w:before="0" w:beforeAutospacing="0" w:after="0" w:afterAutospacing="0"/>
              <w:textAlignment w:val="bottom"/>
              <w:rPr>
                <w:rFonts w:ascii="Arial" w:hAnsi="Arial" w:cs="Arial"/>
                <w:sz w:val="18"/>
                <w:szCs w:val="18"/>
              </w:rPr>
            </w:pPr>
            <w:r w:rsidRPr="001C5FBA">
              <w:rPr>
                <w:rFonts w:ascii="Arial" w:eastAsia="Helvetica Neue Medium" w:hAnsi="Arial" w:cs="Arial"/>
                <w:sz w:val="18"/>
                <w:szCs w:val="18"/>
              </w:rPr>
              <w:t>9</w:t>
            </w:r>
            <w:r w:rsidR="00C472F2">
              <w:rPr>
                <w:rFonts w:ascii="Arial" w:eastAsia="Helvetica Neue Medium" w:hAnsi="Arial" w:cs="Arial"/>
                <w:sz w:val="18"/>
                <w:szCs w:val="18"/>
              </w:rPr>
              <w:t xml:space="preserve"> </w:t>
            </w:r>
            <w:r w:rsidRPr="001C5FBA">
              <w:rPr>
                <w:rFonts w:ascii="Arial" w:eastAsia="Helvetica Neue Medium" w:hAnsi="Arial" w:cs="Arial"/>
                <w:sz w:val="18"/>
                <w:szCs w:val="18"/>
              </w:rPr>
              <w:t>314</w:t>
            </w:r>
          </w:p>
        </w:tc>
        <w:tc>
          <w:tcPr>
            <w:tcW w:w="1039" w:type="dxa"/>
            <w:vAlign w:val="center"/>
          </w:tcPr>
          <w:p w14:paraId="10590870" w14:textId="77777777" w:rsidR="00283D9D" w:rsidRPr="001C5FBA" w:rsidRDefault="0097075E" w:rsidP="00283D9D">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8</w:t>
            </w:r>
            <w:r w:rsidR="00C472F2">
              <w:rPr>
                <w:rFonts w:ascii="Arial" w:eastAsia="Helvetica Neue Medium" w:hAnsi="Arial" w:cs="Arial"/>
                <w:sz w:val="18"/>
                <w:szCs w:val="18"/>
              </w:rPr>
              <w:t xml:space="preserve"> </w:t>
            </w:r>
            <w:r w:rsidRPr="001C5FBA">
              <w:rPr>
                <w:rFonts w:ascii="Arial" w:eastAsia="Helvetica Neue Medium" w:hAnsi="Arial" w:cs="Arial"/>
                <w:sz w:val="18"/>
                <w:szCs w:val="18"/>
              </w:rPr>
              <w:t>873</w:t>
            </w:r>
          </w:p>
        </w:tc>
        <w:tc>
          <w:tcPr>
            <w:tcW w:w="1451" w:type="dxa"/>
            <w:shd w:val="clear" w:color="auto" w:fill="auto"/>
            <w:tcMar>
              <w:top w:w="15" w:type="dxa"/>
              <w:left w:w="15" w:type="dxa"/>
              <w:bottom w:w="0" w:type="dxa"/>
              <w:right w:w="15" w:type="dxa"/>
            </w:tcMar>
            <w:vAlign w:val="center"/>
          </w:tcPr>
          <w:p w14:paraId="42A56CB5" w14:textId="77777777" w:rsidR="00283D9D" w:rsidRPr="001C5FBA" w:rsidRDefault="0097075E" w:rsidP="00283D9D">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-4.7</w:t>
            </w:r>
          </w:p>
        </w:tc>
      </w:tr>
      <w:tr w:rsidR="007F53F2" w:rsidRPr="001C5FBA" w14:paraId="3CF855BD" w14:textId="77777777" w:rsidTr="00CD47EE">
        <w:trPr>
          <w:trHeight w:val="227"/>
          <w:jc w:val="center"/>
        </w:trPr>
        <w:tc>
          <w:tcPr>
            <w:tcW w:w="4460" w:type="dxa"/>
            <w:shd w:val="clear" w:color="auto" w:fill="auto"/>
            <w:tcMar>
              <w:top w:w="15" w:type="dxa"/>
              <w:left w:w="15" w:type="dxa"/>
              <w:bottom w:w="0" w:type="dxa"/>
              <w:right w:w="15" w:type="dxa"/>
            </w:tcMar>
            <w:vAlign w:val="center"/>
            <w:hideMark/>
          </w:tcPr>
          <w:p w14:paraId="6D545B62" w14:textId="77777777" w:rsidR="00283D9D" w:rsidRPr="001C5FBA" w:rsidRDefault="00283D9D" w:rsidP="00CD47EE">
            <w:pPr>
              <w:pStyle w:val="Default"/>
              <w:rPr>
                <w:color w:val="auto"/>
                <w:sz w:val="18"/>
                <w:szCs w:val="18"/>
                <w:lang w:eastAsia="es-MX"/>
              </w:rPr>
            </w:pPr>
            <w:r w:rsidRPr="001C5FBA">
              <w:rPr>
                <w:color w:val="auto"/>
                <w:sz w:val="18"/>
                <w:szCs w:val="18"/>
                <w:lang w:eastAsia="es-MX"/>
              </w:rPr>
              <w:t>Valor de activos fijos totales</w:t>
            </w:r>
          </w:p>
        </w:tc>
        <w:tc>
          <w:tcPr>
            <w:tcW w:w="1267" w:type="dxa"/>
            <w:shd w:val="clear" w:color="auto" w:fill="auto"/>
            <w:tcMar>
              <w:top w:w="15" w:type="dxa"/>
              <w:left w:w="15" w:type="dxa"/>
              <w:bottom w:w="0" w:type="dxa"/>
              <w:right w:w="15" w:type="dxa"/>
            </w:tcMar>
            <w:vAlign w:val="center"/>
          </w:tcPr>
          <w:p w14:paraId="5842B789" w14:textId="77777777" w:rsidR="00283D9D" w:rsidRPr="001C5FBA" w:rsidRDefault="00AD63A1" w:rsidP="00C472F2">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3</w:t>
            </w:r>
            <w:r w:rsidR="00C472F2">
              <w:rPr>
                <w:rFonts w:ascii="Arial" w:eastAsia="Helvetica Neue Medium" w:hAnsi="Arial" w:cs="Arial"/>
                <w:sz w:val="18"/>
                <w:szCs w:val="18"/>
              </w:rPr>
              <w:t xml:space="preserve"> </w:t>
            </w:r>
            <w:r w:rsidRPr="001C5FBA">
              <w:rPr>
                <w:rFonts w:ascii="Arial" w:eastAsia="Helvetica Neue Medium" w:hAnsi="Arial" w:cs="Arial"/>
                <w:sz w:val="18"/>
                <w:szCs w:val="18"/>
              </w:rPr>
              <w:t>497</w:t>
            </w:r>
          </w:p>
        </w:tc>
        <w:tc>
          <w:tcPr>
            <w:tcW w:w="1039" w:type="dxa"/>
            <w:vAlign w:val="center"/>
          </w:tcPr>
          <w:p w14:paraId="1287E335" w14:textId="77777777" w:rsidR="00283D9D" w:rsidRPr="001C5FBA" w:rsidRDefault="00AD63A1" w:rsidP="00283D9D">
            <w:pPr>
              <w:pStyle w:val="NormalWeb"/>
              <w:spacing w:before="0" w:beforeAutospacing="0" w:after="0" w:afterAutospacing="0"/>
              <w:jc w:val="center"/>
              <w:textAlignment w:val="bottom"/>
              <w:rPr>
                <w:rFonts w:ascii="Arial" w:eastAsia="Helvetica Neue Medium" w:hAnsi="Arial" w:cs="Arial"/>
                <w:sz w:val="18"/>
                <w:szCs w:val="18"/>
              </w:rPr>
            </w:pPr>
            <w:r w:rsidRPr="001C5FBA">
              <w:rPr>
                <w:rFonts w:ascii="Arial" w:eastAsia="Helvetica Neue Medium" w:hAnsi="Arial" w:cs="Arial"/>
                <w:sz w:val="18"/>
                <w:szCs w:val="18"/>
              </w:rPr>
              <w:t>3</w:t>
            </w:r>
            <w:r w:rsidR="00C472F2">
              <w:rPr>
                <w:rFonts w:ascii="Arial" w:eastAsia="Helvetica Neue Medium" w:hAnsi="Arial" w:cs="Arial"/>
                <w:sz w:val="18"/>
                <w:szCs w:val="18"/>
              </w:rPr>
              <w:t xml:space="preserve"> </w:t>
            </w:r>
            <w:r w:rsidRPr="001C5FBA">
              <w:rPr>
                <w:rFonts w:ascii="Arial" w:eastAsia="Helvetica Neue Medium" w:hAnsi="Arial" w:cs="Arial"/>
                <w:sz w:val="18"/>
                <w:szCs w:val="18"/>
              </w:rPr>
              <w:t>629</w:t>
            </w:r>
          </w:p>
        </w:tc>
        <w:tc>
          <w:tcPr>
            <w:tcW w:w="1451" w:type="dxa"/>
            <w:shd w:val="clear" w:color="auto" w:fill="auto"/>
            <w:tcMar>
              <w:top w:w="15" w:type="dxa"/>
              <w:left w:w="15" w:type="dxa"/>
              <w:bottom w:w="0" w:type="dxa"/>
              <w:right w:w="15" w:type="dxa"/>
            </w:tcMar>
            <w:vAlign w:val="center"/>
          </w:tcPr>
          <w:p w14:paraId="022412F8" w14:textId="77777777" w:rsidR="00283D9D" w:rsidRPr="001C5FBA" w:rsidRDefault="00AD63A1" w:rsidP="00283D9D">
            <w:pPr>
              <w:pStyle w:val="NormalWeb"/>
              <w:spacing w:before="0" w:beforeAutospacing="0" w:after="0" w:afterAutospacing="0"/>
              <w:jc w:val="center"/>
              <w:textAlignment w:val="bottom"/>
              <w:rPr>
                <w:rFonts w:ascii="Arial" w:hAnsi="Arial" w:cs="Arial"/>
                <w:sz w:val="18"/>
                <w:szCs w:val="18"/>
              </w:rPr>
            </w:pPr>
            <w:r w:rsidRPr="001C5FBA">
              <w:rPr>
                <w:rFonts w:ascii="Arial" w:eastAsia="Helvetica Neue Medium" w:hAnsi="Arial" w:cs="Arial"/>
                <w:sz w:val="18"/>
                <w:szCs w:val="18"/>
              </w:rPr>
              <w:t>3.8</w:t>
            </w:r>
          </w:p>
        </w:tc>
      </w:tr>
    </w:tbl>
    <w:p w14:paraId="1DFDFC7F" w14:textId="77777777" w:rsidR="00D009A4" w:rsidRPr="00A341C6" w:rsidRDefault="00D009A4" w:rsidP="00A86500">
      <w:pPr>
        <w:pStyle w:val="Default"/>
        <w:ind w:left="284"/>
        <w:jc w:val="both"/>
        <w:rPr>
          <w:color w:val="auto"/>
          <w:sz w:val="16"/>
          <w:lang w:eastAsia="es-MX"/>
        </w:rPr>
      </w:pPr>
      <w:r w:rsidRPr="00A341C6">
        <w:rPr>
          <w:color w:val="auto"/>
          <w:sz w:val="16"/>
          <w:vertAlign w:val="superscript"/>
          <w:lang w:eastAsia="es-MX"/>
        </w:rPr>
        <w:t>p/</w:t>
      </w:r>
      <w:r w:rsidR="0003202F">
        <w:rPr>
          <w:color w:val="auto"/>
          <w:sz w:val="16"/>
          <w:vertAlign w:val="superscript"/>
          <w:lang w:eastAsia="es-MX"/>
        </w:rPr>
        <w:t xml:space="preserve"> </w:t>
      </w:r>
      <w:r w:rsidR="00DB5229">
        <w:rPr>
          <w:color w:val="auto"/>
          <w:sz w:val="16"/>
          <w:lang w:eastAsia="es-MX"/>
        </w:rPr>
        <w:t>Cifras preliminares.</w:t>
      </w:r>
    </w:p>
    <w:p w14:paraId="33CC4D88" w14:textId="77777777" w:rsidR="00D009A4" w:rsidRPr="00A341C6" w:rsidRDefault="00D009A4" w:rsidP="00A86500">
      <w:pPr>
        <w:pStyle w:val="Default"/>
        <w:ind w:left="284"/>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p>
    <w:p w14:paraId="3FC7397E" w14:textId="77777777" w:rsidR="00A11D42" w:rsidRDefault="00A11D42" w:rsidP="00A11D42">
      <w:pPr>
        <w:pStyle w:val="Default"/>
        <w:jc w:val="both"/>
        <w:rPr>
          <w:b/>
          <w:color w:val="auto"/>
          <w:sz w:val="22"/>
          <w:lang w:eastAsia="es-MX"/>
        </w:rPr>
      </w:pPr>
    </w:p>
    <w:p w14:paraId="58F55D81" w14:textId="77777777" w:rsidR="00955C01" w:rsidRDefault="00391DFD" w:rsidP="00391DFD">
      <w:pPr>
        <w:pStyle w:val="Default"/>
        <w:jc w:val="both"/>
        <w:rPr>
          <w:bCs/>
          <w:color w:val="auto"/>
          <w:sz w:val="22"/>
          <w:lang w:eastAsia="es-MX"/>
        </w:rPr>
      </w:pPr>
      <w:r>
        <w:rPr>
          <w:bCs/>
          <w:color w:val="auto"/>
          <w:sz w:val="22"/>
          <w:lang w:eastAsia="es-MX"/>
        </w:rPr>
        <w:lastRenderedPageBreak/>
        <w:t xml:space="preserve">En 2020, la participación del personal ocupado subcontratado se reduce </w:t>
      </w:r>
      <w:r w:rsidR="00955C01">
        <w:rPr>
          <w:bCs/>
          <w:color w:val="auto"/>
          <w:sz w:val="22"/>
          <w:lang w:eastAsia="es-MX"/>
        </w:rPr>
        <w:t xml:space="preserve">en </w:t>
      </w:r>
      <w:r>
        <w:rPr>
          <w:bCs/>
          <w:color w:val="auto"/>
          <w:sz w:val="22"/>
          <w:lang w:eastAsia="es-MX"/>
        </w:rPr>
        <w:t>0.4</w:t>
      </w:r>
      <w:r w:rsidR="00955C01">
        <w:rPr>
          <w:bCs/>
          <w:color w:val="auto"/>
          <w:sz w:val="22"/>
          <w:lang w:eastAsia="es-MX"/>
        </w:rPr>
        <w:t xml:space="preserve"> puntos</w:t>
      </w:r>
      <w:r>
        <w:rPr>
          <w:bCs/>
          <w:color w:val="auto"/>
          <w:sz w:val="22"/>
          <w:lang w:eastAsia="es-MX"/>
        </w:rPr>
        <w:t xml:space="preserve"> en comparación </w:t>
      </w:r>
      <w:r w:rsidR="00955C01">
        <w:rPr>
          <w:bCs/>
          <w:color w:val="auto"/>
          <w:sz w:val="22"/>
          <w:lang w:eastAsia="es-MX"/>
        </w:rPr>
        <w:t xml:space="preserve">con la contribución que tenía en </w:t>
      </w:r>
      <w:r>
        <w:rPr>
          <w:bCs/>
          <w:color w:val="auto"/>
          <w:sz w:val="22"/>
          <w:lang w:eastAsia="es-MX"/>
        </w:rPr>
        <w:t>2019.</w:t>
      </w:r>
    </w:p>
    <w:p w14:paraId="581109AF" w14:textId="77777777" w:rsidR="00955C01" w:rsidRDefault="00955C01" w:rsidP="00391DFD">
      <w:pPr>
        <w:pStyle w:val="Default"/>
        <w:jc w:val="both"/>
        <w:rPr>
          <w:bCs/>
          <w:color w:val="auto"/>
          <w:sz w:val="22"/>
          <w:lang w:eastAsia="es-MX"/>
        </w:rPr>
      </w:pPr>
    </w:p>
    <w:p w14:paraId="20AD6707" w14:textId="77777777" w:rsidR="00391DFD" w:rsidRDefault="00391DFD" w:rsidP="00391DFD">
      <w:pPr>
        <w:pStyle w:val="Default"/>
        <w:jc w:val="both"/>
        <w:rPr>
          <w:bCs/>
          <w:color w:val="auto"/>
          <w:sz w:val="22"/>
          <w:lang w:eastAsia="es-MX"/>
        </w:rPr>
      </w:pPr>
      <w:r>
        <w:rPr>
          <w:bCs/>
          <w:color w:val="auto"/>
          <w:sz w:val="22"/>
          <w:lang w:eastAsia="es-MX"/>
        </w:rPr>
        <w:t>Dicho rubro registra disminuciones en 1</w:t>
      </w:r>
      <w:r w:rsidR="00B9062E">
        <w:rPr>
          <w:bCs/>
          <w:color w:val="auto"/>
          <w:sz w:val="22"/>
          <w:lang w:eastAsia="es-MX"/>
        </w:rPr>
        <w:t>3</w:t>
      </w:r>
      <w:r>
        <w:rPr>
          <w:bCs/>
          <w:color w:val="auto"/>
          <w:sz w:val="22"/>
          <w:lang w:eastAsia="es-MX"/>
        </w:rPr>
        <w:t xml:space="preserve"> subsectores, entre los que más destacan por su nivel de </w:t>
      </w:r>
      <w:r w:rsidR="00955C01">
        <w:rPr>
          <w:bCs/>
          <w:color w:val="auto"/>
          <w:sz w:val="22"/>
          <w:lang w:eastAsia="es-MX"/>
        </w:rPr>
        <w:t>disminución se encuentran la impresión e industrias conexas 3 puntos, industria del plástico y del hule 2.1 puntos, industria de la madera 1.8 puntos, fabricación de maquinaria y equipo 1.2 puntos y fabricación de muebles 1.1 puntos de diferencia.</w:t>
      </w:r>
    </w:p>
    <w:p w14:paraId="375632F6" w14:textId="77777777" w:rsidR="00391DFD" w:rsidRDefault="00391DFD" w:rsidP="00391DFD">
      <w:pPr>
        <w:pStyle w:val="Default"/>
        <w:jc w:val="both"/>
        <w:rPr>
          <w:bCs/>
          <w:color w:val="auto"/>
          <w:sz w:val="22"/>
          <w:lang w:eastAsia="es-MX"/>
        </w:rPr>
      </w:pPr>
    </w:p>
    <w:p w14:paraId="00EDE2C9" w14:textId="77777777" w:rsidR="00EA07DA" w:rsidRPr="00A341C6" w:rsidRDefault="00EA07DA" w:rsidP="00EA07DA">
      <w:pPr>
        <w:pStyle w:val="Default"/>
        <w:jc w:val="center"/>
        <w:rPr>
          <w:b/>
          <w:color w:val="auto"/>
          <w:sz w:val="22"/>
          <w:lang w:eastAsia="es-MX"/>
        </w:rPr>
      </w:pPr>
      <w:r w:rsidRPr="00A341C6">
        <w:rPr>
          <w:b/>
          <w:color w:val="auto"/>
          <w:sz w:val="22"/>
          <w:lang w:eastAsia="es-MX"/>
        </w:rPr>
        <w:t>Cuadro</w:t>
      </w:r>
      <w:r>
        <w:rPr>
          <w:b/>
          <w:color w:val="auto"/>
          <w:sz w:val="22"/>
          <w:lang w:eastAsia="es-MX"/>
        </w:rPr>
        <w:t xml:space="preserve"> 2</w:t>
      </w:r>
      <w:r w:rsidRPr="00A341C6">
        <w:rPr>
          <w:b/>
          <w:color w:val="auto"/>
          <w:sz w:val="22"/>
          <w:lang w:eastAsia="es-MX"/>
        </w:rPr>
        <w:t xml:space="preserve"> </w:t>
      </w:r>
    </w:p>
    <w:p w14:paraId="4121DD36" w14:textId="77777777" w:rsidR="00197166" w:rsidRDefault="00EA07DA" w:rsidP="00EA07DA">
      <w:pPr>
        <w:pStyle w:val="Default"/>
        <w:jc w:val="center"/>
        <w:rPr>
          <w:b/>
          <w:color w:val="auto"/>
          <w:sz w:val="22"/>
          <w:lang w:eastAsia="es-MX"/>
        </w:rPr>
      </w:pPr>
      <w:r w:rsidRPr="00E71E8D">
        <w:rPr>
          <w:b/>
          <w:color w:val="auto"/>
          <w:sz w:val="22"/>
          <w:lang w:eastAsia="es-MX"/>
        </w:rPr>
        <w:t xml:space="preserve">Participación porcentual del personal ocupado </w:t>
      </w:r>
      <w:r w:rsidR="000A3B24">
        <w:rPr>
          <w:b/>
          <w:color w:val="auto"/>
          <w:sz w:val="22"/>
          <w:lang w:eastAsia="es-MX"/>
        </w:rPr>
        <w:t>de las i</w:t>
      </w:r>
      <w:r w:rsidR="00326066" w:rsidRPr="00E71E8D">
        <w:rPr>
          <w:b/>
          <w:color w:val="auto"/>
          <w:sz w:val="22"/>
          <w:lang w:eastAsia="es-MX"/>
        </w:rPr>
        <w:t>ndustrias</w:t>
      </w:r>
    </w:p>
    <w:p w14:paraId="4B303031" w14:textId="77777777" w:rsidR="00EA07DA" w:rsidRPr="00E71E8D" w:rsidRDefault="00326066" w:rsidP="00EA07DA">
      <w:pPr>
        <w:pStyle w:val="Default"/>
        <w:jc w:val="center"/>
        <w:rPr>
          <w:b/>
          <w:color w:val="FF0000"/>
          <w:sz w:val="22"/>
          <w:lang w:eastAsia="es-MX"/>
        </w:rPr>
      </w:pPr>
      <w:r w:rsidRPr="00E71E8D">
        <w:rPr>
          <w:b/>
          <w:color w:val="auto"/>
          <w:sz w:val="22"/>
          <w:lang w:eastAsia="es-MX"/>
        </w:rPr>
        <w:t xml:space="preserve"> manufactureras </w:t>
      </w:r>
      <w:r w:rsidR="00E71E8D" w:rsidRPr="00E71E8D">
        <w:rPr>
          <w:b/>
          <w:color w:val="auto"/>
          <w:sz w:val="22"/>
          <w:lang w:eastAsia="es-MX"/>
        </w:rPr>
        <w:t>por</w:t>
      </w:r>
      <w:r w:rsidRPr="00E71E8D">
        <w:rPr>
          <w:b/>
          <w:color w:val="auto"/>
          <w:sz w:val="22"/>
          <w:lang w:eastAsia="es-MX"/>
        </w:rPr>
        <w:t xml:space="preserve"> </w:t>
      </w:r>
      <w:r w:rsidR="00711FBE" w:rsidRPr="00E71E8D">
        <w:rPr>
          <w:b/>
          <w:color w:val="auto"/>
          <w:sz w:val="22"/>
          <w:lang w:eastAsia="es-MX"/>
        </w:rPr>
        <w:t>tipo de</w:t>
      </w:r>
      <w:r w:rsidR="00EA07DA" w:rsidRPr="00E71E8D">
        <w:rPr>
          <w:b/>
          <w:color w:val="auto"/>
          <w:sz w:val="22"/>
          <w:lang w:eastAsia="es-MX"/>
        </w:rPr>
        <w:t xml:space="preserve"> contratación</w:t>
      </w:r>
      <w:r w:rsidR="00E71E8D" w:rsidRPr="00E71E8D">
        <w:rPr>
          <w:b/>
          <w:color w:val="auto"/>
          <w:sz w:val="22"/>
          <w:lang w:eastAsia="es-MX"/>
        </w:rPr>
        <w:t xml:space="preserve"> </w:t>
      </w:r>
      <w:r w:rsidR="00355850">
        <w:rPr>
          <w:b/>
          <w:color w:val="auto"/>
          <w:sz w:val="22"/>
          <w:lang w:eastAsia="es-MX"/>
        </w:rPr>
        <w:t>y subsector</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850"/>
        <w:gridCol w:w="997"/>
        <w:gridCol w:w="846"/>
        <w:gridCol w:w="992"/>
        <w:gridCol w:w="851"/>
        <w:gridCol w:w="857"/>
      </w:tblGrid>
      <w:tr w:rsidR="00326066" w:rsidRPr="006E63EB" w14:paraId="57E1C8B0" w14:textId="77777777" w:rsidTr="006E63EB">
        <w:trPr>
          <w:trHeight w:val="57"/>
          <w:jc w:val="center"/>
        </w:trPr>
        <w:tc>
          <w:tcPr>
            <w:tcW w:w="3114" w:type="dxa"/>
            <w:vMerge w:val="restart"/>
            <w:shd w:val="clear" w:color="000000" w:fill="A9D08E"/>
            <w:noWrap/>
            <w:tcMar>
              <w:top w:w="15" w:type="dxa"/>
              <w:left w:w="15" w:type="dxa"/>
              <w:bottom w:w="0" w:type="dxa"/>
              <w:right w:w="15" w:type="dxa"/>
            </w:tcMar>
            <w:vAlign w:val="center"/>
          </w:tcPr>
          <w:p w14:paraId="12B5A95C" w14:textId="77777777" w:rsidR="00326066" w:rsidRPr="00F9032A" w:rsidRDefault="00326066" w:rsidP="00A64652">
            <w:pPr>
              <w:spacing w:after="0" w:line="240" w:lineRule="auto"/>
              <w:jc w:val="center"/>
              <w:rPr>
                <w:rFonts w:ascii="Arial" w:hAnsi="Arial" w:cs="Arial"/>
                <w:b/>
                <w:sz w:val="16"/>
                <w:szCs w:val="16"/>
              </w:rPr>
            </w:pPr>
            <w:r w:rsidRPr="00F9032A">
              <w:rPr>
                <w:rFonts w:ascii="Arial" w:hAnsi="Arial" w:cs="Arial"/>
                <w:b/>
                <w:sz w:val="16"/>
                <w:szCs w:val="16"/>
              </w:rPr>
              <w:t>Sector/subsector</w:t>
            </w:r>
          </w:p>
        </w:tc>
        <w:tc>
          <w:tcPr>
            <w:tcW w:w="3685" w:type="dxa"/>
            <w:gridSpan w:val="4"/>
            <w:shd w:val="clear" w:color="000000" w:fill="A9D08E"/>
            <w:noWrap/>
            <w:tcMar>
              <w:top w:w="15" w:type="dxa"/>
              <w:left w:w="15" w:type="dxa"/>
              <w:bottom w:w="0" w:type="dxa"/>
              <w:right w:w="15" w:type="dxa"/>
            </w:tcMar>
            <w:vAlign w:val="center"/>
          </w:tcPr>
          <w:p w14:paraId="5E2EF4EE" w14:textId="77777777" w:rsidR="00326066" w:rsidRPr="00F9032A" w:rsidRDefault="00E54869" w:rsidP="00A64652">
            <w:pPr>
              <w:spacing w:after="0" w:line="240" w:lineRule="auto"/>
              <w:jc w:val="center"/>
              <w:rPr>
                <w:rFonts w:ascii="Arial" w:hAnsi="Arial" w:cs="Arial"/>
                <w:b/>
                <w:sz w:val="16"/>
                <w:szCs w:val="16"/>
              </w:rPr>
            </w:pPr>
            <w:r>
              <w:rPr>
                <w:rFonts w:ascii="Arial" w:hAnsi="Arial" w:cs="Arial"/>
                <w:b/>
                <w:sz w:val="16"/>
                <w:szCs w:val="16"/>
              </w:rPr>
              <w:t>Personal ocupado</w:t>
            </w:r>
          </w:p>
        </w:tc>
        <w:tc>
          <w:tcPr>
            <w:tcW w:w="1708" w:type="dxa"/>
            <w:gridSpan w:val="2"/>
            <w:shd w:val="clear" w:color="000000" w:fill="A9D08E"/>
            <w:noWrap/>
            <w:tcMar>
              <w:top w:w="15" w:type="dxa"/>
              <w:left w:w="15" w:type="dxa"/>
              <w:bottom w:w="0" w:type="dxa"/>
              <w:right w:w="15" w:type="dxa"/>
            </w:tcMar>
            <w:vAlign w:val="center"/>
          </w:tcPr>
          <w:p w14:paraId="4A772561" w14:textId="77777777" w:rsidR="00326066" w:rsidRPr="006E63EB" w:rsidRDefault="00326066" w:rsidP="00A64652">
            <w:pPr>
              <w:spacing w:after="0" w:line="240" w:lineRule="auto"/>
              <w:jc w:val="center"/>
              <w:rPr>
                <w:rFonts w:ascii="Arial" w:hAnsi="Arial" w:cs="Arial"/>
                <w:b/>
                <w:sz w:val="14"/>
                <w:szCs w:val="14"/>
              </w:rPr>
            </w:pPr>
            <w:r w:rsidRPr="006E63EB">
              <w:rPr>
                <w:rFonts w:ascii="Arial" w:hAnsi="Arial" w:cs="Arial"/>
                <w:b/>
                <w:sz w:val="14"/>
                <w:szCs w:val="14"/>
              </w:rPr>
              <w:t>Diferencia anual</w:t>
            </w:r>
          </w:p>
        </w:tc>
      </w:tr>
      <w:tr w:rsidR="006E63EB" w:rsidRPr="00EA07DA" w14:paraId="4742E6B9" w14:textId="77777777" w:rsidTr="006E63EB">
        <w:trPr>
          <w:trHeight w:val="57"/>
          <w:jc w:val="center"/>
        </w:trPr>
        <w:tc>
          <w:tcPr>
            <w:tcW w:w="3114" w:type="dxa"/>
            <w:vMerge/>
            <w:shd w:val="clear" w:color="000000" w:fill="A9D08E"/>
            <w:noWrap/>
            <w:tcMar>
              <w:top w:w="15" w:type="dxa"/>
              <w:left w:w="15" w:type="dxa"/>
              <w:bottom w:w="0" w:type="dxa"/>
              <w:right w:w="15" w:type="dxa"/>
            </w:tcMar>
            <w:vAlign w:val="center"/>
            <w:hideMark/>
          </w:tcPr>
          <w:p w14:paraId="0BDCE899" w14:textId="77777777" w:rsidR="006E63EB" w:rsidRPr="00F9032A" w:rsidRDefault="006E63EB" w:rsidP="00A64652">
            <w:pPr>
              <w:spacing w:after="0" w:line="240" w:lineRule="auto"/>
              <w:jc w:val="center"/>
              <w:rPr>
                <w:rFonts w:ascii="Arial" w:hAnsi="Arial" w:cs="Arial"/>
                <w:b/>
                <w:sz w:val="16"/>
                <w:szCs w:val="16"/>
              </w:rPr>
            </w:pPr>
          </w:p>
        </w:tc>
        <w:tc>
          <w:tcPr>
            <w:tcW w:w="1847" w:type="dxa"/>
            <w:gridSpan w:val="2"/>
            <w:shd w:val="clear" w:color="000000" w:fill="A9D08E"/>
            <w:noWrap/>
            <w:tcMar>
              <w:top w:w="15" w:type="dxa"/>
              <w:left w:w="15" w:type="dxa"/>
              <w:bottom w:w="0" w:type="dxa"/>
              <w:right w:w="15" w:type="dxa"/>
            </w:tcMar>
            <w:vAlign w:val="center"/>
            <w:hideMark/>
          </w:tcPr>
          <w:p w14:paraId="34D3F532" w14:textId="77777777" w:rsidR="006E63EB" w:rsidRPr="00F9032A" w:rsidRDefault="006E63EB" w:rsidP="00A64652">
            <w:pPr>
              <w:spacing w:after="0" w:line="240" w:lineRule="auto"/>
              <w:jc w:val="center"/>
              <w:rPr>
                <w:rFonts w:ascii="Arial" w:hAnsi="Arial" w:cs="Arial"/>
                <w:b/>
                <w:sz w:val="16"/>
                <w:szCs w:val="16"/>
              </w:rPr>
            </w:pPr>
            <w:r>
              <w:rPr>
                <w:rFonts w:ascii="Arial" w:hAnsi="Arial" w:cs="Arial"/>
                <w:b/>
                <w:sz w:val="16"/>
                <w:szCs w:val="16"/>
              </w:rPr>
              <w:t>2019</w:t>
            </w:r>
          </w:p>
        </w:tc>
        <w:tc>
          <w:tcPr>
            <w:tcW w:w="1838" w:type="dxa"/>
            <w:gridSpan w:val="2"/>
            <w:shd w:val="clear" w:color="000000" w:fill="A9D08E"/>
            <w:noWrap/>
            <w:tcMar>
              <w:top w:w="15" w:type="dxa"/>
              <w:left w:w="15" w:type="dxa"/>
              <w:bottom w:w="0" w:type="dxa"/>
              <w:right w:w="15" w:type="dxa"/>
            </w:tcMar>
            <w:vAlign w:val="center"/>
            <w:hideMark/>
          </w:tcPr>
          <w:p w14:paraId="4272612C" w14:textId="77777777" w:rsidR="006E63EB" w:rsidRPr="00DB5229" w:rsidRDefault="00DB5229" w:rsidP="00A64652">
            <w:pPr>
              <w:spacing w:after="0" w:line="240" w:lineRule="auto"/>
              <w:jc w:val="center"/>
              <w:rPr>
                <w:rFonts w:ascii="Arial" w:hAnsi="Arial" w:cs="Arial"/>
                <w:b/>
                <w:sz w:val="16"/>
                <w:szCs w:val="16"/>
              </w:rPr>
            </w:pPr>
            <w:r w:rsidRPr="00DB5229">
              <w:rPr>
                <w:rFonts w:ascii="Arial" w:hAnsi="Arial" w:cs="Arial"/>
                <w:b/>
                <w:bCs/>
                <w:sz w:val="16"/>
                <w:szCs w:val="16"/>
                <w:lang w:eastAsia="es-MX"/>
              </w:rPr>
              <w:t>2020</w:t>
            </w:r>
            <w:r w:rsidRPr="00DB5229">
              <w:rPr>
                <w:rFonts w:ascii="Arial" w:eastAsia="Times New Roman" w:hAnsi="Arial" w:cs="Arial"/>
                <w:b/>
                <w:bCs/>
                <w:sz w:val="16"/>
                <w:szCs w:val="16"/>
                <w:vertAlign w:val="superscript"/>
                <w:lang w:eastAsia="es-MX"/>
              </w:rPr>
              <w:t>p/</w:t>
            </w:r>
          </w:p>
        </w:tc>
        <w:tc>
          <w:tcPr>
            <w:tcW w:w="851" w:type="dxa"/>
            <w:vMerge w:val="restart"/>
            <w:shd w:val="clear" w:color="000000" w:fill="A9D08E"/>
            <w:noWrap/>
            <w:tcMar>
              <w:top w:w="15" w:type="dxa"/>
              <w:left w:w="15" w:type="dxa"/>
              <w:bottom w:w="0" w:type="dxa"/>
              <w:right w:w="15" w:type="dxa"/>
            </w:tcMar>
            <w:vAlign w:val="center"/>
            <w:hideMark/>
          </w:tcPr>
          <w:p w14:paraId="39069EF0" w14:textId="77777777" w:rsidR="006E63EB" w:rsidRPr="006E63EB" w:rsidRDefault="006E63EB" w:rsidP="00A64652">
            <w:pPr>
              <w:spacing w:after="0" w:line="240" w:lineRule="auto"/>
              <w:jc w:val="center"/>
              <w:rPr>
                <w:rFonts w:ascii="Arial" w:hAnsi="Arial" w:cs="Arial"/>
                <w:b/>
                <w:sz w:val="12"/>
                <w:szCs w:val="12"/>
              </w:rPr>
            </w:pPr>
            <w:r w:rsidRPr="006E63EB">
              <w:rPr>
                <w:rFonts w:ascii="Arial" w:hAnsi="Arial" w:cs="Arial"/>
                <w:b/>
                <w:sz w:val="12"/>
                <w:szCs w:val="12"/>
              </w:rPr>
              <w:t>Dependiente</w:t>
            </w:r>
          </w:p>
        </w:tc>
        <w:tc>
          <w:tcPr>
            <w:tcW w:w="857" w:type="dxa"/>
            <w:vMerge w:val="restart"/>
            <w:shd w:val="clear" w:color="000000" w:fill="A9D08E"/>
            <w:vAlign w:val="center"/>
          </w:tcPr>
          <w:p w14:paraId="4E0C41BE" w14:textId="77777777" w:rsidR="006E63EB" w:rsidRPr="006E63EB" w:rsidRDefault="006E63EB" w:rsidP="00A64652">
            <w:pPr>
              <w:spacing w:after="0" w:line="240" w:lineRule="auto"/>
              <w:jc w:val="center"/>
              <w:rPr>
                <w:rFonts w:ascii="Arial" w:hAnsi="Arial" w:cs="Arial"/>
                <w:b/>
                <w:sz w:val="12"/>
                <w:szCs w:val="12"/>
              </w:rPr>
            </w:pPr>
            <w:r w:rsidRPr="006E63EB">
              <w:rPr>
                <w:rFonts w:ascii="Arial" w:hAnsi="Arial" w:cs="Arial"/>
                <w:b/>
                <w:sz w:val="12"/>
                <w:szCs w:val="12"/>
              </w:rPr>
              <w:t>Subcontratado</w:t>
            </w:r>
          </w:p>
        </w:tc>
      </w:tr>
      <w:tr w:rsidR="006E63EB" w:rsidRPr="00EA07DA" w14:paraId="518DA9C9" w14:textId="77777777" w:rsidTr="006E63EB">
        <w:trPr>
          <w:trHeight w:val="57"/>
          <w:jc w:val="center"/>
        </w:trPr>
        <w:tc>
          <w:tcPr>
            <w:tcW w:w="3114" w:type="dxa"/>
            <w:vMerge/>
            <w:vAlign w:val="center"/>
            <w:hideMark/>
          </w:tcPr>
          <w:p w14:paraId="6C9A12BB" w14:textId="77777777" w:rsidR="006E63EB" w:rsidRPr="00F9032A" w:rsidRDefault="006E63EB" w:rsidP="006E63EB">
            <w:pPr>
              <w:spacing w:after="0" w:line="240" w:lineRule="auto"/>
              <w:jc w:val="center"/>
              <w:rPr>
                <w:rFonts w:ascii="Arial" w:hAnsi="Arial" w:cs="Arial"/>
                <w:b/>
                <w:sz w:val="16"/>
                <w:szCs w:val="16"/>
              </w:rPr>
            </w:pPr>
          </w:p>
        </w:tc>
        <w:tc>
          <w:tcPr>
            <w:tcW w:w="850" w:type="dxa"/>
            <w:shd w:val="clear" w:color="000000" w:fill="A9D08E"/>
            <w:tcMar>
              <w:top w:w="15" w:type="dxa"/>
              <w:left w:w="15" w:type="dxa"/>
              <w:bottom w:w="0" w:type="dxa"/>
              <w:right w:w="15" w:type="dxa"/>
            </w:tcMar>
            <w:vAlign w:val="center"/>
            <w:hideMark/>
          </w:tcPr>
          <w:p w14:paraId="6DCD93BB" w14:textId="77777777" w:rsidR="006E63EB" w:rsidRPr="006E63EB" w:rsidRDefault="006E63EB" w:rsidP="006E63EB">
            <w:pPr>
              <w:spacing w:after="0" w:line="240" w:lineRule="auto"/>
              <w:jc w:val="center"/>
              <w:rPr>
                <w:rFonts w:ascii="Arial" w:hAnsi="Arial" w:cs="Arial"/>
                <w:b/>
                <w:sz w:val="12"/>
                <w:szCs w:val="12"/>
              </w:rPr>
            </w:pPr>
            <w:r w:rsidRPr="006E63EB">
              <w:rPr>
                <w:rFonts w:ascii="Arial" w:hAnsi="Arial" w:cs="Arial"/>
                <w:b/>
                <w:sz w:val="12"/>
                <w:szCs w:val="12"/>
              </w:rPr>
              <w:t>Dependiente</w:t>
            </w:r>
          </w:p>
        </w:tc>
        <w:tc>
          <w:tcPr>
            <w:tcW w:w="997" w:type="dxa"/>
            <w:shd w:val="clear" w:color="000000" w:fill="A9D08E"/>
            <w:tcMar>
              <w:top w:w="15" w:type="dxa"/>
              <w:left w:w="15" w:type="dxa"/>
              <w:bottom w:w="0" w:type="dxa"/>
              <w:right w:w="15" w:type="dxa"/>
            </w:tcMar>
            <w:vAlign w:val="center"/>
            <w:hideMark/>
          </w:tcPr>
          <w:p w14:paraId="02A95A42" w14:textId="77777777" w:rsidR="006E63EB" w:rsidRPr="006E63EB" w:rsidRDefault="006E63EB" w:rsidP="006E63EB">
            <w:pPr>
              <w:spacing w:after="0" w:line="240" w:lineRule="auto"/>
              <w:jc w:val="center"/>
              <w:rPr>
                <w:rFonts w:ascii="Arial" w:hAnsi="Arial" w:cs="Arial"/>
                <w:b/>
                <w:sz w:val="12"/>
                <w:szCs w:val="12"/>
              </w:rPr>
            </w:pPr>
            <w:r w:rsidRPr="006E63EB">
              <w:rPr>
                <w:rFonts w:ascii="Arial" w:hAnsi="Arial" w:cs="Arial"/>
                <w:b/>
                <w:sz w:val="12"/>
                <w:szCs w:val="12"/>
              </w:rPr>
              <w:t>Subcontratado</w:t>
            </w:r>
          </w:p>
        </w:tc>
        <w:tc>
          <w:tcPr>
            <w:tcW w:w="846" w:type="dxa"/>
            <w:shd w:val="clear" w:color="000000" w:fill="A9D08E"/>
            <w:tcMar>
              <w:top w:w="15" w:type="dxa"/>
              <w:left w:w="15" w:type="dxa"/>
              <w:bottom w:w="0" w:type="dxa"/>
              <w:right w:w="15" w:type="dxa"/>
            </w:tcMar>
            <w:vAlign w:val="center"/>
            <w:hideMark/>
          </w:tcPr>
          <w:p w14:paraId="35F84A0D" w14:textId="77777777" w:rsidR="006E63EB" w:rsidRPr="006E63EB" w:rsidRDefault="006E63EB" w:rsidP="006E63EB">
            <w:pPr>
              <w:spacing w:after="0" w:line="240" w:lineRule="auto"/>
              <w:jc w:val="center"/>
              <w:rPr>
                <w:rFonts w:ascii="Arial" w:hAnsi="Arial" w:cs="Arial"/>
                <w:b/>
                <w:sz w:val="12"/>
                <w:szCs w:val="12"/>
              </w:rPr>
            </w:pPr>
            <w:r w:rsidRPr="006E63EB">
              <w:rPr>
                <w:rFonts w:ascii="Arial" w:hAnsi="Arial" w:cs="Arial"/>
                <w:b/>
                <w:sz w:val="12"/>
                <w:szCs w:val="12"/>
              </w:rPr>
              <w:t>Dependiente</w:t>
            </w:r>
          </w:p>
        </w:tc>
        <w:tc>
          <w:tcPr>
            <w:tcW w:w="992" w:type="dxa"/>
            <w:shd w:val="clear" w:color="000000" w:fill="A9D08E"/>
            <w:tcMar>
              <w:top w:w="15" w:type="dxa"/>
              <w:left w:w="15" w:type="dxa"/>
              <w:bottom w:w="0" w:type="dxa"/>
              <w:right w:w="15" w:type="dxa"/>
            </w:tcMar>
            <w:vAlign w:val="center"/>
            <w:hideMark/>
          </w:tcPr>
          <w:p w14:paraId="113DB7C9" w14:textId="77777777" w:rsidR="006E63EB" w:rsidRPr="006E63EB" w:rsidRDefault="006E63EB" w:rsidP="006E63EB">
            <w:pPr>
              <w:spacing w:after="0" w:line="240" w:lineRule="auto"/>
              <w:jc w:val="center"/>
              <w:rPr>
                <w:rFonts w:ascii="Arial" w:hAnsi="Arial" w:cs="Arial"/>
                <w:b/>
                <w:sz w:val="12"/>
                <w:szCs w:val="12"/>
              </w:rPr>
            </w:pPr>
            <w:r w:rsidRPr="006E63EB">
              <w:rPr>
                <w:rFonts w:ascii="Arial" w:hAnsi="Arial" w:cs="Arial"/>
                <w:b/>
                <w:sz w:val="12"/>
                <w:szCs w:val="12"/>
              </w:rPr>
              <w:t>Subcontratado</w:t>
            </w:r>
          </w:p>
        </w:tc>
        <w:tc>
          <w:tcPr>
            <w:tcW w:w="851" w:type="dxa"/>
            <w:vMerge/>
            <w:shd w:val="clear" w:color="000000" w:fill="A9D08E"/>
            <w:tcMar>
              <w:top w:w="15" w:type="dxa"/>
              <w:left w:w="15" w:type="dxa"/>
              <w:bottom w:w="0" w:type="dxa"/>
              <w:right w:w="15" w:type="dxa"/>
            </w:tcMar>
            <w:vAlign w:val="center"/>
            <w:hideMark/>
          </w:tcPr>
          <w:p w14:paraId="07C04316" w14:textId="77777777" w:rsidR="006E63EB" w:rsidRPr="00F9032A" w:rsidRDefault="006E63EB" w:rsidP="006E63EB">
            <w:pPr>
              <w:spacing w:after="0" w:line="240" w:lineRule="auto"/>
              <w:jc w:val="center"/>
              <w:rPr>
                <w:rFonts w:ascii="Arial" w:hAnsi="Arial" w:cs="Arial"/>
                <w:b/>
                <w:sz w:val="15"/>
                <w:szCs w:val="15"/>
              </w:rPr>
            </w:pPr>
          </w:p>
        </w:tc>
        <w:tc>
          <w:tcPr>
            <w:tcW w:w="857" w:type="dxa"/>
            <w:vMerge/>
            <w:shd w:val="clear" w:color="000000" w:fill="A9D08E"/>
            <w:tcMar>
              <w:top w:w="15" w:type="dxa"/>
              <w:left w:w="15" w:type="dxa"/>
              <w:bottom w:w="0" w:type="dxa"/>
              <w:right w:w="15" w:type="dxa"/>
            </w:tcMar>
            <w:vAlign w:val="center"/>
            <w:hideMark/>
          </w:tcPr>
          <w:p w14:paraId="75DA44C8" w14:textId="77777777" w:rsidR="006E63EB" w:rsidRPr="00F9032A" w:rsidRDefault="006E63EB" w:rsidP="006E63EB">
            <w:pPr>
              <w:spacing w:after="0" w:line="240" w:lineRule="auto"/>
              <w:jc w:val="center"/>
              <w:rPr>
                <w:rFonts w:ascii="Arial" w:hAnsi="Arial" w:cs="Arial"/>
                <w:b/>
                <w:sz w:val="16"/>
                <w:szCs w:val="16"/>
              </w:rPr>
            </w:pPr>
          </w:p>
        </w:tc>
      </w:tr>
      <w:tr w:rsidR="00EC5522" w:rsidRPr="00EA07DA" w14:paraId="2DB8A6EC"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42B76B0C" w14:textId="77777777" w:rsidR="00EC5522" w:rsidRPr="00955C01" w:rsidRDefault="00EC5522" w:rsidP="00EC5522">
            <w:pPr>
              <w:spacing w:after="0" w:line="240" w:lineRule="auto"/>
              <w:rPr>
                <w:rFonts w:ascii="Arial" w:hAnsi="Arial" w:cs="Arial"/>
                <w:b/>
                <w:sz w:val="14"/>
                <w:szCs w:val="14"/>
              </w:rPr>
            </w:pPr>
            <w:r w:rsidRPr="00955C01">
              <w:rPr>
                <w:rFonts w:ascii="Arial" w:hAnsi="Arial" w:cs="Arial"/>
                <w:b/>
                <w:sz w:val="14"/>
                <w:szCs w:val="14"/>
              </w:rPr>
              <w:t>31-33 Industrias manufactureras</w:t>
            </w:r>
          </w:p>
        </w:tc>
        <w:tc>
          <w:tcPr>
            <w:tcW w:w="850" w:type="dxa"/>
            <w:shd w:val="clear" w:color="auto" w:fill="auto"/>
            <w:noWrap/>
            <w:tcMar>
              <w:top w:w="15" w:type="dxa"/>
              <w:left w:w="15" w:type="dxa"/>
              <w:bottom w:w="0" w:type="dxa"/>
              <w:right w:w="15" w:type="dxa"/>
            </w:tcMar>
          </w:tcPr>
          <w:p w14:paraId="11927BD6" w14:textId="77777777" w:rsidR="00EC5522" w:rsidRPr="00955C01" w:rsidRDefault="00EC5522" w:rsidP="00EC5522">
            <w:pPr>
              <w:spacing w:after="0" w:line="240" w:lineRule="auto"/>
              <w:jc w:val="center"/>
              <w:rPr>
                <w:rFonts w:ascii="Arial" w:hAnsi="Arial" w:cs="Arial"/>
                <w:b/>
                <w:color w:val="FF0000"/>
                <w:sz w:val="14"/>
                <w:szCs w:val="14"/>
              </w:rPr>
            </w:pPr>
            <w:r w:rsidRPr="00955C01">
              <w:rPr>
                <w:rFonts w:ascii="Arial" w:hAnsi="Arial" w:cs="Arial"/>
                <w:b/>
                <w:sz w:val="14"/>
                <w:szCs w:val="14"/>
              </w:rPr>
              <w:t>80.1</w:t>
            </w:r>
          </w:p>
        </w:tc>
        <w:tc>
          <w:tcPr>
            <w:tcW w:w="997" w:type="dxa"/>
            <w:shd w:val="clear" w:color="auto" w:fill="auto"/>
            <w:noWrap/>
            <w:tcMar>
              <w:top w:w="15" w:type="dxa"/>
              <w:left w:w="15" w:type="dxa"/>
              <w:bottom w:w="0" w:type="dxa"/>
              <w:right w:w="15" w:type="dxa"/>
            </w:tcMar>
          </w:tcPr>
          <w:p w14:paraId="3BA5775E" w14:textId="77777777" w:rsidR="00EC5522" w:rsidRPr="00955C01" w:rsidRDefault="00EC5522" w:rsidP="00EC5522">
            <w:pPr>
              <w:spacing w:after="0" w:line="240" w:lineRule="auto"/>
              <w:jc w:val="center"/>
              <w:rPr>
                <w:rFonts w:ascii="Arial" w:hAnsi="Arial" w:cs="Arial"/>
                <w:b/>
                <w:color w:val="FF0000"/>
                <w:sz w:val="14"/>
                <w:szCs w:val="14"/>
              </w:rPr>
            </w:pPr>
            <w:r w:rsidRPr="00955C01">
              <w:rPr>
                <w:rFonts w:ascii="Arial" w:hAnsi="Arial" w:cs="Arial"/>
                <w:b/>
                <w:sz w:val="14"/>
                <w:szCs w:val="14"/>
              </w:rPr>
              <w:t>80.5</w:t>
            </w:r>
          </w:p>
        </w:tc>
        <w:tc>
          <w:tcPr>
            <w:tcW w:w="846" w:type="dxa"/>
            <w:shd w:val="clear" w:color="auto" w:fill="auto"/>
            <w:noWrap/>
            <w:tcMar>
              <w:top w:w="15" w:type="dxa"/>
              <w:left w:w="15" w:type="dxa"/>
              <w:bottom w:w="0" w:type="dxa"/>
              <w:right w:w="15" w:type="dxa"/>
            </w:tcMar>
          </w:tcPr>
          <w:p w14:paraId="55E11495" w14:textId="77777777" w:rsidR="00EC5522" w:rsidRPr="00955C01" w:rsidRDefault="00EC5522" w:rsidP="00EC5522">
            <w:pPr>
              <w:spacing w:after="0" w:line="240" w:lineRule="auto"/>
              <w:jc w:val="center"/>
              <w:rPr>
                <w:rFonts w:ascii="Arial" w:hAnsi="Arial" w:cs="Arial"/>
                <w:b/>
                <w:color w:val="FF0000"/>
                <w:sz w:val="14"/>
                <w:szCs w:val="14"/>
              </w:rPr>
            </w:pPr>
            <w:r w:rsidRPr="00955C01">
              <w:rPr>
                <w:rFonts w:ascii="Arial" w:hAnsi="Arial" w:cs="Arial"/>
                <w:b/>
                <w:sz w:val="14"/>
                <w:szCs w:val="14"/>
              </w:rPr>
              <w:t>19.9</w:t>
            </w:r>
          </w:p>
        </w:tc>
        <w:tc>
          <w:tcPr>
            <w:tcW w:w="992" w:type="dxa"/>
            <w:shd w:val="clear" w:color="auto" w:fill="auto"/>
            <w:noWrap/>
            <w:tcMar>
              <w:top w:w="15" w:type="dxa"/>
              <w:left w:w="15" w:type="dxa"/>
              <w:bottom w:w="0" w:type="dxa"/>
              <w:right w:w="15" w:type="dxa"/>
            </w:tcMar>
          </w:tcPr>
          <w:p w14:paraId="36DF8440" w14:textId="77777777" w:rsidR="00EC5522" w:rsidRPr="00955C01" w:rsidRDefault="00EC5522" w:rsidP="00EC5522">
            <w:pPr>
              <w:spacing w:after="0" w:line="240" w:lineRule="auto"/>
              <w:jc w:val="center"/>
              <w:rPr>
                <w:rFonts w:ascii="Arial" w:hAnsi="Arial" w:cs="Arial"/>
                <w:b/>
                <w:color w:val="FF0000"/>
                <w:sz w:val="14"/>
                <w:szCs w:val="14"/>
              </w:rPr>
            </w:pPr>
            <w:r w:rsidRPr="00955C01">
              <w:rPr>
                <w:rFonts w:ascii="Arial" w:hAnsi="Arial" w:cs="Arial"/>
                <w:b/>
                <w:sz w:val="14"/>
                <w:szCs w:val="14"/>
              </w:rPr>
              <w:t>19.5</w:t>
            </w:r>
          </w:p>
        </w:tc>
        <w:tc>
          <w:tcPr>
            <w:tcW w:w="851" w:type="dxa"/>
            <w:shd w:val="clear" w:color="auto" w:fill="auto"/>
            <w:noWrap/>
            <w:tcMar>
              <w:top w:w="15" w:type="dxa"/>
              <w:left w:w="15" w:type="dxa"/>
              <w:bottom w:w="0" w:type="dxa"/>
              <w:right w:w="15" w:type="dxa"/>
            </w:tcMar>
          </w:tcPr>
          <w:p w14:paraId="37E16936" w14:textId="77777777" w:rsidR="00EC5522" w:rsidRPr="00955C01" w:rsidRDefault="00EC5522" w:rsidP="00EC5522">
            <w:pPr>
              <w:spacing w:after="0" w:line="240" w:lineRule="auto"/>
              <w:jc w:val="center"/>
              <w:rPr>
                <w:rFonts w:ascii="Arial" w:hAnsi="Arial" w:cs="Arial"/>
                <w:b/>
                <w:color w:val="FF0000"/>
                <w:sz w:val="14"/>
                <w:szCs w:val="14"/>
              </w:rPr>
            </w:pPr>
            <w:r w:rsidRPr="00955C01">
              <w:rPr>
                <w:rFonts w:ascii="Arial" w:hAnsi="Arial" w:cs="Arial"/>
                <w:b/>
                <w:sz w:val="14"/>
                <w:szCs w:val="14"/>
              </w:rPr>
              <w:t>0.4</w:t>
            </w:r>
          </w:p>
        </w:tc>
        <w:tc>
          <w:tcPr>
            <w:tcW w:w="857" w:type="dxa"/>
            <w:shd w:val="clear" w:color="auto" w:fill="auto"/>
            <w:noWrap/>
            <w:tcMar>
              <w:top w:w="15" w:type="dxa"/>
              <w:left w:w="15" w:type="dxa"/>
              <w:bottom w:w="0" w:type="dxa"/>
              <w:right w:w="15" w:type="dxa"/>
            </w:tcMar>
          </w:tcPr>
          <w:p w14:paraId="5D8E0DEA" w14:textId="77777777" w:rsidR="00EC5522" w:rsidRPr="00955C01" w:rsidRDefault="00EC5522" w:rsidP="00EC5522">
            <w:pPr>
              <w:spacing w:after="0" w:line="240" w:lineRule="auto"/>
              <w:jc w:val="center"/>
              <w:rPr>
                <w:rFonts w:ascii="Arial" w:hAnsi="Arial" w:cs="Arial"/>
                <w:b/>
                <w:color w:val="FF0000"/>
                <w:sz w:val="14"/>
                <w:szCs w:val="14"/>
              </w:rPr>
            </w:pPr>
            <w:r w:rsidRPr="00955C01">
              <w:rPr>
                <w:rFonts w:ascii="Arial" w:hAnsi="Arial" w:cs="Arial"/>
                <w:b/>
                <w:sz w:val="14"/>
                <w:szCs w:val="14"/>
              </w:rPr>
              <w:t>-0.4</w:t>
            </w:r>
          </w:p>
        </w:tc>
      </w:tr>
      <w:tr w:rsidR="00EC5522" w:rsidRPr="00EA07DA" w14:paraId="1DBAB59C"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1FE86834"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311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alimentaria</w:t>
            </w:r>
          </w:p>
        </w:tc>
        <w:tc>
          <w:tcPr>
            <w:tcW w:w="850" w:type="dxa"/>
            <w:shd w:val="clear" w:color="auto" w:fill="auto"/>
            <w:noWrap/>
            <w:tcMar>
              <w:top w:w="15" w:type="dxa"/>
              <w:left w:w="15" w:type="dxa"/>
              <w:bottom w:w="0" w:type="dxa"/>
              <w:right w:w="15" w:type="dxa"/>
            </w:tcMar>
          </w:tcPr>
          <w:p w14:paraId="31F25CC5"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84.0</w:t>
            </w:r>
          </w:p>
        </w:tc>
        <w:tc>
          <w:tcPr>
            <w:tcW w:w="997" w:type="dxa"/>
            <w:shd w:val="clear" w:color="auto" w:fill="auto"/>
            <w:noWrap/>
            <w:tcMar>
              <w:top w:w="15" w:type="dxa"/>
              <w:left w:w="15" w:type="dxa"/>
              <w:bottom w:w="0" w:type="dxa"/>
              <w:right w:w="15" w:type="dxa"/>
            </w:tcMar>
          </w:tcPr>
          <w:p w14:paraId="39DDCF27"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84.2</w:t>
            </w:r>
          </w:p>
        </w:tc>
        <w:tc>
          <w:tcPr>
            <w:tcW w:w="846" w:type="dxa"/>
            <w:shd w:val="clear" w:color="auto" w:fill="auto"/>
            <w:noWrap/>
            <w:tcMar>
              <w:top w:w="15" w:type="dxa"/>
              <w:left w:w="15" w:type="dxa"/>
              <w:bottom w:w="0" w:type="dxa"/>
              <w:right w:w="15" w:type="dxa"/>
            </w:tcMar>
          </w:tcPr>
          <w:p w14:paraId="0D60DFFD"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16.0</w:t>
            </w:r>
          </w:p>
        </w:tc>
        <w:tc>
          <w:tcPr>
            <w:tcW w:w="992" w:type="dxa"/>
            <w:shd w:val="clear" w:color="auto" w:fill="auto"/>
            <w:noWrap/>
            <w:tcMar>
              <w:top w:w="15" w:type="dxa"/>
              <w:left w:w="15" w:type="dxa"/>
              <w:bottom w:w="0" w:type="dxa"/>
              <w:right w:w="15" w:type="dxa"/>
            </w:tcMar>
          </w:tcPr>
          <w:p w14:paraId="587DB81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15.8</w:t>
            </w:r>
          </w:p>
        </w:tc>
        <w:tc>
          <w:tcPr>
            <w:tcW w:w="851" w:type="dxa"/>
            <w:shd w:val="clear" w:color="auto" w:fill="auto"/>
            <w:noWrap/>
            <w:tcMar>
              <w:top w:w="15" w:type="dxa"/>
              <w:left w:w="15" w:type="dxa"/>
              <w:bottom w:w="0" w:type="dxa"/>
              <w:right w:w="15" w:type="dxa"/>
            </w:tcMar>
          </w:tcPr>
          <w:p w14:paraId="6A0B1EC4"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0.1</w:t>
            </w:r>
          </w:p>
        </w:tc>
        <w:tc>
          <w:tcPr>
            <w:tcW w:w="857" w:type="dxa"/>
            <w:shd w:val="clear" w:color="auto" w:fill="auto"/>
            <w:noWrap/>
            <w:tcMar>
              <w:top w:w="15" w:type="dxa"/>
              <w:left w:w="15" w:type="dxa"/>
              <w:bottom w:w="0" w:type="dxa"/>
              <w:right w:w="15" w:type="dxa"/>
            </w:tcMar>
          </w:tcPr>
          <w:p w14:paraId="47A8470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-0.1</w:t>
            </w:r>
          </w:p>
        </w:tc>
      </w:tr>
      <w:tr w:rsidR="00EC5522" w:rsidRPr="00EA07DA" w14:paraId="5AD98AFD"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1ED5ED21"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312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de las bebidas y del tabaco</w:t>
            </w:r>
          </w:p>
        </w:tc>
        <w:tc>
          <w:tcPr>
            <w:tcW w:w="850" w:type="dxa"/>
            <w:shd w:val="clear" w:color="auto" w:fill="auto"/>
            <w:noWrap/>
            <w:tcMar>
              <w:top w:w="15" w:type="dxa"/>
              <w:left w:w="15" w:type="dxa"/>
              <w:bottom w:w="0" w:type="dxa"/>
              <w:right w:w="15" w:type="dxa"/>
            </w:tcMar>
          </w:tcPr>
          <w:p w14:paraId="0FF6BB18"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78.2</w:t>
            </w:r>
          </w:p>
        </w:tc>
        <w:tc>
          <w:tcPr>
            <w:tcW w:w="997" w:type="dxa"/>
            <w:shd w:val="clear" w:color="auto" w:fill="auto"/>
            <w:noWrap/>
            <w:tcMar>
              <w:top w:w="15" w:type="dxa"/>
              <w:left w:w="15" w:type="dxa"/>
              <w:bottom w:w="0" w:type="dxa"/>
              <w:right w:w="15" w:type="dxa"/>
            </w:tcMar>
          </w:tcPr>
          <w:p w14:paraId="077452BA"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78.6</w:t>
            </w:r>
          </w:p>
        </w:tc>
        <w:tc>
          <w:tcPr>
            <w:tcW w:w="846" w:type="dxa"/>
            <w:shd w:val="clear" w:color="auto" w:fill="auto"/>
            <w:noWrap/>
            <w:tcMar>
              <w:top w:w="15" w:type="dxa"/>
              <w:left w:w="15" w:type="dxa"/>
              <w:bottom w:w="0" w:type="dxa"/>
              <w:right w:w="15" w:type="dxa"/>
            </w:tcMar>
          </w:tcPr>
          <w:p w14:paraId="1496563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21.8</w:t>
            </w:r>
          </w:p>
        </w:tc>
        <w:tc>
          <w:tcPr>
            <w:tcW w:w="992" w:type="dxa"/>
            <w:shd w:val="clear" w:color="auto" w:fill="auto"/>
            <w:noWrap/>
            <w:tcMar>
              <w:top w:w="15" w:type="dxa"/>
              <w:left w:w="15" w:type="dxa"/>
              <w:bottom w:w="0" w:type="dxa"/>
              <w:right w:w="15" w:type="dxa"/>
            </w:tcMar>
          </w:tcPr>
          <w:p w14:paraId="6676D2C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21.4</w:t>
            </w:r>
          </w:p>
        </w:tc>
        <w:tc>
          <w:tcPr>
            <w:tcW w:w="851" w:type="dxa"/>
            <w:shd w:val="clear" w:color="auto" w:fill="auto"/>
            <w:noWrap/>
            <w:tcMar>
              <w:top w:w="15" w:type="dxa"/>
              <w:left w:w="15" w:type="dxa"/>
              <w:bottom w:w="0" w:type="dxa"/>
              <w:right w:w="15" w:type="dxa"/>
            </w:tcMar>
          </w:tcPr>
          <w:p w14:paraId="7781D33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0.5</w:t>
            </w:r>
          </w:p>
        </w:tc>
        <w:tc>
          <w:tcPr>
            <w:tcW w:w="857" w:type="dxa"/>
            <w:shd w:val="clear" w:color="auto" w:fill="auto"/>
            <w:noWrap/>
            <w:tcMar>
              <w:top w:w="15" w:type="dxa"/>
              <w:left w:w="15" w:type="dxa"/>
              <w:bottom w:w="0" w:type="dxa"/>
              <w:right w:w="15" w:type="dxa"/>
            </w:tcMar>
          </w:tcPr>
          <w:p w14:paraId="4A91EA62"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-0.5</w:t>
            </w:r>
          </w:p>
        </w:tc>
      </w:tr>
      <w:tr w:rsidR="00EC5522" w:rsidRPr="00EA07DA" w14:paraId="42E025E8"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66B6007F"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313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insumos textiles</w:t>
            </w:r>
          </w:p>
        </w:tc>
        <w:tc>
          <w:tcPr>
            <w:tcW w:w="850" w:type="dxa"/>
            <w:shd w:val="clear" w:color="auto" w:fill="auto"/>
            <w:noWrap/>
            <w:tcMar>
              <w:top w:w="15" w:type="dxa"/>
              <w:left w:w="15" w:type="dxa"/>
              <w:bottom w:w="0" w:type="dxa"/>
              <w:right w:w="15" w:type="dxa"/>
            </w:tcMar>
          </w:tcPr>
          <w:p w14:paraId="6F3DFA4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78.3</w:t>
            </w:r>
          </w:p>
        </w:tc>
        <w:tc>
          <w:tcPr>
            <w:tcW w:w="997" w:type="dxa"/>
            <w:shd w:val="clear" w:color="auto" w:fill="auto"/>
            <w:noWrap/>
            <w:tcMar>
              <w:top w:w="15" w:type="dxa"/>
              <w:left w:w="15" w:type="dxa"/>
              <w:bottom w:w="0" w:type="dxa"/>
              <w:right w:w="15" w:type="dxa"/>
            </w:tcMar>
          </w:tcPr>
          <w:p w14:paraId="37B65B97"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78.0</w:t>
            </w:r>
          </w:p>
        </w:tc>
        <w:tc>
          <w:tcPr>
            <w:tcW w:w="846" w:type="dxa"/>
            <w:shd w:val="clear" w:color="auto" w:fill="auto"/>
            <w:noWrap/>
            <w:tcMar>
              <w:top w:w="15" w:type="dxa"/>
              <w:left w:w="15" w:type="dxa"/>
              <w:bottom w:w="0" w:type="dxa"/>
              <w:right w:w="15" w:type="dxa"/>
            </w:tcMar>
          </w:tcPr>
          <w:p w14:paraId="69E490E3"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21.7</w:t>
            </w:r>
          </w:p>
        </w:tc>
        <w:tc>
          <w:tcPr>
            <w:tcW w:w="992" w:type="dxa"/>
            <w:shd w:val="clear" w:color="auto" w:fill="auto"/>
            <w:noWrap/>
            <w:tcMar>
              <w:top w:w="15" w:type="dxa"/>
              <w:left w:w="15" w:type="dxa"/>
              <w:bottom w:w="0" w:type="dxa"/>
              <w:right w:w="15" w:type="dxa"/>
            </w:tcMar>
          </w:tcPr>
          <w:p w14:paraId="009736ED"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22.0</w:t>
            </w:r>
          </w:p>
        </w:tc>
        <w:tc>
          <w:tcPr>
            <w:tcW w:w="851" w:type="dxa"/>
            <w:shd w:val="clear" w:color="auto" w:fill="auto"/>
            <w:noWrap/>
            <w:tcMar>
              <w:top w:w="15" w:type="dxa"/>
              <w:left w:w="15" w:type="dxa"/>
              <w:bottom w:w="0" w:type="dxa"/>
              <w:right w:w="15" w:type="dxa"/>
            </w:tcMar>
          </w:tcPr>
          <w:p w14:paraId="4422C923"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-0.2</w:t>
            </w:r>
          </w:p>
        </w:tc>
        <w:tc>
          <w:tcPr>
            <w:tcW w:w="857" w:type="dxa"/>
            <w:shd w:val="clear" w:color="auto" w:fill="auto"/>
            <w:noWrap/>
            <w:tcMar>
              <w:top w:w="15" w:type="dxa"/>
              <w:left w:w="15" w:type="dxa"/>
              <w:bottom w:w="0" w:type="dxa"/>
              <w:right w:w="15" w:type="dxa"/>
            </w:tcMar>
          </w:tcPr>
          <w:p w14:paraId="058B0F8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0.2</w:t>
            </w:r>
          </w:p>
        </w:tc>
      </w:tr>
      <w:tr w:rsidR="00EC5522" w:rsidRPr="00EA07DA" w14:paraId="68290D40"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2C1B0A07"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314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productos textiles</w:t>
            </w:r>
          </w:p>
        </w:tc>
        <w:tc>
          <w:tcPr>
            <w:tcW w:w="850" w:type="dxa"/>
            <w:shd w:val="clear" w:color="auto" w:fill="auto"/>
            <w:noWrap/>
            <w:tcMar>
              <w:top w:w="15" w:type="dxa"/>
              <w:left w:w="15" w:type="dxa"/>
              <w:bottom w:w="0" w:type="dxa"/>
              <w:right w:w="15" w:type="dxa"/>
            </w:tcMar>
          </w:tcPr>
          <w:p w14:paraId="245C72B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91.2</w:t>
            </w:r>
          </w:p>
        </w:tc>
        <w:tc>
          <w:tcPr>
            <w:tcW w:w="997" w:type="dxa"/>
            <w:shd w:val="clear" w:color="auto" w:fill="auto"/>
            <w:noWrap/>
            <w:tcMar>
              <w:top w:w="15" w:type="dxa"/>
              <w:left w:w="15" w:type="dxa"/>
              <w:bottom w:w="0" w:type="dxa"/>
              <w:right w:w="15" w:type="dxa"/>
            </w:tcMar>
          </w:tcPr>
          <w:p w14:paraId="09AA2EA7"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91.5</w:t>
            </w:r>
          </w:p>
        </w:tc>
        <w:tc>
          <w:tcPr>
            <w:tcW w:w="846" w:type="dxa"/>
            <w:shd w:val="clear" w:color="auto" w:fill="auto"/>
            <w:noWrap/>
            <w:tcMar>
              <w:top w:w="15" w:type="dxa"/>
              <w:left w:w="15" w:type="dxa"/>
              <w:bottom w:w="0" w:type="dxa"/>
              <w:right w:w="15" w:type="dxa"/>
            </w:tcMar>
          </w:tcPr>
          <w:p w14:paraId="60CC716A"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8.8</w:t>
            </w:r>
          </w:p>
        </w:tc>
        <w:tc>
          <w:tcPr>
            <w:tcW w:w="992" w:type="dxa"/>
            <w:shd w:val="clear" w:color="auto" w:fill="auto"/>
            <w:noWrap/>
            <w:tcMar>
              <w:top w:w="15" w:type="dxa"/>
              <w:left w:w="15" w:type="dxa"/>
              <w:bottom w:w="0" w:type="dxa"/>
              <w:right w:w="15" w:type="dxa"/>
            </w:tcMar>
          </w:tcPr>
          <w:p w14:paraId="1E27EAE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8.5</w:t>
            </w:r>
          </w:p>
        </w:tc>
        <w:tc>
          <w:tcPr>
            <w:tcW w:w="851" w:type="dxa"/>
            <w:shd w:val="clear" w:color="auto" w:fill="auto"/>
            <w:noWrap/>
            <w:tcMar>
              <w:top w:w="15" w:type="dxa"/>
              <w:left w:w="15" w:type="dxa"/>
              <w:bottom w:w="0" w:type="dxa"/>
              <w:right w:w="15" w:type="dxa"/>
            </w:tcMar>
          </w:tcPr>
          <w:p w14:paraId="7C6BF31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0.2</w:t>
            </w:r>
          </w:p>
        </w:tc>
        <w:tc>
          <w:tcPr>
            <w:tcW w:w="857" w:type="dxa"/>
            <w:shd w:val="clear" w:color="auto" w:fill="auto"/>
            <w:noWrap/>
            <w:tcMar>
              <w:top w:w="15" w:type="dxa"/>
              <w:left w:w="15" w:type="dxa"/>
              <w:bottom w:w="0" w:type="dxa"/>
              <w:right w:w="15" w:type="dxa"/>
            </w:tcMar>
          </w:tcPr>
          <w:p w14:paraId="5458A7C5"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-0.2</w:t>
            </w:r>
          </w:p>
        </w:tc>
      </w:tr>
      <w:tr w:rsidR="00EC5522" w:rsidRPr="00EA07DA" w14:paraId="64942C25"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09EE448B"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315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prendas de vestir</w:t>
            </w:r>
          </w:p>
        </w:tc>
        <w:tc>
          <w:tcPr>
            <w:tcW w:w="850" w:type="dxa"/>
            <w:shd w:val="clear" w:color="auto" w:fill="auto"/>
            <w:noWrap/>
            <w:tcMar>
              <w:top w:w="15" w:type="dxa"/>
              <w:left w:w="15" w:type="dxa"/>
              <w:bottom w:w="0" w:type="dxa"/>
              <w:right w:w="15" w:type="dxa"/>
            </w:tcMar>
          </w:tcPr>
          <w:p w14:paraId="14C83861"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85.1</w:t>
            </w:r>
          </w:p>
        </w:tc>
        <w:tc>
          <w:tcPr>
            <w:tcW w:w="997" w:type="dxa"/>
            <w:shd w:val="clear" w:color="auto" w:fill="auto"/>
            <w:noWrap/>
            <w:tcMar>
              <w:top w:w="15" w:type="dxa"/>
              <w:left w:w="15" w:type="dxa"/>
              <w:bottom w:w="0" w:type="dxa"/>
              <w:right w:w="15" w:type="dxa"/>
            </w:tcMar>
          </w:tcPr>
          <w:p w14:paraId="6027975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85.3</w:t>
            </w:r>
          </w:p>
        </w:tc>
        <w:tc>
          <w:tcPr>
            <w:tcW w:w="846" w:type="dxa"/>
            <w:shd w:val="clear" w:color="auto" w:fill="auto"/>
            <w:noWrap/>
            <w:tcMar>
              <w:top w:w="15" w:type="dxa"/>
              <w:left w:w="15" w:type="dxa"/>
              <w:bottom w:w="0" w:type="dxa"/>
              <w:right w:w="15" w:type="dxa"/>
            </w:tcMar>
          </w:tcPr>
          <w:p w14:paraId="69E59DA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14.9</w:t>
            </w:r>
          </w:p>
        </w:tc>
        <w:tc>
          <w:tcPr>
            <w:tcW w:w="992" w:type="dxa"/>
            <w:shd w:val="clear" w:color="auto" w:fill="auto"/>
            <w:noWrap/>
            <w:tcMar>
              <w:top w:w="15" w:type="dxa"/>
              <w:left w:w="15" w:type="dxa"/>
              <w:bottom w:w="0" w:type="dxa"/>
              <w:right w:w="15" w:type="dxa"/>
            </w:tcMar>
          </w:tcPr>
          <w:p w14:paraId="28DCE5B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14.7</w:t>
            </w:r>
          </w:p>
        </w:tc>
        <w:tc>
          <w:tcPr>
            <w:tcW w:w="851" w:type="dxa"/>
            <w:shd w:val="clear" w:color="auto" w:fill="auto"/>
            <w:noWrap/>
            <w:tcMar>
              <w:top w:w="15" w:type="dxa"/>
              <w:left w:w="15" w:type="dxa"/>
              <w:bottom w:w="0" w:type="dxa"/>
              <w:right w:w="15" w:type="dxa"/>
            </w:tcMar>
          </w:tcPr>
          <w:p w14:paraId="3D66124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0.2</w:t>
            </w:r>
          </w:p>
        </w:tc>
        <w:tc>
          <w:tcPr>
            <w:tcW w:w="857" w:type="dxa"/>
            <w:shd w:val="clear" w:color="auto" w:fill="auto"/>
            <w:noWrap/>
            <w:tcMar>
              <w:top w:w="15" w:type="dxa"/>
              <w:left w:w="15" w:type="dxa"/>
              <w:bottom w:w="0" w:type="dxa"/>
              <w:right w:w="15" w:type="dxa"/>
            </w:tcMar>
          </w:tcPr>
          <w:p w14:paraId="0FD7CB05"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-0.2</w:t>
            </w:r>
          </w:p>
        </w:tc>
      </w:tr>
      <w:tr w:rsidR="00EC5522" w:rsidRPr="00EA07DA" w14:paraId="004B6261"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236E8386"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316 </w:t>
            </w:r>
            <w:proofErr w:type="gramStart"/>
            <w:r w:rsidRPr="006E63EB">
              <w:rPr>
                <w:rFonts w:ascii="Arial" w:hAnsi="Arial" w:cs="Arial"/>
                <w:sz w:val="14"/>
                <w:szCs w:val="14"/>
              </w:rPr>
              <w:t>Curtido</w:t>
            </w:r>
            <w:proofErr w:type="gramEnd"/>
            <w:r w:rsidRPr="006E63EB">
              <w:rPr>
                <w:rFonts w:ascii="Arial" w:hAnsi="Arial" w:cs="Arial"/>
                <w:sz w:val="14"/>
                <w:szCs w:val="14"/>
              </w:rPr>
              <w:t xml:space="preserve"> y acabado de cuero y piel</w:t>
            </w:r>
          </w:p>
        </w:tc>
        <w:tc>
          <w:tcPr>
            <w:tcW w:w="850" w:type="dxa"/>
            <w:shd w:val="clear" w:color="auto" w:fill="auto"/>
            <w:noWrap/>
            <w:tcMar>
              <w:top w:w="15" w:type="dxa"/>
              <w:left w:w="15" w:type="dxa"/>
              <w:bottom w:w="0" w:type="dxa"/>
              <w:right w:w="15" w:type="dxa"/>
            </w:tcMar>
          </w:tcPr>
          <w:p w14:paraId="61B87DB9"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88.4</w:t>
            </w:r>
          </w:p>
        </w:tc>
        <w:tc>
          <w:tcPr>
            <w:tcW w:w="997" w:type="dxa"/>
            <w:shd w:val="clear" w:color="auto" w:fill="auto"/>
            <w:noWrap/>
            <w:tcMar>
              <w:top w:w="15" w:type="dxa"/>
              <w:left w:w="15" w:type="dxa"/>
              <w:bottom w:w="0" w:type="dxa"/>
              <w:right w:w="15" w:type="dxa"/>
            </w:tcMar>
          </w:tcPr>
          <w:p w14:paraId="7DBC1E6F"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88.4</w:t>
            </w:r>
          </w:p>
        </w:tc>
        <w:tc>
          <w:tcPr>
            <w:tcW w:w="846" w:type="dxa"/>
            <w:shd w:val="clear" w:color="auto" w:fill="auto"/>
            <w:noWrap/>
            <w:tcMar>
              <w:top w:w="15" w:type="dxa"/>
              <w:left w:w="15" w:type="dxa"/>
              <w:bottom w:w="0" w:type="dxa"/>
              <w:right w:w="15" w:type="dxa"/>
            </w:tcMar>
          </w:tcPr>
          <w:p w14:paraId="34E88EA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11.6</w:t>
            </w:r>
          </w:p>
        </w:tc>
        <w:tc>
          <w:tcPr>
            <w:tcW w:w="992" w:type="dxa"/>
            <w:shd w:val="clear" w:color="auto" w:fill="auto"/>
            <w:noWrap/>
            <w:tcMar>
              <w:top w:w="15" w:type="dxa"/>
              <w:left w:w="15" w:type="dxa"/>
              <w:bottom w:w="0" w:type="dxa"/>
              <w:right w:w="15" w:type="dxa"/>
            </w:tcMar>
          </w:tcPr>
          <w:p w14:paraId="58B62A2F"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11.6</w:t>
            </w:r>
          </w:p>
        </w:tc>
        <w:tc>
          <w:tcPr>
            <w:tcW w:w="851" w:type="dxa"/>
            <w:shd w:val="clear" w:color="auto" w:fill="auto"/>
            <w:noWrap/>
            <w:tcMar>
              <w:top w:w="15" w:type="dxa"/>
              <w:left w:w="15" w:type="dxa"/>
              <w:bottom w:w="0" w:type="dxa"/>
              <w:right w:w="15" w:type="dxa"/>
            </w:tcMar>
          </w:tcPr>
          <w:p w14:paraId="5F7D34C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0.1</w:t>
            </w:r>
          </w:p>
        </w:tc>
        <w:tc>
          <w:tcPr>
            <w:tcW w:w="857" w:type="dxa"/>
            <w:shd w:val="clear" w:color="auto" w:fill="auto"/>
            <w:noWrap/>
            <w:tcMar>
              <w:top w:w="15" w:type="dxa"/>
              <w:left w:w="15" w:type="dxa"/>
              <w:bottom w:w="0" w:type="dxa"/>
              <w:right w:w="15" w:type="dxa"/>
            </w:tcMar>
          </w:tcPr>
          <w:p w14:paraId="615E78C1"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-0.1</w:t>
            </w:r>
          </w:p>
        </w:tc>
      </w:tr>
      <w:tr w:rsidR="00EC5522" w:rsidRPr="00EA07DA" w14:paraId="5B46B65B"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6709C3AE"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321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de la madera</w:t>
            </w:r>
          </w:p>
        </w:tc>
        <w:tc>
          <w:tcPr>
            <w:tcW w:w="850" w:type="dxa"/>
            <w:shd w:val="clear" w:color="auto" w:fill="auto"/>
            <w:noWrap/>
            <w:tcMar>
              <w:top w:w="15" w:type="dxa"/>
              <w:left w:w="15" w:type="dxa"/>
              <w:bottom w:w="0" w:type="dxa"/>
              <w:right w:w="15" w:type="dxa"/>
            </w:tcMar>
          </w:tcPr>
          <w:p w14:paraId="7CA4DD0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81.3</w:t>
            </w:r>
          </w:p>
        </w:tc>
        <w:tc>
          <w:tcPr>
            <w:tcW w:w="997" w:type="dxa"/>
            <w:shd w:val="clear" w:color="auto" w:fill="auto"/>
            <w:noWrap/>
            <w:tcMar>
              <w:top w:w="15" w:type="dxa"/>
              <w:left w:w="15" w:type="dxa"/>
              <w:bottom w:w="0" w:type="dxa"/>
              <w:right w:w="15" w:type="dxa"/>
            </w:tcMar>
          </w:tcPr>
          <w:p w14:paraId="5BBF3BB7"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83.1</w:t>
            </w:r>
          </w:p>
        </w:tc>
        <w:tc>
          <w:tcPr>
            <w:tcW w:w="846" w:type="dxa"/>
            <w:shd w:val="clear" w:color="auto" w:fill="auto"/>
            <w:noWrap/>
            <w:tcMar>
              <w:top w:w="15" w:type="dxa"/>
              <w:left w:w="15" w:type="dxa"/>
              <w:bottom w:w="0" w:type="dxa"/>
              <w:right w:w="15" w:type="dxa"/>
            </w:tcMar>
          </w:tcPr>
          <w:p w14:paraId="5262B8EA"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18.7</w:t>
            </w:r>
          </w:p>
        </w:tc>
        <w:tc>
          <w:tcPr>
            <w:tcW w:w="992" w:type="dxa"/>
            <w:shd w:val="clear" w:color="auto" w:fill="auto"/>
            <w:noWrap/>
            <w:tcMar>
              <w:top w:w="15" w:type="dxa"/>
              <w:left w:w="15" w:type="dxa"/>
              <w:bottom w:w="0" w:type="dxa"/>
              <w:right w:w="15" w:type="dxa"/>
            </w:tcMar>
          </w:tcPr>
          <w:p w14:paraId="305CD641"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16.9</w:t>
            </w:r>
          </w:p>
        </w:tc>
        <w:tc>
          <w:tcPr>
            <w:tcW w:w="851" w:type="dxa"/>
            <w:shd w:val="clear" w:color="auto" w:fill="auto"/>
            <w:noWrap/>
            <w:tcMar>
              <w:top w:w="15" w:type="dxa"/>
              <w:left w:w="15" w:type="dxa"/>
              <w:bottom w:w="0" w:type="dxa"/>
              <w:right w:w="15" w:type="dxa"/>
            </w:tcMar>
          </w:tcPr>
          <w:p w14:paraId="74944F01"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1.8</w:t>
            </w:r>
          </w:p>
        </w:tc>
        <w:tc>
          <w:tcPr>
            <w:tcW w:w="857" w:type="dxa"/>
            <w:shd w:val="clear" w:color="auto" w:fill="auto"/>
            <w:noWrap/>
            <w:tcMar>
              <w:top w:w="15" w:type="dxa"/>
              <w:left w:w="15" w:type="dxa"/>
              <w:bottom w:w="0" w:type="dxa"/>
              <w:right w:w="15" w:type="dxa"/>
            </w:tcMar>
          </w:tcPr>
          <w:p w14:paraId="78A7DFE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-1.8</w:t>
            </w:r>
          </w:p>
        </w:tc>
      </w:tr>
      <w:tr w:rsidR="00EC5522" w:rsidRPr="00EA07DA" w14:paraId="434739CF"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42CE9581"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322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del papel</w:t>
            </w:r>
          </w:p>
        </w:tc>
        <w:tc>
          <w:tcPr>
            <w:tcW w:w="850" w:type="dxa"/>
            <w:shd w:val="clear" w:color="auto" w:fill="auto"/>
            <w:noWrap/>
            <w:tcMar>
              <w:top w:w="15" w:type="dxa"/>
              <w:left w:w="15" w:type="dxa"/>
              <w:bottom w:w="0" w:type="dxa"/>
              <w:right w:w="15" w:type="dxa"/>
            </w:tcMar>
          </w:tcPr>
          <w:p w14:paraId="0A4A448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76.5</w:t>
            </w:r>
          </w:p>
        </w:tc>
        <w:tc>
          <w:tcPr>
            <w:tcW w:w="997" w:type="dxa"/>
            <w:shd w:val="clear" w:color="auto" w:fill="auto"/>
            <w:noWrap/>
            <w:tcMar>
              <w:top w:w="15" w:type="dxa"/>
              <w:left w:w="15" w:type="dxa"/>
              <w:bottom w:w="0" w:type="dxa"/>
              <w:right w:w="15" w:type="dxa"/>
            </w:tcMar>
          </w:tcPr>
          <w:p w14:paraId="5E343155"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75.8</w:t>
            </w:r>
          </w:p>
        </w:tc>
        <w:tc>
          <w:tcPr>
            <w:tcW w:w="846" w:type="dxa"/>
            <w:shd w:val="clear" w:color="auto" w:fill="auto"/>
            <w:noWrap/>
            <w:tcMar>
              <w:top w:w="15" w:type="dxa"/>
              <w:left w:w="15" w:type="dxa"/>
              <w:bottom w:w="0" w:type="dxa"/>
              <w:right w:w="15" w:type="dxa"/>
            </w:tcMar>
          </w:tcPr>
          <w:p w14:paraId="1355637F"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23.5</w:t>
            </w:r>
          </w:p>
        </w:tc>
        <w:tc>
          <w:tcPr>
            <w:tcW w:w="992" w:type="dxa"/>
            <w:shd w:val="clear" w:color="auto" w:fill="auto"/>
            <w:noWrap/>
            <w:tcMar>
              <w:top w:w="15" w:type="dxa"/>
              <w:left w:w="15" w:type="dxa"/>
              <w:bottom w:w="0" w:type="dxa"/>
              <w:right w:w="15" w:type="dxa"/>
            </w:tcMar>
          </w:tcPr>
          <w:p w14:paraId="4DD6BBE7"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24.2</w:t>
            </w:r>
          </w:p>
        </w:tc>
        <w:tc>
          <w:tcPr>
            <w:tcW w:w="851" w:type="dxa"/>
            <w:shd w:val="clear" w:color="auto" w:fill="auto"/>
            <w:noWrap/>
            <w:tcMar>
              <w:top w:w="15" w:type="dxa"/>
              <w:left w:w="15" w:type="dxa"/>
              <w:bottom w:w="0" w:type="dxa"/>
              <w:right w:w="15" w:type="dxa"/>
            </w:tcMar>
          </w:tcPr>
          <w:p w14:paraId="41F372A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-0.8</w:t>
            </w:r>
          </w:p>
        </w:tc>
        <w:tc>
          <w:tcPr>
            <w:tcW w:w="857" w:type="dxa"/>
            <w:shd w:val="clear" w:color="auto" w:fill="auto"/>
            <w:noWrap/>
            <w:tcMar>
              <w:top w:w="15" w:type="dxa"/>
              <w:left w:w="15" w:type="dxa"/>
              <w:bottom w:w="0" w:type="dxa"/>
              <w:right w:w="15" w:type="dxa"/>
            </w:tcMar>
          </w:tcPr>
          <w:p w14:paraId="3382FD9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0.8</w:t>
            </w:r>
          </w:p>
        </w:tc>
      </w:tr>
      <w:tr w:rsidR="00EC5522" w:rsidRPr="00EA07DA" w14:paraId="04BA95A1"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1E819DA2"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323 </w:t>
            </w:r>
            <w:proofErr w:type="gramStart"/>
            <w:r w:rsidRPr="006E63EB">
              <w:rPr>
                <w:rFonts w:ascii="Arial" w:hAnsi="Arial" w:cs="Arial"/>
                <w:sz w:val="14"/>
                <w:szCs w:val="14"/>
              </w:rPr>
              <w:t>Impresión</w:t>
            </w:r>
            <w:proofErr w:type="gramEnd"/>
            <w:r w:rsidRPr="006E63EB">
              <w:rPr>
                <w:rFonts w:ascii="Arial" w:hAnsi="Arial" w:cs="Arial"/>
                <w:sz w:val="14"/>
                <w:szCs w:val="14"/>
              </w:rPr>
              <w:t xml:space="preserve"> e industrias conexas</w:t>
            </w:r>
          </w:p>
        </w:tc>
        <w:tc>
          <w:tcPr>
            <w:tcW w:w="850" w:type="dxa"/>
            <w:shd w:val="clear" w:color="auto" w:fill="auto"/>
            <w:noWrap/>
            <w:tcMar>
              <w:top w:w="15" w:type="dxa"/>
              <w:left w:w="15" w:type="dxa"/>
              <w:bottom w:w="0" w:type="dxa"/>
              <w:right w:w="15" w:type="dxa"/>
            </w:tcMar>
          </w:tcPr>
          <w:p w14:paraId="6D8904C0" w14:textId="77777777" w:rsidR="00EC5522" w:rsidRPr="00EC5522" w:rsidRDefault="00EC5522" w:rsidP="00EC5522">
            <w:pPr>
              <w:spacing w:after="0" w:line="240" w:lineRule="auto"/>
              <w:jc w:val="center"/>
              <w:rPr>
                <w:rFonts w:ascii="Arial" w:hAnsi="Arial" w:cs="Arial"/>
                <w:color w:val="FF0000"/>
                <w:sz w:val="14"/>
                <w:szCs w:val="14"/>
                <w:highlight w:val="yellow"/>
              </w:rPr>
            </w:pPr>
            <w:r w:rsidRPr="00EC5522">
              <w:rPr>
                <w:rFonts w:ascii="Arial" w:hAnsi="Arial" w:cs="Arial"/>
                <w:sz w:val="14"/>
                <w:szCs w:val="14"/>
              </w:rPr>
              <w:t>77.1</w:t>
            </w:r>
          </w:p>
        </w:tc>
        <w:tc>
          <w:tcPr>
            <w:tcW w:w="997" w:type="dxa"/>
            <w:shd w:val="clear" w:color="auto" w:fill="auto"/>
            <w:noWrap/>
            <w:tcMar>
              <w:top w:w="15" w:type="dxa"/>
              <w:left w:w="15" w:type="dxa"/>
              <w:bottom w:w="0" w:type="dxa"/>
              <w:right w:w="15" w:type="dxa"/>
            </w:tcMar>
          </w:tcPr>
          <w:p w14:paraId="3C881CBB" w14:textId="77777777" w:rsidR="00EC5522" w:rsidRPr="00EC5522" w:rsidRDefault="00EC5522" w:rsidP="00EC5522">
            <w:pPr>
              <w:spacing w:after="0" w:line="240" w:lineRule="auto"/>
              <w:jc w:val="center"/>
              <w:rPr>
                <w:rFonts w:ascii="Arial" w:hAnsi="Arial" w:cs="Arial"/>
                <w:color w:val="FF0000"/>
                <w:sz w:val="14"/>
                <w:szCs w:val="14"/>
                <w:highlight w:val="yellow"/>
              </w:rPr>
            </w:pPr>
            <w:r w:rsidRPr="00EC5522">
              <w:rPr>
                <w:rFonts w:ascii="Arial" w:hAnsi="Arial" w:cs="Arial"/>
                <w:sz w:val="14"/>
                <w:szCs w:val="14"/>
              </w:rPr>
              <w:t>80.1</w:t>
            </w:r>
          </w:p>
        </w:tc>
        <w:tc>
          <w:tcPr>
            <w:tcW w:w="846" w:type="dxa"/>
            <w:shd w:val="clear" w:color="auto" w:fill="auto"/>
            <w:noWrap/>
            <w:tcMar>
              <w:top w:w="15" w:type="dxa"/>
              <w:left w:w="15" w:type="dxa"/>
              <w:bottom w:w="0" w:type="dxa"/>
              <w:right w:w="15" w:type="dxa"/>
            </w:tcMar>
          </w:tcPr>
          <w:p w14:paraId="4CC309D3" w14:textId="77777777" w:rsidR="00EC5522" w:rsidRPr="00EC5522" w:rsidRDefault="00EC5522" w:rsidP="00EC5522">
            <w:pPr>
              <w:spacing w:after="0" w:line="240" w:lineRule="auto"/>
              <w:jc w:val="center"/>
              <w:rPr>
                <w:rFonts w:ascii="Arial" w:hAnsi="Arial" w:cs="Arial"/>
                <w:color w:val="FF0000"/>
                <w:sz w:val="14"/>
                <w:szCs w:val="14"/>
                <w:highlight w:val="yellow"/>
              </w:rPr>
            </w:pPr>
            <w:r w:rsidRPr="00EC5522">
              <w:rPr>
                <w:rFonts w:ascii="Arial" w:hAnsi="Arial" w:cs="Arial"/>
                <w:sz w:val="14"/>
                <w:szCs w:val="14"/>
              </w:rPr>
              <w:t>22.9</w:t>
            </w:r>
          </w:p>
        </w:tc>
        <w:tc>
          <w:tcPr>
            <w:tcW w:w="992" w:type="dxa"/>
            <w:shd w:val="clear" w:color="auto" w:fill="auto"/>
            <w:noWrap/>
            <w:tcMar>
              <w:top w:w="15" w:type="dxa"/>
              <w:left w:w="15" w:type="dxa"/>
              <w:bottom w:w="0" w:type="dxa"/>
              <w:right w:w="15" w:type="dxa"/>
            </w:tcMar>
          </w:tcPr>
          <w:p w14:paraId="715CBFF6" w14:textId="77777777" w:rsidR="00EC5522" w:rsidRPr="00EC5522" w:rsidRDefault="00EC5522" w:rsidP="00EC5522">
            <w:pPr>
              <w:spacing w:after="0" w:line="240" w:lineRule="auto"/>
              <w:jc w:val="center"/>
              <w:rPr>
                <w:rFonts w:ascii="Arial" w:hAnsi="Arial" w:cs="Arial"/>
                <w:color w:val="FF0000"/>
                <w:sz w:val="14"/>
                <w:szCs w:val="14"/>
                <w:highlight w:val="yellow"/>
              </w:rPr>
            </w:pPr>
            <w:r w:rsidRPr="00EC5522">
              <w:rPr>
                <w:rFonts w:ascii="Arial" w:hAnsi="Arial" w:cs="Arial"/>
                <w:sz w:val="14"/>
                <w:szCs w:val="14"/>
              </w:rPr>
              <w:t>19.9</w:t>
            </w:r>
          </w:p>
        </w:tc>
        <w:tc>
          <w:tcPr>
            <w:tcW w:w="851" w:type="dxa"/>
            <w:shd w:val="clear" w:color="auto" w:fill="auto"/>
            <w:noWrap/>
            <w:tcMar>
              <w:top w:w="15" w:type="dxa"/>
              <w:left w:w="15" w:type="dxa"/>
              <w:bottom w:w="0" w:type="dxa"/>
              <w:right w:w="15" w:type="dxa"/>
            </w:tcMar>
          </w:tcPr>
          <w:p w14:paraId="0E3D382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3.0</w:t>
            </w:r>
          </w:p>
        </w:tc>
        <w:tc>
          <w:tcPr>
            <w:tcW w:w="857" w:type="dxa"/>
            <w:shd w:val="clear" w:color="auto" w:fill="auto"/>
            <w:noWrap/>
            <w:tcMar>
              <w:top w:w="15" w:type="dxa"/>
              <w:left w:w="15" w:type="dxa"/>
              <w:bottom w:w="0" w:type="dxa"/>
              <w:right w:w="15" w:type="dxa"/>
            </w:tcMar>
          </w:tcPr>
          <w:p w14:paraId="5DA10145"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-3.0</w:t>
            </w:r>
          </w:p>
        </w:tc>
      </w:tr>
      <w:tr w:rsidR="00EC5522" w:rsidRPr="00EA07DA" w14:paraId="0A223883"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050AE1A3"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324 </w:t>
            </w:r>
            <w:proofErr w:type="gramStart"/>
            <w:r w:rsidRPr="006E63EB">
              <w:rPr>
                <w:rFonts w:ascii="Arial" w:hAnsi="Arial" w:cs="Arial"/>
                <w:sz w:val="14"/>
                <w:szCs w:val="14"/>
              </w:rPr>
              <w:t>Productos</w:t>
            </w:r>
            <w:proofErr w:type="gramEnd"/>
            <w:r w:rsidRPr="006E63EB">
              <w:rPr>
                <w:rFonts w:ascii="Arial" w:hAnsi="Arial" w:cs="Arial"/>
                <w:sz w:val="14"/>
                <w:szCs w:val="14"/>
              </w:rPr>
              <w:t xml:space="preserve"> derivados del petróleo</w:t>
            </w:r>
          </w:p>
        </w:tc>
        <w:tc>
          <w:tcPr>
            <w:tcW w:w="850" w:type="dxa"/>
            <w:shd w:val="clear" w:color="auto" w:fill="auto"/>
            <w:noWrap/>
            <w:tcMar>
              <w:top w:w="15" w:type="dxa"/>
              <w:left w:w="15" w:type="dxa"/>
              <w:bottom w:w="0" w:type="dxa"/>
              <w:right w:w="15" w:type="dxa"/>
            </w:tcMar>
          </w:tcPr>
          <w:p w14:paraId="0D7EDAC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92.3</w:t>
            </w:r>
          </w:p>
        </w:tc>
        <w:tc>
          <w:tcPr>
            <w:tcW w:w="997" w:type="dxa"/>
            <w:shd w:val="clear" w:color="auto" w:fill="auto"/>
            <w:noWrap/>
            <w:tcMar>
              <w:top w:w="15" w:type="dxa"/>
              <w:left w:w="15" w:type="dxa"/>
              <w:bottom w:w="0" w:type="dxa"/>
              <w:right w:w="15" w:type="dxa"/>
            </w:tcMar>
          </w:tcPr>
          <w:p w14:paraId="569B8604"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91.8</w:t>
            </w:r>
          </w:p>
        </w:tc>
        <w:tc>
          <w:tcPr>
            <w:tcW w:w="846" w:type="dxa"/>
            <w:shd w:val="clear" w:color="auto" w:fill="auto"/>
            <w:noWrap/>
            <w:tcMar>
              <w:top w:w="15" w:type="dxa"/>
              <w:left w:w="15" w:type="dxa"/>
              <w:bottom w:w="0" w:type="dxa"/>
              <w:right w:w="15" w:type="dxa"/>
            </w:tcMar>
          </w:tcPr>
          <w:p w14:paraId="2771281D"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7.7</w:t>
            </w:r>
          </w:p>
        </w:tc>
        <w:tc>
          <w:tcPr>
            <w:tcW w:w="992" w:type="dxa"/>
            <w:shd w:val="clear" w:color="auto" w:fill="auto"/>
            <w:noWrap/>
            <w:tcMar>
              <w:top w:w="15" w:type="dxa"/>
              <w:left w:w="15" w:type="dxa"/>
              <w:bottom w:w="0" w:type="dxa"/>
              <w:right w:w="15" w:type="dxa"/>
            </w:tcMar>
          </w:tcPr>
          <w:p w14:paraId="3B1CA02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8.2</w:t>
            </w:r>
          </w:p>
        </w:tc>
        <w:tc>
          <w:tcPr>
            <w:tcW w:w="851" w:type="dxa"/>
            <w:shd w:val="clear" w:color="auto" w:fill="auto"/>
            <w:noWrap/>
            <w:tcMar>
              <w:top w:w="15" w:type="dxa"/>
              <w:left w:w="15" w:type="dxa"/>
              <w:bottom w:w="0" w:type="dxa"/>
              <w:right w:w="15" w:type="dxa"/>
            </w:tcMar>
          </w:tcPr>
          <w:p w14:paraId="5438B3CF"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-0.6</w:t>
            </w:r>
          </w:p>
        </w:tc>
        <w:tc>
          <w:tcPr>
            <w:tcW w:w="857" w:type="dxa"/>
            <w:shd w:val="clear" w:color="auto" w:fill="auto"/>
            <w:noWrap/>
            <w:tcMar>
              <w:top w:w="15" w:type="dxa"/>
              <w:left w:w="15" w:type="dxa"/>
              <w:bottom w:w="0" w:type="dxa"/>
              <w:right w:w="15" w:type="dxa"/>
            </w:tcMar>
          </w:tcPr>
          <w:p w14:paraId="1E56FC85"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0.6</w:t>
            </w:r>
          </w:p>
        </w:tc>
      </w:tr>
      <w:tr w:rsidR="00EC5522" w:rsidRPr="00EA07DA" w14:paraId="425EE244"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5DDEA3EC"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325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química</w:t>
            </w:r>
          </w:p>
        </w:tc>
        <w:tc>
          <w:tcPr>
            <w:tcW w:w="850" w:type="dxa"/>
            <w:shd w:val="clear" w:color="auto" w:fill="auto"/>
            <w:noWrap/>
            <w:tcMar>
              <w:top w:w="15" w:type="dxa"/>
              <w:left w:w="15" w:type="dxa"/>
              <w:bottom w:w="0" w:type="dxa"/>
              <w:right w:w="15" w:type="dxa"/>
            </w:tcMar>
          </w:tcPr>
          <w:p w14:paraId="414386A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68.9</w:t>
            </w:r>
          </w:p>
        </w:tc>
        <w:tc>
          <w:tcPr>
            <w:tcW w:w="997" w:type="dxa"/>
            <w:shd w:val="clear" w:color="auto" w:fill="auto"/>
            <w:noWrap/>
            <w:tcMar>
              <w:top w:w="15" w:type="dxa"/>
              <w:left w:w="15" w:type="dxa"/>
              <w:bottom w:w="0" w:type="dxa"/>
              <w:right w:w="15" w:type="dxa"/>
            </w:tcMar>
          </w:tcPr>
          <w:p w14:paraId="5690858F"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69.0</w:t>
            </w:r>
          </w:p>
        </w:tc>
        <w:tc>
          <w:tcPr>
            <w:tcW w:w="846" w:type="dxa"/>
            <w:shd w:val="clear" w:color="auto" w:fill="auto"/>
            <w:noWrap/>
            <w:tcMar>
              <w:top w:w="15" w:type="dxa"/>
              <w:left w:w="15" w:type="dxa"/>
              <w:bottom w:w="0" w:type="dxa"/>
              <w:right w:w="15" w:type="dxa"/>
            </w:tcMar>
          </w:tcPr>
          <w:p w14:paraId="0160AC33"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31.1</w:t>
            </w:r>
          </w:p>
        </w:tc>
        <w:tc>
          <w:tcPr>
            <w:tcW w:w="992" w:type="dxa"/>
            <w:shd w:val="clear" w:color="auto" w:fill="auto"/>
            <w:noWrap/>
            <w:tcMar>
              <w:top w:w="15" w:type="dxa"/>
              <w:left w:w="15" w:type="dxa"/>
              <w:bottom w:w="0" w:type="dxa"/>
              <w:right w:w="15" w:type="dxa"/>
            </w:tcMar>
          </w:tcPr>
          <w:p w14:paraId="74BACD8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31.0</w:t>
            </w:r>
          </w:p>
        </w:tc>
        <w:tc>
          <w:tcPr>
            <w:tcW w:w="851" w:type="dxa"/>
            <w:shd w:val="clear" w:color="auto" w:fill="auto"/>
            <w:noWrap/>
            <w:tcMar>
              <w:top w:w="15" w:type="dxa"/>
              <w:left w:w="15" w:type="dxa"/>
              <w:bottom w:w="0" w:type="dxa"/>
              <w:right w:w="15" w:type="dxa"/>
            </w:tcMar>
          </w:tcPr>
          <w:p w14:paraId="3D6CC729"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0.1</w:t>
            </w:r>
          </w:p>
        </w:tc>
        <w:tc>
          <w:tcPr>
            <w:tcW w:w="857" w:type="dxa"/>
            <w:shd w:val="clear" w:color="auto" w:fill="auto"/>
            <w:noWrap/>
            <w:tcMar>
              <w:top w:w="15" w:type="dxa"/>
              <w:left w:w="15" w:type="dxa"/>
              <w:bottom w:w="0" w:type="dxa"/>
              <w:right w:w="15" w:type="dxa"/>
            </w:tcMar>
          </w:tcPr>
          <w:p w14:paraId="1121379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-0.1</w:t>
            </w:r>
          </w:p>
        </w:tc>
      </w:tr>
      <w:tr w:rsidR="00EC5522" w:rsidRPr="00EA07DA" w14:paraId="3D73AA6D"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4D1B23F1"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326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del plástico y del hule</w:t>
            </w:r>
          </w:p>
        </w:tc>
        <w:tc>
          <w:tcPr>
            <w:tcW w:w="850" w:type="dxa"/>
            <w:shd w:val="clear" w:color="auto" w:fill="auto"/>
            <w:noWrap/>
            <w:tcMar>
              <w:top w:w="15" w:type="dxa"/>
              <w:left w:w="15" w:type="dxa"/>
              <w:bottom w:w="0" w:type="dxa"/>
              <w:right w:w="15" w:type="dxa"/>
            </w:tcMar>
          </w:tcPr>
          <w:p w14:paraId="253EBB34"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68.6</w:t>
            </w:r>
          </w:p>
        </w:tc>
        <w:tc>
          <w:tcPr>
            <w:tcW w:w="997" w:type="dxa"/>
            <w:shd w:val="clear" w:color="auto" w:fill="auto"/>
            <w:noWrap/>
            <w:tcMar>
              <w:top w:w="15" w:type="dxa"/>
              <w:left w:w="15" w:type="dxa"/>
              <w:bottom w:w="0" w:type="dxa"/>
              <w:right w:w="15" w:type="dxa"/>
            </w:tcMar>
          </w:tcPr>
          <w:p w14:paraId="72A08DE2"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70.7</w:t>
            </w:r>
          </w:p>
        </w:tc>
        <w:tc>
          <w:tcPr>
            <w:tcW w:w="846" w:type="dxa"/>
            <w:shd w:val="clear" w:color="auto" w:fill="auto"/>
            <w:noWrap/>
            <w:tcMar>
              <w:top w:w="15" w:type="dxa"/>
              <w:left w:w="15" w:type="dxa"/>
              <w:bottom w:w="0" w:type="dxa"/>
              <w:right w:w="15" w:type="dxa"/>
            </w:tcMar>
          </w:tcPr>
          <w:p w14:paraId="147008B2"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31.4</w:t>
            </w:r>
          </w:p>
        </w:tc>
        <w:tc>
          <w:tcPr>
            <w:tcW w:w="992" w:type="dxa"/>
            <w:shd w:val="clear" w:color="auto" w:fill="auto"/>
            <w:noWrap/>
            <w:tcMar>
              <w:top w:w="15" w:type="dxa"/>
              <w:left w:w="15" w:type="dxa"/>
              <w:bottom w:w="0" w:type="dxa"/>
              <w:right w:w="15" w:type="dxa"/>
            </w:tcMar>
          </w:tcPr>
          <w:p w14:paraId="290A563A"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29.3</w:t>
            </w:r>
          </w:p>
        </w:tc>
        <w:tc>
          <w:tcPr>
            <w:tcW w:w="851" w:type="dxa"/>
            <w:shd w:val="clear" w:color="auto" w:fill="auto"/>
            <w:noWrap/>
            <w:tcMar>
              <w:top w:w="15" w:type="dxa"/>
              <w:left w:w="15" w:type="dxa"/>
              <w:bottom w:w="0" w:type="dxa"/>
              <w:right w:w="15" w:type="dxa"/>
            </w:tcMar>
          </w:tcPr>
          <w:p w14:paraId="0C9AC671"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2.1</w:t>
            </w:r>
          </w:p>
        </w:tc>
        <w:tc>
          <w:tcPr>
            <w:tcW w:w="857" w:type="dxa"/>
            <w:shd w:val="clear" w:color="auto" w:fill="auto"/>
            <w:noWrap/>
            <w:tcMar>
              <w:top w:w="15" w:type="dxa"/>
              <w:left w:w="15" w:type="dxa"/>
              <w:bottom w:w="0" w:type="dxa"/>
              <w:right w:w="15" w:type="dxa"/>
            </w:tcMar>
          </w:tcPr>
          <w:p w14:paraId="28BB889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-2.1</w:t>
            </w:r>
          </w:p>
        </w:tc>
      </w:tr>
      <w:tr w:rsidR="00EC5522" w:rsidRPr="00EA07DA" w14:paraId="408E6433"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195DD976"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327 </w:t>
            </w:r>
            <w:proofErr w:type="gramStart"/>
            <w:r w:rsidRPr="006E63EB">
              <w:rPr>
                <w:rFonts w:ascii="Arial" w:hAnsi="Arial" w:cs="Arial"/>
                <w:sz w:val="14"/>
                <w:szCs w:val="14"/>
              </w:rPr>
              <w:t>Productos</w:t>
            </w:r>
            <w:proofErr w:type="gramEnd"/>
            <w:r w:rsidRPr="006E63EB">
              <w:rPr>
                <w:rFonts w:ascii="Arial" w:hAnsi="Arial" w:cs="Arial"/>
                <w:sz w:val="14"/>
                <w:szCs w:val="14"/>
              </w:rPr>
              <w:t xml:space="preserve"> a base de minerales no metálicos</w:t>
            </w:r>
          </w:p>
        </w:tc>
        <w:tc>
          <w:tcPr>
            <w:tcW w:w="850" w:type="dxa"/>
            <w:shd w:val="clear" w:color="auto" w:fill="auto"/>
            <w:noWrap/>
            <w:tcMar>
              <w:top w:w="15" w:type="dxa"/>
              <w:left w:w="15" w:type="dxa"/>
              <w:bottom w:w="0" w:type="dxa"/>
              <w:right w:w="15" w:type="dxa"/>
            </w:tcMar>
          </w:tcPr>
          <w:p w14:paraId="406C50B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60.3</w:t>
            </w:r>
          </w:p>
        </w:tc>
        <w:tc>
          <w:tcPr>
            <w:tcW w:w="997" w:type="dxa"/>
            <w:shd w:val="clear" w:color="auto" w:fill="auto"/>
            <w:noWrap/>
            <w:tcMar>
              <w:top w:w="15" w:type="dxa"/>
              <w:left w:w="15" w:type="dxa"/>
              <w:bottom w:w="0" w:type="dxa"/>
              <w:right w:w="15" w:type="dxa"/>
            </w:tcMar>
          </w:tcPr>
          <w:p w14:paraId="166270CD"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60.3</w:t>
            </w:r>
          </w:p>
        </w:tc>
        <w:tc>
          <w:tcPr>
            <w:tcW w:w="846" w:type="dxa"/>
            <w:shd w:val="clear" w:color="auto" w:fill="auto"/>
            <w:noWrap/>
            <w:tcMar>
              <w:top w:w="15" w:type="dxa"/>
              <w:left w:w="15" w:type="dxa"/>
              <w:bottom w:w="0" w:type="dxa"/>
              <w:right w:w="15" w:type="dxa"/>
            </w:tcMar>
          </w:tcPr>
          <w:p w14:paraId="598E31E7"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39.7</w:t>
            </w:r>
          </w:p>
        </w:tc>
        <w:tc>
          <w:tcPr>
            <w:tcW w:w="992" w:type="dxa"/>
            <w:shd w:val="clear" w:color="auto" w:fill="auto"/>
            <w:noWrap/>
            <w:tcMar>
              <w:top w:w="15" w:type="dxa"/>
              <w:left w:w="15" w:type="dxa"/>
              <w:bottom w:w="0" w:type="dxa"/>
              <w:right w:w="15" w:type="dxa"/>
            </w:tcMar>
          </w:tcPr>
          <w:p w14:paraId="3F1D450F"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39.7</w:t>
            </w:r>
          </w:p>
        </w:tc>
        <w:tc>
          <w:tcPr>
            <w:tcW w:w="851" w:type="dxa"/>
            <w:shd w:val="clear" w:color="auto" w:fill="auto"/>
            <w:noWrap/>
            <w:tcMar>
              <w:top w:w="15" w:type="dxa"/>
              <w:left w:w="15" w:type="dxa"/>
              <w:bottom w:w="0" w:type="dxa"/>
              <w:right w:w="15" w:type="dxa"/>
            </w:tcMar>
          </w:tcPr>
          <w:p w14:paraId="60EF17A1"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0.0</w:t>
            </w:r>
          </w:p>
        </w:tc>
        <w:tc>
          <w:tcPr>
            <w:tcW w:w="857" w:type="dxa"/>
            <w:shd w:val="clear" w:color="auto" w:fill="auto"/>
            <w:noWrap/>
            <w:tcMar>
              <w:top w:w="15" w:type="dxa"/>
              <w:left w:w="15" w:type="dxa"/>
              <w:bottom w:w="0" w:type="dxa"/>
              <w:right w:w="15" w:type="dxa"/>
            </w:tcMar>
          </w:tcPr>
          <w:p w14:paraId="4F6A6AC2"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0.0</w:t>
            </w:r>
          </w:p>
        </w:tc>
      </w:tr>
      <w:tr w:rsidR="00EC5522" w:rsidRPr="00EA07DA" w14:paraId="04DE4EAA"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31A6DC8F"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331 </w:t>
            </w:r>
            <w:proofErr w:type="gramStart"/>
            <w:r w:rsidRPr="006E63EB">
              <w:rPr>
                <w:rFonts w:ascii="Arial" w:hAnsi="Arial" w:cs="Arial"/>
                <w:sz w:val="14"/>
                <w:szCs w:val="14"/>
              </w:rPr>
              <w:t>Industrias</w:t>
            </w:r>
            <w:proofErr w:type="gramEnd"/>
            <w:r w:rsidRPr="006E63EB">
              <w:rPr>
                <w:rFonts w:ascii="Arial" w:hAnsi="Arial" w:cs="Arial"/>
                <w:sz w:val="14"/>
                <w:szCs w:val="14"/>
              </w:rPr>
              <w:t xml:space="preserve"> metálicas básicas</w:t>
            </w:r>
          </w:p>
        </w:tc>
        <w:tc>
          <w:tcPr>
            <w:tcW w:w="850" w:type="dxa"/>
            <w:shd w:val="clear" w:color="auto" w:fill="auto"/>
            <w:noWrap/>
            <w:tcMar>
              <w:top w:w="15" w:type="dxa"/>
              <w:left w:w="15" w:type="dxa"/>
              <w:bottom w:w="0" w:type="dxa"/>
              <w:right w:w="15" w:type="dxa"/>
            </w:tcMar>
          </w:tcPr>
          <w:p w14:paraId="6968203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65.9</w:t>
            </w:r>
          </w:p>
        </w:tc>
        <w:tc>
          <w:tcPr>
            <w:tcW w:w="997" w:type="dxa"/>
            <w:shd w:val="clear" w:color="auto" w:fill="auto"/>
            <w:noWrap/>
            <w:tcMar>
              <w:top w:w="15" w:type="dxa"/>
              <w:left w:w="15" w:type="dxa"/>
              <w:bottom w:w="0" w:type="dxa"/>
              <w:right w:w="15" w:type="dxa"/>
            </w:tcMar>
          </w:tcPr>
          <w:p w14:paraId="5AA95FCF"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65.9</w:t>
            </w:r>
          </w:p>
        </w:tc>
        <w:tc>
          <w:tcPr>
            <w:tcW w:w="846" w:type="dxa"/>
            <w:shd w:val="clear" w:color="auto" w:fill="auto"/>
            <w:noWrap/>
            <w:tcMar>
              <w:top w:w="15" w:type="dxa"/>
              <w:left w:w="15" w:type="dxa"/>
              <w:bottom w:w="0" w:type="dxa"/>
              <w:right w:w="15" w:type="dxa"/>
            </w:tcMar>
          </w:tcPr>
          <w:p w14:paraId="2ECD6304"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34.1</w:t>
            </w:r>
          </w:p>
        </w:tc>
        <w:tc>
          <w:tcPr>
            <w:tcW w:w="992" w:type="dxa"/>
            <w:shd w:val="clear" w:color="auto" w:fill="auto"/>
            <w:noWrap/>
            <w:tcMar>
              <w:top w:w="15" w:type="dxa"/>
              <w:left w:w="15" w:type="dxa"/>
              <w:bottom w:w="0" w:type="dxa"/>
              <w:right w:w="15" w:type="dxa"/>
            </w:tcMar>
          </w:tcPr>
          <w:p w14:paraId="185C49A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34.1</w:t>
            </w:r>
          </w:p>
        </w:tc>
        <w:tc>
          <w:tcPr>
            <w:tcW w:w="851" w:type="dxa"/>
            <w:shd w:val="clear" w:color="auto" w:fill="auto"/>
            <w:noWrap/>
            <w:tcMar>
              <w:top w:w="15" w:type="dxa"/>
              <w:left w:w="15" w:type="dxa"/>
              <w:bottom w:w="0" w:type="dxa"/>
              <w:right w:w="15" w:type="dxa"/>
            </w:tcMar>
          </w:tcPr>
          <w:p w14:paraId="2781494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0.0</w:t>
            </w:r>
          </w:p>
        </w:tc>
        <w:tc>
          <w:tcPr>
            <w:tcW w:w="857" w:type="dxa"/>
            <w:shd w:val="clear" w:color="auto" w:fill="auto"/>
            <w:noWrap/>
            <w:tcMar>
              <w:top w:w="15" w:type="dxa"/>
              <w:left w:w="15" w:type="dxa"/>
              <w:bottom w:w="0" w:type="dxa"/>
              <w:right w:w="15" w:type="dxa"/>
            </w:tcMar>
          </w:tcPr>
          <w:p w14:paraId="25E6086F"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0.0</w:t>
            </w:r>
          </w:p>
        </w:tc>
      </w:tr>
      <w:tr w:rsidR="00EC5522" w:rsidRPr="00EA07DA" w14:paraId="5A16A124"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5F7C760B"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332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productos metálicos</w:t>
            </w:r>
          </w:p>
        </w:tc>
        <w:tc>
          <w:tcPr>
            <w:tcW w:w="850" w:type="dxa"/>
            <w:shd w:val="clear" w:color="auto" w:fill="auto"/>
            <w:noWrap/>
            <w:tcMar>
              <w:top w:w="15" w:type="dxa"/>
              <w:left w:w="15" w:type="dxa"/>
              <w:bottom w:w="0" w:type="dxa"/>
              <w:right w:w="15" w:type="dxa"/>
            </w:tcMar>
          </w:tcPr>
          <w:p w14:paraId="44C97D3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81.9</w:t>
            </w:r>
          </w:p>
        </w:tc>
        <w:tc>
          <w:tcPr>
            <w:tcW w:w="997" w:type="dxa"/>
            <w:shd w:val="clear" w:color="auto" w:fill="auto"/>
            <w:noWrap/>
            <w:tcMar>
              <w:top w:w="15" w:type="dxa"/>
              <w:left w:w="15" w:type="dxa"/>
              <w:bottom w:w="0" w:type="dxa"/>
              <w:right w:w="15" w:type="dxa"/>
            </w:tcMar>
          </w:tcPr>
          <w:p w14:paraId="00D6163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81.8</w:t>
            </w:r>
          </w:p>
        </w:tc>
        <w:tc>
          <w:tcPr>
            <w:tcW w:w="846" w:type="dxa"/>
            <w:shd w:val="clear" w:color="auto" w:fill="auto"/>
            <w:noWrap/>
            <w:tcMar>
              <w:top w:w="15" w:type="dxa"/>
              <w:left w:w="15" w:type="dxa"/>
              <w:bottom w:w="0" w:type="dxa"/>
              <w:right w:w="15" w:type="dxa"/>
            </w:tcMar>
          </w:tcPr>
          <w:p w14:paraId="301F881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18.1</w:t>
            </w:r>
          </w:p>
        </w:tc>
        <w:tc>
          <w:tcPr>
            <w:tcW w:w="992" w:type="dxa"/>
            <w:shd w:val="clear" w:color="auto" w:fill="auto"/>
            <w:noWrap/>
            <w:tcMar>
              <w:top w:w="15" w:type="dxa"/>
              <w:left w:w="15" w:type="dxa"/>
              <w:bottom w:w="0" w:type="dxa"/>
              <w:right w:w="15" w:type="dxa"/>
            </w:tcMar>
          </w:tcPr>
          <w:p w14:paraId="44B485BD"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18.2</w:t>
            </w:r>
          </w:p>
        </w:tc>
        <w:tc>
          <w:tcPr>
            <w:tcW w:w="851" w:type="dxa"/>
            <w:shd w:val="clear" w:color="auto" w:fill="auto"/>
            <w:noWrap/>
            <w:tcMar>
              <w:top w:w="15" w:type="dxa"/>
              <w:left w:w="15" w:type="dxa"/>
              <w:bottom w:w="0" w:type="dxa"/>
              <w:right w:w="15" w:type="dxa"/>
            </w:tcMar>
          </w:tcPr>
          <w:p w14:paraId="5C7B8F85"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-0.1</w:t>
            </w:r>
          </w:p>
        </w:tc>
        <w:tc>
          <w:tcPr>
            <w:tcW w:w="857" w:type="dxa"/>
            <w:shd w:val="clear" w:color="auto" w:fill="auto"/>
            <w:noWrap/>
            <w:tcMar>
              <w:top w:w="15" w:type="dxa"/>
              <w:left w:w="15" w:type="dxa"/>
              <w:bottom w:w="0" w:type="dxa"/>
              <w:right w:w="15" w:type="dxa"/>
            </w:tcMar>
          </w:tcPr>
          <w:p w14:paraId="0B3DBA09"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0.1</w:t>
            </w:r>
          </w:p>
        </w:tc>
      </w:tr>
      <w:tr w:rsidR="00EC5522" w:rsidRPr="00EA07DA" w14:paraId="0C85CC48"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3130D2EC"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333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maquinaria y equipo</w:t>
            </w:r>
          </w:p>
        </w:tc>
        <w:tc>
          <w:tcPr>
            <w:tcW w:w="850" w:type="dxa"/>
            <w:shd w:val="clear" w:color="auto" w:fill="auto"/>
            <w:noWrap/>
            <w:tcMar>
              <w:top w:w="15" w:type="dxa"/>
              <w:left w:w="15" w:type="dxa"/>
              <w:bottom w:w="0" w:type="dxa"/>
              <w:right w:w="15" w:type="dxa"/>
            </w:tcMar>
          </w:tcPr>
          <w:p w14:paraId="39187057"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77.9</w:t>
            </w:r>
          </w:p>
        </w:tc>
        <w:tc>
          <w:tcPr>
            <w:tcW w:w="997" w:type="dxa"/>
            <w:shd w:val="clear" w:color="auto" w:fill="auto"/>
            <w:noWrap/>
            <w:tcMar>
              <w:top w:w="15" w:type="dxa"/>
              <w:left w:w="15" w:type="dxa"/>
              <w:bottom w:w="0" w:type="dxa"/>
              <w:right w:w="15" w:type="dxa"/>
            </w:tcMar>
          </w:tcPr>
          <w:p w14:paraId="799A93D1"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79.1</w:t>
            </w:r>
          </w:p>
        </w:tc>
        <w:tc>
          <w:tcPr>
            <w:tcW w:w="846" w:type="dxa"/>
            <w:shd w:val="clear" w:color="auto" w:fill="auto"/>
            <w:noWrap/>
            <w:tcMar>
              <w:top w:w="15" w:type="dxa"/>
              <w:left w:w="15" w:type="dxa"/>
              <w:bottom w:w="0" w:type="dxa"/>
              <w:right w:w="15" w:type="dxa"/>
            </w:tcMar>
          </w:tcPr>
          <w:p w14:paraId="3A25AD71"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22.1</w:t>
            </w:r>
          </w:p>
        </w:tc>
        <w:tc>
          <w:tcPr>
            <w:tcW w:w="992" w:type="dxa"/>
            <w:shd w:val="clear" w:color="auto" w:fill="auto"/>
            <w:noWrap/>
            <w:tcMar>
              <w:top w:w="15" w:type="dxa"/>
              <w:left w:w="15" w:type="dxa"/>
              <w:bottom w:w="0" w:type="dxa"/>
              <w:right w:w="15" w:type="dxa"/>
            </w:tcMar>
          </w:tcPr>
          <w:p w14:paraId="527B8CE9"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20.9</w:t>
            </w:r>
          </w:p>
        </w:tc>
        <w:tc>
          <w:tcPr>
            <w:tcW w:w="851" w:type="dxa"/>
            <w:shd w:val="clear" w:color="auto" w:fill="auto"/>
            <w:noWrap/>
            <w:tcMar>
              <w:top w:w="15" w:type="dxa"/>
              <w:left w:w="15" w:type="dxa"/>
              <w:bottom w:w="0" w:type="dxa"/>
              <w:right w:w="15" w:type="dxa"/>
            </w:tcMar>
          </w:tcPr>
          <w:p w14:paraId="68D99DB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1.2</w:t>
            </w:r>
          </w:p>
        </w:tc>
        <w:tc>
          <w:tcPr>
            <w:tcW w:w="857" w:type="dxa"/>
            <w:shd w:val="clear" w:color="auto" w:fill="auto"/>
            <w:noWrap/>
            <w:tcMar>
              <w:top w:w="15" w:type="dxa"/>
              <w:left w:w="15" w:type="dxa"/>
              <w:bottom w:w="0" w:type="dxa"/>
              <w:right w:w="15" w:type="dxa"/>
            </w:tcMar>
          </w:tcPr>
          <w:p w14:paraId="7F842B8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-1.2</w:t>
            </w:r>
          </w:p>
        </w:tc>
      </w:tr>
      <w:tr w:rsidR="00EC5522" w:rsidRPr="00EA07DA" w14:paraId="346FF478"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03FAA686"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334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equipo de computación</w:t>
            </w:r>
          </w:p>
        </w:tc>
        <w:tc>
          <w:tcPr>
            <w:tcW w:w="850" w:type="dxa"/>
            <w:shd w:val="clear" w:color="auto" w:fill="auto"/>
            <w:noWrap/>
            <w:tcMar>
              <w:top w:w="15" w:type="dxa"/>
              <w:left w:w="15" w:type="dxa"/>
              <w:bottom w:w="0" w:type="dxa"/>
              <w:right w:w="15" w:type="dxa"/>
            </w:tcMar>
          </w:tcPr>
          <w:p w14:paraId="41D31748"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91.4</w:t>
            </w:r>
          </w:p>
        </w:tc>
        <w:tc>
          <w:tcPr>
            <w:tcW w:w="997" w:type="dxa"/>
            <w:shd w:val="clear" w:color="auto" w:fill="auto"/>
            <w:noWrap/>
            <w:tcMar>
              <w:top w:w="15" w:type="dxa"/>
              <w:left w:w="15" w:type="dxa"/>
              <w:bottom w:w="0" w:type="dxa"/>
              <w:right w:w="15" w:type="dxa"/>
            </w:tcMar>
          </w:tcPr>
          <w:p w14:paraId="5A30EC43"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90.7</w:t>
            </w:r>
          </w:p>
        </w:tc>
        <w:tc>
          <w:tcPr>
            <w:tcW w:w="846" w:type="dxa"/>
            <w:shd w:val="clear" w:color="auto" w:fill="auto"/>
            <w:noWrap/>
            <w:tcMar>
              <w:top w:w="15" w:type="dxa"/>
              <w:left w:w="15" w:type="dxa"/>
              <w:bottom w:w="0" w:type="dxa"/>
              <w:right w:w="15" w:type="dxa"/>
            </w:tcMar>
          </w:tcPr>
          <w:p w14:paraId="21E4AEA4"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8.6</w:t>
            </w:r>
          </w:p>
        </w:tc>
        <w:tc>
          <w:tcPr>
            <w:tcW w:w="992" w:type="dxa"/>
            <w:shd w:val="clear" w:color="auto" w:fill="auto"/>
            <w:noWrap/>
            <w:tcMar>
              <w:top w:w="15" w:type="dxa"/>
              <w:left w:w="15" w:type="dxa"/>
              <w:bottom w:w="0" w:type="dxa"/>
              <w:right w:w="15" w:type="dxa"/>
            </w:tcMar>
          </w:tcPr>
          <w:p w14:paraId="5D0C9D6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9.3</w:t>
            </w:r>
          </w:p>
        </w:tc>
        <w:tc>
          <w:tcPr>
            <w:tcW w:w="851" w:type="dxa"/>
            <w:shd w:val="clear" w:color="auto" w:fill="auto"/>
            <w:noWrap/>
            <w:tcMar>
              <w:top w:w="15" w:type="dxa"/>
              <w:left w:w="15" w:type="dxa"/>
              <w:bottom w:w="0" w:type="dxa"/>
              <w:right w:w="15" w:type="dxa"/>
            </w:tcMar>
          </w:tcPr>
          <w:p w14:paraId="48001BE4"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-0.7</w:t>
            </w:r>
          </w:p>
        </w:tc>
        <w:tc>
          <w:tcPr>
            <w:tcW w:w="857" w:type="dxa"/>
            <w:shd w:val="clear" w:color="auto" w:fill="auto"/>
            <w:noWrap/>
            <w:tcMar>
              <w:top w:w="15" w:type="dxa"/>
              <w:left w:w="15" w:type="dxa"/>
              <w:bottom w:w="0" w:type="dxa"/>
              <w:right w:w="15" w:type="dxa"/>
            </w:tcMar>
          </w:tcPr>
          <w:p w14:paraId="473AC3A2"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0.7</w:t>
            </w:r>
          </w:p>
        </w:tc>
      </w:tr>
      <w:tr w:rsidR="00EC5522" w:rsidRPr="00EA07DA" w14:paraId="5561496F"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46027889"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335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aparatos eléctricos</w:t>
            </w:r>
          </w:p>
        </w:tc>
        <w:tc>
          <w:tcPr>
            <w:tcW w:w="850" w:type="dxa"/>
            <w:shd w:val="clear" w:color="auto" w:fill="auto"/>
            <w:noWrap/>
            <w:tcMar>
              <w:top w:w="15" w:type="dxa"/>
              <w:left w:w="15" w:type="dxa"/>
              <w:bottom w:w="0" w:type="dxa"/>
              <w:right w:w="15" w:type="dxa"/>
            </w:tcMar>
          </w:tcPr>
          <w:p w14:paraId="67D6EA8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74.6</w:t>
            </w:r>
          </w:p>
        </w:tc>
        <w:tc>
          <w:tcPr>
            <w:tcW w:w="997" w:type="dxa"/>
            <w:shd w:val="clear" w:color="auto" w:fill="auto"/>
            <w:noWrap/>
            <w:tcMar>
              <w:top w:w="15" w:type="dxa"/>
              <w:left w:w="15" w:type="dxa"/>
              <w:bottom w:w="0" w:type="dxa"/>
              <w:right w:w="15" w:type="dxa"/>
            </w:tcMar>
          </w:tcPr>
          <w:p w14:paraId="3AF0E157"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74.1</w:t>
            </w:r>
          </w:p>
        </w:tc>
        <w:tc>
          <w:tcPr>
            <w:tcW w:w="846" w:type="dxa"/>
            <w:shd w:val="clear" w:color="auto" w:fill="auto"/>
            <w:noWrap/>
            <w:tcMar>
              <w:top w:w="15" w:type="dxa"/>
              <w:left w:w="15" w:type="dxa"/>
              <w:bottom w:w="0" w:type="dxa"/>
              <w:right w:w="15" w:type="dxa"/>
            </w:tcMar>
          </w:tcPr>
          <w:p w14:paraId="4601905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25.4</w:t>
            </w:r>
          </w:p>
        </w:tc>
        <w:tc>
          <w:tcPr>
            <w:tcW w:w="992" w:type="dxa"/>
            <w:shd w:val="clear" w:color="auto" w:fill="auto"/>
            <w:noWrap/>
            <w:tcMar>
              <w:top w:w="15" w:type="dxa"/>
              <w:left w:w="15" w:type="dxa"/>
              <w:bottom w:w="0" w:type="dxa"/>
              <w:right w:w="15" w:type="dxa"/>
            </w:tcMar>
          </w:tcPr>
          <w:p w14:paraId="450B02E4"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25.9</w:t>
            </w:r>
          </w:p>
        </w:tc>
        <w:tc>
          <w:tcPr>
            <w:tcW w:w="851" w:type="dxa"/>
            <w:shd w:val="clear" w:color="auto" w:fill="auto"/>
            <w:noWrap/>
            <w:tcMar>
              <w:top w:w="15" w:type="dxa"/>
              <w:left w:w="15" w:type="dxa"/>
              <w:bottom w:w="0" w:type="dxa"/>
              <w:right w:w="15" w:type="dxa"/>
            </w:tcMar>
          </w:tcPr>
          <w:p w14:paraId="527AC1E3"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-0.4</w:t>
            </w:r>
          </w:p>
        </w:tc>
        <w:tc>
          <w:tcPr>
            <w:tcW w:w="857" w:type="dxa"/>
            <w:shd w:val="clear" w:color="auto" w:fill="auto"/>
            <w:noWrap/>
            <w:tcMar>
              <w:top w:w="15" w:type="dxa"/>
              <w:left w:w="15" w:type="dxa"/>
              <w:bottom w:w="0" w:type="dxa"/>
              <w:right w:w="15" w:type="dxa"/>
            </w:tcMar>
          </w:tcPr>
          <w:p w14:paraId="4A6D123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0.4</w:t>
            </w:r>
          </w:p>
        </w:tc>
      </w:tr>
      <w:tr w:rsidR="00EC5522" w:rsidRPr="00EA07DA" w14:paraId="2A662D48"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104B05AA"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336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equipo de transporte</w:t>
            </w:r>
          </w:p>
        </w:tc>
        <w:tc>
          <w:tcPr>
            <w:tcW w:w="850" w:type="dxa"/>
            <w:shd w:val="clear" w:color="auto" w:fill="auto"/>
            <w:noWrap/>
            <w:tcMar>
              <w:top w:w="15" w:type="dxa"/>
              <w:left w:w="15" w:type="dxa"/>
              <w:bottom w:w="0" w:type="dxa"/>
              <w:right w:w="15" w:type="dxa"/>
            </w:tcMar>
          </w:tcPr>
          <w:p w14:paraId="2924F22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78.1</w:t>
            </w:r>
          </w:p>
        </w:tc>
        <w:tc>
          <w:tcPr>
            <w:tcW w:w="997" w:type="dxa"/>
            <w:shd w:val="clear" w:color="auto" w:fill="auto"/>
            <w:noWrap/>
            <w:tcMar>
              <w:top w:w="15" w:type="dxa"/>
              <w:left w:w="15" w:type="dxa"/>
              <w:bottom w:w="0" w:type="dxa"/>
              <w:right w:w="15" w:type="dxa"/>
            </w:tcMar>
          </w:tcPr>
          <w:p w14:paraId="096B4A4B"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78.8</w:t>
            </w:r>
          </w:p>
        </w:tc>
        <w:tc>
          <w:tcPr>
            <w:tcW w:w="846" w:type="dxa"/>
            <w:shd w:val="clear" w:color="auto" w:fill="auto"/>
            <w:noWrap/>
            <w:tcMar>
              <w:top w:w="15" w:type="dxa"/>
              <w:left w:w="15" w:type="dxa"/>
              <w:bottom w:w="0" w:type="dxa"/>
              <w:right w:w="15" w:type="dxa"/>
            </w:tcMar>
          </w:tcPr>
          <w:p w14:paraId="740DDD95"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21.9</w:t>
            </w:r>
          </w:p>
        </w:tc>
        <w:tc>
          <w:tcPr>
            <w:tcW w:w="992" w:type="dxa"/>
            <w:shd w:val="clear" w:color="auto" w:fill="auto"/>
            <w:noWrap/>
            <w:tcMar>
              <w:top w:w="15" w:type="dxa"/>
              <w:left w:w="15" w:type="dxa"/>
              <w:bottom w:w="0" w:type="dxa"/>
              <w:right w:w="15" w:type="dxa"/>
            </w:tcMar>
          </w:tcPr>
          <w:p w14:paraId="52FAA220"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21.2</w:t>
            </w:r>
          </w:p>
        </w:tc>
        <w:tc>
          <w:tcPr>
            <w:tcW w:w="851" w:type="dxa"/>
            <w:shd w:val="clear" w:color="auto" w:fill="auto"/>
            <w:noWrap/>
            <w:tcMar>
              <w:top w:w="15" w:type="dxa"/>
              <w:left w:w="15" w:type="dxa"/>
              <w:bottom w:w="0" w:type="dxa"/>
              <w:right w:w="15" w:type="dxa"/>
            </w:tcMar>
          </w:tcPr>
          <w:p w14:paraId="742A8F59"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0.8</w:t>
            </w:r>
          </w:p>
        </w:tc>
        <w:tc>
          <w:tcPr>
            <w:tcW w:w="857" w:type="dxa"/>
            <w:shd w:val="clear" w:color="auto" w:fill="auto"/>
            <w:noWrap/>
            <w:tcMar>
              <w:top w:w="15" w:type="dxa"/>
              <w:left w:w="15" w:type="dxa"/>
              <w:bottom w:w="0" w:type="dxa"/>
              <w:right w:w="15" w:type="dxa"/>
            </w:tcMar>
          </w:tcPr>
          <w:p w14:paraId="1FCA2E7D"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-0.8</w:t>
            </w:r>
          </w:p>
        </w:tc>
      </w:tr>
      <w:tr w:rsidR="00EC5522" w:rsidRPr="00EA07DA" w14:paraId="43436FC0"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2CE3DBA7"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337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muebles</w:t>
            </w:r>
          </w:p>
        </w:tc>
        <w:tc>
          <w:tcPr>
            <w:tcW w:w="850" w:type="dxa"/>
            <w:shd w:val="clear" w:color="auto" w:fill="auto"/>
            <w:noWrap/>
            <w:tcMar>
              <w:top w:w="15" w:type="dxa"/>
              <w:left w:w="15" w:type="dxa"/>
              <w:bottom w:w="0" w:type="dxa"/>
              <w:right w:w="15" w:type="dxa"/>
            </w:tcMar>
          </w:tcPr>
          <w:p w14:paraId="3C6E6DD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89.0</w:t>
            </w:r>
          </w:p>
        </w:tc>
        <w:tc>
          <w:tcPr>
            <w:tcW w:w="997" w:type="dxa"/>
            <w:shd w:val="clear" w:color="auto" w:fill="auto"/>
            <w:noWrap/>
            <w:tcMar>
              <w:top w:w="15" w:type="dxa"/>
              <w:left w:w="15" w:type="dxa"/>
              <w:bottom w:w="0" w:type="dxa"/>
              <w:right w:w="15" w:type="dxa"/>
            </w:tcMar>
          </w:tcPr>
          <w:p w14:paraId="737962B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90.1</w:t>
            </w:r>
          </w:p>
        </w:tc>
        <w:tc>
          <w:tcPr>
            <w:tcW w:w="846" w:type="dxa"/>
            <w:shd w:val="clear" w:color="auto" w:fill="auto"/>
            <w:noWrap/>
            <w:tcMar>
              <w:top w:w="15" w:type="dxa"/>
              <w:left w:w="15" w:type="dxa"/>
              <w:bottom w:w="0" w:type="dxa"/>
              <w:right w:w="15" w:type="dxa"/>
            </w:tcMar>
          </w:tcPr>
          <w:p w14:paraId="12CDFA5A"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11.0</w:t>
            </w:r>
          </w:p>
        </w:tc>
        <w:tc>
          <w:tcPr>
            <w:tcW w:w="992" w:type="dxa"/>
            <w:shd w:val="clear" w:color="auto" w:fill="auto"/>
            <w:noWrap/>
            <w:tcMar>
              <w:top w:w="15" w:type="dxa"/>
              <w:left w:w="15" w:type="dxa"/>
              <w:bottom w:w="0" w:type="dxa"/>
              <w:right w:w="15" w:type="dxa"/>
            </w:tcMar>
          </w:tcPr>
          <w:p w14:paraId="030A14C2"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9.9</w:t>
            </w:r>
          </w:p>
        </w:tc>
        <w:tc>
          <w:tcPr>
            <w:tcW w:w="851" w:type="dxa"/>
            <w:shd w:val="clear" w:color="auto" w:fill="auto"/>
            <w:noWrap/>
            <w:tcMar>
              <w:top w:w="15" w:type="dxa"/>
              <w:left w:w="15" w:type="dxa"/>
              <w:bottom w:w="0" w:type="dxa"/>
              <w:right w:w="15" w:type="dxa"/>
            </w:tcMar>
          </w:tcPr>
          <w:p w14:paraId="34CB039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1.1</w:t>
            </w:r>
          </w:p>
        </w:tc>
        <w:tc>
          <w:tcPr>
            <w:tcW w:w="857" w:type="dxa"/>
            <w:shd w:val="clear" w:color="auto" w:fill="auto"/>
            <w:noWrap/>
            <w:tcMar>
              <w:top w:w="15" w:type="dxa"/>
              <w:left w:w="15" w:type="dxa"/>
              <w:bottom w:w="0" w:type="dxa"/>
              <w:right w:w="15" w:type="dxa"/>
            </w:tcMar>
          </w:tcPr>
          <w:p w14:paraId="6B55524E"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-1.1</w:t>
            </w:r>
          </w:p>
        </w:tc>
      </w:tr>
      <w:tr w:rsidR="00EC5522" w:rsidRPr="00EA07DA" w14:paraId="7FEE1923" w14:textId="77777777" w:rsidTr="00DB5229">
        <w:trPr>
          <w:trHeight w:val="57"/>
          <w:jc w:val="center"/>
        </w:trPr>
        <w:tc>
          <w:tcPr>
            <w:tcW w:w="3114" w:type="dxa"/>
            <w:shd w:val="clear" w:color="auto" w:fill="auto"/>
            <w:noWrap/>
            <w:tcMar>
              <w:top w:w="15" w:type="dxa"/>
              <w:left w:w="15" w:type="dxa"/>
              <w:bottom w:w="0" w:type="dxa"/>
              <w:right w:w="15" w:type="dxa"/>
            </w:tcMar>
            <w:vAlign w:val="center"/>
            <w:hideMark/>
          </w:tcPr>
          <w:p w14:paraId="0D22E482" w14:textId="77777777" w:rsidR="00EC5522" w:rsidRPr="006E63EB" w:rsidRDefault="00EC5522" w:rsidP="00EC5522">
            <w:pPr>
              <w:spacing w:after="0" w:line="240" w:lineRule="auto"/>
              <w:rPr>
                <w:rFonts w:ascii="Arial" w:hAnsi="Arial" w:cs="Arial"/>
                <w:sz w:val="14"/>
                <w:szCs w:val="14"/>
              </w:rPr>
            </w:pPr>
            <w:r w:rsidRPr="006E63EB">
              <w:rPr>
                <w:rFonts w:ascii="Arial" w:hAnsi="Arial" w:cs="Arial"/>
                <w:sz w:val="14"/>
                <w:szCs w:val="14"/>
              </w:rPr>
              <w:t xml:space="preserve">339 </w:t>
            </w:r>
            <w:proofErr w:type="gramStart"/>
            <w:r w:rsidRPr="006E63EB">
              <w:rPr>
                <w:rFonts w:ascii="Arial" w:hAnsi="Arial" w:cs="Arial"/>
                <w:sz w:val="14"/>
                <w:szCs w:val="14"/>
              </w:rPr>
              <w:t>Otras</w:t>
            </w:r>
            <w:proofErr w:type="gramEnd"/>
            <w:r w:rsidRPr="006E63EB">
              <w:rPr>
                <w:rFonts w:ascii="Arial" w:hAnsi="Arial" w:cs="Arial"/>
                <w:sz w:val="14"/>
                <w:szCs w:val="14"/>
              </w:rPr>
              <w:t xml:space="preserve"> industrias manufactureras</w:t>
            </w:r>
          </w:p>
        </w:tc>
        <w:tc>
          <w:tcPr>
            <w:tcW w:w="850" w:type="dxa"/>
            <w:shd w:val="clear" w:color="auto" w:fill="auto"/>
            <w:noWrap/>
            <w:tcMar>
              <w:top w:w="15" w:type="dxa"/>
              <w:left w:w="15" w:type="dxa"/>
              <w:bottom w:w="0" w:type="dxa"/>
              <w:right w:w="15" w:type="dxa"/>
            </w:tcMar>
          </w:tcPr>
          <w:p w14:paraId="0EA4F4D8"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93.2</w:t>
            </w:r>
          </w:p>
        </w:tc>
        <w:tc>
          <w:tcPr>
            <w:tcW w:w="997" w:type="dxa"/>
            <w:shd w:val="clear" w:color="auto" w:fill="auto"/>
            <w:noWrap/>
            <w:tcMar>
              <w:top w:w="15" w:type="dxa"/>
              <w:left w:w="15" w:type="dxa"/>
              <w:bottom w:w="0" w:type="dxa"/>
              <w:right w:w="15" w:type="dxa"/>
            </w:tcMar>
          </w:tcPr>
          <w:p w14:paraId="6951BCFC"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93.7</w:t>
            </w:r>
          </w:p>
        </w:tc>
        <w:tc>
          <w:tcPr>
            <w:tcW w:w="846" w:type="dxa"/>
            <w:shd w:val="clear" w:color="auto" w:fill="auto"/>
            <w:noWrap/>
            <w:tcMar>
              <w:top w:w="15" w:type="dxa"/>
              <w:left w:w="15" w:type="dxa"/>
              <w:bottom w:w="0" w:type="dxa"/>
              <w:right w:w="15" w:type="dxa"/>
            </w:tcMar>
          </w:tcPr>
          <w:p w14:paraId="7FCC0A6D"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6.8</w:t>
            </w:r>
          </w:p>
        </w:tc>
        <w:tc>
          <w:tcPr>
            <w:tcW w:w="992" w:type="dxa"/>
            <w:shd w:val="clear" w:color="auto" w:fill="auto"/>
            <w:noWrap/>
            <w:tcMar>
              <w:top w:w="15" w:type="dxa"/>
              <w:left w:w="15" w:type="dxa"/>
              <w:bottom w:w="0" w:type="dxa"/>
              <w:right w:w="15" w:type="dxa"/>
            </w:tcMar>
          </w:tcPr>
          <w:p w14:paraId="51B8F39A"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6.3</w:t>
            </w:r>
          </w:p>
        </w:tc>
        <w:tc>
          <w:tcPr>
            <w:tcW w:w="851" w:type="dxa"/>
            <w:shd w:val="clear" w:color="auto" w:fill="auto"/>
            <w:noWrap/>
            <w:tcMar>
              <w:top w:w="15" w:type="dxa"/>
              <w:left w:w="15" w:type="dxa"/>
              <w:bottom w:w="0" w:type="dxa"/>
              <w:right w:w="15" w:type="dxa"/>
            </w:tcMar>
          </w:tcPr>
          <w:p w14:paraId="3F664C76"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0.5</w:t>
            </w:r>
          </w:p>
        </w:tc>
        <w:tc>
          <w:tcPr>
            <w:tcW w:w="857" w:type="dxa"/>
            <w:shd w:val="clear" w:color="auto" w:fill="auto"/>
            <w:noWrap/>
            <w:tcMar>
              <w:top w:w="15" w:type="dxa"/>
              <w:left w:w="15" w:type="dxa"/>
              <w:bottom w:w="0" w:type="dxa"/>
              <w:right w:w="15" w:type="dxa"/>
            </w:tcMar>
          </w:tcPr>
          <w:p w14:paraId="52902BD3" w14:textId="77777777" w:rsidR="00EC5522" w:rsidRPr="00EC5522" w:rsidRDefault="00EC5522" w:rsidP="00EC5522">
            <w:pPr>
              <w:spacing w:after="0" w:line="240" w:lineRule="auto"/>
              <w:jc w:val="center"/>
              <w:rPr>
                <w:rFonts w:ascii="Arial" w:hAnsi="Arial" w:cs="Arial"/>
                <w:color w:val="FF0000"/>
                <w:sz w:val="14"/>
                <w:szCs w:val="14"/>
              </w:rPr>
            </w:pPr>
            <w:r w:rsidRPr="00EC5522">
              <w:rPr>
                <w:rFonts w:ascii="Arial" w:hAnsi="Arial" w:cs="Arial"/>
                <w:sz w:val="14"/>
                <w:szCs w:val="14"/>
              </w:rPr>
              <w:t>-0.5</w:t>
            </w:r>
          </w:p>
        </w:tc>
      </w:tr>
    </w:tbl>
    <w:p w14:paraId="6C474B99" w14:textId="77777777" w:rsidR="00A64652" w:rsidRPr="00A341C6" w:rsidRDefault="00301F02" w:rsidP="00735D17">
      <w:pPr>
        <w:pStyle w:val="Default"/>
        <w:ind w:left="154"/>
        <w:jc w:val="both"/>
        <w:rPr>
          <w:color w:val="auto"/>
          <w:sz w:val="16"/>
          <w:lang w:eastAsia="es-MX"/>
        </w:rPr>
      </w:pPr>
      <w:r>
        <w:rPr>
          <w:color w:val="auto"/>
          <w:sz w:val="16"/>
          <w:vertAlign w:val="superscript"/>
          <w:lang w:eastAsia="es-MX"/>
        </w:rPr>
        <w:t>p/</w:t>
      </w:r>
      <w:r w:rsidR="0003202F">
        <w:rPr>
          <w:color w:val="auto"/>
          <w:sz w:val="16"/>
          <w:vertAlign w:val="superscript"/>
          <w:lang w:eastAsia="es-MX"/>
        </w:rPr>
        <w:t xml:space="preserve"> </w:t>
      </w:r>
      <w:r w:rsidR="00DB5229">
        <w:rPr>
          <w:color w:val="auto"/>
          <w:sz w:val="16"/>
          <w:lang w:eastAsia="es-MX"/>
        </w:rPr>
        <w:t>Cifras preliminares.</w:t>
      </w:r>
    </w:p>
    <w:p w14:paraId="062C1E67" w14:textId="77777777" w:rsidR="003C3F99" w:rsidRDefault="00A64652" w:rsidP="00735D17">
      <w:pPr>
        <w:pStyle w:val="Default"/>
        <w:ind w:left="154"/>
        <w:jc w:val="both"/>
        <w:rPr>
          <w:color w:val="auto"/>
          <w:sz w:val="22"/>
          <w:szCs w:val="22"/>
          <w:lang w:eastAsia="es-MX"/>
        </w:rPr>
      </w:pPr>
      <w:r w:rsidRPr="00A341C6">
        <w:rPr>
          <w:color w:val="auto"/>
          <w:sz w:val="16"/>
          <w:lang w:eastAsia="es-MX"/>
        </w:rPr>
        <w:t xml:space="preserve">Fuente: </w:t>
      </w:r>
      <w:r w:rsidRPr="00A341C6">
        <w:rPr>
          <w:b/>
          <w:color w:val="auto"/>
          <w:sz w:val="16"/>
          <w:lang w:eastAsia="es-MX"/>
        </w:rPr>
        <w:t>INEGI.</w:t>
      </w:r>
    </w:p>
    <w:p w14:paraId="65970598" w14:textId="77777777" w:rsidR="00953B6A" w:rsidRDefault="00955C01" w:rsidP="00955C01">
      <w:pPr>
        <w:pStyle w:val="Default"/>
        <w:tabs>
          <w:tab w:val="left" w:pos="1740"/>
        </w:tabs>
        <w:jc w:val="both"/>
        <w:rPr>
          <w:bCs/>
          <w:color w:val="auto"/>
          <w:sz w:val="22"/>
          <w:lang w:eastAsia="es-MX"/>
        </w:rPr>
      </w:pPr>
      <w:r>
        <w:rPr>
          <w:bCs/>
          <w:color w:val="auto"/>
          <w:sz w:val="22"/>
          <w:lang w:eastAsia="es-MX"/>
        </w:rPr>
        <w:tab/>
      </w:r>
    </w:p>
    <w:p w14:paraId="6DBE908D" w14:textId="77777777" w:rsidR="00955C01" w:rsidRDefault="00955C01" w:rsidP="00955C01">
      <w:pPr>
        <w:pStyle w:val="Default"/>
        <w:tabs>
          <w:tab w:val="left" w:pos="1740"/>
        </w:tabs>
        <w:jc w:val="both"/>
        <w:rPr>
          <w:bCs/>
          <w:color w:val="auto"/>
          <w:sz w:val="22"/>
          <w:lang w:eastAsia="es-MX"/>
        </w:rPr>
      </w:pPr>
      <w:r>
        <w:rPr>
          <w:bCs/>
          <w:color w:val="auto"/>
          <w:sz w:val="22"/>
          <w:lang w:eastAsia="es-MX"/>
        </w:rPr>
        <w:t>Se tienen s</w:t>
      </w:r>
      <w:r w:rsidR="00B9062E">
        <w:rPr>
          <w:bCs/>
          <w:color w:val="auto"/>
          <w:sz w:val="22"/>
          <w:lang w:eastAsia="es-MX"/>
        </w:rPr>
        <w:t>eis</w:t>
      </w:r>
      <w:r>
        <w:rPr>
          <w:bCs/>
          <w:color w:val="auto"/>
          <w:sz w:val="22"/>
          <w:lang w:eastAsia="es-MX"/>
        </w:rPr>
        <w:t xml:space="preserve"> subsectores en los que la participación del personal subcontratado se incrementa, siendo la industria del papel, fabricación de equipo de computación, productos derivados del petróleo</w:t>
      </w:r>
      <w:r w:rsidR="000E61D3">
        <w:rPr>
          <w:bCs/>
          <w:color w:val="auto"/>
          <w:sz w:val="22"/>
          <w:lang w:eastAsia="es-MX"/>
        </w:rPr>
        <w:t xml:space="preserve"> y fabricación de aparatos eléctricos </w:t>
      </w:r>
      <w:r w:rsidR="00E34E7C">
        <w:rPr>
          <w:bCs/>
          <w:color w:val="auto"/>
          <w:sz w:val="22"/>
          <w:lang w:eastAsia="es-MX"/>
        </w:rPr>
        <w:t xml:space="preserve">los </w:t>
      </w:r>
      <w:r w:rsidR="000E61D3">
        <w:rPr>
          <w:bCs/>
          <w:color w:val="auto"/>
          <w:sz w:val="22"/>
          <w:lang w:eastAsia="es-MX"/>
        </w:rPr>
        <w:t>que registran disminución en su contribución del personal ocupado de 0.8, 0.7, 0.6 y 0.4 puntos en forma respectiva.</w:t>
      </w:r>
    </w:p>
    <w:p w14:paraId="42BC667C" w14:textId="77777777" w:rsidR="000E61D3" w:rsidRDefault="000E61D3" w:rsidP="00955C01">
      <w:pPr>
        <w:pStyle w:val="Default"/>
        <w:tabs>
          <w:tab w:val="left" w:pos="1740"/>
        </w:tabs>
        <w:jc w:val="both"/>
        <w:rPr>
          <w:bCs/>
          <w:color w:val="auto"/>
          <w:sz w:val="22"/>
          <w:lang w:eastAsia="es-MX"/>
        </w:rPr>
      </w:pPr>
    </w:p>
    <w:p w14:paraId="50B4873A" w14:textId="77777777" w:rsidR="000E61D3" w:rsidRDefault="000E61D3" w:rsidP="00955C01">
      <w:pPr>
        <w:pStyle w:val="Default"/>
        <w:tabs>
          <w:tab w:val="left" w:pos="1740"/>
        </w:tabs>
        <w:jc w:val="both"/>
        <w:rPr>
          <w:bCs/>
          <w:color w:val="auto"/>
          <w:sz w:val="22"/>
          <w:lang w:eastAsia="es-MX"/>
        </w:rPr>
      </w:pPr>
      <w:r>
        <w:rPr>
          <w:bCs/>
          <w:color w:val="auto"/>
          <w:sz w:val="22"/>
          <w:lang w:eastAsia="es-MX"/>
        </w:rPr>
        <w:t>Dos subsectores se mantienen en su composición del personal ocupado por tipo de contratación en 2019 y 2020, los cuales son productos a base de minerales no metálicos e industrias metálicas básicas.</w:t>
      </w:r>
    </w:p>
    <w:p w14:paraId="38B4904A" w14:textId="77777777" w:rsidR="00955C01" w:rsidRDefault="00955C01" w:rsidP="00955C01">
      <w:pPr>
        <w:pStyle w:val="Default"/>
        <w:tabs>
          <w:tab w:val="left" w:pos="1740"/>
        </w:tabs>
        <w:jc w:val="both"/>
        <w:rPr>
          <w:bCs/>
          <w:color w:val="auto"/>
          <w:sz w:val="22"/>
          <w:lang w:eastAsia="es-MX"/>
        </w:rPr>
      </w:pPr>
    </w:p>
    <w:p w14:paraId="02104705" w14:textId="77777777" w:rsidR="00391DFD" w:rsidRDefault="000E61D3" w:rsidP="000E61D3">
      <w:pPr>
        <w:pStyle w:val="Default"/>
        <w:jc w:val="both"/>
        <w:rPr>
          <w:bCs/>
          <w:color w:val="auto"/>
          <w:sz w:val="22"/>
          <w:lang w:eastAsia="es-MX"/>
        </w:rPr>
      </w:pPr>
      <w:r>
        <w:rPr>
          <w:bCs/>
          <w:color w:val="auto"/>
          <w:sz w:val="22"/>
          <w:lang w:eastAsia="es-MX"/>
        </w:rPr>
        <w:t xml:space="preserve">Con relación al </w:t>
      </w:r>
      <w:r w:rsidRPr="000E61D3">
        <w:rPr>
          <w:bCs/>
          <w:color w:val="auto"/>
          <w:sz w:val="22"/>
          <w:lang w:eastAsia="es-MX"/>
        </w:rPr>
        <w:t>personal ocupado total de las industrias manufactureras</w:t>
      </w:r>
      <w:r>
        <w:rPr>
          <w:bCs/>
          <w:color w:val="auto"/>
          <w:sz w:val="22"/>
          <w:lang w:eastAsia="es-MX"/>
        </w:rPr>
        <w:t xml:space="preserve"> </w:t>
      </w:r>
      <w:r w:rsidRPr="000E61D3">
        <w:rPr>
          <w:bCs/>
          <w:color w:val="auto"/>
          <w:sz w:val="22"/>
          <w:lang w:eastAsia="es-MX"/>
        </w:rPr>
        <w:t xml:space="preserve">por sexo y </w:t>
      </w:r>
      <w:r>
        <w:rPr>
          <w:bCs/>
          <w:color w:val="auto"/>
          <w:sz w:val="22"/>
          <w:lang w:eastAsia="es-MX"/>
        </w:rPr>
        <w:t>s</w:t>
      </w:r>
      <w:r w:rsidRPr="000E61D3">
        <w:rPr>
          <w:bCs/>
          <w:color w:val="auto"/>
          <w:sz w:val="22"/>
          <w:lang w:eastAsia="es-MX"/>
        </w:rPr>
        <w:t>ubsector</w:t>
      </w:r>
      <w:r>
        <w:rPr>
          <w:bCs/>
          <w:color w:val="auto"/>
          <w:sz w:val="22"/>
          <w:lang w:eastAsia="es-MX"/>
        </w:rPr>
        <w:t xml:space="preserve"> e</w:t>
      </w:r>
      <w:r w:rsidR="00391DFD">
        <w:rPr>
          <w:bCs/>
          <w:color w:val="auto"/>
          <w:sz w:val="22"/>
          <w:lang w:eastAsia="es-MX"/>
        </w:rPr>
        <w:t xml:space="preserve">n 2020, seis </w:t>
      </w:r>
      <w:r w:rsidR="00391DFD" w:rsidRPr="0014423B">
        <w:rPr>
          <w:bCs/>
          <w:color w:val="auto"/>
          <w:sz w:val="22"/>
          <w:lang w:eastAsia="es-MX"/>
        </w:rPr>
        <w:t>subsector</w:t>
      </w:r>
      <w:r w:rsidR="00391DFD">
        <w:rPr>
          <w:bCs/>
          <w:color w:val="auto"/>
          <w:sz w:val="22"/>
          <w:lang w:eastAsia="es-MX"/>
        </w:rPr>
        <w:t>es</w:t>
      </w:r>
      <w:r w:rsidR="00391DFD" w:rsidRPr="0014423B">
        <w:rPr>
          <w:bCs/>
          <w:color w:val="auto"/>
          <w:sz w:val="22"/>
          <w:lang w:eastAsia="es-MX"/>
        </w:rPr>
        <w:t xml:space="preserve"> </w:t>
      </w:r>
      <w:r w:rsidR="00391DFD">
        <w:rPr>
          <w:bCs/>
          <w:color w:val="auto"/>
          <w:sz w:val="22"/>
          <w:lang w:eastAsia="es-MX"/>
        </w:rPr>
        <w:t xml:space="preserve">tienen más de 40% de mujeres laborando en sus industrias, siendo el de mayor participación el </w:t>
      </w:r>
      <w:r w:rsidR="00391DFD" w:rsidRPr="0014423B">
        <w:rPr>
          <w:bCs/>
          <w:color w:val="auto"/>
          <w:sz w:val="22"/>
          <w:lang w:eastAsia="es-MX"/>
        </w:rPr>
        <w:t xml:space="preserve">de </w:t>
      </w:r>
      <w:r w:rsidR="00391DFD">
        <w:rPr>
          <w:bCs/>
          <w:color w:val="auto"/>
          <w:sz w:val="22"/>
          <w:lang w:eastAsia="es-MX"/>
        </w:rPr>
        <w:t>fabricación de prendas de vestir con 56.</w:t>
      </w:r>
      <w:r w:rsidR="00B9062E">
        <w:rPr>
          <w:bCs/>
          <w:color w:val="auto"/>
          <w:sz w:val="22"/>
          <w:lang w:eastAsia="es-MX"/>
        </w:rPr>
        <w:t>4</w:t>
      </w:r>
      <w:r w:rsidR="00391DFD">
        <w:rPr>
          <w:bCs/>
          <w:color w:val="auto"/>
          <w:sz w:val="22"/>
          <w:lang w:eastAsia="es-MX"/>
        </w:rPr>
        <w:t xml:space="preserve">% del total de personal, sigue las otras industrias manufactureras 54.9%, fabricación de equipo de computación 51.6%, fabricación de productos textiles 43%, impresión e industrias conexas 41.1% e industria del plástico y del hule 40.9 por ciento. </w:t>
      </w:r>
    </w:p>
    <w:p w14:paraId="45814004" w14:textId="77777777" w:rsidR="00391DFD" w:rsidRDefault="00391DFD" w:rsidP="0014423B">
      <w:pPr>
        <w:pStyle w:val="Default"/>
        <w:jc w:val="both"/>
        <w:rPr>
          <w:bCs/>
          <w:color w:val="auto"/>
          <w:sz w:val="22"/>
          <w:lang w:eastAsia="es-MX"/>
        </w:rPr>
      </w:pPr>
    </w:p>
    <w:p w14:paraId="0A81B1F3" w14:textId="77777777" w:rsidR="007257F9" w:rsidRDefault="007257F9" w:rsidP="0014423B">
      <w:pPr>
        <w:pStyle w:val="Default"/>
        <w:jc w:val="both"/>
        <w:rPr>
          <w:bCs/>
          <w:color w:val="auto"/>
          <w:sz w:val="22"/>
          <w:lang w:eastAsia="es-MX"/>
        </w:rPr>
      </w:pPr>
    </w:p>
    <w:p w14:paraId="2C946F40" w14:textId="77777777" w:rsidR="00092FAB" w:rsidRPr="0014423B" w:rsidRDefault="00E9576F" w:rsidP="0014423B">
      <w:pPr>
        <w:pStyle w:val="Default"/>
        <w:jc w:val="both"/>
        <w:rPr>
          <w:bCs/>
          <w:color w:val="auto"/>
          <w:sz w:val="22"/>
          <w:lang w:eastAsia="es-MX"/>
        </w:rPr>
      </w:pPr>
      <w:r>
        <w:rPr>
          <w:bCs/>
          <w:color w:val="auto"/>
          <w:sz w:val="22"/>
          <w:lang w:eastAsia="es-MX"/>
        </w:rPr>
        <w:lastRenderedPageBreak/>
        <w:t>De acuerdo con la diferencia anual</w:t>
      </w:r>
      <w:r w:rsidR="00953B6A">
        <w:rPr>
          <w:bCs/>
          <w:color w:val="auto"/>
          <w:sz w:val="22"/>
          <w:lang w:eastAsia="es-MX"/>
        </w:rPr>
        <w:t xml:space="preserve">, </w:t>
      </w:r>
      <w:r>
        <w:rPr>
          <w:bCs/>
          <w:color w:val="auto"/>
          <w:sz w:val="22"/>
          <w:lang w:eastAsia="es-MX"/>
        </w:rPr>
        <w:t xml:space="preserve">durante </w:t>
      </w:r>
      <w:r w:rsidR="00E54869">
        <w:rPr>
          <w:bCs/>
          <w:color w:val="auto"/>
          <w:sz w:val="22"/>
          <w:lang w:eastAsia="es-MX"/>
        </w:rPr>
        <w:t xml:space="preserve">2020 se tienen </w:t>
      </w:r>
      <w:r>
        <w:rPr>
          <w:bCs/>
          <w:color w:val="auto"/>
          <w:sz w:val="22"/>
          <w:lang w:eastAsia="es-MX"/>
        </w:rPr>
        <w:t xml:space="preserve">19 subsectores </w:t>
      </w:r>
      <w:r w:rsidR="00E54869">
        <w:rPr>
          <w:bCs/>
          <w:color w:val="auto"/>
          <w:sz w:val="22"/>
          <w:lang w:eastAsia="es-MX"/>
        </w:rPr>
        <w:t xml:space="preserve">en los que </w:t>
      </w:r>
      <w:r w:rsidR="00953B6A">
        <w:rPr>
          <w:bCs/>
          <w:color w:val="auto"/>
          <w:sz w:val="22"/>
          <w:lang w:eastAsia="es-MX"/>
        </w:rPr>
        <w:t>la participación de las mujeres se incrementa</w:t>
      </w:r>
      <w:r>
        <w:rPr>
          <w:bCs/>
          <w:color w:val="auto"/>
          <w:sz w:val="22"/>
          <w:lang w:eastAsia="es-MX"/>
        </w:rPr>
        <w:t xml:space="preserve">, siendo </w:t>
      </w:r>
      <w:r w:rsidR="00E54869">
        <w:rPr>
          <w:bCs/>
          <w:color w:val="auto"/>
          <w:sz w:val="22"/>
          <w:lang w:eastAsia="es-MX"/>
        </w:rPr>
        <w:t>los de m</w:t>
      </w:r>
      <w:r>
        <w:rPr>
          <w:bCs/>
          <w:color w:val="auto"/>
          <w:sz w:val="22"/>
          <w:lang w:eastAsia="es-MX"/>
        </w:rPr>
        <w:t>ayor dinamismo la fabricación de muebles 1.5%</w:t>
      </w:r>
      <w:r w:rsidR="00E54869">
        <w:rPr>
          <w:bCs/>
          <w:color w:val="auto"/>
          <w:sz w:val="22"/>
          <w:lang w:eastAsia="es-MX"/>
        </w:rPr>
        <w:t>, seguido por curtido y acabado de cuero y piel e industrias de las bebidas y del tabaco 1.3% en ambos casos.</w:t>
      </w:r>
    </w:p>
    <w:p w14:paraId="557CB806" w14:textId="77777777" w:rsidR="0003202F" w:rsidRDefault="0003202F" w:rsidP="00CC0198">
      <w:pPr>
        <w:pStyle w:val="Default"/>
        <w:jc w:val="center"/>
        <w:rPr>
          <w:b/>
          <w:color w:val="auto"/>
          <w:sz w:val="22"/>
          <w:lang w:eastAsia="es-MX"/>
        </w:rPr>
      </w:pPr>
    </w:p>
    <w:p w14:paraId="2CACACDA" w14:textId="77777777" w:rsidR="00630E50" w:rsidRPr="00A341C6" w:rsidRDefault="00630E50" w:rsidP="00CC0198">
      <w:pPr>
        <w:pStyle w:val="Default"/>
        <w:jc w:val="center"/>
        <w:rPr>
          <w:b/>
          <w:color w:val="auto"/>
          <w:sz w:val="22"/>
          <w:lang w:eastAsia="es-MX"/>
        </w:rPr>
      </w:pPr>
      <w:r>
        <w:rPr>
          <w:b/>
          <w:color w:val="auto"/>
          <w:sz w:val="22"/>
          <w:lang w:eastAsia="es-MX"/>
        </w:rPr>
        <w:t xml:space="preserve">Cuadro </w:t>
      </w:r>
      <w:r w:rsidR="0028205D">
        <w:rPr>
          <w:b/>
          <w:color w:val="auto"/>
          <w:sz w:val="22"/>
          <w:lang w:eastAsia="es-MX"/>
        </w:rPr>
        <w:t>3</w:t>
      </w:r>
    </w:p>
    <w:p w14:paraId="776FE588" w14:textId="77777777" w:rsidR="0003202F" w:rsidRDefault="00D00E62" w:rsidP="00CC0198">
      <w:pPr>
        <w:pStyle w:val="Default"/>
        <w:jc w:val="center"/>
        <w:rPr>
          <w:b/>
          <w:color w:val="auto"/>
          <w:sz w:val="22"/>
          <w:lang w:eastAsia="es-MX"/>
        </w:rPr>
      </w:pPr>
      <w:r>
        <w:rPr>
          <w:b/>
          <w:color w:val="auto"/>
          <w:sz w:val="22"/>
          <w:lang w:eastAsia="es-MX"/>
        </w:rPr>
        <w:t>Participación del p</w:t>
      </w:r>
      <w:r w:rsidR="00823D73">
        <w:rPr>
          <w:b/>
          <w:color w:val="auto"/>
          <w:sz w:val="22"/>
          <w:lang w:eastAsia="es-MX"/>
        </w:rPr>
        <w:t>ersonal ocupado total de las i</w:t>
      </w:r>
      <w:r w:rsidR="00CC0198" w:rsidRPr="00A341C6">
        <w:rPr>
          <w:b/>
          <w:color w:val="auto"/>
          <w:sz w:val="22"/>
          <w:lang w:eastAsia="es-MX"/>
        </w:rPr>
        <w:t>ndustrias manufactureras</w:t>
      </w:r>
      <w:r w:rsidR="003B090A">
        <w:rPr>
          <w:b/>
          <w:color w:val="auto"/>
          <w:sz w:val="22"/>
          <w:lang w:eastAsia="es-MX"/>
        </w:rPr>
        <w:t xml:space="preserve"> </w:t>
      </w:r>
    </w:p>
    <w:p w14:paraId="1AC59768" w14:textId="77777777" w:rsidR="00CC0198" w:rsidRDefault="00E71E8D" w:rsidP="00CC0198">
      <w:pPr>
        <w:pStyle w:val="Default"/>
        <w:jc w:val="center"/>
        <w:rPr>
          <w:b/>
          <w:color w:val="auto"/>
          <w:sz w:val="22"/>
          <w:lang w:eastAsia="es-MX"/>
        </w:rPr>
      </w:pPr>
      <w:r>
        <w:rPr>
          <w:b/>
          <w:color w:val="auto"/>
          <w:sz w:val="22"/>
          <w:lang w:eastAsia="es-MX"/>
        </w:rPr>
        <w:t xml:space="preserve">por sexo </w:t>
      </w:r>
      <w:r w:rsidR="00A83498">
        <w:rPr>
          <w:b/>
          <w:color w:val="auto"/>
          <w:sz w:val="22"/>
          <w:lang w:eastAsia="es-MX"/>
        </w:rPr>
        <w:t>y subsector</w:t>
      </w:r>
    </w:p>
    <w:p w14:paraId="294E3425" w14:textId="77777777" w:rsidR="00823D73" w:rsidRDefault="00823D73" w:rsidP="00CC0198">
      <w:pPr>
        <w:pStyle w:val="Default"/>
        <w:jc w:val="center"/>
        <w:rPr>
          <w:b/>
          <w:vertAlign w:val="superscript"/>
          <w:lang w:eastAsia="es-MX"/>
        </w:rPr>
      </w:pPr>
      <w:r>
        <w:rPr>
          <w:b/>
          <w:color w:val="auto"/>
          <w:sz w:val="22"/>
          <w:lang w:eastAsia="es-MX"/>
        </w:rPr>
        <w:t>(Porcentaje)</w:t>
      </w:r>
    </w:p>
    <w:tbl>
      <w:tblPr>
        <w:tblW w:w="87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25"/>
        <w:gridCol w:w="850"/>
        <w:gridCol w:w="993"/>
        <w:gridCol w:w="834"/>
        <w:gridCol w:w="812"/>
        <w:gridCol w:w="834"/>
        <w:gridCol w:w="745"/>
      </w:tblGrid>
      <w:tr w:rsidR="00711FBE" w:rsidRPr="003228D9" w14:paraId="2028D0CF" w14:textId="77777777" w:rsidTr="00DB5229">
        <w:trPr>
          <w:trHeight w:val="20"/>
          <w:jc w:val="center"/>
        </w:trPr>
        <w:tc>
          <w:tcPr>
            <w:tcW w:w="3725" w:type="dxa"/>
            <w:vMerge w:val="restart"/>
            <w:shd w:val="clear" w:color="auto" w:fill="A8D08D" w:themeFill="accent6" w:themeFillTint="99"/>
            <w:vAlign w:val="center"/>
          </w:tcPr>
          <w:p w14:paraId="38332E3B"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Sector/</w:t>
            </w:r>
            <w:r w:rsidRPr="00F9032A">
              <w:rPr>
                <w:rFonts w:ascii="Arial" w:eastAsia="Times New Roman" w:hAnsi="Arial" w:cs="Arial"/>
                <w:b/>
                <w:bCs/>
                <w:color w:val="000000"/>
                <w:sz w:val="16"/>
                <w:szCs w:val="16"/>
                <w:lang w:eastAsia="es-MX"/>
              </w:rPr>
              <w:t>Subsector</w:t>
            </w:r>
          </w:p>
        </w:tc>
        <w:tc>
          <w:tcPr>
            <w:tcW w:w="3489" w:type="dxa"/>
            <w:gridSpan w:val="4"/>
            <w:shd w:val="clear" w:color="auto" w:fill="A8D08D" w:themeFill="accent6" w:themeFillTint="99"/>
            <w:noWrap/>
            <w:vAlign w:val="center"/>
          </w:tcPr>
          <w:p w14:paraId="1E816F84"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Año</w:t>
            </w:r>
          </w:p>
        </w:tc>
        <w:tc>
          <w:tcPr>
            <w:tcW w:w="1579" w:type="dxa"/>
            <w:gridSpan w:val="2"/>
            <w:vMerge w:val="restart"/>
            <w:shd w:val="clear" w:color="auto" w:fill="A8D08D" w:themeFill="accent6" w:themeFillTint="99"/>
            <w:vAlign w:val="center"/>
          </w:tcPr>
          <w:p w14:paraId="669FEBE0" w14:textId="77777777" w:rsidR="00711FBE" w:rsidRPr="00F9032A" w:rsidRDefault="00711FBE" w:rsidP="00A64652">
            <w:pPr>
              <w:spacing w:after="0" w:line="240" w:lineRule="auto"/>
              <w:jc w:val="center"/>
              <w:rPr>
                <w:rFonts w:ascii="Arial" w:eastAsia="Times New Roman" w:hAnsi="Arial" w:cs="Arial"/>
                <w:b/>
                <w:bCs/>
                <w:sz w:val="16"/>
                <w:szCs w:val="16"/>
                <w:lang w:eastAsia="es-MX"/>
              </w:rPr>
            </w:pPr>
            <w:r w:rsidRPr="00F9032A">
              <w:rPr>
                <w:rFonts w:ascii="Arial" w:eastAsia="Times New Roman" w:hAnsi="Arial" w:cs="Arial"/>
                <w:b/>
                <w:bCs/>
                <w:sz w:val="16"/>
                <w:szCs w:val="16"/>
                <w:lang w:eastAsia="es-MX"/>
              </w:rPr>
              <w:t>Diferencia anual</w:t>
            </w:r>
          </w:p>
        </w:tc>
      </w:tr>
      <w:tr w:rsidR="00711FBE" w:rsidRPr="003228D9" w14:paraId="63288DB0" w14:textId="77777777" w:rsidTr="00F9032A">
        <w:trPr>
          <w:trHeight w:val="20"/>
          <w:jc w:val="center"/>
        </w:trPr>
        <w:tc>
          <w:tcPr>
            <w:tcW w:w="3725" w:type="dxa"/>
            <w:vMerge/>
            <w:shd w:val="clear" w:color="auto" w:fill="A8D08D" w:themeFill="accent6" w:themeFillTint="99"/>
            <w:vAlign w:val="center"/>
            <w:hideMark/>
          </w:tcPr>
          <w:p w14:paraId="58DF6645"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p>
        </w:tc>
        <w:tc>
          <w:tcPr>
            <w:tcW w:w="1843" w:type="dxa"/>
            <w:gridSpan w:val="2"/>
            <w:shd w:val="clear" w:color="auto" w:fill="A8D08D" w:themeFill="accent6" w:themeFillTint="99"/>
            <w:noWrap/>
            <w:vAlign w:val="center"/>
            <w:hideMark/>
          </w:tcPr>
          <w:p w14:paraId="0D635370"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2019</w:t>
            </w:r>
          </w:p>
        </w:tc>
        <w:tc>
          <w:tcPr>
            <w:tcW w:w="1646" w:type="dxa"/>
            <w:gridSpan w:val="2"/>
            <w:shd w:val="clear" w:color="auto" w:fill="A8D08D" w:themeFill="accent6" w:themeFillTint="99"/>
            <w:noWrap/>
            <w:vAlign w:val="center"/>
            <w:hideMark/>
          </w:tcPr>
          <w:p w14:paraId="3684B885" w14:textId="77777777" w:rsidR="00711FBE" w:rsidRPr="00DB5229" w:rsidRDefault="00DB5229" w:rsidP="003228D9">
            <w:pPr>
              <w:spacing w:after="0" w:line="240" w:lineRule="auto"/>
              <w:jc w:val="center"/>
              <w:rPr>
                <w:rFonts w:ascii="Arial" w:eastAsia="Times New Roman" w:hAnsi="Arial" w:cs="Arial"/>
                <w:b/>
                <w:bCs/>
                <w:color w:val="000000"/>
                <w:sz w:val="16"/>
                <w:szCs w:val="16"/>
                <w:lang w:eastAsia="es-MX"/>
              </w:rPr>
            </w:pPr>
            <w:r w:rsidRPr="00DB5229">
              <w:rPr>
                <w:rFonts w:ascii="Arial" w:hAnsi="Arial" w:cs="Arial"/>
                <w:b/>
                <w:bCs/>
                <w:sz w:val="16"/>
                <w:szCs w:val="16"/>
                <w:lang w:eastAsia="es-MX"/>
              </w:rPr>
              <w:t>2020</w:t>
            </w:r>
            <w:r w:rsidRPr="00DB5229">
              <w:rPr>
                <w:rFonts w:ascii="Arial" w:eastAsia="Times New Roman" w:hAnsi="Arial" w:cs="Arial"/>
                <w:b/>
                <w:bCs/>
                <w:sz w:val="16"/>
                <w:szCs w:val="16"/>
                <w:vertAlign w:val="superscript"/>
                <w:lang w:eastAsia="es-MX"/>
              </w:rPr>
              <w:t>p/</w:t>
            </w:r>
          </w:p>
        </w:tc>
        <w:tc>
          <w:tcPr>
            <w:tcW w:w="1579" w:type="dxa"/>
            <w:gridSpan w:val="2"/>
            <w:vMerge/>
            <w:shd w:val="clear" w:color="auto" w:fill="A8D08D" w:themeFill="accent6" w:themeFillTint="99"/>
            <w:vAlign w:val="center"/>
            <w:hideMark/>
          </w:tcPr>
          <w:p w14:paraId="1CA78F13" w14:textId="77777777" w:rsidR="00711FBE" w:rsidRPr="00F9032A" w:rsidRDefault="00711FBE" w:rsidP="00A64652">
            <w:pPr>
              <w:spacing w:after="0" w:line="240" w:lineRule="auto"/>
              <w:jc w:val="center"/>
              <w:rPr>
                <w:rFonts w:ascii="Arial" w:eastAsia="Times New Roman" w:hAnsi="Arial" w:cs="Arial"/>
                <w:b/>
                <w:bCs/>
                <w:sz w:val="16"/>
                <w:szCs w:val="16"/>
                <w:lang w:eastAsia="es-MX"/>
              </w:rPr>
            </w:pPr>
          </w:p>
        </w:tc>
      </w:tr>
      <w:tr w:rsidR="00711FBE" w:rsidRPr="003228D9" w14:paraId="2B052BD1" w14:textId="77777777" w:rsidTr="00F9032A">
        <w:trPr>
          <w:trHeight w:val="20"/>
          <w:jc w:val="center"/>
        </w:trPr>
        <w:tc>
          <w:tcPr>
            <w:tcW w:w="3725" w:type="dxa"/>
            <w:vMerge/>
            <w:shd w:val="clear" w:color="auto" w:fill="A8D08D" w:themeFill="accent6" w:themeFillTint="99"/>
            <w:vAlign w:val="center"/>
            <w:hideMark/>
          </w:tcPr>
          <w:p w14:paraId="25D08536" w14:textId="77777777" w:rsidR="00711FBE" w:rsidRPr="00F9032A" w:rsidRDefault="00711FBE" w:rsidP="003228D9">
            <w:pPr>
              <w:spacing w:after="0" w:line="240" w:lineRule="auto"/>
              <w:rPr>
                <w:rFonts w:ascii="Arial" w:eastAsia="Times New Roman" w:hAnsi="Arial" w:cs="Arial"/>
                <w:b/>
                <w:bCs/>
                <w:color w:val="000000"/>
                <w:sz w:val="16"/>
                <w:szCs w:val="16"/>
                <w:lang w:eastAsia="es-MX"/>
              </w:rPr>
            </w:pPr>
          </w:p>
        </w:tc>
        <w:tc>
          <w:tcPr>
            <w:tcW w:w="850" w:type="dxa"/>
            <w:shd w:val="clear" w:color="auto" w:fill="A8D08D" w:themeFill="accent6" w:themeFillTint="99"/>
            <w:noWrap/>
            <w:vAlign w:val="center"/>
            <w:hideMark/>
          </w:tcPr>
          <w:p w14:paraId="4B932E26"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Hombres</w:t>
            </w:r>
          </w:p>
        </w:tc>
        <w:tc>
          <w:tcPr>
            <w:tcW w:w="993" w:type="dxa"/>
            <w:shd w:val="clear" w:color="auto" w:fill="A8D08D" w:themeFill="accent6" w:themeFillTint="99"/>
            <w:noWrap/>
            <w:vAlign w:val="center"/>
            <w:hideMark/>
          </w:tcPr>
          <w:p w14:paraId="685E5739"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Mujeres</w:t>
            </w:r>
          </w:p>
        </w:tc>
        <w:tc>
          <w:tcPr>
            <w:tcW w:w="834" w:type="dxa"/>
            <w:shd w:val="clear" w:color="auto" w:fill="A8D08D" w:themeFill="accent6" w:themeFillTint="99"/>
            <w:noWrap/>
            <w:vAlign w:val="center"/>
            <w:hideMark/>
          </w:tcPr>
          <w:p w14:paraId="0645035F"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Hombres</w:t>
            </w:r>
          </w:p>
        </w:tc>
        <w:tc>
          <w:tcPr>
            <w:tcW w:w="812" w:type="dxa"/>
            <w:shd w:val="clear" w:color="auto" w:fill="A8D08D" w:themeFill="accent6" w:themeFillTint="99"/>
            <w:noWrap/>
            <w:vAlign w:val="center"/>
            <w:hideMark/>
          </w:tcPr>
          <w:p w14:paraId="209F08F0"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Mujeres</w:t>
            </w:r>
          </w:p>
        </w:tc>
        <w:tc>
          <w:tcPr>
            <w:tcW w:w="834" w:type="dxa"/>
            <w:shd w:val="clear" w:color="auto" w:fill="A8D08D" w:themeFill="accent6" w:themeFillTint="99"/>
            <w:noWrap/>
            <w:vAlign w:val="center"/>
            <w:hideMark/>
          </w:tcPr>
          <w:p w14:paraId="1026A639"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Hombres</w:t>
            </w:r>
          </w:p>
        </w:tc>
        <w:tc>
          <w:tcPr>
            <w:tcW w:w="745" w:type="dxa"/>
            <w:shd w:val="clear" w:color="auto" w:fill="A8D08D" w:themeFill="accent6" w:themeFillTint="99"/>
            <w:noWrap/>
            <w:vAlign w:val="center"/>
            <w:hideMark/>
          </w:tcPr>
          <w:p w14:paraId="35C393AD" w14:textId="77777777" w:rsidR="00711FBE" w:rsidRPr="00F9032A" w:rsidRDefault="00711FBE" w:rsidP="003228D9">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Mujeres</w:t>
            </w:r>
          </w:p>
        </w:tc>
      </w:tr>
      <w:tr w:rsidR="003228D9" w:rsidRPr="003228D9" w14:paraId="63C18A34" w14:textId="77777777" w:rsidTr="00F9032A">
        <w:trPr>
          <w:trHeight w:val="20"/>
          <w:jc w:val="center"/>
        </w:trPr>
        <w:tc>
          <w:tcPr>
            <w:tcW w:w="3725" w:type="dxa"/>
            <w:shd w:val="clear" w:color="auto" w:fill="auto"/>
            <w:vAlign w:val="center"/>
            <w:hideMark/>
          </w:tcPr>
          <w:p w14:paraId="006EADD9" w14:textId="77777777" w:rsidR="003228D9" w:rsidRPr="00F9032A" w:rsidRDefault="003228D9" w:rsidP="00A64652">
            <w:pPr>
              <w:spacing w:after="0" w:line="240" w:lineRule="auto"/>
              <w:rPr>
                <w:rFonts w:ascii="Arial" w:eastAsia="Times New Roman" w:hAnsi="Arial" w:cs="Arial"/>
                <w:b/>
                <w:bCs/>
                <w:sz w:val="16"/>
                <w:szCs w:val="16"/>
                <w:lang w:eastAsia="es-MX"/>
              </w:rPr>
            </w:pPr>
            <w:r w:rsidRPr="00F9032A">
              <w:rPr>
                <w:rFonts w:ascii="Arial" w:eastAsia="Times New Roman" w:hAnsi="Arial" w:cs="Arial"/>
                <w:b/>
                <w:bCs/>
                <w:sz w:val="16"/>
                <w:szCs w:val="16"/>
                <w:lang w:eastAsia="es-MX"/>
              </w:rPr>
              <w:t>31-33 Industrias manufactureras</w:t>
            </w:r>
          </w:p>
        </w:tc>
        <w:tc>
          <w:tcPr>
            <w:tcW w:w="850" w:type="dxa"/>
            <w:shd w:val="clear" w:color="auto" w:fill="auto"/>
            <w:noWrap/>
            <w:vAlign w:val="center"/>
            <w:hideMark/>
          </w:tcPr>
          <w:p w14:paraId="311004CC" w14:textId="77777777" w:rsidR="003228D9" w:rsidRPr="00391DFD" w:rsidRDefault="003228D9" w:rsidP="00A64652">
            <w:pPr>
              <w:spacing w:after="0" w:line="240" w:lineRule="auto"/>
              <w:jc w:val="center"/>
              <w:rPr>
                <w:rFonts w:ascii="Arial" w:eastAsia="Times New Roman" w:hAnsi="Arial" w:cs="Arial"/>
                <w:b/>
                <w:bCs/>
                <w:color w:val="000000"/>
                <w:sz w:val="14"/>
                <w:szCs w:val="14"/>
                <w:lang w:eastAsia="es-MX"/>
              </w:rPr>
            </w:pPr>
            <w:r w:rsidRPr="00391DFD">
              <w:rPr>
                <w:rFonts w:ascii="Arial" w:eastAsia="Times New Roman" w:hAnsi="Arial" w:cs="Arial"/>
                <w:b/>
                <w:bCs/>
                <w:color w:val="000000"/>
                <w:sz w:val="14"/>
                <w:szCs w:val="14"/>
                <w:lang w:eastAsia="es-MX"/>
              </w:rPr>
              <w:t>63.9</w:t>
            </w:r>
          </w:p>
        </w:tc>
        <w:tc>
          <w:tcPr>
            <w:tcW w:w="993" w:type="dxa"/>
            <w:shd w:val="clear" w:color="auto" w:fill="auto"/>
            <w:noWrap/>
            <w:vAlign w:val="center"/>
            <w:hideMark/>
          </w:tcPr>
          <w:p w14:paraId="4E94CAF8" w14:textId="77777777" w:rsidR="003228D9" w:rsidRPr="00391DFD" w:rsidRDefault="003228D9" w:rsidP="00A64652">
            <w:pPr>
              <w:spacing w:after="0" w:line="240" w:lineRule="auto"/>
              <w:jc w:val="center"/>
              <w:rPr>
                <w:rFonts w:ascii="Arial" w:eastAsia="Times New Roman" w:hAnsi="Arial" w:cs="Arial"/>
                <w:b/>
                <w:bCs/>
                <w:color w:val="000000"/>
                <w:sz w:val="14"/>
                <w:szCs w:val="14"/>
                <w:lang w:eastAsia="es-MX"/>
              </w:rPr>
            </w:pPr>
            <w:r w:rsidRPr="00391DFD">
              <w:rPr>
                <w:rFonts w:ascii="Arial" w:eastAsia="Times New Roman" w:hAnsi="Arial" w:cs="Arial"/>
                <w:b/>
                <w:bCs/>
                <w:color w:val="000000"/>
                <w:sz w:val="14"/>
                <w:szCs w:val="14"/>
                <w:lang w:eastAsia="es-MX"/>
              </w:rPr>
              <w:t>36.1</w:t>
            </w:r>
          </w:p>
        </w:tc>
        <w:tc>
          <w:tcPr>
            <w:tcW w:w="834" w:type="dxa"/>
            <w:shd w:val="clear" w:color="auto" w:fill="auto"/>
            <w:noWrap/>
            <w:vAlign w:val="center"/>
            <w:hideMark/>
          </w:tcPr>
          <w:p w14:paraId="3D3B6EAA" w14:textId="77777777" w:rsidR="003228D9" w:rsidRPr="00391DFD" w:rsidRDefault="003228D9" w:rsidP="00A64652">
            <w:pPr>
              <w:spacing w:after="0" w:line="240" w:lineRule="auto"/>
              <w:jc w:val="center"/>
              <w:rPr>
                <w:rFonts w:ascii="Arial" w:eastAsia="Times New Roman" w:hAnsi="Arial" w:cs="Arial"/>
                <w:b/>
                <w:bCs/>
                <w:color w:val="000000"/>
                <w:sz w:val="14"/>
                <w:szCs w:val="14"/>
                <w:lang w:eastAsia="es-MX"/>
              </w:rPr>
            </w:pPr>
            <w:r w:rsidRPr="00391DFD">
              <w:rPr>
                <w:rFonts w:ascii="Arial" w:eastAsia="Times New Roman" w:hAnsi="Arial" w:cs="Arial"/>
                <w:b/>
                <w:bCs/>
                <w:color w:val="000000"/>
                <w:sz w:val="14"/>
                <w:szCs w:val="14"/>
                <w:lang w:eastAsia="es-MX"/>
              </w:rPr>
              <w:t>63.6</w:t>
            </w:r>
          </w:p>
        </w:tc>
        <w:tc>
          <w:tcPr>
            <w:tcW w:w="812" w:type="dxa"/>
            <w:shd w:val="clear" w:color="auto" w:fill="auto"/>
            <w:noWrap/>
            <w:vAlign w:val="center"/>
            <w:hideMark/>
          </w:tcPr>
          <w:p w14:paraId="2C113465" w14:textId="77777777" w:rsidR="003228D9" w:rsidRPr="00391DFD" w:rsidRDefault="003228D9" w:rsidP="00A64652">
            <w:pPr>
              <w:spacing w:after="0" w:line="240" w:lineRule="auto"/>
              <w:jc w:val="center"/>
              <w:rPr>
                <w:rFonts w:ascii="Arial" w:eastAsia="Times New Roman" w:hAnsi="Arial" w:cs="Arial"/>
                <w:b/>
                <w:bCs/>
                <w:color w:val="000000"/>
                <w:sz w:val="14"/>
                <w:szCs w:val="14"/>
                <w:lang w:eastAsia="es-MX"/>
              </w:rPr>
            </w:pPr>
            <w:r w:rsidRPr="00391DFD">
              <w:rPr>
                <w:rFonts w:ascii="Arial" w:eastAsia="Times New Roman" w:hAnsi="Arial" w:cs="Arial"/>
                <w:b/>
                <w:bCs/>
                <w:color w:val="000000"/>
                <w:sz w:val="14"/>
                <w:szCs w:val="14"/>
                <w:lang w:eastAsia="es-MX"/>
              </w:rPr>
              <w:t>36.4</w:t>
            </w:r>
          </w:p>
        </w:tc>
        <w:tc>
          <w:tcPr>
            <w:tcW w:w="834" w:type="dxa"/>
            <w:shd w:val="clear" w:color="auto" w:fill="auto"/>
            <w:noWrap/>
            <w:vAlign w:val="center"/>
            <w:hideMark/>
          </w:tcPr>
          <w:p w14:paraId="2B13C8DB"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-0.3</w:t>
            </w:r>
          </w:p>
        </w:tc>
        <w:tc>
          <w:tcPr>
            <w:tcW w:w="745" w:type="dxa"/>
            <w:shd w:val="clear" w:color="auto" w:fill="auto"/>
            <w:noWrap/>
            <w:vAlign w:val="center"/>
            <w:hideMark/>
          </w:tcPr>
          <w:p w14:paraId="310D3BF2"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0.3</w:t>
            </w:r>
          </w:p>
        </w:tc>
      </w:tr>
      <w:tr w:rsidR="003228D9" w:rsidRPr="003228D9" w14:paraId="0B499CAE" w14:textId="77777777" w:rsidTr="00F9032A">
        <w:trPr>
          <w:trHeight w:val="20"/>
          <w:jc w:val="center"/>
        </w:trPr>
        <w:tc>
          <w:tcPr>
            <w:tcW w:w="3725" w:type="dxa"/>
            <w:shd w:val="clear" w:color="auto" w:fill="auto"/>
            <w:vAlign w:val="center"/>
            <w:hideMark/>
          </w:tcPr>
          <w:p w14:paraId="12DFDE2F"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311 </w:t>
            </w:r>
            <w:proofErr w:type="gramStart"/>
            <w:r w:rsidRPr="00F9032A">
              <w:rPr>
                <w:rFonts w:ascii="Arial" w:eastAsia="Times New Roman" w:hAnsi="Arial" w:cs="Arial"/>
                <w:sz w:val="16"/>
                <w:szCs w:val="16"/>
                <w:lang w:eastAsia="es-MX"/>
              </w:rPr>
              <w:t>Industria</w:t>
            </w:r>
            <w:proofErr w:type="gramEnd"/>
            <w:r w:rsidRPr="00F9032A">
              <w:rPr>
                <w:rFonts w:ascii="Arial" w:eastAsia="Times New Roman" w:hAnsi="Arial" w:cs="Arial"/>
                <w:sz w:val="16"/>
                <w:szCs w:val="16"/>
                <w:lang w:eastAsia="es-MX"/>
              </w:rPr>
              <w:t xml:space="preserve"> alimentaria</w:t>
            </w:r>
          </w:p>
        </w:tc>
        <w:tc>
          <w:tcPr>
            <w:tcW w:w="850" w:type="dxa"/>
            <w:shd w:val="clear" w:color="auto" w:fill="auto"/>
            <w:noWrap/>
            <w:vAlign w:val="center"/>
            <w:hideMark/>
          </w:tcPr>
          <w:p w14:paraId="315B7D21"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61.1</w:t>
            </w:r>
          </w:p>
        </w:tc>
        <w:tc>
          <w:tcPr>
            <w:tcW w:w="993" w:type="dxa"/>
            <w:shd w:val="clear" w:color="auto" w:fill="auto"/>
            <w:noWrap/>
            <w:vAlign w:val="center"/>
            <w:hideMark/>
          </w:tcPr>
          <w:p w14:paraId="1DDC1C7A"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38.9</w:t>
            </w:r>
          </w:p>
        </w:tc>
        <w:tc>
          <w:tcPr>
            <w:tcW w:w="834" w:type="dxa"/>
            <w:shd w:val="clear" w:color="auto" w:fill="auto"/>
            <w:noWrap/>
            <w:vAlign w:val="center"/>
            <w:hideMark/>
          </w:tcPr>
          <w:p w14:paraId="203D44B8"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61.1</w:t>
            </w:r>
          </w:p>
        </w:tc>
        <w:tc>
          <w:tcPr>
            <w:tcW w:w="812" w:type="dxa"/>
            <w:shd w:val="clear" w:color="auto" w:fill="auto"/>
            <w:noWrap/>
            <w:vAlign w:val="center"/>
            <w:hideMark/>
          </w:tcPr>
          <w:p w14:paraId="69821CDC"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38.9</w:t>
            </w:r>
          </w:p>
        </w:tc>
        <w:tc>
          <w:tcPr>
            <w:tcW w:w="834" w:type="dxa"/>
            <w:shd w:val="clear" w:color="auto" w:fill="auto"/>
            <w:noWrap/>
            <w:vAlign w:val="center"/>
            <w:hideMark/>
          </w:tcPr>
          <w:p w14:paraId="3F9A11D8"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w:t>
            </w:r>
            <w:r w:rsidR="00A64652" w:rsidRPr="00391DFD">
              <w:rPr>
                <w:rFonts w:ascii="Arial" w:eastAsia="Times New Roman" w:hAnsi="Arial" w:cs="Arial"/>
                <w:sz w:val="14"/>
                <w:szCs w:val="14"/>
                <w:lang w:eastAsia="es-MX"/>
              </w:rPr>
              <w:t>.0</w:t>
            </w:r>
          </w:p>
        </w:tc>
        <w:tc>
          <w:tcPr>
            <w:tcW w:w="745" w:type="dxa"/>
            <w:shd w:val="clear" w:color="auto" w:fill="auto"/>
            <w:noWrap/>
            <w:vAlign w:val="center"/>
            <w:hideMark/>
          </w:tcPr>
          <w:p w14:paraId="14AB50DB"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w:t>
            </w:r>
            <w:r w:rsidR="00A64652" w:rsidRPr="00391DFD">
              <w:rPr>
                <w:rFonts w:ascii="Arial" w:eastAsia="Times New Roman" w:hAnsi="Arial" w:cs="Arial"/>
                <w:sz w:val="14"/>
                <w:szCs w:val="14"/>
                <w:lang w:eastAsia="es-MX"/>
              </w:rPr>
              <w:t>.0</w:t>
            </w:r>
          </w:p>
        </w:tc>
      </w:tr>
      <w:tr w:rsidR="003228D9" w:rsidRPr="003228D9" w14:paraId="3935A677" w14:textId="77777777" w:rsidTr="00F9032A">
        <w:trPr>
          <w:trHeight w:val="20"/>
          <w:jc w:val="center"/>
        </w:trPr>
        <w:tc>
          <w:tcPr>
            <w:tcW w:w="3725" w:type="dxa"/>
            <w:shd w:val="clear" w:color="auto" w:fill="auto"/>
            <w:vAlign w:val="center"/>
            <w:hideMark/>
          </w:tcPr>
          <w:p w14:paraId="220C7EC1"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312 </w:t>
            </w:r>
            <w:proofErr w:type="gramStart"/>
            <w:r w:rsidRPr="00F9032A">
              <w:rPr>
                <w:rFonts w:ascii="Arial" w:eastAsia="Times New Roman" w:hAnsi="Arial" w:cs="Arial"/>
                <w:sz w:val="16"/>
                <w:szCs w:val="16"/>
                <w:lang w:eastAsia="es-MX"/>
              </w:rPr>
              <w:t>Industria</w:t>
            </w:r>
            <w:proofErr w:type="gramEnd"/>
            <w:r w:rsidRPr="00F9032A">
              <w:rPr>
                <w:rFonts w:ascii="Arial" w:eastAsia="Times New Roman" w:hAnsi="Arial" w:cs="Arial"/>
                <w:sz w:val="16"/>
                <w:szCs w:val="16"/>
                <w:lang w:eastAsia="es-MX"/>
              </w:rPr>
              <w:t xml:space="preserve"> de las bebidas y del tabaco</w:t>
            </w:r>
          </w:p>
        </w:tc>
        <w:tc>
          <w:tcPr>
            <w:tcW w:w="850" w:type="dxa"/>
            <w:shd w:val="clear" w:color="auto" w:fill="auto"/>
            <w:noWrap/>
            <w:vAlign w:val="center"/>
            <w:hideMark/>
          </w:tcPr>
          <w:p w14:paraId="546766C9"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81.2</w:t>
            </w:r>
          </w:p>
        </w:tc>
        <w:tc>
          <w:tcPr>
            <w:tcW w:w="993" w:type="dxa"/>
            <w:shd w:val="clear" w:color="auto" w:fill="auto"/>
            <w:noWrap/>
            <w:vAlign w:val="center"/>
            <w:hideMark/>
          </w:tcPr>
          <w:p w14:paraId="1DDF2176"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18.8</w:t>
            </w:r>
          </w:p>
        </w:tc>
        <w:tc>
          <w:tcPr>
            <w:tcW w:w="834" w:type="dxa"/>
            <w:shd w:val="clear" w:color="auto" w:fill="auto"/>
            <w:noWrap/>
            <w:vAlign w:val="center"/>
            <w:hideMark/>
          </w:tcPr>
          <w:p w14:paraId="141369B0"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79.9</w:t>
            </w:r>
          </w:p>
        </w:tc>
        <w:tc>
          <w:tcPr>
            <w:tcW w:w="812" w:type="dxa"/>
            <w:shd w:val="clear" w:color="auto" w:fill="auto"/>
            <w:noWrap/>
            <w:vAlign w:val="center"/>
            <w:hideMark/>
          </w:tcPr>
          <w:p w14:paraId="47CA32CB"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20.1</w:t>
            </w:r>
          </w:p>
        </w:tc>
        <w:tc>
          <w:tcPr>
            <w:tcW w:w="834" w:type="dxa"/>
            <w:shd w:val="clear" w:color="auto" w:fill="auto"/>
            <w:noWrap/>
            <w:vAlign w:val="center"/>
            <w:hideMark/>
          </w:tcPr>
          <w:p w14:paraId="330B75E1"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-1.3</w:t>
            </w:r>
          </w:p>
        </w:tc>
        <w:tc>
          <w:tcPr>
            <w:tcW w:w="745" w:type="dxa"/>
            <w:shd w:val="clear" w:color="auto" w:fill="auto"/>
            <w:noWrap/>
            <w:vAlign w:val="center"/>
            <w:hideMark/>
          </w:tcPr>
          <w:p w14:paraId="59B6144D"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1.3</w:t>
            </w:r>
          </w:p>
        </w:tc>
      </w:tr>
      <w:tr w:rsidR="003228D9" w:rsidRPr="003228D9" w14:paraId="7F28A5DF" w14:textId="77777777" w:rsidTr="00F9032A">
        <w:trPr>
          <w:trHeight w:val="20"/>
          <w:jc w:val="center"/>
        </w:trPr>
        <w:tc>
          <w:tcPr>
            <w:tcW w:w="3725" w:type="dxa"/>
            <w:shd w:val="clear" w:color="auto" w:fill="auto"/>
            <w:vAlign w:val="center"/>
            <w:hideMark/>
          </w:tcPr>
          <w:p w14:paraId="5A3FEA90"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313 </w:t>
            </w:r>
            <w:proofErr w:type="gramStart"/>
            <w:r w:rsidRPr="00F9032A">
              <w:rPr>
                <w:rFonts w:ascii="Arial" w:eastAsia="Times New Roman" w:hAnsi="Arial" w:cs="Arial"/>
                <w:sz w:val="16"/>
                <w:szCs w:val="16"/>
                <w:lang w:eastAsia="es-MX"/>
              </w:rPr>
              <w:t>Fabricación</w:t>
            </w:r>
            <w:proofErr w:type="gramEnd"/>
            <w:r w:rsidRPr="00F9032A">
              <w:rPr>
                <w:rFonts w:ascii="Arial" w:eastAsia="Times New Roman" w:hAnsi="Arial" w:cs="Arial"/>
                <w:sz w:val="16"/>
                <w:szCs w:val="16"/>
                <w:lang w:eastAsia="es-MX"/>
              </w:rPr>
              <w:t xml:space="preserve"> de insumos textiles</w:t>
            </w:r>
          </w:p>
        </w:tc>
        <w:tc>
          <w:tcPr>
            <w:tcW w:w="850" w:type="dxa"/>
            <w:shd w:val="clear" w:color="auto" w:fill="auto"/>
            <w:noWrap/>
            <w:vAlign w:val="center"/>
            <w:hideMark/>
          </w:tcPr>
          <w:p w14:paraId="61166D27"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74</w:t>
            </w:r>
            <w:r w:rsidR="00A64652" w:rsidRPr="00391DFD">
              <w:rPr>
                <w:rFonts w:ascii="Arial" w:eastAsia="Times New Roman" w:hAnsi="Arial" w:cs="Arial"/>
                <w:color w:val="000000"/>
                <w:sz w:val="14"/>
                <w:szCs w:val="14"/>
                <w:lang w:eastAsia="es-MX"/>
              </w:rPr>
              <w:t>.0</w:t>
            </w:r>
          </w:p>
        </w:tc>
        <w:tc>
          <w:tcPr>
            <w:tcW w:w="993" w:type="dxa"/>
            <w:shd w:val="clear" w:color="auto" w:fill="auto"/>
            <w:noWrap/>
            <w:vAlign w:val="center"/>
            <w:hideMark/>
          </w:tcPr>
          <w:p w14:paraId="34665F04"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26</w:t>
            </w:r>
            <w:r w:rsidR="00A64652" w:rsidRPr="00391DFD">
              <w:rPr>
                <w:rFonts w:ascii="Arial" w:eastAsia="Times New Roman" w:hAnsi="Arial" w:cs="Arial"/>
                <w:color w:val="000000"/>
                <w:sz w:val="14"/>
                <w:szCs w:val="14"/>
                <w:lang w:eastAsia="es-MX"/>
              </w:rPr>
              <w:t>.0</w:t>
            </w:r>
          </w:p>
        </w:tc>
        <w:tc>
          <w:tcPr>
            <w:tcW w:w="834" w:type="dxa"/>
            <w:shd w:val="clear" w:color="auto" w:fill="auto"/>
            <w:noWrap/>
            <w:vAlign w:val="center"/>
            <w:hideMark/>
          </w:tcPr>
          <w:p w14:paraId="5657DADE"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74.6</w:t>
            </w:r>
          </w:p>
        </w:tc>
        <w:tc>
          <w:tcPr>
            <w:tcW w:w="812" w:type="dxa"/>
            <w:shd w:val="clear" w:color="auto" w:fill="auto"/>
            <w:noWrap/>
            <w:vAlign w:val="center"/>
            <w:hideMark/>
          </w:tcPr>
          <w:p w14:paraId="03745C41"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25.4</w:t>
            </w:r>
          </w:p>
        </w:tc>
        <w:tc>
          <w:tcPr>
            <w:tcW w:w="834" w:type="dxa"/>
            <w:shd w:val="clear" w:color="auto" w:fill="auto"/>
            <w:noWrap/>
            <w:vAlign w:val="center"/>
            <w:hideMark/>
          </w:tcPr>
          <w:p w14:paraId="2203E8C8"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0.6</w:t>
            </w:r>
          </w:p>
        </w:tc>
        <w:tc>
          <w:tcPr>
            <w:tcW w:w="745" w:type="dxa"/>
            <w:shd w:val="clear" w:color="auto" w:fill="auto"/>
            <w:noWrap/>
            <w:vAlign w:val="center"/>
            <w:hideMark/>
          </w:tcPr>
          <w:p w14:paraId="0B05F8DB"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-0.6</w:t>
            </w:r>
          </w:p>
        </w:tc>
      </w:tr>
      <w:tr w:rsidR="003228D9" w:rsidRPr="003228D9" w14:paraId="18545B6F" w14:textId="77777777" w:rsidTr="00F9032A">
        <w:trPr>
          <w:trHeight w:val="20"/>
          <w:jc w:val="center"/>
        </w:trPr>
        <w:tc>
          <w:tcPr>
            <w:tcW w:w="3725" w:type="dxa"/>
            <w:shd w:val="clear" w:color="auto" w:fill="auto"/>
            <w:vAlign w:val="center"/>
            <w:hideMark/>
          </w:tcPr>
          <w:p w14:paraId="557064AE"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314 </w:t>
            </w:r>
            <w:proofErr w:type="gramStart"/>
            <w:r w:rsidRPr="00F9032A">
              <w:rPr>
                <w:rFonts w:ascii="Arial" w:eastAsia="Times New Roman" w:hAnsi="Arial" w:cs="Arial"/>
                <w:sz w:val="16"/>
                <w:szCs w:val="16"/>
                <w:lang w:eastAsia="es-MX"/>
              </w:rPr>
              <w:t>Fabricación</w:t>
            </w:r>
            <w:proofErr w:type="gramEnd"/>
            <w:r w:rsidRPr="00F9032A">
              <w:rPr>
                <w:rFonts w:ascii="Arial" w:eastAsia="Times New Roman" w:hAnsi="Arial" w:cs="Arial"/>
                <w:sz w:val="16"/>
                <w:szCs w:val="16"/>
                <w:lang w:eastAsia="es-MX"/>
              </w:rPr>
              <w:t xml:space="preserve"> de productos textiles</w:t>
            </w:r>
          </w:p>
        </w:tc>
        <w:tc>
          <w:tcPr>
            <w:tcW w:w="850" w:type="dxa"/>
            <w:shd w:val="clear" w:color="auto" w:fill="auto"/>
            <w:noWrap/>
            <w:vAlign w:val="center"/>
            <w:hideMark/>
          </w:tcPr>
          <w:p w14:paraId="53D34D0A"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57.9</w:t>
            </w:r>
          </w:p>
        </w:tc>
        <w:tc>
          <w:tcPr>
            <w:tcW w:w="993" w:type="dxa"/>
            <w:shd w:val="clear" w:color="auto" w:fill="auto"/>
            <w:noWrap/>
            <w:vAlign w:val="center"/>
            <w:hideMark/>
          </w:tcPr>
          <w:p w14:paraId="6C3F4CB3"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42.1</w:t>
            </w:r>
          </w:p>
        </w:tc>
        <w:tc>
          <w:tcPr>
            <w:tcW w:w="834" w:type="dxa"/>
            <w:shd w:val="clear" w:color="auto" w:fill="auto"/>
            <w:noWrap/>
            <w:vAlign w:val="center"/>
            <w:hideMark/>
          </w:tcPr>
          <w:p w14:paraId="536E6796"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57</w:t>
            </w:r>
            <w:r w:rsidR="00A64652" w:rsidRPr="00391DFD">
              <w:rPr>
                <w:rFonts w:ascii="Arial" w:eastAsia="Times New Roman" w:hAnsi="Arial" w:cs="Arial"/>
                <w:color w:val="000000"/>
                <w:sz w:val="14"/>
                <w:szCs w:val="14"/>
                <w:lang w:eastAsia="es-MX"/>
              </w:rPr>
              <w:t>.0</w:t>
            </w:r>
          </w:p>
        </w:tc>
        <w:tc>
          <w:tcPr>
            <w:tcW w:w="812" w:type="dxa"/>
            <w:shd w:val="clear" w:color="auto" w:fill="auto"/>
            <w:noWrap/>
            <w:vAlign w:val="center"/>
            <w:hideMark/>
          </w:tcPr>
          <w:p w14:paraId="4D88C95F"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43</w:t>
            </w:r>
            <w:r w:rsidR="00A64652" w:rsidRPr="00391DFD">
              <w:rPr>
                <w:rFonts w:ascii="Arial" w:eastAsia="Times New Roman" w:hAnsi="Arial" w:cs="Arial"/>
                <w:color w:val="000000"/>
                <w:sz w:val="14"/>
                <w:szCs w:val="14"/>
                <w:lang w:eastAsia="es-MX"/>
              </w:rPr>
              <w:t>.0</w:t>
            </w:r>
          </w:p>
        </w:tc>
        <w:tc>
          <w:tcPr>
            <w:tcW w:w="834" w:type="dxa"/>
            <w:shd w:val="clear" w:color="auto" w:fill="auto"/>
            <w:noWrap/>
            <w:vAlign w:val="center"/>
            <w:hideMark/>
          </w:tcPr>
          <w:p w14:paraId="13A22039"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-0.9</w:t>
            </w:r>
          </w:p>
        </w:tc>
        <w:tc>
          <w:tcPr>
            <w:tcW w:w="745" w:type="dxa"/>
            <w:shd w:val="clear" w:color="auto" w:fill="auto"/>
            <w:noWrap/>
            <w:vAlign w:val="center"/>
            <w:hideMark/>
          </w:tcPr>
          <w:p w14:paraId="4DBAF4F6"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0.9</w:t>
            </w:r>
          </w:p>
        </w:tc>
      </w:tr>
      <w:tr w:rsidR="003228D9" w:rsidRPr="003228D9" w14:paraId="3FD6F40A" w14:textId="77777777" w:rsidTr="00F9032A">
        <w:trPr>
          <w:trHeight w:val="20"/>
          <w:jc w:val="center"/>
        </w:trPr>
        <w:tc>
          <w:tcPr>
            <w:tcW w:w="3725" w:type="dxa"/>
            <w:shd w:val="clear" w:color="auto" w:fill="auto"/>
            <w:vAlign w:val="center"/>
            <w:hideMark/>
          </w:tcPr>
          <w:p w14:paraId="77447189"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315 </w:t>
            </w:r>
            <w:proofErr w:type="gramStart"/>
            <w:r w:rsidRPr="00F9032A">
              <w:rPr>
                <w:rFonts w:ascii="Arial" w:eastAsia="Times New Roman" w:hAnsi="Arial" w:cs="Arial"/>
                <w:sz w:val="16"/>
                <w:szCs w:val="16"/>
                <w:lang w:eastAsia="es-MX"/>
              </w:rPr>
              <w:t>Fabricación</w:t>
            </w:r>
            <w:proofErr w:type="gramEnd"/>
            <w:r w:rsidRPr="00F9032A">
              <w:rPr>
                <w:rFonts w:ascii="Arial" w:eastAsia="Times New Roman" w:hAnsi="Arial" w:cs="Arial"/>
                <w:sz w:val="16"/>
                <w:szCs w:val="16"/>
                <w:lang w:eastAsia="es-MX"/>
              </w:rPr>
              <w:t xml:space="preserve"> de prendas de vestir</w:t>
            </w:r>
          </w:p>
        </w:tc>
        <w:tc>
          <w:tcPr>
            <w:tcW w:w="850" w:type="dxa"/>
            <w:shd w:val="clear" w:color="auto" w:fill="auto"/>
            <w:noWrap/>
            <w:vAlign w:val="center"/>
            <w:hideMark/>
          </w:tcPr>
          <w:p w14:paraId="17C48829"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43.8</w:t>
            </w:r>
          </w:p>
        </w:tc>
        <w:tc>
          <w:tcPr>
            <w:tcW w:w="993" w:type="dxa"/>
            <w:shd w:val="clear" w:color="auto" w:fill="auto"/>
            <w:noWrap/>
            <w:vAlign w:val="center"/>
            <w:hideMark/>
          </w:tcPr>
          <w:p w14:paraId="69A85C3E"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56.2</w:t>
            </w:r>
          </w:p>
        </w:tc>
        <w:tc>
          <w:tcPr>
            <w:tcW w:w="834" w:type="dxa"/>
            <w:shd w:val="clear" w:color="auto" w:fill="auto"/>
            <w:noWrap/>
            <w:vAlign w:val="center"/>
            <w:hideMark/>
          </w:tcPr>
          <w:p w14:paraId="7AE79E1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43.6</w:t>
            </w:r>
          </w:p>
        </w:tc>
        <w:tc>
          <w:tcPr>
            <w:tcW w:w="812" w:type="dxa"/>
            <w:shd w:val="clear" w:color="auto" w:fill="auto"/>
            <w:noWrap/>
            <w:vAlign w:val="center"/>
            <w:hideMark/>
          </w:tcPr>
          <w:p w14:paraId="22A819CB"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56.4</w:t>
            </w:r>
          </w:p>
        </w:tc>
        <w:tc>
          <w:tcPr>
            <w:tcW w:w="834" w:type="dxa"/>
            <w:shd w:val="clear" w:color="auto" w:fill="auto"/>
            <w:noWrap/>
            <w:vAlign w:val="center"/>
            <w:hideMark/>
          </w:tcPr>
          <w:p w14:paraId="25F240F6"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-0.2</w:t>
            </w:r>
          </w:p>
        </w:tc>
        <w:tc>
          <w:tcPr>
            <w:tcW w:w="745" w:type="dxa"/>
            <w:shd w:val="clear" w:color="auto" w:fill="auto"/>
            <w:noWrap/>
            <w:vAlign w:val="center"/>
            <w:hideMark/>
          </w:tcPr>
          <w:p w14:paraId="59B2EA64"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0.2</w:t>
            </w:r>
          </w:p>
        </w:tc>
      </w:tr>
      <w:tr w:rsidR="003228D9" w:rsidRPr="003228D9" w14:paraId="7A0AC00A" w14:textId="77777777" w:rsidTr="00F9032A">
        <w:trPr>
          <w:trHeight w:val="20"/>
          <w:jc w:val="center"/>
        </w:trPr>
        <w:tc>
          <w:tcPr>
            <w:tcW w:w="3725" w:type="dxa"/>
            <w:shd w:val="clear" w:color="auto" w:fill="auto"/>
            <w:vAlign w:val="center"/>
            <w:hideMark/>
          </w:tcPr>
          <w:p w14:paraId="345D0B2F"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316 </w:t>
            </w:r>
            <w:proofErr w:type="gramStart"/>
            <w:r w:rsidRPr="00F9032A">
              <w:rPr>
                <w:rFonts w:ascii="Arial" w:eastAsia="Times New Roman" w:hAnsi="Arial" w:cs="Arial"/>
                <w:sz w:val="16"/>
                <w:szCs w:val="16"/>
                <w:lang w:eastAsia="es-MX"/>
              </w:rPr>
              <w:t>Curtido</w:t>
            </w:r>
            <w:proofErr w:type="gramEnd"/>
            <w:r w:rsidRPr="00F9032A">
              <w:rPr>
                <w:rFonts w:ascii="Arial" w:eastAsia="Times New Roman" w:hAnsi="Arial" w:cs="Arial"/>
                <w:sz w:val="16"/>
                <w:szCs w:val="16"/>
                <w:lang w:eastAsia="es-MX"/>
              </w:rPr>
              <w:t xml:space="preserve"> y acabado de cuero y piel</w:t>
            </w:r>
          </w:p>
        </w:tc>
        <w:tc>
          <w:tcPr>
            <w:tcW w:w="850" w:type="dxa"/>
            <w:shd w:val="clear" w:color="auto" w:fill="auto"/>
            <w:noWrap/>
            <w:vAlign w:val="center"/>
            <w:hideMark/>
          </w:tcPr>
          <w:p w14:paraId="7082E4F6"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62.9</w:t>
            </w:r>
          </w:p>
        </w:tc>
        <w:tc>
          <w:tcPr>
            <w:tcW w:w="993" w:type="dxa"/>
            <w:shd w:val="clear" w:color="auto" w:fill="auto"/>
            <w:noWrap/>
            <w:vAlign w:val="center"/>
            <w:hideMark/>
          </w:tcPr>
          <w:p w14:paraId="689697DE"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37.1</w:t>
            </w:r>
          </w:p>
        </w:tc>
        <w:tc>
          <w:tcPr>
            <w:tcW w:w="834" w:type="dxa"/>
            <w:shd w:val="clear" w:color="auto" w:fill="auto"/>
            <w:noWrap/>
            <w:vAlign w:val="center"/>
            <w:hideMark/>
          </w:tcPr>
          <w:p w14:paraId="744D0C11"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61.6</w:t>
            </w:r>
          </w:p>
        </w:tc>
        <w:tc>
          <w:tcPr>
            <w:tcW w:w="812" w:type="dxa"/>
            <w:shd w:val="clear" w:color="auto" w:fill="auto"/>
            <w:noWrap/>
            <w:vAlign w:val="center"/>
            <w:hideMark/>
          </w:tcPr>
          <w:p w14:paraId="4AD4E20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38.4</w:t>
            </w:r>
          </w:p>
        </w:tc>
        <w:tc>
          <w:tcPr>
            <w:tcW w:w="834" w:type="dxa"/>
            <w:shd w:val="clear" w:color="auto" w:fill="auto"/>
            <w:noWrap/>
            <w:vAlign w:val="center"/>
            <w:hideMark/>
          </w:tcPr>
          <w:p w14:paraId="63EF4E0D"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-1.3</w:t>
            </w:r>
          </w:p>
        </w:tc>
        <w:tc>
          <w:tcPr>
            <w:tcW w:w="745" w:type="dxa"/>
            <w:shd w:val="clear" w:color="auto" w:fill="auto"/>
            <w:noWrap/>
            <w:vAlign w:val="center"/>
            <w:hideMark/>
          </w:tcPr>
          <w:p w14:paraId="6E923511"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1.3</w:t>
            </w:r>
          </w:p>
        </w:tc>
      </w:tr>
      <w:tr w:rsidR="003228D9" w:rsidRPr="003228D9" w14:paraId="47656B7E" w14:textId="77777777" w:rsidTr="00F9032A">
        <w:trPr>
          <w:trHeight w:val="20"/>
          <w:jc w:val="center"/>
        </w:trPr>
        <w:tc>
          <w:tcPr>
            <w:tcW w:w="3725" w:type="dxa"/>
            <w:shd w:val="clear" w:color="auto" w:fill="auto"/>
            <w:vAlign w:val="center"/>
            <w:hideMark/>
          </w:tcPr>
          <w:p w14:paraId="09762B02"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321 </w:t>
            </w:r>
            <w:proofErr w:type="gramStart"/>
            <w:r w:rsidRPr="00F9032A">
              <w:rPr>
                <w:rFonts w:ascii="Arial" w:eastAsia="Times New Roman" w:hAnsi="Arial" w:cs="Arial"/>
                <w:sz w:val="16"/>
                <w:szCs w:val="16"/>
                <w:lang w:eastAsia="es-MX"/>
              </w:rPr>
              <w:t>Industria</w:t>
            </w:r>
            <w:proofErr w:type="gramEnd"/>
            <w:r w:rsidRPr="00F9032A">
              <w:rPr>
                <w:rFonts w:ascii="Arial" w:eastAsia="Times New Roman" w:hAnsi="Arial" w:cs="Arial"/>
                <w:sz w:val="16"/>
                <w:szCs w:val="16"/>
                <w:lang w:eastAsia="es-MX"/>
              </w:rPr>
              <w:t xml:space="preserve"> de la madera</w:t>
            </w:r>
          </w:p>
        </w:tc>
        <w:tc>
          <w:tcPr>
            <w:tcW w:w="850" w:type="dxa"/>
            <w:shd w:val="clear" w:color="auto" w:fill="auto"/>
            <w:noWrap/>
            <w:vAlign w:val="center"/>
            <w:hideMark/>
          </w:tcPr>
          <w:p w14:paraId="155CAA7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82.3</w:t>
            </w:r>
          </w:p>
        </w:tc>
        <w:tc>
          <w:tcPr>
            <w:tcW w:w="993" w:type="dxa"/>
            <w:shd w:val="clear" w:color="auto" w:fill="auto"/>
            <w:noWrap/>
            <w:vAlign w:val="center"/>
            <w:hideMark/>
          </w:tcPr>
          <w:p w14:paraId="1F038C2A"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17.7</w:t>
            </w:r>
          </w:p>
        </w:tc>
        <w:tc>
          <w:tcPr>
            <w:tcW w:w="834" w:type="dxa"/>
            <w:shd w:val="clear" w:color="auto" w:fill="auto"/>
            <w:noWrap/>
            <w:vAlign w:val="center"/>
            <w:hideMark/>
          </w:tcPr>
          <w:p w14:paraId="6624FC4D"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81.6</w:t>
            </w:r>
          </w:p>
        </w:tc>
        <w:tc>
          <w:tcPr>
            <w:tcW w:w="812" w:type="dxa"/>
            <w:shd w:val="clear" w:color="auto" w:fill="auto"/>
            <w:noWrap/>
            <w:vAlign w:val="center"/>
            <w:hideMark/>
          </w:tcPr>
          <w:p w14:paraId="33EFF608"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18.4</w:t>
            </w:r>
          </w:p>
        </w:tc>
        <w:tc>
          <w:tcPr>
            <w:tcW w:w="834" w:type="dxa"/>
            <w:shd w:val="clear" w:color="auto" w:fill="auto"/>
            <w:noWrap/>
            <w:vAlign w:val="center"/>
            <w:hideMark/>
          </w:tcPr>
          <w:p w14:paraId="17BE6581"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-0.7</w:t>
            </w:r>
          </w:p>
        </w:tc>
        <w:tc>
          <w:tcPr>
            <w:tcW w:w="745" w:type="dxa"/>
            <w:shd w:val="clear" w:color="auto" w:fill="auto"/>
            <w:noWrap/>
            <w:vAlign w:val="center"/>
            <w:hideMark/>
          </w:tcPr>
          <w:p w14:paraId="7E48BC1C"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0.7</w:t>
            </w:r>
          </w:p>
        </w:tc>
      </w:tr>
      <w:tr w:rsidR="003228D9" w:rsidRPr="003228D9" w14:paraId="5D1E8E0A" w14:textId="77777777" w:rsidTr="00F9032A">
        <w:trPr>
          <w:trHeight w:val="20"/>
          <w:jc w:val="center"/>
        </w:trPr>
        <w:tc>
          <w:tcPr>
            <w:tcW w:w="3725" w:type="dxa"/>
            <w:shd w:val="clear" w:color="auto" w:fill="auto"/>
            <w:vAlign w:val="center"/>
            <w:hideMark/>
          </w:tcPr>
          <w:p w14:paraId="18D99B37"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322 </w:t>
            </w:r>
            <w:proofErr w:type="gramStart"/>
            <w:r w:rsidRPr="00F9032A">
              <w:rPr>
                <w:rFonts w:ascii="Arial" w:eastAsia="Times New Roman" w:hAnsi="Arial" w:cs="Arial"/>
                <w:sz w:val="16"/>
                <w:szCs w:val="16"/>
                <w:lang w:eastAsia="es-MX"/>
              </w:rPr>
              <w:t>Industria</w:t>
            </w:r>
            <w:proofErr w:type="gramEnd"/>
            <w:r w:rsidRPr="00F9032A">
              <w:rPr>
                <w:rFonts w:ascii="Arial" w:eastAsia="Times New Roman" w:hAnsi="Arial" w:cs="Arial"/>
                <w:sz w:val="16"/>
                <w:szCs w:val="16"/>
                <w:lang w:eastAsia="es-MX"/>
              </w:rPr>
              <w:t xml:space="preserve"> del papel</w:t>
            </w:r>
          </w:p>
        </w:tc>
        <w:tc>
          <w:tcPr>
            <w:tcW w:w="850" w:type="dxa"/>
            <w:shd w:val="clear" w:color="auto" w:fill="auto"/>
            <w:noWrap/>
            <w:vAlign w:val="center"/>
            <w:hideMark/>
          </w:tcPr>
          <w:p w14:paraId="6F2449AB"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76.1</w:t>
            </w:r>
          </w:p>
        </w:tc>
        <w:tc>
          <w:tcPr>
            <w:tcW w:w="993" w:type="dxa"/>
            <w:shd w:val="clear" w:color="auto" w:fill="auto"/>
            <w:noWrap/>
            <w:vAlign w:val="center"/>
            <w:hideMark/>
          </w:tcPr>
          <w:p w14:paraId="5E2B2A44"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23.9</w:t>
            </w:r>
          </w:p>
        </w:tc>
        <w:tc>
          <w:tcPr>
            <w:tcW w:w="834" w:type="dxa"/>
            <w:shd w:val="clear" w:color="auto" w:fill="auto"/>
            <w:noWrap/>
            <w:vAlign w:val="center"/>
            <w:hideMark/>
          </w:tcPr>
          <w:p w14:paraId="39016A5D"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76.4</w:t>
            </w:r>
          </w:p>
        </w:tc>
        <w:tc>
          <w:tcPr>
            <w:tcW w:w="812" w:type="dxa"/>
            <w:shd w:val="clear" w:color="auto" w:fill="auto"/>
            <w:noWrap/>
            <w:vAlign w:val="center"/>
            <w:hideMark/>
          </w:tcPr>
          <w:p w14:paraId="065A4EB3"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23.6</w:t>
            </w:r>
          </w:p>
        </w:tc>
        <w:tc>
          <w:tcPr>
            <w:tcW w:w="834" w:type="dxa"/>
            <w:shd w:val="clear" w:color="auto" w:fill="auto"/>
            <w:noWrap/>
            <w:vAlign w:val="center"/>
            <w:hideMark/>
          </w:tcPr>
          <w:p w14:paraId="5189E57E"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0.3</w:t>
            </w:r>
          </w:p>
        </w:tc>
        <w:tc>
          <w:tcPr>
            <w:tcW w:w="745" w:type="dxa"/>
            <w:shd w:val="clear" w:color="auto" w:fill="auto"/>
            <w:noWrap/>
            <w:vAlign w:val="center"/>
            <w:hideMark/>
          </w:tcPr>
          <w:p w14:paraId="32360304"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-0.3</w:t>
            </w:r>
          </w:p>
        </w:tc>
      </w:tr>
      <w:tr w:rsidR="003228D9" w:rsidRPr="003228D9" w14:paraId="768D2A63" w14:textId="77777777" w:rsidTr="00F9032A">
        <w:trPr>
          <w:trHeight w:val="20"/>
          <w:jc w:val="center"/>
        </w:trPr>
        <w:tc>
          <w:tcPr>
            <w:tcW w:w="3725" w:type="dxa"/>
            <w:shd w:val="clear" w:color="auto" w:fill="auto"/>
            <w:vAlign w:val="center"/>
            <w:hideMark/>
          </w:tcPr>
          <w:p w14:paraId="783BEA73" w14:textId="77777777" w:rsidR="003228D9" w:rsidRPr="00F9032A" w:rsidRDefault="003228D9" w:rsidP="00A64652">
            <w:pPr>
              <w:spacing w:after="0" w:line="240" w:lineRule="auto"/>
              <w:rPr>
                <w:rFonts w:ascii="Arial" w:eastAsia="Times New Roman" w:hAnsi="Arial" w:cs="Arial"/>
                <w:sz w:val="16"/>
                <w:szCs w:val="16"/>
                <w:lang w:eastAsia="es-MX"/>
              </w:rPr>
            </w:pPr>
            <w:r w:rsidRPr="00F9032A">
              <w:rPr>
                <w:rFonts w:ascii="Arial" w:eastAsia="Times New Roman" w:hAnsi="Arial" w:cs="Arial"/>
                <w:sz w:val="16"/>
                <w:szCs w:val="16"/>
                <w:lang w:eastAsia="es-MX"/>
              </w:rPr>
              <w:t xml:space="preserve">323 </w:t>
            </w:r>
            <w:proofErr w:type="gramStart"/>
            <w:r w:rsidRPr="00F9032A">
              <w:rPr>
                <w:rFonts w:ascii="Arial" w:eastAsia="Times New Roman" w:hAnsi="Arial" w:cs="Arial"/>
                <w:sz w:val="16"/>
                <w:szCs w:val="16"/>
                <w:lang w:eastAsia="es-MX"/>
              </w:rPr>
              <w:t>Impresión</w:t>
            </w:r>
            <w:proofErr w:type="gramEnd"/>
            <w:r w:rsidRPr="00F9032A">
              <w:rPr>
                <w:rFonts w:ascii="Arial" w:eastAsia="Times New Roman" w:hAnsi="Arial" w:cs="Arial"/>
                <w:sz w:val="16"/>
                <w:szCs w:val="16"/>
                <w:lang w:eastAsia="es-MX"/>
              </w:rPr>
              <w:t xml:space="preserve"> e industrias conexas</w:t>
            </w:r>
          </w:p>
        </w:tc>
        <w:tc>
          <w:tcPr>
            <w:tcW w:w="850" w:type="dxa"/>
            <w:shd w:val="clear" w:color="auto" w:fill="auto"/>
            <w:noWrap/>
            <w:vAlign w:val="center"/>
            <w:hideMark/>
          </w:tcPr>
          <w:p w14:paraId="2D9E2F4C"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59.6</w:t>
            </w:r>
          </w:p>
        </w:tc>
        <w:tc>
          <w:tcPr>
            <w:tcW w:w="993" w:type="dxa"/>
            <w:shd w:val="clear" w:color="auto" w:fill="auto"/>
            <w:noWrap/>
            <w:vAlign w:val="center"/>
            <w:hideMark/>
          </w:tcPr>
          <w:p w14:paraId="28893148"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40.4</w:t>
            </w:r>
          </w:p>
        </w:tc>
        <w:tc>
          <w:tcPr>
            <w:tcW w:w="834" w:type="dxa"/>
            <w:shd w:val="clear" w:color="auto" w:fill="auto"/>
            <w:noWrap/>
            <w:vAlign w:val="center"/>
            <w:hideMark/>
          </w:tcPr>
          <w:p w14:paraId="32345340"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58.9</w:t>
            </w:r>
          </w:p>
        </w:tc>
        <w:tc>
          <w:tcPr>
            <w:tcW w:w="812" w:type="dxa"/>
            <w:shd w:val="clear" w:color="auto" w:fill="auto"/>
            <w:noWrap/>
            <w:vAlign w:val="center"/>
            <w:hideMark/>
          </w:tcPr>
          <w:p w14:paraId="1C6A8BA7"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41.1</w:t>
            </w:r>
          </w:p>
        </w:tc>
        <w:tc>
          <w:tcPr>
            <w:tcW w:w="834" w:type="dxa"/>
            <w:shd w:val="clear" w:color="auto" w:fill="auto"/>
            <w:noWrap/>
            <w:vAlign w:val="center"/>
            <w:hideMark/>
          </w:tcPr>
          <w:p w14:paraId="3E7C517F"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-0.7</w:t>
            </w:r>
          </w:p>
        </w:tc>
        <w:tc>
          <w:tcPr>
            <w:tcW w:w="745" w:type="dxa"/>
            <w:shd w:val="clear" w:color="auto" w:fill="auto"/>
            <w:noWrap/>
            <w:vAlign w:val="center"/>
            <w:hideMark/>
          </w:tcPr>
          <w:p w14:paraId="424F4815"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0.7</w:t>
            </w:r>
          </w:p>
        </w:tc>
      </w:tr>
      <w:tr w:rsidR="003228D9" w:rsidRPr="003228D9" w14:paraId="0811992B" w14:textId="77777777" w:rsidTr="00F9032A">
        <w:trPr>
          <w:trHeight w:val="20"/>
          <w:jc w:val="center"/>
        </w:trPr>
        <w:tc>
          <w:tcPr>
            <w:tcW w:w="3725" w:type="dxa"/>
            <w:shd w:val="clear" w:color="auto" w:fill="auto"/>
            <w:vAlign w:val="center"/>
            <w:hideMark/>
          </w:tcPr>
          <w:p w14:paraId="20A01339"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324 </w:t>
            </w:r>
            <w:proofErr w:type="gramStart"/>
            <w:r w:rsidRPr="00F9032A">
              <w:rPr>
                <w:rFonts w:ascii="Arial" w:eastAsia="Times New Roman" w:hAnsi="Arial" w:cs="Arial"/>
                <w:color w:val="000000"/>
                <w:sz w:val="16"/>
                <w:szCs w:val="16"/>
                <w:lang w:eastAsia="es-MX"/>
              </w:rPr>
              <w:t>Productos</w:t>
            </w:r>
            <w:proofErr w:type="gramEnd"/>
            <w:r w:rsidRPr="00F9032A">
              <w:rPr>
                <w:rFonts w:ascii="Arial" w:eastAsia="Times New Roman" w:hAnsi="Arial" w:cs="Arial"/>
                <w:color w:val="000000"/>
                <w:sz w:val="16"/>
                <w:szCs w:val="16"/>
                <w:lang w:eastAsia="es-MX"/>
              </w:rPr>
              <w:t xml:space="preserve"> derivados del petróleo</w:t>
            </w:r>
          </w:p>
        </w:tc>
        <w:tc>
          <w:tcPr>
            <w:tcW w:w="850" w:type="dxa"/>
            <w:shd w:val="clear" w:color="auto" w:fill="auto"/>
            <w:noWrap/>
            <w:vAlign w:val="center"/>
            <w:hideMark/>
          </w:tcPr>
          <w:p w14:paraId="380E43E7"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80.3</w:t>
            </w:r>
          </w:p>
        </w:tc>
        <w:tc>
          <w:tcPr>
            <w:tcW w:w="993" w:type="dxa"/>
            <w:shd w:val="clear" w:color="auto" w:fill="auto"/>
            <w:noWrap/>
            <w:vAlign w:val="center"/>
            <w:hideMark/>
          </w:tcPr>
          <w:p w14:paraId="164FD8BA"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19.7</w:t>
            </w:r>
          </w:p>
        </w:tc>
        <w:tc>
          <w:tcPr>
            <w:tcW w:w="834" w:type="dxa"/>
            <w:shd w:val="clear" w:color="auto" w:fill="auto"/>
            <w:noWrap/>
            <w:vAlign w:val="center"/>
            <w:hideMark/>
          </w:tcPr>
          <w:p w14:paraId="103A08F4"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80</w:t>
            </w:r>
            <w:r w:rsidR="00A64652" w:rsidRPr="00391DFD">
              <w:rPr>
                <w:rFonts w:ascii="Arial" w:eastAsia="Times New Roman" w:hAnsi="Arial" w:cs="Arial"/>
                <w:color w:val="000000"/>
                <w:sz w:val="14"/>
                <w:szCs w:val="14"/>
                <w:lang w:eastAsia="es-MX"/>
              </w:rPr>
              <w:t>.0</w:t>
            </w:r>
          </w:p>
        </w:tc>
        <w:tc>
          <w:tcPr>
            <w:tcW w:w="812" w:type="dxa"/>
            <w:shd w:val="clear" w:color="auto" w:fill="auto"/>
            <w:noWrap/>
            <w:vAlign w:val="center"/>
            <w:hideMark/>
          </w:tcPr>
          <w:p w14:paraId="1D7620A8"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20</w:t>
            </w:r>
            <w:r w:rsidR="00A64652" w:rsidRPr="00391DFD">
              <w:rPr>
                <w:rFonts w:ascii="Arial" w:eastAsia="Times New Roman" w:hAnsi="Arial" w:cs="Arial"/>
                <w:color w:val="000000"/>
                <w:sz w:val="14"/>
                <w:szCs w:val="14"/>
                <w:lang w:eastAsia="es-MX"/>
              </w:rPr>
              <w:t>.0</w:t>
            </w:r>
          </w:p>
        </w:tc>
        <w:tc>
          <w:tcPr>
            <w:tcW w:w="834" w:type="dxa"/>
            <w:shd w:val="clear" w:color="auto" w:fill="auto"/>
            <w:noWrap/>
            <w:vAlign w:val="center"/>
            <w:hideMark/>
          </w:tcPr>
          <w:p w14:paraId="57CF805B"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-0.3</w:t>
            </w:r>
          </w:p>
        </w:tc>
        <w:tc>
          <w:tcPr>
            <w:tcW w:w="745" w:type="dxa"/>
            <w:shd w:val="clear" w:color="auto" w:fill="auto"/>
            <w:noWrap/>
            <w:vAlign w:val="center"/>
            <w:hideMark/>
          </w:tcPr>
          <w:p w14:paraId="4E7C0D28"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0.3</w:t>
            </w:r>
          </w:p>
        </w:tc>
      </w:tr>
      <w:tr w:rsidR="003228D9" w:rsidRPr="003228D9" w14:paraId="4483B425" w14:textId="77777777" w:rsidTr="00F9032A">
        <w:trPr>
          <w:trHeight w:val="20"/>
          <w:jc w:val="center"/>
        </w:trPr>
        <w:tc>
          <w:tcPr>
            <w:tcW w:w="3725" w:type="dxa"/>
            <w:shd w:val="clear" w:color="auto" w:fill="auto"/>
            <w:vAlign w:val="center"/>
            <w:hideMark/>
          </w:tcPr>
          <w:p w14:paraId="262DADBC"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325 </w:t>
            </w:r>
            <w:proofErr w:type="gramStart"/>
            <w:r w:rsidRPr="00F9032A">
              <w:rPr>
                <w:rFonts w:ascii="Arial" w:eastAsia="Times New Roman" w:hAnsi="Arial" w:cs="Arial"/>
                <w:color w:val="000000"/>
                <w:sz w:val="16"/>
                <w:szCs w:val="16"/>
                <w:lang w:eastAsia="es-MX"/>
              </w:rPr>
              <w:t>Industria</w:t>
            </w:r>
            <w:proofErr w:type="gramEnd"/>
            <w:r w:rsidRPr="00F9032A">
              <w:rPr>
                <w:rFonts w:ascii="Arial" w:eastAsia="Times New Roman" w:hAnsi="Arial" w:cs="Arial"/>
                <w:color w:val="000000"/>
                <w:sz w:val="16"/>
                <w:szCs w:val="16"/>
                <w:lang w:eastAsia="es-MX"/>
              </w:rPr>
              <w:t xml:space="preserve"> química</w:t>
            </w:r>
          </w:p>
        </w:tc>
        <w:tc>
          <w:tcPr>
            <w:tcW w:w="850" w:type="dxa"/>
            <w:shd w:val="clear" w:color="auto" w:fill="auto"/>
            <w:noWrap/>
            <w:vAlign w:val="center"/>
            <w:hideMark/>
          </w:tcPr>
          <w:p w14:paraId="416ED818"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68.4</w:t>
            </w:r>
          </w:p>
        </w:tc>
        <w:tc>
          <w:tcPr>
            <w:tcW w:w="993" w:type="dxa"/>
            <w:shd w:val="clear" w:color="auto" w:fill="auto"/>
            <w:noWrap/>
            <w:vAlign w:val="center"/>
            <w:hideMark/>
          </w:tcPr>
          <w:p w14:paraId="5464DF8B"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31.6</w:t>
            </w:r>
          </w:p>
        </w:tc>
        <w:tc>
          <w:tcPr>
            <w:tcW w:w="834" w:type="dxa"/>
            <w:shd w:val="clear" w:color="auto" w:fill="auto"/>
            <w:noWrap/>
            <w:vAlign w:val="center"/>
            <w:hideMark/>
          </w:tcPr>
          <w:p w14:paraId="3CE0B4A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68.3</w:t>
            </w:r>
          </w:p>
        </w:tc>
        <w:tc>
          <w:tcPr>
            <w:tcW w:w="812" w:type="dxa"/>
            <w:shd w:val="clear" w:color="auto" w:fill="auto"/>
            <w:noWrap/>
            <w:vAlign w:val="center"/>
            <w:hideMark/>
          </w:tcPr>
          <w:p w14:paraId="137E7C3A"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31.7</w:t>
            </w:r>
          </w:p>
        </w:tc>
        <w:tc>
          <w:tcPr>
            <w:tcW w:w="834" w:type="dxa"/>
            <w:shd w:val="clear" w:color="auto" w:fill="auto"/>
            <w:noWrap/>
            <w:vAlign w:val="center"/>
            <w:hideMark/>
          </w:tcPr>
          <w:p w14:paraId="76707A95"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-0.1</w:t>
            </w:r>
          </w:p>
        </w:tc>
        <w:tc>
          <w:tcPr>
            <w:tcW w:w="745" w:type="dxa"/>
            <w:shd w:val="clear" w:color="auto" w:fill="auto"/>
            <w:noWrap/>
            <w:vAlign w:val="center"/>
            <w:hideMark/>
          </w:tcPr>
          <w:p w14:paraId="541BAB33"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0.1</w:t>
            </w:r>
          </w:p>
        </w:tc>
      </w:tr>
      <w:tr w:rsidR="003228D9" w:rsidRPr="003228D9" w14:paraId="1796EF16" w14:textId="77777777" w:rsidTr="00F9032A">
        <w:trPr>
          <w:trHeight w:val="20"/>
          <w:jc w:val="center"/>
        </w:trPr>
        <w:tc>
          <w:tcPr>
            <w:tcW w:w="3725" w:type="dxa"/>
            <w:shd w:val="clear" w:color="auto" w:fill="auto"/>
            <w:vAlign w:val="center"/>
            <w:hideMark/>
          </w:tcPr>
          <w:p w14:paraId="0BA2C982"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326 </w:t>
            </w:r>
            <w:proofErr w:type="gramStart"/>
            <w:r w:rsidRPr="00F9032A">
              <w:rPr>
                <w:rFonts w:ascii="Arial" w:eastAsia="Times New Roman" w:hAnsi="Arial" w:cs="Arial"/>
                <w:color w:val="000000"/>
                <w:sz w:val="16"/>
                <w:szCs w:val="16"/>
                <w:lang w:eastAsia="es-MX"/>
              </w:rPr>
              <w:t>Industria</w:t>
            </w:r>
            <w:proofErr w:type="gramEnd"/>
            <w:r w:rsidRPr="00F9032A">
              <w:rPr>
                <w:rFonts w:ascii="Arial" w:eastAsia="Times New Roman" w:hAnsi="Arial" w:cs="Arial"/>
                <w:color w:val="000000"/>
                <w:sz w:val="16"/>
                <w:szCs w:val="16"/>
                <w:lang w:eastAsia="es-MX"/>
              </w:rPr>
              <w:t xml:space="preserve"> del plástico y del hule</w:t>
            </w:r>
          </w:p>
        </w:tc>
        <w:tc>
          <w:tcPr>
            <w:tcW w:w="850" w:type="dxa"/>
            <w:shd w:val="clear" w:color="auto" w:fill="auto"/>
            <w:noWrap/>
            <w:vAlign w:val="center"/>
            <w:hideMark/>
          </w:tcPr>
          <w:p w14:paraId="7F194070"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59.4</w:t>
            </w:r>
          </w:p>
        </w:tc>
        <w:tc>
          <w:tcPr>
            <w:tcW w:w="993" w:type="dxa"/>
            <w:shd w:val="clear" w:color="auto" w:fill="auto"/>
            <w:noWrap/>
            <w:vAlign w:val="center"/>
            <w:hideMark/>
          </w:tcPr>
          <w:p w14:paraId="06C9FC15"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40.6</w:t>
            </w:r>
          </w:p>
        </w:tc>
        <w:tc>
          <w:tcPr>
            <w:tcW w:w="834" w:type="dxa"/>
            <w:shd w:val="clear" w:color="auto" w:fill="auto"/>
            <w:noWrap/>
            <w:vAlign w:val="center"/>
            <w:hideMark/>
          </w:tcPr>
          <w:p w14:paraId="0DD85A9E"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59.1</w:t>
            </w:r>
          </w:p>
        </w:tc>
        <w:tc>
          <w:tcPr>
            <w:tcW w:w="812" w:type="dxa"/>
            <w:shd w:val="clear" w:color="auto" w:fill="auto"/>
            <w:noWrap/>
            <w:vAlign w:val="center"/>
            <w:hideMark/>
          </w:tcPr>
          <w:p w14:paraId="40192096"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40.9</w:t>
            </w:r>
          </w:p>
        </w:tc>
        <w:tc>
          <w:tcPr>
            <w:tcW w:w="834" w:type="dxa"/>
            <w:shd w:val="clear" w:color="auto" w:fill="auto"/>
            <w:noWrap/>
            <w:vAlign w:val="center"/>
            <w:hideMark/>
          </w:tcPr>
          <w:p w14:paraId="1F03F562"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-0.3</w:t>
            </w:r>
          </w:p>
        </w:tc>
        <w:tc>
          <w:tcPr>
            <w:tcW w:w="745" w:type="dxa"/>
            <w:shd w:val="clear" w:color="auto" w:fill="auto"/>
            <w:noWrap/>
            <w:vAlign w:val="center"/>
            <w:hideMark/>
          </w:tcPr>
          <w:p w14:paraId="75E970BD"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0.3</w:t>
            </w:r>
          </w:p>
        </w:tc>
      </w:tr>
      <w:tr w:rsidR="003228D9" w:rsidRPr="003228D9" w14:paraId="1B85BBB6" w14:textId="77777777" w:rsidTr="00F9032A">
        <w:trPr>
          <w:trHeight w:val="20"/>
          <w:jc w:val="center"/>
        </w:trPr>
        <w:tc>
          <w:tcPr>
            <w:tcW w:w="3725" w:type="dxa"/>
            <w:shd w:val="clear" w:color="auto" w:fill="auto"/>
            <w:vAlign w:val="center"/>
            <w:hideMark/>
          </w:tcPr>
          <w:p w14:paraId="145ECC2D"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327 </w:t>
            </w:r>
            <w:proofErr w:type="gramStart"/>
            <w:r w:rsidRPr="00F9032A">
              <w:rPr>
                <w:rFonts w:ascii="Arial" w:eastAsia="Times New Roman" w:hAnsi="Arial" w:cs="Arial"/>
                <w:color w:val="000000"/>
                <w:sz w:val="16"/>
                <w:szCs w:val="16"/>
                <w:lang w:eastAsia="es-MX"/>
              </w:rPr>
              <w:t>Productos</w:t>
            </w:r>
            <w:proofErr w:type="gramEnd"/>
            <w:r w:rsidRPr="00F9032A">
              <w:rPr>
                <w:rFonts w:ascii="Arial" w:eastAsia="Times New Roman" w:hAnsi="Arial" w:cs="Arial"/>
                <w:color w:val="000000"/>
                <w:sz w:val="16"/>
                <w:szCs w:val="16"/>
                <w:lang w:eastAsia="es-MX"/>
              </w:rPr>
              <w:t xml:space="preserve"> a base de minerales no metálicos</w:t>
            </w:r>
          </w:p>
        </w:tc>
        <w:tc>
          <w:tcPr>
            <w:tcW w:w="850" w:type="dxa"/>
            <w:shd w:val="clear" w:color="auto" w:fill="auto"/>
            <w:noWrap/>
            <w:vAlign w:val="center"/>
            <w:hideMark/>
          </w:tcPr>
          <w:p w14:paraId="13CBA22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82.7</w:t>
            </w:r>
          </w:p>
        </w:tc>
        <w:tc>
          <w:tcPr>
            <w:tcW w:w="993" w:type="dxa"/>
            <w:shd w:val="clear" w:color="auto" w:fill="auto"/>
            <w:noWrap/>
            <w:vAlign w:val="center"/>
            <w:hideMark/>
          </w:tcPr>
          <w:p w14:paraId="0617A648"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17.3</w:t>
            </w:r>
          </w:p>
        </w:tc>
        <w:tc>
          <w:tcPr>
            <w:tcW w:w="834" w:type="dxa"/>
            <w:shd w:val="clear" w:color="auto" w:fill="auto"/>
            <w:noWrap/>
            <w:vAlign w:val="center"/>
            <w:hideMark/>
          </w:tcPr>
          <w:p w14:paraId="5452C6E9"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82.5</w:t>
            </w:r>
          </w:p>
        </w:tc>
        <w:tc>
          <w:tcPr>
            <w:tcW w:w="812" w:type="dxa"/>
            <w:shd w:val="clear" w:color="auto" w:fill="auto"/>
            <w:noWrap/>
            <w:vAlign w:val="center"/>
            <w:hideMark/>
          </w:tcPr>
          <w:p w14:paraId="06A5BFAD"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17.5</w:t>
            </w:r>
          </w:p>
        </w:tc>
        <w:tc>
          <w:tcPr>
            <w:tcW w:w="834" w:type="dxa"/>
            <w:shd w:val="clear" w:color="auto" w:fill="auto"/>
            <w:noWrap/>
            <w:vAlign w:val="center"/>
            <w:hideMark/>
          </w:tcPr>
          <w:p w14:paraId="1FB6F9F6"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-0.2</w:t>
            </w:r>
          </w:p>
        </w:tc>
        <w:tc>
          <w:tcPr>
            <w:tcW w:w="745" w:type="dxa"/>
            <w:shd w:val="clear" w:color="auto" w:fill="auto"/>
            <w:noWrap/>
            <w:vAlign w:val="center"/>
            <w:hideMark/>
          </w:tcPr>
          <w:p w14:paraId="49A008FD"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0.2</w:t>
            </w:r>
          </w:p>
        </w:tc>
      </w:tr>
      <w:tr w:rsidR="003228D9" w:rsidRPr="003228D9" w14:paraId="51DD80ED" w14:textId="77777777" w:rsidTr="00F9032A">
        <w:trPr>
          <w:trHeight w:val="20"/>
          <w:jc w:val="center"/>
        </w:trPr>
        <w:tc>
          <w:tcPr>
            <w:tcW w:w="3725" w:type="dxa"/>
            <w:shd w:val="clear" w:color="auto" w:fill="auto"/>
            <w:vAlign w:val="center"/>
            <w:hideMark/>
          </w:tcPr>
          <w:p w14:paraId="747EFADF"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331 </w:t>
            </w:r>
            <w:proofErr w:type="gramStart"/>
            <w:r w:rsidRPr="00F9032A">
              <w:rPr>
                <w:rFonts w:ascii="Arial" w:eastAsia="Times New Roman" w:hAnsi="Arial" w:cs="Arial"/>
                <w:color w:val="000000"/>
                <w:sz w:val="16"/>
                <w:szCs w:val="16"/>
                <w:lang w:eastAsia="es-MX"/>
              </w:rPr>
              <w:t>Industrias</w:t>
            </w:r>
            <w:proofErr w:type="gramEnd"/>
            <w:r w:rsidRPr="00F9032A">
              <w:rPr>
                <w:rFonts w:ascii="Arial" w:eastAsia="Times New Roman" w:hAnsi="Arial" w:cs="Arial"/>
                <w:color w:val="000000"/>
                <w:sz w:val="16"/>
                <w:szCs w:val="16"/>
                <w:lang w:eastAsia="es-MX"/>
              </w:rPr>
              <w:t xml:space="preserve"> metálicas básicas</w:t>
            </w:r>
          </w:p>
        </w:tc>
        <w:tc>
          <w:tcPr>
            <w:tcW w:w="850" w:type="dxa"/>
            <w:shd w:val="clear" w:color="auto" w:fill="auto"/>
            <w:noWrap/>
            <w:vAlign w:val="center"/>
            <w:hideMark/>
          </w:tcPr>
          <w:p w14:paraId="466B4156"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86.8</w:t>
            </w:r>
          </w:p>
        </w:tc>
        <w:tc>
          <w:tcPr>
            <w:tcW w:w="993" w:type="dxa"/>
            <w:shd w:val="clear" w:color="auto" w:fill="auto"/>
            <w:noWrap/>
            <w:vAlign w:val="center"/>
            <w:hideMark/>
          </w:tcPr>
          <w:p w14:paraId="1BB651B1"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13.2</w:t>
            </w:r>
          </w:p>
        </w:tc>
        <w:tc>
          <w:tcPr>
            <w:tcW w:w="834" w:type="dxa"/>
            <w:shd w:val="clear" w:color="auto" w:fill="auto"/>
            <w:noWrap/>
            <w:vAlign w:val="center"/>
            <w:hideMark/>
          </w:tcPr>
          <w:p w14:paraId="3C68B7C9"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86.3</w:t>
            </w:r>
          </w:p>
        </w:tc>
        <w:tc>
          <w:tcPr>
            <w:tcW w:w="812" w:type="dxa"/>
            <w:shd w:val="clear" w:color="auto" w:fill="auto"/>
            <w:noWrap/>
            <w:vAlign w:val="center"/>
            <w:hideMark/>
          </w:tcPr>
          <w:p w14:paraId="185F749C"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13.7</w:t>
            </w:r>
          </w:p>
        </w:tc>
        <w:tc>
          <w:tcPr>
            <w:tcW w:w="834" w:type="dxa"/>
            <w:shd w:val="clear" w:color="auto" w:fill="auto"/>
            <w:noWrap/>
            <w:vAlign w:val="center"/>
            <w:hideMark/>
          </w:tcPr>
          <w:p w14:paraId="21094F4D"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-0.5</w:t>
            </w:r>
          </w:p>
        </w:tc>
        <w:tc>
          <w:tcPr>
            <w:tcW w:w="745" w:type="dxa"/>
            <w:shd w:val="clear" w:color="auto" w:fill="auto"/>
            <w:noWrap/>
            <w:vAlign w:val="center"/>
            <w:hideMark/>
          </w:tcPr>
          <w:p w14:paraId="7D341383"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0.5</w:t>
            </w:r>
          </w:p>
        </w:tc>
      </w:tr>
      <w:tr w:rsidR="003228D9" w:rsidRPr="003228D9" w14:paraId="1802048A" w14:textId="77777777" w:rsidTr="00F9032A">
        <w:trPr>
          <w:trHeight w:val="20"/>
          <w:jc w:val="center"/>
        </w:trPr>
        <w:tc>
          <w:tcPr>
            <w:tcW w:w="3725" w:type="dxa"/>
            <w:shd w:val="clear" w:color="auto" w:fill="auto"/>
            <w:vAlign w:val="center"/>
            <w:hideMark/>
          </w:tcPr>
          <w:p w14:paraId="39A7D326"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332 </w:t>
            </w:r>
            <w:proofErr w:type="gramStart"/>
            <w:r w:rsidRPr="00F9032A">
              <w:rPr>
                <w:rFonts w:ascii="Arial" w:eastAsia="Times New Roman" w:hAnsi="Arial" w:cs="Arial"/>
                <w:color w:val="000000"/>
                <w:sz w:val="16"/>
                <w:szCs w:val="16"/>
                <w:lang w:eastAsia="es-MX"/>
              </w:rPr>
              <w:t>Fabricación</w:t>
            </w:r>
            <w:proofErr w:type="gramEnd"/>
            <w:r w:rsidRPr="00F9032A">
              <w:rPr>
                <w:rFonts w:ascii="Arial" w:eastAsia="Times New Roman" w:hAnsi="Arial" w:cs="Arial"/>
                <w:color w:val="000000"/>
                <w:sz w:val="16"/>
                <w:szCs w:val="16"/>
                <w:lang w:eastAsia="es-MX"/>
              </w:rPr>
              <w:t xml:space="preserve"> de productos metálicos</w:t>
            </w:r>
          </w:p>
        </w:tc>
        <w:tc>
          <w:tcPr>
            <w:tcW w:w="850" w:type="dxa"/>
            <w:shd w:val="clear" w:color="auto" w:fill="auto"/>
            <w:noWrap/>
            <w:vAlign w:val="center"/>
            <w:hideMark/>
          </w:tcPr>
          <w:p w14:paraId="765C247B"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82.7</w:t>
            </w:r>
          </w:p>
        </w:tc>
        <w:tc>
          <w:tcPr>
            <w:tcW w:w="993" w:type="dxa"/>
            <w:shd w:val="clear" w:color="auto" w:fill="auto"/>
            <w:noWrap/>
            <w:vAlign w:val="center"/>
            <w:hideMark/>
          </w:tcPr>
          <w:p w14:paraId="47F06E0E"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17.3</w:t>
            </w:r>
          </w:p>
        </w:tc>
        <w:tc>
          <w:tcPr>
            <w:tcW w:w="834" w:type="dxa"/>
            <w:shd w:val="clear" w:color="auto" w:fill="auto"/>
            <w:noWrap/>
            <w:vAlign w:val="center"/>
            <w:hideMark/>
          </w:tcPr>
          <w:p w14:paraId="6DBAF429"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82</w:t>
            </w:r>
            <w:r w:rsidR="00A64652" w:rsidRPr="00391DFD">
              <w:rPr>
                <w:rFonts w:ascii="Arial" w:eastAsia="Times New Roman" w:hAnsi="Arial" w:cs="Arial"/>
                <w:color w:val="000000"/>
                <w:sz w:val="14"/>
                <w:szCs w:val="14"/>
                <w:lang w:eastAsia="es-MX"/>
              </w:rPr>
              <w:t>.0</w:t>
            </w:r>
          </w:p>
        </w:tc>
        <w:tc>
          <w:tcPr>
            <w:tcW w:w="812" w:type="dxa"/>
            <w:shd w:val="clear" w:color="auto" w:fill="auto"/>
            <w:noWrap/>
            <w:vAlign w:val="center"/>
            <w:hideMark/>
          </w:tcPr>
          <w:p w14:paraId="3835CA5F"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18</w:t>
            </w:r>
            <w:r w:rsidR="00A64652" w:rsidRPr="00391DFD">
              <w:rPr>
                <w:rFonts w:ascii="Arial" w:eastAsia="Times New Roman" w:hAnsi="Arial" w:cs="Arial"/>
                <w:color w:val="000000"/>
                <w:sz w:val="14"/>
                <w:szCs w:val="14"/>
                <w:lang w:eastAsia="es-MX"/>
              </w:rPr>
              <w:t>.0</w:t>
            </w:r>
          </w:p>
        </w:tc>
        <w:tc>
          <w:tcPr>
            <w:tcW w:w="834" w:type="dxa"/>
            <w:shd w:val="clear" w:color="auto" w:fill="auto"/>
            <w:noWrap/>
            <w:vAlign w:val="center"/>
            <w:hideMark/>
          </w:tcPr>
          <w:p w14:paraId="02A1738F"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-0.7</w:t>
            </w:r>
          </w:p>
        </w:tc>
        <w:tc>
          <w:tcPr>
            <w:tcW w:w="745" w:type="dxa"/>
            <w:shd w:val="clear" w:color="auto" w:fill="auto"/>
            <w:noWrap/>
            <w:vAlign w:val="center"/>
            <w:hideMark/>
          </w:tcPr>
          <w:p w14:paraId="06DAEEA6"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0.7</w:t>
            </w:r>
          </w:p>
        </w:tc>
      </w:tr>
      <w:tr w:rsidR="003228D9" w:rsidRPr="003228D9" w14:paraId="0B316B79" w14:textId="77777777" w:rsidTr="00F9032A">
        <w:trPr>
          <w:trHeight w:val="20"/>
          <w:jc w:val="center"/>
        </w:trPr>
        <w:tc>
          <w:tcPr>
            <w:tcW w:w="3725" w:type="dxa"/>
            <w:shd w:val="clear" w:color="auto" w:fill="auto"/>
            <w:vAlign w:val="center"/>
            <w:hideMark/>
          </w:tcPr>
          <w:p w14:paraId="2074EF60"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333 </w:t>
            </w:r>
            <w:proofErr w:type="gramStart"/>
            <w:r w:rsidRPr="00F9032A">
              <w:rPr>
                <w:rFonts w:ascii="Arial" w:eastAsia="Times New Roman" w:hAnsi="Arial" w:cs="Arial"/>
                <w:color w:val="000000"/>
                <w:sz w:val="16"/>
                <w:szCs w:val="16"/>
                <w:lang w:eastAsia="es-MX"/>
              </w:rPr>
              <w:t>Fabricación</w:t>
            </w:r>
            <w:proofErr w:type="gramEnd"/>
            <w:r w:rsidRPr="00F9032A">
              <w:rPr>
                <w:rFonts w:ascii="Arial" w:eastAsia="Times New Roman" w:hAnsi="Arial" w:cs="Arial"/>
                <w:color w:val="000000"/>
                <w:sz w:val="16"/>
                <w:szCs w:val="16"/>
                <w:lang w:eastAsia="es-MX"/>
              </w:rPr>
              <w:t xml:space="preserve"> de maquinaria y equipo</w:t>
            </w:r>
          </w:p>
        </w:tc>
        <w:tc>
          <w:tcPr>
            <w:tcW w:w="850" w:type="dxa"/>
            <w:shd w:val="clear" w:color="auto" w:fill="auto"/>
            <w:noWrap/>
            <w:vAlign w:val="center"/>
            <w:hideMark/>
          </w:tcPr>
          <w:p w14:paraId="41100AE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76.5</w:t>
            </w:r>
          </w:p>
        </w:tc>
        <w:tc>
          <w:tcPr>
            <w:tcW w:w="993" w:type="dxa"/>
            <w:shd w:val="clear" w:color="auto" w:fill="auto"/>
            <w:noWrap/>
            <w:vAlign w:val="center"/>
            <w:hideMark/>
          </w:tcPr>
          <w:p w14:paraId="1F7E497F"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23.5</w:t>
            </w:r>
          </w:p>
        </w:tc>
        <w:tc>
          <w:tcPr>
            <w:tcW w:w="834" w:type="dxa"/>
            <w:shd w:val="clear" w:color="auto" w:fill="auto"/>
            <w:noWrap/>
            <w:vAlign w:val="center"/>
            <w:hideMark/>
          </w:tcPr>
          <w:p w14:paraId="4AD6509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76.5</w:t>
            </w:r>
          </w:p>
        </w:tc>
        <w:tc>
          <w:tcPr>
            <w:tcW w:w="812" w:type="dxa"/>
            <w:shd w:val="clear" w:color="auto" w:fill="auto"/>
            <w:noWrap/>
            <w:vAlign w:val="center"/>
            <w:hideMark/>
          </w:tcPr>
          <w:p w14:paraId="1ADDDD2A"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23.5</w:t>
            </w:r>
          </w:p>
        </w:tc>
        <w:tc>
          <w:tcPr>
            <w:tcW w:w="834" w:type="dxa"/>
            <w:shd w:val="clear" w:color="auto" w:fill="auto"/>
            <w:noWrap/>
            <w:vAlign w:val="center"/>
            <w:hideMark/>
          </w:tcPr>
          <w:p w14:paraId="4C7A4BDB"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w:t>
            </w:r>
            <w:r w:rsidR="00A64652" w:rsidRPr="00391DFD">
              <w:rPr>
                <w:rFonts w:ascii="Arial" w:eastAsia="Times New Roman" w:hAnsi="Arial" w:cs="Arial"/>
                <w:sz w:val="14"/>
                <w:szCs w:val="14"/>
                <w:lang w:eastAsia="es-MX"/>
              </w:rPr>
              <w:t>.0</w:t>
            </w:r>
          </w:p>
        </w:tc>
        <w:tc>
          <w:tcPr>
            <w:tcW w:w="745" w:type="dxa"/>
            <w:shd w:val="clear" w:color="auto" w:fill="auto"/>
            <w:noWrap/>
            <w:vAlign w:val="center"/>
            <w:hideMark/>
          </w:tcPr>
          <w:p w14:paraId="0ABCE1DC"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w:t>
            </w:r>
            <w:r w:rsidR="00A64652" w:rsidRPr="00391DFD">
              <w:rPr>
                <w:rFonts w:ascii="Arial" w:eastAsia="Times New Roman" w:hAnsi="Arial" w:cs="Arial"/>
                <w:sz w:val="14"/>
                <w:szCs w:val="14"/>
                <w:lang w:eastAsia="es-MX"/>
              </w:rPr>
              <w:t>.0</w:t>
            </w:r>
          </w:p>
        </w:tc>
      </w:tr>
      <w:tr w:rsidR="003228D9" w:rsidRPr="003228D9" w14:paraId="58196B8D" w14:textId="77777777" w:rsidTr="00F9032A">
        <w:trPr>
          <w:trHeight w:val="20"/>
          <w:jc w:val="center"/>
        </w:trPr>
        <w:tc>
          <w:tcPr>
            <w:tcW w:w="3725" w:type="dxa"/>
            <w:shd w:val="clear" w:color="auto" w:fill="auto"/>
            <w:vAlign w:val="center"/>
            <w:hideMark/>
          </w:tcPr>
          <w:p w14:paraId="01F4BD6E"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334 </w:t>
            </w:r>
            <w:proofErr w:type="gramStart"/>
            <w:r w:rsidRPr="00F9032A">
              <w:rPr>
                <w:rFonts w:ascii="Arial" w:eastAsia="Times New Roman" w:hAnsi="Arial" w:cs="Arial"/>
                <w:color w:val="000000"/>
                <w:sz w:val="16"/>
                <w:szCs w:val="16"/>
                <w:lang w:eastAsia="es-MX"/>
              </w:rPr>
              <w:t>Fabricación</w:t>
            </w:r>
            <w:proofErr w:type="gramEnd"/>
            <w:r w:rsidRPr="00F9032A">
              <w:rPr>
                <w:rFonts w:ascii="Arial" w:eastAsia="Times New Roman" w:hAnsi="Arial" w:cs="Arial"/>
                <w:color w:val="000000"/>
                <w:sz w:val="16"/>
                <w:szCs w:val="16"/>
                <w:lang w:eastAsia="es-MX"/>
              </w:rPr>
              <w:t xml:space="preserve"> de equipo de computación</w:t>
            </w:r>
          </w:p>
        </w:tc>
        <w:tc>
          <w:tcPr>
            <w:tcW w:w="850" w:type="dxa"/>
            <w:shd w:val="clear" w:color="auto" w:fill="auto"/>
            <w:noWrap/>
            <w:vAlign w:val="center"/>
            <w:hideMark/>
          </w:tcPr>
          <w:p w14:paraId="2513C87B"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48.5</w:t>
            </w:r>
          </w:p>
        </w:tc>
        <w:tc>
          <w:tcPr>
            <w:tcW w:w="993" w:type="dxa"/>
            <w:shd w:val="clear" w:color="auto" w:fill="auto"/>
            <w:noWrap/>
            <w:vAlign w:val="center"/>
            <w:hideMark/>
          </w:tcPr>
          <w:p w14:paraId="02FECDEA"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51.5</w:t>
            </w:r>
          </w:p>
        </w:tc>
        <w:tc>
          <w:tcPr>
            <w:tcW w:w="834" w:type="dxa"/>
            <w:shd w:val="clear" w:color="auto" w:fill="auto"/>
            <w:noWrap/>
            <w:vAlign w:val="center"/>
            <w:hideMark/>
          </w:tcPr>
          <w:p w14:paraId="042E291B"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48.4</w:t>
            </w:r>
          </w:p>
        </w:tc>
        <w:tc>
          <w:tcPr>
            <w:tcW w:w="812" w:type="dxa"/>
            <w:shd w:val="clear" w:color="auto" w:fill="auto"/>
            <w:noWrap/>
            <w:vAlign w:val="center"/>
            <w:hideMark/>
          </w:tcPr>
          <w:p w14:paraId="79EBB2E5"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51.6</w:t>
            </w:r>
          </w:p>
        </w:tc>
        <w:tc>
          <w:tcPr>
            <w:tcW w:w="834" w:type="dxa"/>
            <w:shd w:val="clear" w:color="auto" w:fill="auto"/>
            <w:noWrap/>
            <w:vAlign w:val="center"/>
            <w:hideMark/>
          </w:tcPr>
          <w:p w14:paraId="623AF3F7"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-0.1</w:t>
            </w:r>
          </w:p>
        </w:tc>
        <w:tc>
          <w:tcPr>
            <w:tcW w:w="745" w:type="dxa"/>
            <w:shd w:val="clear" w:color="auto" w:fill="auto"/>
            <w:noWrap/>
            <w:vAlign w:val="center"/>
            <w:hideMark/>
          </w:tcPr>
          <w:p w14:paraId="0AAE344F"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0.1</w:t>
            </w:r>
          </w:p>
        </w:tc>
      </w:tr>
      <w:tr w:rsidR="003228D9" w:rsidRPr="003228D9" w14:paraId="253705B2" w14:textId="77777777" w:rsidTr="00F9032A">
        <w:trPr>
          <w:trHeight w:val="20"/>
          <w:jc w:val="center"/>
        </w:trPr>
        <w:tc>
          <w:tcPr>
            <w:tcW w:w="3725" w:type="dxa"/>
            <w:shd w:val="clear" w:color="auto" w:fill="auto"/>
            <w:vAlign w:val="center"/>
            <w:hideMark/>
          </w:tcPr>
          <w:p w14:paraId="623FEA8B"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335 </w:t>
            </w:r>
            <w:proofErr w:type="gramStart"/>
            <w:r w:rsidRPr="00F9032A">
              <w:rPr>
                <w:rFonts w:ascii="Arial" w:eastAsia="Times New Roman" w:hAnsi="Arial" w:cs="Arial"/>
                <w:color w:val="000000"/>
                <w:sz w:val="16"/>
                <w:szCs w:val="16"/>
                <w:lang w:eastAsia="es-MX"/>
              </w:rPr>
              <w:t>Fabricación</w:t>
            </w:r>
            <w:proofErr w:type="gramEnd"/>
            <w:r w:rsidRPr="00F9032A">
              <w:rPr>
                <w:rFonts w:ascii="Arial" w:eastAsia="Times New Roman" w:hAnsi="Arial" w:cs="Arial"/>
                <w:color w:val="000000"/>
                <w:sz w:val="16"/>
                <w:szCs w:val="16"/>
                <w:lang w:eastAsia="es-MX"/>
              </w:rPr>
              <w:t xml:space="preserve"> de aparatos eléctricos</w:t>
            </w:r>
          </w:p>
        </w:tc>
        <w:tc>
          <w:tcPr>
            <w:tcW w:w="850" w:type="dxa"/>
            <w:shd w:val="clear" w:color="auto" w:fill="auto"/>
            <w:noWrap/>
            <w:vAlign w:val="center"/>
            <w:hideMark/>
          </w:tcPr>
          <w:p w14:paraId="4915CD08"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61.9</w:t>
            </w:r>
          </w:p>
        </w:tc>
        <w:tc>
          <w:tcPr>
            <w:tcW w:w="993" w:type="dxa"/>
            <w:shd w:val="clear" w:color="auto" w:fill="auto"/>
            <w:noWrap/>
            <w:vAlign w:val="center"/>
            <w:hideMark/>
          </w:tcPr>
          <w:p w14:paraId="64679361"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38.1</w:t>
            </w:r>
          </w:p>
        </w:tc>
        <w:tc>
          <w:tcPr>
            <w:tcW w:w="834" w:type="dxa"/>
            <w:shd w:val="clear" w:color="auto" w:fill="auto"/>
            <w:noWrap/>
            <w:vAlign w:val="center"/>
            <w:hideMark/>
          </w:tcPr>
          <w:p w14:paraId="748DEA85"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61.7</w:t>
            </w:r>
          </w:p>
        </w:tc>
        <w:tc>
          <w:tcPr>
            <w:tcW w:w="812" w:type="dxa"/>
            <w:shd w:val="clear" w:color="auto" w:fill="auto"/>
            <w:noWrap/>
            <w:vAlign w:val="center"/>
            <w:hideMark/>
          </w:tcPr>
          <w:p w14:paraId="036ADAF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38.3</w:t>
            </w:r>
          </w:p>
        </w:tc>
        <w:tc>
          <w:tcPr>
            <w:tcW w:w="834" w:type="dxa"/>
            <w:shd w:val="clear" w:color="auto" w:fill="auto"/>
            <w:noWrap/>
            <w:vAlign w:val="center"/>
            <w:hideMark/>
          </w:tcPr>
          <w:p w14:paraId="355E154F"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-0.2</w:t>
            </w:r>
          </w:p>
        </w:tc>
        <w:tc>
          <w:tcPr>
            <w:tcW w:w="745" w:type="dxa"/>
            <w:shd w:val="clear" w:color="auto" w:fill="auto"/>
            <w:noWrap/>
            <w:vAlign w:val="center"/>
            <w:hideMark/>
          </w:tcPr>
          <w:p w14:paraId="756455A8"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0.2</w:t>
            </w:r>
          </w:p>
        </w:tc>
      </w:tr>
      <w:tr w:rsidR="003228D9" w:rsidRPr="003228D9" w14:paraId="723AB020" w14:textId="77777777" w:rsidTr="00F9032A">
        <w:trPr>
          <w:trHeight w:val="20"/>
          <w:jc w:val="center"/>
        </w:trPr>
        <w:tc>
          <w:tcPr>
            <w:tcW w:w="3725" w:type="dxa"/>
            <w:shd w:val="clear" w:color="auto" w:fill="auto"/>
            <w:vAlign w:val="center"/>
            <w:hideMark/>
          </w:tcPr>
          <w:p w14:paraId="4AE23449"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336 </w:t>
            </w:r>
            <w:proofErr w:type="gramStart"/>
            <w:r w:rsidRPr="00F9032A">
              <w:rPr>
                <w:rFonts w:ascii="Arial" w:eastAsia="Times New Roman" w:hAnsi="Arial" w:cs="Arial"/>
                <w:color w:val="000000"/>
                <w:sz w:val="16"/>
                <w:szCs w:val="16"/>
                <w:lang w:eastAsia="es-MX"/>
              </w:rPr>
              <w:t>Fabricación</w:t>
            </w:r>
            <w:proofErr w:type="gramEnd"/>
            <w:r w:rsidRPr="00F9032A">
              <w:rPr>
                <w:rFonts w:ascii="Arial" w:eastAsia="Times New Roman" w:hAnsi="Arial" w:cs="Arial"/>
                <w:color w:val="000000"/>
                <w:sz w:val="16"/>
                <w:szCs w:val="16"/>
                <w:lang w:eastAsia="es-MX"/>
              </w:rPr>
              <w:t xml:space="preserve"> de equipo de transporte</w:t>
            </w:r>
          </w:p>
        </w:tc>
        <w:tc>
          <w:tcPr>
            <w:tcW w:w="850" w:type="dxa"/>
            <w:shd w:val="clear" w:color="auto" w:fill="auto"/>
            <w:noWrap/>
            <w:vAlign w:val="center"/>
            <w:hideMark/>
          </w:tcPr>
          <w:p w14:paraId="62FCBE51"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62.7</w:t>
            </w:r>
          </w:p>
        </w:tc>
        <w:tc>
          <w:tcPr>
            <w:tcW w:w="993" w:type="dxa"/>
            <w:shd w:val="clear" w:color="auto" w:fill="auto"/>
            <w:noWrap/>
            <w:vAlign w:val="center"/>
            <w:hideMark/>
          </w:tcPr>
          <w:p w14:paraId="151E158D"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37.3</w:t>
            </w:r>
          </w:p>
        </w:tc>
        <w:tc>
          <w:tcPr>
            <w:tcW w:w="834" w:type="dxa"/>
            <w:shd w:val="clear" w:color="auto" w:fill="auto"/>
            <w:noWrap/>
            <w:vAlign w:val="center"/>
            <w:hideMark/>
          </w:tcPr>
          <w:p w14:paraId="3E2D79D2"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62.3</w:t>
            </w:r>
          </w:p>
        </w:tc>
        <w:tc>
          <w:tcPr>
            <w:tcW w:w="812" w:type="dxa"/>
            <w:shd w:val="clear" w:color="auto" w:fill="auto"/>
            <w:noWrap/>
            <w:vAlign w:val="center"/>
            <w:hideMark/>
          </w:tcPr>
          <w:p w14:paraId="71A73E95"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37.7</w:t>
            </w:r>
          </w:p>
        </w:tc>
        <w:tc>
          <w:tcPr>
            <w:tcW w:w="834" w:type="dxa"/>
            <w:shd w:val="clear" w:color="auto" w:fill="auto"/>
            <w:noWrap/>
            <w:vAlign w:val="center"/>
            <w:hideMark/>
          </w:tcPr>
          <w:p w14:paraId="3818DD67"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-0.4</w:t>
            </w:r>
          </w:p>
        </w:tc>
        <w:tc>
          <w:tcPr>
            <w:tcW w:w="745" w:type="dxa"/>
            <w:shd w:val="clear" w:color="auto" w:fill="auto"/>
            <w:noWrap/>
            <w:vAlign w:val="center"/>
            <w:hideMark/>
          </w:tcPr>
          <w:p w14:paraId="2CF29B40"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0.4</w:t>
            </w:r>
          </w:p>
        </w:tc>
      </w:tr>
      <w:tr w:rsidR="003228D9" w:rsidRPr="003228D9" w14:paraId="1DDC67FB" w14:textId="77777777" w:rsidTr="00F9032A">
        <w:trPr>
          <w:trHeight w:val="20"/>
          <w:jc w:val="center"/>
        </w:trPr>
        <w:tc>
          <w:tcPr>
            <w:tcW w:w="3725" w:type="dxa"/>
            <w:shd w:val="clear" w:color="auto" w:fill="auto"/>
            <w:vAlign w:val="center"/>
            <w:hideMark/>
          </w:tcPr>
          <w:p w14:paraId="5083BF93"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337 </w:t>
            </w:r>
            <w:proofErr w:type="gramStart"/>
            <w:r w:rsidRPr="00F9032A">
              <w:rPr>
                <w:rFonts w:ascii="Arial" w:eastAsia="Times New Roman" w:hAnsi="Arial" w:cs="Arial"/>
                <w:color w:val="000000"/>
                <w:sz w:val="16"/>
                <w:szCs w:val="16"/>
                <w:lang w:eastAsia="es-MX"/>
              </w:rPr>
              <w:t>Fabricación</w:t>
            </w:r>
            <w:proofErr w:type="gramEnd"/>
            <w:r w:rsidRPr="00F9032A">
              <w:rPr>
                <w:rFonts w:ascii="Arial" w:eastAsia="Times New Roman" w:hAnsi="Arial" w:cs="Arial"/>
                <w:color w:val="000000"/>
                <w:sz w:val="16"/>
                <w:szCs w:val="16"/>
                <w:lang w:eastAsia="es-MX"/>
              </w:rPr>
              <w:t xml:space="preserve"> de muebles</w:t>
            </w:r>
          </w:p>
        </w:tc>
        <w:tc>
          <w:tcPr>
            <w:tcW w:w="850" w:type="dxa"/>
            <w:shd w:val="clear" w:color="auto" w:fill="auto"/>
            <w:noWrap/>
            <w:vAlign w:val="center"/>
            <w:hideMark/>
          </w:tcPr>
          <w:p w14:paraId="69593F4B"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71.2</w:t>
            </w:r>
          </w:p>
        </w:tc>
        <w:tc>
          <w:tcPr>
            <w:tcW w:w="993" w:type="dxa"/>
            <w:shd w:val="clear" w:color="auto" w:fill="auto"/>
            <w:noWrap/>
            <w:vAlign w:val="center"/>
            <w:hideMark/>
          </w:tcPr>
          <w:p w14:paraId="1FDE18BC"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28.8</w:t>
            </w:r>
          </w:p>
        </w:tc>
        <w:tc>
          <w:tcPr>
            <w:tcW w:w="834" w:type="dxa"/>
            <w:shd w:val="clear" w:color="auto" w:fill="auto"/>
            <w:noWrap/>
            <w:vAlign w:val="center"/>
            <w:hideMark/>
          </w:tcPr>
          <w:p w14:paraId="26679AC6"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69.7</w:t>
            </w:r>
          </w:p>
        </w:tc>
        <w:tc>
          <w:tcPr>
            <w:tcW w:w="812" w:type="dxa"/>
            <w:shd w:val="clear" w:color="auto" w:fill="auto"/>
            <w:noWrap/>
            <w:vAlign w:val="center"/>
            <w:hideMark/>
          </w:tcPr>
          <w:p w14:paraId="6FA9536D"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30.3</w:t>
            </w:r>
          </w:p>
        </w:tc>
        <w:tc>
          <w:tcPr>
            <w:tcW w:w="834" w:type="dxa"/>
            <w:shd w:val="clear" w:color="auto" w:fill="auto"/>
            <w:noWrap/>
            <w:vAlign w:val="center"/>
            <w:hideMark/>
          </w:tcPr>
          <w:p w14:paraId="4DF270F6"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-1.5</w:t>
            </w:r>
          </w:p>
        </w:tc>
        <w:tc>
          <w:tcPr>
            <w:tcW w:w="745" w:type="dxa"/>
            <w:shd w:val="clear" w:color="auto" w:fill="auto"/>
            <w:noWrap/>
            <w:vAlign w:val="center"/>
            <w:hideMark/>
          </w:tcPr>
          <w:p w14:paraId="68E46AA7"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1.5</w:t>
            </w:r>
          </w:p>
        </w:tc>
      </w:tr>
      <w:tr w:rsidR="003228D9" w:rsidRPr="003228D9" w14:paraId="1F15A6BE" w14:textId="77777777" w:rsidTr="00F9032A">
        <w:trPr>
          <w:trHeight w:val="20"/>
          <w:jc w:val="center"/>
        </w:trPr>
        <w:tc>
          <w:tcPr>
            <w:tcW w:w="3725" w:type="dxa"/>
            <w:shd w:val="clear" w:color="auto" w:fill="auto"/>
            <w:vAlign w:val="center"/>
            <w:hideMark/>
          </w:tcPr>
          <w:p w14:paraId="2B8DBD76" w14:textId="77777777" w:rsidR="003228D9" w:rsidRPr="00F9032A" w:rsidRDefault="003228D9" w:rsidP="00A64652">
            <w:pPr>
              <w:spacing w:after="0" w:line="240" w:lineRule="auto"/>
              <w:rPr>
                <w:rFonts w:ascii="Arial" w:eastAsia="Times New Roman" w:hAnsi="Arial" w:cs="Arial"/>
                <w:color w:val="000000"/>
                <w:sz w:val="16"/>
                <w:szCs w:val="16"/>
                <w:lang w:eastAsia="es-MX"/>
              </w:rPr>
            </w:pPr>
            <w:r w:rsidRPr="00F9032A">
              <w:rPr>
                <w:rFonts w:ascii="Arial" w:eastAsia="Times New Roman" w:hAnsi="Arial" w:cs="Arial"/>
                <w:color w:val="000000"/>
                <w:sz w:val="16"/>
                <w:szCs w:val="16"/>
                <w:lang w:eastAsia="es-MX"/>
              </w:rPr>
              <w:t xml:space="preserve">339 </w:t>
            </w:r>
            <w:proofErr w:type="gramStart"/>
            <w:r w:rsidRPr="00F9032A">
              <w:rPr>
                <w:rFonts w:ascii="Arial" w:eastAsia="Times New Roman" w:hAnsi="Arial" w:cs="Arial"/>
                <w:color w:val="000000"/>
                <w:sz w:val="16"/>
                <w:szCs w:val="16"/>
                <w:lang w:eastAsia="es-MX"/>
              </w:rPr>
              <w:t>Otras</w:t>
            </w:r>
            <w:proofErr w:type="gramEnd"/>
            <w:r w:rsidRPr="00F9032A">
              <w:rPr>
                <w:rFonts w:ascii="Arial" w:eastAsia="Times New Roman" w:hAnsi="Arial" w:cs="Arial"/>
                <w:color w:val="000000"/>
                <w:sz w:val="16"/>
                <w:szCs w:val="16"/>
                <w:lang w:eastAsia="es-MX"/>
              </w:rPr>
              <w:t xml:space="preserve"> industrias manufactureras</w:t>
            </w:r>
          </w:p>
        </w:tc>
        <w:tc>
          <w:tcPr>
            <w:tcW w:w="850" w:type="dxa"/>
            <w:shd w:val="clear" w:color="auto" w:fill="auto"/>
            <w:noWrap/>
            <w:vAlign w:val="center"/>
            <w:hideMark/>
          </w:tcPr>
          <w:p w14:paraId="77AA10F6"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45.6</w:t>
            </w:r>
          </w:p>
        </w:tc>
        <w:tc>
          <w:tcPr>
            <w:tcW w:w="993" w:type="dxa"/>
            <w:shd w:val="clear" w:color="auto" w:fill="auto"/>
            <w:noWrap/>
            <w:vAlign w:val="center"/>
            <w:hideMark/>
          </w:tcPr>
          <w:p w14:paraId="525996F1"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54.4</w:t>
            </w:r>
          </w:p>
        </w:tc>
        <w:tc>
          <w:tcPr>
            <w:tcW w:w="834" w:type="dxa"/>
            <w:shd w:val="clear" w:color="auto" w:fill="auto"/>
            <w:noWrap/>
            <w:vAlign w:val="center"/>
            <w:hideMark/>
          </w:tcPr>
          <w:p w14:paraId="520072D7"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45.1</w:t>
            </w:r>
          </w:p>
        </w:tc>
        <w:tc>
          <w:tcPr>
            <w:tcW w:w="812" w:type="dxa"/>
            <w:shd w:val="clear" w:color="auto" w:fill="auto"/>
            <w:noWrap/>
            <w:vAlign w:val="center"/>
            <w:hideMark/>
          </w:tcPr>
          <w:p w14:paraId="76429365" w14:textId="77777777" w:rsidR="003228D9" w:rsidRPr="00391DFD" w:rsidRDefault="003228D9" w:rsidP="00A64652">
            <w:pPr>
              <w:spacing w:after="0" w:line="240" w:lineRule="auto"/>
              <w:jc w:val="center"/>
              <w:rPr>
                <w:rFonts w:ascii="Arial" w:eastAsia="Times New Roman" w:hAnsi="Arial" w:cs="Arial"/>
                <w:color w:val="000000"/>
                <w:sz w:val="14"/>
                <w:szCs w:val="14"/>
                <w:lang w:eastAsia="es-MX"/>
              </w:rPr>
            </w:pPr>
            <w:r w:rsidRPr="00391DFD">
              <w:rPr>
                <w:rFonts w:ascii="Arial" w:eastAsia="Times New Roman" w:hAnsi="Arial" w:cs="Arial"/>
                <w:color w:val="000000"/>
                <w:sz w:val="14"/>
                <w:szCs w:val="14"/>
                <w:lang w:eastAsia="es-MX"/>
              </w:rPr>
              <w:t>54.9</w:t>
            </w:r>
          </w:p>
        </w:tc>
        <w:tc>
          <w:tcPr>
            <w:tcW w:w="834" w:type="dxa"/>
            <w:shd w:val="clear" w:color="auto" w:fill="auto"/>
            <w:noWrap/>
            <w:vAlign w:val="center"/>
            <w:hideMark/>
          </w:tcPr>
          <w:p w14:paraId="731D7C1B"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-0.5</w:t>
            </w:r>
          </w:p>
        </w:tc>
        <w:tc>
          <w:tcPr>
            <w:tcW w:w="745" w:type="dxa"/>
            <w:shd w:val="clear" w:color="auto" w:fill="auto"/>
            <w:noWrap/>
            <w:vAlign w:val="center"/>
            <w:hideMark/>
          </w:tcPr>
          <w:p w14:paraId="4D2EFFBC" w14:textId="77777777" w:rsidR="003228D9" w:rsidRPr="00391DFD" w:rsidRDefault="003228D9" w:rsidP="00A64652">
            <w:pPr>
              <w:spacing w:after="0" w:line="240" w:lineRule="auto"/>
              <w:jc w:val="center"/>
              <w:rPr>
                <w:rFonts w:ascii="Arial" w:eastAsia="Times New Roman" w:hAnsi="Arial" w:cs="Arial"/>
                <w:sz w:val="14"/>
                <w:szCs w:val="14"/>
                <w:lang w:eastAsia="es-MX"/>
              </w:rPr>
            </w:pPr>
            <w:r w:rsidRPr="00391DFD">
              <w:rPr>
                <w:rFonts w:ascii="Arial" w:eastAsia="Times New Roman" w:hAnsi="Arial" w:cs="Arial"/>
                <w:sz w:val="14"/>
                <w:szCs w:val="14"/>
                <w:lang w:eastAsia="es-MX"/>
              </w:rPr>
              <w:t>0.5</w:t>
            </w:r>
          </w:p>
        </w:tc>
      </w:tr>
    </w:tbl>
    <w:p w14:paraId="1CAA7987" w14:textId="77777777" w:rsidR="001576B8" w:rsidRDefault="00CC0198" w:rsidP="00F9032A">
      <w:pPr>
        <w:pStyle w:val="Default"/>
        <w:rPr>
          <w:color w:val="auto"/>
          <w:sz w:val="16"/>
          <w:szCs w:val="16"/>
          <w:lang w:eastAsia="es-MX"/>
        </w:rPr>
      </w:pPr>
      <w:r w:rsidRPr="00A341C6">
        <w:rPr>
          <w:bCs/>
          <w:sz w:val="16"/>
          <w:szCs w:val="16"/>
          <w:vertAlign w:val="superscript"/>
          <w:lang w:eastAsia="es-MX"/>
        </w:rPr>
        <w:t>p</w:t>
      </w:r>
      <w:r w:rsidRPr="00A341C6">
        <w:rPr>
          <w:bCs/>
          <w:color w:val="auto"/>
          <w:sz w:val="16"/>
          <w:szCs w:val="16"/>
          <w:vertAlign w:val="superscript"/>
          <w:lang w:eastAsia="es-MX"/>
        </w:rPr>
        <w:t>/</w:t>
      </w:r>
      <w:r w:rsidR="0003202F">
        <w:rPr>
          <w:bCs/>
          <w:color w:val="auto"/>
          <w:sz w:val="16"/>
          <w:szCs w:val="16"/>
          <w:vertAlign w:val="superscript"/>
          <w:lang w:eastAsia="es-MX"/>
        </w:rPr>
        <w:t xml:space="preserve"> </w:t>
      </w:r>
      <w:r w:rsidR="003E4387">
        <w:rPr>
          <w:color w:val="auto"/>
          <w:sz w:val="16"/>
          <w:szCs w:val="16"/>
          <w:lang w:eastAsia="es-MX"/>
        </w:rPr>
        <w:t>Cifras preliminares</w:t>
      </w:r>
      <w:r w:rsidR="00570B57">
        <w:rPr>
          <w:color w:val="auto"/>
          <w:sz w:val="16"/>
          <w:szCs w:val="16"/>
          <w:lang w:eastAsia="es-MX"/>
        </w:rPr>
        <w:t xml:space="preserve">. </w:t>
      </w:r>
    </w:p>
    <w:p w14:paraId="5304F3DA" w14:textId="77777777" w:rsidR="00CC0198" w:rsidRPr="00A341C6" w:rsidRDefault="00CC0198" w:rsidP="00F9032A">
      <w:pPr>
        <w:pStyle w:val="Default"/>
        <w:rPr>
          <w:color w:val="auto"/>
          <w:sz w:val="16"/>
          <w:lang w:eastAsia="es-MX"/>
        </w:rPr>
      </w:pPr>
      <w:r w:rsidRPr="00A341C6">
        <w:rPr>
          <w:color w:val="auto"/>
          <w:sz w:val="16"/>
          <w:lang w:eastAsia="es-MX"/>
        </w:rPr>
        <w:t xml:space="preserve">Fuente: </w:t>
      </w:r>
      <w:r w:rsidRPr="00A341C6">
        <w:rPr>
          <w:b/>
          <w:color w:val="auto"/>
          <w:sz w:val="16"/>
          <w:lang w:eastAsia="es-MX"/>
        </w:rPr>
        <w:t>INEGI</w:t>
      </w:r>
      <w:r w:rsidR="003B090A">
        <w:rPr>
          <w:b/>
          <w:color w:val="auto"/>
          <w:sz w:val="16"/>
          <w:lang w:eastAsia="es-MX"/>
        </w:rPr>
        <w:t>.</w:t>
      </w:r>
    </w:p>
    <w:p w14:paraId="000BDACD" w14:textId="77777777" w:rsidR="00E3399B" w:rsidRDefault="00E3399B" w:rsidP="009C4A76">
      <w:pPr>
        <w:pStyle w:val="Default"/>
        <w:jc w:val="center"/>
        <w:rPr>
          <w:b/>
          <w:color w:val="auto"/>
          <w:sz w:val="22"/>
          <w:lang w:eastAsia="es-MX"/>
        </w:rPr>
      </w:pPr>
    </w:p>
    <w:p w14:paraId="61D58D76" w14:textId="77777777" w:rsidR="00953B6A" w:rsidRDefault="00823D73" w:rsidP="00953B6A">
      <w:pPr>
        <w:pStyle w:val="Default"/>
        <w:jc w:val="both"/>
        <w:rPr>
          <w:bCs/>
          <w:color w:val="auto"/>
          <w:sz w:val="22"/>
          <w:lang w:eastAsia="es-MX"/>
        </w:rPr>
      </w:pPr>
      <w:r>
        <w:rPr>
          <w:bCs/>
          <w:color w:val="auto"/>
          <w:sz w:val="22"/>
          <w:lang w:eastAsia="es-MX"/>
        </w:rPr>
        <w:t>A nivel de las i</w:t>
      </w:r>
      <w:r w:rsidR="00953B6A" w:rsidRPr="00537E07">
        <w:rPr>
          <w:bCs/>
          <w:color w:val="auto"/>
          <w:sz w:val="22"/>
          <w:lang w:eastAsia="es-MX"/>
        </w:rPr>
        <w:t>ndustrias manufactureras, la composición del personal ocupado entre hombres y mujeres se mantiene en el periodo 2019-2020, participando las mujeres con un poco más de una tercera parte del total</w:t>
      </w:r>
      <w:r w:rsidR="00953B6A">
        <w:rPr>
          <w:bCs/>
          <w:color w:val="auto"/>
          <w:sz w:val="22"/>
          <w:lang w:eastAsia="es-MX"/>
        </w:rPr>
        <w:t>, 36.1% y 36.4% para cada año de forma respectiva.</w:t>
      </w:r>
    </w:p>
    <w:p w14:paraId="58A0E167" w14:textId="77777777" w:rsidR="007257F9" w:rsidRDefault="007257F9" w:rsidP="00953B6A">
      <w:pPr>
        <w:pStyle w:val="Default"/>
        <w:jc w:val="both"/>
        <w:rPr>
          <w:bCs/>
          <w:color w:val="auto"/>
          <w:sz w:val="22"/>
          <w:lang w:eastAsia="es-MX"/>
        </w:rPr>
      </w:pPr>
    </w:p>
    <w:p w14:paraId="2EF4055C" w14:textId="77777777" w:rsidR="00C50150" w:rsidRPr="00A341C6" w:rsidRDefault="00C50150" w:rsidP="00C50150">
      <w:pPr>
        <w:pStyle w:val="Default"/>
        <w:jc w:val="center"/>
        <w:rPr>
          <w:b/>
          <w:color w:val="auto"/>
          <w:sz w:val="22"/>
          <w:lang w:eastAsia="es-MX"/>
        </w:rPr>
      </w:pPr>
      <w:r w:rsidRPr="00A341C6">
        <w:rPr>
          <w:b/>
          <w:color w:val="auto"/>
          <w:sz w:val="22"/>
          <w:lang w:eastAsia="es-MX"/>
        </w:rPr>
        <w:t xml:space="preserve">Gráfica </w:t>
      </w:r>
      <w:r w:rsidR="00CB66FA">
        <w:rPr>
          <w:b/>
          <w:color w:val="auto"/>
          <w:sz w:val="22"/>
          <w:lang w:eastAsia="es-MX"/>
        </w:rPr>
        <w:t>1</w:t>
      </w:r>
    </w:p>
    <w:p w14:paraId="627E6533" w14:textId="77777777" w:rsidR="00C50150" w:rsidRDefault="00C50150" w:rsidP="007257F9">
      <w:pPr>
        <w:pStyle w:val="Default"/>
        <w:ind w:hanging="142"/>
        <w:jc w:val="center"/>
        <w:rPr>
          <w:b/>
          <w:color w:val="auto"/>
          <w:sz w:val="22"/>
          <w:lang w:eastAsia="es-MX"/>
        </w:rPr>
      </w:pPr>
      <w:r w:rsidRPr="00A341C6">
        <w:rPr>
          <w:b/>
          <w:color w:val="auto"/>
          <w:sz w:val="22"/>
          <w:lang w:eastAsia="es-MX"/>
        </w:rPr>
        <w:t xml:space="preserve"> Participación del personal ocupado total de las </w:t>
      </w:r>
      <w:r w:rsidR="00823D73">
        <w:rPr>
          <w:b/>
          <w:color w:val="auto"/>
          <w:sz w:val="22"/>
          <w:lang w:eastAsia="es-MX"/>
        </w:rPr>
        <w:t>i</w:t>
      </w:r>
      <w:r w:rsidRPr="00A341C6">
        <w:rPr>
          <w:b/>
          <w:color w:val="auto"/>
          <w:sz w:val="22"/>
          <w:lang w:eastAsia="es-MX"/>
        </w:rPr>
        <w:t xml:space="preserve">ndustrias manufactureras </w:t>
      </w:r>
      <w:r w:rsidRPr="0068146B">
        <w:rPr>
          <w:b/>
          <w:color w:val="auto"/>
          <w:sz w:val="22"/>
          <w:lang w:eastAsia="es-MX"/>
        </w:rPr>
        <w:t>por s</w:t>
      </w:r>
      <w:r w:rsidRPr="00A341C6">
        <w:rPr>
          <w:b/>
          <w:color w:val="auto"/>
          <w:sz w:val="22"/>
          <w:lang w:eastAsia="es-MX"/>
        </w:rPr>
        <w:t>exo</w:t>
      </w:r>
    </w:p>
    <w:p w14:paraId="25FD3A02" w14:textId="77777777" w:rsidR="00DB5229" w:rsidRPr="00A341C6" w:rsidRDefault="007257F9" w:rsidP="007257F9">
      <w:pPr>
        <w:pStyle w:val="Default"/>
        <w:ind w:hanging="142"/>
        <w:jc w:val="center"/>
        <w:rPr>
          <w:b/>
          <w:color w:val="auto"/>
          <w:sz w:val="22"/>
          <w:lang w:eastAsia="es-MX"/>
        </w:rPr>
      </w:pPr>
      <w:r w:rsidRPr="00A341C6">
        <w:rPr>
          <w:noProof/>
          <w:lang w:eastAsia="es-MX"/>
        </w:rPr>
        <w:drawing>
          <wp:anchor distT="0" distB="0" distL="114300" distR="114300" simplePos="0" relativeHeight="251659264" behindDoc="1" locked="0" layoutInCell="1" allowOverlap="1" wp14:anchorId="66F7B97D" wp14:editId="4893F0E9">
            <wp:simplePos x="0" y="0"/>
            <wp:positionH relativeFrom="margin">
              <wp:posOffset>548640</wp:posOffset>
            </wp:positionH>
            <wp:positionV relativeFrom="paragraph">
              <wp:posOffset>165100</wp:posOffset>
            </wp:positionV>
            <wp:extent cx="4448175" cy="1771650"/>
            <wp:effectExtent l="0" t="0" r="0" b="0"/>
            <wp:wrapTopAndBottom/>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margin">
              <wp14:pctWidth>0</wp14:pctWidth>
            </wp14:sizeRelH>
            <wp14:sizeRelV relativeFrom="margin">
              <wp14:pctHeight>0</wp14:pctHeight>
            </wp14:sizeRelV>
          </wp:anchor>
        </w:drawing>
      </w:r>
      <w:r w:rsidR="00DB5229">
        <w:rPr>
          <w:b/>
          <w:color w:val="auto"/>
          <w:sz w:val="22"/>
          <w:lang w:eastAsia="es-MX"/>
        </w:rPr>
        <w:t>(Porcentaje)</w:t>
      </w:r>
    </w:p>
    <w:p w14:paraId="7EA72874" w14:textId="77777777" w:rsidR="00C160BD" w:rsidRDefault="00C50150" w:rsidP="00C160BD">
      <w:pPr>
        <w:spacing w:after="0" w:line="240" w:lineRule="auto"/>
        <w:ind w:left="851"/>
        <w:rPr>
          <w:sz w:val="16"/>
          <w:lang w:eastAsia="es-MX"/>
        </w:rPr>
      </w:pPr>
      <w:r w:rsidRPr="00A341C6">
        <w:rPr>
          <w:noProof/>
          <w:lang w:eastAsia="es-MX"/>
        </w:rPr>
        <w:drawing>
          <wp:anchor distT="0" distB="0" distL="114300" distR="114300" simplePos="0" relativeHeight="251660288" behindDoc="1" locked="0" layoutInCell="1" allowOverlap="1" wp14:anchorId="6E8E0830" wp14:editId="59DD08B4">
            <wp:simplePos x="0" y="0"/>
            <wp:positionH relativeFrom="column">
              <wp:posOffset>2977515</wp:posOffset>
            </wp:positionH>
            <wp:positionV relativeFrom="paragraph">
              <wp:posOffset>8890</wp:posOffset>
            </wp:positionV>
            <wp:extent cx="2152650" cy="1666875"/>
            <wp:effectExtent l="0" t="0" r="0" b="0"/>
            <wp:wrapNone/>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r w:rsidRPr="00A341C6">
        <w:rPr>
          <w:sz w:val="16"/>
          <w:vertAlign w:val="superscript"/>
          <w:lang w:eastAsia="es-MX"/>
        </w:rPr>
        <w:t>p/</w:t>
      </w:r>
      <w:r w:rsidR="0003202F">
        <w:rPr>
          <w:sz w:val="16"/>
          <w:vertAlign w:val="superscript"/>
          <w:lang w:eastAsia="es-MX"/>
        </w:rPr>
        <w:t xml:space="preserve"> </w:t>
      </w:r>
      <w:r w:rsidR="00DB5229">
        <w:rPr>
          <w:sz w:val="16"/>
          <w:lang w:eastAsia="es-MX"/>
        </w:rPr>
        <w:t>Cifras preliminares.</w:t>
      </w:r>
    </w:p>
    <w:p w14:paraId="6DC7E026" w14:textId="77777777" w:rsidR="00C160BD" w:rsidRDefault="00C50150" w:rsidP="00C160BD">
      <w:pPr>
        <w:spacing w:after="0" w:line="240" w:lineRule="auto"/>
        <w:ind w:left="851"/>
        <w:rPr>
          <w:b/>
          <w:sz w:val="16"/>
          <w:lang w:eastAsia="es-MX"/>
        </w:rPr>
      </w:pPr>
      <w:r w:rsidRPr="00A341C6">
        <w:rPr>
          <w:sz w:val="16"/>
          <w:lang w:eastAsia="es-MX"/>
        </w:rPr>
        <w:t xml:space="preserve">Fuente: </w:t>
      </w:r>
      <w:r w:rsidRPr="00A341C6">
        <w:rPr>
          <w:b/>
          <w:sz w:val="16"/>
          <w:lang w:eastAsia="es-MX"/>
        </w:rPr>
        <w:t>INEGI</w:t>
      </w:r>
      <w:r>
        <w:rPr>
          <w:b/>
          <w:sz w:val="16"/>
          <w:lang w:eastAsia="es-MX"/>
        </w:rPr>
        <w:t>.</w:t>
      </w:r>
    </w:p>
    <w:p w14:paraId="27EF154E" w14:textId="77777777" w:rsidR="00443454" w:rsidRPr="00443454" w:rsidRDefault="00443454" w:rsidP="00443454">
      <w:pPr>
        <w:spacing w:after="0" w:line="240" w:lineRule="auto"/>
        <w:jc w:val="both"/>
        <w:rPr>
          <w:rFonts w:ascii="Arial" w:hAnsi="Arial" w:cs="Arial"/>
          <w:bCs/>
          <w:lang w:eastAsia="es-MX"/>
        </w:rPr>
      </w:pPr>
      <w:r w:rsidRPr="00443454">
        <w:rPr>
          <w:rFonts w:ascii="Arial" w:hAnsi="Arial" w:cs="Arial"/>
          <w:bCs/>
          <w:lang w:eastAsia="es-MX"/>
        </w:rPr>
        <w:lastRenderedPageBreak/>
        <w:t>En materia</w:t>
      </w:r>
      <w:r>
        <w:rPr>
          <w:rFonts w:ascii="Arial" w:hAnsi="Arial" w:cs="Arial"/>
          <w:bCs/>
          <w:lang w:eastAsia="es-MX"/>
        </w:rPr>
        <w:t xml:space="preserve"> de horas trabajas por el personal de las industrias manufactureras, se registra un crecimiento en las horas laboradas por el personal dependiente de la razón social de 0.4 puntos porcentuales, misma medida en que se reducen las horas trabajadas por el personal subcontratado.</w:t>
      </w:r>
    </w:p>
    <w:p w14:paraId="1A1122C9" w14:textId="77777777" w:rsidR="00443454" w:rsidRPr="00443454" w:rsidRDefault="00443454" w:rsidP="00443454">
      <w:pPr>
        <w:spacing w:after="0" w:line="240" w:lineRule="auto"/>
        <w:jc w:val="both"/>
        <w:rPr>
          <w:rFonts w:ascii="Arial" w:hAnsi="Arial" w:cs="Arial"/>
          <w:b/>
          <w:sz w:val="16"/>
          <w:lang w:eastAsia="es-MX"/>
        </w:rPr>
      </w:pPr>
    </w:p>
    <w:p w14:paraId="1E703D82" w14:textId="77777777" w:rsidR="009C0FCB" w:rsidRPr="00823D73" w:rsidRDefault="00A66BB4" w:rsidP="009C0FCB">
      <w:pPr>
        <w:spacing w:after="0" w:line="240" w:lineRule="auto"/>
        <w:jc w:val="center"/>
        <w:rPr>
          <w:rFonts w:ascii="Arial" w:hAnsi="Arial" w:cs="Arial"/>
          <w:b/>
          <w:lang w:eastAsia="es-MX"/>
        </w:rPr>
      </w:pPr>
      <w:r w:rsidRPr="00823D73">
        <w:rPr>
          <w:rFonts w:ascii="Arial" w:hAnsi="Arial" w:cs="Arial"/>
          <w:b/>
          <w:lang w:eastAsia="es-MX"/>
        </w:rPr>
        <w:t>Cuadro</w:t>
      </w:r>
      <w:r w:rsidR="00C50150" w:rsidRPr="00823D73">
        <w:rPr>
          <w:rFonts w:ascii="Arial" w:hAnsi="Arial" w:cs="Arial"/>
          <w:b/>
          <w:lang w:eastAsia="es-MX"/>
        </w:rPr>
        <w:t xml:space="preserve"> </w:t>
      </w:r>
      <w:r w:rsidR="00494A00" w:rsidRPr="00823D73">
        <w:rPr>
          <w:rFonts w:ascii="Arial" w:hAnsi="Arial" w:cs="Arial"/>
          <w:b/>
          <w:lang w:eastAsia="es-MX"/>
        </w:rPr>
        <w:t>4</w:t>
      </w:r>
    </w:p>
    <w:p w14:paraId="52F45873" w14:textId="77777777" w:rsidR="009C0FCB" w:rsidRPr="00823D73" w:rsidRDefault="00711FBE" w:rsidP="009C0FCB">
      <w:pPr>
        <w:spacing w:after="0" w:line="240" w:lineRule="auto"/>
        <w:jc w:val="center"/>
        <w:rPr>
          <w:rFonts w:ascii="Arial" w:hAnsi="Arial" w:cs="Arial"/>
          <w:b/>
          <w:lang w:eastAsia="es-MX"/>
        </w:rPr>
      </w:pPr>
      <w:r w:rsidRPr="00823D73">
        <w:rPr>
          <w:rFonts w:ascii="Arial" w:hAnsi="Arial" w:cs="Arial"/>
          <w:b/>
          <w:lang w:eastAsia="es-MX"/>
        </w:rPr>
        <w:t>Participación</w:t>
      </w:r>
      <w:r w:rsidR="00A66BB4" w:rsidRPr="00823D73">
        <w:rPr>
          <w:rFonts w:ascii="Arial" w:hAnsi="Arial" w:cs="Arial"/>
          <w:b/>
          <w:lang w:eastAsia="es-MX"/>
        </w:rPr>
        <w:t xml:space="preserve"> de las horas trabajadas </w:t>
      </w:r>
      <w:r w:rsidR="009C0FCB" w:rsidRPr="00823D73">
        <w:rPr>
          <w:rFonts w:ascii="Arial" w:hAnsi="Arial" w:cs="Arial"/>
          <w:b/>
          <w:lang w:eastAsia="es-MX"/>
        </w:rPr>
        <w:t>de las i</w:t>
      </w:r>
      <w:r w:rsidRPr="00823D73">
        <w:rPr>
          <w:rFonts w:ascii="Arial" w:hAnsi="Arial" w:cs="Arial"/>
          <w:b/>
          <w:lang w:eastAsia="es-MX"/>
        </w:rPr>
        <w:t xml:space="preserve">ndustrias manufactureras </w:t>
      </w:r>
    </w:p>
    <w:p w14:paraId="02F224C6" w14:textId="77777777" w:rsidR="0068288C" w:rsidRPr="00823D73" w:rsidRDefault="00197166" w:rsidP="009C0FCB">
      <w:pPr>
        <w:spacing w:after="0" w:line="240" w:lineRule="auto"/>
        <w:jc w:val="center"/>
        <w:rPr>
          <w:rFonts w:ascii="Arial" w:hAnsi="Arial" w:cs="Arial"/>
          <w:b/>
          <w:lang w:eastAsia="es-MX"/>
        </w:rPr>
      </w:pPr>
      <w:r w:rsidRPr="00823D73">
        <w:rPr>
          <w:rFonts w:ascii="Arial" w:hAnsi="Arial" w:cs="Arial"/>
          <w:b/>
          <w:lang w:eastAsia="es-MX"/>
        </w:rPr>
        <w:t>por</w:t>
      </w:r>
      <w:r w:rsidR="00711FBE" w:rsidRPr="00823D73">
        <w:rPr>
          <w:rFonts w:ascii="Arial" w:hAnsi="Arial" w:cs="Arial"/>
          <w:b/>
          <w:lang w:eastAsia="es-MX"/>
        </w:rPr>
        <w:t xml:space="preserve"> </w:t>
      </w:r>
      <w:r w:rsidR="00A66BB4" w:rsidRPr="00823D73">
        <w:rPr>
          <w:rFonts w:ascii="Arial" w:hAnsi="Arial" w:cs="Arial"/>
          <w:b/>
          <w:lang w:eastAsia="es-MX"/>
        </w:rPr>
        <w:t xml:space="preserve">tipo de </w:t>
      </w:r>
      <w:r w:rsidR="00711FBE" w:rsidRPr="00823D73">
        <w:rPr>
          <w:rFonts w:ascii="Arial" w:hAnsi="Arial" w:cs="Arial"/>
          <w:b/>
          <w:lang w:eastAsia="es-MX"/>
        </w:rPr>
        <w:t>contratación</w:t>
      </w:r>
      <w:r w:rsidRPr="00823D73">
        <w:rPr>
          <w:rFonts w:ascii="Arial" w:hAnsi="Arial" w:cs="Arial"/>
          <w:b/>
          <w:lang w:eastAsia="es-MX"/>
        </w:rPr>
        <w:t xml:space="preserve"> </w:t>
      </w:r>
      <w:r w:rsidR="00A83498" w:rsidRPr="00823D73">
        <w:rPr>
          <w:rFonts w:ascii="Arial" w:hAnsi="Arial" w:cs="Arial"/>
          <w:b/>
          <w:lang w:eastAsia="es-MX"/>
        </w:rPr>
        <w:t>y subsector</w:t>
      </w:r>
    </w:p>
    <w:p w14:paraId="1E79701C" w14:textId="77777777" w:rsidR="00DB5229" w:rsidRPr="00823D73" w:rsidRDefault="00DB5229" w:rsidP="009C0FCB">
      <w:pPr>
        <w:pStyle w:val="Default"/>
        <w:contextualSpacing/>
        <w:jc w:val="center"/>
        <w:rPr>
          <w:b/>
          <w:color w:val="auto"/>
          <w:sz w:val="22"/>
          <w:lang w:eastAsia="es-MX"/>
        </w:rPr>
      </w:pPr>
      <w:r w:rsidRPr="00823D73">
        <w:rPr>
          <w:b/>
          <w:color w:val="auto"/>
          <w:sz w:val="22"/>
          <w:lang w:eastAsia="es-MX"/>
        </w:rPr>
        <w:t>(Porcentaje)</w:t>
      </w:r>
    </w:p>
    <w:tbl>
      <w:tblPr>
        <w:tblW w:w="48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114"/>
        <w:gridCol w:w="850"/>
        <w:gridCol w:w="997"/>
        <w:gridCol w:w="846"/>
        <w:gridCol w:w="992"/>
        <w:gridCol w:w="851"/>
        <w:gridCol w:w="857"/>
      </w:tblGrid>
      <w:tr w:rsidR="00E54869" w:rsidRPr="006E63EB" w14:paraId="5AB656CD" w14:textId="77777777" w:rsidTr="00DB5229">
        <w:trPr>
          <w:trHeight w:val="57"/>
          <w:jc w:val="center"/>
        </w:trPr>
        <w:tc>
          <w:tcPr>
            <w:tcW w:w="3114" w:type="dxa"/>
            <w:vMerge w:val="restart"/>
            <w:shd w:val="clear" w:color="000000" w:fill="A9D08E"/>
            <w:noWrap/>
            <w:tcMar>
              <w:top w:w="15" w:type="dxa"/>
              <w:left w:w="15" w:type="dxa"/>
              <w:bottom w:w="0" w:type="dxa"/>
              <w:right w:w="15" w:type="dxa"/>
            </w:tcMar>
            <w:vAlign w:val="center"/>
          </w:tcPr>
          <w:p w14:paraId="33CEB426" w14:textId="77777777" w:rsidR="00E54869" w:rsidRPr="00F9032A" w:rsidRDefault="00E54869" w:rsidP="00DB5229">
            <w:pPr>
              <w:spacing w:after="0" w:line="240" w:lineRule="auto"/>
              <w:jc w:val="center"/>
              <w:rPr>
                <w:rFonts w:ascii="Arial" w:hAnsi="Arial" w:cs="Arial"/>
                <w:b/>
                <w:sz w:val="16"/>
                <w:szCs w:val="16"/>
              </w:rPr>
            </w:pPr>
            <w:r w:rsidRPr="00F9032A">
              <w:rPr>
                <w:rFonts w:ascii="Arial" w:hAnsi="Arial" w:cs="Arial"/>
                <w:b/>
                <w:sz w:val="16"/>
                <w:szCs w:val="16"/>
              </w:rPr>
              <w:t>Sector/subsector</w:t>
            </w:r>
          </w:p>
        </w:tc>
        <w:tc>
          <w:tcPr>
            <w:tcW w:w="3685" w:type="dxa"/>
            <w:gridSpan w:val="4"/>
            <w:shd w:val="clear" w:color="000000" w:fill="A9D08E"/>
            <w:noWrap/>
            <w:tcMar>
              <w:top w:w="15" w:type="dxa"/>
              <w:left w:w="15" w:type="dxa"/>
              <w:bottom w:w="0" w:type="dxa"/>
              <w:right w:w="15" w:type="dxa"/>
            </w:tcMar>
            <w:vAlign w:val="center"/>
          </w:tcPr>
          <w:p w14:paraId="1BE1D559" w14:textId="77777777" w:rsidR="00E54869" w:rsidRPr="00F9032A" w:rsidRDefault="00E54869" w:rsidP="00DB5229">
            <w:pPr>
              <w:spacing w:after="0" w:line="240" w:lineRule="auto"/>
              <w:jc w:val="center"/>
              <w:rPr>
                <w:rFonts w:ascii="Arial" w:hAnsi="Arial" w:cs="Arial"/>
                <w:b/>
                <w:sz w:val="16"/>
                <w:szCs w:val="16"/>
              </w:rPr>
            </w:pPr>
            <w:r>
              <w:rPr>
                <w:rFonts w:ascii="Arial" w:hAnsi="Arial" w:cs="Arial"/>
                <w:b/>
                <w:sz w:val="16"/>
                <w:szCs w:val="16"/>
              </w:rPr>
              <w:t>Horas trabajadas</w:t>
            </w:r>
          </w:p>
        </w:tc>
        <w:tc>
          <w:tcPr>
            <w:tcW w:w="1708" w:type="dxa"/>
            <w:gridSpan w:val="2"/>
            <w:shd w:val="clear" w:color="000000" w:fill="A9D08E"/>
            <w:noWrap/>
            <w:tcMar>
              <w:top w:w="15" w:type="dxa"/>
              <w:left w:w="15" w:type="dxa"/>
              <w:bottom w:w="0" w:type="dxa"/>
              <w:right w:w="15" w:type="dxa"/>
            </w:tcMar>
            <w:vAlign w:val="center"/>
          </w:tcPr>
          <w:p w14:paraId="41C26C02" w14:textId="77777777" w:rsidR="00E54869" w:rsidRPr="006E63EB" w:rsidRDefault="00E54869" w:rsidP="00DB5229">
            <w:pPr>
              <w:spacing w:after="0" w:line="240" w:lineRule="auto"/>
              <w:jc w:val="center"/>
              <w:rPr>
                <w:rFonts w:ascii="Arial" w:hAnsi="Arial" w:cs="Arial"/>
                <w:b/>
                <w:sz w:val="14"/>
                <w:szCs w:val="14"/>
              </w:rPr>
            </w:pPr>
            <w:r w:rsidRPr="006E63EB">
              <w:rPr>
                <w:rFonts w:ascii="Arial" w:hAnsi="Arial" w:cs="Arial"/>
                <w:b/>
                <w:sz w:val="14"/>
                <w:szCs w:val="14"/>
              </w:rPr>
              <w:t>Diferencia anual</w:t>
            </w:r>
          </w:p>
        </w:tc>
      </w:tr>
      <w:tr w:rsidR="00E54869" w:rsidRPr="00EA07DA" w14:paraId="6B9A0A0B" w14:textId="77777777" w:rsidTr="00DB5229">
        <w:trPr>
          <w:trHeight w:val="57"/>
          <w:jc w:val="center"/>
        </w:trPr>
        <w:tc>
          <w:tcPr>
            <w:tcW w:w="3114" w:type="dxa"/>
            <w:vMerge/>
            <w:shd w:val="clear" w:color="000000" w:fill="A9D08E"/>
            <w:noWrap/>
            <w:tcMar>
              <w:top w:w="15" w:type="dxa"/>
              <w:left w:w="15" w:type="dxa"/>
              <w:bottom w:w="0" w:type="dxa"/>
              <w:right w:w="15" w:type="dxa"/>
            </w:tcMar>
            <w:vAlign w:val="center"/>
            <w:hideMark/>
          </w:tcPr>
          <w:p w14:paraId="202CDAA7" w14:textId="77777777" w:rsidR="00E54869" w:rsidRPr="00F9032A" w:rsidRDefault="00E54869" w:rsidP="00DB5229">
            <w:pPr>
              <w:spacing w:after="0" w:line="240" w:lineRule="auto"/>
              <w:jc w:val="center"/>
              <w:rPr>
                <w:rFonts w:ascii="Arial" w:hAnsi="Arial" w:cs="Arial"/>
                <w:b/>
                <w:sz w:val="16"/>
                <w:szCs w:val="16"/>
              </w:rPr>
            </w:pPr>
          </w:p>
        </w:tc>
        <w:tc>
          <w:tcPr>
            <w:tcW w:w="1847" w:type="dxa"/>
            <w:gridSpan w:val="2"/>
            <w:shd w:val="clear" w:color="000000" w:fill="A9D08E"/>
            <w:noWrap/>
            <w:tcMar>
              <w:top w:w="15" w:type="dxa"/>
              <w:left w:w="15" w:type="dxa"/>
              <w:bottom w:w="0" w:type="dxa"/>
              <w:right w:w="15" w:type="dxa"/>
            </w:tcMar>
            <w:vAlign w:val="center"/>
            <w:hideMark/>
          </w:tcPr>
          <w:p w14:paraId="73CD0CE2" w14:textId="77777777" w:rsidR="00E54869" w:rsidRPr="00F9032A" w:rsidRDefault="00E54869" w:rsidP="00DB5229">
            <w:pPr>
              <w:spacing w:after="0" w:line="240" w:lineRule="auto"/>
              <w:jc w:val="center"/>
              <w:rPr>
                <w:rFonts w:ascii="Arial" w:hAnsi="Arial" w:cs="Arial"/>
                <w:b/>
                <w:sz w:val="16"/>
                <w:szCs w:val="16"/>
              </w:rPr>
            </w:pPr>
            <w:r>
              <w:rPr>
                <w:rFonts w:ascii="Arial" w:hAnsi="Arial" w:cs="Arial"/>
                <w:b/>
                <w:sz w:val="16"/>
                <w:szCs w:val="16"/>
              </w:rPr>
              <w:t>2019</w:t>
            </w:r>
          </w:p>
        </w:tc>
        <w:tc>
          <w:tcPr>
            <w:tcW w:w="1838" w:type="dxa"/>
            <w:gridSpan w:val="2"/>
            <w:shd w:val="clear" w:color="000000" w:fill="A9D08E"/>
            <w:noWrap/>
            <w:tcMar>
              <w:top w:w="15" w:type="dxa"/>
              <w:left w:w="15" w:type="dxa"/>
              <w:bottom w:w="0" w:type="dxa"/>
              <w:right w:w="15" w:type="dxa"/>
            </w:tcMar>
            <w:vAlign w:val="center"/>
            <w:hideMark/>
          </w:tcPr>
          <w:p w14:paraId="1C74409A" w14:textId="77777777" w:rsidR="00E54869" w:rsidRPr="00DB5229" w:rsidRDefault="00E54869" w:rsidP="00DB5229">
            <w:pPr>
              <w:spacing w:after="0" w:line="240" w:lineRule="auto"/>
              <w:jc w:val="center"/>
              <w:rPr>
                <w:rFonts w:ascii="Arial" w:hAnsi="Arial" w:cs="Arial"/>
                <w:b/>
                <w:sz w:val="16"/>
                <w:szCs w:val="16"/>
              </w:rPr>
            </w:pPr>
            <w:r w:rsidRPr="00DB5229">
              <w:rPr>
                <w:rFonts w:ascii="Arial" w:hAnsi="Arial" w:cs="Arial"/>
                <w:b/>
                <w:sz w:val="16"/>
                <w:szCs w:val="16"/>
              </w:rPr>
              <w:t>2020</w:t>
            </w:r>
            <w:r w:rsidRPr="00DB5229">
              <w:rPr>
                <w:rFonts w:ascii="Arial" w:eastAsia="Times New Roman" w:hAnsi="Arial" w:cs="Arial"/>
                <w:b/>
                <w:bCs/>
                <w:sz w:val="16"/>
                <w:szCs w:val="16"/>
                <w:vertAlign w:val="superscript"/>
                <w:lang w:eastAsia="es-MX"/>
              </w:rPr>
              <w:t>p/</w:t>
            </w:r>
          </w:p>
        </w:tc>
        <w:tc>
          <w:tcPr>
            <w:tcW w:w="851" w:type="dxa"/>
            <w:vMerge w:val="restart"/>
            <w:shd w:val="clear" w:color="000000" w:fill="A9D08E"/>
            <w:noWrap/>
            <w:tcMar>
              <w:top w:w="15" w:type="dxa"/>
              <w:left w:w="15" w:type="dxa"/>
              <w:bottom w:w="0" w:type="dxa"/>
              <w:right w:w="15" w:type="dxa"/>
            </w:tcMar>
            <w:vAlign w:val="center"/>
            <w:hideMark/>
          </w:tcPr>
          <w:p w14:paraId="32DF0938" w14:textId="77777777" w:rsidR="00E54869" w:rsidRPr="006E63EB" w:rsidRDefault="00E54869" w:rsidP="00DB5229">
            <w:pPr>
              <w:spacing w:after="0" w:line="240" w:lineRule="auto"/>
              <w:jc w:val="center"/>
              <w:rPr>
                <w:rFonts w:ascii="Arial" w:hAnsi="Arial" w:cs="Arial"/>
                <w:b/>
                <w:sz w:val="12"/>
                <w:szCs w:val="12"/>
              </w:rPr>
            </w:pPr>
            <w:r w:rsidRPr="006E63EB">
              <w:rPr>
                <w:rFonts w:ascii="Arial" w:hAnsi="Arial" w:cs="Arial"/>
                <w:b/>
                <w:sz w:val="12"/>
                <w:szCs w:val="12"/>
              </w:rPr>
              <w:t>Dependiente</w:t>
            </w:r>
          </w:p>
        </w:tc>
        <w:tc>
          <w:tcPr>
            <w:tcW w:w="857" w:type="dxa"/>
            <w:vMerge w:val="restart"/>
            <w:shd w:val="clear" w:color="000000" w:fill="A9D08E"/>
            <w:vAlign w:val="center"/>
          </w:tcPr>
          <w:p w14:paraId="317188CE" w14:textId="77777777" w:rsidR="00E54869" w:rsidRPr="006E63EB" w:rsidRDefault="00E54869" w:rsidP="00DB5229">
            <w:pPr>
              <w:spacing w:after="0" w:line="240" w:lineRule="auto"/>
              <w:jc w:val="center"/>
              <w:rPr>
                <w:rFonts w:ascii="Arial" w:hAnsi="Arial" w:cs="Arial"/>
                <w:b/>
                <w:sz w:val="12"/>
                <w:szCs w:val="12"/>
              </w:rPr>
            </w:pPr>
            <w:r w:rsidRPr="006E63EB">
              <w:rPr>
                <w:rFonts w:ascii="Arial" w:hAnsi="Arial" w:cs="Arial"/>
                <w:b/>
                <w:sz w:val="12"/>
                <w:szCs w:val="12"/>
              </w:rPr>
              <w:t>Subcontratado</w:t>
            </w:r>
          </w:p>
        </w:tc>
      </w:tr>
      <w:tr w:rsidR="00E54869" w:rsidRPr="00EA07DA" w14:paraId="6BE89D49" w14:textId="77777777" w:rsidTr="00DB5229">
        <w:trPr>
          <w:trHeight w:val="57"/>
          <w:jc w:val="center"/>
        </w:trPr>
        <w:tc>
          <w:tcPr>
            <w:tcW w:w="3114" w:type="dxa"/>
            <w:vMerge/>
            <w:vAlign w:val="center"/>
            <w:hideMark/>
          </w:tcPr>
          <w:p w14:paraId="0F804594" w14:textId="77777777" w:rsidR="00E54869" w:rsidRPr="00F9032A" w:rsidRDefault="00E54869" w:rsidP="00DB5229">
            <w:pPr>
              <w:spacing w:after="0" w:line="240" w:lineRule="auto"/>
              <w:jc w:val="center"/>
              <w:rPr>
                <w:rFonts w:ascii="Arial" w:hAnsi="Arial" w:cs="Arial"/>
                <w:b/>
                <w:sz w:val="16"/>
                <w:szCs w:val="16"/>
              </w:rPr>
            </w:pPr>
          </w:p>
        </w:tc>
        <w:tc>
          <w:tcPr>
            <w:tcW w:w="850" w:type="dxa"/>
            <w:shd w:val="clear" w:color="000000" w:fill="A9D08E"/>
            <w:tcMar>
              <w:top w:w="15" w:type="dxa"/>
              <w:left w:w="15" w:type="dxa"/>
              <w:bottom w:w="0" w:type="dxa"/>
              <w:right w:w="15" w:type="dxa"/>
            </w:tcMar>
            <w:vAlign w:val="center"/>
            <w:hideMark/>
          </w:tcPr>
          <w:p w14:paraId="46FA02BA" w14:textId="77777777" w:rsidR="00E54869" w:rsidRPr="006E63EB" w:rsidRDefault="00E54869" w:rsidP="00DB5229">
            <w:pPr>
              <w:spacing w:after="0" w:line="240" w:lineRule="auto"/>
              <w:jc w:val="center"/>
              <w:rPr>
                <w:rFonts w:ascii="Arial" w:hAnsi="Arial" w:cs="Arial"/>
                <w:b/>
                <w:sz w:val="12"/>
                <w:szCs w:val="12"/>
              </w:rPr>
            </w:pPr>
            <w:r w:rsidRPr="006E63EB">
              <w:rPr>
                <w:rFonts w:ascii="Arial" w:hAnsi="Arial" w:cs="Arial"/>
                <w:b/>
                <w:sz w:val="12"/>
                <w:szCs w:val="12"/>
              </w:rPr>
              <w:t>Dependiente</w:t>
            </w:r>
          </w:p>
        </w:tc>
        <w:tc>
          <w:tcPr>
            <w:tcW w:w="997" w:type="dxa"/>
            <w:shd w:val="clear" w:color="000000" w:fill="A9D08E"/>
            <w:tcMar>
              <w:top w:w="15" w:type="dxa"/>
              <w:left w:w="15" w:type="dxa"/>
              <w:bottom w:w="0" w:type="dxa"/>
              <w:right w:w="15" w:type="dxa"/>
            </w:tcMar>
            <w:vAlign w:val="center"/>
            <w:hideMark/>
          </w:tcPr>
          <w:p w14:paraId="004769BF" w14:textId="77777777" w:rsidR="00E54869" w:rsidRPr="006E63EB" w:rsidRDefault="00E54869" w:rsidP="00DB5229">
            <w:pPr>
              <w:spacing w:after="0" w:line="240" w:lineRule="auto"/>
              <w:jc w:val="center"/>
              <w:rPr>
                <w:rFonts w:ascii="Arial" w:hAnsi="Arial" w:cs="Arial"/>
                <w:b/>
                <w:sz w:val="12"/>
                <w:szCs w:val="12"/>
              </w:rPr>
            </w:pPr>
            <w:r w:rsidRPr="006E63EB">
              <w:rPr>
                <w:rFonts w:ascii="Arial" w:hAnsi="Arial" w:cs="Arial"/>
                <w:b/>
                <w:sz w:val="12"/>
                <w:szCs w:val="12"/>
              </w:rPr>
              <w:t>Subcontratado</w:t>
            </w:r>
          </w:p>
        </w:tc>
        <w:tc>
          <w:tcPr>
            <w:tcW w:w="846" w:type="dxa"/>
            <w:shd w:val="clear" w:color="000000" w:fill="A9D08E"/>
            <w:tcMar>
              <w:top w:w="15" w:type="dxa"/>
              <w:left w:w="15" w:type="dxa"/>
              <w:bottom w:w="0" w:type="dxa"/>
              <w:right w:w="15" w:type="dxa"/>
            </w:tcMar>
            <w:vAlign w:val="center"/>
            <w:hideMark/>
          </w:tcPr>
          <w:p w14:paraId="4EB08580" w14:textId="77777777" w:rsidR="00E54869" w:rsidRPr="006E63EB" w:rsidRDefault="00E54869" w:rsidP="00DB5229">
            <w:pPr>
              <w:spacing w:after="0" w:line="240" w:lineRule="auto"/>
              <w:jc w:val="center"/>
              <w:rPr>
                <w:rFonts w:ascii="Arial" w:hAnsi="Arial" w:cs="Arial"/>
                <w:b/>
                <w:sz w:val="12"/>
                <w:szCs w:val="12"/>
              </w:rPr>
            </w:pPr>
            <w:r w:rsidRPr="006E63EB">
              <w:rPr>
                <w:rFonts w:ascii="Arial" w:hAnsi="Arial" w:cs="Arial"/>
                <w:b/>
                <w:sz w:val="12"/>
                <w:szCs w:val="12"/>
              </w:rPr>
              <w:t>Dependiente</w:t>
            </w:r>
          </w:p>
        </w:tc>
        <w:tc>
          <w:tcPr>
            <w:tcW w:w="992" w:type="dxa"/>
            <w:shd w:val="clear" w:color="000000" w:fill="A9D08E"/>
            <w:tcMar>
              <w:top w:w="15" w:type="dxa"/>
              <w:left w:w="15" w:type="dxa"/>
              <w:bottom w:w="0" w:type="dxa"/>
              <w:right w:w="15" w:type="dxa"/>
            </w:tcMar>
            <w:vAlign w:val="center"/>
            <w:hideMark/>
          </w:tcPr>
          <w:p w14:paraId="64FE536B" w14:textId="77777777" w:rsidR="00E54869" w:rsidRPr="006E63EB" w:rsidRDefault="00E54869" w:rsidP="00DB5229">
            <w:pPr>
              <w:spacing w:after="0" w:line="240" w:lineRule="auto"/>
              <w:jc w:val="center"/>
              <w:rPr>
                <w:rFonts w:ascii="Arial" w:hAnsi="Arial" w:cs="Arial"/>
                <w:b/>
                <w:sz w:val="12"/>
                <w:szCs w:val="12"/>
              </w:rPr>
            </w:pPr>
            <w:r w:rsidRPr="006E63EB">
              <w:rPr>
                <w:rFonts w:ascii="Arial" w:hAnsi="Arial" w:cs="Arial"/>
                <w:b/>
                <w:sz w:val="12"/>
                <w:szCs w:val="12"/>
              </w:rPr>
              <w:t>Subcontratado</w:t>
            </w:r>
          </w:p>
        </w:tc>
        <w:tc>
          <w:tcPr>
            <w:tcW w:w="851" w:type="dxa"/>
            <w:vMerge/>
            <w:shd w:val="clear" w:color="000000" w:fill="A9D08E"/>
            <w:tcMar>
              <w:top w:w="15" w:type="dxa"/>
              <w:left w:w="15" w:type="dxa"/>
              <w:bottom w:w="0" w:type="dxa"/>
              <w:right w:w="15" w:type="dxa"/>
            </w:tcMar>
            <w:vAlign w:val="center"/>
            <w:hideMark/>
          </w:tcPr>
          <w:p w14:paraId="0BD328E2" w14:textId="77777777" w:rsidR="00E54869" w:rsidRPr="00F9032A" w:rsidRDefault="00E54869" w:rsidP="00DB5229">
            <w:pPr>
              <w:spacing w:after="0" w:line="240" w:lineRule="auto"/>
              <w:jc w:val="center"/>
              <w:rPr>
                <w:rFonts w:ascii="Arial" w:hAnsi="Arial" w:cs="Arial"/>
                <w:b/>
                <w:sz w:val="15"/>
                <w:szCs w:val="15"/>
              </w:rPr>
            </w:pPr>
          </w:p>
        </w:tc>
        <w:tc>
          <w:tcPr>
            <w:tcW w:w="857" w:type="dxa"/>
            <w:vMerge/>
            <w:shd w:val="clear" w:color="000000" w:fill="A9D08E"/>
            <w:tcMar>
              <w:top w:w="15" w:type="dxa"/>
              <w:left w:w="15" w:type="dxa"/>
              <w:bottom w:w="0" w:type="dxa"/>
              <w:right w:w="15" w:type="dxa"/>
            </w:tcMar>
            <w:vAlign w:val="center"/>
            <w:hideMark/>
          </w:tcPr>
          <w:p w14:paraId="3ED426FD" w14:textId="77777777" w:rsidR="00E54869" w:rsidRPr="00F9032A" w:rsidRDefault="00E54869" w:rsidP="00DB5229">
            <w:pPr>
              <w:spacing w:after="0" w:line="240" w:lineRule="auto"/>
              <w:jc w:val="center"/>
              <w:rPr>
                <w:rFonts w:ascii="Arial" w:hAnsi="Arial" w:cs="Arial"/>
                <w:b/>
                <w:sz w:val="16"/>
                <w:szCs w:val="16"/>
              </w:rPr>
            </w:pPr>
          </w:p>
        </w:tc>
      </w:tr>
      <w:tr w:rsidR="00CD5CB9" w:rsidRPr="00EA07DA" w14:paraId="19ED8AFD"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55E6F081" w14:textId="77777777" w:rsidR="00CD5CB9" w:rsidRPr="006E63EB" w:rsidRDefault="00CD5CB9" w:rsidP="00CD5CB9">
            <w:pPr>
              <w:spacing w:after="0" w:line="240" w:lineRule="auto"/>
              <w:rPr>
                <w:rFonts w:ascii="Arial" w:hAnsi="Arial" w:cs="Arial"/>
                <w:b/>
                <w:sz w:val="14"/>
                <w:szCs w:val="14"/>
              </w:rPr>
            </w:pPr>
            <w:r w:rsidRPr="006E63EB">
              <w:rPr>
                <w:rFonts w:ascii="Arial" w:hAnsi="Arial" w:cs="Arial"/>
                <w:b/>
                <w:sz w:val="14"/>
                <w:szCs w:val="14"/>
              </w:rPr>
              <w:t>31-33 Industrias manufactureras</w:t>
            </w:r>
          </w:p>
        </w:tc>
        <w:tc>
          <w:tcPr>
            <w:tcW w:w="850" w:type="dxa"/>
            <w:shd w:val="clear" w:color="auto" w:fill="auto"/>
            <w:noWrap/>
            <w:tcMar>
              <w:top w:w="15" w:type="dxa"/>
              <w:left w:w="15" w:type="dxa"/>
              <w:bottom w:w="0" w:type="dxa"/>
              <w:right w:w="15" w:type="dxa"/>
            </w:tcMar>
          </w:tcPr>
          <w:p w14:paraId="17A56FCA" w14:textId="77777777" w:rsidR="00CD5CB9" w:rsidRPr="00CD5CB9" w:rsidRDefault="00CD5CB9" w:rsidP="00CD5CB9">
            <w:pPr>
              <w:spacing w:after="0" w:line="240" w:lineRule="auto"/>
              <w:jc w:val="center"/>
              <w:rPr>
                <w:rFonts w:ascii="Arial" w:hAnsi="Arial" w:cs="Arial"/>
                <w:b/>
                <w:color w:val="FF0000"/>
                <w:sz w:val="14"/>
                <w:szCs w:val="14"/>
              </w:rPr>
            </w:pPr>
            <w:r w:rsidRPr="00CD5CB9">
              <w:rPr>
                <w:rFonts w:ascii="Arial" w:hAnsi="Arial" w:cs="Arial"/>
                <w:sz w:val="14"/>
                <w:szCs w:val="14"/>
              </w:rPr>
              <w:t>79.9</w:t>
            </w:r>
          </w:p>
        </w:tc>
        <w:tc>
          <w:tcPr>
            <w:tcW w:w="997" w:type="dxa"/>
            <w:shd w:val="clear" w:color="auto" w:fill="auto"/>
            <w:noWrap/>
            <w:tcMar>
              <w:top w:w="15" w:type="dxa"/>
              <w:left w:w="15" w:type="dxa"/>
              <w:bottom w:w="0" w:type="dxa"/>
              <w:right w:w="15" w:type="dxa"/>
            </w:tcMar>
          </w:tcPr>
          <w:p w14:paraId="40BE5394" w14:textId="77777777" w:rsidR="00CD5CB9" w:rsidRPr="00CD5CB9" w:rsidRDefault="00CD5CB9" w:rsidP="00CD5CB9">
            <w:pPr>
              <w:spacing w:after="0" w:line="240" w:lineRule="auto"/>
              <w:jc w:val="center"/>
              <w:rPr>
                <w:rFonts w:ascii="Arial" w:hAnsi="Arial" w:cs="Arial"/>
                <w:b/>
                <w:color w:val="FF0000"/>
                <w:sz w:val="14"/>
                <w:szCs w:val="14"/>
              </w:rPr>
            </w:pPr>
            <w:r w:rsidRPr="00CD5CB9">
              <w:rPr>
                <w:rFonts w:ascii="Arial" w:hAnsi="Arial" w:cs="Arial"/>
                <w:sz w:val="14"/>
                <w:szCs w:val="14"/>
              </w:rPr>
              <w:t>20.1</w:t>
            </w:r>
          </w:p>
        </w:tc>
        <w:tc>
          <w:tcPr>
            <w:tcW w:w="846" w:type="dxa"/>
            <w:shd w:val="clear" w:color="auto" w:fill="auto"/>
            <w:noWrap/>
            <w:tcMar>
              <w:top w:w="15" w:type="dxa"/>
              <w:left w:w="15" w:type="dxa"/>
              <w:bottom w:w="0" w:type="dxa"/>
              <w:right w:w="15" w:type="dxa"/>
            </w:tcMar>
          </w:tcPr>
          <w:p w14:paraId="60991B46" w14:textId="77777777" w:rsidR="00CD5CB9" w:rsidRPr="00CD5CB9" w:rsidRDefault="00CD5CB9" w:rsidP="00CD5CB9">
            <w:pPr>
              <w:spacing w:after="0" w:line="240" w:lineRule="auto"/>
              <w:jc w:val="center"/>
              <w:rPr>
                <w:rFonts w:ascii="Arial" w:hAnsi="Arial" w:cs="Arial"/>
                <w:b/>
                <w:color w:val="FF0000"/>
                <w:sz w:val="14"/>
                <w:szCs w:val="14"/>
              </w:rPr>
            </w:pPr>
            <w:r w:rsidRPr="00CD5CB9">
              <w:rPr>
                <w:rFonts w:ascii="Arial" w:hAnsi="Arial" w:cs="Arial"/>
                <w:sz w:val="14"/>
                <w:szCs w:val="14"/>
              </w:rPr>
              <w:t>80.3</w:t>
            </w:r>
          </w:p>
        </w:tc>
        <w:tc>
          <w:tcPr>
            <w:tcW w:w="992" w:type="dxa"/>
            <w:shd w:val="clear" w:color="auto" w:fill="auto"/>
            <w:noWrap/>
            <w:tcMar>
              <w:top w:w="15" w:type="dxa"/>
              <w:left w:w="15" w:type="dxa"/>
              <w:bottom w:w="0" w:type="dxa"/>
              <w:right w:w="15" w:type="dxa"/>
            </w:tcMar>
          </w:tcPr>
          <w:p w14:paraId="6CB82358" w14:textId="77777777" w:rsidR="00CD5CB9" w:rsidRPr="00CD5CB9" w:rsidRDefault="00CD5CB9" w:rsidP="00CD5CB9">
            <w:pPr>
              <w:spacing w:after="0" w:line="240" w:lineRule="auto"/>
              <w:jc w:val="center"/>
              <w:rPr>
                <w:rFonts w:ascii="Arial" w:hAnsi="Arial" w:cs="Arial"/>
                <w:b/>
                <w:color w:val="FF0000"/>
                <w:sz w:val="14"/>
                <w:szCs w:val="14"/>
              </w:rPr>
            </w:pPr>
            <w:r w:rsidRPr="00CD5CB9">
              <w:rPr>
                <w:rFonts w:ascii="Arial" w:hAnsi="Arial" w:cs="Arial"/>
                <w:sz w:val="14"/>
                <w:szCs w:val="14"/>
              </w:rPr>
              <w:t>19.7</w:t>
            </w:r>
          </w:p>
        </w:tc>
        <w:tc>
          <w:tcPr>
            <w:tcW w:w="851" w:type="dxa"/>
            <w:shd w:val="clear" w:color="auto" w:fill="auto"/>
            <w:noWrap/>
            <w:tcMar>
              <w:top w:w="15" w:type="dxa"/>
              <w:left w:w="15" w:type="dxa"/>
              <w:bottom w:w="0" w:type="dxa"/>
              <w:right w:w="15" w:type="dxa"/>
            </w:tcMar>
          </w:tcPr>
          <w:p w14:paraId="6F30DBC8" w14:textId="77777777" w:rsidR="00CD5CB9" w:rsidRPr="00CD5CB9" w:rsidRDefault="00CD5CB9" w:rsidP="00CD5CB9">
            <w:pPr>
              <w:spacing w:after="0" w:line="240" w:lineRule="auto"/>
              <w:jc w:val="center"/>
              <w:rPr>
                <w:rFonts w:ascii="Arial" w:hAnsi="Arial" w:cs="Arial"/>
                <w:b/>
                <w:color w:val="FF0000"/>
                <w:sz w:val="14"/>
                <w:szCs w:val="14"/>
              </w:rPr>
            </w:pPr>
            <w:r w:rsidRPr="00CD5CB9">
              <w:rPr>
                <w:rFonts w:ascii="Arial" w:hAnsi="Arial" w:cs="Arial"/>
                <w:sz w:val="14"/>
                <w:szCs w:val="14"/>
              </w:rPr>
              <w:t>0.4</w:t>
            </w:r>
          </w:p>
        </w:tc>
        <w:tc>
          <w:tcPr>
            <w:tcW w:w="857" w:type="dxa"/>
            <w:shd w:val="clear" w:color="auto" w:fill="auto"/>
            <w:noWrap/>
            <w:tcMar>
              <w:top w:w="15" w:type="dxa"/>
              <w:left w:w="15" w:type="dxa"/>
              <w:bottom w:w="0" w:type="dxa"/>
              <w:right w:w="15" w:type="dxa"/>
            </w:tcMar>
          </w:tcPr>
          <w:p w14:paraId="406C6864" w14:textId="77777777" w:rsidR="00CD5CB9" w:rsidRPr="00CD5CB9" w:rsidRDefault="00CD5CB9" w:rsidP="00CD5CB9">
            <w:pPr>
              <w:spacing w:after="0" w:line="240" w:lineRule="auto"/>
              <w:jc w:val="center"/>
              <w:rPr>
                <w:rFonts w:ascii="Arial" w:hAnsi="Arial" w:cs="Arial"/>
                <w:b/>
                <w:color w:val="FF0000"/>
                <w:sz w:val="14"/>
                <w:szCs w:val="14"/>
              </w:rPr>
            </w:pPr>
            <w:r w:rsidRPr="00CD5CB9">
              <w:rPr>
                <w:rFonts w:ascii="Arial" w:hAnsi="Arial" w:cs="Arial"/>
                <w:sz w:val="14"/>
                <w:szCs w:val="14"/>
              </w:rPr>
              <w:t>-0.4</w:t>
            </w:r>
          </w:p>
        </w:tc>
      </w:tr>
      <w:tr w:rsidR="00CD5CB9" w:rsidRPr="00EA07DA" w14:paraId="0EFCB93A"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48F9CA66"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311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alimentaria</w:t>
            </w:r>
          </w:p>
        </w:tc>
        <w:tc>
          <w:tcPr>
            <w:tcW w:w="850" w:type="dxa"/>
            <w:shd w:val="clear" w:color="auto" w:fill="auto"/>
            <w:noWrap/>
            <w:tcMar>
              <w:top w:w="15" w:type="dxa"/>
              <w:left w:w="15" w:type="dxa"/>
              <w:bottom w:w="0" w:type="dxa"/>
              <w:right w:w="15" w:type="dxa"/>
            </w:tcMar>
          </w:tcPr>
          <w:p w14:paraId="31D697A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84.6</w:t>
            </w:r>
          </w:p>
        </w:tc>
        <w:tc>
          <w:tcPr>
            <w:tcW w:w="997" w:type="dxa"/>
            <w:shd w:val="clear" w:color="auto" w:fill="auto"/>
            <w:noWrap/>
            <w:tcMar>
              <w:top w:w="15" w:type="dxa"/>
              <w:left w:w="15" w:type="dxa"/>
              <w:bottom w:w="0" w:type="dxa"/>
              <w:right w:w="15" w:type="dxa"/>
            </w:tcMar>
          </w:tcPr>
          <w:p w14:paraId="1083B68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15.4</w:t>
            </w:r>
          </w:p>
        </w:tc>
        <w:tc>
          <w:tcPr>
            <w:tcW w:w="846" w:type="dxa"/>
            <w:shd w:val="clear" w:color="auto" w:fill="auto"/>
            <w:noWrap/>
            <w:tcMar>
              <w:top w:w="15" w:type="dxa"/>
              <w:left w:w="15" w:type="dxa"/>
              <w:bottom w:w="0" w:type="dxa"/>
              <w:right w:w="15" w:type="dxa"/>
            </w:tcMar>
          </w:tcPr>
          <w:p w14:paraId="27FE5E5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84.3</w:t>
            </w:r>
          </w:p>
        </w:tc>
        <w:tc>
          <w:tcPr>
            <w:tcW w:w="992" w:type="dxa"/>
            <w:shd w:val="clear" w:color="auto" w:fill="auto"/>
            <w:noWrap/>
            <w:tcMar>
              <w:top w:w="15" w:type="dxa"/>
              <w:left w:w="15" w:type="dxa"/>
              <w:bottom w:w="0" w:type="dxa"/>
              <w:right w:w="15" w:type="dxa"/>
            </w:tcMar>
          </w:tcPr>
          <w:p w14:paraId="64760EC3"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15.7</w:t>
            </w:r>
          </w:p>
        </w:tc>
        <w:tc>
          <w:tcPr>
            <w:tcW w:w="851" w:type="dxa"/>
            <w:shd w:val="clear" w:color="auto" w:fill="auto"/>
            <w:noWrap/>
            <w:tcMar>
              <w:top w:w="15" w:type="dxa"/>
              <w:left w:w="15" w:type="dxa"/>
              <w:bottom w:w="0" w:type="dxa"/>
              <w:right w:w="15" w:type="dxa"/>
            </w:tcMar>
          </w:tcPr>
          <w:p w14:paraId="202142E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-0.3</w:t>
            </w:r>
          </w:p>
        </w:tc>
        <w:tc>
          <w:tcPr>
            <w:tcW w:w="857" w:type="dxa"/>
            <w:shd w:val="clear" w:color="auto" w:fill="auto"/>
            <w:noWrap/>
            <w:tcMar>
              <w:top w:w="15" w:type="dxa"/>
              <w:left w:w="15" w:type="dxa"/>
              <w:bottom w:w="0" w:type="dxa"/>
              <w:right w:w="15" w:type="dxa"/>
            </w:tcMar>
          </w:tcPr>
          <w:p w14:paraId="37107F9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0.3</w:t>
            </w:r>
          </w:p>
        </w:tc>
      </w:tr>
      <w:tr w:rsidR="00CD5CB9" w:rsidRPr="00EA07DA" w14:paraId="255DD45B"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105A9DF8"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312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de las bebidas y del tabaco</w:t>
            </w:r>
          </w:p>
        </w:tc>
        <w:tc>
          <w:tcPr>
            <w:tcW w:w="850" w:type="dxa"/>
            <w:shd w:val="clear" w:color="auto" w:fill="auto"/>
            <w:noWrap/>
            <w:tcMar>
              <w:top w:w="15" w:type="dxa"/>
              <w:left w:w="15" w:type="dxa"/>
              <w:bottom w:w="0" w:type="dxa"/>
              <w:right w:w="15" w:type="dxa"/>
            </w:tcMar>
          </w:tcPr>
          <w:p w14:paraId="7F6AF9E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78.3</w:t>
            </w:r>
          </w:p>
        </w:tc>
        <w:tc>
          <w:tcPr>
            <w:tcW w:w="997" w:type="dxa"/>
            <w:shd w:val="clear" w:color="auto" w:fill="auto"/>
            <w:noWrap/>
            <w:tcMar>
              <w:top w:w="15" w:type="dxa"/>
              <w:left w:w="15" w:type="dxa"/>
              <w:bottom w:w="0" w:type="dxa"/>
              <w:right w:w="15" w:type="dxa"/>
            </w:tcMar>
          </w:tcPr>
          <w:p w14:paraId="4601DF5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21.7</w:t>
            </w:r>
          </w:p>
        </w:tc>
        <w:tc>
          <w:tcPr>
            <w:tcW w:w="846" w:type="dxa"/>
            <w:shd w:val="clear" w:color="auto" w:fill="auto"/>
            <w:noWrap/>
            <w:tcMar>
              <w:top w:w="15" w:type="dxa"/>
              <w:left w:w="15" w:type="dxa"/>
              <w:bottom w:w="0" w:type="dxa"/>
              <w:right w:w="15" w:type="dxa"/>
            </w:tcMar>
          </w:tcPr>
          <w:p w14:paraId="50E2174C"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78.8</w:t>
            </w:r>
          </w:p>
        </w:tc>
        <w:tc>
          <w:tcPr>
            <w:tcW w:w="992" w:type="dxa"/>
            <w:shd w:val="clear" w:color="auto" w:fill="auto"/>
            <w:noWrap/>
            <w:tcMar>
              <w:top w:w="15" w:type="dxa"/>
              <w:left w:w="15" w:type="dxa"/>
              <w:bottom w:w="0" w:type="dxa"/>
              <w:right w:w="15" w:type="dxa"/>
            </w:tcMar>
          </w:tcPr>
          <w:p w14:paraId="0CA4A0C5"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21.2</w:t>
            </w:r>
          </w:p>
        </w:tc>
        <w:tc>
          <w:tcPr>
            <w:tcW w:w="851" w:type="dxa"/>
            <w:shd w:val="clear" w:color="auto" w:fill="auto"/>
            <w:noWrap/>
            <w:tcMar>
              <w:top w:w="15" w:type="dxa"/>
              <w:left w:w="15" w:type="dxa"/>
              <w:bottom w:w="0" w:type="dxa"/>
              <w:right w:w="15" w:type="dxa"/>
            </w:tcMar>
          </w:tcPr>
          <w:p w14:paraId="22B8571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0.5</w:t>
            </w:r>
          </w:p>
        </w:tc>
        <w:tc>
          <w:tcPr>
            <w:tcW w:w="857" w:type="dxa"/>
            <w:shd w:val="clear" w:color="auto" w:fill="auto"/>
            <w:noWrap/>
            <w:tcMar>
              <w:top w:w="15" w:type="dxa"/>
              <w:left w:w="15" w:type="dxa"/>
              <w:bottom w:w="0" w:type="dxa"/>
              <w:right w:w="15" w:type="dxa"/>
            </w:tcMar>
          </w:tcPr>
          <w:p w14:paraId="14F2100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-0.5</w:t>
            </w:r>
          </w:p>
        </w:tc>
      </w:tr>
      <w:tr w:rsidR="00CD5CB9" w:rsidRPr="00EA07DA" w14:paraId="57163730"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1BA86B8C"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313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insumos textiles</w:t>
            </w:r>
          </w:p>
        </w:tc>
        <w:tc>
          <w:tcPr>
            <w:tcW w:w="850" w:type="dxa"/>
            <w:shd w:val="clear" w:color="auto" w:fill="auto"/>
            <w:noWrap/>
            <w:tcMar>
              <w:top w:w="15" w:type="dxa"/>
              <w:left w:w="15" w:type="dxa"/>
              <w:bottom w:w="0" w:type="dxa"/>
              <w:right w:w="15" w:type="dxa"/>
            </w:tcMar>
          </w:tcPr>
          <w:p w14:paraId="27328E1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77.1</w:t>
            </w:r>
          </w:p>
        </w:tc>
        <w:tc>
          <w:tcPr>
            <w:tcW w:w="997" w:type="dxa"/>
            <w:shd w:val="clear" w:color="auto" w:fill="auto"/>
            <w:noWrap/>
            <w:tcMar>
              <w:top w:w="15" w:type="dxa"/>
              <w:left w:w="15" w:type="dxa"/>
              <w:bottom w:w="0" w:type="dxa"/>
              <w:right w:w="15" w:type="dxa"/>
            </w:tcMar>
          </w:tcPr>
          <w:p w14:paraId="5981AC9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22.9</w:t>
            </w:r>
          </w:p>
        </w:tc>
        <w:tc>
          <w:tcPr>
            <w:tcW w:w="846" w:type="dxa"/>
            <w:shd w:val="clear" w:color="auto" w:fill="auto"/>
            <w:noWrap/>
            <w:tcMar>
              <w:top w:w="15" w:type="dxa"/>
              <w:left w:w="15" w:type="dxa"/>
              <w:bottom w:w="0" w:type="dxa"/>
              <w:right w:w="15" w:type="dxa"/>
            </w:tcMar>
          </w:tcPr>
          <w:p w14:paraId="5EC8264D"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77.3</w:t>
            </w:r>
          </w:p>
        </w:tc>
        <w:tc>
          <w:tcPr>
            <w:tcW w:w="992" w:type="dxa"/>
            <w:shd w:val="clear" w:color="auto" w:fill="auto"/>
            <w:noWrap/>
            <w:tcMar>
              <w:top w:w="15" w:type="dxa"/>
              <w:left w:w="15" w:type="dxa"/>
              <w:bottom w:w="0" w:type="dxa"/>
              <w:right w:w="15" w:type="dxa"/>
            </w:tcMar>
          </w:tcPr>
          <w:p w14:paraId="3F72504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22.7</w:t>
            </w:r>
          </w:p>
        </w:tc>
        <w:tc>
          <w:tcPr>
            <w:tcW w:w="851" w:type="dxa"/>
            <w:shd w:val="clear" w:color="auto" w:fill="auto"/>
            <w:noWrap/>
            <w:tcMar>
              <w:top w:w="15" w:type="dxa"/>
              <w:left w:w="15" w:type="dxa"/>
              <w:bottom w:w="0" w:type="dxa"/>
              <w:right w:w="15" w:type="dxa"/>
            </w:tcMar>
          </w:tcPr>
          <w:p w14:paraId="1F7FB59A"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0.2</w:t>
            </w:r>
          </w:p>
        </w:tc>
        <w:tc>
          <w:tcPr>
            <w:tcW w:w="857" w:type="dxa"/>
            <w:shd w:val="clear" w:color="auto" w:fill="auto"/>
            <w:noWrap/>
            <w:tcMar>
              <w:top w:w="15" w:type="dxa"/>
              <w:left w:w="15" w:type="dxa"/>
              <w:bottom w:w="0" w:type="dxa"/>
              <w:right w:w="15" w:type="dxa"/>
            </w:tcMar>
          </w:tcPr>
          <w:p w14:paraId="016692B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-0.2</w:t>
            </w:r>
          </w:p>
        </w:tc>
      </w:tr>
      <w:tr w:rsidR="00CD5CB9" w:rsidRPr="00EA07DA" w14:paraId="37DA562D"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0A5010B2"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314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productos textiles</w:t>
            </w:r>
          </w:p>
        </w:tc>
        <w:tc>
          <w:tcPr>
            <w:tcW w:w="850" w:type="dxa"/>
            <w:shd w:val="clear" w:color="auto" w:fill="auto"/>
            <w:noWrap/>
            <w:tcMar>
              <w:top w:w="15" w:type="dxa"/>
              <w:left w:w="15" w:type="dxa"/>
              <w:bottom w:w="0" w:type="dxa"/>
              <w:right w:w="15" w:type="dxa"/>
            </w:tcMar>
          </w:tcPr>
          <w:p w14:paraId="3C9D3CF4"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91.2</w:t>
            </w:r>
          </w:p>
        </w:tc>
        <w:tc>
          <w:tcPr>
            <w:tcW w:w="997" w:type="dxa"/>
            <w:shd w:val="clear" w:color="auto" w:fill="auto"/>
            <w:noWrap/>
            <w:tcMar>
              <w:top w:w="15" w:type="dxa"/>
              <w:left w:w="15" w:type="dxa"/>
              <w:bottom w:w="0" w:type="dxa"/>
              <w:right w:w="15" w:type="dxa"/>
            </w:tcMar>
          </w:tcPr>
          <w:p w14:paraId="773830A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8.8</w:t>
            </w:r>
          </w:p>
        </w:tc>
        <w:tc>
          <w:tcPr>
            <w:tcW w:w="846" w:type="dxa"/>
            <w:shd w:val="clear" w:color="auto" w:fill="auto"/>
            <w:noWrap/>
            <w:tcMar>
              <w:top w:w="15" w:type="dxa"/>
              <w:left w:w="15" w:type="dxa"/>
              <w:bottom w:w="0" w:type="dxa"/>
              <w:right w:w="15" w:type="dxa"/>
            </w:tcMar>
          </w:tcPr>
          <w:p w14:paraId="41AEA87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91.2</w:t>
            </w:r>
          </w:p>
        </w:tc>
        <w:tc>
          <w:tcPr>
            <w:tcW w:w="992" w:type="dxa"/>
            <w:shd w:val="clear" w:color="auto" w:fill="auto"/>
            <w:noWrap/>
            <w:tcMar>
              <w:top w:w="15" w:type="dxa"/>
              <w:left w:w="15" w:type="dxa"/>
              <w:bottom w:w="0" w:type="dxa"/>
              <w:right w:w="15" w:type="dxa"/>
            </w:tcMar>
          </w:tcPr>
          <w:p w14:paraId="6480DEF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8.8</w:t>
            </w:r>
          </w:p>
        </w:tc>
        <w:tc>
          <w:tcPr>
            <w:tcW w:w="851" w:type="dxa"/>
            <w:shd w:val="clear" w:color="auto" w:fill="auto"/>
            <w:noWrap/>
            <w:tcMar>
              <w:top w:w="15" w:type="dxa"/>
              <w:left w:w="15" w:type="dxa"/>
              <w:bottom w:w="0" w:type="dxa"/>
              <w:right w:w="15" w:type="dxa"/>
            </w:tcMar>
          </w:tcPr>
          <w:p w14:paraId="3EF6F430"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0.0</w:t>
            </w:r>
          </w:p>
        </w:tc>
        <w:tc>
          <w:tcPr>
            <w:tcW w:w="857" w:type="dxa"/>
            <w:shd w:val="clear" w:color="auto" w:fill="auto"/>
            <w:noWrap/>
            <w:tcMar>
              <w:top w:w="15" w:type="dxa"/>
              <w:left w:w="15" w:type="dxa"/>
              <w:bottom w:w="0" w:type="dxa"/>
              <w:right w:w="15" w:type="dxa"/>
            </w:tcMar>
          </w:tcPr>
          <w:p w14:paraId="2302A75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0.0</w:t>
            </w:r>
          </w:p>
        </w:tc>
      </w:tr>
      <w:tr w:rsidR="00CD5CB9" w:rsidRPr="00EA07DA" w14:paraId="4013B1C9"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4E28BE36"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315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prendas de vestir</w:t>
            </w:r>
          </w:p>
        </w:tc>
        <w:tc>
          <w:tcPr>
            <w:tcW w:w="850" w:type="dxa"/>
            <w:shd w:val="clear" w:color="auto" w:fill="auto"/>
            <w:noWrap/>
            <w:tcMar>
              <w:top w:w="15" w:type="dxa"/>
              <w:left w:w="15" w:type="dxa"/>
              <w:bottom w:w="0" w:type="dxa"/>
              <w:right w:w="15" w:type="dxa"/>
            </w:tcMar>
          </w:tcPr>
          <w:p w14:paraId="0C15EA7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84.4</w:t>
            </w:r>
          </w:p>
        </w:tc>
        <w:tc>
          <w:tcPr>
            <w:tcW w:w="997" w:type="dxa"/>
            <w:shd w:val="clear" w:color="auto" w:fill="auto"/>
            <w:noWrap/>
            <w:tcMar>
              <w:top w:w="15" w:type="dxa"/>
              <w:left w:w="15" w:type="dxa"/>
              <w:bottom w:w="0" w:type="dxa"/>
              <w:right w:w="15" w:type="dxa"/>
            </w:tcMar>
          </w:tcPr>
          <w:p w14:paraId="3FD1CB8D"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15.6</w:t>
            </w:r>
          </w:p>
        </w:tc>
        <w:tc>
          <w:tcPr>
            <w:tcW w:w="846" w:type="dxa"/>
            <w:shd w:val="clear" w:color="auto" w:fill="auto"/>
            <w:noWrap/>
            <w:tcMar>
              <w:top w:w="15" w:type="dxa"/>
              <w:left w:w="15" w:type="dxa"/>
              <w:bottom w:w="0" w:type="dxa"/>
              <w:right w:w="15" w:type="dxa"/>
            </w:tcMar>
          </w:tcPr>
          <w:p w14:paraId="6E7AA9A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85.9</w:t>
            </w:r>
          </w:p>
        </w:tc>
        <w:tc>
          <w:tcPr>
            <w:tcW w:w="992" w:type="dxa"/>
            <w:shd w:val="clear" w:color="auto" w:fill="auto"/>
            <w:noWrap/>
            <w:tcMar>
              <w:top w:w="15" w:type="dxa"/>
              <w:left w:w="15" w:type="dxa"/>
              <w:bottom w:w="0" w:type="dxa"/>
              <w:right w:w="15" w:type="dxa"/>
            </w:tcMar>
          </w:tcPr>
          <w:p w14:paraId="72CB45C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14.1</w:t>
            </w:r>
          </w:p>
        </w:tc>
        <w:tc>
          <w:tcPr>
            <w:tcW w:w="851" w:type="dxa"/>
            <w:shd w:val="clear" w:color="auto" w:fill="auto"/>
            <w:noWrap/>
            <w:tcMar>
              <w:top w:w="15" w:type="dxa"/>
              <w:left w:w="15" w:type="dxa"/>
              <w:bottom w:w="0" w:type="dxa"/>
              <w:right w:w="15" w:type="dxa"/>
            </w:tcMar>
          </w:tcPr>
          <w:p w14:paraId="7B41DD74"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1.5</w:t>
            </w:r>
          </w:p>
        </w:tc>
        <w:tc>
          <w:tcPr>
            <w:tcW w:w="857" w:type="dxa"/>
            <w:shd w:val="clear" w:color="auto" w:fill="auto"/>
            <w:noWrap/>
            <w:tcMar>
              <w:top w:w="15" w:type="dxa"/>
              <w:left w:w="15" w:type="dxa"/>
              <w:bottom w:w="0" w:type="dxa"/>
              <w:right w:w="15" w:type="dxa"/>
            </w:tcMar>
          </w:tcPr>
          <w:p w14:paraId="28D9A174"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-1.5</w:t>
            </w:r>
          </w:p>
        </w:tc>
      </w:tr>
      <w:tr w:rsidR="00CD5CB9" w:rsidRPr="00EA07DA" w14:paraId="7344C5A1"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4E985345"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316 </w:t>
            </w:r>
            <w:proofErr w:type="gramStart"/>
            <w:r w:rsidRPr="006E63EB">
              <w:rPr>
                <w:rFonts w:ascii="Arial" w:hAnsi="Arial" w:cs="Arial"/>
                <w:sz w:val="14"/>
                <w:szCs w:val="14"/>
              </w:rPr>
              <w:t>Curtido</w:t>
            </w:r>
            <w:proofErr w:type="gramEnd"/>
            <w:r w:rsidRPr="006E63EB">
              <w:rPr>
                <w:rFonts w:ascii="Arial" w:hAnsi="Arial" w:cs="Arial"/>
                <w:sz w:val="14"/>
                <w:szCs w:val="14"/>
              </w:rPr>
              <w:t xml:space="preserve"> y acabado de cuero y piel</w:t>
            </w:r>
          </w:p>
        </w:tc>
        <w:tc>
          <w:tcPr>
            <w:tcW w:w="850" w:type="dxa"/>
            <w:shd w:val="clear" w:color="auto" w:fill="auto"/>
            <w:noWrap/>
            <w:tcMar>
              <w:top w:w="15" w:type="dxa"/>
              <w:left w:w="15" w:type="dxa"/>
              <w:bottom w:w="0" w:type="dxa"/>
              <w:right w:w="15" w:type="dxa"/>
            </w:tcMar>
          </w:tcPr>
          <w:p w14:paraId="44BF637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88.6</w:t>
            </w:r>
          </w:p>
        </w:tc>
        <w:tc>
          <w:tcPr>
            <w:tcW w:w="997" w:type="dxa"/>
            <w:shd w:val="clear" w:color="auto" w:fill="auto"/>
            <w:noWrap/>
            <w:tcMar>
              <w:top w:w="15" w:type="dxa"/>
              <w:left w:w="15" w:type="dxa"/>
              <w:bottom w:w="0" w:type="dxa"/>
              <w:right w:w="15" w:type="dxa"/>
            </w:tcMar>
          </w:tcPr>
          <w:p w14:paraId="7D56DD0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11.4</w:t>
            </w:r>
          </w:p>
        </w:tc>
        <w:tc>
          <w:tcPr>
            <w:tcW w:w="846" w:type="dxa"/>
            <w:shd w:val="clear" w:color="auto" w:fill="auto"/>
            <w:noWrap/>
            <w:tcMar>
              <w:top w:w="15" w:type="dxa"/>
              <w:left w:w="15" w:type="dxa"/>
              <w:bottom w:w="0" w:type="dxa"/>
              <w:right w:w="15" w:type="dxa"/>
            </w:tcMar>
          </w:tcPr>
          <w:p w14:paraId="086A8D3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88.5</w:t>
            </w:r>
          </w:p>
        </w:tc>
        <w:tc>
          <w:tcPr>
            <w:tcW w:w="992" w:type="dxa"/>
            <w:shd w:val="clear" w:color="auto" w:fill="auto"/>
            <w:noWrap/>
            <w:tcMar>
              <w:top w:w="15" w:type="dxa"/>
              <w:left w:w="15" w:type="dxa"/>
              <w:bottom w:w="0" w:type="dxa"/>
              <w:right w:w="15" w:type="dxa"/>
            </w:tcMar>
          </w:tcPr>
          <w:p w14:paraId="7AB7726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11.5</w:t>
            </w:r>
          </w:p>
        </w:tc>
        <w:tc>
          <w:tcPr>
            <w:tcW w:w="851" w:type="dxa"/>
            <w:shd w:val="clear" w:color="auto" w:fill="auto"/>
            <w:noWrap/>
            <w:tcMar>
              <w:top w:w="15" w:type="dxa"/>
              <w:left w:w="15" w:type="dxa"/>
              <w:bottom w:w="0" w:type="dxa"/>
              <w:right w:w="15" w:type="dxa"/>
            </w:tcMar>
          </w:tcPr>
          <w:p w14:paraId="6AADD9CC"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-0.1</w:t>
            </w:r>
          </w:p>
        </w:tc>
        <w:tc>
          <w:tcPr>
            <w:tcW w:w="857" w:type="dxa"/>
            <w:shd w:val="clear" w:color="auto" w:fill="auto"/>
            <w:noWrap/>
            <w:tcMar>
              <w:top w:w="15" w:type="dxa"/>
              <w:left w:w="15" w:type="dxa"/>
              <w:bottom w:w="0" w:type="dxa"/>
              <w:right w:w="15" w:type="dxa"/>
            </w:tcMar>
          </w:tcPr>
          <w:p w14:paraId="2A89606B"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0.1</w:t>
            </w:r>
          </w:p>
        </w:tc>
      </w:tr>
      <w:tr w:rsidR="00CD5CB9" w:rsidRPr="00EA07DA" w14:paraId="5D148B27"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305EACBF"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321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de la madera</w:t>
            </w:r>
          </w:p>
        </w:tc>
        <w:tc>
          <w:tcPr>
            <w:tcW w:w="850" w:type="dxa"/>
            <w:shd w:val="clear" w:color="auto" w:fill="auto"/>
            <w:noWrap/>
            <w:tcMar>
              <w:top w:w="15" w:type="dxa"/>
              <w:left w:w="15" w:type="dxa"/>
              <w:bottom w:w="0" w:type="dxa"/>
              <w:right w:w="15" w:type="dxa"/>
            </w:tcMar>
          </w:tcPr>
          <w:p w14:paraId="3B15ED95"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80.7</w:t>
            </w:r>
          </w:p>
        </w:tc>
        <w:tc>
          <w:tcPr>
            <w:tcW w:w="997" w:type="dxa"/>
            <w:shd w:val="clear" w:color="auto" w:fill="auto"/>
            <w:noWrap/>
            <w:tcMar>
              <w:top w:w="15" w:type="dxa"/>
              <w:left w:w="15" w:type="dxa"/>
              <w:bottom w:w="0" w:type="dxa"/>
              <w:right w:w="15" w:type="dxa"/>
            </w:tcMar>
          </w:tcPr>
          <w:p w14:paraId="534850E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19.3</w:t>
            </w:r>
          </w:p>
        </w:tc>
        <w:tc>
          <w:tcPr>
            <w:tcW w:w="846" w:type="dxa"/>
            <w:shd w:val="clear" w:color="auto" w:fill="auto"/>
            <w:noWrap/>
            <w:tcMar>
              <w:top w:w="15" w:type="dxa"/>
              <w:left w:w="15" w:type="dxa"/>
              <w:bottom w:w="0" w:type="dxa"/>
              <w:right w:w="15" w:type="dxa"/>
            </w:tcMar>
          </w:tcPr>
          <w:p w14:paraId="1855B89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82.9</w:t>
            </w:r>
          </w:p>
        </w:tc>
        <w:tc>
          <w:tcPr>
            <w:tcW w:w="992" w:type="dxa"/>
            <w:shd w:val="clear" w:color="auto" w:fill="auto"/>
            <w:noWrap/>
            <w:tcMar>
              <w:top w:w="15" w:type="dxa"/>
              <w:left w:w="15" w:type="dxa"/>
              <w:bottom w:w="0" w:type="dxa"/>
              <w:right w:w="15" w:type="dxa"/>
            </w:tcMar>
          </w:tcPr>
          <w:p w14:paraId="2B96610D"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17.1</w:t>
            </w:r>
          </w:p>
        </w:tc>
        <w:tc>
          <w:tcPr>
            <w:tcW w:w="851" w:type="dxa"/>
            <w:shd w:val="clear" w:color="auto" w:fill="auto"/>
            <w:noWrap/>
            <w:tcMar>
              <w:top w:w="15" w:type="dxa"/>
              <w:left w:w="15" w:type="dxa"/>
              <w:bottom w:w="0" w:type="dxa"/>
              <w:right w:w="15" w:type="dxa"/>
            </w:tcMar>
          </w:tcPr>
          <w:p w14:paraId="4316096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2.2</w:t>
            </w:r>
          </w:p>
        </w:tc>
        <w:tc>
          <w:tcPr>
            <w:tcW w:w="857" w:type="dxa"/>
            <w:shd w:val="clear" w:color="auto" w:fill="auto"/>
            <w:noWrap/>
            <w:tcMar>
              <w:top w:w="15" w:type="dxa"/>
              <w:left w:w="15" w:type="dxa"/>
              <w:bottom w:w="0" w:type="dxa"/>
              <w:right w:w="15" w:type="dxa"/>
            </w:tcMar>
          </w:tcPr>
          <w:p w14:paraId="3F73EB3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-2.2</w:t>
            </w:r>
          </w:p>
        </w:tc>
      </w:tr>
      <w:tr w:rsidR="00CD5CB9" w:rsidRPr="00EA07DA" w14:paraId="634077CB"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782B4B01"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322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del papel</w:t>
            </w:r>
          </w:p>
        </w:tc>
        <w:tc>
          <w:tcPr>
            <w:tcW w:w="850" w:type="dxa"/>
            <w:shd w:val="clear" w:color="auto" w:fill="auto"/>
            <w:noWrap/>
            <w:tcMar>
              <w:top w:w="15" w:type="dxa"/>
              <w:left w:w="15" w:type="dxa"/>
              <w:bottom w:w="0" w:type="dxa"/>
              <w:right w:w="15" w:type="dxa"/>
            </w:tcMar>
          </w:tcPr>
          <w:p w14:paraId="2FE95E8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75.8</w:t>
            </w:r>
          </w:p>
        </w:tc>
        <w:tc>
          <w:tcPr>
            <w:tcW w:w="997" w:type="dxa"/>
            <w:shd w:val="clear" w:color="auto" w:fill="auto"/>
            <w:noWrap/>
            <w:tcMar>
              <w:top w:w="15" w:type="dxa"/>
              <w:left w:w="15" w:type="dxa"/>
              <w:bottom w:w="0" w:type="dxa"/>
              <w:right w:w="15" w:type="dxa"/>
            </w:tcMar>
          </w:tcPr>
          <w:p w14:paraId="26DC0995"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24.2</w:t>
            </w:r>
          </w:p>
        </w:tc>
        <w:tc>
          <w:tcPr>
            <w:tcW w:w="846" w:type="dxa"/>
            <w:shd w:val="clear" w:color="auto" w:fill="auto"/>
            <w:noWrap/>
            <w:tcMar>
              <w:top w:w="15" w:type="dxa"/>
              <w:left w:w="15" w:type="dxa"/>
              <w:bottom w:w="0" w:type="dxa"/>
              <w:right w:w="15" w:type="dxa"/>
            </w:tcMar>
          </w:tcPr>
          <w:p w14:paraId="626856D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74.9</w:t>
            </w:r>
          </w:p>
        </w:tc>
        <w:tc>
          <w:tcPr>
            <w:tcW w:w="992" w:type="dxa"/>
            <w:shd w:val="clear" w:color="auto" w:fill="auto"/>
            <w:noWrap/>
            <w:tcMar>
              <w:top w:w="15" w:type="dxa"/>
              <w:left w:w="15" w:type="dxa"/>
              <w:bottom w:w="0" w:type="dxa"/>
              <w:right w:w="15" w:type="dxa"/>
            </w:tcMar>
          </w:tcPr>
          <w:p w14:paraId="57D97643"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25.1</w:t>
            </w:r>
          </w:p>
        </w:tc>
        <w:tc>
          <w:tcPr>
            <w:tcW w:w="851" w:type="dxa"/>
            <w:shd w:val="clear" w:color="auto" w:fill="auto"/>
            <w:noWrap/>
            <w:tcMar>
              <w:top w:w="15" w:type="dxa"/>
              <w:left w:w="15" w:type="dxa"/>
              <w:bottom w:w="0" w:type="dxa"/>
              <w:right w:w="15" w:type="dxa"/>
            </w:tcMar>
          </w:tcPr>
          <w:p w14:paraId="4C9ACC9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-0.8</w:t>
            </w:r>
          </w:p>
        </w:tc>
        <w:tc>
          <w:tcPr>
            <w:tcW w:w="857" w:type="dxa"/>
            <w:shd w:val="clear" w:color="auto" w:fill="auto"/>
            <w:noWrap/>
            <w:tcMar>
              <w:top w:w="15" w:type="dxa"/>
              <w:left w:w="15" w:type="dxa"/>
              <w:bottom w:w="0" w:type="dxa"/>
              <w:right w:w="15" w:type="dxa"/>
            </w:tcMar>
          </w:tcPr>
          <w:p w14:paraId="69A7BE67"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0.8</w:t>
            </w:r>
          </w:p>
        </w:tc>
      </w:tr>
      <w:tr w:rsidR="00CD5CB9" w:rsidRPr="00EA07DA" w14:paraId="249FEDA2"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3B4082AF"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323 </w:t>
            </w:r>
            <w:proofErr w:type="gramStart"/>
            <w:r w:rsidRPr="006E63EB">
              <w:rPr>
                <w:rFonts w:ascii="Arial" w:hAnsi="Arial" w:cs="Arial"/>
                <w:sz w:val="14"/>
                <w:szCs w:val="14"/>
              </w:rPr>
              <w:t>Impresión</w:t>
            </w:r>
            <w:proofErr w:type="gramEnd"/>
            <w:r w:rsidRPr="006E63EB">
              <w:rPr>
                <w:rFonts w:ascii="Arial" w:hAnsi="Arial" w:cs="Arial"/>
                <w:sz w:val="14"/>
                <w:szCs w:val="14"/>
              </w:rPr>
              <w:t xml:space="preserve"> e industrias conexas</w:t>
            </w:r>
          </w:p>
        </w:tc>
        <w:tc>
          <w:tcPr>
            <w:tcW w:w="850" w:type="dxa"/>
            <w:shd w:val="clear" w:color="auto" w:fill="auto"/>
            <w:noWrap/>
            <w:tcMar>
              <w:top w:w="15" w:type="dxa"/>
              <w:left w:w="15" w:type="dxa"/>
              <w:bottom w:w="0" w:type="dxa"/>
              <w:right w:w="15" w:type="dxa"/>
            </w:tcMar>
          </w:tcPr>
          <w:p w14:paraId="34E2488B" w14:textId="77777777" w:rsidR="00CD5CB9" w:rsidRPr="00CD5CB9" w:rsidRDefault="00CD5CB9" w:rsidP="00CD5CB9">
            <w:pPr>
              <w:spacing w:after="0" w:line="240" w:lineRule="auto"/>
              <w:jc w:val="center"/>
              <w:rPr>
                <w:rFonts w:ascii="Arial" w:hAnsi="Arial" w:cs="Arial"/>
                <w:color w:val="FF0000"/>
                <w:sz w:val="14"/>
                <w:szCs w:val="14"/>
                <w:highlight w:val="yellow"/>
              </w:rPr>
            </w:pPr>
            <w:r w:rsidRPr="00CD5CB9">
              <w:rPr>
                <w:rFonts w:ascii="Arial" w:hAnsi="Arial" w:cs="Arial"/>
                <w:sz w:val="14"/>
                <w:szCs w:val="14"/>
              </w:rPr>
              <w:t>75.6</w:t>
            </w:r>
          </w:p>
        </w:tc>
        <w:tc>
          <w:tcPr>
            <w:tcW w:w="997" w:type="dxa"/>
            <w:shd w:val="clear" w:color="auto" w:fill="auto"/>
            <w:noWrap/>
            <w:tcMar>
              <w:top w:w="15" w:type="dxa"/>
              <w:left w:w="15" w:type="dxa"/>
              <w:bottom w:w="0" w:type="dxa"/>
              <w:right w:w="15" w:type="dxa"/>
            </w:tcMar>
          </w:tcPr>
          <w:p w14:paraId="6805D595" w14:textId="77777777" w:rsidR="00CD5CB9" w:rsidRPr="00CD5CB9" w:rsidRDefault="00CD5CB9" w:rsidP="00CD5CB9">
            <w:pPr>
              <w:spacing w:after="0" w:line="240" w:lineRule="auto"/>
              <w:jc w:val="center"/>
              <w:rPr>
                <w:rFonts w:ascii="Arial" w:hAnsi="Arial" w:cs="Arial"/>
                <w:color w:val="FF0000"/>
                <w:sz w:val="14"/>
                <w:szCs w:val="14"/>
                <w:highlight w:val="yellow"/>
              </w:rPr>
            </w:pPr>
            <w:r w:rsidRPr="00CD5CB9">
              <w:rPr>
                <w:rFonts w:ascii="Arial" w:hAnsi="Arial" w:cs="Arial"/>
                <w:sz w:val="14"/>
                <w:szCs w:val="14"/>
              </w:rPr>
              <w:t>24.4</w:t>
            </w:r>
          </w:p>
        </w:tc>
        <w:tc>
          <w:tcPr>
            <w:tcW w:w="846" w:type="dxa"/>
            <w:shd w:val="clear" w:color="auto" w:fill="auto"/>
            <w:noWrap/>
            <w:tcMar>
              <w:top w:w="15" w:type="dxa"/>
              <w:left w:w="15" w:type="dxa"/>
              <w:bottom w:w="0" w:type="dxa"/>
              <w:right w:w="15" w:type="dxa"/>
            </w:tcMar>
          </w:tcPr>
          <w:p w14:paraId="42DFB435" w14:textId="77777777" w:rsidR="00CD5CB9" w:rsidRPr="00CD5CB9" w:rsidRDefault="00CD5CB9" w:rsidP="00CD5CB9">
            <w:pPr>
              <w:spacing w:after="0" w:line="240" w:lineRule="auto"/>
              <w:jc w:val="center"/>
              <w:rPr>
                <w:rFonts w:ascii="Arial" w:hAnsi="Arial" w:cs="Arial"/>
                <w:color w:val="FF0000"/>
                <w:sz w:val="14"/>
                <w:szCs w:val="14"/>
                <w:highlight w:val="yellow"/>
              </w:rPr>
            </w:pPr>
            <w:r w:rsidRPr="00CD5CB9">
              <w:rPr>
                <w:rFonts w:ascii="Arial" w:hAnsi="Arial" w:cs="Arial"/>
                <w:sz w:val="14"/>
                <w:szCs w:val="14"/>
              </w:rPr>
              <w:t>79.0</w:t>
            </w:r>
          </w:p>
        </w:tc>
        <w:tc>
          <w:tcPr>
            <w:tcW w:w="992" w:type="dxa"/>
            <w:shd w:val="clear" w:color="auto" w:fill="auto"/>
            <w:noWrap/>
            <w:tcMar>
              <w:top w:w="15" w:type="dxa"/>
              <w:left w:w="15" w:type="dxa"/>
              <w:bottom w:w="0" w:type="dxa"/>
              <w:right w:w="15" w:type="dxa"/>
            </w:tcMar>
          </w:tcPr>
          <w:p w14:paraId="1B11317E" w14:textId="77777777" w:rsidR="00CD5CB9" w:rsidRPr="00CD5CB9" w:rsidRDefault="00CD5CB9" w:rsidP="00CD5CB9">
            <w:pPr>
              <w:spacing w:after="0" w:line="240" w:lineRule="auto"/>
              <w:jc w:val="center"/>
              <w:rPr>
                <w:rFonts w:ascii="Arial" w:hAnsi="Arial" w:cs="Arial"/>
                <w:color w:val="FF0000"/>
                <w:sz w:val="14"/>
                <w:szCs w:val="14"/>
                <w:highlight w:val="yellow"/>
              </w:rPr>
            </w:pPr>
            <w:r w:rsidRPr="00CD5CB9">
              <w:rPr>
                <w:rFonts w:ascii="Arial" w:hAnsi="Arial" w:cs="Arial"/>
                <w:sz w:val="14"/>
                <w:szCs w:val="14"/>
              </w:rPr>
              <w:t>21.0</w:t>
            </w:r>
          </w:p>
        </w:tc>
        <w:tc>
          <w:tcPr>
            <w:tcW w:w="851" w:type="dxa"/>
            <w:shd w:val="clear" w:color="auto" w:fill="auto"/>
            <w:noWrap/>
            <w:tcMar>
              <w:top w:w="15" w:type="dxa"/>
              <w:left w:w="15" w:type="dxa"/>
              <w:bottom w:w="0" w:type="dxa"/>
              <w:right w:w="15" w:type="dxa"/>
            </w:tcMar>
          </w:tcPr>
          <w:p w14:paraId="7DA47940"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3.5</w:t>
            </w:r>
          </w:p>
        </w:tc>
        <w:tc>
          <w:tcPr>
            <w:tcW w:w="857" w:type="dxa"/>
            <w:shd w:val="clear" w:color="auto" w:fill="auto"/>
            <w:noWrap/>
            <w:tcMar>
              <w:top w:w="15" w:type="dxa"/>
              <w:left w:w="15" w:type="dxa"/>
              <w:bottom w:w="0" w:type="dxa"/>
              <w:right w:w="15" w:type="dxa"/>
            </w:tcMar>
          </w:tcPr>
          <w:p w14:paraId="29CC7B3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-3.5</w:t>
            </w:r>
          </w:p>
        </w:tc>
      </w:tr>
      <w:tr w:rsidR="00CD5CB9" w:rsidRPr="00EA07DA" w14:paraId="1F42F9C6"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266C34F9"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324 </w:t>
            </w:r>
            <w:proofErr w:type="gramStart"/>
            <w:r w:rsidRPr="006E63EB">
              <w:rPr>
                <w:rFonts w:ascii="Arial" w:hAnsi="Arial" w:cs="Arial"/>
                <w:sz w:val="14"/>
                <w:szCs w:val="14"/>
              </w:rPr>
              <w:t>Productos</w:t>
            </w:r>
            <w:proofErr w:type="gramEnd"/>
            <w:r w:rsidRPr="006E63EB">
              <w:rPr>
                <w:rFonts w:ascii="Arial" w:hAnsi="Arial" w:cs="Arial"/>
                <w:sz w:val="14"/>
                <w:szCs w:val="14"/>
              </w:rPr>
              <w:t xml:space="preserve"> derivados del petróleo</w:t>
            </w:r>
          </w:p>
        </w:tc>
        <w:tc>
          <w:tcPr>
            <w:tcW w:w="850" w:type="dxa"/>
            <w:shd w:val="clear" w:color="auto" w:fill="auto"/>
            <w:noWrap/>
            <w:tcMar>
              <w:top w:w="15" w:type="dxa"/>
              <w:left w:w="15" w:type="dxa"/>
              <w:bottom w:w="0" w:type="dxa"/>
              <w:right w:w="15" w:type="dxa"/>
            </w:tcMar>
          </w:tcPr>
          <w:p w14:paraId="2038F51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92.1</w:t>
            </w:r>
          </w:p>
        </w:tc>
        <w:tc>
          <w:tcPr>
            <w:tcW w:w="997" w:type="dxa"/>
            <w:shd w:val="clear" w:color="auto" w:fill="auto"/>
            <w:noWrap/>
            <w:tcMar>
              <w:top w:w="15" w:type="dxa"/>
              <w:left w:w="15" w:type="dxa"/>
              <w:bottom w:w="0" w:type="dxa"/>
              <w:right w:w="15" w:type="dxa"/>
            </w:tcMar>
          </w:tcPr>
          <w:p w14:paraId="442076BC"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7.9</w:t>
            </w:r>
          </w:p>
        </w:tc>
        <w:tc>
          <w:tcPr>
            <w:tcW w:w="846" w:type="dxa"/>
            <w:shd w:val="clear" w:color="auto" w:fill="auto"/>
            <w:noWrap/>
            <w:tcMar>
              <w:top w:w="15" w:type="dxa"/>
              <w:left w:w="15" w:type="dxa"/>
              <w:bottom w:w="0" w:type="dxa"/>
              <w:right w:w="15" w:type="dxa"/>
            </w:tcMar>
          </w:tcPr>
          <w:p w14:paraId="2C77E74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92.2</w:t>
            </w:r>
          </w:p>
        </w:tc>
        <w:tc>
          <w:tcPr>
            <w:tcW w:w="992" w:type="dxa"/>
            <w:shd w:val="clear" w:color="auto" w:fill="auto"/>
            <w:noWrap/>
            <w:tcMar>
              <w:top w:w="15" w:type="dxa"/>
              <w:left w:w="15" w:type="dxa"/>
              <w:bottom w:w="0" w:type="dxa"/>
              <w:right w:w="15" w:type="dxa"/>
            </w:tcMar>
          </w:tcPr>
          <w:p w14:paraId="0EF09EF5"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7.8</w:t>
            </w:r>
          </w:p>
        </w:tc>
        <w:tc>
          <w:tcPr>
            <w:tcW w:w="851" w:type="dxa"/>
            <w:shd w:val="clear" w:color="auto" w:fill="auto"/>
            <w:noWrap/>
            <w:tcMar>
              <w:top w:w="15" w:type="dxa"/>
              <w:left w:w="15" w:type="dxa"/>
              <w:bottom w:w="0" w:type="dxa"/>
              <w:right w:w="15" w:type="dxa"/>
            </w:tcMar>
          </w:tcPr>
          <w:p w14:paraId="400EE2C3"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0.1</w:t>
            </w:r>
          </w:p>
        </w:tc>
        <w:tc>
          <w:tcPr>
            <w:tcW w:w="857" w:type="dxa"/>
            <w:shd w:val="clear" w:color="auto" w:fill="auto"/>
            <w:noWrap/>
            <w:tcMar>
              <w:top w:w="15" w:type="dxa"/>
              <w:left w:w="15" w:type="dxa"/>
              <w:bottom w:w="0" w:type="dxa"/>
              <w:right w:w="15" w:type="dxa"/>
            </w:tcMar>
          </w:tcPr>
          <w:p w14:paraId="161E30C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-0.1</w:t>
            </w:r>
          </w:p>
        </w:tc>
      </w:tr>
      <w:tr w:rsidR="00CD5CB9" w:rsidRPr="00EA07DA" w14:paraId="48E0B3FD"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6774D77A"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325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química</w:t>
            </w:r>
          </w:p>
        </w:tc>
        <w:tc>
          <w:tcPr>
            <w:tcW w:w="850" w:type="dxa"/>
            <w:shd w:val="clear" w:color="auto" w:fill="auto"/>
            <w:noWrap/>
            <w:tcMar>
              <w:top w:w="15" w:type="dxa"/>
              <w:left w:w="15" w:type="dxa"/>
              <w:bottom w:w="0" w:type="dxa"/>
              <w:right w:w="15" w:type="dxa"/>
            </w:tcMar>
          </w:tcPr>
          <w:p w14:paraId="087B462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68.8</w:t>
            </w:r>
          </w:p>
        </w:tc>
        <w:tc>
          <w:tcPr>
            <w:tcW w:w="997" w:type="dxa"/>
            <w:shd w:val="clear" w:color="auto" w:fill="auto"/>
            <w:noWrap/>
            <w:tcMar>
              <w:top w:w="15" w:type="dxa"/>
              <w:left w:w="15" w:type="dxa"/>
              <w:bottom w:w="0" w:type="dxa"/>
              <w:right w:w="15" w:type="dxa"/>
            </w:tcMar>
          </w:tcPr>
          <w:p w14:paraId="7C3F100B"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31.2</w:t>
            </w:r>
          </w:p>
        </w:tc>
        <w:tc>
          <w:tcPr>
            <w:tcW w:w="846" w:type="dxa"/>
            <w:shd w:val="clear" w:color="auto" w:fill="auto"/>
            <w:noWrap/>
            <w:tcMar>
              <w:top w:w="15" w:type="dxa"/>
              <w:left w:w="15" w:type="dxa"/>
              <w:bottom w:w="0" w:type="dxa"/>
              <w:right w:w="15" w:type="dxa"/>
            </w:tcMar>
          </w:tcPr>
          <w:p w14:paraId="1A5779F3"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69.1</w:t>
            </w:r>
          </w:p>
        </w:tc>
        <w:tc>
          <w:tcPr>
            <w:tcW w:w="992" w:type="dxa"/>
            <w:shd w:val="clear" w:color="auto" w:fill="auto"/>
            <w:noWrap/>
            <w:tcMar>
              <w:top w:w="15" w:type="dxa"/>
              <w:left w:w="15" w:type="dxa"/>
              <w:bottom w:w="0" w:type="dxa"/>
              <w:right w:w="15" w:type="dxa"/>
            </w:tcMar>
          </w:tcPr>
          <w:p w14:paraId="28EE0DC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30.9</w:t>
            </w:r>
          </w:p>
        </w:tc>
        <w:tc>
          <w:tcPr>
            <w:tcW w:w="851" w:type="dxa"/>
            <w:shd w:val="clear" w:color="auto" w:fill="auto"/>
            <w:noWrap/>
            <w:tcMar>
              <w:top w:w="15" w:type="dxa"/>
              <w:left w:w="15" w:type="dxa"/>
              <w:bottom w:w="0" w:type="dxa"/>
              <w:right w:w="15" w:type="dxa"/>
            </w:tcMar>
          </w:tcPr>
          <w:p w14:paraId="4F94905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0.3</w:t>
            </w:r>
          </w:p>
        </w:tc>
        <w:tc>
          <w:tcPr>
            <w:tcW w:w="857" w:type="dxa"/>
            <w:shd w:val="clear" w:color="auto" w:fill="auto"/>
            <w:noWrap/>
            <w:tcMar>
              <w:top w:w="15" w:type="dxa"/>
              <w:left w:w="15" w:type="dxa"/>
              <w:bottom w:w="0" w:type="dxa"/>
              <w:right w:w="15" w:type="dxa"/>
            </w:tcMar>
          </w:tcPr>
          <w:p w14:paraId="117176A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-0.3</w:t>
            </w:r>
          </w:p>
        </w:tc>
      </w:tr>
      <w:tr w:rsidR="00CD5CB9" w:rsidRPr="00EA07DA" w14:paraId="332E554E"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6F65BEE8"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326 </w:t>
            </w:r>
            <w:proofErr w:type="gramStart"/>
            <w:r w:rsidRPr="006E63EB">
              <w:rPr>
                <w:rFonts w:ascii="Arial" w:hAnsi="Arial" w:cs="Arial"/>
                <w:sz w:val="14"/>
                <w:szCs w:val="14"/>
              </w:rPr>
              <w:t>Industria</w:t>
            </w:r>
            <w:proofErr w:type="gramEnd"/>
            <w:r w:rsidRPr="006E63EB">
              <w:rPr>
                <w:rFonts w:ascii="Arial" w:hAnsi="Arial" w:cs="Arial"/>
                <w:sz w:val="14"/>
                <w:szCs w:val="14"/>
              </w:rPr>
              <w:t xml:space="preserve"> del plástico y del hule</w:t>
            </w:r>
          </w:p>
        </w:tc>
        <w:tc>
          <w:tcPr>
            <w:tcW w:w="850" w:type="dxa"/>
            <w:shd w:val="clear" w:color="auto" w:fill="auto"/>
            <w:noWrap/>
            <w:tcMar>
              <w:top w:w="15" w:type="dxa"/>
              <w:left w:w="15" w:type="dxa"/>
              <w:bottom w:w="0" w:type="dxa"/>
              <w:right w:w="15" w:type="dxa"/>
            </w:tcMar>
          </w:tcPr>
          <w:p w14:paraId="2D59CDDB"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67.7</w:t>
            </w:r>
          </w:p>
        </w:tc>
        <w:tc>
          <w:tcPr>
            <w:tcW w:w="997" w:type="dxa"/>
            <w:shd w:val="clear" w:color="auto" w:fill="auto"/>
            <w:noWrap/>
            <w:tcMar>
              <w:top w:w="15" w:type="dxa"/>
              <w:left w:w="15" w:type="dxa"/>
              <w:bottom w:w="0" w:type="dxa"/>
              <w:right w:w="15" w:type="dxa"/>
            </w:tcMar>
          </w:tcPr>
          <w:p w14:paraId="693B22E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32.3</w:t>
            </w:r>
          </w:p>
        </w:tc>
        <w:tc>
          <w:tcPr>
            <w:tcW w:w="846" w:type="dxa"/>
            <w:shd w:val="clear" w:color="auto" w:fill="auto"/>
            <w:noWrap/>
            <w:tcMar>
              <w:top w:w="15" w:type="dxa"/>
              <w:left w:w="15" w:type="dxa"/>
              <w:bottom w:w="0" w:type="dxa"/>
              <w:right w:w="15" w:type="dxa"/>
            </w:tcMar>
          </w:tcPr>
          <w:p w14:paraId="1CB6B15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70.2</w:t>
            </w:r>
          </w:p>
        </w:tc>
        <w:tc>
          <w:tcPr>
            <w:tcW w:w="992" w:type="dxa"/>
            <w:shd w:val="clear" w:color="auto" w:fill="auto"/>
            <w:noWrap/>
            <w:tcMar>
              <w:top w:w="15" w:type="dxa"/>
              <w:left w:w="15" w:type="dxa"/>
              <w:bottom w:w="0" w:type="dxa"/>
              <w:right w:w="15" w:type="dxa"/>
            </w:tcMar>
          </w:tcPr>
          <w:p w14:paraId="27BD292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29.8</w:t>
            </w:r>
          </w:p>
        </w:tc>
        <w:tc>
          <w:tcPr>
            <w:tcW w:w="851" w:type="dxa"/>
            <w:shd w:val="clear" w:color="auto" w:fill="auto"/>
            <w:noWrap/>
            <w:tcMar>
              <w:top w:w="15" w:type="dxa"/>
              <w:left w:w="15" w:type="dxa"/>
              <w:bottom w:w="0" w:type="dxa"/>
              <w:right w:w="15" w:type="dxa"/>
            </w:tcMar>
          </w:tcPr>
          <w:p w14:paraId="1EE05D8A"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2.4</w:t>
            </w:r>
          </w:p>
        </w:tc>
        <w:tc>
          <w:tcPr>
            <w:tcW w:w="857" w:type="dxa"/>
            <w:shd w:val="clear" w:color="auto" w:fill="auto"/>
            <w:noWrap/>
            <w:tcMar>
              <w:top w:w="15" w:type="dxa"/>
              <w:left w:w="15" w:type="dxa"/>
              <w:bottom w:w="0" w:type="dxa"/>
              <w:right w:w="15" w:type="dxa"/>
            </w:tcMar>
          </w:tcPr>
          <w:p w14:paraId="20713C9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-2.4</w:t>
            </w:r>
          </w:p>
        </w:tc>
      </w:tr>
      <w:tr w:rsidR="00CD5CB9" w:rsidRPr="00EA07DA" w14:paraId="48B6DED6"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138B731F"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327 </w:t>
            </w:r>
            <w:proofErr w:type="gramStart"/>
            <w:r w:rsidRPr="006E63EB">
              <w:rPr>
                <w:rFonts w:ascii="Arial" w:hAnsi="Arial" w:cs="Arial"/>
                <w:sz w:val="14"/>
                <w:szCs w:val="14"/>
              </w:rPr>
              <w:t>Productos</w:t>
            </w:r>
            <w:proofErr w:type="gramEnd"/>
            <w:r w:rsidRPr="006E63EB">
              <w:rPr>
                <w:rFonts w:ascii="Arial" w:hAnsi="Arial" w:cs="Arial"/>
                <w:sz w:val="14"/>
                <w:szCs w:val="14"/>
              </w:rPr>
              <w:t xml:space="preserve"> a base de minerales no metálicos</w:t>
            </w:r>
          </w:p>
        </w:tc>
        <w:tc>
          <w:tcPr>
            <w:tcW w:w="850" w:type="dxa"/>
            <w:shd w:val="clear" w:color="auto" w:fill="auto"/>
            <w:noWrap/>
            <w:tcMar>
              <w:top w:w="15" w:type="dxa"/>
              <w:left w:w="15" w:type="dxa"/>
              <w:bottom w:w="0" w:type="dxa"/>
              <w:right w:w="15" w:type="dxa"/>
            </w:tcMar>
          </w:tcPr>
          <w:p w14:paraId="67CC214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59.0</w:t>
            </w:r>
          </w:p>
        </w:tc>
        <w:tc>
          <w:tcPr>
            <w:tcW w:w="997" w:type="dxa"/>
            <w:shd w:val="clear" w:color="auto" w:fill="auto"/>
            <w:noWrap/>
            <w:tcMar>
              <w:top w:w="15" w:type="dxa"/>
              <w:left w:w="15" w:type="dxa"/>
              <w:bottom w:w="0" w:type="dxa"/>
              <w:right w:w="15" w:type="dxa"/>
            </w:tcMar>
          </w:tcPr>
          <w:p w14:paraId="1D26C49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41.0</w:t>
            </w:r>
          </w:p>
        </w:tc>
        <w:tc>
          <w:tcPr>
            <w:tcW w:w="846" w:type="dxa"/>
            <w:shd w:val="clear" w:color="auto" w:fill="auto"/>
            <w:noWrap/>
            <w:tcMar>
              <w:top w:w="15" w:type="dxa"/>
              <w:left w:w="15" w:type="dxa"/>
              <w:bottom w:w="0" w:type="dxa"/>
              <w:right w:w="15" w:type="dxa"/>
            </w:tcMar>
          </w:tcPr>
          <w:p w14:paraId="7351B0F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59.3</w:t>
            </w:r>
          </w:p>
        </w:tc>
        <w:tc>
          <w:tcPr>
            <w:tcW w:w="992" w:type="dxa"/>
            <w:shd w:val="clear" w:color="auto" w:fill="auto"/>
            <w:noWrap/>
            <w:tcMar>
              <w:top w:w="15" w:type="dxa"/>
              <w:left w:w="15" w:type="dxa"/>
              <w:bottom w:w="0" w:type="dxa"/>
              <w:right w:w="15" w:type="dxa"/>
            </w:tcMar>
          </w:tcPr>
          <w:p w14:paraId="1FFF168D"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40.7</w:t>
            </w:r>
          </w:p>
        </w:tc>
        <w:tc>
          <w:tcPr>
            <w:tcW w:w="851" w:type="dxa"/>
            <w:shd w:val="clear" w:color="auto" w:fill="auto"/>
            <w:noWrap/>
            <w:tcMar>
              <w:top w:w="15" w:type="dxa"/>
              <w:left w:w="15" w:type="dxa"/>
              <w:bottom w:w="0" w:type="dxa"/>
              <w:right w:w="15" w:type="dxa"/>
            </w:tcMar>
          </w:tcPr>
          <w:p w14:paraId="1810EDD3"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0.3</w:t>
            </w:r>
          </w:p>
        </w:tc>
        <w:tc>
          <w:tcPr>
            <w:tcW w:w="857" w:type="dxa"/>
            <w:shd w:val="clear" w:color="auto" w:fill="auto"/>
            <w:noWrap/>
            <w:tcMar>
              <w:top w:w="15" w:type="dxa"/>
              <w:left w:w="15" w:type="dxa"/>
              <w:bottom w:w="0" w:type="dxa"/>
              <w:right w:w="15" w:type="dxa"/>
            </w:tcMar>
          </w:tcPr>
          <w:p w14:paraId="5C807FE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-0.3</w:t>
            </w:r>
          </w:p>
        </w:tc>
      </w:tr>
      <w:tr w:rsidR="00CD5CB9" w:rsidRPr="00EA07DA" w14:paraId="316D7B7B"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2A8F9A80"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331 </w:t>
            </w:r>
            <w:proofErr w:type="gramStart"/>
            <w:r w:rsidRPr="006E63EB">
              <w:rPr>
                <w:rFonts w:ascii="Arial" w:hAnsi="Arial" w:cs="Arial"/>
                <w:sz w:val="14"/>
                <w:szCs w:val="14"/>
              </w:rPr>
              <w:t>Industrias</w:t>
            </w:r>
            <w:proofErr w:type="gramEnd"/>
            <w:r w:rsidRPr="006E63EB">
              <w:rPr>
                <w:rFonts w:ascii="Arial" w:hAnsi="Arial" w:cs="Arial"/>
                <w:sz w:val="14"/>
                <w:szCs w:val="14"/>
              </w:rPr>
              <w:t xml:space="preserve"> metálicas básicas</w:t>
            </w:r>
          </w:p>
        </w:tc>
        <w:tc>
          <w:tcPr>
            <w:tcW w:w="850" w:type="dxa"/>
            <w:shd w:val="clear" w:color="auto" w:fill="auto"/>
            <w:noWrap/>
            <w:tcMar>
              <w:top w:w="15" w:type="dxa"/>
              <w:left w:w="15" w:type="dxa"/>
              <w:bottom w:w="0" w:type="dxa"/>
              <w:right w:w="15" w:type="dxa"/>
            </w:tcMar>
          </w:tcPr>
          <w:p w14:paraId="6226E36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65.0</w:t>
            </w:r>
          </w:p>
        </w:tc>
        <w:tc>
          <w:tcPr>
            <w:tcW w:w="997" w:type="dxa"/>
            <w:shd w:val="clear" w:color="auto" w:fill="auto"/>
            <w:noWrap/>
            <w:tcMar>
              <w:top w:w="15" w:type="dxa"/>
              <w:left w:w="15" w:type="dxa"/>
              <w:bottom w:w="0" w:type="dxa"/>
              <w:right w:w="15" w:type="dxa"/>
            </w:tcMar>
          </w:tcPr>
          <w:p w14:paraId="08EF14DB"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35.0</w:t>
            </w:r>
          </w:p>
        </w:tc>
        <w:tc>
          <w:tcPr>
            <w:tcW w:w="846" w:type="dxa"/>
            <w:shd w:val="clear" w:color="auto" w:fill="auto"/>
            <w:noWrap/>
            <w:tcMar>
              <w:top w:w="15" w:type="dxa"/>
              <w:left w:w="15" w:type="dxa"/>
              <w:bottom w:w="0" w:type="dxa"/>
              <w:right w:w="15" w:type="dxa"/>
            </w:tcMar>
          </w:tcPr>
          <w:p w14:paraId="56FFC3A3"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65.1</w:t>
            </w:r>
          </w:p>
        </w:tc>
        <w:tc>
          <w:tcPr>
            <w:tcW w:w="992" w:type="dxa"/>
            <w:shd w:val="clear" w:color="auto" w:fill="auto"/>
            <w:noWrap/>
            <w:tcMar>
              <w:top w:w="15" w:type="dxa"/>
              <w:left w:w="15" w:type="dxa"/>
              <w:bottom w:w="0" w:type="dxa"/>
              <w:right w:w="15" w:type="dxa"/>
            </w:tcMar>
          </w:tcPr>
          <w:p w14:paraId="2D01394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34.9</w:t>
            </w:r>
          </w:p>
        </w:tc>
        <w:tc>
          <w:tcPr>
            <w:tcW w:w="851" w:type="dxa"/>
            <w:shd w:val="clear" w:color="auto" w:fill="auto"/>
            <w:noWrap/>
            <w:tcMar>
              <w:top w:w="15" w:type="dxa"/>
              <w:left w:w="15" w:type="dxa"/>
              <w:bottom w:w="0" w:type="dxa"/>
              <w:right w:w="15" w:type="dxa"/>
            </w:tcMar>
          </w:tcPr>
          <w:p w14:paraId="22FE41D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0.1</w:t>
            </w:r>
          </w:p>
        </w:tc>
        <w:tc>
          <w:tcPr>
            <w:tcW w:w="857" w:type="dxa"/>
            <w:shd w:val="clear" w:color="auto" w:fill="auto"/>
            <w:noWrap/>
            <w:tcMar>
              <w:top w:w="15" w:type="dxa"/>
              <w:left w:w="15" w:type="dxa"/>
              <w:bottom w:w="0" w:type="dxa"/>
              <w:right w:w="15" w:type="dxa"/>
            </w:tcMar>
          </w:tcPr>
          <w:p w14:paraId="0F2FA22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-0.1</w:t>
            </w:r>
          </w:p>
        </w:tc>
      </w:tr>
      <w:tr w:rsidR="00CD5CB9" w:rsidRPr="00EA07DA" w14:paraId="2BE7638B"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5026DD13"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332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productos metálicos</w:t>
            </w:r>
          </w:p>
        </w:tc>
        <w:tc>
          <w:tcPr>
            <w:tcW w:w="850" w:type="dxa"/>
            <w:shd w:val="clear" w:color="auto" w:fill="auto"/>
            <w:noWrap/>
            <w:tcMar>
              <w:top w:w="15" w:type="dxa"/>
              <w:left w:w="15" w:type="dxa"/>
              <w:bottom w:w="0" w:type="dxa"/>
              <w:right w:w="15" w:type="dxa"/>
            </w:tcMar>
          </w:tcPr>
          <w:p w14:paraId="7DFBEF00"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82.3</w:t>
            </w:r>
          </w:p>
        </w:tc>
        <w:tc>
          <w:tcPr>
            <w:tcW w:w="997" w:type="dxa"/>
            <w:shd w:val="clear" w:color="auto" w:fill="auto"/>
            <w:noWrap/>
            <w:tcMar>
              <w:top w:w="15" w:type="dxa"/>
              <w:left w:w="15" w:type="dxa"/>
              <w:bottom w:w="0" w:type="dxa"/>
              <w:right w:w="15" w:type="dxa"/>
            </w:tcMar>
          </w:tcPr>
          <w:p w14:paraId="450CCFA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17.7</w:t>
            </w:r>
          </w:p>
        </w:tc>
        <w:tc>
          <w:tcPr>
            <w:tcW w:w="846" w:type="dxa"/>
            <w:shd w:val="clear" w:color="auto" w:fill="auto"/>
            <w:noWrap/>
            <w:tcMar>
              <w:top w:w="15" w:type="dxa"/>
              <w:left w:w="15" w:type="dxa"/>
              <w:bottom w:w="0" w:type="dxa"/>
              <w:right w:w="15" w:type="dxa"/>
            </w:tcMar>
          </w:tcPr>
          <w:p w14:paraId="178829A5"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81.8</w:t>
            </w:r>
          </w:p>
        </w:tc>
        <w:tc>
          <w:tcPr>
            <w:tcW w:w="992" w:type="dxa"/>
            <w:shd w:val="clear" w:color="auto" w:fill="auto"/>
            <w:noWrap/>
            <w:tcMar>
              <w:top w:w="15" w:type="dxa"/>
              <w:left w:w="15" w:type="dxa"/>
              <w:bottom w:w="0" w:type="dxa"/>
              <w:right w:w="15" w:type="dxa"/>
            </w:tcMar>
          </w:tcPr>
          <w:p w14:paraId="5DB253D7"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18.2</w:t>
            </w:r>
          </w:p>
        </w:tc>
        <w:tc>
          <w:tcPr>
            <w:tcW w:w="851" w:type="dxa"/>
            <w:shd w:val="clear" w:color="auto" w:fill="auto"/>
            <w:noWrap/>
            <w:tcMar>
              <w:top w:w="15" w:type="dxa"/>
              <w:left w:w="15" w:type="dxa"/>
              <w:bottom w:w="0" w:type="dxa"/>
              <w:right w:w="15" w:type="dxa"/>
            </w:tcMar>
          </w:tcPr>
          <w:p w14:paraId="1D474217"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-0.5</w:t>
            </w:r>
          </w:p>
        </w:tc>
        <w:tc>
          <w:tcPr>
            <w:tcW w:w="857" w:type="dxa"/>
            <w:shd w:val="clear" w:color="auto" w:fill="auto"/>
            <w:noWrap/>
            <w:tcMar>
              <w:top w:w="15" w:type="dxa"/>
              <w:left w:w="15" w:type="dxa"/>
              <w:bottom w:w="0" w:type="dxa"/>
              <w:right w:w="15" w:type="dxa"/>
            </w:tcMar>
          </w:tcPr>
          <w:p w14:paraId="51BF1DCF"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0.5</w:t>
            </w:r>
          </w:p>
        </w:tc>
      </w:tr>
      <w:tr w:rsidR="00CD5CB9" w:rsidRPr="00EA07DA" w14:paraId="67A280EF"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66E2A110"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333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maquinaria y equipo</w:t>
            </w:r>
          </w:p>
        </w:tc>
        <w:tc>
          <w:tcPr>
            <w:tcW w:w="850" w:type="dxa"/>
            <w:shd w:val="clear" w:color="auto" w:fill="auto"/>
            <w:noWrap/>
            <w:tcMar>
              <w:top w:w="15" w:type="dxa"/>
              <w:left w:w="15" w:type="dxa"/>
              <w:bottom w:w="0" w:type="dxa"/>
              <w:right w:w="15" w:type="dxa"/>
            </w:tcMar>
          </w:tcPr>
          <w:p w14:paraId="1F49CD4A"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77.9</w:t>
            </w:r>
          </w:p>
        </w:tc>
        <w:tc>
          <w:tcPr>
            <w:tcW w:w="997" w:type="dxa"/>
            <w:shd w:val="clear" w:color="auto" w:fill="auto"/>
            <w:noWrap/>
            <w:tcMar>
              <w:top w:w="15" w:type="dxa"/>
              <w:left w:w="15" w:type="dxa"/>
              <w:bottom w:w="0" w:type="dxa"/>
              <w:right w:w="15" w:type="dxa"/>
            </w:tcMar>
          </w:tcPr>
          <w:p w14:paraId="6D5547A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22.1</w:t>
            </w:r>
          </w:p>
        </w:tc>
        <w:tc>
          <w:tcPr>
            <w:tcW w:w="846" w:type="dxa"/>
            <w:shd w:val="clear" w:color="auto" w:fill="auto"/>
            <w:noWrap/>
            <w:tcMar>
              <w:top w:w="15" w:type="dxa"/>
              <w:left w:w="15" w:type="dxa"/>
              <w:bottom w:w="0" w:type="dxa"/>
              <w:right w:w="15" w:type="dxa"/>
            </w:tcMar>
          </w:tcPr>
          <w:p w14:paraId="7BA9CAB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78.7</w:t>
            </w:r>
          </w:p>
        </w:tc>
        <w:tc>
          <w:tcPr>
            <w:tcW w:w="992" w:type="dxa"/>
            <w:shd w:val="clear" w:color="auto" w:fill="auto"/>
            <w:noWrap/>
            <w:tcMar>
              <w:top w:w="15" w:type="dxa"/>
              <w:left w:w="15" w:type="dxa"/>
              <w:bottom w:w="0" w:type="dxa"/>
              <w:right w:w="15" w:type="dxa"/>
            </w:tcMar>
          </w:tcPr>
          <w:p w14:paraId="3BD2EFF4"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21.3</w:t>
            </w:r>
          </w:p>
        </w:tc>
        <w:tc>
          <w:tcPr>
            <w:tcW w:w="851" w:type="dxa"/>
            <w:shd w:val="clear" w:color="auto" w:fill="auto"/>
            <w:noWrap/>
            <w:tcMar>
              <w:top w:w="15" w:type="dxa"/>
              <w:left w:w="15" w:type="dxa"/>
              <w:bottom w:w="0" w:type="dxa"/>
              <w:right w:w="15" w:type="dxa"/>
            </w:tcMar>
          </w:tcPr>
          <w:p w14:paraId="264C27E7"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0.8</w:t>
            </w:r>
          </w:p>
        </w:tc>
        <w:tc>
          <w:tcPr>
            <w:tcW w:w="857" w:type="dxa"/>
            <w:shd w:val="clear" w:color="auto" w:fill="auto"/>
            <w:noWrap/>
            <w:tcMar>
              <w:top w:w="15" w:type="dxa"/>
              <w:left w:w="15" w:type="dxa"/>
              <w:bottom w:w="0" w:type="dxa"/>
              <w:right w:w="15" w:type="dxa"/>
            </w:tcMar>
          </w:tcPr>
          <w:p w14:paraId="52A38E9A"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-0.8</w:t>
            </w:r>
          </w:p>
        </w:tc>
      </w:tr>
      <w:tr w:rsidR="00CD5CB9" w:rsidRPr="00EA07DA" w14:paraId="44882184"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60394C9B"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334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equipo de computación</w:t>
            </w:r>
          </w:p>
        </w:tc>
        <w:tc>
          <w:tcPr>
            <w:tcW w:w="850" w:type="dxa"/>
            <w:shd w:val="clear" w:color="auto" w:fill="auto"/>
            <w:noWrap/>
            <w:tcMar>
              <w:top w:w="15" w:type="dxa"/>
              <w:left w:w="15" w:type="dxa"/>
              <w:bottom w:w="0" w:type="dxa"/>
              <w:right w:w="15" w:type="dxa"/>
            </w:tcMar>
          </w:tcPr>
          <w:p w14:paraId="113CB2D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91.7</w:t>
            </w:r>
          </w:p>
        </w:tc>
        <w:tc>
          <w:tcPr>
            <w:tcW w:w="997" w:type="dxa"/>
            <w:shd w:val="clear" w:color="auto" w:fill="auto"/>
            <w:noWrap/>
            <w:tcMar>
              <w:top w:w="15" w:type="dxa"/>
              <w:left w:w="15" w:type="dxa"/>
              <w:bottom w:w="0" w:type="dxa"/>
              <w:right w:w="15" w:type="dxa"/>
            </w:tcMar>
          </w:tcPr>
          <w:p w14:paraId="60A5EED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8.3</w:t>
            </w:r>
          </w:p>
        </w:tc>
        <w:tc>
          <w:tcPr>
            <w:tcW w:w="846" w:type="dxa"/>
            <w:shd w:val="clear" w:color="auto" w:fill="auto"/>
            <w:noWrap/>
            <w:tcMar>
              <w:top w:w="15" w:type="dxa"/>
              <w:left w:w="15" w:type="dxa"/>
              <w:bottom w:w="0" w:type="dxa"/>
              <w:right w:w="15" w:type="dxa"/>
            </w:tcMar>
          </w:tcPr>
          <w:p w14:paraId="58C7CCC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90.4</w:t>
            </w:r>
          </w:p>
        </w:tc>
        <w:tc>
          <w:tcPr>
            <w:tcW w:w="992" w:type="dxa"/>
            <w:shd w:val="clear" w:color="auto" w:fill="auto"/>
            <w:noWrap/>
            <w:tcMar>
              <w:top w:w="15" w:type="dxa"/>
              <w:left w:w="15" w:type="dxa"/>
              <w:bottom w:w="0" w:type="dxa"/>
              <w:right w:w="15" w:type="dxa"/>
            </w:tcMar>
          </w:tcPr>
          <w:p w14:paraId="0407A3A5"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9.6</w:t>
            </w:r>
          </w:p>
        </w:tc>
        <w:tc>
          <w:tcPr>
            <w:tcW w:w="851" w:type="dxa"/>
            <w:shd w:val="clear" w:color="auto" w:fill="auto"/>
            <w:noWrap/>
            <w:tcMar>
              <w:top w:w="15" w:type="dxa"/>
              <w:left w:w="15" w:type="dxa"/>
              <w:bottom w:w="0" w:type="dxa"/>
              <w:right w:w="15" w:type="dxa"/>
            </w:tcMar>
          </w:tcPr>
          <w:p w14:paraId="341DB10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-1.3</w:t>
            </w:r>
          </w:p>
        </w:tc>
        <w:tc>
          <w:tcPr>
            <w:tcW w:w="857" w:type="dxa"/>
            <w:shd w:val="clear" w:color="auto" w:fill="auto"/>
            <w:noWrap/>
            <w:tcMar>
              <w:top w:w="15" w:type="dxa"/>
              <w:left w:w="15" w:type="dxa"/>
              <w:bottom w:w="0" w:type="dxa"/>
              <w:right w:w="15" w:type="dxa"/>
            </w:tcMar>
          </w:tcPr>
          <w:p w14:paraId="721C58D0"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1.3</w:t>
            </w:r>
          </w:p>
        </w:tc>
      </w:tr>
      <w:tr w:rsidR="00CD5CB9" w:rsidRPr="00EA07DA" w14:paraId="012761AF"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357AABD5"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335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aparatos eléctricos</w:t>
            </w:r>
          </w:p>
        </w:tc>
        <w:tc>
          <w:tcPr>
            <w:tcW w:w="850" w:type="dxa"/>
            <w:shd w:val="clear" w:color="auto" w:fill="auto"/>
            <w:noWrap/>
            <w:tcMar>
              <w:top w:w="15" w:type="dxa"/>
              <w:left w:w="15" w:type="dxa"/>
              <w:bottom w:w="0" w:type="dxa"/>
              <w:right w:w="15" w:type="dxa"/>
            </w:tcMar>
          </w:tcPr>
          <w:p w14:paraId="3E1ECCEA"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75.2</w:t>
            </w:r>
          </w:p>
        </w:tc>
        <w:tc>
          <w:tcPr>
            <w:tcW w:w="997" w:type="dxa"/>
            <w:shd w:val="clear" w:color="auto" w:fill="auto"/>
            <w:noWrap/>
            <w:tcMar>
              <w:top w:w="15" w:type="dxa"/>
              <w:left w:w="15" w:type="dxa"/>
              <w:bottom w:w="0" w:type="dxa"/>
              <w:right w:w="15" w:type="dxa"/>
            </w:tcMar>
          </w:tcPr>
          <w:p w14:paraId="3EA8123D"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24.8</w:t>
            </w:r>
          </w:p>
        </w:tc>
        <w:tc>
          <w:tcPr>
            <w:tcW w:w="846" w:type="dxa"/>
            <w:shd w:val="clear" w:color="auto" w:fill="auto"/>
            <w:noWrap/>
            <w:tcMar>
              <w:top w:w="15" w:type="dxa"/>
              <w:left w:w="15" w:type="dxa"/>
              <w:bottom w:w="0" w:type="dxa"/>
              <w:right w:w="15" w:type="dxa"/>
            </w:tcMar>
          </w:tcPr>
          <w:p w14:paraId="50D070D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74.7</w:t>
            </w:r>
          </w:p>
        </w:tc>
        <w:tc>
          <w:tcPr>
            <w:tcW w:w="992" w:type="dxa"/>
            <w:shd w:val="clear" w:color="auto" w:fill="auto"/>
            <w:noWrap/>
            <w:tcMar>
              <w:top w:w="15" w:type="dxa"/>
              <w:left w:w="15" w:type="dxa"/>
              <w:bottom w:w="0" w:type="dxa"/>
              <w:right w:w="15" w:type="dxa"/>
            </w:tcMar>
          </w:tcPr>
          <w:p w14:paraId="678601A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25.3</w:t>
            </w:r>
          </w:p>
        </w:tc>
        <w:tc>
          <w:tcPr>
            <w:tcW w:w="851" w:type="dxa"/>
            <w:shd w:val="clear" w:color="auto" w:fill="auto"/>
            <w:noWrap/>
            <w:tcMar>
              <w:top w:w="15" w:type="dxa"/>
              <w:left w:w="15" w:type="dxa"/>
              <w:bottom w:w="0" w:type="dxa"/>
              <w:right w:w="15" w:type="dxa"/>
            </w:tcMar>
          </w:tcPr>
          <w:p w14:paraId="1AF984A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-0.5</w:t>
            </w:r>
          </w:p>
        </w:tc>
        <w:tc>
          <w:tcPr>
            <w:tcW w:w="857" w:type="dxa"/>
            <w:shd w:val="clear" w:color="auto" w:fill="auto"/>
            <w:noWrap/>
            <w:tcMar>
              <w:top w:w="15" w:type="dxa"/>
              <w:left w:w="15" w:type="dxa"/>
              <w:bottom w:w="0" w:type="dxa"/>
              <w:right w:w="15" w:type="dxa"/>
            </w:tcMar>
          </w:tcPr>
          <w:p w14:paraId="716314F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0.5</w:t>
            </w:r>
          </w:p>
        </w:tc>
      </w:tr>
      <w:tr w:rsidR="00CD5CB9" w:rsidRPr="00EA07DA" w14:paraId="0046677D"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5EDB1B10"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336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equipo de transporte</w:t>
            </w:r>
          </w:p>
        </w:tc>
        <w:tc>
          <w:tcPr>
            <w:tcW w:w="850" w:type="dxa"/>
            <w:shd w:val="clear" w:color="auto" w:fill="auto"/>
            <w:noWrap/>
            <w:tcMar>
              <w:top w:w="15" w:type="dxa"/>
              <w:left w:w="15" w:type="dxa"/>
              <w:bottom w:w="0" w:type="dxa"/>
              <w:right w:w="15" w:type="dxa"/>
            </w:tcMar>
          </w:tcPr>
          <w:p w14:paraId="16AA2044"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77.3</w:t>
            </w:r>
          </w:p>
        </w:tc>
        <w:tc>
          <w:tcPr>
            <w:tcW w:w="997" w:type="dxa"/>
            <w:shd w:val="clear" w:color="auto" w:fill="auto"/>
            <w:noWrap/>
            <w:tcMar>
              <w:top w:w="15" w:type="dxa"/>
              <w:left w:w="15" w:type="dxa"/>
              <w:bottom w:w="0" w:type="dxa"/>
              <w:right w:w="15" w:type="dxa"/>
            </w:tcMar>
          </w:tcPr>
          <w:p w14:paraId="17A47B6A"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22.7</w:t>
            </w:r>
          </w:p>
        </w:tc>
        <w:tc>
          <w:tcPr>
            <w:tcW w:w="846" w:type="dxa"/>
            <w:shd w:val="clear" w:color="auto" w:fill="auto"/>
            <w:noWrap/>
            <w:tcMar>
              <w:top w:w="15" w:type="dxa"/>
              <w:left w:w="15" w:type="dxa"/>
              <w:bottom w:w="0" w:type="dxa"/>
              <w:right w:w="15" w:type="dxa"/>
            </w:tcMar>
          </w:tcPr>
          <w:p w14:paraId="1C1F5984"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78.1</w:t>
            </w:r>
          </w:p>
        </w:tc>
        <w:tc>
          <w:tcPr>
            <w:tcW w:w="992" w:type="dxa"/>
            <w:shd w:val="clear" w:color="auto" w:fill="auto"/>
            <w:noWrap/>
            <w:tcMar>
              <w:top w:w="15" w:type="dxa"/>
              <w:left w:w="15" w:type="dxa"/>
              <w:bottom w:w="0" w:type="dxa"/>
              <w:right w:w="15" w:type="dxa"/>
            </w:tcMar>
          </w:tcPr>
          <w:p w14:paraId="79B9E5C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21.9</w:t>
            </w:r>
          </w:p>
        </w:tc>
        <w:tc>
          <w:tcPr>
            <w:tcW w:w="851" w:type="dxa"/>
            <w:shd w:val="clear" w:color="auto" w:fill="auto"/>
            <w:noWrap/>
            <w:tcMar>
              <w:top w:w="15" w:type="dxa"/>
              <w:left w:w="15" w:type="dxa"/>
              <w:bottom w:w="0" w:type="dxa"/>
              <w:right w:w="15" w:type="dxa"/>
            </w:tcMar>
          </w:tcPr>
          <w:p w14:paraId="6BB118C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0.8</w:t>
            </w:r>
          </w:p>
        </w:tc>
        <w:tc>
          <w:tcPr>
            <w:tcW w:w="857" w:type="dxa"/>
            <w:shd w:val="clear" w:color="auto" w:fill="auto"/>
            <w:noWrap/>
            <w:tcMar>
              <w:top w:w="15" w:type="dxa"/>
              <w:left w:w="15" w:type="dxa"/>
              <w:bottom w:w="0" w:type="dxa"/>
              <w:right w:w="15" w:type="dxa"/>
            </w:tcMar>
          </w:tcPr>
          <w:p w14:paraId="04104C29"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-0.8</w:t>
            </w:r>
          </w:p>
        </w:tc>
      </w:tr>
      <w:tr w:rsidR="00CD5CB9" w:rsidRPr="00EA07DA" w14:paraId="70D8E4FA"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27FCC86E"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337 </w:t>
            </w:r>
            <w:proofErr w:type="gramStart"/>
            <w:r w:rsidRPr="006E63EB">
              <w:rPr>
                <w:rFonts w:ascii="Arial" w:hAnsi="Arial" w:cs="Arial"/>
                <w:sz w:val="14"/>
                <w:szCs w:val="14"/>
              </w:rPr>
              <w:t>Fabricación</w:t>
            </w:r>
            <w:proofErr w:type="gramEnd"/>
            <w:r w:rsidRPr="006E63EB">
              <w:rPr>
                <w:rFonts w:ascii="Arial" w:hAnsi="Arial" w:cs="Arial"/>
                <w:sz w:val="14"/>
                <w:szCs w:val="14"/>
              </w:rPr>
              <w:t xml:space="preserve"> de muebles</w:t>
            </w:r>
          </w:p>
        </w:tc>
        <w:tc>
          <w:tcPr>
            <w:tcW w:w="850" w:type="dxa"/>
            <w:shd w:val="clear" w:color="auto" w:fill="auto"/>
            <w:noWrap/>
            <w:tcMar>
              <w:top w:w="15" w:type="dxa"/>
              <w:left w:w="15" w:type="dxa"/>
              <w:bottom w:w="0" w:type="dxa"/>
              <w:right w:w="15" w:type="dxa"/>
            </w:tcMar>
          </w:tcPr>
          <w:p w14:paraId="27A1E946"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89.0</w:t>
            </w:r>
          </w:p>
        </w:tc>
        <w:tc>
          <w:tcPr>
            <w:tcW w:w="997" w:type="dxa"/>
            <w:shd w:val="clear" w:color="auto" w:fill="auto"/>
            <w:noWrap/>
            <w:tcMar>
              <w:top w:w="15" w:type="dxa"/>
              <w:left w:w="15" w:type="dxa"/>
              <w:bottom w:w="0" w:type="dxa"/>
              <w:right w:w="15" w:type="dxa"/>
            </w:tcMar>
          </w:tcPr>
          <w:p w14:paraId="097EE4F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11.0</w:t>
            </w:r>
          </w:p>
        </w:tc>
        <w:tc>
          <w:tcPr>
            <w:tcW w:w="846" w:type="dxa"/>
            <w:shd w:val="clear" w:color="auto" w:fill="auto"/>
            <w:noWrap/>
            <w:tcMar>
              <w:top w:w="15" w:type="dxa"/>
              <w:left w:w="15" w:type="dxa"/>
              <w:bottom w:w="0" w:type="dxa"/>
              <w:right w:w="15" w:type="dxa"/>
            </w:tcMar>
          </w:tcPr>
          <w:p w14:paraId="6422BCF5"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91.1</w:t>
            </w:r>
          </w:p>
        </w:tc>
        <w:tc>
          <w:tcPr>
            <w:tcW w:w="992" w:type="dxa"/>
            <w:shd w:val="clear" w:color="auto" w:fill="auto"/>
            <w:noWrap/>
            <w:tcMar>
              <w:top w:w="15" w:type="dxa"/>
              <w:left w:w="15" w:type="dxa"/>
              <w:bottom w:w="0" w:type="dxa"/>
              <w:right w:w="15" w:type="dxa"/>
            </w:tcMar>
          </w:tcPr>
          <w:p w14:paraId="23B7EC0E"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8.9</w:t>
            </w:r>
          </w:p>
        </w:tc>
        <w:tc>
          <w:tcPr>
            <w:tcW w:w="851" w:type="dxa"/>
            <w:shd w:val="clear" w:color="auto" w:fill="auto"/>
            <w:noWrap/>
            <w:tcMar>
              <w:top w:w="15" w:type="dxa"/>
              <w:left w:w="15" w:type="dxa"/>
              <w:bottom w:w="0" w:type="dxa"/>
              <w:right w:w="15" w:type="dxa"/>
            </w:tcMar>
          </w:tcPr>
          <w:p w14:paraId="61E7A1E3"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2.2</w:t>
            </w:r>
          </w:p>
        </w:tc>
        <w:tc>
          <w:tcPr>
            <w:tcW w:w="857" w:type="dxa"/>
            <w:shd w:val="clear" w:color="auto" w:fill="auto"/>
            <w:noWrap/>
            <w:tcMar>
              <w:top w:w="15" w:type="dxa"/>
              <w:left w:w="15" w:type="dxa"/>
              <w:bottom w:w="0" w:type="dxa"/>
              <w:right w:w="15" w:type="dxa"/>
            </w:tcMar>
          </w:tcPr>
          <w:p w14:paraId="0E3A6247"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-2.2</w:t>
            </w:r>
          </w:p>
        </w:tc>
      </w:tr>
      <w:tr w:rsidR="00CD5CB9" w:rsidRPr="00EA07DA" w14:paraId="356768C2" w14:textId="77777777" w:rsidTr="00B96459">
        <w:trPr>
          <w:trHeight w:val="57"/>
          <w:jc w:val="center"/>
        </w:trPr>
        <w:tc>
          <w:tcPr>
            <w:tcW w:w="3114" w:type="dxa"/>
            <w:shd w:val="clear" w:color="auto" w:fill="auto"/>
            <w:noWrap/>
            <w:tcMar>
              <w:top w:w="15" w:type="dxa"/>
              <w:left w:w="15" w:type="dxa"/>
              <w:bottom w:w="0" w:type="dxa"/>
              <w:right w:w="15" w:type="dxa"/>
            </w:tcMar>
            <w:vAlign w:val="center"/>
            <w:hideMark/>
          </w:tcPr>
          <w:p w14:paraId="4BD54AF3" w14:textId="77777777" w:rsidR="00CD5CB9" w:rsidRPr="006E63EB" w:rsidRDefault="00CD5CB9" w:rsidP="00CD5CB9">
            <w:pPr>
              <w:spacing w:after="0" w:line="240" w:lineRule="auto"/>
              <w:rPr>
                <w:rFonts w:ascii="Arial" w:hAnsi="Arial" w:cs="Arial"/>
                <w:sz w:val="14"/>
                <w:szCs w:val="14"/>
              </w:rPr>
            </w:pPr>
            <w:r w:rsidRPr="006E63EB">
              <w:rPr>
                <w:rFonts w:ascii="Arial" w:hAnsi="Arial" w:cs="Arial"/>
                <w:sz w:val="14"/>
                <w:szCs w:val="14"/>
              </w:rPr>
              <w:t xml:space="preserve">339 </w:t>
            </w:r>
            <w:proofErr w:type="gramStart"/>
            <w:r w:rsidRPr="006E63EB">
              <w:rPr>
                <w:rFonts w:ascii="Arial" w:hAnsi="Arial" w:cs="Arial"/>
                <w:sz w:val="14"/>
                <w:szCs w:val="14"/>
              </w:rPr>
              <w:t>Otras</w:t>
            </w:r>
            <w:proofErr w:type="gramEnd"/>
            <w:r w:rsidRPr="006E63EB">
              <w:rPr>
                <w:rFonts w:ascii="Arial" w:hAnsi="Arial" w:cs="Arial"/>
                <w:sz w:val="14"/>
                <w:szCs w:val="14"/>
              </w:rPr>
              <w:t xml:space="preserve"> industrias manufactureras</w:t>
            </w:r>
          </w:p>
        </w:tc>
        <w:tc>
          <w:tcPr>
            <w:tcW w:w="850" w:type="dxa"/>
            <w:shd w:val="clear" w:color="auto" w:fill="auto"/>
            <w:noWrap/>
            <w:tcMar>
              <w:top w:w="15" w:type="dxa"/>
              <w:left w:w="15" w:type="dxa"/>
              <w:bottom w:w="0" w:type="dxa"/>
              <w:right w:w="15" w:type="dxa"/>
            </w:tcMar>
          </w:tcPr>
          <w:p w14:paraId="50A9172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93.0</w:t>
            </w:r>
          </w:p>
        </w:tc>
        <w:tc>
          <w:tcPr>
            <w:tcW w:w="997" w:type="dxa"/>
            <w:shd w:val="clear" w:color="auto" w:fill="auto"/>
            <w:noWrap/>
            <w:tcMar>
              <w:top w:w="15" w:type="dxa"/>
              <w:left w:w="15" w:type="dxa"/>
              <w:bottom w:w="0" w:type="dxa"/>
              <w:right w:w="15" w:type="dxa"/>
            </w:tcMar>
          </w:tcPr>
          <w:p w14:paraId="01E93871"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7.0</w:t>
            </w:r>
          </w:p>
        </w:tc>
        <w:tc>
          <w:tcPr>
            <w:tcW w:w="846" w:type="dxa"/>
            <w:shd w:val="clear" w:color="auto" w:fill="auto"/>
            <w:noWrap/>
            <w:tcMar>
              <w:top w:w="15" w:type="dxa"/>
              <w:left w:w="15" w:type="dxa"/>
              <w:bottom w:w="0" w:type="dxa"/>
              <w:right w:w="15" w:type="dxa"/>
            </w:tcMar>
          </w:tcPr>
          <w:p w14:paraId="6B26E64B"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93.5</w:t>
            </w:r>
          </w:p>
        </w:tc>
        <w:tc>
          <w:tcPr>
            <w:tcW w:w="992" w:type="dxa"/>
            <w:shd w:val="clear" w:color="auto" w:fill="auto"/>
            <w:noWrap/>
            <w:tcMar>
              <w:top w:w="15" w:type="dxa"/>
              <w:left w:w="15" w:type="dxa"/>
              <w:bottom w:w="0" w:type="dxa"/>
              <w:right w:w="15" w:type="dxa"/>
            </w:tcMar>
          </w:tcPr>
          <w:p w14:paraId="4E5DC1A2"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6.5</w:t>
            </w:r>
          </w:p>
        </w:tc>
        <w:tc>
          <w:tcPr>
            <w:tcW w:w="851" w:type="dxa"/>
            <w:shd w:val="clear" w:color="auto" w:fill="auto"/>
            <w:noWrap/>
            <w:tcMar>
              <w:top w:w="15" w:type="dxa"/>
              <w:left w:w="15" w:type="dxa"/>
              <w:bottom w:w="0" w:type="dxa"/>
              <w:right w:w="15" w:type="dxa"/>
            </w:tcMar>
          </w:tcPr>
          <w:p w14:paraId="7DDA5477"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0.5</w:t>
            </w:r>
          </w:p>
        </w:tc>
        <w:tc>
          <w:tcPr>
            <w:tcW w:w="857" w:type="dxa"/>
            <w:shd w:val="clear" w:color="auto" w:fill="auto"/>
            <w:noWrap/>
            <w:tcMar>
              <w:top w:w="15" w:type="dxa"/>
              <w:left w:w="15" w:type="dxa"/>
              <w:bottom w:w="0" w:type="dxa"/>
              <w:right w:w="15" w:type="dxa"/>
            </w:tcMar>
          </w:tcPr>
          <w:p w14:paraId="3BE759A8" w14:textId="77777777" w:rsidR="00CD5CB9" w:rsidRPr="00CD5CB9" w:rsidRDefault="00CD5CB9" w:rsidP="00CD5CB9">
            <w:pPr>
              <w:spacing w:after="0" w:line="240" w:lineRule="auto"/>
              <w:jc w:val="center"/>
              <w:rPr>
                <w:rFonts w:ascii="Arial" w:hAnsi="Arial" w:cs="Arial"/>
                <w:color w:val="FF0000"/>
                <w:sz w:val="14"/>
                <w:szCs w:val="14"/>
              </w:rPr>
            </w:pPr>
            <w:r w:rsidRPr="00CD5CB9">
              <w:rPr>
                <w:rFonts w:ascii="Arial" w:hAnsi="Arial" w:cs="Arial"/>
                <w:sz w:val="14"/>
                <w:szCs w:val="14"/>
              </w:rPr>
              <w:t>-0.5</w:t>
            </w:r>
          </w:p>
        </w:tc>
      </w:tr>
    </w:tbl>
    <w:p w14:paraId="5B2AB570" w14:textId="77777777" w:rsidR="0068288C" w:rsidRDefault="0068288C" w:rsidP="009C0FCB">
      <w:pPr>
        <w:pStyle w:val="Default"/>
        <w:ind w:left="140"/>
        <w:contextualSpacing/>
        <w:rPr>
          <w:color w:val="auto"/>
          <w:sz w:val="16"/>
          <w:szCs w:val="16"/>
          <w:lang w:eastAsia="es-MX"/>
        </w:rPr>
      </w:pPr>
      <w:r w:rsidRPr="00A341C6">
        <w:rPr>
          <w:bCs/>
          <w:sz w:val="16"/>
          <w:szCs w:val="16"/>
          <w:vertAlign w:val="superscript"/>
          <w:lang w:eastAsia="es-MX"/>
        </w:rPr>
        <w:t>p</w:t>
      </w:r>
      <w:r w:rsidRPr="00A341C6">
        <w:rPr>
          <w:bCs/>
          <w:color w:val="auto"/>
          <w:sz w:val="16"/>
          <w:szCs w:val="16"/>
          <w:vertAlign w:val="superscript"/>
          <w:lang w:eastAsia="es-MX"/>
        </w:rPr>
        <w:t>/</w:t>
      </w:r>
      <w:r w:rsidR="002C562C">
        <w:rPr>
          <w:bCs/>
          <w:color w:val="auto"/>
          <w:sz w:val="16"/>
          <w:szCs w:val="16"/>
          <w:vertAlign w:val="superscript"/>
          <w:lang w:eastAsia="es-MX"/>
        </w:rPr>
        <w:t xml:space="preserve"> </w:t>
      </w:r>
      <w:r>
        <w:rPr>
          <w:color w:val="auto"/>
          <w:sz w:val="16"/>
          <w:szCs w:val="16"/>
          <w:lang w:eastAsia="es-MX"/>
        </w:rPr>
        <w:t xml:space="preserve">Cifras preliminares. </w:t>
      </w:r>
    </w:p>
    <w:p w14:paraId="107F7729" w14:textId="77777777" w:rsidR="0068288C" w:rsidRPr="00A341C6" w:rsidRDefault="0068288C" w:rsidP="009C0FCB">
      <w:pPr>
        <w:pStyle w:val="Default"/>
        <w:ind w:left="140"/>
        <w:contextualSpacing/>
        <w:rPr>
          <w:color w:val="auto"/>
          <w:sz w:val="16"/>
          <w:lang w:eastAsia="es-MX"/>
        </w:rPr>
      </w:pPr>
      <w:r w:rsidRPr="00A341C6">
        <w:rPr>
          <w:color w:val="auto"/>
          <w:sz w:val="16"/>
          <w:lang w:eastAsia="es-MX"/>
        </w:rPr>
        <w:t xml:space="preserve">Fuente: </w:t>
      </w:r>
      <w:r w:rsidRPr="00A341C6">
        <w:rPr>
          <w:b/>
          <w:color w:val="auto"/>
          <w:sz w:val="16"/>
          <w:lang w:eastAsia="es-MX"/>
        </w:rPr>
        <w:t>INEGI</w:t>
      </w:r>
      <w:r>
        <w:rPr>
          <w:b/>
          <w:color w:val="auto"/>
          <w:sz w:val="16"/>
          <w:lang w:eastAsia="es-MX"/>
        </w:rPr>
        <w:t>.</w:t>
      </w:r>
    </w:p>
    <w:p w14:paraId="050B21D6" w14:textId="77777777" w:rsidR="00A66BB4" w:rsidRDefault="00A66BB4" w:rsidP="001834EF">
      <w:pPr>
        <w:pStyle w:val="Default"/>
        <w:jc w:val="center"/>
        <w:rPr>
          <w:b/>
          <w:color w:val="auto"/>
          <w:sz w:val="22"/>
          <w:lang w:eastAsia="es-MX"/>
        </w:rPr>
      </w:pPr>
    </w:p>
    <w:p w14:paraId="171DBC3A" w14:textId="77777777" w:rsidR="0003202F" w:rsidRDefault="0003202F" w:rsidP="0003202F">
      <w:pPr>
        <w:pStyle w:val="Default"/>
        <w:jc w:val="both"/>
        <w:rPr>
          <w:bCs/>
          <w:color w:val="auto"/>
          <w:sz w:val="22"/>
          <w:lang w:eastAsia="es-MX"/>
        </w:rPr>
      </w:pPr>
      <w:r>
        <w:rPr>
          <w:bCs/>
          <w:color w:val="auto"/>
          <w:sz w:val="22"/>
          <w:lang w:eastAsia="es-MX"/>
        </w:rPr>
        <w:t xml:space="preserve">Las remuneraciones medias de las industrias manufactureras presentan un incremento en 2020 de 4.1% respecto al año inmediato anterior. En 20 de los 21 subsectores se presenta aumento, destacando la fabricación de aparatos eléctricos 8%, </w:t>
      </w:r>
      <w:r w:rsidR="00080123">
        <w:rPr>
          <w:bCs/>
          <w:color w:val="auto"/>
          <w:sz w:val="22"/>
          <w:lang w:eastAsia="es-MX"/>
        </w:rPr>
        <w:t xml:space="preserve">fabricación de productos metálicos 7.2%, otras industrias manufactureras 6%, industrias metálicas básicas 5.9%, industria del papel 5.8% y fabricación de equipo de computación con 5.2 por ciento. El subsector referente a derivados del petróleo presenta disminución de 0.7% respecto al año 2019. </w:t>
      </w:r>
    </w:p>
    <w:p w14:paraId="6ACABA5C" w14:textId="77777777" w:rsidR="0003202F" w:rsidRPr="0003202F" w:rsidRDefault="0003202F" w:rsidP="0003202F">
      <w:pPr>
        <w:pStyle w:val="Default"/>
        <w:jc w:val="both"/>
        <w:rPr>
          <w:bCs/>
          <w:color w:val="auto"/>
          <w:sz w:val="22"/>
          <w:lang w:eastAsia="es-MX"/>
        </w:rPr>
      </w:pPr>
    </w:p>
    <w:p w14:paraId="7E5C4B96" w14:textId="77777777" w:rsidR="00443454" w:rsidRDefault="00443454" w:rsidP="00E5221E">
      <w:pPr>
        <w:pStyle w:val="Default"/>
        <w:jc w:val="center"/>
        <w:rPr>
          <w:b/>
          <w:color w:val="auto"/>
          <w:sz w:val="22"/>
          <w:lang w:eastAsia="es-MX"/>
        </w:rPr>
      </w:pPr>
    </w:p>
    <w:p w14:paraId="35CCB68C" w14:textId="77777777" w:rsidR="00443454" w:rsidRDefault="00443454" w:rsidP="00E5221E">
      <w:pPr>
        <w:pStyle w:val="Default"/>
        <w:jc w:val="center"/>
        <w:rPr>
          <w:b/>
          <w:color w:val="auto"/>
          <w:sz w:val="22"/>
          <w:lang w:eastAsia="es-MX"/>
        </w:rPr>
      </w:pPr>
    </w:p>
    <w:p w14:paraId="0983F8D9" w14:textId="77777777" w:rsidR="00443454" w:rsidRDefault="00443454" w:rsidP="00E5221E">
      <w:pPr>
        <w:pStyle w:val="Default"/>
        <w:jc w:val="center"/>
        <w:rPr>
          <w:b/>
          <w:color w:val="auto"/>
          <w:sz w:val="22"/>
          <w:lang w:eastAsia="es-MX"/>
        </w:rPr>
      </w:pPr>
    </w:p>
    <w:p w14:paraId="26EE4419" w14:textId="77777777" w:rsidR="00443454" w:rsidRDefault="00443454" w:rsidP="00E5221E">
      <w:pPr>
        <w:pStyle w:val="Default"/>
        <w:jc w:val="center"/>
        <w:rPr>
          <w:b/>
          <w:color w:val="auto"/>
          <w:sz w:val="22"/>
          <w:lang w:eastAsia="es-MX"/>
        </w:rPr>
      </w:pPr>
    </w:p>
    <w:p w14:paraId="1DB72D74" w14:textId="77777777" w:rsidR="00443454" w:rsidRDefault="00443454" w:rsidP="00E5221E">
      <w:pPr>
        <w:pStyle w:val="Default"/>
        <w:jc w:val="center"/>
        <w:rPr>
          <w:b/>
          <w:color w:val="auto"/>
          <w:sz w:val="22"/>
          <w:lang w:eastAsia="es-MX"/>
        </w:rPr>
      </w:pPr>
    </w:p>
    <w:p w14:paraId="175781BA" w14:textId="77777777" w:rsidR="00443454" w:rsidRDefault="00443454" w:rsidP="00E5221E">
      <w:pPr>
        <w:pStyle w:val="Default"/>
        <w:jc w:val="center"/>
        <w:rPr>
          <w:b/>
          <w:color w:val="auto"/>
          <w:sz w:val="22"/>
          <w:lang w:eastAsia="es-MX"/>
        </w:rPr>
      </w:pPr>
    </w:p>
    <w:p w14:paraId="13187418" w14:textId="77777777" w:rsidR="00443454" w:rsidRDefault="00443454" w:rsidP="00E5221E">
      <w:pPr>
        <w:pStyle w:val="Default"/>
        <w:jc w:val="center"/>
        <w:rPr>
          <w:b/>
          <w:color w:val="auto"/>
          <w:sz w:val="22"/>
          <w:lang w:eastAsia="es-MX"/>
        </w:rPr>
      </w:pPr>
    </w:p>
    <w:p w14:paraId="2C2A870D" w14:textId="77777777" w:rsidR="00443454" w:rsidRDefault="00443454" w:rsidP="00E5221E">
      <w:pPr>
        <w:pStyle w:val="Default"/>
        <w:jc w:val="center"/>
        <w:rPr>
          <w:b/>
          <w:color w:val="auto"/>
          <w:sz w:val="22"/>
          <w:lang w:eastAsia="es-MX"/>
        </w:rPr>
      </w:pPr>
    </w:p>
    <w:p w14:paraId="768BB863" w14:textId="77777777" w:rsidR="00443454" w:rsidRDefault="00443454" w:rsidP="00E5221E">
      <w:pPr>
        <w:pStyle w:val="Default"/>
        <w:jc w:val="center"/>
        <w:rPr>
          <w:b/>
          <w:color w:val="auto"/>
          <w:sz w:val="22"/>
          <w:lang w:eastAsia="es-MX"/>
        </w:rPr>
      </w:pPr>
    </w:p>
    <w:p w14:paraId="692DB6C8" w14:textId="77777777" w:rsidR="00443454" w:rsidRDefault="00443454" w:rsidP="00E5221E">
      <w:pPr>
        <w:pStyle w:val="Default"/>
        <w:jc w:val="center"/>
        <w:rPr>
          <w:b/>
          <w:color w:val="auto"/>
          <w:sz w:val="22"/>
          <w:lang w:eastAsia="es-MX"/>
        </w:rPr>
      </w:pPr>
    </w:p>
    <w:p w14:paraId="19CA0A93" w14:textId="77777777" w:rsidR="00443454" w:rsidRDefault="00443454" w:rsidP="00E5221E">
      <w:pPr>
        <w:pStyle w:val="Default"/>
        <w:jc w:val="center"/>
        <w:rPr>
          <w:b/>
          <w:color w:val="auto"/>
          <w:sz w:val="22"/>
          <w:lang w:eastAsia="es-MX"/>
        </w:rPr>
      </w:pPr>
    </w:p>
    <w:p w14:paraId="77045CCD" w14:textId="77777777" w:rsidR="00443454" w:rsidRDefault="00443454" w:rsidP="00E5221E">
      <w:pPr>
        <w:pStyle w:val="Default"/>
        <w:jc w:val="center"/>
        <w:rPr>
          <w:b/>
          <w:color w:val="auto"/>
          <w:sz w:val="22"/>
          <w:lang w:eastAsia="es-MX"/>
        </w:rPr>
      </w:pPr>
    </w:p>
    <w:p w14:paraId="7D691589" w14:textId="77777777" w:rsidR="00E5221E" w:rsidRPr="00BF062E" w:rsidRDefault="00E5221E" w:rsidP="00E5221E">
      <w:pPr>
        <w:pStyle w:val="Default"/>
        <w:jc w:val="center"/>
        <w:rPr>
          <w:b/>
          <w:color w:val="FF0000"/>
          <w:sz w:val="22"/>
          <w:lang w:eastAsia="es-MX"/>
        </w:rPr>
      </w:pPr>
      <w:r>
        <w:rPr>
          <w:b/>
          <w:color w:val="auto"/>
          <w:sz w:val="22"/>
          <w:lang w:eastAsia="es-MX"/>
        </w:rPr>
        <w:lastRenderedPageBreak/>
        <w:t xml:space="preserve">Cuadro </w:t>
      </w:r>
      <w:r w:rsidR="00494A00">
        <w:rPr>
          <w:b/>
          <w:color w:val="auto"/>
          <w:sz w:val="22"/>
          <w:lang w:eastAsia="es-MX"/>
        </w:rPr>
        <w:t>5</w:t>
      </w:r>
      <w:r>
        <w:rPr>
          <w:b/>
          <w:color w:val="auto"/>
          <w:sz w:val="22"/>
          <w:lang w:eastAsia="es-MX"/>
        </w:rPr>
        <w:t xml:space="preserve"> </w:t>
      </w:r>
    </w:p>
    <w:p w14:paraId="436C2CB8" w14:textId="77777777" w:rsidR="009C0FCB" w:rsidRDefault="00E5221E" w:rsidP="00E5221E">
      <w:pPr>
        <w:pStyle w:val="Default"/>
        <w:jc w:val="center"/>
        <w:rPr>
          <w:b/>
          <w:color w:val="auto"/>
          <w:sz w:val="22"/>
          <w:lang w:eastAsia="es-MX"/>
        </w:rPr>
      </w:pPr>
      <w:r>
        <w:rPr>
          <w:b/>
          <w:color w:val="auto"/>
          <w:sz w:val="22"/>
          <w:lang w:eastAsia="es-MX"/>
        </w:rPr>
        <w:t xml:space="preserve">Remuneraciones </w:t>
      </w:r>
      <w:r w:rsidR="009C0FCB">
        <w:rPr>
          <w:b/>
          <w:color w:val="auto"/>
          <w:sz w:val="22"/>
          <w:lang w:eastAsia="es-MX"/>
        </w:rPr>
        <w:t xml:space="preserve">medias </w:t>
      </w:r>
      <w:r w:rsidR="00A47151">
        <w:rPr>
          <w:b/>
          <w:color w:val="auto"/>
          <w:sz w:val="22"/>
          <w:lang w:eastAsia="es-MX"/>
        </w:rPr>
        <w:t xml:space="preserve">anuales </w:t>
      </w:r>
      <w:r w:rsidR="009C0FCB">
        <w:rPr>
          <w:b/>
          <w:color w:val="auto"/>
          <w:sz w:val="22"/>
          <w:lang w:eastAsia="es-MX"/>
        </w:rPr>
        <w:t>por persona</w:t>
      </w:r>
      <w:r>
        <w:rPr>
          <w:b/>
          <w:color w:val="auto"/>
          <w:sz w:val="22"/>
          <w:lang w:eastAsia="es-MX"/>
        </w:rPr>
        <w:t xml:space="preserve"> </w:t>
      </w:r>
      <w:r w:rsidR="00951484">
        <w:rPr>
          <w:b/>
          <w:color w:val="auto"/>
          <w:sz w:val="22"/>
          <w:lang w:eastAsia="es-MX"/>
        </w:rPr>
        <w:t xml:space="preserve">ocupada </w:t>
      </w:r>
      <w:r>
        <w:rPr>
          <w:b/>
          <w:color w:val="auto"/>
          <w:sz w:val="22"/>
          <w:lang w:eastAsia="es-MX"/>
        </w:rPr>
        <w:t xml:space="preserve">de las </w:t>
      </w:r>
    </w:p>
    <w:p w14:paraId="27FC63BD" w14:textId="77777777" w:rsidR="00E5221E" w:rsidRDefault="009C0FCB" w:rsidP="00E5221E">
      <w:pPr>
        <w:pStyle w:val="Default"/>
        <w:jc w:val="center"/>
        <w:rPr>
          <w:b/>
          <w:lang w:eastAsia="es-MX"/>
        </w:rPr>
      </w:pPr>
      <w:r>
        <w:rPr>
          <w:b/>
          <w:color w:val="auto"/>
          <w:sz w:val="22"/>
          <w:lang w:eastAsia="es-MX"/>
        </w:rPr>
        <w:t>i</w:t>
      </w:r>
      <w:r w:rsidR="00E5221E" w:rsidRPr="00A341C6">
        <w:rPr>
          <w:b/>
          <w:color w:val="auto"/>
          <w:sz w:val="22"/>
          <w:lang w:eastAsia="es-MX"/>
        </w:rPr>
        <w:t>ndustrias manufactureras</w:t>
      </w:r>
      <w:r w:rsidR="00A83498">
        <w:rPr>
          <w:b/>
          <w:color w:val="auto"/>
          <w:sz w:val="22"/>
          <w:lang w:eastAsia="es-MX"/>
        </w:rPr>
        <w:t xml:space="preserve"> </w:t>
      </w:r>
      <w:r w:rsidR="00711FBE">
        <w:rPr>
          <w:b/>
          <w:color w:val="auto"/>
          <w:sz w:val="22"/>
          <w:lang w:eastAsia="es-MX"/>
        </w:rPr>
        <w:t>por</w:t>
      </w:r>
      <w:r w:rsidR="00E5221E" w:rsidRPr="00A341C6">
        <w:rPr>
          <w:b/>
          <w:color w:val="auto"/>
          <w:sz w:val="22"/>
          <w:lang w:eastAsia="es-MX"/>
        </w:rPr>
        <w:t xml:space="preserve"> subsector</w:t>
      </w:r>
      <w:r w:rsidR="00E5221E" w:rsidRPr="00A341C6">
        <w:rPr>
          <w:b/>
          <w:lang w:eastAsia="es-MX"/>
        </w:rPr>
        <w:t xml:space="preserve"> </w:t>
      </w:r>
    </w:p>
    <w:p w14:paraId="188B1BC9" w14:textId="77777777" w:rsidR="00E5221E" w:rsidRPr="001D571E" w:rsidRDefault="00E5221E" w:rsidP="00E5221E">
      <w:pPr>
        <w:pStyle w:val="Default"/>
        <w:jc w:val="center"/>
        <w:rPr>
          <w:b/>
          <w:color w:val="auto"/>
          <w:sz w:val="22"/>
          <w:lang w:eastAsia="es-MX"/>
        </w:rPr>
      </w:pPr>
      <w:r w:rsidRPr="001D571E">
        <w:rPr>
          <w:b/>
          <w:color w:val="auto"/>
          <w:sz w:val="22"/>
          <w:lang w:eastAsia="es-MX"/>
        </w:rPr>
        <w:t>(Miles de pesos</w:t>
      </w:r>
      <w:r>
        <w:rPr>
          <w:b/>
          <w:color w:val="auto"/>
          <w:sz w:val="22"/>
          <w:lang w:eastAsia="es-MX"/>
        </w:rPr>
        <w:t xml:space="preserve"> corrientes</w:t>
      </w:r>
      <w:r w:rsidRPr="001D571E">
        <w:rPr>
          <w:b/>
          <w:color w:val="auto"/>
          <w:sz w:val="22"/>
          <w:lang w:eastAsia="es-MX"/>
        </w:rPr>
        <w:t>)</w:t>
      </w:r>
    </w:p>
    <w:tbl>
      <w:tblPr>
        <w:tblW w:w="410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682"/>
        <w:gridCol w:w="991"/>
        <w:gridCol w:w="1134"/>
        <w:gridCol w:w="1437"/>
      </w:tblGrid>
      <w:tr w:rsidR="00711FBE" w:rsidRPr="00687E63" w14:paraId="2A7E2345" w14:textId="77777777" w:rsidTr="009C0FCB">
        <w:trPr>
          <w:trHeight w:val="24"/>
          <w:tblHeader/>
          <w:jc w:val="center"/>
        </w:trPr>
        <w:tc>
          <w:tcPr>
            <w:tcW w:w="2541" w:type="pct"/>
            <w:vMerge w:val="restart"/>
            <w:shd w:val="clear" w:color="000000" w:fill="A9D08E"/>
            <w:vAlign w:val="center"/>
          </w:tcPr>
          <w:p w14:paraId="2BB5A47E" w14:textId="77777777" w:rsidR="00711FBE" w:rsidRDefault="00711FBE" w:rsidP="00C5015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Sector/</w:t>
            </w:r>
            <w:r w:rsidRPr="00F9032A">
              <w:rPr>
                <w:rFonts w:ascii="Arial" w:eastAsia="Times New Roman" w:hAnsi="Arial" w:cs="Arial"/>
                <w:b/>
                <w:bCs/>
                <w:color w:val="000000"/>
                <w:sz w:val="16"/>
                <w:szCs w:val="16"/>
                <w:lang w:eastAsia="es-MX"/>
              </w:rPr>
              <w:t>Subsector</w:t>
            </w:r>
          </w:p>
        </w:tc>
        <w:tc>
          <w:tcPr>
            <w:tcW w:w="1467" w:type="pct"/>
            <w:gridSpan w:val="2"/>
            <w:shd w:val="clear" w:color="000000" w:fill="A9D08E"/>
            <w:noWrap/>
            <w:vAlign w:val="center"/>
          </w:tcPr>
          <w:p w14:paraId="727451A2" w14:textId="77777777" w:rsidR="00711FBE" w:rsidRPr="00F9032A" w:rsidRDefault="009C0FCB" w:rsidP="00C50150">
            <w:pPr>
              <w:spacing w:after="0" w:line="240" w:lineRule="auto"/>
              <w:jc w:val="center"/>
              <w:rPr>
                <w:rFonts w:ascii="Arial" w:eastAsia="Times New Roman" w:hAnsi="Arial" w:cs="Arial"/>
                <w:b/>
                <w:bCs/>
                <w:color w:val="000000"/>
                <w:sz w:val="16"/>
                <w:szCs w:val="16"/>
                <w:lang w:eastAsia="es-MX"/>
              </w:rPr>
            </w:pPr>
            <w:r>
              <w:rPr>
                <w:rFonts w:ascii="Arial" w:eastAsia="Times New Roman" w:hAnsi="Arial" w:cs="Arial"/>
                <w:b/>
                <w:bCs/>
                <w:color w:val="000000"/>
                <w:sz w:val="16"/>
                <w:szCs w:val="16"/>
                <w:lang w:eastAsia="es-MX"/>
              </w:rPr>
              <w:t xml:space="preserve">Año </w:t>
            </w:r>
          </w:p>
        </w:tc>
        <w:tc>
          <w:tcPr>
            <w:tcW w:w="992" w:type="pct"/>
            <w:vMerge w:val="restart"/>
            <w:shd w:val="clear" w:color="000000" w:fill="A9D08E"/>
            <w:vAlign w:val="center"/>
          </w:tcPr>
          <w:p w14:paraId="736CA836" w14:textId="77777777" w:rsidR="00711FBE" w:rsidRPr="009C0FCB" w:rsidRDefault="00711FBE" w:rsidP="00C50150">
            <w:pPr>
              <w:spacing w:after="0" w:line="240" w:lineRule="auto"/>
              <w:jc w:val="center"/>
              <w:rPr>
                <w:rFonts w:ascii="Arial" w:eastAsia="Times New Roman" w:hAnsi="Arial" w:cs="Arial"/>
                <w:b/>
                <w:bCs/>
                <w:sz w:val="16"/>
                <w:szCs w:val="16"/>
                <w:lang w:eastAsia="es-MX"/>
              </w:rPr>
            </w:pPr>
            <w:r w:rsidRPr="009C0FCB">
              <w:rPr>
                <w:rFonts w:ascii="Arial" w:eastAsia="Times New Roman" w:hAnsi="Arial" w:cs="Arial"/>
                <w:b/>
                <w:bCs/>
                <w:sz w:val="16"/>
                <w:szCs w:val="16"/>
                <w:lang w:eastAsia="es-MX"/>
              </w:rPr>
              <w:t>Variación anual (%)</w:t>
            </w:r>
          </w:p>
        </w:tc>
      </w:tr>
      <w:tr w:rsidR="00711FBE" w:rsidRPr="00687E63" w14:paraId="4F3D5F5B" w14:textId="77777777" w:rsidTr="009C0FCB">
        <w:trPr>
          <w:trHeight w:val="24"/>
          <w:tblHeader/>
          <w:jc w:val="center"/>
        </w:trPr>
        <w:tc>
          <w:tcPr>
            <w:tcW w:w="2541" w:type="pct"/>
            <w:vMerge/>
            <w:shd w:val="clear" w:color="000000" w:fill="A9D08E"/>
            <w:vAlign w:val="center"/>
            <w:hideMark/>
          </w:tcPr>
          <w:p w14:paraId="441BC716" w14:textId="77777777" w:rsidR="00711FBE" w:rsidRPr="00F9032A" w:rsidRDefault="00711FBE" w:rsidP="00C50150">
            <w:pPr>
              <w:spacing w:after="0" w:line="240" w:lineRule="auto"/>
              <w:jc w:val="center"/>
              <w:rPr>
                <w:rFonts w:ascii="Arial" w:eastAsia="Times New Roman" w:hAnsi="Arial" w:cs="Arial"/>
                <w:b/>
                <w:bCs/>
                <w:color w:val="000000"/>
                <w:sz w:val="16"/>
                <w:szCs w:val="16"/>
                <w:lang w:eastAsia="es-MX"/>
              </w:rPr>
            </w:pPr>
          </w:p>
        </w:tc>
        <w:tc>
          <w:tcPr>
            <w:tcW w:w="684" w:type="pct"/>
            <w:shd w:val="clear" w:color="000000" w:fill="A9D08E"/>
            <w:noWrap/>
            <w:vAlign w:val="center"/>
            <w:hideMark/>
          </w:tcPr>
          <w:p w14:paraId="78B17998" w14:textId="77777777" w:rsidR="00711FBE" w:rsidRPr="00F9032A" w:rsidRDefault="00711FBE" w:rsidP="00C50150">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2019</w:t>
            </w:r>
          </w:p>
        </w:tc>
        <w:tc>
          <w:tcPr>
            <w:tcW w:w="783" w:type="pct"/>
            <w:shd w:val="clear" w:color="000000" w:fill="A9D08E"/>
            <w:noWrap/>
            <w:vAlign w:val="center"/>
            <w:hideMark/>
          </w:tcPr>
          <w:p w14:paraId="4B92BDEB" w14:textId="77777777" w:rsidR="00711FBE" w:rsidRPr="00F9032A" w:rsidRDefault="00711FBE" w:rsidP="00C50150">
            <w:pPr>
              <w:spacing w:after="0" w:line="240" w:lineRule="auto"/>
              <w:jc w:val="center"/>
              <w:rPr>
                <w:rFonts w:ascii="Arial" w:eastAsia="Times New Roman" w:hAnsi="Arial" w:cs="Arial"/>
                <w:b/>
                <w:bCs/>
                <w:color w:val="000000"/>
                <w:sz w:val="16"/>
                <w:szCs w:val="16"/>
                <w:lang w:eastAsia="es-MX"/>
              </w:rPr>
            </w:pPr>
            <w:r w:rsidRPr="00F9032A">
              <w:rPr>
                <w:rFonts w:ascii="Arial" w:eastAsia="Times New Roman" w:hAnsi="Arial" w:cs="Arial"/>
                <w:b/>
                <w:bCs/>
                <w:color w:val="000000"/>
                <w:sz w:val="16"/>
                <w:szCs w:val="16"/>
                <w:lang w:eastAsia="es-MX"/>
              </w:rPr>
              <w:t>2020</w:t>
            </w:r>
            <w:r w:rsidRPr="00F9032A">
              <w:rPr>
                <w:rFonts w:ascii="Arial" w:eastAsia="Times New Roman" w:hAnsi="Arial" w:cs="Arial"/>
                <w:b/>
                <w:bCs/>
                <w:color w:val="000000"/>
                <w:sz w:val="16"/>
                <w:szCs w:val="16"/>
                <w:vertAlign w:val="superscript"/>
                <w:lang w:eastAsia="es-MX"/>
              </w:rPr>
              <w:t>p/</w:t>
            </w:r>
          </w:p>
        </w:tc>
        <w:tc>
          <w:tcPr>
            <w:tcW w:w="992" w:type="pct"/>
            <w:vMerge/>
            <w:shd w:val="clear" w:color="000000" w:fill="A9D08E"/>
            <w:vAlign w:val="center"/>
          </w:tcPr>
          <w:p w14:paraId="578CCA65" w14:textId="77777777" w:rsidR="00711FBE" w:rsidRPr="00F9032A" w:rsidRDefault="00711FBE" w:rsidP="00C50150">
            <w:pPr>
              <w:spacing w:after="0" w:line="240" w:lineRule="auto"/>
              <w:jc w:val="center"/>
              <w:rPr>
                <w:rFonts w:ascii="Arial" w:eastAsia="Times New Roman" w:hAnsi="Arial" w:cs="Arial"/>
                <w:b/>
                <w:bCs/>
                <w:color w:val="000000"/>
                <w:sz w:val="16"/>
                <w:szCs w:val="16"/>
                <w:lang w:eastAsia="es-MX"/>
              </w:rPr>
            </w:pPr>
          </w:p>
        </w:tc>
      </w:tr>
      <w:tr w:rsidR="005A2E0A" w:rsidRPr="001D571E" w14:paraId="31250519" w14:textId="77777777" w:rsidTr="009C0FCB">
        <w:trPr>
          <w:trHeight w:val="24"/>
          <w:jc w:val="center"/>
        </w:trPr>
        <w:tc>
          <w:tcPr>
            <w:tcW w:w="2541" w:type="pct"/>
            <w:shd w:val="clear" w:color="auto" w:fill="auto"/>
            <w:vAlign w:val="center"/>
            <w:hideMark/>
          </w:tcPr>
          <w:p w14:paraId="007FF7A9" w14:textId="77777777" w:rsidR="005A2E0A" w:rsidRPr="00F9032A" w:rsidRDefault="005A2E0A" w:rsidP="005A2E0A">
            <w:pPr>
              <w:pStyle w:val="Default"/>
              <w:rPr>
                <w:b/>
                <w:color w:val="auto"/>
                <w:sz w:val="16"/>
                <w:szCs w:val="16"/>
                <w:lang w:eastAsia="es-MX"/>
              </w:rPr>
            </w:pPr>
            <w:r w:rsidRPr="00F9032A">
              <w:rPr>
                <w:b/>
                <w:color w:val="auto"/>
                <w:sz w:val="16"/>
                <w:szCs w:val="16"/>
                <w:lang w:eastAsia="es-MX"/>
              </w:rPr>
              <w:t>31-33 Industrias manufactureras</w:t>
            </w:r>
          </w:p>
        </w:tc>
        <w:tc>
          <w:tcPr>
            <w:tcW w:w="684" w:type="pct"/>
            <w:shd w:val="clear" w:color="auto" w:fill="auto"/>
            <w:noWrap/>
          </w:tcPr>
          <w:p w14:paraId="484CBA74"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188.1</w:t>
            </w:r>
          </w:p>
        </w:tc>
        <w:tc>
          <w:tcPr>
            <w:tcW w:w="783" w:type="pct"/>
            <w:shd w:val="clear" w:color="auto" w:fill="auto"/>
            <w:noWrap/>
          </w:tcPr>
          <w:p w14:paraId="4299C67D"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195.8</w:t>
            </w:r>
          </w:p>
        </w:tc>
        <w:tc>
          <w:tcPr>
            <w:tcW w:w="992" w:type="pct"/>
          </w:tcPr>
          <w:p w14:paraId="20608041" w14:textId="77777777" w:rsidR="005A2E0A" w:rsidRPr="00F9032A" w:rsidRDefault="005A2E0A" w:rsidP="005A2E0A">
            <w:pPr>
              <w:spacing w:after="0" w:line="240" w:lineRule="auto"/>
              <w:ind w:right="51"/>
              <w:jc w:val="center"/>
              <w:rPr>
                <w:rFonts w:ascii="Arial" w:hAnsi="Arial" w:cs="Arial"/>
                <w:b/>
                <w:color w:val="FF0000"/>
                <w:sz w:val="16"/>
                <w:szCs w:val="16"/>
              </w:rPr>
            </w:pPr>
            <w:r w:rsidRPr="002A2FE9">
              <w:rPr>
                <w:rFonts w:ascii="Arial" w:hAnsi="Arial" w:cs="Arial"/>
                <w:sz w:val="16"/>
                <w:szCs w:val="16"/>
              </w:rPr>
              <w:t>4.1</w:t>
            </w:r>
          </w:p>
        </w:tc>
      </w:tr>
      <w:tr w:rsidR="005A2E0A" w:rsidRPr="001D571E" w14:paraId="34E5D351" w14:textId="77777777" w:rsidTr="009C0FCB">
        <w:trPr>
          <w:trHeight w:val="24"/>
          <w:jc w:val="center"/>
        </w:trPr>
        <w:tc>
          <w:tcPr>
            <w:tcW w:w="2541" w:type="pct"/>
            <w:shd w:val="clear" w:color="auto" w:fill="auto"/>
            <w:vAlign w:val="center"/>
            <w:hideMark/>
          </w:tcPr>
          <w:p w14:paraId="74414E7F"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311 </w:t>
            </w:r>
            <w:proofErr w:type="gramStart"/>
            <w:r w:rsidRPr="00F9032A">
              <w:rPr>
                <w:color w:val="auto"/>
                <w:sz w:val="16"/>
                <w:szCs w:val="16"/>
                <w:lang w:eastAsia="es-MX"/>
              </w:rPr>
              <w:t>Industria</w:t>
            </w:r>
            <w:proofErr w:type="gramEnd"/>
            <w:r w:rsidRPr="00F9032A">
              <w:rPr>
                <w:color w:val="auto"/>
                <w:sz w:val="16"/>
                <w:szCs w:val="16"/>
                <w:lang w:eastAsia="es-MX"/>
              </w:rPr>
              <w:t xml:space="preserve"> alimentaria</w:t>
            </w:r>
          </w:p>
        </w:tc>
        <w:tc>
          <w:tcPr>
            <w:tcW w:w="684" w:type="pct"/>
            <w:shd w:val="clear" w:color="auto" w:fill="auto"/>
            <w:noWrap/>
          </w:tcPr>
          <w:p w14:paraId="086D43BE"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102.5</w:t>
            </w:r>
          </w:p>
        </w:tc>
        <w:tc>
          <w:tcPr>
            <w:tcW w:w="783" w:type="pct"/>
            <w:shd w:val="clear" w:color="auto" w:fill="auto"/>
            <w:noWrap/>
          </w:tcPr>
          <w:p w14:paraId="62CC8F30"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106.4</w:t>
            </w:r>
          </w:p>
        </w:tc>
        <w:tc>
          <w:tcPr>
            <w:tcW w:w="992" w:type="pct"/>
          </w:tcPr>
          <w:p w14:paraId="5C9E02FF"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3.8</w:t>
            </w:r>
          </w:p>
        </w:tc>
      </w:tr>
      <w:tr w:rsidR="005A2E0A" w:rsidRPr="001D571E" w14:paraId="7D1F40CC" w14:textId="77777777" w:rsidTr="009C0FCB">
        <w:trPr>
          <w:trHeight w:val="24"/>
          <w:jc w:val="center"/>
        </w:trPr>
        <w:tc>
          <w:tcPr>
            <w:tcW w:w="2541" w:type="pct"/>
            <w:shd w:val="clear" w:color="auto" w:fill="auto"/>
            <w:vAlign w:val="center"/>
            <w:hideMark/>
          </w:tcPr>
          <w:p w14:paraId="6FE8ACBB"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312 </w:t>
            </w:r>
            <w:proofErr w:type="gramStart"/>
            <w:r w:rsidRPr="00F9032A">
              <w:rPr>
                <w:color w:val="auto"/>
                <w:sz w:val="16"/>
                <w:szCs w:val="16"/>
                <w:lang w:eastAsia="es-MX"/>
              </w:rPr>
              <w:t>Industria</w:t>
            </w:r>
            <w:proofErr w:type="gramEnd"/>
            <w:r w:rsidRPr="00F9032A">
              <w:rPr>
                <w:color w:val="auto"/>
                <w:sz w:val="16"/>
                <w:szCs w:val="16"/>
                <w:lang w:eastAsia="es-MX"/>
              </w:rPr>
              <w:t xml:space="preserve"> de las bebidas y del tabaco</w:t>
            </w:r>
          </w:p>
        </w:tc>
        <w:tc>
          <w:tcPr>
            <w:tcW w:w="684" w:type="pct"/>
            <w:shd w:val="clear" w:color="auto" w:fill="auto"/>
            <w:noWrap/>
          </w:tcPr>
          <w:p w14:paraId="4C3767C3"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160.0</w:t>
            </w:r>
          </w:p>
        </w:tc>
        <w:tc>
          <w:tcPr>
            <w:tcW w:w="783" w:type="pct"/>
            <w:shd w:val="clear" w:color="auto" w:fill="auto"/>
            <w:noWrap/>
          </w:tcPr>
          <w:p w14:paraId="049477FD"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165.7</w:t>
            </w:r>
          </w:p>
        </w:tc>
        <w:tc>
          <w:tcPr>
            <w:tcW w:w="992" w:type="pct"/>
          </w:tcPr>
          <w:p w14:paraId="4ECBD7B6"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3.6</w:t>
            </w:r>
          </w:p>
        </w:tc>
      </w:tr>
      <w:tr w:rsidR="005A2E0A" w:rsidRPr="001D571E" w14:paraId="793FE3FC" w14:textId="77777777" w:rsidTr="009C0FCB">
        <w:trPr>
          <w:trHeight w:val="24"/>
          <w:jc w:val="center"/>
        </w:trPr>
        <w:tc>
          <w:tcPr>
            <w:tcW w:w="2541" w:type="pct"/>
            <w:shd w:val="clear" w:color="auto" w:fill="auto"/>
            <w:vAlign w:val="center"/>
            <w:hideMark/>
          </w:tcPr>
          <w:p w14:paraId="3305D097"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313 </w:t>
            </w:r>
            <w:proofErr w:type="gramStart"/>
            <w:r w:rsidRPr="00F9032A">
              <w:rPr>
                <w:color w:val="auto"/>
                <w:sz w:val="16"/>
                <w:szCs w:val="16"/>
                <w:lang w:eastAsia="es-MX"/>
              </w:rPr>
              <w:t>Fabricación</w:t>
            </w:r>
            <w:proofErr w:type="gramEnd"/>
            <w:r w:rsidRPr="00F9032A">
              <w:rPr>
                <w:color w:val="auto"/>
                <w:sz w:val="16"/>
                <w:szCs w:val="16"/>
                <w:lang w:eastAsia="es-MX"/>
              </w:rPr>
              <w:t xml:space="preserve"> de insumos textiles</w:t>
            </w:r>
          </w:p>
        </w:tc>
        <w:tc>
          <w:tcPr>
            <w:tcW w:w="684" w:type="pct"/>
            <w:shd w:val="clear" w:color="auto" w:fill="auto"/>
            <w:noWrap/>
          </w:tcPr>
          <w:p w14:paraId="011FFBB7"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149.2</w:t>
            </w:r>
          </w:p>
        </w:tc>
        <w:tc>
          <w:tcPr>
            <w:tcW w:w="783" w:type="pct"/>
            <w:shd w:val="clear" w:color="auto" w:fill="auto"/>
            <w:noWrap/>
          </w:tcPr>
          <w:p w14:paraId="43083A34"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153.2</w:t>
            </w:r>
          </w:p>
        </w:tc>
        <w:tc>
          <w:tcPr>
            <w:tcW w:w="992" w:type="pct"/>
          </w:tcPr>
          <w:p w14:paraId="2DADA280"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2.7</w:t>
            </w:r>
          </w:p>
        </w:tc>
      </w:tr>
      <w:tr w:rsidR="005A2E0A" w:rsidRPr="001D571E" w14:paraId="2EA4237E" w14:textId="77777777" w:rsidTr="009C0FCB">
        <w:trPr>
          <w:trHeight w:val="24"/>
          <w:jc w:val="center"/>
        </w:trPr>
        <w:tc>
          <w:tcPr>
            <w:tcW w:w="2541" w:type="pct"/>
            <w:shd w:val="clear" w:color="auto" w:fill="auto"/>
            <w:vAlign w:val="center"/>
            <w:hideMark/>
          </w:tcPr>
          <w:p w14:paraId="231A326F"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314 </w:t>
            </w:r>
            <w:proofErr w:type="gramStart"/>
            <w:r w:rsidRPr="00F9032A">
              <w:rPr>
                <w:color w:val="auto"/>
                <w:sz w:val="16"/>
                <w:szCs w:val="16"/>
                <w:lang w:eastAsia="es-MX"/>
              </w:rPr>
              <w:t>Fabricación</w:t>
            </w:r>
            <w:proofErr w:type="gramEnd"/>
            <w:r w:rsidRPr="00F9032A">
              <w:rPr>
                <w:color w:val="auto"/>
                <w:sz w:val="16"/>
                <w:szCs w:val="16"/>
                <w:lang w:eastAsia="es-MX"/>
              </w:rPr>
              <w:t xml:space="preserve"> de productos textiles</w:t>
            </w:r>
          </w:p>
        </w:tc>
        <w:tc>
          <w:tcPr>
            <w:tcW w:w="684" w:type="pct"/>
            <w:shd w:val="clear" w:color="auto" w:fill="auto"/>
            <w:noWrap/>
          </w:tcPr>
          <w:p w14:paraId="3F0D97C7"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143.2</w:t>
            </w:r>
          </w:p>
        </w:tc>
        <w:tc>
          <w:tcPr>
            <w:tcW w:w="783" w:type="pct"/>
            <w:shd w:val="clear" w:color="auto" w:fill="auto"/>
            <w:noWrap/>
          </w:tcPr>
          <w:p w14:paraId="078483C4"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147.2</w:t>
            </w:r>
          </w:p>
        </w:tc>
        <w:tc>
          <w:tcPr>
            <w:tcW w:w="992" w:type="pct"/>
          </w:tcPr>
          <w:p w14:paraId="01BF9AD9"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2.8</w:t>
            </w:r>
          </w:p>
        </w:tc>
      </w:tr>
      <w:tr w:rsidR="005A2E0A" w:rsidRPr="001D571E" w14:paraId="234589FB" w14:textId="77777777" w:rsidTr="009C0FCB">
        <w:trPr>
          <w:trHeight w:val="24"/>
          <w:jc w:val="center"/>
        </w:trPr>
        <w:tc>
          <w:tcPr>
            <w:tcW w:w="2541" w:type="pct"/>
            <w:shd w:val="clear" w:color="auto" w:fill="auto"/>
            <w:vAlign w:val="center"/>
            <w:hideMark/>
          </w:tcPr>
          <w:p w14:paraId="69F25624"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315 </w:t>
            </w:r>
            <w:proofErr w:type="gramStart"/>
            <w:r w:rsidRPr="00F9032A">
              <w:rPr>
                <w:color w:val="auto"/>
                <w:sz w:val="16"/>
                <w:szCs w:val="16"/>
                <w:lang w:eastAsia="es-MX"/>
              </w:rPr>
              <w:t>Fabricación</w:t>
            </w:r>
            <w:proofErr w:type="gramEnd"/>
            <w:r w:rsidRPr="00F9032A">
              <w:rPr>
                <w:color w:val="auto"/>
                <w:sz w:val="16"/>
                <w:szCs w:val="16"/>
                <w:lang w:eastAsia="es-MX"/>
              </w:rPr>
              <w:t xml:space="preserve"> de prendas de vestir</w:t>
            </w:r>
          </w:p>
        </w:tc>
        <w:tc>
          <w:tcPr>
            <w:tcW w:w="684" w:type="pct"/>
            <w:shd w:val="clear" w:color="auto" w:fill="auto"/>
            <w:noWrap/>
          </w:tcPr>
          <w:p w14:paraId="10DF8ADB"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110.2</w:t>
            </w:r>
          </w:p>
        </w:tc>
        <w:tc>
          <w:tcPr>
            <w:tcW w:w="783" w:type="pct"/>
            <w:shd w:val="clear" w:color="auto" w:fill="auto"/>
            <w:noWrap/>
          </w:tcPr>
          <w:p w14:paraId="6ADEBCFC"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110.7</w:t>
            </w:r>
          </w:p>
        </w:tc>
        <w:tc>
          <w:tcPr>
            <w:tcW w:w="992" w:type="pct"/>
          </w:tcPr>
          <w:p w14:paraId="7E05100C"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0.4</w:t>
            </w:r>
          </w:p>
        </w:tc>
      </w:tr>
      <w:tr w:rsidR="005A2E0A" w:rsidRPr="001D571E" w14:paraId="0137ACE5" w14:textId="77777777" w:rsidTr="009C0FCB">
        <w:trPr>
          <w:trHeight w:val="24"/>
          <w:jc w:val="center"/>
        </w:trPr>
        <w:tc>
          <w:tcPr>
            <w:tcW w:w="2541" w:type="pct"/>
            <w:shd w:val="clear" w:color="auto" w:fill="auto"/>
            <w:vAlign w:val="center"/>
            <w:hideMark/>
          </w:tcPr>
          <w:p w14:paraId="3DCB3222"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316 </w:t>
            </w:r>
            <w:proofErr w:type="gramStart"/>
            <w:r w:rsidRPr="00F9032A">
              <w:rPr>
                <w:color w:val="auto"/>
                <w:sz w:val="16"/>
                <w:szCs w:val="16"/>
                <w:lang w:eastAsia="es-MX"/>
              </w:rPr>
              <w:t>Curtido</w:t>
            </w:r>
            <w:proofErr w:type="gramEnd"/>
            <w:r w:rsidRPr="00F9032A">
              <w:rPr>
                <w:color w:val="auto"/>
                <w:sz w:val="16"/>
                <w:szCs w:val="16"/>
                <w:lang w:eastAsia="es-MX"/>
              </w:rPr>
              <w:t xml:space="preserve"> y acabado de cuero y piel</w:t>
            </w:r>
          </w:p>
        </w:tc>
        <w:tc>
          <w:tcPr>
            <w:tcW w:w="684" w:type="pct"/>
            <w:shd w:val="clear" w:color="auto" w:fill="auto"/>
            <w:noWrap/>
          </w:tcPr>
          <w:p w14:paraId="374F14EC"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125.0</w:t>
            </w:r>
          </w:p>
        </w:tc>
        <w:tc>
          <w:tcPr>
            <w:tcW w:w="783" w:type="pct"/>
            <w:shd w:val="clear" w:color="auto" w:fill="auto"/>
            <w:noWrap/>
          </w:tcPr>
          <w:p w14:paraId="6FE28204"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127.6</w:t>
            </w:r>
          </w:p>
        </w:tc>
        <w:tc>
          <w:tcPr>
            <w:tcW w:w="992" w:type="pct"/>
          </w:tcPr>
          <w:p w14:paraId="5FA2BCF3"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2.1</w:t>
            </w:r>
          </w:p>
        </w:tc>
      </w:tr>
      <w:tr w:rsidR="005A2E0A" w:rsidRPr="001D571E" w14:paraId="5F800E1F" w14:textId="77777777" w:rsidTr="009C0FCB">
        <w:trPr>
          <w:trHeight w:val="24"/>
          <w:jc w:val="center"/>
        </w:trPr>
        <w:tc>
          <w:tcPr>
            <w:tcW w:w="2541" w:type="pct"/>
            <w:shd w:val="clear" w:color="auto" w:fill="auto"/>
            <w:vAlign w:val="center"/>
            <w:hideMark/>
          </w:tcPr>
          <w:p w14:paraId="4FF06EE9"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321 </w:t>
            </w:r>
            <w:proofErr w:type="gramStart"/>
            <w:r w:rsidRPr="00F9032A">
              <w:rPr>
                <w:color w:val="auto"/>
                <w:sz w:val="16"/>
                <w:szCs w:val="16"/>
                <w:lang w:eastAsia="es-MX"/>
              </w:rPr>
              <w:t>Industria</w:t>
            </w:r>
            <w:proofErr w:type="gramEnd"/>
            <w:r w:rsidRPr="00F9032A">
              <w:rPr>
                <w:color w:val="auto"/>
                <w:sz w:val="16"/>
                <w:szCs w:val="16"/>
                <w:lang w:eastAsia="es-MX"/>
              </w:rPr>
              <w:t xml:space="preserve"> de la madera</w:t>
            </w:r>
          </w:p>
        </w:tc>
        <w:tc>
          <w:tcPr>
            <w:tcW w:w="684" w:type="pct"/>
            <w:shd w:val="clear" w:color="auto" w:fill="auto"/>
            <w:noWrap/>
          </w:tcPr>
          <w:p w14:paraId="55DBB071"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133.3</w:t>
            </w:r>
          </w:p>
        </w:tc>
        <w:tc>
          <w:tcPr>
            <w:tcW w:w="783" w:type="pct"/>
            <w:shd w:val="clear" w:color="auto" w:fill="auto"/>
            <w:noWrap/>
          </w:tcPr>
          <w:p w14:paraId="680CD583"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136.6</w:t>
            </w:r>
          </w:p>
        </w:tc>
        <w:tc>
          <w:tcPr>
            <w:tcW w:w="992" w:type="pct"/>
          </w:tcPr>
          <w:p w14:paraId="4F67E319"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2.5</w:t>
            </w:r>
          </w:p>
        </w:tc>
      </w:tr>
      <w:tr w:rsidR="005A2E0A" w:rsidRPr="001D571E" w14:paraId="476DBCBC" w14:textId="77777777" w:rsidTr="009C0FCB">
        <w:trPr>
          <w:trHeight w:val="24"/>
          <w:jc w:val="center"/>
        </w:trPr>
        <w:tc>
          <w:tcPr>
            <w:tcW w:w="2541" w:type="pct"/>
            <w:shd w:val="clear" w:color="auto" w:fill="auto"/>
            <w:vAlign w:val="center"/>
            <w:hideMark/>
          </w:tcPr>
          <w:p w14:paraId="4EAAA582"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322 </w:t>
            </w:r>
            <w:proofErr w:type="gramStart"/>
            <w:r w:rsidRPr="00F9032A">
              <w:rPr>
                <w:color w:val="auto"/>
                <w:sz w:val="16"/>
                <w:szCs w:val="16"/>
                <w:lang w:eastAsia="es-MX"/>
              </w:rPr>
              <w:t>Industria</w:t>
            </w:r>
            <w:proofErr w:type="gramEnd"/>
            <w:r w:rsidRPr="00F9032A">
              <w:rPr>
                <w:color w:val="auto"/>
                <w:sz w:val="16"/>
                <w:szCs w:val="16"/>
                <w:lang w:eastAsia="es-MX"/>
              </w:rPr>
              <w:t xml:space="preserve"> del papel</w:t>
            </w:r>
          </w:p>
        </w:tc>
        <w:tc>
          <w:tcPr>
            <w:tcW w:w="684" w:type="pct"/>
            <w:shd w:val="clear" w:color="auto" w:fill="auto"/>
            <w:noWrap/>
          </w:tcPr>
          <w:p w14:paraId="039C5BCC"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235.9</w:t>
            </w:r>
          </w:p>
        </w:tc>
        <w:tc>
          <w:tcPr>
            <w:tcW w:w="783" w:type="pct"/>
            <w:shd w:val="clear" w:color="auto" w:fill="auto"/>
            <w:noWrap/>
          </w:tcPr>
          <w:p w14:paraId="207A6658"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249.6</w:t>
            </w:r>
          </w:p>
        </w:tc>
        <w:tc>
          <w:tcPr>
            <w:tcW w:w="992" w:type="pct"/>
          </w:tcPr>
          <w:p w14:paraId="12B51184"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5.8</w:t>
            </w:r>
          </w:p>
        </w:tc>
      </w:tr>
      <w:tr w:rsidR="005A2E0A" w:rsidRPr="001D571E" w14:paraId="12995E5C" w14:textId="77777777" w:rsidTr="009C0FCB">
        <w:trPr>
          <w:trHeight w:val="24"/>
          <w:jc w:val="center"/>
        </w:trPr>
        <w:tc>
          <w:tcPr>
            <w:tcW w:w="2541" w:type="pct"/>
            <w:shd w:val="clear" w:color="auto" w:fill="auto"/>
            <w:vAlign w:val="center"/>
            <w:hideMark/>
          </w:tcPr>
          <w:p w14:paraId="57EE5296"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323 </w:t>
            </w:r>
            <w:proofErr w:type="gramStart"/>
            <w:r w:rsidRPr="00F9032A">
              <w:rPr>
                <w:color w:val="auto"/>
                <w:sz w:val="16"/>
                <w:szCs w:val="16"/>
                <w:lang w:eastAsia="es-MX"/>
              </w:rPr>
              <w:t>Impresión</w:t>
            </w:r>
            <w:proofErr w:type="gramEnd"/>
            <w:r w:rsidRPr="00F9032A">
              <w:rPr>
                <w:color w:val="auto"/>
                <w:sz w:val="16"/>
                <w:szCs w:val="16"/>
                <w:lang w:eastAsia="es-MX"/>
              </w:rPr>
              <w:t xml:space="preserve"> e industrias conexas</w:t>
            </w:r>
          </w:p>
        </w:tc>
        <w:tc>
          <w:tcPr>
            <w:tcW w:w="684" w:type="pct"/>
            <w:shd w:val="clear" w:color="auto" w:fill="auto"/>
            <w:noWrap/>
          </w:tcPr>
          <w:p w14:paraId="6CE3199C"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191.0</w:t>
            </w:r>
          </w:p>
        </w:tc>
        <w:tc>
          <w:tcPr>
            <w:tcW w:w="783" w:type="pct"/>
            <w:shd w:val="clear" w:color="auto" w:fill="auto"/>
            <w:noWrap/>
          </w:tcPr>
          <w:p w14:paraId="5F5A5CB2"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198.4</w:t>
            </w:r>
          </w:p>
        </w:tc>
        <w:tc>
          <w:tcPr>
            <w:tcW w:w="992" w:type="pct"/>
          </w:tcPr>
          <w:p w14:paraId="28A30F94"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3.8</w:t>
            </w:r>
          </w:p>
        </w:tc>
      </w:tr>
      <w:tr w:rsidR="005A2E0A" w:rsidRPr="001D571E" w14:paraId="5D3DC2C5" w14:textId="77777777" w:rsidTr="009C0FCB">
        <w:trPr>
          <w:trHeight w:val="24"/>
          <w:jc w:val="center"/>
        </w:trPr>
        <w:tc>
          <w:tcPr>
            <w:tcW w:w="2541" w:type="pct"/>
            <w:shd w:val="clear" w:color="auto" w:fill="auto"/>
            <w:vAlign w:val="center"/>
            <w:hideMark/>
          </w:tcPr>
          <w:p w14:paraId="20C5AEBD"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324 </w:t>
            </w:r>
            <w:proofErr w:type="gramStart"/>
            <w:r w:rsidRPr="00F9032A">
              <w:rPr>
                <w:color w:val="auto"/>
                <w:sz w:val="16"/>
                <w:szCs w:val="16"/>
                <w:lang w:eastAsia="es-MX"/>
              </w:rPr>
              <w:t>Productos</w:t>
            </w:r>
            <w:proofErr w:type="gramEnd"/>
            <w:r w:rsidRPr="00F9032A">
              <w:rPr>
                <w:color w:val="auto"/>
                <w:sz w:val="16"/>
                <w:szCs w:val="16"/>
                <w:lang w:eastAsia="es-MX"/>
              </w:rPr>
              <w:t xml:space="preserve"> derivados del petróleo</w:t>
            </w:r>
          </w:p>
        </w:tc>
        <w:tc>
          <w:tcPr>
            <w:tcW w:w="684" w:type="pct"/>
            <w:shd w:val="clear" w:color="auto" w:fill="auto"/>
            <w:noWrap/>
          </w:tcPr>
          <w:p w14:paraId="5ACD4ECB"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479.8</w:t>
            </w:r>
          </w:p>
        </w:tc>
        <w:tc>
          <w:tcPr>
            <w:tcW w:w="783" w:type="pct"/>
            <w:shd w:val="clear" w:color="auto" w:fill="auto"/>
            <w:noWrap/>
          </w:tcPr>
          <w:p w14:paraId="11549C30"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476.6</w:t>
            </w:r>
          </w:p>
        </w:tc>
        <w:tc>
          <w:tcPr>
            <w:tcW w:w="992" w:type="pct"/>
          </w:tcPr>
          <w:p w14:paraId="75F89A20"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-0.7</w:t>
            </w:r>
          </w:p>
        </w:tc>
      </w:tr>
      <w:tr w:rsidR="005A2E0A" w:rsidRPr="001D571E" w14:paraId="12027978" w14:textId="77777777" w:rsidTr="009C0FCB">
        <w:trPr>
          <w:trHeight w:val="24"/>
          <w:jc w:val="center"/>
        </w:trPr>
        <w:tc>
          <w:tcPr>
            <w:tcW w:w="2541" w:type="pct"/>
            <w:shd w:val="clear" w:color="auto" w:fill="auto"/>
            <w:vAlign w:val="center"/>
            <w:hideMark/>
          </w:tcPr>
          <w:p w14:paraId="2565F73B"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325 </w:t>
            </w:r>
            <w:proofErr w:type="gramStart"/>
            <w:r w:rsidRPr="00F9032A">
              <w:rPr>
                <w:color w:val="auto"/>
                <w:sz w:val="16"/>
                <w:szCs w:val="16"/>
                <w:lang w:eastAsia="es-MX"/>
              </w:rPr>
              <w:t>Industria</w:t>
            </w:r>
            <w:proofErr w:type="gramEnd"/>
            <w:r w:rsidRPr="00F9032A">
              <w:rPr>
                <w:color w:val="auto"/>
                <w:sz w:val="16"/>
                <w:szCs w:val="16"/>
                <w:lang w:eastAsia="es-MX"/>
              </w:rPr>
              <w:t xml:space="preserve"> química</w:t>
            </w:r>
          </w:p>
        </w:tc>
        <w:tc>
          <w:tcPr>
            <w:tcW w:w="684" w:type="pct"/>
            <w:shd w:val="clear" w:color="auto" w:fill="auto"/>
            <w:noWrap/>
          </w:tcPr>
          <w:p w14:paraId="53CA48FB"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359.3</w:t>
            </w:r>
          </w:p>
        </w:tc>
        <w:tc>
          <w:tcPr>
            <w:tcW w:w="783" w:type="pct"/>
            <w:shd w:val="clear" w:color="auto" w:fill="auto"/>
            <w:noWrap/>
          </w:tcPr>
          <w:p w14:paraId="125EA804"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366.3</w:t>
            </w:r>
          </w:p>
        </w:tc>
        <w:tc>
          <w:tcPr>
            <w:tcW w:w="992" w:type="pct"/>
          </w:tcPr>
          <w:p w14:paraId="54606B55"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1.9</w:t>
            </w:r>
          </w:p>
        </w:tc>
      </w:tr>
      <w:tr w:rsidR="005A2E0A" w:rsidRPr="001D571E" w14:paraId="371F21AC" w14:textId="77777777" w:rsidTr="009C0FCB">
        <w:trPr>
          <w:trHeight w:val="24"/>
          <w:jc w:val="center"/>
        </w:trPr>
        <w:tc>
          <w:tcPr>
            <w:tcW w:w="2541" w:type="pct"/>
            <w:shd w:val="clear" w:color="auto" w:fill="auto"/>
            <w:vAlign w:val="center"/>
            <w:hideMark/>
          </w:tcPr>
          <w:p w14:paraId="03FA9F0E"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326 </w:t>
            </w:r>
            <w:proofErr w:type="gramStart"/>
            <w:r w:rsidRPr="00F9032A">
              <w:rPr>
                <w:color w:val="auto"/>
                <w:sz w:val="16"/>
                <w:szCs w:val="16"/>
                <w:lang w:eastAsia="es-MX"/>
              </w:rPr>
              <w:t>Industria</w:t>
            </w:r>
            <w:proofErr w:type="gramEnd"/>
            <w:r w:rsidRPr="00F9032A">
              <w:rPr>
                <w:color w:val="auto"/>
                <w:sz w:val="16"/>
                <w:szCs w:val="16"/>
                <w:lang w:eastAsia="es-MX"/>
              </w:rPr>
              <w:t xml:space="preserve"> del plástico y del hule</w:t>
            </w:r>
          </w:p>
        </w:tc>
        <w:tc>
          <w:tcPr>
            <w:tcW w:w="684" w:type="pct"/>
            <w:shd w:val="clear" w:color="auto" w:fill="auto"/>
            <w:noWrap/>
          </w:tcPr>
          <w:p w14:paraId="40B480E0"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210.2</w:t>
            </w:r>
          </w:p>
        </w:tc>
        <w:tc>
          <w:tcPr>
            <w:tcW w:w="783" w:type="pct"/>
            <w:shd w:val="clear" w:color="auto" w:fill="auto"/>
            <w:noWrap/>
          </w:tcPr>
          <w:p w14:paraId="67C0F255"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215.7</w:t>
            </w:r>
          </w:p>
        </w:tc>
        <w:tc>
          <w:tcPr>
            <w:tcW w:w="992" w:type="pct"/>
          </w:tcPr>
          <w:p w14:paraId="701D825D"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2.6</w:t>
            </w:r>
          </w:p>
        </w:tc>
      </w:tr>
      <w:tr w:rsidR="005A2E0A" w:rsidRPr="001D571E" w14:paraId="2AAA9D9D" w14:textId="77777777" w:rsidTr="009C0FCB">
        <w:trPr>
          <w:trHeight w:val="24"/>
          <w:jc w:val="center"/>
        </w:trPr>
        <w:tc>
          <w:tcPr>
            <w:tcW w:w="2541" w:type="pct"/>
            <w:shd w:val="clear" w:color="auto" w:fill="auto"/>
            <w:vAlign w:val="center"/>
            <w:hideMark/>
          </w:tcPr>
          <w:p w14:paraId="405B8EF0"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327 </w:t>
            </w:r>
            <w:proofErr w:type="gramStart"/>
            <w:r w:rsidRPr="00F9032A">
              <w:rPr>
                <w:color w:val="auto"/>
                <w:sz w:val="16"/>
                <w:szCs w:val="16"/>
                <w:lang w:eastAsia="es-MX"/>
              </w:rPr>
              <w:t>Productos</w:t>
            </w:r>
            <w:proofErr w:type="gramEnd"/>
            <w:r w:rsidRPr="00F9032A">
              <w:rPr>
                <w:color w:val="auto"/>
                <w:sz w:val="16"/>
                <w:szCs w:val="16"/>
                <w:lang w:eastAsia="es-MX"/>
              </w:rPr>
              <w:t xml:space="preserve"> a base de minerales no metálicos</w:t>
            </w:r>
          </w:p>
        </w:tc>
        <w:tc>
          <w:tcPr>
            <w:tcW w:w="684" w:type="pct"/>
            <w:shd w:val="clear" w:color="auto" w:fill="auto"/>
            <w:noWrap/>
          </w:tcPr>
          <w:p w14:paraId="138763A8"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257.2</w:t>
            </w:r>
          </w:p>
        </w:tc>
        <w:tc>
          <w:tcPr>
            <w:tcW w:w="783" w:type="pct"/>
            <w:shd w:val="clear" w:color="auto" w:fill="auto"/>
            <w:noWrap/>
          </w:tcPr>
          <w:p w14:paraId="4C06EF09"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267.0</w:t>
            </w:r>
          </w:p>
        </w:tc>
        <w:tc>
          <w:tcPr>
            <w:tcW w:w="992" w:type="pct"/>
          </w:tcPr>
          <w:p w14:paraId="410CFF4A"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3.8</w:t>
            </w:r>
          </w:p>
        </w:tc>
      </w:tr>
      <w:tr w:rsidR="005A2E0A" w:rsidRPr="001D571E" w14:paraId="45845CB0" w14:textId="77777777" w:rsidTr="009C0FCB">
        <w:trPr>
          <w:trHeight w:val="24"/>
          <w:jc w:val="center"/>
        </w:trPr>
        <w:tc>
          <w:tcPr>
            <w:tcW w:w="2541" w:type="pct"/>
            <w:shd w:val="clear" w:color="auto" w:fill="auto"/>
            <w:vAlign w:val="center"/>
            <w:hideMark/>
          </w:tcPr>
          <w:p w14:paraId="6E6D60CE"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331 </w:t>
            </w:r>
            <w:proofErr w:type="gramStart"/>
            <w:r w:rsidRPr="00F9032A">
              <w:rPr>
                <w:color w:val="auto"/>
                <w:sz w:val="16"/>
                <w:szCs w:val="16"/>
                <w:lang w:eastAsia="es-MX"/>
              </w:rPr>
              <w:t>Industrias</w:t>
            </w:r>
            <w:proofErr w:type="gramEnd"/>
            <w:r w:rsidRPr="00F9032A">
              <w:rPr>
                <w:color w:val="auto"/>
                <w:sz w:val="16"/>
                <w:szCs w:val="16"/>
                <w:lang w:eastAsia="es-MX"/>
              </w:rPr>
              <w:t xml:space="preserve"> metálicas básicas</w:t>
            </w:r>
          </w:p>
        </w:tc>
        <w:tc>
          <w:tcPr>
            <w:tcW w:w="684" w:type="pct"/>
            <w:shd w:val="clear" w:color="auto" w:fill="auto"/>
            <w:noWrap/>
          </w:tcPr>
          <w:p w14:paraId="7527B7B1"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357.5</w:t>
            </w:r>
          </w:p>
        </w:tc>
        <w:tc>
          <w:tcPr>
            <w:tcW w:w="783" w:type="pct"/>
            <w:shd w:val="clear" w:color="auto" w:fill="auto"/>
            <w:noWrap/>
          </w:tcPr>
          <w:p w14:paraId="0FBF010F"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378.7</w:t>
            </w:r>
          </w:p>
        </w:tc>
        <w:tc>
          <w:tcPr>
            <w:tcW w:w="992" w:type="pct"/>
          </w:tcPr>
          <w:p w14:paraId="2D984463"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5.9</w:t>
            </w:r>
          </w:p>
        </w:tc>
      </w:tr>
      <w:tr w:rsidR="005A2E0A" w:rsidRPr="001D571E" w14:paraId="3BBB46E7" w14:textId="77777777" w:rsidTr="009C0FCB">
        <w:trPr>
          <w:trHeight w:val="24"/>
          <w:jc w:val="center"/>
        </w:trPr>
        <w:tc>
          <w:tcPr>
            <w:tcW w:w="2541" w:type="pct"/>
            <w:shd w:val="clear" w:color="auto" w:fill="auto"/>
            <w:vAlign w:val="center"/>
            <w:hideMark/>
          </w:tcPr>
          <w:p w14:paraId="01E493CC"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332 </w:t>
            </w:r>
            <w:proofErr w:type="gramStart"/>
            <w:r w:rsidRPr="00F9032A">
              <w:rPr>
                <w:color w:val="auto"/>
                <w:sz w:val="16"/>
                <w:szCs w:val="16"/>
                <w:lang w:eastAsia="es-MX"/>
              </w:rPr>
              <w:t>Fabricación</w:t>
            </w:r>
            <w:proofErr w:type="gramEnd"/>
            <w:r w:rsidRPr="00F9032A">
              <w:rPr>
                <w:color w:val="auto"/>
                <w:sz w:val="16"/>
                <w:szCs w:val="16"/>
                <w:lang w:eastAsia="es-MX"/>
              </w:rPr>
              <w:t xml:space="preserve"> de productos metálicos</w:t>
            </w:r>
          </w:p>
        </w:tc>
        <w:tc>
          <w:tcPr>
            <w:tcW w:w="684" w:type="pct"/>
            <w:shd w:val="clear" w:color="auto" w:fill="auto"/>
            <w:noWrap/>
          </w:tcPr>
          <w:p w14:paraId="3906B401"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144.3</w:t>
            </w:r>
          </w:p>
        </w:tc>
        <w:tc>
          <w:tcPr>
            <w:tcW w:w="783" w:type="pct"/>
            <w:shd w:val="clear" w:color="auto" w:fill="auto"/>
            <w:noWrap/>
          </w:tcPr>
          <w:p w14:paraId="51345B5D"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154.6</w:t>
            </w:r>
          </w:p>
        </w:tc>
        <w:tc>
          <w:tcPr>
            <w:tcW w:w="992" w:type="pct"/>
          </w:tcPr>
          <w:p w14:paraId="60A1D6D3"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7.2</w:t>
            </w:r>
          </w:p>
        </w:tc>
      </w:tr>
      <w:tr w:rsidR="005A2E0A" w:rsidRPr="001D571E" w14:paraId="1CD12C2B" w14:textId="77777777" w:rsidTr="009C0FCB">
        <w:trPr>
          <w:trHeight w:val="24"/>
          <w:jc w:val="center"/>
        </w:trPr>
        <w:tc>
          <w:tcPr>
            <w:tcW w:w="2541" w:type="pct"/>
            <w:shd w:val="clear" w:color="auto" w:fill="auto"/>
            <w:vAlign w:val="center"/>
            <w:hideMark/>
          </w:tcPr>
          <w:p w14:paraId="1A9BD520"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333 </w:t>
            </w:r>
            <w:proofErr w:type="gramStart"/>
            <w:r w:rsidRPr="00F9032A">
              <w:rPr>
                <w:color w:val="auto"/>
                <w:sz w:val="16"/>
                <w:szCs w:val="16"/>
                <w:lang w:eastAsia="es-MX"/>
              </w:rPr>
              <w:t>Fabricación</w:t>
            </w:r>
            <w:proofErr w:type="gramEnd"/>
            <w:r w:rsidRPr="00F9032A">
              <w:rPr>
                <w:color w:val="auto"/>
                <w:sz w:val="16"/>
                <w:szCs w:val="16"/>
                <w:lang w:eastAsia="es-MX"/>
              </w:rPr>
              <w:t xml:space="preserve"> de maquinaria y equipo</w:t>
            </w:r>
          </w:p>
        </w:tc>
        <w:tc>
          <w:tcPr>
            <w:tcW w:w="684" w:type="pct"/>
            <w:shd w:val="clear" w:color="auto" w:fill="auto"/>
            <w:noWrap/>
          </w:tcPr>
          <w:p w14:paraId="674BF1DB"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255.8</w:t>
            </w:r>
          </w:p>
        </w:tc>
        <w:tc>
          <w:tcPr>
            <w:tcW w:w="783" w:type="pct"/>
            <w:shd w:val="clear" w:color="auto" w:fill="auto"/>
            <w:noWrap/>
          </w:tcPr>
          <w:p w14:paraId="678A5877"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267.9</w:t>
            </w:r>
          </w:p>
        </w:tc>
        <w:tc>
          <w:tcPr>
            <w:tcW w:w="992" w:type="pct"/>
          </w:tcPr>
          <w:p w14:paraId="4170BB60"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4.8</w:t>
            </w:r>
          </w:p>
        </w:tc>
      </w:tr>
      <w:tr w:rsidR="005A2E0A" w:rsidRPr="001D571E" w14:paraId="06E362DE" w14:textId="77777777" w:rsidTr="009C0FCB">
        <w:trPr>
          <w:trHeight w:val="24"/>
          <w:jc w:val="center"/>
        </w:trPr>
        <w:tc>
          <w:tcPr>
            <w:tcW w:w="2541" w:type="pct"/>
            <w:shd w:val="clear" w:color="auto" w:fill="auto"/>
            <w:vAlign w:val="center"/>
            <w:hideMark/>
          </w:tcPr>
          <w:p w14:paraId="1F981C61"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334 </w:t>
            </w:r>
            <w:proofErr w:type="gramStart"/>
            <w:r w:rsidRPr="00F9032A">
              <w:rPr>
                <w:color w:val="auto"/>
                <w:sz w:val="16"/>
                <w:szCs w:val="16"/>
                <w:lang w:eastAsia="es-MX"/>
              </w:rPr>
              <w:t>Fabricación</w:t>
            </w:r>
            <w:proofErr w:type="gramEnd"/>
            <w:r w:rsidRPr="00F9032A">
              <w:rPr>
                <w:color w:val="auto"/>
                <w:sz w:val="16"/>
                <w:szCs w:val="16"/>
                <w:lang w:eastAsia="es-MX"/>
              </w:rPr>
              <w:t xml:space="preserve"> de equipo de computación</w:t>
            </w:r>
          </w:p>
        </w:tc>
        <w:tc>
          <w:tcPr>
            <w:tcW w:w="684" w:type="pct"/>
            <w:shd w:val="clear" w:color="auto" w:fill="auto"/>
            <w:noWrap/>
          </w:tcPr>
          <w:p w14:paraId="298575E7"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212.4</w:t>
            </w:r>
          </w:p>
        </w:tc>
        <w:tc>
          <w:tcPr>
            <w:tcW w:w="783" w:type="pct"/>
            <w:shd w:val="clear" w:color="auto" w:fill="auto"/>
            <w:noWrap/>
          </w:tcPr>
          <w:p w14:paraId="0008EF65"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223.6</w:t>
            </w:r>
          </w:p>
        </w:tc>
        <w:tc>
          <w:tcPr>
            <w:tcW w:w="992" w:type="pct"/>
          </w:tcPr>
          <w:p w14:paraId="71D4AC50"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5.2</w:t>
            </w:r>
          </w:p>
        </w:tc>
      </w:tr>
      <w:tr w:rsidR="005A2E0A" w:rsidRPr="001D571E" w14:paraId="2F63CFD4" w14:textId="77777777" w:rsidTr="009C0FCB">
        <w:trPr>
          <w:trHeight w:val="24"/>
          <w:jc w:val="center"/>
        </w:trPr>
        <w:tc>
          <w:tcPr>
            <w:tcW w:w="2541" w:type="pct"/>
            <w:shd w:val="clear" w:color="auto" w:fill="auto"/>
            <w:vAlign w:val="center"/>
            <w:hideMark/>
          </w:tcPr>
          <w:p w14:paraId="5C548BD4"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335 </w:t>
            </w:r>
            <w:proofErr w:type="gramStart"/>
            <w:r w:rsidRPr="00F9032A">
              <w:rPr>
                <w:color w:val="auto"/>
                <w:sz w:val="16"/>
                <w:szCs w:val="16"/>
                <w:lang w:eastAsia="es-MX"/>
              </w:rPr>
              <w:t>Fabricación</w:t>
            </w:r>
            <w:proofErr w:type="gramEnd"/>
            <w:r w:rsidRPr="00F9032A">
              <w:rPr>
                <w:color w:val="auto"/>
                <w:sz w:val="16"/>
                <w:szCs w:val="16"/>
                <w:lang w:eastAsia="es-MX"/>
              </w:rPr>
              <w:t xml:space="preserve"> de aparatos eléctricos</w:t>
            </w:r>
          </w:p>
        </w:tc>
        <w:tc>
          <w:tcPr>
            <w:tcW w:w="684" w:type="pct"/>
            <w:shd w:val="clear" w:color="auto" w:fill="auto"/>
            <w:noWrap/>
          </w:tcPr>
          <w:p w14:paraId="32853229"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208.3</w:t>
            </w:r>
          </w:p>
        </w:tc>
        <w:tc>
          <w:tcPr>
            <w:tcW w:w="783" w:type="pct"/>
            <w:shd w:val="clear" w:color="auto" w:fill="auto"/>
            <w:noWrap/>
          </w:tcPr>
          <w:p w14:paraId="3AE2292F"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225.0</w:t>
            </w:r>
          </w:p>
        </w:tc>
        <w:tc>
          <w:tcPr>
            <w:tcW w:w="992" w:type="pct"/>
          </w:tcPr>
          <w:p w14:paraId="1152C532"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8.0</w:t>
            </w:r>
          </w:p>
        </w:tc>
      </w:tr>
      <w:tr w:rsidR="005A2E0A" w:rsidRPr="001D571E" w14:paraId="356D965E" w14:textId="77777777" w:rsidTr="009C0FCB">
        <w:trPr>
          <w:trHeight w:val="24"/>
          <w:jc w:val="center"/>
        </w:trPr>
        <w:tc>
          <w:tcPr>
            <w:tcW w:w="2541" w:type="pct"/>
            <w:shd w:val="clear" w:color="auto" w:fill="auto"/>
            <w:vAlign w:val="center"/>
            <w:hideMark/>
          </w:tcPr>
          <w:p w14:paraId="2328C87E"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336 </w:t>
            </w:r>
            <w:proofErr w:type="gramStart"/>
            <w:r w:rsidRPr="00F9032A">
              <w:rPr>
                <w:color w:val="auto"/>
                <w:sz w:val="16"/>
                <w:szCs w:val="16"/>
                <w:lang w:eastAsia="es-MX"/>
              </w:rPr>
              <w:t>Fabricación</w:t>
            </w:r>
            <w:proofErr w:type="gramEnd"/>
            <w:r w:rsidRPr="00F9032A">
              <w:rPr>
                <w:color w:val="auto"/>
                <w:sz w:val="16"/>
                <w:szCs w:val="16"/>
                <w:lang w:eastAsia="es-MX"/>
              </w:rPr>
              <w:t xml:space="preserve"> de equipo de transporte</w:t>
            </w:r>
          </w:p>
        </w:tc>
        <w:tc>
          <w:tcPr>
            <w:tcW w:w="684" w:type="pct"/>
            <w:shd w:val="clear" w:color="auto" w:fill="auto"/>
            <w:noWrap/>
          </w:tcPr>
          <w:p w14:paraId="6EA04065"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217.0</w:t>
            </w:r>
          </w:p>
        </w:tc>
        <w:tc>
          <w:tcPr>
            <w:tcW w:w="783" w:type="pct"/>
            <w:shd w:val="clear" w:color="auto" w:fill="auto"/>
            <w:noWrap/>
          </w:tcPr>
          <w:p w14:paraId="14D34C7E"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223.8</w:t>
            </w:r>
          </w:p>
        </w:tc>
        <w:tc>
          <w:tcPr>
            <w:tcW w:w="992" w:type="pct"/>
          </w:tcPr>
          <w:p w14:paraId="092A4389"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3.1</w:t>
            </w:r>
          </w:p>
        </w:tc>
      </w:tr>
      <w:tr w:rsidR="005A2E0A" w:rsidRPr="001D571E" w14:paraId="3EFCFD2F" w14:textId="77777777" w:rsidTr="009C0FCB">
        <w:trPr>
          <w:trHeight w:val="24"/>
          <w:jc w:val="center"/>
        </w:trPr>
        <w:tc>
          <w:tcPr>
            <w:tcW w:w="2541" w:type="pct"/>
            <w:shd w:val="clear" w:color="auto" w:fill="auto"/>
            <w:vAlign w:val="center"/>
            <w:hideMark/>
          </w:tcPr>
          <w:p w14:paraId="482E6572"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337 </w:t>
            </w:r>
            <w:proofErr w:type="gramStart"/>
            <w:r w:rsidRPr="00F9032A">
              <w:rPr>
                <w:color w:val="auto"/>
                <w:sz w:val="16"/>
                <w:szCs w:val="16"/>
                <w:lang w:eastAsia="es-MX"/>
              </w:rPr>
              <w:t>Fabricación</w:t>
            </w:r>
            <w:proofErr w:type="gramEnd"/>
            <w:r w:rsidRPr="00F9032A">
              <w:rPr>
                <w:color w:val="auto"/>
                <w:sz w:val="16"/>
                <w:szCs w:val="16"/>
                <w:lang w:eastAsia="es-MX"/>
              </w:rPr>
              <w:t xml:space="preserve"> de muebles</w:t>
            </w:r>
          </w:p>
        </w:tc>
        <w:tc>
          <w:tcPr>
            <w:tcW w:w="684" w:type="pct"/>
            <w:shd w:val="clear" w:color="auto" w:fill="auto"/>
            <w:noWrap/>
          </w:tcPr>
          <w:p w14:paraId="36F6A353"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152.6</w:t>
            </w:r>
          </w:p>
        </w:tc>
        <w:tc>
          <w:tcPr>
            <w:tcW w:w="783" w:type="pct"/>
            <w:shd w:val="clear" w:color="auto" w:fill="auto"/>
            <w:noWrap/>
          </w:tcPr>
          <w:p w14:paraId="2EE489FC"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158.1</w:t>
            </w:r>
          </w:p>
        </w:tc>
        <w:tc>
          <w:tcPr>
            <w:tcW w:w="992" w:type="pct"/>
          </w:tcPr>
          <w:p w14:paraId="108E526E"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3.6</w:t>
            </w:r>
          </w:p>
        </w:tc>
      </w:tr>
      <w:tr w:rsidR="005A2E0A" w:rsidRPr="001D571E" w14:paraId="12D63304" w14:textId="77777777" w:rsidTr="009C0FCB">
        <w:trPr>
          <w:trHeight w:val="24"/>
          <w:jc w:val="center"/>
        </w:trPr>
        <w:tc>
          <w:tcPr>
            <w:tcW w:w="2541" w:type="pct"/>
            <w:shd w:val="clear" w:color="auto" w:fill="auto"/>
            <w:vAlign w:val="center"/>
            <w:hideMark/>
          </w:tcPr>
          <w:p w14:paraId="0A89C8E6" w14:textId="77777777" w:rsidR="005A2E0A" w:rsidRPr="00F9032A" w:rsidRDefault="005A2E0A" w:rsidP="005A2E0A">
            <w:pPr>
              <w:pStyle w:val="Default"/>
              <w:rPr>
                <w:color w:val="auto"/>
                <w:sz w:val="16"/>
                <w:szCs w:val="16"/>
                <w:lang w:eastAsia="es-MX"/>
              </w:rPr>
            </w:pPr>
            <w:r w:rsidRPr="00F9032A">
              <w:rPr>
                <w:color w:val="auto"/>
                <w:sz w:val="16"/>
                <w:szCs w:val="16"/>
                <w:lang w:eastAsia="es-MX"/>
              </w:rPr>
              <w:t xml:space="preserve">339 </w:t>
            </w:r>
            <w:proofErr w:type="gramStart"/>
            <w:r w:rsidRPr="00F9032A">
              <w:rPr>
                <w:color w:val="auto"/>
                <w:sz w:val="16"/>
                <w:szCs w:val="16"/>
                <w:lang w:eastAsia="es-MX"/>
              </w:rPr>
              <w:t>Otras</w:t>
            </w:r>
            <w:proofErr w:type="gramEnd"/>
            <w:r w:rsidRPr="00F9032A">
              <w:rPr>
                <w:color w:val="auto"/>
                <w:sz w:val="16"/>
                <w:szCs w:val="16"/>
                <w:lang w:eastAsia="es-MX"/>
              </w:rPr>
              <w:t xml:space="preserve"> industrias manufactureras</w:t>
            </w:r>
          </w:p>
        </w:tc>
        <w:tc>
          <w:tcPr>
            <w:tcW w:w="684" w:type="pct"/>
            <w:shd w:val="clear" w:color="auto" w:fill="auto"/>
            <w:noWrap/>
          </w:tcPr>
          <w:p w14:paraId="62ECC458"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207.1</w:t>
            </w:r>
          </w:p>
        </w:tc>
        <w:tc>
          <w:tcPr>
            <w:tcW w:w="783" w:type="pct"/>
            <w:shd w:val="clear" w:color="auto" w:fill="auto"/>
            <w:noWrap/>
          </w:tcPr>
          <w:p w14:paraId="303544ED" w14:textId="77777777" w:rsidR="005A2E0A" w:rsidRPr="00ED7684" w:rsidRDefault="005A2E0A" w:rsidP="005A2E0A">
            <w:pPr>
              <w:pStyle w:val="NormalWeb"/>
              <w:tabs>
                <w:tab w:val="decimal" w:pos="540"/>
              </w:tabs>
              <w:spacing w:before="0" w:beforeAutospacing="0" w:after="0" w:afterAutospacing="0"/>
              <w:jc w:val="center"/>
              <w:textAlignment w:val="bottom"/>
              <w:rPr>
                <w:rFonts w:ascii="Arial" w:eastAsia="Helvetica Neue Medium" w:hAnsi="Arial" w:cs="Arial"/>
                <w:sz w:val="16"/>
                <w:szCs w:val="16"/>
              </w:rPr>
            </w:pPr>
            <w:r w:rsidRPr="00ED7684">
              <w:rPr>
                <w:rFonts w:ascii="Arial" w:eastAsia="Helvetica Neue Medium" w:hAnsi="Arial" w:cs="Arial"/>
                <w:sz w:val="16"/>
                <w:szCs w:val="16"/>
              </w:rPr>
              <w:t>219.5</w:t>
            </w:r>
          </w:p>
        </w:tc>
        <w:tc>
          <w:tcPr>
            <w:tcW w:w="992" w:type="pct"/>
          </w:tcPr>
          <w:p w14:paraId="06A21397" w14:textId="77777777" w:rsidR="005A2E0A" w:rsidRPr="00F9032A" w:rsidRDefault="005A2E0A" w:rsidP="005A2E0A">
            <w:pPr>
              <w:spacing w:after="0" w:line="240" w:lineRule="auto"/>
              <w:ind w:right="51"/>
              <w:jc w:val="center"/>
              <w:rPr>
                <w:rFonts w:ascii="Arial" w:hAnsi="Arial" w:cs="Arial"/>
                <w:color w:val="FF0000"/>
                <w:sz w:val="16"/>
                <w:szCs w:val="16"/>
              </w:rPr>
            </w:pPr>
            <w:r w:rsidRPr="002A2FE9">
              <w:rPr>
                <w:rFonts w:ascii="Arial" w:hAnsi="Arial" w:cs="Arial"/>
                <w:sz w:val="16"/>
                <w:szCs w:val="16"/>
              </w:rPr>
              <w:t>6.0</w:t>
            </w:r>
          </w:p>
        </w:tc>
      </w:tr>
    </w:tbl>
    <w:p w14:paraId="3E6FEBE8" w14:textId="77777777" w:rsidR="00E5221E" w:rsidRPr="001D571E" w:rsidRDefault="00E5221E" w:rsidP="00E5221E">
      <w:pPr>
        <w:pStyle w:val="Default"/>
        <w:ind w:left="658" w:firstLine="112"/>
        <w:rPr>
          <w:color w:val="auto"/>
          <w:sz w:val="18"/>
          <w:szCs w:val="18"/>
          <w:lang w:eastAsia="es-MX"/>
        </w:rPr>
      </w:pPr>
      <w:r w:rsidRPr="00233C30">
        <w:rPr>
          <w:color w:val="auto"/>
          <w:sz w:val="18"/>
          <w:szCs w:val="18"/>
          <w:vertAlign w:val="superscript"/>
          <w:lang w:eastAsia="es-MX"/>
        </w:rPr>
        <w:t>p/</w:t>
      </w:r>
      <w:r w:rsidR="00080123">
        <w:rPr>
          <w:color w:val="auto"/>
          <w:sz w:val="18"/>
          <w:szCs w:val="18"/>
          <w:vertAlign w:val="superscript"/>
          <w:lang w:eastAsia="es-MX"/>
        </w:rPr>
        <w:t xml:space="preserve"> </w:t>
      </w:r>
      <w:r w:rsidRPr="001D571E">
        <w:rPr>
          <w:color w:val="auto"/>
          <w:sz w:val="18"/>
          <w:szCs w:val="18"/>
          <w:lang w:eastAsia="es-MX"/>
        </w:rPr>
        <w:t xml:space="preserve">Cifras preliminares. </w:t>
      </w:r>
    </w:p>
    <w:p w14:paraId="66B9F9BF" w14:textId="77777777" w:rsidR="00E5221E" w:rsidRPr="00A341C6" w:rsidRDefault="00E5221E" w:rsidP="00E5221E">
      <w:pPr>
        <w:pStyle w:val="Default"/>
        <w:ind w:left="658" w:firstLine="112"/>
        <w:rPr>
          <w:color w:val="auto"/>
          <w:sz w:val="16"/>
          <w:lang w:eastAsia="es-MX"/>
        </w:rPr>
      </w:pPr>
      <w:r w:rsidRPr="00A341C6">
        <w:rPr>
          <w:color w:val="auto"/>
          <w:sz w:val="16"/>
          <w:lang w:eastAsia="es-MX"/>
        </w:rPr>
        <w:t xml:space="preserve">Fuente: </w:t>
      </w:r>
      <w:r w:rsidRPr="00A341C6">
        <w:rPr>
          <w:b/>
          <w:color w:val="auto"/>
          <w:sz w:val="16"/>
          <w:lang w:eastAsia="es-MX"/>
        </w:rPr>
        <w:t>INEGI</w:t>
      </w:r>
      <w:r>
        <w:rPr>
          <w:b/>
          <w:color w:val="auto"/>
          <w:sz w:val="16"/>
          <w:lang w:eastAsia="es-MX"/>
        </w:rPr>
        <w:t>.</w:t>
      </w:r>
    </w:p>
    <w:p w14:paraId="07AF05C2" w14:textId="77777777" w:rsidR="00A66BB4" w:rsidRDefault="00A66BB4" w:rsidP="001834EF">
      <w:pPr>
        <w:pStyle w:val="Default"/>
        <w:jc w:val="center"/>
        <w:rPr>
          <w:b/>
          <w:color w:val="auto"/>
          <w:sz w:val="22"/>
          <w:lang w:eastAsia="es-MX"/>
        </w:rPr>
      </w:pPr>
    </w:p>
    <w:p w14:paraId="607C9022" w14:textId="77777777" w:rsidR="00DB6F13" w:rsidRPr="00BE18E2" w:rsidRDefault="00E82368" w:rsidP="00D3208B">
      <w:pPr>
        <w:pStyle w:val="Default"/>
        <w:jc w:val="both"/>
        <w:rPr>
          <w:color w:val="auto"/>
          <w:sz w:val="22"/>
          <w:szCs w:val="22"/>
          <w:lang w:eastAsia="es-MX"/>
        </w:rPr>
      </w:pPr>
      <w:r w:rsidRPr="00BE18E2">
        <w:rPr>
          <w:color w:val="auto"/>
          <w:sz w:val="22"/>
          <w:szCs w:val="22"/>
          <w:lang w:eastAsia="es-MX"/>
        </w:rPr>
        <w:t>Por su parte, en el valor de la producción l</w:t>
      </w:r>
      <w:r w:rsidR="007722AB" w:rsidRPr="00BE18E2">
        <w:rPr>
          <w:color w:val="auto"/>
          <w:sz w:val="22"/>
          <w:szCs w:val="22"/>
          <w:lang w:eastAsia="es-MX"/>
        </w:rPr>
        <w:t>os cinco principales subsectores</w:t>
      </w:r>
      <w:r w:rsidRPr="00BE18E2">
        <w:rPr>
          <w:color w:val="auto"/>
          <w:sz w:val="22"/>
          <w:szCs w:val="22"/>
          <w:lang w:eastAsia="es-MX"/>
        </w:rPr>
        <w:t xml:space="preserve"> </w:t>
      </w:r>
      <w:r w:rsidR="007722AB" w:rsidRPr="00BE18E2">
        <w:rPr>
          <w:color w:val="auto"/>
          <w:sz w:val="22"/>
          <w:szCs w:val="22"/>
          <w:lang w:eastAsia="es-MX"/>
        </w:rPr>
        <w:t>concentran</w:t>
      </w:r>
      <w:r w:rsidR="007257F9">
        <w:rPr>
          <w:color w:val="auto"/>
          <w:sz w:val="22"/>
          <w:szCs w:val="22"/>
          <w:lang w:eastAsia="es-MX"/>
        </w:rPr>
        <w:t xml:space="preserve"> </w:t>
      </w:r>
      <w:r w:rsidR="007722AB" w:rsidRPr="00BE18E2">
        <w:rPr>
          <w:color w:val="auto"/>
          <w:sz w:val="22"/>
          <w:szCs w:val="22"/>
          <w:lang w:eastAsia="es-MX"/>
        </w:rPr>
        <w:t>7</w:t>
      </w:r>
      <w:r w:rsidR="008520D6" w:rsidRPr="00BE18E2">
        <w:rPr>
          <w:color w:val="auto"/>
          <w:sz w:val="22"/>
          <w:szCs w:val="22"/>
          <w:lang w:eastAsia="es-MX"/>
        </w:rPr>
        <w:t xml:space="preserve">2.3% </w:t>
      </w:r>
      <w:r w:rsidR="00D3208B" w:rsidRPr="00BE18E2">
        <w:rPr>
          <w:color w:val="auto"/>
          <w:sz w:val="22"/>
          <w:szCs w:val="22"/>
          <w:lang w:eastAsia="es-MX"/>
        </w:rPr>
        <w:t xml:space="preserve">de </w:t>
      </w:r>
      <w:r w:rsidR="00080123">
        <w:rPr>
          <w:color w:val="auto"/>
          <w:sz w:val="22"/>
          <w:szCs w:val="22"/>
          <w:lang w:eastAsia="es-MX"/>
        </w:rPr>
        <w:t xml:space="preserve">la producción total de </w:t>
      </w:r>
      <w:r w:rsidR="00D3208B" w:rsidRPr="00BE18E2">
        <w:rPr>
          <w:color w:val="auto"/>
          <w:sz w:val="22"/>
          <w:szCs w:val="22"/>
          <w:lang w:eastAsia="es-MX"/>
        </w:rPr>
        <w:t xml:space="preserve">las </w:t>
      </w:r>
      <w:r w:rsidR="00823D73">
        <w:rPr>
          <w:color w:val="auto"/>
          <w:sz w:val="22"/>
          <w:szCs w:val="22"/>
          <w:lang w:eastAsia="es-MX"/>
        </w:rPr>
        <w:t>i</w:t>
      </w:r>
      <w:r w:rsidR="00D3208B" w:rsidRPr="00BE18E2">
        <w:rPr>
          <w:color w:val="auto"/>
          <w:sz w:val="22"/>
          <w:szCs w:val="22"/>
          <w:lang w:eastAsia="es-MX"/>
        </w:rPr>
        <w:t>ndustrias manufactureras</w:t>
      </w:r>
      <w:r w:rsidR="007722AB" w:rsidRPr="00BE18E2">
        <w:rPr>
          <w:color w:val="auto"/>
          <w:sz w:val="22"/>
          <w:szCs w:val="22"/>
          <w:lang w:eastAsia="es-MX"/>
        </w:rPr>
        <w:t xml:space="preserve"> en 2020</w:t>
      </w:r>
      <w:r w:rsidRPr="00BE18E2">
        <w:rPr>
          <w:color w:val="auto"/>
          <w:sz w:val="22"/>
          <w:szCs w:val="22"/>
          <w:lang w:eastAsia="es-MX"/>
        </w:rPr>
        <w:t>. Los 16 subsectores restantes contribuyen con 27.7 por ciento.</w:t>
      </w:r>
    </w:p>
    <w:p w14:paraId="25B24C15" w14:textId="77777777" w:rsidR="00DB6F13" w:rsidRDefault="00DB6F13" w:rsidP="00D3208B">
      <w:pPr>
        <w:pStyle w:val="Default"/>
        <w:jc w:val="both"/>
        <w:rPr>
          <w:color w:val="auto"/>
          <w:sz w:val="22"/>
          <w:lang w:eastAsia="es-MX"/>
        </w:rPr>
      </w:pPr>
    </w:p>
    <w:p w14:paraId="441D9267" w14:textId="77777777" w:rsidR="000161B1" w:rsidRPr="00326066" w:rsidRDefault="000161B1" w:rsidP="000161B1">
      <w:pPr>
        <w:pStyle w:val="Default"/>
        <w:jc w:val="center"/>
        <w:rPr>
          <w:b/>
          <w:color w:val="FF0000"/>
          <w:sz w:val="22"/>
          <w:szCs w:val="22"/>
          <w:lang w:eastAsia="es-MX"/>
        </w:rPr>
      </w:pPr>
      <w:r w:rsidRPr="00BE18E2">
        <w:rPr>
          <w:b/>
          <w:color w:val="auto"/>
          <w:sz w:val="22"/>
          <w:szCs w:val="22"/>
          <w:lang w:eastAsia="es-MX"/>
        </w:rPr>
        <w:t xml:space="preserve">Gráfica </w:t>
      </w:r>
      <w:r w:rsidR="00CB66FA">
        <w:rPr>
          <w:b/>
          <w:color w:val="auto"/>
          <w:sz w:val="22"/>
          <w:szCs w:val="22"/>
          <w:lang w:eastAsia="es-MX"/>
        </w:rPr>
        <w:t>2</w:t>
      </w:r>
      <w:r w:rsidR="00326066">
        <w:rPr>
          <w:b/>
          <w:color w:val="auto"/>
          <w:sz w:val="22"/>
          <w:szCs w:val="22"/>
          <w:lang w:eastAsia="es-MX"/>
        </w:rPr>
        <w:t xml:space="preserve"> </w:t>
      </w:r>
    </w:p>
    <w:p w14:paraId="3D864BEA" w14:textId="77777777" w:rsidR="00951484" w:rsidRDefault="000161B1" w:rsidP="00E82368">
      <w:pPr>
        <w:pStyle w:val="Default"/>
        <w:jc w:val="center"/>
        <w:rPr>
          <w:b/>
          <w:color w:val="auto"/>
          <w:sz w:val="22"/>
          <w:szCs w:val="22"/>
          <w:lang w:eastAsia="es-MX"/>
        </w:rPr>
      </w:pPr>
      <w:r w:rsidRPr="00BE18E2">
        <w:rPr>
          <w:b/>
          <w:color w:val="auto"/>
          <w:sz w:val="22"/>
          <w:szCs w:val="22"/>
          <w:lang w:eastAsia="es-MX"/>
        </w:rPr>
        <w:t xml:space="preserve">Participación </w:t>
      </w:r>
      <w:r w:rsidR="00951484">
        <w:rPr>
          <w:b/>
          <w:color w:val="auto"/>
          <w:sz w:val="22"/>
          <w:szCs w:val="22"/>
          <w:lang w:eastAsia="es-MX"/>
        </w:rPr>
        <w:t>d</w:t>
      </w:r>
      <w:r w:rsidRPr="00BE18E2">
        <w:rPr>
          <w:b/>
          <w:color w:val="auto"/>
          <w:sz w:val="22"/>
          <w:szCs w:val="22"/>
          <w:lang w:eastAsia="es-MX"/>
        </w:rPr>
        <w:t xml:space="preserve">el valor de </w:t>
      </w:r>
      <w:r w:rsidR="00951484">
        <w:rPr>
          <w:b/>
          <w:color w:val="auto"/>
          <w:sz w:val="22"/>
          <w:szCs w:val="22"/>
          <w:lang w:eastAsia="es-MX"/>
        </w:rPr>
        <w:t xml:space="preserve">la </w:t>
      </w:r>
      <w:r w:rsidRPr="00BE18E2">
        <w:rPr>
          <w:b/>
          <w:color w:val="auto"/>
          <w:sz w:val="22"/>
          <w:szCs w:val="22"/>
          <w:lang w:eastAsia="es-MX"/>
        </w:rPr>
        <w:t xml:space="preserve">producción de las </w:t>
      </w:r>
      <w:r w:rsidR="009C0FCB">
        <w:rPr>
          <w:b/>
          <w:color w:val="auto"/>
          <w:sz w:val="22"/>
          <w:szCs w:val="22"/>
          <w:lang w:eastAsia="es-MX"/>
        </w:rPr>
        <w:t>i</w:t>
      </w:r>
      <w:r w:rsidRPr="00BE18E2">
        <w:rPr>
          <w:b/>
          <w:color w:val="auto"/>
          <w:sz w:val="22"/>
          <w:szCs w:val="22"/>
          <w:lang w:eastAsia="es-MX"/>
        </w:rPr>
        <w:t xml:space="preserve">ndustrias </w:t>
      </w:r>
    </w:p>
    <w:p w14:paraId="641B2952" w14:textId="77777777" w:rsidR="00E82368" w:rsidRPr="00DB5229" w:rsidRDefault="00951484" w:rsidP="008520D6">
      <w:pPr>
        <w:pStyle w:val="Default"/>
        <w:jc w:val="center"/>
        <w:rPr>
          <w:b/>
          <w:color w:val="auto"/>
          <w:sz w:val="22"/>
          <w:szCs w:val="22"/>
          <w:vertAlign w:val="superscript"/>
          <w:lang w:eastAsia="es-MX"/>
        </w:rPr>
      </w:pPr>
      <w:r>
        <w:rPr>
          <w:b/>
          <w:color w:val="auto"/>
          <w:sz w:val="22"/>
          <w:szCs w:val="22"/>
          <w:lang w:eastAsia="es-MX"/>
        </w:rPr>
        <w:t>m</w:t>
      </w:r>
      <w:r w:rsidR="000161B1" w:rsidRPr="00BE18E2">
        <w:rPr>
          <w:b/>
          <w:color w:val="auto"/>
          <w:sz w:val="22"/>
          <w:szCs w:val="22"/>
          <w:lang w:eastAsia="es-MX"/>
        </w:rPr>
        <w:t>anufactureras</w:t>
      </w:r>
      <w:r>
        <w:rPr>
          <w:b/>
          <w:color w:val="auto"/>
          <w:sz w:val="22"/>
          <w:szCs w:val="22"/>
          <w:lang w:eastAsia="es-MX"/>
        </w:rPr>
        <w:t xml:space="preserve"> por</w:t>
      </w:r>
      <w:r w:rsidR="000161B1" w:rsidRPr="00BE18E2">
        <w:rPr>
          <w:b/>
          <w:color w:val="auto"/>
          <w:sz w:val="22"/>
          <w:szCs w:val="22"/>
          <w:lang w:eastAsia="es-MX"/>
        </w:rPr>
        <w:t xml:space="preserve"> subsector</w:t>
      </w:r>
    </w:p>
    <w:p w14:paraId="010D1C6A" w14:textId="77777777" w:rsidR="00673FAE" w:rsidRDefault="00E82368" w:rsidP="008520D6">
      <w:pPr>
        <w:pStyle w:val="Default"/>
        <w:jc w:val="center"/>
        <w:rPr>
          <w:noProof/>
          <w:lang w:eastAsia="es-MX"/>
        </w:rPr>
      </w:pPr>
      <w:r w:rsidRPr="00BE18E2">
        <w:rPr>
          <w:b/>
          <w:color w:val="auto"/>
          <w:sz w:val="22"/>
          <w:szCs w:val="22"/>
          <w:lang w:eastAsia="es-MX"/>
        </w:rPr>
        <w:t>(Porcentaje)</w:t>
      </w:r>
    </w:p>
    <w:p w14:paraId="6F07B804" w14:textId="77777777" w:rsidR="00BC6477" w:rsidRPr="00A341C6" w:rsidRDefault="006B7096" w:rsidP="008520D6">
      <w:pPr>
        <w:pStyle w:val="Default"/>
        <w:jc w:val="center"/>
        <w:rPr>
          <w:sz w:val="22"/>
          <w:lang w:eastAsia="es-MX"/>
        </w:rPr>
      </w:pPr>
      <w:r w:rsidRPr="00A341C6">
        <w:rPr>
          <w:noProof/>
          <w:lang w:eastAsia="es-MX"/>
        </w:rPr>
        <w:drawing>
          <wp:inline distT="0" distB="0" distL="0" distR="0" wp14:anchorId="0FA3D78E" wp14:editId="1B912739">
            <wp:extent cx="5516880" cy="2486025"/>
            <wp:effectExtent l="0" t="0" r="7620" b="0"/>
            <wp:docPr id="8" name="Gráfico 8">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162B636C" w14:textId="77777777" w:rsidR="00A857BE" w:rsidRPr="00A341C6" w:rsidRDefault="00A857BE" w:rsidP="00982E62">
      <w:pPr>
        <w:pStyle w:val="Default"/>
        <w:ind w:left="142"/>
        <w:jc w:val="both"/>
        <w:rPr>
          <w:color w:val="auto"/>
          <w:sz w:val="16"/>
          <w:lang w:eastAsia="es-MX"/>
        </w:rPr>
      </w:pPr>
      <w:r w:rsidRPr="00A341C6">
        <w:rPr>
          <w:color w:val="auto"/>
          <w:sz w:val="16"/>
          <w:vertAlign w:val="superscript"/>
          <w:lang w:eastAsia="es-MX"/>
        </w:rPr>
        <w:t>p/</w:t>
      </w:r>
      <w:r w:rsidR="00951484">
        <w:rPr>
          <w:color w:val="auto"/>
          <w:sz w:val="16"/>
          <w:vertAlign w:val="superscript"/>
          <w:lang w:eastAsia="es-MX"/>
        </w:rPr>
        <w:t xml:space="preserve"> </w:t>
      </w:r>
      <w:r w:rsidR="00823D73">
        <w:rPr>
          <w:color w:val="auto"/>
          <w:sz w:val="16"/>
          <w:lang w:eastAsia="es-MX"/>
        </w:rPr>
        <w:t>Cifras preliminares.</w:t>
      </w:r>
    </w:p>
    <w:p w14:paraId="1991EFE4" w14:textId="77777777" w:rsidR="00A857BE" w:rsidRDefault="00A857BE" w:rsidP="00982E62">
      <w:pPr>
        <w:pStyle w:val="Default"/>
        <w:ind w:left="142"/>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r w:rsidR="00494A00">
        <w:rPr>
          <w:b/>
          <w:color w:val="auto"/>
          <w:sz w:val="16"/>
          <w:lang w:eastAsia="es-MX"/>
        </w:rPr>
        <w:t>.</w:t>
      </w:r>
    </w:p>
    <w:p w14:paraId="0EACC683" w14:textId="77777777" w:rsidR="00A57743" w:rsidRDefault="007722AB" w:rsidP="00A57743">
      <w:pPr>
        <w:pStyle w:val="Default"/>
        <w:jc w:val="both"/>
        <w:rPr>
          <w:sz w:val="22"/>
          <w:szCs w:val="22"/>
          <w:lang w:eastAsia="es-MX"/>
        </w:rPr>
      </w:pPr>
      <w:r w:rsidRPr="00057F18">
        <w:rPr>
          <w:sz w:val="22"/>
          <w:szCs w:val="22"/>
          <w:lang w:eastAsia="es-MX"/>
        </w:rPr>
        <w:lastRenderedPageBreak/>
        <w:t>En 2020, l</w:t>
      </w:r>
      <w:r w:rsidR="00A57743" w:rsidRPr="00057F18">
        <w:rPr>
          <w:sz w:val="22"/>
          <w:szCs w:val="22"/>
          <w:lang w:eastAsia="es-MX"/>
        </w:rPr>
        <w:t>as mater</w:t>
      </w:r>
      <w:r w:rsidR="00421549" w:rsidRPr="00057F18">
        <w:rPr>
          <w:sz w:val="22"/>
          <w:szCs w:val="22"/>
          <w:lang w:eastAsia="es-MX"/>
        </w:rPr>
        <w:t xml:space="preserve">ias primas y auxiliares representan el principal </w:t>
      </w:r>
      <w:r w:rsidR="00E42FCF" w:rsidRPr="00057F18">
        <w:rPr>
          <w:sz w:val="22"/>
          <w:szCs w:val="22"/>
          <w:lang w:eastAsia="es-MX"/>
        </w:rPr>
        <w:t xml:space="preserve">rubro del </w:t>
      </w:r>
      <w:r w:rsidR="00421549" w:rsidRPr="00057F18">
        <w:rPr>
          <w:sz w:val="22"/>
          <w:szCs w:val="22"/>
          <w:lang w:eastAsia="es-MX"/>
        </w:rPr>
        <w:t>c</w:t>
      </w:r>
      <w:r w:rsidR="00A57743" w:rsidRPr="00057F18">
        <w:rPr>
          <w:sz w:val="22"/>
          <w:szCs w:val="22"/>
          <w:lang w:eastAsia="es-MX"/>
        </w:rPr>
        <w:t>onsumo de bienes y servicios al contribuir con 75</w:t>
      </w:r>
      <w:r w:rsidR="00DF1B9B" w:rsidRPr="00057F18">
        <w:rPr>
          <w:sz w:val="22"/>
          <w:szCs w:val="22"/>
          <w:lang w:eastAsia="es-MX"/>
        </w:rPr>
        <w:t>.4</w:t>
      </w:r>
      <w:r w:rsidR="00A57743" w:rsidRPr="00057F18">
        <w:rPr>
          <w:sz w:val="22"/>
          <w:szCs w:val="22"/>
          <w:lang w:eastAsia="es-MX"/>
        </w:rPr>
        <w:t>%</w:t>
      </w:r>
      <w:r w:rsidR="00E42FCF" w:rsidRPr="00057F18">
        <w:rPr>
          <w:sz w:val="22"/>
          <w:szCs w:val="22"/>
          <w:lang w:eastAsia="es-MX"/>
        </w:rPr>
        <w:t xml:space="preserve"> del total del sector</w:t>
      </w:r>
      <w:r w:rsidR="00421549" w:rsidRPr="00057F18">
        <w:rPr>
          <w:sz w:val="22"/>
          <w:szCs w:val="22"/>
          <w:lang w:eastAsia="es-MX"/>
        </w:rPr>
        <w:t xml:space="preserve">, </w:t>
      </w:r>
      <w:r w:rsidR="00A57743" w:rsidRPr="00057F18">
        <w:rPr>
          <w:sz w:val="22"/>
          <w:szCs w:val="22"/>
          <w:lang w:eastAsia="es-MX"/>
        </w:rPr>
        <w:t>seguido de</w:t>
      </w:r>
      <w:r w:rsidR="00E42FCF" w:rsidRPr="00057F18">
        <w:rPr>
          <w:sz w:val="22"/>
          <w:szCs w:val="22"/>
          <w:lang w:eastAsia="es-MX"/>
        </w:rPr>
        <w:t>l resto de consumos (fletes, energía eléctrica y otros consumos) con 16.4%</w:t>
      </w:r>
      <w:r w:rsidR="0088234C" w:rsidRPr="00057F18">
        <w:rPr>
          <w:sz w:val="22"/>
          <w:szCs w:val="22"/>
          <w:lang w:eastAsia="es-MX"/>
        </w:rPr>
        <w:t xml:space="preserve">, </w:t>
      </w:r>
      <w:r w:rsidR="00A57743" w:rsidRPr="00057F18">
        <w:rPr>
          <w:sz w:val="22"/>
          <w:szCs w:val="22"/>
          <w:lang w:eastAsia="es-MX"/>
        </w:rPr>
        <w:t>consumo de envases y empaques 4</w:t>
      </w:r>
      <w:r w:rsidR="00421549" w:rsidRPr="00057F18">
        <w:rPr>
          <w:sz w:val="22"/>
          <w:szCs w:val="22"/>
          <w:lang w:eastAsia="es-MX"/>
        </w:rPr>
        <w:t>.</w:t>
      </w:r>
      <w:r w:rsidR="00DF1B9B" w:rsidRPr="00057F18">
        <w:rPr>
          <w:sz w:val="22"/>
          <w:szCs w:val="22"/>
          <w:lang w:eastAsia="es-MX"/>
        </w:rPr>
        <w:t>2</w:t>
      </w:r>
      <w:r w:rsidR="0088234C" w:rsidRPr="00057F18">
        <w:rPr>
          <w:sz w:val="22"/>
          <w:szCs w:val="22"/>
          <w:lang w:eastAsia="es-MX"/>
        </w:rPr>
        <w:t>% y pa</w:t>
      </w:r>
      <w:r w:rsidR="00715969">
        <w:rPr>
          <w:sz w:val="22"/>
          <w:szCs w:val="22"/>
          <w:lang w:eastAsia="es-MX"/>
        </w:rPr>
        <w:t>go por suministro de personal 4</w:t>
      </w:r>
      <w:r w:rsidR="0088234C" w:rsidRPr="00057F18">
        <w:rPr>
          <w:sz w:val="22"/>
          <w:szCs w:val="22"/>
          <w:lang w:eastAsia="es-MX"/>
        </w:rPr>
        <w:t xml:space="preserve"> </w:t>
      </w:r>
      <w:r w:rsidR="00A57743" w:rsidRPr="00057F18">
        <w:rPr>
          <w:sz w:val="22"/>
          <w:szCs w:val="22"/>
          <w:lang w:eastAsia="es-MX"/>
        </w:rPr>
        <w:t>por ciento.</w:t>
      </w:r>
    </w:p>
    <w:p w14:paraId="15484A69" w14:textId="77777777" w:rsidR="00522231" w:rsidRPr="00057F18" w:rsidRDefault="00522231" w:rsidP="00A57743">
      <w:pPr>
        <w:pStyle w:val="Default"/>
        <w:jc w:val="both"/>
        <w:rPr>
          <w:sz w:val="22"/>
          <w:szCs w:val="22"/>
          <w:lang w:eastAsia="es-MX"/>
        </w:rPr>
      </w:pPr>
    </w:p>
    <w:p w14:paraId="115B682D" w14:textId="77777777" w:rsidR="00433EB5" w:rsidRPr="00A341C6" w:rsidRDefault="00433EB5" w:rsidP="00433EB5">
      <w:pPr>
        <w:pStyle w:val="Default"/>
        <w:jc w:val="center"/>
        <w:rPr>
          <w:b/>
          <w:color w:val="auto"/>
          <w:sz w:val="22"/>
          <w:lang w:eastAsia="es-MX"/>
        </w:rPr>
      </w:pPr>
      <w:r w:rsidRPr="00C14317">
        <w:rPr>
          <w:b/>
          <w:color w:val="auto"/>
          <w:sz w:val="22"/>
          <w:lang w:eastAsia="es-MX"/>
        </w:rPr>
        <w:t xml:space="preserve">Cuadro </w:t>
      </w:r>
      <w:r w:rsidR="00494A00">
        <w:rPr>
          <w:b/>
          <w:color w:val="auto"/>
          <w:sz w:val="22"/>
          <w:lang w:eastAsia="es-MX"/>
        </w:rPr>
        <w:t>6</w:t>
      </w:r>
      <w:r w:rsidRPr="00A341C6">
        <w:rPr>
          <w:b/>
          <w:color w:val="auto"/>
          <w:sz w:val="22"/>
          <w:lang w:eastAsia="es-MX"/>
        </w:rPr>
        <w:t xml:space="preserve"> </w:t>
      </w:r>
    </w:p>
    <w:p w14:paraId="7AB84B81" w14:textId="77777777" w:rsidR="00823D73" w:rsidRDefault="008508D0" w:rsidP="00433EB5">
      <w:pPr>
        <w:pStyle w:val="Default"/>
        <w:jc w:val="center"/>
        <w:rPr>
          <w:b/>
          <w:color w:val="auto"/>
          <w:sz w:val="22"/>
          <w:lang w:eastAsia="es-MX"/>
        </w:rPr>
      </w:pPr>
      <w:r>
        <w:rPr>
          <w:b/>
          <w:color w:val="auto"/>
          <w:sz w:val="22"/>
          <w:lang w:eastAsia="es-MX"/>
        </w:rPr>
        <w:t xml:space="preserve">Participación </w:t>
      </w:r>
      <w:r w:rsidR="00433EB5">
        <w:rPr>
          <w:b/>
          <w:color w:val="auto"/>
          <w:sz w:val="22"/>
          <w:lang w:eastAsia="es-MX"/>
        </w:rPr>
        <w:t>del</w:t>
      </w:r>
      <w:r w:rsidR="00BF062E">
        <w:rPr>
          <w:b/>
          <w:color w:val="auto"/>
          <w:sz w:val="22"/>
          <w:lang w:eastAsia="es-MX"/>
        </w:rPr>
        <w:t xml:space="preserve"> </w:t>
      </w:r>
      <w:r w:rsidR="00433EB5">
        <w:rPr>
          <w:b/>
          <w:color w:val="auto"/>
          <w:sz w:val="22"/>
          <w:lang w:eastAsia="es-MX"/>
        </w:rPr>
        <w:t xml:space="preserve">consumo </w:t>
      </w:r>
      <w:r w:rsidR="00C14317">
        <w:rPr>
          <w:b/>
          <w:color w:val="auto"/>
          <w:sz w:val="22"/>
          <w:lang w:eastAsia="es-MX"/>
        </w:rPr>
        <w:t>d</w:t>
      </w:r>
      <w:r w:rsidR="00433EB5">
        <w:rPr>
          <w:b/>
          <w:color w:val="auto"/>
          <w:sz w:val="22"/>
          <w:lang w:eastAsia="es-MX"/>
        </w:rPr>
        <w:t>e bienes y servicios</w:t>
      </w:r>
      <w:r w:rsidR="00823D73">
        <w:rPr>
          <w:b/>
          <w:color w:val="auto"/>
          <w:sz w:val="22"/>
          <w:lang w:eastAsia="es-MX"/>
        </w:rPr>
        <w:t xml:space="preserve"> </w:t>
      </w:r>
      <w:r w:rsidR="00433EB5">
        <w:rPr>
          <w:b/>
          <w:color w:val="auto"/>
          <w:sz w:val="22"/>
          <w:lang w:eastAsia="es-MX"/>
        </w:rPr>
        <w:t xml:space="preserve">de las </w:t>
      </w:r>
      <w:r w:rsidR="009C0FCB">
        <w:rPr>
          <w:b/>
          <w:color w:val="auto"/>
          <w:sz w:val="22"/>
          <w:lang w:eastAsia="es-MX"/>
        </w:rPr>
        <w:t>i</w:t>
      </w:r>
      <w:r w:rsidR="00433EB5">
        <w:rPr>
          <w:b/>
          <w:color w:val="auto"/>
          <w:sz w:val="22"/>
          <w:lang w:eastAsia="es-MX"/>
        </w:rPr>
        <w:t xml:space="preserve">ndustrias </w:t>
      </w:r>
    </w:p>
    <w:p w14:paraId="0B3586CF" w14:textId="77777777" w:rsidR="00433EB5" w:rsidRDefault="00433EB5" w:rsidP="00433EB5">
      <w:pPr>
        <w:pStyle w:val="Default"/>
        <w:jc w:val="center"/>
        <w:rPr>
          <w:b/>
          <w:color w:val="auto"/>
          <w:sz w:val="22"/>
          <w:vertAlign w:val="superscript"/>
          <w:lang w:eastAsia="es-MX"/>
        </w:rPr>
      </w:pPr>
      <w:r>
        <w:rPr>
          <w:b/>
          <w:color w:val="auto"/>
          <w:sz w:val="22"/>
          <w:lang w:eastAsia="es-MX"/>
        </w:rPr>
        <w:t>manufactureras</w:t>
      </w:r>
      <w:r w:rsidR="00455E09">
        <w:rPr>
          <w:b/>
          <w:color w:val="auto"/>
          <w:sz w:val="22"/>
          <w:lang w:eastAsia="es-MX"/>
        </w:rPr>
        <w:t xml:space="preserve"> </w:t>
      </w:r>
      <w:r w:rsidR="00A83498">
        <w:rPr>
          <w:b/>
          <w:color w:val="auto"/>
          <w:sz w:val="22"/>
          <w:lang w:eastAsia="es-MX"/>
        </w:rPr>
        <w:t xml:space="preserve">por </w:t>
      </w:r>
      <w:r w:rsidR="00BF062E">
        <w:rPr>
          <w:b/>
          <w:color w:val="auto"/>
          <w:sz w:val="22"/>
          <w:lang w:eastAsia="es-MX"/>
        </w:rPr>
        <w:t>concepto</w:t>
      </w:r>
      <w:r w:rsidR="00A83498">
        <w:rPr>
          <w:b/>
          <w:color w:val="auto"/>
          <w:sz w:val="22"/>
          <w:lang w:eastAsia="es-MX"/>
        </w:rPr>
        <w:t xml:space="preserve"> y subsector</w:t>
      </w:r>
      <w:r w:rsidR="00455E09">
        <w:rPr>
          <w:b/>
          <w:color w:val="auto"/>
          <w:sz w:val="22"/>
          <w:lang w:eastAsia="es-MX"/>
        </w:rPr>
        <w:t>,</w:t>
      </w:r>
      <w:r>
        <w:rPr>
          <w:b/>
          <w:color w:val="auto"/>
          <w:sz w:val="22"/>
          <w:lang w:eastAsia="es-MX"/>
        </w:rPr>
        <w:t xml:space="preserve"> 2020</w:t>
      </w:r>
      <w:r w:rsidRPr="008D0CE3">
        <w:rPr>
          <w:b/>
          <w:color w:val="auto"/>
          <w:sz w:val="22"/>
          <w:vertAlign w:val="superscript"/>
          <w:lang w:eastAsia="es-MX"/>
        </w:rPr>
        <w:t>p/</w:t>
      </w:r>
    </w:p>
    <w:p w14:paraId="1F8158E4" w14:textId="77777777" w:rsidR="00823D73" w:rsidRPr="00823D73" w:rsidRDefault="00823D73" w:rsidP="00433EB5">
      <w:pPr>
        <w:pStyle w:val="Default"/>
        <w:jc w:val="center"/>
        <w:rPr>
          <w:b/>
          <w:color w:val="auto"/>
          <w:sz w:val="22"/>
          <w:lang w:eastAsia="es-MX"/>
        </w:rPr>
      </w:pPr>
      <w:r w:rsidRPr="00823D73">
        <w:rPr>
          <w:b/>
          <w:color w:val="auto"/>
          <w:sz w:val="22"/>
          <w:lang w:eastAsia="es-MX"/>
        </w:rPr>
        <w:t>(Porcentaje)</w:t>
      </w:r>
    </w:p>
    <w:tbl>
      <w:tblPr>
        <w:tblW w:w="38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600"/>
        <w:gridCol w:w="879"/>
        <w:gridCol w:w="932"/>
        <w:gridCol w:w="958"/>
        <w:gridCol w:w="941"/>
      </w:tblGrid>
      <w:tr w:rsidR="0068288C" w:rsidRPr="00A81A1C" w14:paraId="69A8BFAB" w14:textId="77777777" w:rsidTr="00233C30">
        <w:trPr>
          <w:trHeight w:val="29"/>
          <w:jc w:val="center"/>
        </w:trPr>
        <w:tc>
          <w:tcPr>
            <w:tcW w:w="2332" w:type="pct"/>
            <w:vMerge w:val="restart"/>
            <w:shd w:val="clear" w:color="auto" w:fill="A8D08D" w:themeFill="accent6" w:themeFillTint="99"/>
            <w:vAlign w:val="center"/>
            <w:hideMark/>
          </w:tcPr>
          <w:p w14:paraId="403BE451" w14:textId="77777777" w:rsidR="0068288C" w:rsidRPr="00711FBE" w:rsidRDefault="00711FBE" w:rsidP="00233C30">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 xml:space="preserve">Sector </w:t>
            </w:r>
            <w:r w:rsidR="0068288C" w:rsidRPr="00711FBE">
              <w:rPr>
                <w:rFonts w:ascii="Arial" w:eastAsia="Times New Roman" w:hAnsi="Arial" w:cs="Arial"/>
                <w:b/>
                <w:bCs/>
                <w:color w:val="000000"/>
                <w:sz w:val="16"/>
                <w:szCs w:val="16"/>
                <w:lang w:eastAsia="es-MX"/>
              </w:rPr>
              <w:t>Subsector</w:t>
            </w:r>
          </w:p>
        </w:tc>
        <w:tc>
          <w:tcPr>
            <w:tcW w:w="2668" w:type="pct"/>
            <w:gridSpan w:val="4"/>
            <w:shd w:val="clear" w:color="000000" w:fill="A9D08E"/>
            <w:noWrap/>
            <w:vAlign w:val="center"/>
            <w:hideMark/>
          </w:tcPr>
          <w:p w14:paraId="54B2C7D3"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Concepto</w:t>
            </w:r>
          </w:p>
        </w:tc>
      </w:tr>
      <w:tr w:rsidR="0068288C" w:rsidRPr="00A81A1C" w14:paraId="0F7837C0" w14:textId="77777777" w:rsidTr="00233C30">
        <w:trPr>
          <w:trHeight w:val="29"/>
          <w:jc w:val="center"/>
        </w:trPr>
        <w:tc>
          <w:tcPr>
            <w:tcW w:w="2332" w:type="pct"/>
            <w:vMerge/>
            <w:shd w:val="clear" w:color="auto" w:fill="A8D08D" w:themeFill="accent6" w:themeFillTint="99"/>
            <w:vAlign w:val="center"/>
            <w:hideMark/>
          </w:tcPr>
          <w:p w14:paraId="09CDF10B" w14:textId="77777777" w:rsidR="0068288C" w:rsidRPr="00711FBE" w:rsidRDefault="0068288C" w:rsidP="00A81A1C">
            <w:pPr>
              <w:spacing w:after="0" w:line="240" w:lineRule="auto"/>
              <w:rPr>
                <w:rFonts w:ascii="Arial" w:eastAsia="Times New Roman" w:hAnsi="Arial" w:cs="Arial"/>
                <w:b/>
                <w:bCs/>
                <w:color w:val="000000"/>
                <w:sz w:val="16"/>
                <w:szCs w:val="16"/>
                <w:lang w:eastAsia="es-MX"/>
              </w:rPr>
            </w:pPr>
          </w:p>
        </w:tc>
        <w:tc>
          <w:tcPr>
            <w:tcW w:w="688" w:type="pct"/>
            <w:shd w:val="clear" w:color="000000" w:fill="A9D08E"/>
            <w:vAlign w:val="center"/>
            <w:hideMark/>
          </w:tcPr>
          <w:p w14:paraId="3CA4F861"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Materias primas y auxiliares</w:t>
            </w:r>
          </w:p>
        </w:tc>
        <w:tc>
          <w:tcPr>
            <w:tcW w:w="626" w:type="pct"/>
            <w:shd w:val="clear" w:color="000000" w:fill="A9D08E"/>
            <w:vAlign w:val="center"/>
            <w:hideMark/>
          </w:tcPr>
          <w:p w14:paraId="1FD982B9"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Envases y empaques</w:t>
            </w:r>
          </w:p>
        </w:tc>
        <w:tc>
          <w:tcPr>
            <w:tcW w:w="625" w:type="pct"/>
            <w:shd w:val="clear" w:color="000000" w:fill="A9D08E"/>
            <w:vAlign w:val="center"/>
            <w:hideMark/>
          </w:tcPr>
          <w:p w14:paraId="7678B2BE"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Pagos por suministro de personal</w:t>
            </w:r>
          </w:p>
        </w:tc>
        <w:tc>
          <w:tcPr>
            <w:tcW w:w="730" w:type="pct"/>
            <w:shd w:val="clear" w:color="000000" w:fill="A9D08E"/>
            <w:vAlign w:val="center"/>
            <w:hideMark/>
          </w:tcPr>
          <w:p w14:paraId="0F6E246E"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Resto de consumos</w:t>
            </w:r>
          </w:p>
        </w:tc>
      </w:tr>
      <w:tr w:rsidR="0068288C" w:rsidRPr="00A81A1C" w14:paraId="2DEA65F6" w14:textId="77777777" w:rsidTr="00233C30">
        <w:trPr>
          <w:trHeight w:val="29"/>
          <w:jc w:val="center"/>
        </w:trPr>
        <w:tc>
          <w:tcPr>
            <w:tcW w:w="2332" w:type="pct"/>
            <w:shd w:val="clear" w:color="auto" w:fill="auto"/>
            <w:noWrap/>
            <w:vAlign w:val="center"/>
            <w:hideMark/>
          </w:tcPr>
          <w:p w14:paraId="11FF858A" w14:textId="77777777" w:rsidR="0068288C" w:rsidRPr="00711FBE" w:rsidRDefault="0068288C" w:rsidP="00A81A1C">
            <w:pPr>
              <w:spacing w:after="0" w:line="240" w:lineRule="auto"/>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31-33 Industrias manufactureras</w:t>
            </w:r>
          </w:p>
        </w:tc>
        <w:tc>
          <w:tcPr>
            <w:tcW w:w="688" w:type="pct"/>
            <w:shd w:val="clear" w:color="auto" w:fill="auto"/>
            <w:noWrap/>
            <w:vAlign w:val="center"/>
            <w:hideMark/>
          </w:tcPr>
          <w:p w14:paraId="12B2A8DF"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75.4</w:t>
            </w:r>
          </w:p>
        </w:tc>
        <w:tc>
          <w:tcPr>
            <w:tcW w:w="626" w:type="pct"/>
            <w:shd w:val="clear" w:color="auto" w:fill="auto"/>
            <w:noWrap/>
            <w:vAlign w:val="center"/>
            <w:hideMark/>
          </w:tcPr>
          <w:p w14:paraId="6B052D27"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4.2</w:t>
            </w:r>
          </w:p>
        </w:tc>
        <w:tc>
          <w:tcPr>
            <w:tcW w:w="625" w:type="pct"/>
            <w:shd w:val="clear" w:color="auto" w:fill="auto"/>
            <w:noWrap/>
            <w:vAlign w:val="center"/>
            <w:hideMark/>
          </w:tcPr>
          <w:p w14:paraId="40A22F93"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4.0</w:t>
            </w:r>
          </w:p>
        </w:tc>
        <w:tc>
          <w:tcPr>
            <w:tcW w:w="730" w:type="pct"/>
            <w:shd w:val="clear" w:color="auto" w:fill="auto"/>
            <w:noWrap/>
            <w:vAlign w:val="center"/>
            <w:hideMark/>
          </w:tcPr>
          <w:p w14:paraId="2907DE5D" w14:textId="77777777" w:rsidR="0068288C" w:rsidRPr="00711FBE" w:rsidRDefault="0068288C" w:rsidP="00A81A1C">
            <w:pPr>
              <w:spacing w:after="0" w:line="240" w:lineRule="auto"/>
              <w:jc w:val="center"/>
              <w:rPr>
                <w:rFonts w:ascii="Arial" w:eastAsia="Times New Roman" w:hAnsi="Arial" w:cs="Arial"/>
                <w:b/>
                <w:bCs/>
                <w:color w:val="000000"/>
                <w:sz w:val="16"/>
                <w:szCs w:val="16"/>
                <w:lang w:eastAsia="es-MX"/>
              </w:rPr>
            </w:pPr>
            <w:r w:rsidRPr="00711FBE">
              <w:rPr>
                <w:rFonts w:ascii="Arial" w:eastAsia="Times New Roman" w:hAnsi="Arial" w:cs="Arial"/>
                <w:b/>
                <w:bCs/>
                <w:color w:val="000000"/>
                <w:sz w:val="16"/>
                <w:szCs w:val="16"/>
                <w:lang w:eastAsia="es-MX"/>
              </w:rPr>
              <w:t>16.4</w:t>
            </w:r>
          </w:p>
        </w:tc>
      </w:tr>
      <w:tr w:rsidR="0068288C" w:rsidRPr="00A81A1C" w14:paraId="1B151AF3" w14:textId="77777777" w:rsidTr="00233C30">
        <w:trPr>
          <w:trHeight w:val="29"/>
          <w:jc w:val="center"/>
        </w:trPr>
        <w:tc>
          <w:tcPr>
            <w:tcW w:w="2332" w:type="pct"/>
            <w:shd w:val="clear" w:color="auto" w:fill="auto"/>
            <w:noWrap/>
            <w:vAlign w:val="center"/>
            <w:hideMark/>
          </w:tcPr>
          <w:p w14:paraId="14564F7C"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311 </w:t>
            </w:r>
            <w:proofErr w:type="gramStart"/>
            <w:r w:rsidRPr="00711FBE">
              <w:rPr>
                <w:rFonts w:ascii="Arial" w:eastAsia="Times New Roman" w:hAnsi="Arial" w:cs="Arial"/>
                <w:color w:val="000000"/>
                <w:sz w:val="16"/>
                <w:szCs w:val="16"/>
                <w:lang w:eastAsia="es-MX"/>
              </w:rPr>
              <w:t>Industria</w:t>
            </w:r>
            <w:proofErr w:type="gramEnd"/>
            <w:r w:rsidRPr="00711FBE">
              <w:rPr>
                <w:rFonts w:ascii="Arial" w:eastAsia="Times New Roman" w:hAnsi="Arial" w:cs="Arial"/>
                <w:color w:val="000000"/>
                <w:sz w:val="16"/>
                <w:szCs w:val="16"/>
                <w:lang w:eastAsia="es-MX"/>
              </w:rPr>
              <w:t xml:space="preserve"> alimentaria</w:t>
            </w:r>
          </w:p>
        </w:tc>
        <w:tc>
          <w:tcPr>
            <w:tcW w:w="688" w:type="pct"/>
            <w:shd w:val="clear" w:color="auto" w:fill="auto"/>
            <w:noWrap/>
            <w:vAlign w:val="center"/>
            <w:hideMark/>
          </w:tcPr>
          <w:p w14:paraId="4E33F59A"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74.8</w:t>
            </w:r>
          </w:p>
        </w:tc>
        <w:tc>
          <w:tcPr>
            <w:tcW w:w="626" w:type="pct"/>
            <w:shd w:val="clear" w:color="auto" w:fill="auto"/>
            <w:noWrap/>
            <w:vAlign w:val="center"/>
            <w:hideMark/>
          </w:tcPr>
          <w:p w14:paraId="3A61FF9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7.1</w:t>
            </w:r>
          </w:p>
        </w:tc>
        <w:tc>
          <w:tcPr>
            <w:tcW w:w="625" w:type="pct"/>
            <w:shd w:val="clear" w:color="auto" w:fill="auto"/>
            <w:noWrap/>
            <w:vAlign w:val="center"/>
            <w:hideMark/>
          </w:tcPr>
          <w:p w14:paraId="5C9649B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3.7</w:t>
            </w:r>
          </w:p>
        </w:tc>
        <w:tc>
          <w:tcPr>
            <w:tcW w:w="730" w:type="pct"/>
            <w:shd w:val="clear" w:color="auto" w:fill="auto"/>
            <w:noWrap/>
            <w:vAlign w:val="center"/>
            <w:hideMark/>
          </w:tcPr>
          <w:p w14:paraId="0C971534"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14.4</w:t>
            </w:r>
          </w:p>
        </w:tc>
      </w:tr>
      <w:tr w:rsidR="0068288C" w:rsidRPr="00A81A1C" w14:paraId="506D2F50" w14:textId="77777777" w:rsidTr="00233C30">
        <w:trPr>
          <w:trHeight w:val="29"/>
          <w:jc w:val="center"/>
        </w:trPr>
        <w:tc>
          <w:tcPr>
            <w:tcW w:w="2332" w:type="pct"/>
            <w:shd w:val="clear" w:color="auto" w:fill="auto"/>
            <w:noWrap/>
            <w:vAlign w:val="center"/>
            <w:hideMark/>
          </w:tcPr>
          <w:p w14:paraId="13B79274"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312 </w:t>
            </w:r>
            <w:proofErr w:type="gramStart"/>
            <w:r w:rsidRPr="00711FBE">
              <w:rPr>
                <w:rFonts w:ascii="Arial" w:eastAsia="Times New Roman" w:hAnsi="Arial" w:cs="Arial"/>
                <w:color w:val="000000"/>
                <w:sz w:val="16"/>
                <w:szCs w:val="16"/>
                <w:lang w:eastAsia="es-MX"/>
              </w:rPr>
              <w:t>Industria</w:t>
            </w:r>
            <w:proofErr w:type="gramEnd"/>
            <w:r w:rsidRPr="00711FBE">
              <w:rPr>
                <w:rFonts w:ascii="Arial" w:eastAsia="Times New Roman" w:hAnsi="Arial" w:cs="Arial"/>
                <w:color w:val="000000"/>
                <w:sz w:val="16"/>
                <w:szCs w:val="16"/>
                <w:lang w:eastAsia="es-MX"/>
              </w:rPr>
              <w:t xml:space="preserve"> de las bebidas y del tabaco</w:t>
            </w:r>
          </w:p>
        </w:tc>
        <w:tc>
          <w:tcPr>
            <w:tcW w:w="688" w:type="pct"/>
            <w:shd w:val="clear" w:color="auto" w:fill="auto"/>
            <w:noWrap/>
            <w:vAlign w:val="center"/>
            <w:hideMark/>
          </w:tcPr>
          <w:p w14:paraId="047A2C2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40.5</w:t>
            </w:r>
          </w:p>
        </w:tc>
        <w:tc>
          <w:tcPr>
            <w:tcW w:w="626" w:type="pct"/>
            <w:shd w:val="clear" w:color="auto" w:fill="auto"/>
            <w:noWrap/>
            <w:vAlign w:val="center"/>
            <w:hideMark/>
          </w:tcPr>
          <w:p w14:paraId="5DFBCC7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36.7</w:t>
            </w:r>
          </w:p>
        </w:tc>
        <w:tc>
          <w:tcPr>
            <w:tcW w:w="625" w:type="pct"/>
            <w:shd w:val="clear" w:color="auto" w:fill="auto"/>
            <w:noWrap/>
            <w:vAlign w:val="center"/>
            <w:hideMark/>
          </w:tcPr>
          <w:p w14:paraId="1FE019AC"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3.7</w:t>
            </w:r>
          </w:p>
        </w:tc>
        <w:tc>
          <w:tcPr>
            <w:tcW w:w="730" w:type="pct"/>
            <w:shd w:val="clear" w:color="auto" w:fill="auto"/>
            <w:noWrap/>
            <w:vAlign w:val="center"/>
            <w:hideMark/>
          </w:tcPr>
          <w:p w14:paraId="73459B8C"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19.1</w:t>
            </w:r>
          </w:p>
        </w:tc>
      </w:tr>
      <w:tr w:rsidR="0068288C" w:rsidRPr="00A81A1C" w14:paraId="681F3C5E" w14:textId="77777777" w:rsidTr="00233C30">
        <w:trPr>
          <w:trHeight w:val="29"/>
          <w:jc w:val="center"/>
        </w:trPr>
        <w:tc>
          <w:tcPr>
            <w:tcW w:w="2332" w:type="pct"/>
            <w:shd w:val="clear" w:color="auto" w:fill="auto"/>
            <w:noWrap/>
            <w:vAlign w:val="center"/>
            <w:hideMark/>
          </w:tcPr>
          <w:p w14:paraId="07BCE7CF"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313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insumos textiles</w:t>
            </w:r>
          </w:p>
        </w:tc>
        <w:tc>
          <w:tcPr>
            <w:tcW w:w="688" w:type="pct"/>
            <w:shd w:val="clear" w:color="auto" w:fill="auto"/>
            <w:noWrap/>
            <w:vAlign w:val="center"/>
            <w:hideMark/>
          </w:tcPr>
          <w:p w14:paraId="75159835"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70.4</w:t>
            </w:r>
          </w:p>
        </w:tc>
        <w:tc>
          <w:tcPr>
            <w:tcW w:w="626" w:type="pct"/>
            <w:shd w:val="clear" w:color="auto" w:fill="auto"/>
            <w:noWrap/>
            <w:vAlign w:val="center"/>
            <w:hideMark/>
          </w:tcPr>
          <w:p w14:paraId="587D294E"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1.3</w:t>
            </w:r>
          </w:p>
        </w:tc>
        <w:tc>
          <w:tcPr>
            <w:tcW w:w="625" w:type="pct"/>
            <w:shd w:val="clear" w:color="auto" w:fill="auto"/>
            <w:noWrap/>
            <w:vAlign w:val="center"/>
            <w:hideMark/>
          </w:tcPr>
          <w:p w14:paraId="54A67F8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6.5</w:t>
            </w:r>
          </w:p>
        </w:tc>
        <w:tc>
          <w:tcPr>
            <w:tcW w:w="730" w:type="pct"/>
            <w:shd w:val="clear" w:color="auto" w:fill="auto"/>
            <w:noWrap/>
            <w:vAlign w:val="center"/>
            <w:hideMark/>
          </w:tcPr>
          <w:p w14:paraId="127686D4"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21.8</w:t>
            </w:r>
          </w:p>
        </w:tc>
      </w:tr>
      <w:tr w:rsidR="0068288C" w:rsidRPr="00A81A1C" w14:paraId="714557A6" w14:textId="77777777" w:rsidTr="00233C30">
        <w:trPr>
          <w:trHeight w:val="29"/>
          <w:jc w:val="center"/>
        </w:trPr>
        <w:tc>
          <w:tcPr>
            <w:tcW w:w="2332" w:type="pct"/>
            <w:shd w:val="clear" w:color="auto" w:fill="auto"/>
            <w:noWrap/>
            <w:vAlign w:val="center"/>
            <w:hideMark/>
          </w:tcPr>
          <w:p w14:paraId="115BDBAF"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314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productos textiles</w:t>
            </w:r>
          </w:p>
        </w:tc>
        <w:tc>
          <w:tcPr>
            <w:tcW w:w="688" w:type="pct"/>
            <w:shd w:val="clear" w:color="auto" w:fill="auto"/>
            <w:noWrap/>
            <w:vAlign w:val="center"/>
            <w:hideMark/>
          </w:tcPr>
          <w:p w14:paraId="0C0793E1"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72.0</w:t>
            </w:r>
          </w:p>
        </w:tc>
        <w:tc>
          <w:tcPr>
            <w:tcW w:w="626" w:type="pct"/>
            <w:shd w:val="clear" w:color="auto" w:fill="auto"/>
            <w:noWrap/>
            <w:vAlign w:val="center"/>
            <w:hideMark/>
          </w:tcPr>
          <w:p w14:paraId="19C0E746"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2.1</w:t>
            </w:r>
          </w:p>
        </w:tc>
        <w:tc>
          <w:tcPr>
            <w:tcW w:w="625" w:type="pct"/>
            <w:shd w:val="clear" w:color="auto" w:fill="auto"/>
            <w:noWrap/>
            <w:vAlign w:val="center"/>
            <w:hideMark/>
          </w:tcPr>
          <w:p w14:paraId="18751551"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3.6</w:t>
            </w:r>
          </w:p>
        </w:tc>
        <w:tc>
          <w:tcPr>
            <w:tcW w:w="730" w:type="pct"/>
            <w:shd w:val="clear" w:color="auto" w:fill="auto"/>
            <w:noWrap/>
            <w:vAlign w:val="center"/>
            <w:hideMark/>
          </w:tcPr>
          <w:p w14:paraId="5EBF7055"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22.3</w:t>
            </w:r>
          </w:p>
        </w:tc>
      </w:tr>
      <w:tr w:rsidR="0068288C" w:rsidRPr="00A81A1C" w14:paraId="0AF8F2FF" w14:textId="77777777" w:rsidTr="00233C30">
        <w:trPr>
          <w:trHeight w:val="29"/>
          <w:jc w:val="center"/>
        </w:trPr>
        <w:tc>
          <w:tcPr>
            <w:tcW w:w="2332" w:type="pct"/>
            <w:shd w:val="clear" w:color="auto" w:fill="auto"/>
            <w:noWrap/>
            <w:vAlign w:val="center"/>
            <w:hideMark/>
          </w:tcPr>
          <w:p w14:paraId="0C40754B"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315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prendas de vestir</w:t>
            </w:r>
          </w:p>
        </w:tc>
        <w:tc>
          <w:tcPr>
            <w:tcW w:w="688" w:type="pct"/>
            <w:shd w:val="clear" w:color="auto" w:fill="auto"/>
            <w:noWrap/>
            <w:vAlign w:val="center"/>
            <w:hideMark/>
          </w:tcPr>
          <w:p w14:paraId="1FE066A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50.6</w:t>
            </w:r>
          </w:p>
        </w:tc>
        <w:tc>
          <w:tcPr>
            <w:tcW w:w="626" w:type="pct"/>
            <w:shd w:val="clear" w:color="auto" w:fill="auto"/>
            <w:noWrap/>
            <w:vAlign w:val="center"/>
            <w:hideMark/>
          </w:tcPr>
          <w:p w14:paraId="7ECE2B04"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1.4</w:t>
            </w:r>
          </w:p>
        </w:tc>
        <w:tc>
          <w:tcPr>
            <w:tcW w:w="625" w:type="pct"/>
            <w:shd w:val="clear" w:color="auto" w:fill="auto"/>
            <w:noWrap/>
            <w:vAlign w:val="center"/>
            <w:hideMark/>
          </w:tcPr>
          <w:p w14:paraId="4655344F"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6.5</w:t>
            </w:r>
          </w:p>
        </w:tc>
        <w:tc>
          <w:tcPr>
            <w:tcW w:w="730" w:type="pct"/>
            <w:shd w:val="clear" w:color="auto" w:fill="auto"/>
            <w:noWrap/>
            <w:vAlign w:val="center"/>
            <w:hideMark/>
          </w:tcPr>
          <w:p w14:paraId="4DC49E47"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41.5</w:t>
            </w:r>
          </w:p>
        </w:tc>
      </w:tr>
      <w:tr w:rsidR="0068288C" w:rsidRPr="00A81A1C" w14:paraId="63948EF1" w14:textId="77777777" w:rsidTr="00233C30">
        <w:trPr>
          <w:trHeight w:val="29"/>
          <w:jc w:val="center"/>
        </w:trPr>
        <w:tc>
          <w:tcPr>
            <w:tcW w:w="2332" w:type="pct"/>
            <w:shd w:val="clear" w:color="auto" w:fill="auto"/>
            <w:noWrap/>
            <w:vAlign w:val="center"/>
            <w:hideMark/>
          </w:tcPr>
          <w:p w14:paraId="0B8ED504"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316 </w:t>
            </w:r>
            <w:proofErr w:type="gramStart"/>
            <w:r w:rsidRPr="00711FBE">
              <w:rPr>
                <w:rFonts w:ascii="Arial" w:eastAsia="Times New Roman" w:hAnsi="Arial" w:cs="Arial"/>
                <w:color w:val="000000"/>
                <w:sz w:val="16"/>
                <w:szCs w:val="16"/>
                <w:lang w:eastAsia="es-MX"/>
              </w:rPr>
              <w:t>Curtido</w:t>
            </w:r>
            <w:proofErr w:type="gramEnd"/>
            <w:r w:rsidRPr="00711FBE">
              <w:rPr>
                <w:rFonts w:ascii="Arial" w:eastAsia="Times New Roman" w:hAnsi="Arial" w:cs="Arial"/>
                <w:color w:val="000000"/>
                <w:sz w:val="16"/>
                <w:szCs w:val="16"/>
                <w:lang w:eastAsia="es-MX"/>
              </w:rPr>
              <w:t xml:space="preserve"> y acabado de cuero y piel</w:t>
            </w:r>
          </w:p>
        </w:tc>
        <w:tc>
          <w:tcPr>
            <w:tcW w:w="688" w:type="pct"/>
            <w:shd w:val="clear" w:color="auto" w:fill="auto"/>
            <w:noWrap/>
            <w:vAlign w:val="center"/>
            <w:hideMark/>
          </w:tcPr>
          <w:p w14:paraId="018EACA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70.5</w:t>
            </w:r>
          </w:p>
        </w:tc>
        <w:tc>
          <w:tcPr>
            <w:tcW w:w="626" w:type="pct"/>
            <w:shd w:val="clear" w:color="auto" w:fill="auto"/>
            <w:noWrap/>
            <w:vAlign w:val="center"/>
            <w:hideMark/>
          </w:tcPr>
          <w:p w14:paraId="59827755"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1.3</w:t>
            </w:r>
          </w:p>
        </w:tc>
        <w:tc>
          <w:tcPr>
            <w:tcW w:w="625" w:type="pct"/>
            <w:shd w:val="clear" w:color="auto" w:fill="auto"/>
            <w:noWrap/>
            <w:vAlign w:val="center"/>
            <w:hideMark/>
          </w:tcPr>
          <w:p w14:paraId="7D28CA9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6.3</w:t>
            </w:r>
          </w:p>
        </w:tc>
        <w:tc>
          <w:tcPr>
            <w:tcW w:w="730" w:type="pct"/>
            <w:shd w:val="clear" w:color="auto" w:fill="auto"/>
            <w:noWrap/>
            <w:vAlign w:val="center"/>
            <w:hideMark/>
          </w:tcPr>
          <w:p w14:paraId="20F14945"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21.9</w:t>
            </w:r>
          </w:p>
        </w:tc>
      </w:tr>
      <w:tr w:rsidR="0068288C" w:rsidRPr="00A81A1C" w14:paraId="1886FB96" w14:textId="77777777" w:rsidTr="00233C30">
        <w:trPr>
          <w:trHeight w:val="29"/>
          <w:jc w:val="center"/>
        </w:trPr>
        <w:tc>
          <w:tcPr>
            <w:tcW w:w="2332" w:type="pct"/>
            <w:shd w:val="clear" w:color="auto" w:fill="auto"/>
            <w:noWrap/>
            <w:vAlign w:val="center"/>
            <w:hideMark/>
          </w:tcPr>
          <w:p w14:paraId="553C9A34"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321 </w:t>
            </w:r>
            <w:proofErr w:type="gramStart"/>
            <w:r w:rsidRPr="00711FBE">
              <w:rPr>
                <w:rFonts w:ascii="Arial" w:eastAsia="Times New Roman" w:hAnsi="Arial" w:cs="Arial"/>
                <w:color w:val="000000"/>
                <w:sz w:val="16"/>
                <w:szCs w:val="16"/>
                <w:lang w:eastAsia="es-MX"/>
              </w:rPr>
              <w:t>Industria</w:t>
            </w:r>
            <w:proofErr w:type="gramEnd"/>
            <w:r w:rsidRPr="00711FBE">
              <w:rPr>
                <w:rFonts w:ascii="Arial" w:eastAsia="Times New Roman" w:hAnsi="Arial" w:cs="Arial"/>
                <w:color w:val="000000"/>
                <w:sz w:val="16"/>
                <w:szCs w:val="16"/>
                <w:lang w:eastAsia="es-MX"/>
              </w:rPr>
              <w:t xml:space="preserve"> de la madera</w:t>
            </w:r>
          </w:p>
        </w:tc>
        <w:tc>
          <w:tcPr>
            <w:tcW w:w="688" w:type="pct"/>
            <w:shd w:val="clear" w:color="auto" w:fill="auto"/>
            <w:noWrap/>
            <w:vAlign w:val="center"/>
            <w:hideMark/>
          </w:tcPr>
          <w:p w14:paraId="10F490E3"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78.1</w:t>
            </w:r>
          </w:p>
        </w:tc>
        <w:tc>
          <w:tcPr>
            <w:tcW w:w="626" w:type="pct"/>
            <w:shd w:val="clear" w:color="auto" w:fill="auto"/>
            <w:noWrap/>
            <w:vAlign w:val="center"/>
            <w:hideMark/>
          </w:tcPr>
          <w:p w14:paraId="11671FB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0.7</w:t>
            </w:r>
          </w:p>
        </w:tc>
        <w:tc>
          <w:tcPr>
            <w:tcW w:w="625" w:type="pct"/>
            <w:shd w:val="clear" w:color="auto" w:fill="auto"/>
            <w:noWrap/>
            <w:vAlign w:val="center"/>
            <w:hideMark/>
          </w:tcPr>
          <w:p w14:paraId="3C37B13A"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5.1</w:t>
            </w:r>
          </w:p>
        </w:tc>
        <w:tc>
          <w:tcPr>
            <w:tcW w:w="730" w:type="pct"/>
            <w:shd w:val="clear" w:color="auto" w:fill="auto"/>
            <w:noWrap/>
            <w:vAlign w:val="center"/>
            <w:hideMark/>
          </w:tcPr>
          <w:p w14:paraId="3F96D570"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16.1</w:t>
            </w:r>
          </w:p>
        </w:tc>
      </w:tr>
      <w:tr w:rsidR="0068288C" w:rsidRPr="00A81A1C" w14:paraId="366B800F" w14:textId="77777777" w:rsidTr="00233C30">
        <w:trPr>
          <w:trHeight w:val="29"/>
          <w:jc w:val="center"/>
        </w:trPr>
        <w:tc>
          <w:tcPr>
            <w:tcW w:w="2332" w:type="pct"/>
            <w:shd w:val="clear" w:color="auto" w:fill="auto"/>
            <w:noWrap/>
            <w:vAlign w:val="center"/>
            <w:hideMark/>
          </w:tcPr>
          <w:p w14:paraId="0D6E716D"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322 </w:t>
            </w:r>
            <w:proofErr w:type="gramStart"/>
            <w:r w:rsidRPr="00711FBE">
              <w:rPr>
                <w:rFonts w:ascii="Arial" w:eastAsia="Times New Roman" w:hAnsi="Arial" w:cs="Arial"/>
                <w:color w:val="000000"/>
                <w:sz w:val="16"/>
                <w:szCs w:val="16"/>
                <w:lang w:eastAsia="es-MX"/>
              </w:rPr>
              <w:t>Industria</w:t>
            </w:r>
            <w:proofErr w:type="gramEnd"/>
            <w:r w:rsidRPr="00711FBE">
              <w:rPr>
                <w:rFonts w:ascii="Arial" w:eastAsia="Times New Roman" w:hAnsi="Arial" w:cs="Arial"/>
                <w:color w:val="000000"/>
                <w:sz w:val="16"/>
                <w:szCs w:val="16"/>
                <w:lang w:eastAsia="es-MX"/>
              </w:rPr>
              <w:t xml:space="preserve"> del papel</w:t>
            </w:r>
          </w:p>
        </w:tc>
        <w:tc>
          <w:tcPr>
            <w:tcW w:w="688" w:type="pct"/>
            <w:shd w:val="clear" w:color="auto" w:fill="auto"/>
            <w:noWrap/>
            <w:vAlign w:val="center"/>
            <w:hideMark/>
          </w:tcPr>
          <w:p w14:paraId="61022475"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70.1</w:t>
            </w:r>
          </w:p>
        </w:tc>
        <w:tc>
          <w:tcPr>
            <w:tcW w:w="626" w:type="pct"/>
            <w:shd w:val="clear" w:color="auto" w:fill="auto"/>
            <w:noWrap/>
            <w:vAlign w:val="center"/>
            <w:hideMark/>
          </w:tcPr>
          <w:p w14:paraId="2A3D8FBF"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3.9</w:t>
            </w:r>
          </w:p>
        </w:tc>
        <w:tc>
          <w:tcPr>
            <w:tcW w:w="625" w:type="pct"/>
            <w:shd w:val="clear" w:color="auto" w:fill="auto"/>
            <w:noWrap/>
            <w:vAlign w:val="center"/>
            <w:hideMark/>
          </w:tcPr>
          <w:p w14:paraId="16C053CD"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3.3</w:t>
            </w:r>
          </w:p>
        </w:tc>
        <w:tc>
          <w:tcPr>
            <w:tcW w:w="730" w:type="pct"/>
            <w:shd w:val="clear" w:color="auto" w:fill="auto"/>
            <w:noWrap/>
            <w:vAlign w:val="center"/>
            <w:hideMark/>
          </w:tcPr>
          <w:p w14:paraId="6B5BA8E6"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22.7</w:t>
            </w:r>
          </w:p>
        </w:tc>
      </w:tr>
      <w:tr w:rsidR="0068288C" w:rsidRPr="00A81A1C" w14:paraId="00A365CB" w14:textId="77777777" w:rsidTr="00233C30">
        <w:trPr>
          <w:trHeight w:val="29"/>
          <w:jc w:val="center"/>
        </w:trPr>
        <w:tc>
          <w:tcPr>
            <w:tcW w:w="2332" w:type="pct"/>
            <w:shd w:val="clear" w:color="auto" w:fill="auto"/>
            <w:noWrap/>
            <w:vAlign w:val="center"/>
            <w:hideMark/>
          </w:tcPr>
          <w:p w14:paraId="551C86B4"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323 </w:t>
            </w:r>
            <w:proofErr w:type="gramStart"/>
            <w:r w:rsidRPr="00711FBE">
              <w:rPr>
                <w:rFonts w:ascii="Arial" w:eastAsia="Times New Roman" w:hAnsi="Arial" w:cs="Arial"/>
                <w:color w:val="000000"/>
                <w:sz w:val="16"/>
                <w:szCs w:val="16"/>
                <w:lang w:eastAsia="es-MX"/>
              </w:rPr>
              <w:t>Impresión</w:t>
            </w:r>
            <w:proofErr w:type="gramEnd"/>
            <w:r w:rsidRPr="00711FBE">
              <w:rPr>
                <w:rFonts w:ascii="Arial" w:eastAsia="Times New Roman" w:hAnsi="Arial" w:cs="Arial"/>
                <w:color w:val="000000"/>
                <w:sz w:val="16"/>
                <w:szCs w:val="16"/>
                <w:lang w:eastAsia="es-MX"/>
              </w:rPr>
              <w:t xml:space="preserve"> e industrias conexas</w:t>
            </w:r>
          </w:p>
        </w:tc>
        <w:tc>
          <w:tcPr>
            <w:tcW w:w="688" w:type="pct"/>
            <w:shd w:val="clear" w:color="auto" w:fill="auto"/>
            <w:noWrap/>
            <w:vAlign w:val="center"/>
            <w:hideMark/>
          </w:tcPr>
          <w:p w14:paraId="42689DA1"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65.6</w:t>
            </w:r>
          </w:p>
        </w:tc>
        <w:tc>
          <w:tcPr>
            <w:tcW w:w="626" w:type="pct"/>
            <w:shd w:val="clear" w:color="auto" w:fill="auto"/>
            <w:noWrap/>
            <w:vAlign w:val="center"/>
            <w:hideMark/>
          </w:tcPr>
          <w:p w14:paraId="4273F517"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1.4</w:t>
            </w:r>
          </w:p>
        </w:tc>
        <w:tc>
          <w:tcPr>
            <w:tcW w:w="625" w:type="pct"/>
            <w:shd w:val="clear" w:color="auto" w:fill="auto"/>
            <w:noWrap/>
            <w:vAlign w:val="center"/>
            <w:hideMark/>
          </w:tcPr>
          <w:p w14:paraId="758E57C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7.0</w:t>
            </w:r>
          </w:p>
        </w:tc>
        <w:tc>
          <w:tcPr>
            <w:tcW w:w="730" w:type="pct"/>
            <w:shd w:val="clear" w:color="auto" w:fill="auto"/>
            <w:noWrap/>
            <w:vAlign w:val="center"/>
            <w:hideMark/>
          </w:tcPr>
          <w:p w14:paraId="70C9969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26.0</w:t>
            </w:r>
          </w:p>
        </w:tc>
      </w:tr>
      <w:tr w:rsidR="0068288C" w:rsidRPr="00A81A1C" w14:paraId="7218617E" w14:textId="77777777" w:rsidTr="00233C30">
        <w:trPr>
          <w:trHeight w:val="29"/>
          <w:jc w:val="center"/>
        </w:trPr>
        <w:tc>
          <w:tcPr>
            <w:tcW w:w="2332" w:type="pct"/>
            <w:shd w:val="clear" w:color="auto" w:fill="auto"/>
            <w:noWrap/>
            <w:vAlign w:val="center"/>
            <w:hideMark/>
          </w:tcPr>
          <w:p w14:paraId="1784DA1D"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324 </w:t>
            </w:r>
            <w:proofErr w:type="gramStart"/>
            <w:r w:rsidRPr="00711FBE">
              <w:rPr>
                <w:rFonts w:ascii="Arial" w:eastAsia="Times New Roman" w:hAnsi="Arial" w:cs="Arial"/>
                <w:color w:val="000000"/>
                <w:sz w:val="16"/>
                <w:szCs w:val="16"/>
                <w:lang w:eastAsia="es-MX"/>
              </w:rPr>
              <w:t>Productos</w:t>
            </w:r>
            <w:proofErr w:type="gramEnd"/>
            <w:r w:rsidRPr="00711FBE">
              <w:rPr>
                <w:rFonts w:ascii="Arial" w:eastAsia="Times New Roman" w:hAnsi="Arial" w:cs="Arial"/>
                <w:color w:val="000000"/>
                <w:sz w:val="16"/>
                <w:szCs w:val="16"/>
                <w:lang w:eastAsia="es-MX"/>
              </w:rPr>
              <w:t xml:space="preserve"> derivados del petróleo</w:t>
            </w:r>
          </w:p>
        </w:tc>
        <w:tc>
          <w:tcPr>
            <w:tcW w:w="688" w:type="pct"/>
            <w:shd w:val="clear" w:color="auto" w:fill="auto"/>
            <w:noWrap/>
            <w:vAlign w:val="center"/>
            <w:hideMark/>
          </w:tcPr>
          <w:p w14:paraId="5EB05B4F"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92.0</w:t>
            </w:r>
          </w:p>
        </w:tc>
        <w:tc>
          <w:tcPr>
            <w:tcW w:w="626" w:type="pct"/>
            <w:shd w:val="clear" w:color="auto" w:fill="auto"/>
            <w:noWrap/>
            <w:vAlign w:val="center"/>
            <w:hideMark/>
          </w:tcPr>
          <w:p w14:paraId="2EABC3B3"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0.5</w:t>
            </w:r>
          </w:p>
        </w:tc>
        <w:tc>
          <w:tcPr>
            <w:tcW w:w="625" w:type="pct"/>
            <w:shd w:val="clear" w:color="auto" w:fill="auto"/>
            <w:noWrap/>
            <w:vAlign w:val="center"/>
            <w:hideMark/>
          </w:tcPr>
          <w:p w14:paraId="0E7F6BAB"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0.5</w:t>
            </w:r>
          </w:p>
        </w:tc>
        <w:tc>
          <w:tcPr>
            <w:tcW w:w="730" w:type="pct"/>
            <w:shd w:val="clear" w:color="auto" w:fill="auto"/>
            <w:noWrap/>
            <w:vAlign w:val="center"/>
            <w:hideMark/>
          </w:tcPr>
          <w:p w14:paraId="49523718"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7.0</w:t>
            </w:r>
          </w:p>
        </w:tc>
      </w:tr>
      <w:tr w:rsidR="0068288C" w:rsidRPr="00A81A1C" w14:paraId="2718E9B7" w14:textId="77777777" w:rsidTr="00233C30">
        <w:trPr>
          <w:trHeight w:val="29"/>
          <w:jc w:val="center"/>
        </w:trPr>
        <w:tc>
          <w:tcPr>
            <w:tcW w:w="2332" w:type="pct"/>
            <w:shd w:val="clear" w:color="auto" w:fill="auto"/>
            <w:noWrap/>
            <w:vAlign w:val="center"/>
            <w:hideMark/>
          </w:tcPr>
          <w:p w14:paraId="2C610D72"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325 </w:t>
            </w:r>
            <w:proofErr w:type="gramStart"/>
            <w:r w:rsidRPr="00711FBE">
              <w:rPr>
                <w:rFonts w:ascii="Arial" w:eastAsia="Times New Roman" w:hAnsi="Arial" w:cs="Arial"/>
                <w:color w:val="000000"/>
                <w:sz w:val="16"/>
                <w:szCs w:val="16"/>
                <w:lang w:eastAsia="es-MX"/>
              </w:rPr>
              <w:t>Industria</w:t>
            </w:r>
            <w:proofErr w:type="gramEnd"/>
            <w:r w:rsidRPr="00711FBE">
              <w:rPr>
                <w:rFonts w:ascii="Arial" w:eastAsia="Times New Roman" w:hAnsi="Arial" w:cs="Arial"/>
                <w:color w:val="000000"/>
                <w:sz w:val="16"/>
                <w:szCs w:val="16"/>
                <w:lang w:eastAsia="es-MX"/>
              </w:rPr>
              <w:t xml:space="preserve"> química</w:t>
            </w:r>
          </w:p>
        </w:tc>
        <w:tc>
          <w:tcPr>
            <w:tcW w:w="688" w:type="pct"/>
            <w:shd w:val="clear" w:color="auto" w:fill="auto"/>
            <w:noWrap/>
            <w:vAlign w:val="center"/>
            <w:hideMark/>
          </w:tcPr>
          <w:p w14:paraId="224D8CD5"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71.1</w:t>
            </w:r>
          </w:p>
        </w:tc>
        <w:tc>
          <w:tcPr>
            <w:tcW w:w="626" w:type="pct"/>
            <w:shd w:val="clear" w:color="auto" w:fill="auto"/>
            <w:noWrap/>
            <w:vAlign w:val="center"/>
            <w:hideMark/>
          </w:tcPr>
          <w:p w14:paraId="1420869F"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5.8</w:t>
            </w:r>
          </w:p>
        </w:tc>
        <w:tc>
          <w:tcPr>
            <w:tcW w:w="625" w:type="pct"/>
            <w:shd w:val="clear" w:color="auto" w:fill="auto"/>
            <w:noWrap/>
            <w:vAlign w:val="center"/>
            <w:hideMark/>
          </w:tcPr>
          <w:p w14:paraId="3ED940ED"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4.0</w:t>
            </w:r>
          </w:p>
        </w:tc>
        <w:tc>
          <w:tcPr>
            <w:tcW w:w="730" w:type="pct"/>
            <w:shd w:val="clear" w:color="auto" w:fill="auto"/>
            <w:noWrap/>
            <w:vAlign w:val="center"/>
            <w:hideMark/>
          </w:tcPr>
          <w:p w14:paraId="2F9CA2A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19.1</w:t>
            </w:r>
          </w:p>
        </w:tc>
      </w:tr>
      <w:tr w:rsidR="0068288C" w:rsidRPr="00A81A1C" w14:paraId="35D2BCAF" w14:textId="77777777" w:rsidTr="00233C30">
        <w:trPr>
          <w:trHeight w:val="29"/>
          <w:jc w:val="center"/>
        </w:trPr>
        <w:tc>
          <w:tcPr>
            <w:tcW w:w="2332" w:type="pct"/>
            <w:shd w:val="clear" w:color="auto" w:fill="auto"/>
            <w:noWrap/>
            <w:vAlign w:val="center"/>
            <w:hideMark/>
          </w:tcPr>
          <w:p w14:paraId="01CACD6D"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326 </w:t>
            </w:r>
            <w:proofErr w:type="gramStart"/>
            <w:r w:rsidRPr="00711FBE">
              <w:rPr>
                <w:rFonts w:ascii="Arial" w:eastAsia="Times New Roman" w:hAnsi="Arial" w:cs="Arial"/>
                <w:color w:val="000000"/>
                <w:sz w:val="16"/>
                <w:szCs w:val="16"/>
                <w:lang w:eastAsia="es-MX"/>
              </w:rPr>
              <w:t>Industria</w:t>
            </w:r>
            <w:proofErr w:type="gramEnd"/>
            <w:r w:rsidRPr="00711FBE">
              <w:rPr>
                <w:rFonts w:ascii="Arial" w:eastAsia="Times New Roman" w:hAnsi="Arial" w:cs="Arial"/>
                <w:color w:val="000000"/>
                <w:sz w:val="16"/>
                <w:szCs w:val="16"/>
                <w:lang w:eastAsia="es-MX"/>
              </w:rPr>
              <w:t xml:space="preserve"> del plástico y del hule</w:t>
            </w:r>
          </w:p>
        </w:tc>
        <w:tc>
          <w:tcPr>
            <w:tcW w:w="688" w:type="pct"/>
            <w:shd w:val="clear" w:color="auto" w:fill="auto"/>
            <w:noWrap/>
            <w:vAlign w:val="center"/>
            <w:hideMark/>
          </w:tcPr>
          <w:p w14:paraId="5C378E0F"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68.5</w:t>
            </w:r>
          </w:p>
        </w:tc>
        <w:tc>
          <w:tcPr>
            <w:tcW w:w="626" w:type="pct"/>
            <w:shd w:val="clear" w:color="auto" w:fill="auto"/>
            <w:noWrap/>
            <w:vAlign w:val="center"/>
            <w:hideMark/>
          </w:tcPr>
          <w:p w14:paraId="5A51CFE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1.8</w:t>
            </w:r>
          </w:p>
        </w:tc>
        <w:tc>
          <w:tcPr>
            <w:tcW w:w="625" w:type="pct"/>
            <w:shd w:val="clear" w:color="auto" w:fill="auto"/>
            <w:noWrap/>
            <w:vAlign w:val="center"/>
            <w:hideMark/>
          </w:tcPr>
          <w:p w14:paraId="0FA0FA4E"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8.6</w:t>
            </w:r>
          </w:p>
        </w:tc>
        <w:tc>
          <w:tcPr>
            <w:tcW w:w="730" w:type="pct"/>
            <w:shd w:val="clear" w:color="auto" w:fill="auto"/>
            <w:noWrap/>
            <w:vAlign w:val="center"/>
            <w:hideMark/>
          </w:tcPr>
          <w:p w14:paraId="2DAF36B6"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21.1</w:t>
            </w:r>
          </w:p>
        </w:tc>
      </w:tr>
      <w:tr w:rsidR="0068288C" w:rsidRPr="00A81A1C" w14:paraId="67A6E28B" w14:textId="77777777" w:rsidTr="00233C30">
        <w:trPr>
          <w:trHeight w:val="29"/>
          <w:jc w:val="center"/>
        </w:trPr>
        <w:tc>
          <w:tcPr>
            <w:tcW w:w="2332" w:type="pct"/>
            <w:shd w:val="clear" w:color="auto" w:fill="auto"/>
            <w:noWrap/>
            <w:vAlign w:val="center"/>
            <w:hideMark/>
          </w:tcPr>
          <w:p w14:paraId="709D53DF"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327 </w:t>
            </w:r>
            <w:proofErr w:type="gramStart"/>
            <w:r w:rsidRPr="00711FBE">
              <w:rPr>
                <w:rFonts w:ascii="Arial" w:eastAsia="Times New Roman" w:hAnsi="Arial" w:cs="Arial"/>
                <w:color w:val="000000"/>
                <w:sz w:val="16"/>
                <w:szCs w:val="16"/>
                <w:lang w:eastAsia="es-MX"/>
              </w:rPr>
              <w:t>Productos</w:t>
            </w:r>
            <w:proofErr w:type="gramEnd"/>
            <w:r w:rsidRPr="00711FBE">
              <w:rPr>
                <w:rFonts w:ascii="Arial" w:eastAsia="Times New Roman" w:hAnsi="Arial" w:cs="Arial"/>
                <w:color w:val="000000"/>
                <w:sz w:val="16"/>
                <w:szCs w:val="16"/>
                <w:lang w:eastAsia="es-MX"/>
              </w:rPr>
              <w:t xml:space="preserve"> a base de minerales no metálicos</w:t>
            </w:r>
          </w:p>
        </w:tc>
        <w:tc>
          <w:tcPr>
            <w:tcW w:w="688" w:type="pct"/>
            <w:shd w:val="clear" w:color="auto" w:fill="auto"/>
            <w:noWrap/>
            <w:vAlign w:val="center"/>
            <w:hideMark/>
          </w:tcPr>
          <w:p w14:paraId="5EA78B18"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39.3</w:t>
            </w:r>
          </w:p>
        </w:tc>
        <w:tc>
          <w:tcPr>
            <w:tcW w:w="626" w:type="pct"/>
            <w:shd w:val="clear" w:color="auto" w:fill="auto"/>
            <w:noWrap/>
            <w:vAlign w:val="center"/>
            <w:hideMark/>
          </w:tcPr>
          <w:p w14:paraId="5C9005F0"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5.3</w:t>
            </w:r>
          </w:p>
        </w:tc>
        <w:tc>
          <w:tcPr>
            <w:tcW w:w="625" w:type="pct"/>
            <w:shd w:val="clear" w:color="auto" w:fill="auto"/>
            <w:noWrap/>
            <w:vAlign w:val="center"/>
            <w:hideMark/>
          </w:tcPr>
          <w:p w14:paraId="1C40A97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8.8</w:t>
            </w:r>
          </w:p>
        </w:tc>
        <w:tc>
          <w:tcPr>
            <w:tcW w:w="730" w:type="pct"/>
            <w:shd w:val="clear" w:color="auto" w:fill="auto"/>
            <w:noWrap/>
            <w:vAlign w:val="center"/>
            <w:hideMark/>
          </w:tcPr>
          <w:p w14:paraId="77B14B6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46.6</w:t>
            </w:r>
          </w:p>
        </w:tc>
      </w:tr>
      <w:tr w:rsidR="0068288C" w:rsidRPr="00A81A1C" w14:paraId="54C270D0" w14:textId="77777777" w:rsidTr="00233C30">
        <w:trPr>
          <w:trHeight w:val="29"/>
          <w:jc w:val="center"/>
        </w:trPr>
        <w:tc>
          <w:tcPr>
            <w:tcW w:w="2332" w:type="pct"/>
            <w:shd w:val="clear" w:color="auto" w:fill="auto"/>
            <w:noWrap/>
            <w:vAlign w:val="center"/>
            <w:hideMark/>
          </w:tcPr>
          <w:p w14:paraId="084DE1D1"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331 </w:t>
            </w:r>
            <w:proofErr w:type="gramStart"/>
            <w:r w:rsidRPr="00711FBE">
              <w:rPr>
                <w:rFonts w:ascii="Arial" w:eastAsia="Times New Roman" w:hAnsi="Arial" w:cs="Arial"/>
                <w:color w:val="000000"/>
                <w:sz w:val="16"/>
                <w:szCs w:val="16"/>
                <w:lang w:eastAsia="es-MX"/>
              </w:rPr>
              <w:t>Industrias</w:t>
            </w:r>
            <w:proofErr w:type="gramEnd"/>
            <w:r w:rsidRPr="00711FBE">
              <w:rPr>
                <w:rFonts w:ascii="Arial" w:eastAsia="Times New Roman" w:hAnsi="Arial" w:cs="Arial"/>
                <w:color w:val="000000"/>
                <w:sz w:val="16"/>
                <w:szCs w:val="16"/>
                <w:lang w:eastAsia="es-MX"/>
              </w:rPr>
              <w:t xml:space="preserve"> metálicas básicas</w:t>
            </w:r>
          </w:p>
        </w:tc>
        <w:tc>
          <w:tcPr>
            <w:tcW w:w="688" w:type="pct"/>
            <w:shd w:val="clear" w:color="auto" w:fill="auto"/>
            <w:noWrap/>
            <w:vAlign w:val="center"/>
            <w:hideMark/>
          </w:tcPr>
          <w:p w14:paraId="2EDCB0F2"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81.5</w:t>
            </w:r>
          </w:p>
        </w:tc>
        <w:tc>
          <w:tcPr>
            <w:tcW w:w="626" w:type="pct"/>
            <w:shd w:val="clear" w:color="auto" w:fill="auto"/>
            <w:noWrap/>
            <w:vAlign w:val="center"/>
            <w:hideMark/>
          </w:tcPr>
          <w:p w14:paraId="637CF93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0.4</w:t>
            </w:r>
          </w:p>
        </w:tc>
        <w:tc>
          <w:tcPr>
            <w:tcW w:w="625" w:type="pct"/>
            <w:shd w:val="clear" w:color="auto" w:fill="auto"/>
            <w:noWrap/>
            <w:vAlign w:val="center"/>
            <w:hideMark/>
          </w:tcPr>
          <w:p w14:paraId="4C71DA38"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2.5</w:t>
            </w:r>
          </w:p>
        </w:tc>
        <w:tc>
          <w:tcPr>
            <w:tcW w:w="730" w:type="pct"/>
            <w:shd w:val="clear" w:color="auto" w:fill="auto"/>
            <w:noWrap/>
            <w:vAlign w:val="center"/>
            <w:hideMark/>
          </w:tcPr>
          <w:p w14:paraId="46CD805E"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15.6</w:t>
            </w:r>
          </w:p>
        </w:tc>
      </w:tr>
      <w:tr w:rsidR="0068288C" w:rsidRPr="00A81A1C" w14:paraId="0222C9A8" w14:textId="77777777" w:rsidTr="00233C30">
        <w:trPr>
          <w:trHeight w:val="29"/>
          <w:jc w:val="center"/>
        </w:trPr>
        <w:tc>
          <w:tcPr>
            <w:tcW w:w="2332" w:type="pct"/>
            <w:shd w:val="clear" w:color="auto" w:fill="auto"/>
            <w:noWrap/>
            <w:vAlign w:val="center"/>
            <w:hideMark/>
          </w:tcPr>
          <w:p w14:paraId="426EAD29"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332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productos metálicos</w:t>
            </w:r>
          </w:p>
        </w:tc>
        <w:tc>
          <w:tcPr>
            <w:tcW w:w="688" w:type="pct"/>
            <w:shd w:val="clear" w:color="auto" w:fill="auto"/>
            <w:noWrap/>
            <w:vAlign w:val="center"/>
            <w:hideMark/>
          </w:tcPr>
          <w:p w14:paraId="2AF5D051"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71.2</w:t>
            </w:r>
          </w:p>
        </w:tc>
        <w:tc>
          <w:tcPr>
            <w:tcW w:w="626" w:type="pct"/>
            <w:shd w:val="clear" w:color="auto" w:fill="auto"/>
            <w:noWrap/>
            <w:vAlign w:val="center"/>
            <w:hideMark/>
          </w:tcPr>
          <w:p w14:paraId="334585C6"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2.0</w:t>
            </w:r>
          </w:p>
        </w:tc>
        <w:tc>
          <w:tcPr>
            <w:tcW w:w="625" w:type="pct"/>
            <w:shd w:val="clear" w:color="auto" w:fill="auto"/>
            <w:noWrap/>
            <w:vAlign w:val="center"/>
            <w:hideMark/>
          </w:tcPr>
          <w:p w14:paraId="0D29C850"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7.1</w:t>
            </w:r>
          </w:p>
        </w:tc>
        <w:tc>
          <w:tcPr>
            <w:tcW w:w="730" w:type="pct"/>
            <w:shd w:val="clear" w:color="auto" w:fill="auto"/>
            <w:noWrap/>
            <w:vAlign w:val="center"/>
            <w:hideMark/>
          </w:tcPr>
          <w:p w14:paraId="16F64E33"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19.7</w:t>
            </w:r>
          </w:p>
        </w:tc>
      </w:tr>
      <w:tr w:rsidR="0068288C" w:rsidRPr="00A81A1C" w14:paraId="24C50BDB" w14:textId="77777777" w:rsidTr="00233C30">
        <w:trPr>
          <w:trHeight w:val="29"/>
          <w:jc w:val="center"/>
        </w:trPr>
        <w:tc>
          <w:tcPr>
            <w:tcW w:w="2332" w:type="pct"/>
            <w:shd w:val="clear" w:color="auto" w:fill="auto"/>
            <w:noWrap/>
            <w:vAlign w:val="center"/>
            <w:hideMark/>
          </w:tcPr>
          <w:p w14:paraId="0B9EDE51"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333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maquinaria y equipo</w:t>
            </w:r>
          </w:p>
        </w:tc>
        <w:tc>
          <w:tcPr>
            <w:tcW w:w="688" w:type="pct"/>
            <w:shd w:val="clear" w:color="auto" w:fill="auto"/>
            <w:noWrap/>
            <w:vAlign w:val="center"/>
            <w:hideMark/>
          </w:tcPr>
          <w:p w14:paraId="68C38A50"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73.3</w:t>
            </w:r>
          </w:p>
        </w:tc>
        <w:tc>
          <w:tcPr>
            <w:tcW w:w="626" w:type="pct"/>
            <w:shd w:val="clear" w:color="auto" w:fill="auto"/>
            <w:noWrap/>
            <w:vAlign w:val="center"/>
            <w:hideMark/>
          </w:tcPr>
          <w:p w14:paraId="309E1B6F"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0.7</w:t>
            </w:r>
          </w:p>
        </w:tc>
        <w:tc>
          <w:tcPr>
            <w:tcW w:w="625" w:type="pct"/>
            <w:shd w:val="clear" w:color="auto" w:fill="auto"/>
            <w:noWrap/>
            <w:vAlign w:val="center"/>
            <w:hideMark/>
          </w:tcPr>
          <w:p w14:paraId="3C8F4FF6"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6.7</w:t>
            </w:r>
          </w:p>
        </w:tc>
        <w:tc>
          <w:tcPr>
            <w:tcW w:w="730" w:type="pct"/>
            <w:shd w:val="clear" w:color="auto" w:fill="auto"/>
            <w:noWrap/>
            <w:vAlign w:val="center"/>
            <w:hideMark/>
          </w:tcPr>
          <w:p w14:paraId="60FB53A7"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19.3</w:t>
            </w:r>
          </w:p>
        </w:tc>
      </w:tr>
      <w:tr w:rsidR="0068288C" w:rsidRPr="00A81A1C" w14:paraId="3A6803E7" w14:textId="77777777" w:rsidTr="00233C30">
        <w:trPr>
          <w:trHeight w:val="29"/>
          <w:jc w:val="center"/>
        </w:trPr>
        <w:tc>
          <w:tcPr>
            <w:tcW w:w="2332" w:type="pct"/>
            <w:shd w:val="clear" w:color="auto" w:fill="auto"/>
            <w:noWrap/>
            <w:vAlign w:val="center"/>
            <w:hideMark/>
          </w:tcPr>
          <w:p w14:paraId="36649066"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334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equipo de computación</w:t>
            </w:r>
          </w:p>
        </w:tc>
        <w:tc>
          <w:tcPr>
            <w:tcW w:w="688" w:type="pct"/>
            <w:shd w:val="clear" w:color="auto" w:fill="auto"/>
            <w:noWrap/>
            <w:vAlign w:val="center"/>
            <w:hideMark/>
          </w:tcPr>
          <w:p w14:paraId="4B04699A"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48.0</w:t>
            </w:r>
          </w:p>
        </w:tc>
        <w:tc>
          <w:tcPr>
            <w:tcW w:w="626" w:type="pct"/>
            <w:shd w:val="clear" w:color="auto" w:fill="auto"/>
            <w:noWrap/>
            <w:vAlign w:val="center"/>
            <w:hideMark/>
          </w:tcPr>
          <w:p w14:paraId="03541CE7"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1.6</w:t>
            </w:r>
          </w:p>
        </w:tc>
        <w:tc>
          <w:tcPr>
            <w:tcW w:w="625" w:type="pct"/>
            <w:shd w:val="clear" w:color="auto" w:fill="auto"/>
            <w:noWrap/>
            <w:vAlign w:val="center"/>
            <w:hideMark/>
          </w:tcPr>
          <w:p w14:paraId="4CE5893B"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8.3</w:t>
            </w:r>
          </w:p>
        </w:tc>
        <w:tc>
          <w:tcPr>
            <w:tcW w:w="730" w:type="pct"/>
            <w:shd w:val="clear" w:color="auto" w:fill="auto"/>
            <w:noWrap/>
            <w:vAlign w:val="center"/>
            <w:hideMark/>
          </w:tcPr>
          <w:p w14:paraId="1CCE88EF"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42.1</w:t>
            </w:r>
          </w:p>
        </w:tc>
      </w:tr>
      <w:tr w:rsidR="0068288C" w:rsidRPr="00A81A1C" w14:paraId="62811C6B" w14:textId="77777777" w:rsidTr="00233C30">
        <w:trPr>
          <w:trHeight w:val="29"/>
          <w:jc w:val="center"/>
        </w:trPr>
        <w:tc>
          <w:tcPr>
            <w:tcW w:w="2332" w:type="pct"/>
            <w:shd w:val="clear" w:color="auto" w:fill="auto"/>
            <w:noWrap/>
            <w:vAlign w:val="center"/>
            <w:hideMark/>
          </w:tcPr>
          <w:p w14:paraId="436A8EE8"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335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aparatos eléctricos</w:t>
            </w:r>
          </w:p>
        </w:tc>
        <w:tc>
          <w:tcPr>
            <w:tcW w:w="688" w:type="pct"/>
            <w:shd w:val="clear" w:color="auto" w:fill="auto"/>
            <w:noWrap/>
            <w:vAlign w:val="center"/>
            <w:hideMark/>
          </w:tcPr>
          <w:p w14:paraId="69F939E3"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78.5</w:t>
            </w:r>
          </w:p>
        </w:tc>
        <w:tc>
          <w:tcPr>
            <w:tcW w:w="626" w:type="pct"/>
            <w:shd w:val="clear" w:color="auto" w:fill="auto"/>
            <w:noWrap/>
            <w:vAlign w:val="center"/>
            <w:hideMark/>
          </w:tcPr>
          <w:p w14:paraId="192EB0FA"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1.6</w:t>
            </w:r>
          </w:p>
        </w:tc>
        <w:tc>
          <w:tcPr>
            <w:tcW w:w="625" w:type="pct"/>
            <w:shd w:val="clear" w:color="auto" w:fill="auto"/>
            <w:noWrap/>
            <w:vAlign w:val="center"/>
            <w:hideMark/>
          </w:tcPr>
          <w:p w14:paraId="2F4835CC"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6.3</w:t>
            </w:r>
          </w:p>
        </w:tc>
        <w:tc>
          <w:tcPr>
            <w:tcW w:w="730" w:type="pct"/>
            <w:shd w:val="clear" w:color="auto" w:fill="auto"/>
            <w:noWrap/>
            <w:vAlign w:val="center"/>
            <w:hideMark/>
          </w:tcPr>
          <w:p w14:paraId="004497D3"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13.6</w:t>
            </w:r>
          </w:p>
        </w:tc>
      </w:tr>
      <w:tr w:rsidR="0068288C" w:rsidRPr="00A81A1C" w14:paraId="3ECE64DF" w14:textId="77777777" w:rsidTr="00233C30">
        <w:trPr>
          <w:trHeight w:val="29"/>
          <w:jc w:val="center"/>
        </w:trPr>
        <w:tc>
          <w:tcPr>
            <w:tcW w:w="2332" w:type="pct"/>
            <w:shd w:val="clear" w:color="auto" w:fill="auto"/>
            <w:noWrap/>
            <w:vAlign w:val="center"/>
            <w:hideMark/>
          </w:tcPr>
          <w:p w14:paraId="0E2C1981"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336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equipo de transporte</w:t>
            </w:r>
          </w:p>
        </w:tc>
        <w:tc>
          <w:tcPr>
            <w:tcW w:w="688" w:type="pct"/>
            <w:shd w:val="clear" w:color="auto" w:fill="auto"/>
            <w:noWrap/>
            <w:vAlign w:val="center"/>
            <w:hideMark/>
          </w:tcPr>
          <w:p w14:paraId="4CDB298D"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85.5</w:t>
            </w:r>
          </w:p>
        </w:tc>
        <w:tc>
          <w:tcPr>
            <w:tcW w:w="626" w:type="pct"/>
            <w:shd w:val="clear" w:color="auto" w:fill="auto"/>
            <w:noWrap/>
            <w:vAlign w:val="center"/>
            <w:hideMark/>
          </w:tcPr>
          <w:p w14:paraId="0ED5EF33"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0.4</w:t>
            </w:r>
          </w:p>
        </w:tc>
        <w:tc>
          <w:tcPr>
            <w:tcW w:w="625" w:type="pct"/>
            <w:shd w:val="clear" w:color="auto" w:fill="auto"/>
            <w:noWrap/>
            <w:vAlign w:val="center"/>
            <w:hideMark/>
          </w:tcPr>
          <w:p w14:paraId="40463D5C"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3.0</w:t>
            </w:r>
          </w:p>
        </w:tc>
        <w:tc>
          <w:tcPr>
            <w:tcW w:w="730" w:type="pct"/>
            <w:shd w:val="clear" w:color="auto" w:fill="auto"/>
            <w:noWrap/>
            <w:vAlign w:val="center"/>
            <w:hideMark/>
          </w:tcPr>
          <w:p w14:paraId="61ACD75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11.1</w:t>
            </w:r>
          </w:p>
        </w:tc>
      </w:tr>
      <w:tr w:rsidR="0068288C" w:rsidRPr="00A81A1C" w14:paraId="71B59485" w14:textId="77777777" w:rsidTr="00233C30">
        <w:trPr>
          <w:trHeight w:val="29"/>
          <w:jc w:val="center"/>
        </w:trPr>
        <w:tc>
          <w:tcPr>
            <w:tcW w:w="2332" w:type="pct"/>
            <w:shd w:val="clear" w:color="auto" w:fill="auto"/>
            <w:noWrap/>
            <w:vAlign w:val="center"/>
            <w:hideMark/>
          </w:tcPr>
          <w:p w14:paraId="0F009C4D"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337 </w:t>
            </w:r>
            <w:proofErr w:type="gramStart"/>
            <w:r w:rsidRPr="00711FBE">
              <w:rPr>
                <w:rFonts w:ascii="Arial" w:eastAsia="Times New Roman" w:hAnsi="Arial" w:cs="Arial"/>
                <w:color w:val="000000"/>
                <w:sz w:val="16"/>
                <w:szCs w:val="16"/>
                <w:lang w:eastAsia="es-MX"/>
              </w:rPr>
              <w:t>Fabricación</w:t>
            </w:r>
            <w:proofErr w:type="gramEnd"/>
            <w:r w:rsidRPr="00711FBE">
              <w:rPr>
                <w:rFonts w:ascii="Arial" w:eastAsia="Times New Roman" w:hAnsi="Arial" w:cs="Arial"/>
                <w:color w:val="000000"/>
                <w:sz w:val="16"/>
                <w:szCs w:val="16"/>
                <w:lang w:eastAsia="es-MX"/>
              </w:rPr>
              <w:t xml:space="preserve"> de muebles</w:t>
            </w:r>
          </w:p>
        </w:tc>
        <w:tc>
          <w:tcPr>
            <w:tcW w:w="688" w:type="pct"/>
            <w:shd w:val="clear" w:color="auto" w:fill="auto"/>
            <w:noWrap/>
            <w:vAlign w:val="center"/>
            <w:hideMark/>
          </w:tcPr>
          <w:p w14:paraId="2578EEEC"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61.4</w:t>
            </w:r>
          </w:p>
        </w:tc>
        <w:tc>
          <w:tcPr>
            <w:tcW w:w="626" w:type="pct"/>
            <w:shd w:val="clear" w:color="auto" w:fill="auto"/>
            <w:noWrap/>
            <w:vAlign w:val="center"/>
            <w:hideMark/>
          </w:tcPr>
          <w:p w14:paraId="2B728903"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2.7</w:t>
            </w:r>
          </w:p>
        </w:tc>
        <w:tc>
          <w:tcPr>
            <w:tcW w:w="625" w:type="pct"/>
            <w:shd w:val="clear" w:color="auto" w:fill="auto"/>
            <w:noWrap/>
            <w:vAlign w:val="center"/>
            <w:hideMark/>
          </w:tcPr>
          <w:p w14:paraId="63FEF12F"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5.0</w:t>
            </w:r>
          </w:p>
        </w:tc>
        <w:tc>
          <w:tcPr>
            <w:tcW w:w="730" w:type="pct"/>
            <w:shd w:val="clear" w:color="auto" w:fill="auto"/>
            <w:noWrap/>
            <w:vAlign w:val="center"/>
            <w:hideMark/>
          </w:tcPr>
          <w:p w14:paraId="467781A6"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30.9</w:t>
            </w:r>
          </w:p>
        </w:tc>
      </w:tr>
      <w:tr w:rsidR="0068288C" w:rsidRPr="00A81A1C" w14:paraId="06606CD3" w14:textId="77777777" w:rsidTr="00233C30">
        <w:trPr>
          <w:trHeight w:val="29"/>
          <w:jc w:val="center"/>
        </w:trPr>
        <w:tc>
          <w:tcPr>
            <w:tcW w:w="2332" w:type="pct"/>
            <w:shd w:val="clear" w:color="auto" w:fill="auto"/>
            <w:noWrap/>
            <w:vAlign w:val="center"/>
            <w:hideMark/>
          </w:tcPr>
          <w:p w14:paraId="5E0F9CA3" w14:textId="77777777" w:rsidR="0068288C" w:rsidRPr="00711FBE" w:rsidRDefault="0068288C" w:rsidP="00A81A1C">
            <w:pPr>
              <w:spacing w:after="0" w:line="240" w:lineRule="auto"/>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 xml:space="preserve">339 </w:t>
            </w:r>
            <w:proofErr w:type="gramStart"/>
            <w:r w:rsidRPr="00711FBE">
              <w:rPr>
                <w:rFonts w:ascii="Arial" w:eastAsia="Times New Roman" w:hAnsi="Arial" w:cs="Arial"/>
                <w:color w:val="000000"/>
                <w:sz w:val="16"/>
                <w:szCs w:val="16"/>
                <w:lang w:eastAsia="es-MX"/>
              </w:rPr>
              <w:t>Otras</w:t>
            </w:r>
            <w:proofErr w:type="gramEnd"/>
            <w:r w:rsidRPr="00711FBE">
              <w:rPr>
                <w:rFonts w:ascii="Arial" w:eastAsia="Times New Roman" w:hAnsi="Arial" w:cs="Arial"/>
                <w:color w:val="000000"/>
                <w:sz w:val="16"/>
                <w:szCs w:val="16"/>
                <w:lang w:eastAsia="es-MX"/>
              </w:rPr>
              <w:t xml:space="preserve"> industrias manufactureras</w:t>
            </w:r>
          </w:p>
        </w:tc>
        <w:tc>
          <w:tcPr>
            <w:tcW w:w="688" w:type="pct"/>
            <w:shd w:val="clear" w:color="auto" w:fill="auto"/>
            <w:noWrap/>
            <w:vAlign w:val="center"/>
            <w:hideMark/>
          </w:tcPr>
          <w:p w14:paraId="17F90FD4"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44.5</w:t>
            </w:r>
          </w:p>
        </w:tc>
        <w:tc>
          <w:tcPr>
            <w:tcW w:w="626" w:type="pct"/>
            <w:shd w:val="clear" w:color="auto" w:fill="auto"/>
            <w:noWrap/>
            <w:vAlign w:val="center"/>
            <w:hideMark/>
          </w:tcPr>
          <w:p w14:paraId="48E10019"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3.2</w:t>
            </w:r>
          </w:p>
        </w:tc>
        <w:tc>
          <w:tcPr>
            <w:tcW w:w="625" w:type="pct"/>
            <w:shd w:val="clear" w:color="auto" w:fill="auto"/>
            <w:noWrap/>
            <w:vAlign w:val="center"/>
            <w:hideMark/>
          </w:tcPr>
          <w:p w14:paraId="7ACD8EE1"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5.9</w:t>
            </w:r>
          </w:p>
        </w:tc>
        <w:tc>
          <w:tcPr>
            <w:tcW w:w="730" w:type="pct"/>
            <w:shd w:val="clear" w:color="auto" w:fill="auto"/>
            <w:noWrap/>
            <w:vAlign w:val="center"/>
            <w:hideMark/>
          </w:tcPr>
          <w:p w14:paraId="3AEF38BD" w14:textId="77777777" w:rsidR="0068288C" w:rsidRPr="00711FBE" w:rsidRDefault="0068288C" w:rsidP="00A81A1C">
            <w:pPr>
              <w:spacing w:after="0" w:line="240" w:lineRule="auto"/>
              <w:jc w:val="center"/>
              <w:rPr>
                <w:rFonts w:ascii="Arial" w:eastAsia="Times New Roman" w:hAnsi="Arial" w:cs="Arial"/>
                <w:color w:val="000000"/>
                <w:sz w:val="16"/>
                <w:szCs w:val="16"/>
                <w:lang w:eastAsia="es-MX"/>
              </w:rPr>
            </w:pPr>
            <w:r w:rsidRPr="00711FBE">
              <w:rPr>
                <w:rFonts w:ascii="Arial" w:eastAsia="Times New Roman" w:hAnsi="Arial" w:cs="Arial"/>
                <w:color w:val="000000"/>
                <w:sz w:val="16"/>
                <w:szCs w:val="16"/>
                <w:lang w:eastAsia="es-MX"/>
              </w:rPr>
              <w:t>46.4</w:t>
            </w:r>
          </w:p>
        </w:tc>
      </w:tr>
    </w:tbl>
    <w:p w14:paraId="3C3B9D0A" w14:textId="77777777" w:rsidR="00433EB5" w:rsidRPr="00A341C6" w:rsidRDefault="00433EB5" w:rsidP="009C0FCB">
      <w:pPr>
        <w:pStyle w:val="Default"/>
        <w:ind w:left="851" w:hanging="67"/>
        <w:jc w:val="both"/>
        <w:rPr>
          <w:color w:val="auto"/>
          <w:sz w:val="16"/>
          <w:lang w:eastAsia="es-MX"/>
        </w:rPr>
      </w:pPr>
      <w:r w:rsidRPr="00A341C6">
        <w:rPr>
          <w:color w:val="auto"/>
          <w:sz w:val="16"/>
          <w:vertAlign w:val="superscript"/>
          <w:lang w:eastAsia="es-MX"/>
        </w:rPr>
        <w:t>p/</w:t>
      </w:r>
      <w:r w:rsidR="00951484">
        <w:rPr>
          <w:color w:val="auto"/>
          <w:sz w:val="16"/>
          <w:vertAlign w:val="superscript"/>
          <w:lang w:eastAsia="es-MX"/>
        </w:rPr>
        <w:t xml:space="preserve"> </w:t>
      </w:r>
      <w:r w:rsidRPr="00A341C6">
        <w:rPr>
          <w:color w:val="auto"/>
          <w:sz w:val="16"/>
          <w:lang w:eastAsia="es-MX"/>
        </w:rPr>
        <w:t>Ci</w:t>
      </w:r>
      <w:r w:rsidR="009C0FCB">
        <w:rPr>
          <w:color w:val="auto"/>
          <w:sz w:val="16"/>
          <w:lang w:eastAsia="es-MX"/>
        </w:rPr>
        <w:t>fras preliminares.</w:t>
      </w:r>
    </w:p>
    <w:p w14:paraId="56045FEC" w14:textId="77777777" w:rsidR="00433EB5" w:rsidRDefault="00433EB5" w:rsidP="009C0FCB">
      <w:pPr>
        <w:pStyle w:val="Default"/>
        <w:ind w:left="851" w:hanging="67"/>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r w:rsidR="000D1054">
        <w:rPr>
          <w:b/>
          <w:color w:val="auto"/>
          <w:sz w:val="16"/>
          <w:lang w:eastAsia="es-MX"/>
        </w:rPr>
        <w:t>.</w:t>
      </w:r>
    </w:p>
    <w:p w14:paraId="00E0D208" w14:textId="77777777" w:rsidR="009C0FCB" w:rsidRDefault="009C0FCB" w:rsidP="009C0FCB">
      <w:pPr>
        <w:pStyle w:val="Default"/>
        <w:ind w:left="851" w:hanging="67"/>
        <w:jc w:val="both"/>
        <w:rPr>
          <w:color w:val="auto"/>
          <w:sz w:val="22"/>
          <w:lang w:eastAsia="es-MX"/>
        </w:rPr>
      </w:pPr>
    </w:p>
    <w:p w14:paraId="4BE62298" w14:textId="77777777" w:rsidR="004572BF" w:rsidRPr="004230E5" w:rsidRDefault="0088234C" w:rsidP="004572BF">
      <w:pPr>
        <w:pStyle w:val="Default"/>
        <w:jc w:val="both"/>
        <w:rPr>
          <w:sz w:val="22"/>
          <w:szCs w:val="22"/>
          <w:lang w:eastAsia="es-MX"/>
        </w:rPr>
      </w:pPr>
      <w:r w:rsidRPr="004230E5">
        <w:rPr>
          <w:sz w:val="22"/>
          <w:szCs w:val="22"/>
          <w:lang w:eastAsia="es-MX"/>
        </w:rPr>
        <w:t>Por otra parte, durante</w:t>
      </w:r>
      <w:r w:rsidR="00951484">
        <w:rPr>
          <w:sz w:val="22"/>
          <w:szCs w:val="22"/>
          <w:lang w:eastAsia="es-MX"/>
        </w:rPr>
        <w:t xml:space="preserve"> </w:t>
      </w:r>
      <w:r w:rsidRPr="004230E5">
        <w:rPr>
          <w:sz w:val="22"/>
          <w:szCs w:val="22"/>
          <w:lang w:eastAsia="es-MX"/>
        </w:rPr>
        <w:t>2020</w:t>
      </w:r>
      <w:r w:rsidR="009C0FCB">
        <w:rPr>
          <w:sz w:val="22"/>
          <w:szCs w:val="22"/>
          <w:lang w:eastAsia="es-MX"/>
        </w:rPr>
        <w:t xml:space="preserve"> las </w:t>
      </w:r>
      <w:r w:rsidR="0084080B" w:rsidRPr="004230E5">
        <w:rPr>
          <w:sz w:val="22"/>
          <w:szCs w:val="22"/>
          <w:lang w:eastAsia="es-MX"/>
        </w:rPr>
        <w:t>ventas netas de productos elaborados</w:t>
      </w:r>
      <w:r w:rsidR="004572BF" w:rsidRPr="004230E5">
        <w:rPr>
          <w:sz w:val="22"/>
          <w:szCs w:val="22"/>
          <w:lang w:eastAsia="es-MX"/>
        </w:rPr>
        <w:t xml:space="preserve"> </w:t>
      </w:r>
      <w:r w:rsidR="00951484">
        <w:rPr>
          <w:sz w:val="22"/>
          <w:szCs w:val="22"/>
          <w:lang w:eastAsia="es-MX"/>
        </w:rPr>
        <w:t>de las i</w:t>
      </w:r>
      <w:r w:rsidR="00951484" w:rsidRPr="004230E5">
        <w:rPr>
          <w:sz w:val="22"/>
          <w:szCs w:val="22"/>
          <w:lang w:eastAsia="es-MX"/>
        </w:rPr>
        <w:t xml:space="preserve">ndustrias manufactureras </w:t>
      </w:r>
      <w:r w:rsidR="004572BF" w:rsidRPr="004230E5">
        <w:rPr>
          <w:sz w:val="22"/>
          <w:szCs w:val="22"/>
          <w:lang w:eastAsia="es-MX"/>
        </w:rPr>
        <w:t xml:space="preserve">representan el </w:t>
      </w:r>
      <w:r w:rsidR="00421549" w:rsidRPr="004230E5">
        <w:rPr>
          <w:sz w:val="22"/>
          <w:szCs w:val="22"/>
          <w:lang w:eastAsia="es-MX"/>
        </w:rPr>
        <w:t>principal i</w:t>
      </w:r>
      <w:r w:rsidR="0084080B" w:rsidRPr="004230E5">
        <w:rPr>
          <w:sz w:val="22"/>
          <w:szCs w:val="22"/>
          <w:lang w:eastAsia="es-MX"/>
        </w:rPr>
        <w:t xml:space="preserve">ngreso </w:t>
      </w:r>
      <w:r w:rsidR="00F47A4D" w:rsidRPr="004230E5">
        <w:rPr>
          <w:sz w:val="22"/>
          <w:szCs w:val="22"/>
          <w:lang w:eastAsia="es-MX"/>
        </w:rPr>
        <w:t xml:space="preserve">por suministro de bienes y servicios, </w:t>
      </w:r>
      <w:r w:rsidR="00951484">
        <w:rPr>
          <w:sz w:val="22"/>
          <w:szCs w:val="22"/>
          <w:lang w:eastAsia="es-MX"/>
        </w:rPr>
        <w:t>contribuyendo</w:t>
      </w:r>
      <w:r w:rsidR="004572BF" w:rsidRPr="004230E5">
        <w:rPr>
          <w:sz w:val="22"/>
          <w:szCs w:val="22"/>
          <w:lang w:eastAsia="es-MX"/>
        </w:rPr>
        <w:t xml:space="preserve"> con </w:t>
      </w:r>
      <w:r w:rsidR="0084080B" w:rsidRPr="004230E5">
        <w:rPr>
          <w:sz w:val="22"/>
          <w:szCs w:val="22"/>
          <w:lang w:eastAsia="es-MX"/>
        </w:rPr>
        <w:t>9</w:t>
      </w:r>
      <w:r w:rsidR="00D766CB">
        <w:rPr>
          <w:sz w:val="22"/>
          <w:szCs w:val="22"/>
          <w:lang w:eastAsia="es-MX"/>
        </w:rPr>
        <w:t>0.1</w:t>
      </w:r>
      <w:r w:rsidR="004572BF" w:rsidRPr="004230E5">
        <w:rPr>
          <w:sz w:val="22"/>
          <w:szCs w:val="22"/>
          <w:lang w:eastAsia="es-MX"/>
        </w:rPr>
        <w:t xml:space="preserve">% </w:t>
      </w:r>
      <w:r w:rsidR="00C61DED" w:rsidRPr="004230E5">
        <w:rPr>
          <w:sz w:val="22"/>
          <w:szCs w:val="22"/>
          <w:lang w:eastAsia="es-MX"/>
        </w:rPr>
        <w:t>d</w:t>
      </w:r>
      <w:r w:rsidR="004572BF" w:rsidRPr="004230E5">
        <w:rPr>
          <w:sz w:val="22"/>
          <w:szCs w:val="22"/>
          <w:lang w:eastAsia="es-MX"/>
        </w:rPr>
        <w:t xml:space="preserve">el total, </w:t>
      </w:r>
      <w:r w:rsidRPr="004230E5">
        <w:rPr>
          <w:sz w:val="22"/>
          <w:szCs w:val="22"/>
          <w:lang w:eastAsia="es-MX"/>
        </w:rPr>
        <w:t>en segundo lugar</w:t>
      </w:r>
      <w:r w:rsidR="00331010">
        <w:rPr>
          <w:sz w:val="22"/>
          <w:szCs w:val="22"/>
          <w:lang w:eastAsia="es-MX"/>
        </w:rPr>
        <w:t>,</w:t>
      </w:r>
      <w:r w:rsidRPr="004230E5">
        <w:rPr>
          <w:sz w:val="22"/>
          <w:szCs w:val="22"/>
          <w:lang w:eastAsia="es-MX"/>
        </w:rPr>
        <w:t xml:space="preserve"> se tiene el</w:t>
      </w:r>
      <w:r w:rsidR="00421549" w:rsidRPr="004230E5">
        <w:rPr>
          <w:sz w:val="22"/>
          <w:szCs w:val="22"/>
          <w:lang w:eastAsia="es-MX"/>
        </w:rPr>
        <w:t xml:space="preserve"> ingreso por maquila con</w:t>
      </w:r>
      <w:r w:rsidR="0084080B" w:rsidRPr="004230E5">
        <w:rPr>
          <w:sz w:val="22"/>
          <w:szCs w:val="22"/>
          <w:lang w:eastAsia="es-MX"/>
        </w:rPr>
        <w:t xml:space="preserve"> 8.</w:t>
      </w:r>
      <w:r w:rsidR="00B619A8" w:rsidRPr="004230E5">
        <w:rPr>
          <w:sz w:val="22"/>
          <w:szCs w:val="22"/>
          <w:lang w:eastAsia="es-MX"/>
        </w:rPr>
        <w:t>4</w:t>
      </w:r>
      <w:r w:rsidR="00F53668" w:rsidRPr="004230E5">
        <w:rPr>
          <w:sz w:val="22"/>
          <w:szCs w:val="22"/>
          <w:lang w:eastAsia="es-MX"/>
        </w:rPr>
        <w:t xml:space="preserve"> por ciento.</w:t>
      </w:r>
    </w:p>
    <w:p w14:paraId="56CA0912" w14:textId="77777777" w:rsidR="004572BF" w:rsidRPr="004230E5" w:rsidRDefault="004572BF" w:rsidP="004572BF">
      <w:pPr>
        <w:pStyle w:val="Default"/>
        <w:jc w:val="both"/>
        <w:rPr>
          <w:sz w:val="22"/>
          <w:szCs w:val="22"/>
          <w:lang w:eastAsia="es-MX"/>
        </w:rPr>
      </w:pPr>
    </w:p>
    <w:p w14:paraId="1FCAD367" w14:textId="77777777" w:rsidR="0093482B" w:rsidRDefault="0093482B" w:rsidP="00433EB5">
      <w:pPr>
        <w:pStyle w:val="Default"/>
        <w:jc w:val="center"/>
        <w:rPr>
          <w:b/>
          <w:color w:val="auto"/>
          <w:sz w:val="22"/>
          <w:lang w:eastAsia="es-MX"/>
        </w:rPr>
      </w:pPr>
    </w:p>
    <w:p w14:paraId="431CE46B" w14:textId="77777777" w:rsidR="0093482B" w:rsidRDefault="0093482B" w:rsidP="00433EB5">
      <w:pPr>
        <w:pStyle w:val="Default"/>
        <w:jc w:val="center"/>
        <w:rPr>
          <w:b/>
          <w:color w:val="auto"/>
          <w:sz w:val="22"/>
          <w:lang w:eastAsia="es-MX"/>
        </w:rPr>
      </w:pPr>
    </w:p>
    <w:p w14:paraId="4673BA15" w14:textId="77777777" w:rsidR="0093482B" w:rsidRDefault="0093482B" w:rsidP="00433EB5">
      <w:pPr>
        <w:pStyle w:val="Default"/>
        <w:jc w:val="center"/>
        <w:rPr>
          <w:b/>
          <w:color w:val="auto"/>
          <w:sz w:val="22"/>
          <w:lang w:eastAsia="es-MX"/>
        </w:rPr>
      </w:pPr>
    </w:p>
    <w:p w14:paraId="60B68FF8" w14:textId="77777777" w:rsidR="0093482B" w:rsidRDefault="0093482B" w:rsidP="00433EB5">
      <w:pPr>
        <w:pStyle w:val="Default"/>
        <w:jc w:val="center"/>
        <w:rPr>
          <w:b/>
          <w:color w:val="auto"/>
          <w:sz w:val="22"/>
          <w:lang w:eastAsia="es-MX"/>
        </w:rPr>
      </w:pPr>
    </w:p>
    <w:p w14:paraId="56BDFCDA" w14:textId="77777777" w:rsidR="0093482B" w:rsidRDefault="0093482B" w:rsidP="00433EB5">
      <w:pPr>
        <w:pStyle w:val="Default"/>
        <w:jc w:val="center"/>
        <w:rPr>
          <w:b/>
          <w:color w:val="auto"/>
          <w:sz w:val="22"/>
          <w:lang w:eastAsia="es-MX"/>
        </w:rPr>
      </w:pPr>
    </w:p>
    <w:p w14:paraId="519A1647" w14:textId="77777777" w:rsidR="0093482B" w:rsidRDefault="0093482B" w:rsidP="00433EB5">
      <w:pPr>
        <w:pStyle w:val="Default"/>
        <w:jc w:val="center"/>
        <w:rPr>
          <w:b/>
          <w:color w:val="auto"/>
          <w:sz w:val="22"/>
          <w:lang w:eastAsia="es-MX"/>
        </w:rPr>
      </w:pPr>
    </w:p>
    <w:p w14:paraId="1F558EE4" w14:textId="77777777" w:rsidR="0093482B" w:rsidRDefault="0093482B" w:rsidP="00433EB5">
      <w:pPr>
        <w:pStyle w:val="Default"/>
        <w:jc w:val="center"/>
        <w:rPr>
          <w:b/>
          <w:color w:val="auto"/>
          <w:sz w:val="22"/>
          <w:lang w:eastAsia="es-MX"/>
        </w:rPr>
      </w:pPr>
    </w:p>
    <w:p w14:paraId="3057864A" w14:textId="77777777" w:rsidR="0093482B" w:rsidRDefault="0093482B" w:rsidP="00433EB5">
      <w:pPr>
        <w:pStyle w:val="Default"/>
        <w:jc w:val="center"/>
        <w:rPr>
          <w:b/>
          <w:color w:val="auto"/>
          <w:sz w:val="22"/>
          <w:lang w:eastAsia="es-MX"/>
        </w:rPr>
      </w:pPr>
    </w:p>
    <w:p w14:paraId="28C786F9" w14:textId="77777777" w:rsidR="0093482B" w:rsidRDefault="0093482B" w:rsidP="00433EB5">
      <w:pPr>
        <w:pStyle w:val="Default"/>
        <w:jc w:val="center"/>
        <w:rPr>
          <w:b/>
          <w:color w:val="auto"/>
          <w:sz w:val="22"/>
          <w:lang w:eastAsia="es-MX"/>
        </w:rPr>
      </w:pPr>
    </w:p>
    <w:p w14:paraId="0991B9E1" w14:textId="77777777" w:rsidR="0093482B" w:rsidRDefault="0093482B" w:rsidP="00433EB5">
      <w:pPr>
        <w:pStyle w:val="Default"/>
        <w:jc w:val="center"/>
        <w:rPr>
          <w:b/>
          <w:color w:val="auto"/>
          <w:sz w:val="22"/>
          <w:lang w:eastAsia="es-MX"/>
        </w:rPr>
      </w:pPr>
    </w:p>
    <w:p w14:paraId="3694A1CA" w14:textId="77777777" w:rsidR="0093482B" w:rsidRDefault="0093482B" w:rsidP="00433EB5">
      <w:pPr>
        <w:pStyle w:val="Default"/>
        <w:jc w:val="center"/>
        <w:rPr>
          <w:b/>
          <w:color w:val="auto"/>
          <w:sz w:val="22"/>
          <w:lang w:eastAsia="es-MX"/>
        </w:rPr>
      </w:pPr>
    </w:p>
    <w:p w14:paraId="7F0F8CEF" w14:textId="77777777" w:rsidR="0093482B" w:rsidRDefault="0093482B" w:rsidP="00433EB5">
      <w:pPr>
        <w:pStyle w:val="Default"/>
        <w:jc w:val="center"/>
        <w:rPr>
          <w:b/>
          <w:color w:val="auto"/>
          <w:sz w:val="22"/>
          <w:lang w:eastAsia="es-MX"/>
        </w:rPr>
      </w:pPr>
    </w:p>
    <w:p w14:paraId="129EA2C4" w14:textId="77777777" w:rsidR="0093482B" w:rsidRDefault="0093482B" w:rsidP="00433EB5">
      <w:pPr>
        <w:pStyle w:val="Default"/>
        <w:jc w:val="center"/>
        <w:rPr>
          <w:b/>
          <w:color w:val="auto"/>
          <w:sz w:val="22"/>
          <w:lang w:eastAsia="es-MX"/>
        </w:rPr>
      </w:pPr>
    </w:p>
    <w:p w14:paraId="6AD6E914" w14:textId="77777777" w:rsidR="00433EB5" w:rsidRPr="00A341C6" w:rsidRDefault="00433EB5" w:rsidP="00433EB5">
      <w:pPr>
        <w:pStyle w:val="Default"/>
        <w:jc w:val="center"/>
        <w:rPr>
          <w:b/>
          <w:color w:val="auto"/>
          <w:sz w:val="22"/>
          <w:lang w:eastAsia="es-MX"/>
        </w:rPr>
      </w:pPr>
      <w:r w:rsidRPr="0044757A">
        <w:rPr>
          <w:b/>
          <w:color w:val="auto"/>
          <w:sz w:val="22"/>
          <w:lang w:eastAsia="es-MX"/>
        </w:rPr>
        <w:lastRenderedPageBreak/>
        <w:t xml:space="preserve">Cuadro </w:t>
      </w:r>
      <w:r w:rsidR="00494A00">
        <w:rPr>
          <w:b/>
          <w:color w:val="auto"/>
          <w:sz w:val="22"/>
          <w:lang w:eastAsia="es-MX"/>
        </w:rPr>
        <w:t>7</w:t>
      </w:r>
    </w:p>
    <w:p w14:paraId="51B8A717" w14:textId="77777777" w:rsidR="00BF062E" w:rsidRDefault="00BF062E" w:rsidP="00DB5229">
      <w:pPr>
        <w:pStyle w:val="Default"/>
        <w:jc w:val="center"/>
        <w:rPr>
          <w:b/>
          <w:color w:val="auto"/>
          <w:sz w:val="22"/>
          <w:lang w:eastAsia="es-MX"/>
        </w:rPr>
      </w:pPr>
      <w:r>
        <w:rPr>
          <w:b/>
          <w:color w:val="auto"/>
          <w:sz w:val="22"/>
          <w:lang w:eastAsia="es-MX"/>
        </w:rPr>
        <w:t>Participación de los ingresos por suministro de bienes y servicios</w:t>
      </w:r>
    </w:p>
    <w:p w14:paraId="33EEFCE4" w14:textId="77777777" w:rsidR="00BF062E" w:rsidRDefault="009C0FCB" w:rsidP="00BF062E">
      <w:pPr>
        <w:pStyle w:val="Default"/>
        <w:jc w:val="center"/>
        <w:rPr>
          <w:b/>
          <w:color w:val="auto"/>
          <w:sz w:val="22"/>
          <w:vertAlign w:val="superscript"/>
          <w:lang w:eastAsia="es-MX"/>
        </w:rPr>
      </w:pPr>
      <w:r>
        <w:rPr>
          <w:b/>
          <w:color w:val="auto"/>
          <w:sz w:val="22"/>
          <w:lang w:eastAsia="es-MX"/>
        </w:rPr>
        <w:t xml:space="preserve"> de las i</w:t>
      </w:r>
      <w:r w:rsidR="00BF062E">
        <w:rPr>
          <w:b/>
          <w:color w:val="auto"/>
          <w:sz w:val="22"/>
          <w:lang w:eastAsia="es-MX"/>
        </w:rPr>
        <w:t xml:space="preserve">ndustrias manufactureras </w:t>
      </w:r>
      <w:r w:rsidR="00A83498">
        <w:rPr>
          <w:b/>
          <w:color w:val="auto"/>
          <w:sz w:val="22"/>
          <w:lang w:eastAsia="es-MX"/>
        </w:rPr>
        <w:t xml:space="preserve">por </w:t>
      </w:r>
      <w:r w:rsidR="00BF062E">
        <w:rPr>
          <w:b/>
          <w:color w:val="auto"/>
          <w:sz w:val="22"/>
          <w:lang w:eastAsia="es-MX"/>
        </w:rPr>
        <w:t>concepto</w:t>
      </w:r>
      <w:r w:rsidR="00A83498">
        <w:rPr>
          <w:b/>
          <w:color w:val="auto"/>
          <w:sz w:val="22"/>
          <w:lang w:eastAsia="es-MX"/>
        </w:rPr>
        <w:t xml:space="preserve"> y subsector</w:t>
      </w:r>
      <w:r w:rsidR="00BF062E">
        <w:rPr>
          <w:b/>
          <w:color w:val="auto"/>
          <w:sz w:val="22"/>
          <w:lang w:eastAsia="es-MX"/>
        </w:rPr>
        <w:t>, 2020</w:t>
      </w:r>
      <w:r w:rsidR="00BF062E" w:rsidRPr="008D0CE3">
        <w:rPr>
          <w:b/>
          <w:color w:val="auto"/>
          <w:sz w:val="22"/>
          <w:vertAlign w:val="superscript"/>
          <w:lang w:eastAsia="es-MX"/>
        </w:rPr>
        <w:t>p/</w:t>
      </w:r>
    </w:p>
    <w:p w14:paraId="72688101" w14:textId="77777777" w:rsidR="00A47151" w:rsidRPr="00A47151" w:rsidRDefault="00A47151" w:rsidP="00BF062E">
      <w:pPr>
        <w:pStyle w:val="Default"/>
        <w:jc w:val="center"/>
        <w:rPr>
          <w:b/>
          <w:color w:val="auto"/>
          <w:sz w:val="22"/>
          <w:lang w:eastAsia="es-MX"/>
        </w:rPr>
      </w:pPr>
      <w:r w:rsidRPr="00A47151">
        <w:rPr>
          <w:b/>
          <w:color w:val="auto"/>
          <w:sz w:val="22"/>
          <w:lang w:eastAsia="es-MX"/>
        </w:rPr>
        <w:t>(Porcentaje)</w:t>
      </w:r>
    </w:p>
    <w:tbl>
      <w:tblPr>
        <w:tblW w:w="442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773"/>
        <w:gridCol w:w="1280"/>
        <w:gridCol w:w="1462"/>
        <w:gridCol w:w="1301"/>
      </w:tblGrid>
      <w:tr w:rsidR="0068288C" w:rsidRPr="006E3D87" w14:paraId="52E40C6F" w14:textId="77777777" w:rsidTr="00233C30">
        <w:trPr>
          <w:trHeight w:val="24"/>
          <w:jc w:val="center"/>
        </w:trPr>
        <w:tc>
          <w:tcPr>
            <w:tcW w:w="2414" w:type="pct"/>
            <w:vMerge w:val="restart"/>
            <w:shd w:val="clear" w:color="auto" w:fill="A8D08D" w:themeFill="accent6" w:themeFillTint="99"/>
            <w:vAlign w:val="center"/>
            <w:hideMark/>
          </w:tcPr>
          <w:p w14:paraId="2E29FCD3" w14:textId="77777777" w:rsidR="0068288C" w:rsidRPr="00711FBE" w:rsidRDefault="00711FBE" w:rsidP="000D1054">
            <w:pPr>
              <w:spacing w:after="0" w:line="240" w:lineRule="auto"/>
              <w:jc w:val="center"/>
              <w:rPr>
                <w:rFonts w:ascii="Arial" w:eastAsia="Times New Roman" w:hAnsi="Arial" w:cs="Arial"/>
                <w:b/>
                <w:bCs/>
                <w:sz w:val="16"/>
                <w:szCs w:val="16"/>
                <w:lang w:eastAsia="es-MX"/>
              </w:rPr>
            </w:pPr>
            <w:r>
              <w:rPr>
                <w:rFonts w:ascii="Arial" w:eastAsia="Times New Roman" w:hAnsi="Arial" w:cs="Arial"/>
                <w:b/>
                <w:bCs/>
                <w:sz w:val="16"/>
                <w:szCs w:val="16"/>
                <w:lang w:eastAsia="es-MX"/>
              </w:rPr>
              <w:t>Sector/</w:t>
            </w:r>
            <w:r w:rsidR="0068288C" w:rsidRPr="00711FBE">
              <w:rPr>
                <w:rFonts w:ascii="Arial" w:eastAsia="Times New Roman" w:hAnsi="Arial" w:cs="Arial"/>
                <w:b/>
                <w:bCs/>
                <w:sz w:val="16"/>
                <w:szCs w:val="16"/>
                <w:lang w:eastAsia="es-MX"/>
              </w:rPr>
              <w:t>Subsector</w:t>
            </w:r>
          </w:p>
        </w:tc>
        <w:tc>
          <w:tcPr>
            <w:tcW w:w="2586" w:type="pct"/>
            <w:gridSpan w:val="3"/>
            <w:shd w:val="clear" w:color="auto" w:fill="A8D08D" w:themeFill="accent6" w:themeFillTint="99"/>
            <w:vAlign w:val="center"/>
            <w:hideMark/>
          </w:tcPr>
          <w:p w14:paraId="1BD4EF10" w14:textId="77777777" w:rsidR="0068288C" w:rsidRPr="00711FBE" w:rsidRDefault="0068288C" w:rsidP="006E3D87">
            <w:pPr>
              <w:spacing w:after="0" w:line="240" w:lineRule="auto"/>
              <w:jc w:val="center"/>
              <w:rPr>
                <w:rFonts w:ascii="Arial" w:eastAsia="Times New Roman" w:hAnsi="Arial" w:cs="Arial"/>
                <w:b/>
                <w:bCs/>
                <w:sz w:val="16"/>
                <w:szCs w:val="16"/>
                <w:lang w:eastAsia="es-MX"/>
              </w:rPr>
            </w:pPr>
            <w:r w:rsidRPr="00711FBE">
              <w:rPr>
                <w:rFonts w:ascii="Arial" w:eastAsia="Times New Roman" w:hAnsi="Arial" w:cs="Arial"/>
                <w:b/>
                <w:bCs/>
                <w:sz w:val="16"/>
                <w:szCs w:val="16"/>
                <w:lang w:eastAsia="es-MX"/>
              </w:rPr>
              <w:t>Concepto</w:t>
            </w:r>
          </w:p>
        </w:tc>
      </w:tr>
      <w:tr w:rsidR="0068288C" w:rsidRPr="006E3D87" w14:paraId="338E2C60" w14:textId="77777777" w:rsidTr="00233C30">
        <w:trPr>
          <w:trHeight w:val="24"/>
          <w:jc w:val="center"/>
        </w:trPr>
        <w:tc>
          <w:tcPr>
            <w:tcW w:w="2414" w:type="pct"/>
            <w:vMerge/>
            <w:shd w:val="clear" w:color="auto" w:fill="A8D08D" w:themeFill="accent6" w:themeFillTint="99"/>
            <w:vAlign w:val="center"/>
            <w:hideMark/>
          </w:tcPr>
          <w:p w14:paraId="11BDCD14" w14:textId="77777777" w:rsidR="0068288C" w:rsidRPr="00711FBE" w:rsidRDefault="0068288C" w:rsidP="00246DCB">
            <w:pPr>
              <w:spacing w:after="0" w:line="240" w:lineRule="auto"/>
              <w:rPr>
                <w:rFonts w:ascii="Arial" w:eastAsia="Times New Roman" w:hAnsi="Arial" w:cs="Arial"/>
                <w:b/>
                <w:bCs/>
                <w:sz w:val="16"/>
                <w:szCs w:val="16"/>
                <w:lang w:eastAsia="es-MX"/>
              </w:rPr>
            </w:pPr>
          </w:p>
        </w:tc>
        <w:tc>
          <w:tcPr>
            <w:tcW w:w="819" w:type="pct"/>
            <w:shd w:val="clear" w:color="auto" w:fill="A8D08D" w:themeFill="accent6" w:themeFillTint="99"/>
            <w:vAlign w:val="center"/>
            <w:hideMark/>
          </w:tcPr>
          <w:p w14:paraId="39712812" w14:textId="77777777" w:rsidR="0068288C" w:rsidRPr="00711FBE" w:rsidRDefault="0068288C" w:rsidP="00246DCB">
            <w:pPr>
              <w:spacing w:after="0" w:line="240" w:lineRule="auto"/>
              <w:jc w:val="center"/>
              <w:rPr>
                <w:rFonts w:ascii="Arial" w:eastAsia="Times New Roman" w:hAnsi="Arial" w:cs="Arial"/>
                <w:b/>
                <w:bCs/>
                <w:sz w:val="16"/>
                <w:szCs w:val="16"/>
                <w:lang w:eastAsia="es-MX"/>
              </w:rPr>
            </w:pPr>
            <w:r w:rsidRPr="00711FBE">
              <w:rPr>
                <w:rFonts w:ascii="Arial" w:eastAsia="Times New Roman" w:hAnsi="Arial" w:cs="Arial"/>
                <w:b/>
                <w:bCs/>
                <w:sz w:val="16"/>
                <w:szCs w:val="16"/>
                <w:lang w:eastAsia="es-MX"/>
              </w:rPr>
              <w:t>Ventas netas de productos elaborados</w:t>
            </w:r>
          </w:p>
        </w:tc>
        <w:tc>
          <w:tcPr>
            <w:tcW w:w="935" w:type="pct"/>
            <w:shd w:val="clear" w:color="auto" w:fill="A8D08D" w:themeFill="accent6" w:themeFillTint="99"/>
            <w:vAlign w:val="center"/>
            <w:hideMark/>
          </w:tcPr>
          <w:p w14:paraId="451B1008" w14:textId="77777777" w:rsidR="0068288C" w:rsidRPr="00711FBE" w:rsidRDefault="0068288C" w:rsidP="00246DCB">
            <w:pPr>
              <w:spacing w:after="0" w:line="240" w:lineRule="auto"/>
              <w:jc w:val="center"/>
              <w:rPr>
                <w:rFonts w:ascii="Arial" w:eastAsia="Times New Roman" w:hAnsi="Arial" w:cs="Arial"/>
                <w:b/>
                <w:bCs/>
                <w:sz w:val="16"/>
                <w:szCs w:val="16"/>
                <w:lang w:eastAsia="es-MX"/>
              </w:rPr>
            </w:pPr>
            <w:r w:rsidRPr="00711FBE">
              <w:rPr>
                <w:rFonts w:ascii="Arial" w:eastAsia="Times New Roman" w:hAnsi="Arial" w:cs="Arial"/>
                <w:b/>
                <w:bCs/>
                <w:sz w:val="16"/>
                <w:szCs w:val="16"/>
                <w:lang w:eastAsia="es-MX"/>
              </w:rPr>
              <w:t>Ingresos por maquila</w:t>
            </w:r>
          </w:p>
        </w:tc>
        <w:tc>
          <w:tcPr>
            <w:tcW w:w="833" w:type="pct"/>
            <w:shd w:val="clear" w:color="auto" w:fill="A8D08D" w:themeFill="accent6" w:themeFillTint="99"/>
            <w:vAlign w:val="center"/>
            <w:hideMark/>
          </w:tcPr>
          <w:p w14:paraId="3A42E669" w14:textId="77777777" w:rsidR="0068288C" w:rsidRPr="00711FBE" w:rsidRDefault="0068288C" w:rsidP="00246DCB">
            <w:pPr>
              <w:spacing w:after="0" w:line="240" w:lineRule="auto"/>
              <w:jc w:val="center"/>
              <w:rPr>
                <w:rFonts w:ascii="Arial" w:eastAsia="Times New Roman" w:hAnsi="Arial" w:cs="Arial"/>
                <w:b/>
                <w:bCs/>
                <w:sz w:val="16"/>
                <w:szCs w:val="16"/>
                <w:lang w:eastAsia="es-MX"/>
              </w:rPr>
            </w:pPr>
            <w:r w:rsidRPr="00711FBE">
              <w:rPr>
                <w:rFonts w:ascii="Arial" w:eastAsia="Times New Roman" w:hAnsi="Arial" w:cs="Arial"/>
                <w:b/>
                <w:bCs/>
                <w:sz w:val="16"/>
                <w:szCs w:val="16"/>
                <w:lang w:eastAsia="es-MX"/>
              </w:rPr>
              <w:t>Otros ingresos</w:t>
            </w:r>
          </w:p>
        </w:tc>
      </w:tr>
      <w:tr w:rsidR="0068288C" w:rsidRPr="006E3D87" w14:paraId="06AC04B8" w14:textId="77777777" w:rsidTr="00233C30">
        <w:trPr>
          <w:trHeight w:val="24"/>
          <w:jc w:val="center"/>
        </w:trPr>
        <w:tc>
          <w:tcPr>
            <w:tcW w:w="2414" w:type="pct"/>
            <w:shd w:val="clear" w:color="auto" w:fill="auto"/>
            <w:noWrap/>
            <w:vAlign w:val="center"/>
            <w:hideMark/>
          </w:tcPr>
          <w:p w14:paraId="70493DBB" w14:textId="77777777" w:rsidR="0068288C" w:rsidRPr="00711FBE" w:rsidRDefault="0068288C" w:rsidP="00246DCB">
            <w:pPr>
              <w:spacing w:after="0" w:line="240" w:lineRule="auto"/>
              <w:rPr>
                <w:rFonts w:ascii="Arial" w:eastAsia="Times New Roman" w:hAnsi="Arial" w:cs="Arial"/>
                <w:b/>
                <w:sz w:val="16"/>
                <w:szCs w:val="16"/>
                <w:lang w:eastAsia="es-MX"/>
              </w:rPr>
            </w:pPr>
            <w:r w:rsidRPr="00711FBE">
              <w:rPr>
                <w:rFonts w:ascii="Arial" w:eastAsia="Times New Roman" w:hAnsi="Arial" w:cs="Arial"/>
                <w:b/>
                <w:sz w:val="16"/>
                <w:szCs w:val="16"/>
                <w:lang w:eastAsia="es-MX"/>
              </w:rPr>
              <w:t>31-33 Industrias manufactureras</w:t>
            </w:r>
          </w:p>
        </w:tc>
        <w:tc>
          <w:tcPr>
            <w:tcW w:w="819" w:type="pct"/>
            <w:shd w:val="clear" w:color="auto" w:fill="auto"/>
            <w:noWrap/>
            <w:vAlign w:val="center"/>
            <w:hideMark/>
          </w:tcPr>
          <w:p w14:paraId="44D22D7D" w14:textId="77777777" w:rsidR="0068288C" w:rsidRPr="00711FBE" w:rsidRDefault="0068288C" w:rsidP="00246DCB">
            <w:pPr>
              <w:spacing w:after="0" w:line="240" w:lineRule="auto"/>
              <w:jc w:val="center"/>
              <w:rPr>
                <w:rFonts w:ascii="Arial" w:eastAsia="Times New Roman" w:hAnsi="Arial" w:cs="Arial"/>
                <w:b/>
                <w:sz w:val="16"/>
                <w:szCs w:val="16"/>
                <w:lang w:eastAsia="es-MX"/>
              </w:rPr>
            </w:pPr>
            <w:r w:rsidRPr="00711FBE">
              <w:rPr>
                <w:rFonts w:ascii="Arial" w:eastAsia="Times New Roman" w:hAnsi="Arial" w:cs="Arial"/>
                <w:b/>
                <w:sz w:val="16"/>
                <w:szCs w:val="16"/>
                <w:lang w:eastAsia="es-MX"/>
              </w:rPr>
              <w:t>90.1</w:t>
            </w:r>
          </w:p>
        </w:tc>
        <w:tc>
          <w:tcPr>
            <w:tcW w:w="935" w:type="pct"/>
            <w:shd w:val="clear" w:color="auto" w:fill="auto"/>
            <w:noWrap/>
            <w:vAlign w:val="center"/>
            <w:hideMark/>
          </w:tcPr>
          <w:p w14:paraId="4E27E64E" w14:textId="77777777" w:rsidR="0068288C" w:rsidRPr="00711FBE" w:rsidRDefault="0068288C" w:rsidP="00246DCB">
            <w:pPr>
              <w:spacing w:after="0" w:line="240" w:lineRule="auto"/>
              <w:jc w:val="center"/>
              <w:rPr>
                <w:rFonts w:ascii="Arial" w:eastAsia="Times New Roman" w:hAnsi="Arial" w:cs="Arial"/>
                <w:b/>
                <w:sz w:val="16"/>
                <w:szCs w:val="16"/>
                <w:lang w:eastAsia="es-MX"/>
              </w:rPr>
            </w:pPr>
            <w:r w:rsidRPr="00711FBE">
              <w:rPr>
                <w:rFonts w:ascii="Arial" w:eastAsia="Times New Roman" w:hAnsi="Arial" w:cs="Arial"/>
                <w:b/>
                <w:sz w:val="16"/>
                <w:szCs w:val="16"/>
                <w:lang w:eastAsia="es-MX"/>
              </w:rPr>
              <w:t>8.4</w:t>
            </w:r>
          </w:p>
        </w:tc>
        <w:tc>
          <w:tcPr>
            <w:tcW w:w="833" w:type="pct"/>
            <w:shd w:val="clear" w:color="auto" w:fill="auto"/>
            <w:noWrap/>
            <w:vAlign w:val="center"/>
            <w:hideMark/>
          </w:tcPr>
          <w:p w14:paraId="6BBB2CA1" w14:textId="77777777" w:rsidR="0068288C" w:rsidRPr="00711FBE" w:rsidRDefault="0068288C" w:rsidP="00246DCB">
            <w:pPr>
              <w:spacing w:after="0" w:line="240" w:lineRule="auto"/>
              <w:jc w:val="center"/>
              <w:rPr>
                <w:rFonts w:ascii="Arial" w:eastAsia="Times New Roman" w:hAnsi="Arial" w:cs="Arial"/>
                <w:b/>
                <w:sz w:val="16"/>
                <w:szCs w:val="16"/>
                <w:lang w:eastAsia="es-MX"/>
              </w:rPr>
            </w:pPr>
            <w:r w:rsidRPr="00711FBE">
              <w:rPr>
                <w:rFonts w:ascii="Arial" w:eastAsia="Times New Roman" w:hAnsi="Arial" w:cs="Arial"/>
                <w:b/>
                <w:sz w:val="16"/>
                <w:szCs w:val="16"/>
                <w:lang w:eastAsia="es-MX"/>
              </w:rPr>
              <w:t>1.5</w:t>
            </w:r>
          </w:p>
        </w:tc>
      </w:tr>
      <w:tr w:rsidR="0068288C" w:rsidRPr="006E3D87" w14:paraId="67DFB62C" w14:textId="77777777" w:rsidTr="00233C30">
        <w:trPr>
          <w:trHeight w:val="24"/>
          <w:jc w:val="center"/>
        </w:trPr>
        <w:tc>
          <w:tcPr>
            <w:tcW w:w="2414" w:type="pct"/>
            <w:shd w:val="clear" w:color="auto" w:fill="auto"/>
            <w:noWrap/>
            <w:vAlign w:val="center"/>
            <w:hideMark/>
          </w:tcPr>
          <w:p w14:paraId="103DAD6F"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311 </w:t>
            </w:r>
            <w:proofErr w:type="gramStart"/>
            <w:r w:rsidRPr="00711FBE">
              <w:rPr>
                <w:rFonts w:ascii="Arial" w:eastAsia="Times New Roman" w:hAnsi="Arial" w:cs="Arial"/>
                <w:sz w:val="16"/>
                <w:szCs w:val="16"/>
                <w:lang w:eastAsia="es-MX"/>
              </w:rPr>
              <w:t>Industria</w:t>
            </w:r>
            <w:proofErr w:type="gramEnd"/>
            <w:r w:rsidRPr="00711FBE">
              <w:rPr>
                <w:rFonts w:ascii="Arial" w:eastAsia="Times New Roman" w:hAnsi="Arial" w:cs="Arial"/>
                <w:sz w:val="16"/>
                <w:szCs w:val="16"/>
                <w:lang w:eastAsia="es-MX"/>
              </w:rPr>
              <w:t xml:space="preserve"> alimentaria</w:t>
            </w:r>
          </w:p>
        </w:tc>
        <w:tc>
          <w:tcPr>
            <w:tcW w:w="819" w:type="pct"/>
            <w:shd w:val="clear" w:color="auto" w:fill="auto"/>
            <w:noWrap/>
            <w:vAlign w:val="center"/>
            <w:hideMark/>
          </w:tcPr>
          <w:p w14:paraId="293343B5"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97.2</w:t>
            </w:r>
          </w:p>
        </w:tc>
        <w:tc>
          <w:tcPr>
            <w:tcW w:w="935" w:type="pct"/>
            <w:shd w:val="clear" w:color="auto" w:fill="auto"/>
            <w:noWrap/>
            <w:vAlign w:val="center"/>
            <w:hideMark/>
          </w:tcPr>
          <w:p w14:paraId="2EB93C10"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1.3</w:t>
            </w:r>
          </w:p>
        </w:tc>
        <w:tc>
          <w:tcPr>
            <w:tcW w:w="833" w:type="pct"/>
            <w:shd w:val="clear" w:color="auto" w:fill="auto"/>
            <w:noWrap/>
            <w:vAlign w:val="center"/>
            <w:hideMark/>
          </w:tcPr>
          <w:p w14:paraId="13420C54"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1.5</w:t>
            </w:r>
          </w:p>
        </w:tc>
      </w:tr>
      <w:tr w:rsidR="0068288C" w:rsidRPr="006E3D87" w14:paraId="2C3B9CF2" w14:textId="77777777" w:rsidTr="00233C30">
        <w:trPr>
          <w:trHeight w:val="24"/>
          <w:jc w:val="center"/>
        </w:trPr>
        <w:tc>
          <w:tcPr>
            <w:tcW w:w="2414" w:type="pct"/>
            <w:shd w:val="clear" w:color="auto" w:fill="auto"/>
            <w:noWrap/>
            <w:vAlign w:val="center"/>
            <w:hideMark/>
          </w:tcPr>
          <w:p w14:paraId="0C5CB704"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312 </w:t>
            </w:r>
            <w:proofErr w:type="gramStart"/>
            <w:r w:rsidRPr="00711FBE">
              <w:rPr>
                <w:rFonts w:ascii="Arial" w:eastAsia="Times New Roman" w:hAnsi="Arial" w:cs="Arial"/>
                <w:sz w:val="16"/>
                <w:szCs w:val="16"/>
                <w:lang w:eastAsia="es-MX"/>
              </w:rPr>
              <w:t>Industria</w:t>
            </w:r>
            <w:proofErr w:type="gramEnd"/>
            <w:r w:rsidRPr="00711FBE">
              <w:rPr>
                <w:rFonts w:ascii="Arial" w:eastAsia="Times New Roman" w:hAnsi="Arial" w:cs="Arial"/>
                <w:sz w:val="16"/>
                <w:szCs w:val="16"/>
                <w:lang w:eastAsia="es-MX"/>
              </w:rPr>
              <w:t xml:space="preserve"> de las bebidas y del tabaco</w:t>
            </w:r>
          </w:p>
        </w:tc>
        <w:tc>
          <w:tcPr>
            <w:tcW w:w="819" w:type="pct"/>
            <w:shd w:val="clear" w:color="auto" w:fill="auto"/>
            <w:noWrap/>
            <w:vAlign w:val="center"/>
            <w:hideMark/>
          </w:tcPr>
          <w:p w14:paraId="5BE5BFAF"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97.6</w:t>
            </w:r>
          </w:p>
        </w:tc>
        <w:tc>
          <w:tcPr>
            <w:tcW w:w="935" w:type="pct"/>
            <w:shd w:val="clear" w:color="auto" w:fill="auto"/>
            <w:noWrap/>
            <w:vAlign w:val="center"/>
            <w:hideMark/>
          </w:tcPr>
          <w:p w14:paraId="17F7955D"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0.2</w:t>
            </w:r>
          </w:p>
        </w:tc>
        <w:tc>
          <w:tcPr>
            <w:tcW w:w="833" w:type="pct"/>
            <w:shd w:val="clear" w:color="auto" w:fill="auto"/>
            <w:noWrap/>
            <w:vAlign w:val="center"/>
            <w:hideMark/>
          </w:tcPr>
          <w:p w14:paraId="1029BCC5"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2.2</w:t>
            </w:r>
          </w:p>
        </w:tc>
      </w:tr>
      <w:tr w:rsidR="0068288C" w:rsidRPr="006E3D87" w14:paraId="7611937D" w14:textId="77777777" w:rsidTr="00233C30">
        <w:trPr>
          <w:trHeight w:val="24"/>
          <w:jc w:val="center"/>
        </w:trPr>
        <w:tc>
          <w:tcPr>
            <w:tcW w:w="2414" w:type="pct"/>
            <w:shd w:val="clear" w:color="auto" w:fill="auto"/>
            <w:noWrap/>
            <w:vAlign w:val="center"/>
            <w:hideMark/>
          </w:tcPr>
          <w:p w14:paraId="0600BF6B"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313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insumos textiles</w:t>
            </w:r>
          </w:p>
        </w:tc>
        <w:tc>
          <w:tcPr>
            <w:tcW w:w="819" w:type="pct"/>
            <w:shd w:val="clear" w:color="auto" w:fill="auto"/>
            <w:noWrap/>
            <w:vAlign w:val="center"/>
            <w:hideMark/>
          </w:tcPr>
          <w:p w14:paraId="65BC14A1"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90.7</w:t>
            </w:r>
          </w:p>
        </w:tc>
        <w:tc>
          <w:tcPr>
            <w:tcW w:w="935" w:type="pct"/>
            <w:shd w:val="clear" w:color="auto" w:fill="auto"/>
            <w:noWrap/>
            <w:vAlign w:val="center"/>
            <w:hideMark/>
          </w:tcPr>
          <w:p w14:paraId="7B705D7F"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8.5</w:t>
            </w:r>
          </w:p>
        </w:tc>
        <w:tc>
          <w:tcPr>
            <w:tcW w:w="833" w:type="pct"/>
            <w:shd w:val="clear" w:color="auto" w:fill="auto"/>
            <w:noWrap/>
            <w:vAlign w:val="center"/>
            <w:hideMark/>
          </w:tcPr>
          <w:p w14:paraId="20BFB864"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0.8</w:t>
            </w:r>
          </w:p>
        </w:tc>
      </w:tr>
      <w:tr w:rsidR="0068288C" w:rsidRPr="006E3D87" w14:paraId="4C3F5C9A" w14:textId="77777777" w:rsidTr="00233C30">
        <w:trPr>
          <w:trHeight w:val="24"/>
          <w:jc w:val="center"/>
        </w:trPr>
        <w:tc>
          <w:tcPr>
            <w:tcW w:w="2414" w:type="pct"/>
            <w:shd w:val="clear" w:color="auto" w:fill="auto"/>
            <w:noWrap/>
            <w:vAlign w:val="center"/>
            <w:hideMark/>
          </w:tcPr>
          <w:p w14:paraId="1B542756"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314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productos textiles</w:t>
            </w:r>
          </w:p>
        </w:tc>
        <w:tc>
          <w:tcPr>
            <w:tcW w:w="819" w:type="pct"/>
            <w:shd w:val="clear" w:color="auto" w:fill="auto"/>
            <w:noWrap/>
            <w:vAlign w:val="center"/>
            <w:hideMark/>
          </w:tcPr>
          <w:p w14:paraId="0675CAB7"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88.2</w:t>
            </w:r>
          </w:p>
        </w:tc>
        <w:tc>
          <w:tcPr>
            <w:tcW w:w="935" w:type="pct"/>
            <w:shd w:val="clear" w:color="auto" w:fill="auto"/>
            <w:noWrap/>
            <w:vAlign w:val="center"/>
            <w:hideMark/>
          </w:tcPr>
          <w:p w14:paraId="6FEE71FE"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10.8</w:t>
            </w:r>
          </w:p>
        </w:tc>
        <w:tc>
          <w:tcPr>
            <w:tcW w:w="833" w:type="pct"/>
            <w:shd w:val="clear" w:color="auto" w:fill="auto"/>
            <w:noWrap/>
            <w:vAlign w:val="center"/>
            <w:hideMark/>
          </w:tcPr>
          <w:p w14:paraId="29982139"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1.0</w:t>
            </w:r>
          </w:p>
        </w:tc>
      </w:tr>
      <w:tr w:rsidR="0068288C" w:rsidRPr="006E3D87" w14:paraId="2E76D3DE" w14:textId="77777777" w:rsidTr="00233C30">
        <w:trPr>
          <w:trHeight w:val="24"/>
          <w:jc w:val="center"/>
        </w:trPr>
        <w:tc>
          <w:tcPr>
            <w:tcW w:w="2414" w:type="pct"/>
            <w:shd w:val="clear" w:color="auto" w:fill="auto"/>
            <w:noWrap/>
            <w:vAlign w:val="center"/>
            <w:hideMark/>
          </w:tcPr>
          <w:p w14:paraId="35D05211"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315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prendas de vestir</w:t>
            </w:r>
          </w:p>
        </w:tc>
        <w:tc>
          <w:tcPr>
            <w:tcW w:w="819" w:type="pct"/>
            <w:shd w:val="clear" w:color="auto" w:fill="auto"/>
            <w:noWrap/>
            <w:vAlign w:val="center"/>
            <w:hideMark/>
          </w:tcPr>
          <w:p w14:paraId="13E93304"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64.7</w:t>
            </w:r>
          </w:p>
        </w:tc>
        <w:tc>
          <w:tcPr>
            <w:tcW w:w="935" w:type="pct"/>
            <w:shd w:val="clear" w:color="auto" w:fill="auto"/>
            <w:noWrap/>
            <w:vAlign w:val="center"/>
            <w:hideMark/>
          </w:tcPr>
          <w:p w14:paraId="7456D5F3"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33.0</w:t>
            </w:r>
          </w:p>
        </w:tc>
        <w:tc>
          <w:tcPr>
            <w:tcW w:w="833" w:type="pct"/>
            <w:shd w:val="clear" w:color="auto" w:fill="auto"/>
            <w:noWrap/>
            <w:vAlign w:val="center"/>
            <w:hideMark/>
          </w:tcPr>
          <w:p w14:paraId="425ABFA4"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2.3</w:t>
            </w:r>
          </w:p>
        </w:tc>
      </w:tr>
      <w:tr w:rsidR="0068288C" w:rsidRPr="006E3D87" w14:paraId="78894193" w14:textId="77777777" w:rsidTr="00233C30">
        <w:trPr>
          <w:trHeight w:val="24"/>
          <w:jc w:val="center"/>
        </w:trPr>
        <w:tc>
          <w:tcPr>
            <w:tcW w:w="2414" w:type="pct"/>
            <w:shd w:val="clear" w:color="auto" w:fill="auto"/>
            <w:noWrap/>
            <w:vAlign w:val="center"/>
            <w:hideMark/>
          </w:tcPr>
          <w:p w14:paraId="1FAAA499"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316 </w:t>
            </w:r>
            <w:proofErr w:type="gramStart"/>
            <w:r w:rsidRPr="00711FBE">
              <w:rPr>
                <w:rFonts w:ascii="Arial" w:eastAsia="Times New Roman" w:hAnsi="Arial" w:cs="Arial"/>
                <w:sz w:val="16"/>
                <w:szCs w:val="16"/>
                <w:lang w:eastAsia="es-MX"/>
              </w:rPr>
              <w:t>Curtido</w:t>
            </w:r>
            <w:proofErr w:type="gramEnd"/>
            <w:r w:rsidRPr="00711FBE">
              <w:rPr>
                <w:rFonts w:ascii="Arial" w:eastAsia="Times New Roman" w:hAnsi="Arial" w:cs="Arial"/>
                <w:sz w:val="16"/>
                <w:szCs w:val="16"/>
                <w:lang w:eastAsia="es-MX"/>
              </w:rPr>
              <w:t xml:space="preserve"> y acabado de cuero y piel</w:t>
            </w:r>
          </w:p>
        </w:tc>
        <w:tc>
          <w:tcPr>
            <w:tcW w:w="819" w:type="pct"/>
            <w:shd w:val="clear" w:color="auto" w:fill="auto"/>
            <w:noWrap/>
            <w:vAlign w:val="center"/>
            <w:hideMark/>
          </w:tcPr>
          <w:p w14:paraId="707936DA"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83.3</w:t>
            </w:r>
          </w:p>
        </w:tc>
        <w:tc>
          <w:tcPr>
            <w:tcW w:w="935" w:type="pct"/>
            <w:shd w:val="clear" w:color="auto" w:fill="auto"/>
            <w:noWrap/>
            <w:vAlign w:val="center"/>
            <w:hideMark/>
          </w:tcPr>
          <w:p w14:paraId="753A4F04"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15.8</w:t>
            </w:r>
          </w:p>
        </w:tc>
        <w:tc>
          <w:tcPr>
            <w:tcW w:w="833" w:type="pct"/>
            <w:shd w:val="clear" w:color="auto" w:fill="auto"/>
            <w:noWrap/>
            <w:vAlign w:val="center"/>
            <w:hideMark/>
          </w:tcPr>
          <w:p w14:paraId="58F6362D"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0.9</w:t>
            </w:r>
          </w:p>
        </w:tc>
      </w:tr>
      <w:tr w:rsidR="0068288C" w:rsidRPr="006E3D87" w14:paraId="401EB9A1" w14:textId="77777777" w:rsidTr="00233C30">
        <w:trPr>
          <w:trHeight w:val="24"/>
          <w:jc w:val="center"/>
        </w:trPr>
        <w:tc>
          <w:tcPr>
            <w:tcW w:w="2414" w:type="pct"/>
            <w:shd w:val="clear" w:color="auto" w:fill="auto"/>
            <w:noWrap/>
            <w:vAlign w:val="center"/>
            <w:hideMark/>
          </w:tcPr>
          <w:p w14:paraId="44A58D74"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321 </w:t>
            </w:r>
            <w:proofErr w:type="gramStart"/>
            <w:r w:rsidRPr="00711FBE">
              <w:rPr>
                <w:rFonts w:ascii="Arial" w:eastAsia="Times New Roman" w:hAnsi="Arial" w:cs="Arial"/>
                <w:sz w:val="16"/>
                <w:szCs w:val="16"/>
                <w:lang w:eastAsia="es-MX"/>
              </w:rPr>
              <w:t>Industria</w:t>
            </w:r>
            <w:proofErr w:type="gramEnd"/>
            <w:r w:rsidRPr="00711FBE">
              <w:rPr>
                <w:rFonts w:ascii="Arial" w:eastAsia="Times New Roman" w:hAnsi="Arial" w:cs="Arial"/>
                <w:sz w:val="16"/>
                <w:szCs w:val="16"/>
                <w:lang w:eastAsia="es-MX"/>
              </w:rPr>
              <w:t xml:space="preserve"> de la madera</w:t>
            </w:r>
          </w:p>
        </w:tc>
        <w:tc>
          <w:tcPr>
            <w:tcW w:w="819" w:type="pct"/>
            <w:shd w:val="clear" w:color="auto" w:fill="auto"/>
            <w:noWrap/>
            <w:vAlign w:val="center"/>
            <w:hideMark/>
          </w:tcPr>
          <w:p w14:paraId="1E306818"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93.8</w:t>
            </w:r>
          </w:p>
        </w:tc>
        <w:tc>
          <w:tcPr>
            <w:tcW w:w="935" w:type="pct"/>
            <w:shd w:val="clear" w:color="auto" w:fill="auto"/>
            <w:noWrap/>
            <w:vAlign w:val="center"/>
            <w:hideMark/>
          </w:tcPr>
          <w:p w14:paraId="4216291A"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3.2</w:t>
            </w:r>
          </w:p>
        </w:tc>
        <w:tc>
          <w:tcPr>
            <w:tcW w:w="833" w:type="pct"/>
            <w:shd w:val="clear" w:color="auto" w:fill="auto"/>
            <w:noWrap/>
            <w:vAlign w:val="center"/>
            <w:hideMark/>
          </w:tcPr>
          <w:p w14:paraId="67338FC0"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3.0</w:t>
            </w:r>
          </w:p>
        </w:tc>
      </w:tr>
      <w:tr w:rsidR="0068288C" w:rsidRPr="006E3D87" w14:paraId="5BA06CB4" w14:textId="77777777" w:rsidTr="00233C30">
        <w:trPr>
          <w:trHeight w:val="24"/>
          <w:jc w:val="center"/>
        </w:trPr>
        <w:tc>
          <w:tcPr>
            <w:tcW w:w="2414" w:type="pct"/>
            <w:shd w:val="clear" w:color="auto" w:fill="auto"/>
            <w:noWrap/>
            <w:vAlign w:val="center"/>
            <w:hideMark/>
          </w:tcPr>
          <w:p w14:paraId="75C41925"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322 </w:t>
            </w:r>
            <w:proofErr w:type="gramStart"/>
            <w:r w:rsidRPr="00711FBE">
              <w:rPr>
                <w:rFonts w:ascii="Arial" w:eastAsia="Times New Roman" w:hAnsi="Arial" w:cs="Arial"/>
                <w:sz w:val="16"/>
                <w:szCs w:val="16"/>
                <w:lang w:eastAsia="es-MX"/>
              </w:rPr>
              <w:t>Industria</w:t>
            </w:r>
            <w:proofErr w:type="gramEnd"/>
            <w:r w:rsidRPr="00711FBE">
              <w:rPr>
                <w:rFonts w:ascii="Arial" w:eastAsia="Times New Roman" w:hAnsi="Arial" w:cs="Arial"/>
                <w:sz w:val="16"/>
                <w:szCs w:val="16"/>
                <w:lang w:eastAsia="es-MX"/>
              </w:rPr>
              <w:t xml:space="preserve"> del papel</w:t>
            </w:r>
          </w:p>
        </w:tc>
        <w:tc>
          <w:tcPr>
            <w:tcW w:w="819" w:type="pct"/>
            <w:shd w:val="clear" w:color="auto" w:fill="auto"/>
            <w:noWrap/>
            <w:vAlign w:val="center"/>
            <w:hideMark/>
          </w:tcPr>
          <w:p w14:paraId="7F05A177"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97.3</w:t>
            </w:r>
          </w:p>
        </w:tc>
        <w:tc>
          <w:tcPr>
            <w:tcW w:w="935" w:type="pct"/>
            <w:shd w:val="clear" w:color="auto" w:fill="auto"/>
            <w:noWrap/>
            <w:vAlign w:val="center"/>
            <w:hideMark/>
          </w:tcPr>
          <w:p w14:paraId="16104A58"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1.5</w:t>
            </w:r>
          </w:p>
        </w:tc>
        <w:tc>
          <w:tcPr>
            <w:tcW w:w="833" w:type="pct"/>
            <w:shd w:val="clear" w:color="auto" w:fill="auto"/>
            <w:noWrap/>
            <w:vAlign w:val="center"/>
            <w:hideMark/>
          </w:tcPr>
          <w:p w14:paraId="0A00CC0B"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1.2</w:t>
            </w:r>
          </w:p>
        </w:tc>
      </w:tr>
      <w:tr w:rsidR="0068288C" w:rsidRPr="006E3D87" w14:paraId="01AEFE20" w14:textId="77777777" w:rsidTr="00233C30">
        <w:trPr>
          <w:trHeight w:val="24"/>
          <w:jc w:val="center"/>
        </w:trPr>
        <w:tc>
          <w:tcPr>
            <w:tcW w:w="2414" w:type="pct"/>
            <w:shd w:val="clear" w:color="auto" w:fill="auto"/>
            <w:noWrap/>
            <w:vAlign w:val="center"/>
            <w:hideMark/>
          </w:tcPr>
          <w:p w14:paraId="347723C3"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323 </w:t>
            </w:r>
            <w:proofErr w:type="gramStart"/>
            <w:r w:rsidRPr="00711FBE">
              <w:rPr>
                <w:rFonts w:ascii="Arial" w:eastAsia="Times New Roman" w:hAnsi="Arial" w:cs="Arial"/>
                <w:sz w:val="16"/>
                <w:szCs w:val="16"/>
                <w:lang w:eastAsia="es-MX"/>
              </w:rPr>
              <w:t>Impresión</w:t>
            </w:r>
            <w:proofErr w:type="gramEnd"/>
            <w:r w:rsidRPr="00711FBE">
              <w:rPr>
                <w:rFonts w:ascii="Arial" w:eastAsia="Times New Roman" w:hAnsi="Arial" w:cs="Arial"/>
                <w:sz w:val="16"/>
                <w:szCs w:val="16"/>
                <w:lang w:eastAsia="es-MX"/>
              </w:rPr>
              <w:t xml:space="preserve"> e industrias conexas</w:t>
            </w:r>
          </w:p>
        </w:tc>
        <w:tc>
          <w:tcPr>
            <w:tcW w:w="819" w:type="pct"/>
            <w:shd w:val="clear" w:color="auto" w:fill="auto"/>
            <w:noWrap/>
            <w:vAlign w:val="center"/>
            <w:hideMark/>
          </w:tcPr>
          <w:p w14:paraId="59A3B8AB"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89.3</w:t>
            </w:r>
          </w:p>
        </w:tc>
        <w:tc>
          <w:tcPr>
            <w:tcW w:w="935" w:type="pct"/>
            <w:shd w:val="clear" w:color="auto" w:fill="auto"/>
            <w:noWrap/>
            <w:vAlign w:val="center"/>
            <w:hideMark/>
          </w:tcPr>
          <w:p w14:paraId="78F0673D"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9.7</w:t>
            </w:r>
          </w:p>
        </w:tc>
        <w:tc>
          <w:tcPr>
            <w:tcW w:w="833" w:type="pct"/>
            <w:shd w:val="clear" w:color="auto" w:fill="auto"/>
            <w:noWrap/>
            <w:vAlign w:val="center"/>
            <w:hideMark/>
          </w:tcPr>
          <w:p w14:paraId="39B57750"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1.0</w:t>
            </w:r>
          </w:p>
        </w:tc>
      </w:tr>
      <w:tr w:rsidR="0068288C" w:rsidRPr="006E3D87" w14:paraId="649328FE" w14:textId="77777777" w:rsidTr="00233C30">
        <w:trPr>
          <w:trHeight w:val="24"/>
          <w:jc w:val="center"/>
        </w:trPr>
        <w:tc>
          <w:tcPr>
            <w:tcW w:w="2414" w:type="pct"/>
            <w:shd w:val="clear" w:color="auto" w:fill="auto"/>
            <w:noWrap/>
            <w:vAlign w:val="center"/>
            <w:hideMark/>
          </w:tcPr>
          <w:p w14:paraId="3157BEBC"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324 </w:t>
            </w:r>
            <w:proofErr w:type="gramStart"/>
            <w:r w:rsidRPr="00711FBE">
              <w:rPr>
                <w:rFonts w:ascii="Arial" w:eastAsia="Times New Roman" w:hAnsi="Arial" w:cs="Arial"/>
                <w:sz w:val="16"/>
                <w:szCs w:val="16"/>
                <w:lang w:eastAsia="es-MX"/>
              </w:rPr>
              <w:t>Productos</w:t>
            </w:r>
            <w:proofErr w:type="gramEnd"/>
            <w:r w:rsidRPr="00711FBE">
              <w:rPr>
                <w:rFonts w:ascii="Arial" w:eastAsia="Times New Roman" w:hAnsi="Arial" w:cs="Arial"/>
                <w:sz w:val="16"/>
                <w:szCs w:val="16"/>
                <w:lang w:eastAsia="es-MX"/>
              </w:rPr>
              <w:t xml:space="preserve"> derivados del petróleo</w:t>
            </w:r>
          </w:p>
        </w:tc>
        <w:tc>
          <w:tcPr>
            <w:tcW w:w="819" w:type="pct"/>
            <w:shd w:val="clear" w:color="auto" w:fill="auto"/>
            <w:noWrap/>
            <w:vAlign w:val="center"/>
            <w:hideMark/>
          </w:tcPr>
          <w:p w14:paraId="0E3CF31E"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99.4</w:t>
            </w:r>
          </w:p>
        </w:tc>
        <w:tc>
          <w:tcPr>
            <w:tcW w:w="935" w:type="pct"/>
            <w:shd w:val="clear" w:color="auto" w:fill="auto"/>
            <w:noWrap/>
            <w:vAlign w:val="center"/>
            <w:hideMark/>
          </w:tcPr>
          <w:p w14:paraId="53476E95"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0.2</w:t>
            </w:r>
          </w:p>
        </w:tc>
        <w:tc>
          <w:tcPr>
            <w:tcW w:w="833" w:type="pct"/>
            <w:shd w:val="clear" w:color="auto" w:fill="auto"/>
            <w:noWrap/>
            <w:vAlign w:val="center"/>
            <w:hideMark/>
          </w:tcPr>
          <w:p w14:paraId="766A3C2B"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0.4</w:t>
            </w:r>
          </w:p>
        </w:tc>
      </w:tr>
      <w:tr w:rsidR="0068288C" w:rsidRPr="006E3D87" w14:paraId="1B11603A" w14:textId="77777777" w:rsidTr="00233C30">
        <w:trPr>
          <w:trHeight w:val="24"/>
          <w:jc w:val="center"/>
        </w:trPr>
        <w:tc>
          <w:tcPr>
            <w:tcW w:w="2414" w:type="pct"/>
            <w:shd w:val="clear" w:color="auto" w:fill="auto"/>
            <w:noWrap/>
            <w:vAlign w:val="center"/>
            <w:hideMark/>
          </w:tcPr>
          <w:p w14:paraId="7C987D59"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325 </w:t>
            </w:r>
            <w:proofErr w:type="gramStart"/>
            <w:r w:rsidRPr="00711FBE">
              <w:rPr>
                <w:rFonts w:ascii="Arial" w:eastAsia="Times New Roman" w:hAnsi="Arial" w:cs="Arial"/>
                <w:sz w:val="16"/>
                <w:szCs w:val="16"/>
                <w:lang w:eastAsia="es-MX"/>
              </w:rPr>
              <w:t>Industria</w:t>
            </w:r>
            <w:proofErr w:type="gramEnd"/>
            <w:r w:rsidRPr="00711FBE">
              <w:rPr>
                <w:rFonts w:ascii="Arial" w:eastAsia="Times New Roman" w:hAnsi="Arial" w:cs="Arial"/>
                <w:sz w:val="16"/>
                <w:szCs w:val="16"/>
                <w:lang w:eastAsia="es-MX"/>
              </w:rPr>
              <w:t xml:space="preserve"> química</w:t>
            </w:r>
          </w:p>
        </w:tc>
        <w:tc>
          <w:tcPr>
            <w:tcW w:w="819" w:type="pct"/>
            <w:shd w:val="clear" w:color="auto" w:fill="auto"/>
            <w:noWrap/>
            <w:vAlign w:val="center"/>
            <w:hideMark/>
          </w:tcPr>
          <w:p w14:paraId="010DC0D0"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95.5</w:t>
            </w:r>
          </w:p>
        </w:tc>
        <w:tc>
          <w:tcPr>
            <w:tcW w:w="935" w:type="pct"/>
            <w:shd w:val="clear" w:color="auto" w:fill="auto"/>
            <w:noWrap/>
            <w:vAlign w:val="center"/>
            <w:hideMark/>
          </w:tcPr>
          <w:p w14:paraId="07AA9A3F"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1.9</w:t>
            </w:r>
          </w:p>
        </w:tc>
        <w:tc>
          <w:tcPr>
            <w:tcW w:w="833" w:type="pct"/>
            <w:shd w:val="clear" w:color="auto" w:fill="auto"/>
            <w:noWrap/>
            <w:vAlign w:val="center"/>
            <w:hideMark/>
          </w:tcPr>
          <w:p w14:paraId="36EC1C95"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2.6</w:t>
            </w:r>
          </w:p>
        </w:tc>
      </w:tr>
      <w:tr w:rsidR="0068288C" w:rsidRPr="006E3D87" w14:paraId="69B99DF8" w14:textId="77777777" w:rsidTr="00233C30">
        <w:trPr>
          <w:trHeight w:val="24"/>
          <w:jc w:val="center"/>
        </w:trPr>
        <w:tc>
          <w:tcPr>
            <w:tcW w:w="2414" w:type="pct"/>
            <w:shd w:val="clear" w:color="auto" w:fill="auto"/>
            <w:noWrap/>
            <w:vAlign w:val="center"/>
            <w:hideMark/>
          </w:tcPr>
          <w:p w14:paraId="04A55602"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326 </w:t>
            </w:r>
            <w:proofErr w:type="gramStart"/>
            <w:r w:rsidRPr="00711FBE">
              <w:rPr>
                <w:rFonts w:ascii="Arial" w:eastAsia="Times New Roman" w:hAnsi="Arial" w:cs="Arial"/>
                <w:sz w:val="16"/>
                <w:szCs w:val="16"/>
                <w:lang w:eastAsia="es-MX"/>
              </w:rPr>
              <w:t>Industria</w:t>
            </w:r>
            <w:proofErr w:type="gramEnd"/>
            <w:r w:rsidRPr="00711FBE">
              <w:rPr>
                <w:rFonts w:ascii="Arial" w:eastAsia="Times New Roman" w:hAnsi="Arial" w:cs="Arial"/>
                <w:sz w:val="16"/>
                <w:szCs w:val="16"/>
                <w:lang w:eastAsia="es-MX"/>
              </w:rPr>
              <w:t xml:space="preserve"> del plástico y del hule</w:t>
            </w:r>
          </w:p>
        </w:tc>
        <w:tc>
          <w:tcPr>
            <w:tcW w:w="819" w:type="pct"/>
            <w:shd w:val="clear" w:color="auto" w:fill="auto"/>
            <w:noWrap/>
            <w:vAlign w:val="center"/>
            <w:hideMark/>
          </w:tcPr>
          <w:p w14:paraId="55E14266"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86.1</w:t>
            </w:r>
          </w:p>
        </w:tc>
        <w:tc>
          <w:tcPr>
            <w:tcW w:w="935" w:type="pct"/>
            <w:shd w:val="clear" w:color="auto" w:fill="auto"/>
            <w:noWrap/>
            <w:vAlign w:val="center"/>
            <w:hideMark/>
          </w:tcPr>
          <w:p w14:paraId="3DBD1B52"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12.5</w:t>
            </w:r>
          </w:p>
        </w:tc>
        <w:tc>
          <w:tcPr>
            <w:tcW w:w="833" w:type="pct"/>
            <w:shd w:val="clear" w:color="auto" w:fill="auto"/>
            <w:noWrap/>
            <w:vAlign w:val="center"/>
            <w:hideMark/>
          </w:tcPr>
          <w:p w14:paraId="1ACDF195"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1.4</w:t>
            </w:r>
          </w:p>
        </w:tc>
      </w:tr>
      <w:tr w:rsidR="0068288C" w:rsidRPr="006E3D87" w14:paraId="3D9507CE" w14:textId="77777777" w:rsidTr="00233C30">
        <w:trPr>
          <w:trHeight w:val="24"/>
          <w:jc w:val="center"/>
        </w:trPr>
        <w:tc>
          <w:tcPr>
            <w:tcW w:w="2414" w:type="pct"/>
            <w:shd w:val="clear" w:color="auto" w:fill="auto"/>
            <w:noWrap/>
            <w:vAlign w:val="center"/>
            <w:hideMark/>
          </w:tcPr>
          <w:p w14:paraId="10EE1FD1"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327 </w:t>
            </w:r>
            <w:proofErr w:type="gramStart"/>
            <w:r w:rsidRPr="00711FBE">
              <w:rPr>
                <w:rFonts w:ascii="Arial" w:eastAsia="Times New Roman" w:hAnsi="Arial" w:cs="Arial"/>
                <w:sz w:val="16"/>
                <w:szCs w:val="16"/>
                <w:lang w:eastAsia="es-MX"/>
              </w:rPr>
              <w:t>Productos</w:t>
            </w:r>
            <w:proofErr w:type="gramEnd"/>
            <w:r w:rsidRPr="00711FBE">
              <w:rPr>
                <w:rFonts w:ascii="Arial" w:eastAsia="Times New Roman" w:hAnsi="Arial" w:cs="Arial"/>
                <w:sz w:val="16"/>
                <w:szCs w:val="16"/>
                <w:lang w:eastAsia="es-MX"/>
              </w:rPr>
              <w:t xml:space="preserve"> a base de minerales no metálicos</w:t>
            </w:r>
          </w:p>
        </w:tc>
        <w:tc>
          <w:tcPr>
            <w:tcW w:w="819" w:type="pct"/>
            <w:shd w:val="clear" w:color="auto" w:fill="auto"/>
            <w:noWrap/>
            <w:vAlign w:val="center"/>
            <w:hideMark/>
          </w:tcPr>
          <w:p w14:paraId="1A475DE9"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94.8</w:t>
            </w:r>
          </w:p>
        </w:tc>
        <w:tc>
          <w:tcPr>
            <w:tcW w:w="935" w:type="pct"/>
            <w:shd w:val="clear" w:color="auto" w:fill="auto"/>
            <w:noWrap/>
            <w:vAlign w:val="center"/>
            <w:hideMark/>
          </w:tcPr>
          <w:p w14:paraId="3EEA63F9"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4.3</w:t>
            </w:r>
          </w:p>
        </w:tc>
        <w:tc>
          <w:tcPr>
            <w:tcW w:w="833" w:type="pct"/>
            <w:shd w:val="clear" w:color="auto" w:fill="auto"/>
            <w:noWrap/>
            <w:vAlign w:val="center"/>
            <w:hideMark/>
          </w:tcPr>
          <w:p w14:paraId="410A275E"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0.9</w:t>
            </w:r>
          </w:p>
        </w:tc>
      </w:tr>
      <w:tr w:rsidR="0068288C" w:rsidRPr="006E3D87" w14:paraId="0EEAD52F" w14:textId="77777777" w:rsidTr="00233C30">
        <w:trPr>
          <w:trHeight w:val="24"/>
          <w:jc w:val="center"/>
        </w:trPr>
        <w:tc>
          <w:tcPr>
            <w:tcW w:w="2414" w:type="pct"/>
            <w:shd w:val="clear" w:color="auto" w:fill="auto"/>
            <w:noWrap/>
            <w:vAlign w:val="center"/>
            <w:hideMark/>
          </w:tcPr>
          <w:p w14:paraId="19594EB1"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331 </w:t>
            </w:r>
            <w:proofErr w:type="gramStart"/>
            <w:r w:rsidRPr="00711FBE">
              <w:rPr>
                <w:rFonts w:ascii="Arial" w:eastAsia="Times New Roman" w:hAnsi="Arial" w:cs="Arial"/>
                <w:sz w:val="16"/>
                <w:szCs w:val="16"/>
                <w:lang w:eastAsia="es-MX"/>
              </w:rPr>
              <w:t>Industrias</w:t>
            </w:r>
            <w:proofErr w:type="gramEnd"/>
            <w:r w:rsidRPr="00711FBE">
              <w:rPr>
                <w:rFonts w:ascii="Arial" w:eastAsia="Times New Roman" w:hAnsi="Arial" w:cs="Arial"/>
                <w:sz w:val="16"/>
                <w:szCs w:val="16"/>
                <w:lang w:eastAsia="es-MX"/>
              </w:rPr>
              <w:t xml:space="preserve"> metálicas básicas</w:t>
            </w:r>
          </w:p>
        </w:tc>
        <w:tc>
          <w:tcPr>
            <w:tcW w:w="819" w:type="pct"/>
            <w:shd w:val="clear" w:color="auto" w:fill="auto"/>
            <w:noWrap/>
            <w:vAlign w:val="center"/>
            <w:hideMark/>
          </w:tcPr>
          <w:p w14:paraId="122CA283"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96.3</w:t>
            </w:r>
          </w:p>
        </w:tc>
        <w:tc>
          <w:tcPr>
            <w:tcW w:w="935" w:type="pct"/>
            <w:shd w:val="clear" w:color="auto" w:fill="auto"/>
            <w:noWrap/>
            <w:vAlign w:val="center"/>
            <w:hideMark/>
          </w:tcPr>
          <w:p w14:paraId="556336A2"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2.7</w:t>
            </w:r>
          </w:p>
        </w:tc>
        <w:tc>
          <w:tcPr>
            <w:tcW w:w="833" w:type="pct"/>
            <w:shd w:val="clear" w:color="auto" w:fill="auto"/>
            <w:noWrap/>
            <w:vAlign w:val="center"/>
            <w:hideMark/>
          </w:tcPr>
          <w:p w14:paraId="5A33C3C9"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1.0</w:t>
            </w:r>
          </w:p>
        </w:tc>
      </w:tr>
      <w:tr w:rsidR="0068288C" w:rsidRPr="006E3D87" w14:paraId="55488208" w14:textId="77777777" w:rsidTr="00233C30">
        <w:trPr>
          <w:trHeight w:val="24"/>
          <w:jc w:val="center"/>
        </w:trPr>
        <w:tc>
          <w:tcPr>
            <w:tcW w:w="2414" w:type="pct"/>
            <w:shd w:val="clear" w:color="auto" w:fill="auto"/>
            <w:noWrap/>
            <w:vAlign w:val="center"/>
            <w:hideMark/>
          </w:tcPr>
          <w:p w14:paraId="62011369"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332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productos metálicos</w:t>
            </w:r>
          </w:p>
        </w:tc>
        <w:tc>
          <w:tcPr>
            <w:tcW w:w="819" w:type="pct"/>
            <w:shd w:val="clear" w:color="auto" w:fill="auto"/>
            <w:noWrap/>
            <w:vAlign w:val="center"/>
            <w:hideMark/>
          </w:tcPr>
          <w:p w14:paraId="5E528AD8"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83.0</w:t>
            </w:r>
          </w:p>
        </w:tc>
        <w:tc>
          <w:tcPr>
            <w:tcW w:w="935" w:type="pct"/>
            <w:shd w:val="clear" w:color="auto" w:fill="auto"/>
            <w:noWrap/>
            <w:vAlign w:val="center"/>
            <w:hideMark/>
          </w:tcPr>
          <w:p w14:paraId="1FA5694C"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12.7</w:t>
            </w:r>
          </w:p>
        </w:tc>
        <w:tc>
          <w:tcPr>
            <w:tcW w:w="833" w:type="pct"/>
            <w:shd w:val="clear" w:color="auto" w:fill="auto"/>
            <w:noWrap/>
            <w:vAlign w:val="center"/>
            <w:hideMark/>
          </w:tcPr>
          <w:p w14:paraId="27C54082"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4.3</w:t>
            </w:r>
          </w:p>
        </w:tc>
      </w:tr>
      <w:tr w:rsidR="0068288C" w:rsidRPr="006E3D87" w14:paraId="6C1E0F81" w14:textId="77777777" w:rsidTr="00233C30">
        <w:trPr>
          <w:trHeight w:val="24"/>
          <w:jc w:val="center"/>
        </w:trPr>
        <w:tc>
          <w:tcPr>
            <w:tcW w:w="2414" w:type="pct"/>
            <w:shd w:val="clear" w:color="auto" w:fill="auto"/>
            <w:noWrap/>
            <w:vAlign w:val="center"/>
            <w:hideMark/>
          </w:tcPr>
          <w:p w14:paraId="59B15FB2"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333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maquinaria y equipo</w:t>
            </w:r>
          </w:p>
        </w:tc>
        <w:tc>
          <w:tcPr>
            <w:tcW w:w="819" w:type="pct"/>
            <w:shd w:val="clear" w:color="auto" w:fill="auto"/>
            <w:noWrap/>
            <w:vAlign w:val="center"/>
            <w:hideMark/>
          </w:tcPr>
          <w:p w14:paraId="04B113FF"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81.8</w:t>
            </w:r>
          </w:p>
        </w:tc>
        <w:tc>
          <w:tcPr>
            <w:tcW w:w="935" w:type="pct"/>
            <w:shd w:val="clear" w:color="auto" w:fill="auto"/>
            <w:noWrap/>
            <w:vAlign w:val="center"/>
            <w:hideMark/>
          </w:tcPr>
          <w:p w14:paraId="1858D96F"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15.9</w:t>
            </w:r>
          </w:p>
        </w:tc>
        <w:tc>
          <w:tcPr>
            <w:tcW w:w="833" w:type="pct"/>
            <w:shd w:val="clear" w:color="auto" w:fill="auto"/>
            <w:noWrap/>
            <w:vAlign w:val="center"/>
            <w:hideMark/>
          </w:tcPr>
          <w:p w14:paraId="239A28DB"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2.3</w:t>
            </w:r>
          </w:p>
        </w:tc>
      </w:tr>
      <w:tr w:rsidR="0068288C" w:rsidRPr="006E3D87" w14:paraId="04599275" w14:textId="77777777" w:rsidTr="00233C30">
        <w:trPr>
          <w:trHeight w:val="24"/>
          <w:jc w:val="center"/>
        </w:trPr>
        <w:tc>
          <w:tcPr>
            <w:tcW w:w="2414" w:type="pct"/>
            <w:shd w:val="clear" w:color="auto" w:fill="auto"/>
            <w:noWrap/>
            <w:vAlign w:val="center"/>
            <w:hideMark/>
          </w:tcPr>
          <w:p w14:paraId="5845BFAC"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334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equipo de computación</w:t>
            </w:r>
          </w:p>
        </w:tc>
        <w:tc>
          <w:tcPr>
            <w:tcW w:w="819" w:type="pct"/>
            <w:shd w:val="clear" w:color="auto" w:fill="auto"/>
            <w:noWrap/>
            <w:vAlign w:val="center"/>
            <w:hideMark/>
          </w:tcPr>
          <w:p w14:paraId="06D71469"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32.9</w:t>
            </w:r>
          </w:p>
        </w:tc>
        <w:tc>
          <w:tcPr>
            <w:tcW w:w="935" w:type="pct"/>
            <w:shd w:val="clear" w:color="auto" w:fill="auto"/>
            <w:noWrap/>
            <w:vAlign w:val="center"/>
            <w:hideMark/>
          </w:tcPr>
          <w:p w14:paraId="0436BB58"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66.6</w:t>
            </w:r>
          </w:p>
        </w:tc>
        <w:tc>
          <w:tcPr>
            <w:tcW w:w="833" w:type="pct"/>
            <w:shd w:val="clear" w:color="auto" w:fill="auto"/>
            <w:noWrap/>
            <w:vAlign w:val="center"/>
            <w:hideMark/>
          </w:tcPr>
          <w:p w14:paraId="42BDBF1D"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0.5</w:t>
            </w:r>
          </w:p>
        </w:tc>
      </w:tr>
      <w:tr w:rsidR="0068288C" w:rsidRPr="006E3D87" w14:paraId="6A36614F" w14:textId="77777777" w:rsidTr="00233C30">
        <w:trPr>
          <w:trHeight w:val="24"/>
          <w:jc w:val="center"/>
        </w:trPr>
        <w:tc>
          <w:tcPr>
            <w:tcW w:w="2414" w:type="pct"/>
            <w:shd w:val="clear" w:color="auto" w:fill="auto"/>
            <w:noWrap/>
            <w:vAlign w:val="center"/>
            <w:hideMark/>
          </w:tcPr>
          <w:p w14:paraId="7B543A96"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335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aparatos eléctricos</w:t>
            </w:r>
          </w:p>
        </w:tc>
        <w:tc>
          <w:tcPr>
            <w:tcW w:w="819" w:type="pct"/>
            <w:shd w:val="clear" w:color="auto" w:fill="auto"/>
            <w:noWrap/>
            <w:vAlign w:val="center"/>
            <w:hideMark/>
          </w:tcPr>
          <w:p w14:paraId="69589383"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80.3</w:t>
            </w:r>
          </w:p>
        </w:tc>
        <w:tc>
          <w:tcPr>
            <w:tcW w:w="935" w:type="pct"/>
            <w:shd w:val="clear" w:color="auto" w:fill="auto"/>
            <w:noWrap/>
            <w:vAlign w:val="center"/>
            <w:hideMark/>
          </w:tcPr>
          <w:p w14:paraId="061FEEB9"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18.2</w:t>
            </w:r>
          </w:p>
        </w:tc>
        <w:tc>
          <w:tcPr>
            <w:tcW w:w="833" w:type="pct"/>
            <w:shd w:val="clear" w:color="auto" w:fill="auto"/>
            <w:noWrap/>
            <w:vAlign w:val="center"/>
            <w:hideMark/>
          </w:tcPr>
          <w:p w14:paraId="1215D26D"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1.5</w:t>
            </w:r>
          </w:p>
        </w:tc>
      </w:tr>
      <w:tr w:rsidR="0068288C" w:rsidRPr="006E3D87" w14:paraId="1C7879D2" w14:textId="77777777" w:rsidTr="00233C30">
        <w:trPr>
          <w:trHeight w:val="24"/>
          <w:jc w:val="center"/>
        </w:trPr>
        <w:tc>
          <w:tcPr>
            <w:tcW w:w="2414" w:type="pct"/>
            <w:shd w:val="clear" w:color="auto" w:fill="auto"/>
            <w:noWrap/>
            <w:vAlign w:val="center"/>
            <w:hideMark/>
          </w:tcPr>
          <w:p w14:paraId="433FF901"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336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equipo de transporte</w:t>
            </w:r>
          </w:p>
        </w:tc>
        <w:tc>
          <w:tcPr>
            <w:tcW w:w="819" w:type="pct"/>
            <w:shd w:val="clear" w:color="auto" w:fill="auto"/>
            <w:noWrap/>
            <w:vAlign w:val="center"/>
            <w:hideMark/>
          </w:tcPr>
          <w:p w14:paraId="08406506"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90.4</w:t>
            </w:r>
          </w:p>
        </w:tc>
        <w:tc>
          <w:tcPr>
            <w:tcW w:w="935" w:type="pct"/>
            <w:shd w:val="clear" w:color="auto" w:fill="auto"/>
            <w:noWrap/>
            <w:vAlign w:val="center"/>
            <w:hideMark/>
          </w:tcPr>
          <w:p w14:paraId="29703980"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8.6</w:t>
            </w:r>
          </w:p>
        </w:tc>
        <w:tc>
          <w:tcPr>
            <w:tcW w:w="833" w:type="pct"/>
            <w:shd w:val="clear" w:color="auto" w:fill="auto"/>
            <w:noWrap/>
            <w:vAlign w:val="center"/>
            <w:hideMark/>
          </w:tcPr>
          <w:p w14:paraId="515A9E51"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1.0</w:t>
            </w:r>
          </w:p>
        </w:tc>
      </w:tr>
      <w:tr w:rsidR="0068288C" w:rsidRPr="006E3D87" w14:paraId="7E2A75CB" w14:textId="77777777" w:rsidTr="00233C30">
        <w:trPr>
          <w:trHeight w:val="24"/>
          <w:jc w:val="center"/>
        </w:trPr>
        <w:tc>
          <w:tcPr>
            <w:tcW w:w="2414" w:type="pct"/>
            <w:shd w:val="clear" w:color="auto" w:fill="auto"/>
            <w:noWrap/>
            <w:vAlign w:val="center"/>
            <w:hideMark/>
          </w:tcPr>
          <w:p w14:paraId="54E63272"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337 </w:t>
            </w:r>
            <w:proofErr w:type="gramStart"/>
            <w:r w:rsidRPr="00711FBE">
              <w:rPr>
                <w:rFonts w:ascii="Arial" w:eastAsia="Times New Roman" w:hAnsi="Arial" w:cs="Arial"/>
                <w:sz w:val="16"/>
                <w:szCs w:val="16"/>
                <w:lang w:eastAsia="es-MX"/>
              </w:rPr>
              <w:t>Fabricación</w:t>
            </w:r>
            <w:proofErr w:type="gramEnd"/>
            <w:r w:rsidRPr="00711FBE">
              <w:rPr>
                <w:rFonts w:ascii="Arial" w:eastAsia="Times New Roman" w:hAnsi="Arial" w:cs="Arial"/>
                <w:sz w:val="16"/>
                <w:szCs w:val="16"/>
                <w:lang w:eastAsia="es-MX"/>
              </w:rPr>
              <w:t xml:space="preserve"> de muebles</w:t>
            </w:r>
          </w:p>
        </w:tc>
        <w:tc>
          <w:tcPr>
            <w:tcW w:w="819" w:type="pct"/>
            <w:shd w:val="clear" w:color="auto" w:fill="auto"/>
            <w:noWrap/>
            <w:vAlign w:val="center"/>
            <w:hideMark/>
          </w:tcPr>
          <w:p w14:paraId="1E2A325B"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69.6</w:t>
            </w:r>
          </w:p>
        </w:tc>
        <w:tc>
          <w:tcPr>
            <w:tcW w:w="935" w:type="pct"/>
            <w:shd w:val="clear" w:color="auto" w:fill="auto"/>
            <w:noWrap/>
            <w:vAlign w:val="center"/>
            <w:hideMark/>
          </w:tcPr>
          <w:p w14:paraId="53DA98F6"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29.4</w:t>
            </w:r>
          </w:p>
        </w:tc>
        <w:tc>
          <w:tcPr>
            <w:tcW w:w="833" w:type="pct"/>
            <w:shd w:val="clear" w:color="auto" w:fill="auto"/>
            <w:noWrap/>
            <w:vAlign w:val="center"/>
            <w:hideMark/>
          </w:tcPr>
          <w:p w14:paraId="042AEF49"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1.0</w:t>
            </w:r>
          </w:p>
        </w:tc>
      </w:tr>
      <w:tr w:rsidR="0068288C" w:rsidRPr="006E3D87" w14:paraId="7A95D4FA" w14:textId="77777777" w:rsidTr="00233C30">
        <w:trPr>
          <w:trHeight w:val="24"/>
          <w:jc w:val="center"/>
        </w:trPr>
        <w:tc>
          <w:tcPr>
            <w:tcW w:w="2414" w:type="pct"/>
            <w:shd w:val="clear" w:color="auto" w:fill="auto"/>
            <w:noWrap/>
            <w:vAlign w:val="center"/>
            <w:hideMark/>
          </w:tcPr>
          <w:p w14:paraId="3DF5E861" w14:textId="77777777" w:rsidR="0068288C" w:rsidRPr="00711FBE" w:rsidRDefault="0068288C" w:rsidP="00246DCB">
            <w:pPr>
              <w:spacing w:after="0" w:line="240" w:lineRule="auto"/>
              <w:rPr>
                <w:rFonts w:ascii="Arial" w:eastAsia="Times New Roman" w:hAnsi="Arial" w:cs="Arial"/>
                <w:sz w:val="16"/>
                <w:szCs w:val="16"/>
                <w:lang w:eastAsia="es-MX"/>
              </w:rPr>
            </w:pPr>
            <w:r w:rsidRPr="00711FBE">
              <w:rPr>
                <w:rFonts w:ascii="Arial" w:eastAsia="Times New Roman" w:hAnsi="Arial" w:cs="Arial"/>
                <w:sz w:val="16"/>
                <w:szCs w:val="16"/>
                <w:lang w:eastAsia="es-MX"/>
              </w:rPr>
              <w:t xml:space="preserve">339 </w:t>
            </w:r>
            <w:proofErr w:type="gramStart"/>
            <w:r w:rsidRPr="00711FBE">
              <w:rPr>
                <w:rFonts w:ascii="Arial" w:eastAsia="Times New Roman" w:hAnsi="Arial" w:cs="Arial"/>
                <w:sz w:val="16"/>
                <w:szCs w:val="16"/>
                <w:lang w:eastAsia="es-MX"/>
              </w:rPr>
              <w:t>Otras</w:t>
            </w:r>
            <w:proofErr w:type="gramEnd"/>
            <w:r w:rsidRPr="00711FBE">
              <w:rPr>
                <w:rFonts w:ascii="Arial" w:eastAsia="Times New Roman" w:hAnsi="Arial" w:cs="Arial"/>
                <w:sz w:val="16"/>
                <w:szCs w:val="16"/>
                <w:lang w:eastAsia="es-MX"/>
              </w:rPr>
              <w:t xml:space="preserve"> industrias manufactureras</w:t>
            </w:r>
          </w:p>
        </w:tc>
        <w:tc>
          <w:tcPr>
            <w:tcW w:w="819" w:type="pct"/>
            <w:shd w:val="clear" w:color="auto" w:fill="auto"/>
            <w:noWrap/>
            <w:vAlign w:val="center"/>
            <w:hideMark/>
          </w:tcPr>
          <w:p w14:paraId="1DE09FFE"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38.2</w:t>
            </w:r>
          </w:p>
        </w:tc>
        <w:tc>
          <w:tcPr>
            <w:tcW w:w="935" w:type="pct"/>
            <w:shd w:val="clear" w:color="auto" w:fill="auto"/>
            <w:noWrap/>
            <w:vAlign w:val="center"/>
            <w:hideMark/>
          </w:tcPr>
          <w:p w14:paraId="4D668314"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59.7</w:t>
            </w:r>
          </w:p>
        </w:tc>
        <w:tc>
          <w:tcPr>
            <w:tcW w:w="833" w:type="pct"/>
            <w:shd w:val="clear" w:color="auto" w:fill="auto"/>
            <w:noWrap/>
            <w:vAlign w:val="center"/>
            <w:hideMark/>
          </w:tcPr>
          <w:p w14:paraId="70BF6BC2" w14:textId="77777777" w:rsidR="0068288C" w:rsidRPr="00711FBE" w:rsidRDefault="0068288C" w:rsidP="00246DCB">
            <w:pPr>
              <w:spacing w:after="0" w:line="240" w:lineRule="auto"/>
              <w:jc w:val="center"/>
              <w:rPr>
                <w:rFonts w:ascii="Arial" w:eastAsia="Times New Roman" w:hAnsi="Arial" w:cs="Arial"/>
                <w:sz w:val="16"/>
                <w:szCs w:val="16"/>
                <w:lang w:eastAsia="es-MX"/>
              </w:rPr>
            </w:pPr>
            <w:r w:rsidRPr="00711FBE">
              <w:rPr>
                <w:rFonts w:ascii="Arial" w:eastAsia="Times New Roman" w:hAnsi="Arial" w:cs="Arial"/>
                <w:sz w:val="16"/>
                <w:szCs w:val="16"/>
                <w:lang w:eastAsia="es-MX"/>
              </w:rPr>
              <w:t>2.1</w:t>
            </w:r>
          </w:p>
        </w:tc>
      </w:tr>
    </w:tbl>
    <w:p w14:paraId="6118836A" w14:textId="77777777" w:rsidR="00433EB5" w:rsidRPr="00A341C6" w:rsidRDefault="00433EB5" w:rsidP="00233C30">
      <w:pPr>
        <w:pStyle w:val="Default"/>
        <w:ind w:left="322" w:firstLine="182"/>
        <w:jc w:val="both"/>
        <w:rPr>
          <w:color w:val="auto"/>
          <w:sz w:val="16"/>
          <w:lang w:eastAsia="es-MX"/>
        </w:rPr>
      </w:pPr>
      <w:r w:rsidRPr="00A341C6">
        <w:rPr>
          <w:color w:val="auto"/>
          <w:sz w:val="16"/>
          <w:vertAlign w:val="superscript"/>
          <w:lang w:eastAsia="es-MX"/>
        </w:rPr>
        <w:t>p/</w:t>
      </w:r>
      <w:r w:rsidR="00951484">
        <w:rPr>
          <w:color w:val="auto"/>
          <w:sz w:val="16"/>
          <w:vertAlign w:val="superscript"/>
          <w:lang w:eastAsia="es-MX"/>
        </w:rPr>
        <w:t xml:space="preserve"> </w:t>
      </w:r>
      <w:r w:rsidRPr="00A341C6">
        <w:rPr>
          <w:color w:val="auto"/>
          <w:sz w:val="16"/>
          <w:lang w:eastAsia="es-MX"/>
        </w:rPr>
        <w:t>Cifras preliminares</w:t>
      </w:r>
      <w:r w:rsidR="00951484">
        <w:rPr>
          <w:color w:val="auto"/>
          <w:sz w:val="16"/>
          <w:lang w:eastAsia="es-MX"/>
        </w:rPr>
        <w:t>.</w:t>
      </w:r>
      <w:r w:rsidRPr="00A341C6">
        <w:rPr>
          <w:color w:val="auto"/>
          <w:sz w:val="16"/>
          <w:lang w:eastAsia="es-MX"/>
        </w:rPr>
        <w:t xml:space="preserve"> </w:t>
      </w:r>
    </w:p>
    <w:p w14:paraId="04765872" w14:textId="77777777" w:rsidR="00433EB5" w:rsidRDefault="00433EB5" w:rsidP="00233C30">
      <w:pPr>
        <w:pStyle w:val="Default"/>
        <w:ind w:left="322" w:firstLine="182"/>
        <w:jc w:val="both"/>
        <w:rPr>
          <w:color w:val="auto"/>
          <w:sz w:val="22"/>
          <w:lang w:eastAsia="es-MX"/>
        </w:rPr>
      </w:pPr>
      <w:r w:rsidRPr="00A341C6">
        <w:rPr>
          <w:color w:val="auto"/>
          <w:sz w:val="16"/>
          <w:lang w:eastAsia="es-MX"/>
        </w:rPr>
        <w:t xml:space="preserve">Fuente: </w:t>
      </w:r>
      <w:r w:rsidRPr="00A341C6">
        <w:rPr>
          <w:b/>
          <w:color w:val="auto"/>
          <w:sz w:val="16"/>
          <w:lang w:eastAsia="es-MX"/>
        </w:rPr>
        <w:t>INEGI</w:t>
      </w:r>
      <w:r w:rsidR="00494A00">
        <w:rPr>
          <w:b/>
          <w:color w:val="auto"/>
          <w:sz w:val="16"/>
          <w:lang w:eastAsia="es-MX"/>
        </w:rPr>
        <w:t>.</w:t>
      </w:r>
    </w:p>
    <w:p w14:paraId="4B2BC636" w14:textId="77777777" w:rsidR="008508D0" w:rsidRPr="00F926A3" w:rsidRDefault="008508D0" w:rsidP="00505EE4">
      <w:pPr>
        <w:pStyle w:val="Default"/>
        <w:jc w:val="both"/>
        <w:rPr>
          <w:color w:val="auto"/>
          <w:sz w:val="22"/>
          <w:lang w:eastAsia="es-MX"/>
        </w:rPr>
      </w:pPr>
    </w:p>
    <w:p w14:paraId="695FD351" w14:textId="77777777" w:rsidR="009D10AB" w:rsidRDefault="00F47A4D" w:rsidP="00505EE4">
      <w:pPr>
        <w:pStyle w:val="Default"/>
        <w:jc w:val="both"/>
        <w:rPr>
          <w:color w:val="auto"/>
          <w:sz w:val="22"/>
          <w:szCs w:val="22"/>
          <w:lang w:eastAsia="es-MX"/>
        </w:rPr>
      </w:pPr>
      <w:r w:rsidRPr="004230E5">
        <w:rPr>
          <w:color w:val="auto"/>
          <w:sz w:val="22"/>
          <w:szCs w:val="22"/>
          <w:lang w:eastAsia="es-MX"/>
        </w:rPr>
        <w:t xml:space="preserve">Durante 2020, la maquinaria y equipo de producción representa el activo más importante de las </w:t>
      </w:r>
      <w:r w:rsidR="005A2E0A">
        <w:rPr>
          <w:color w:val="auto"/>
          <w:sz w:val="22"/>
          <w:szCs w:val="22"/>
          <w:lang w:eastAsia="es-MX"/>
        </w:rPr>
        <w:t>i</w:t>
      </w:r>
      <w:r w:rsidRPr="004230E5">
        <w:rPr>
          <w:color w:val="auto"/>
          <w:sz w:val="22"/>
          <w:szCs w:val="22"/>
          <w:lang w:eastAsia="es-MX"/>
        </w:rPr>
        <w:t>ndustrias manufactureras, seguido por los bienes inmuebles. Ambos conceptos concentran más de 90% del total de activos fijos.</w:t>
      </w:r>
    </w:p>
    <w:p w14:paraId="1C3AB221" w14:textId="77777777" w:rsidR="00951484" w:rsidRDefault="00951484" w:rsidP="00505EE4">
      <w:pPr>
        <w:pStyle w:val="Default"/>
        <w:jc w:val="both"/>
        <w:rPr>
          <w:color w:val="auto"/>
          <w:sz w:val="22"/>
          <w:lang w:eastAsia="es-MX"/>
        </w:rPr>
      </w:pPr>
    </w:p>
    <w:p w14:paraId="12D05E74" w14:textId="77777777" w:rsidR="00F32AD5" w:rsidRPr="00A341C6" w:rsidRDefault="00F32AD5" w:rsidP="00F32AD5">
      <w:pPr>
        <w:pStyle w:val="Default"/>
        <w:jc w:val="center"/>
        <w:rPr>
          <w:b/>
          <w:color w:val="auto"/>
          <w:sz w:val="22"/>
          <w:lang w:eastAsia="es-MX"/>
        </w:rPr>
      </w:pPr>
      <w:r w:rsidRPr="00A341C6">
        <w:rPr>
          <w:b/>
          <w:color w:val="auto"/>
          <w:sz w:val="22"/>
          <w:lang w:eastAsia="es-MX"/>
        </w:rPr>
        <w:t xml:space="preserve">Gráfica </w:t>
      </w:r>
      <w:r w:rsidR="00CB66FA">
        <w:rPr>
          <w:b/>
          <w:color w:val="auto"/>
          <w:sz w:val="22"/>
          <w:lang w:eastAsia="es-MX"/>
        </w:rPr>
        <w:t>3</w:t>
      </w:r>
    </w:p>
    <w:p w14:paraId="5EC44009" w14:textId="77777777" w:rsidR="005850C6" w:rsidRDefault="00F32AD5" w:rsidP="00F32AD5">
      <w:pPr>
        <w:pStyle w:val="Default"/>
        <w:jc w:val="center"/>
        <w:rPr>
          <w:b/>
          <w:color w:val="auto"/>
          <w:sz w:val="22"/>
          <w:lang w:eastAsia="es-MX"/>
        </w:rPr>
      </w:pPr>
      <w:r w:rsidRPr="00A341C6">
        <w:rPr>
          <w:b/>
          <w:color w:val="auto"/>
          <w:sz w:val="22"/>
          <w:lang w:eastAsia="es-MX"/>
        </w:rPr>
        <w:t xml:space="preserve"> </w:t>
      </w:r>
      <w:r w:rsidR="001C1006" w:rsidRPr="00982E62">
        <w:rPr>
          <w:b/>
          <w:color w:val="auto"/>
          <w:sz w:val="22"/>
          <w:lang w:eastAsia="es-MX"/>
        </w:rPr>
        <w:t>Participación</w:t>
      </w:r>
      <w:r w:rsidRPr="00A341C6">
        <w:rPr>
          <w:b/>
          <w:color w:val="auto"/>
          <w:sz w:val="22"/>
          <w:lang w:eastAsia="es-MX"/>
        </w:rPr>
        <w:t xml:space="preserve"> de los activos fijos totales de las </w:t>
      </w:r>
      <w:r w:rsidR="00651C45">
        <w:rPr>
          <w:b/>
          <w:color w:val="auto"/>
          <w:sz w:val="22"/>
          <w:lang w:eastAsia="es-MX"/>
        </w:rPr>
        <w:t>i</w:t>
      </w:r>
      <w:r w:rsidRPr="00A341C6">
        <w:rPr>
          <w:b/>
          <w:color w:val="auto"/>
          <w:sz w:val="22"/>
          <w:lang w:eastAsia="es-MX"/>
        </w:rPr>
        <w:t xml:space="preserve">ndustrias manufactureras </w:t>
      </w:r>
    </w:p>
    <w:p w14:paraId="29D98671" w14:textId="77777777" w:rsidR="00F32AD5" w:rsidRDefault="00F32AD5" w:rsidP="00F32AD5">
      <w:pPr>
        <w:pStyle w:val="Default"/>
        <w:jc w:val="center"/>
        <w:rPr>
          <w:b/>
          <w:color w:val="auto"/>
          <w:sz w:val="22"/>
          <w:lang w:eastAsia="es-MX"/>
        </w:rPr>
      </w:pPr>
      <w:r w:rsidRPr="00A341C6">
        <w:rPr>
          <w:b/>
          <w:color w:val="auto"/>
          <w:sz w:val="22"/>
          <w:lang w:eastAsia="es-MX"/>
        </w:rPr>
        <w:t>por tipo de activo</w:t>
      </w:r>
    </w:p>
    <w:p w14:paraId="1907697B" w14:textId="77777777" w:rsidR="005850C6" w:rsidRPr="00A341C6" w:rsidRDefault="005850C6" w:rsidP="00F32AD5">
      <w:pPr>
        <w:pStyle w:val="Default"/>
        <w:jc w:val="center"/>
        <w:rPr>
          <w:b/>
          <w:color w:val="auto"/>
          <w:sz w:val="22"/>
          <w:lang w:eastAsia="es-MX"/>
        </w:rPr>
      </w:pPr>
      <w:r>
        <w:rPr>
          <w:b/>
          <w:color w:val="auto"/>
          <w:sz w:val="22"/>
          <w:lang w:eastAsia="es-MX"/>
        </w:rPr>
        <w:t>(Porcentaje)</w:t>
      </w:r>
    </w:p>
    <w:p w14:paraId="4C6651A6" w14:textId="77777777" w:rsidR="00F32AD5" w:rsidRPr="00A341C6" w:rsidRDefault="00F32AD5" w:rsidP="00F32AD5">
      <w:pPr>
        <w:pStyle w:val="Default"/>
        <w:jc w:val="both"/>
        <w:rPr>
          <w:color w:val="auto"/>
          <w:sz w:val="22"/>
          <w:lang w:eastAsia="es-MX"/>
        </w:rPr>
      </w:pPr>
      <w:r w:rsidRPr="00A341C6">
        <w:rPr>
          <w:noProof/>
          <w:lang w:eastAsia="es-MX"/>
        </w:rPr>
        <w:drawing>
          <wp:inline distT="0" distB="0" distL="0" distR="0" wp14:anchorId="2A9A77DF" wp14:editId="02F56867">
            <wp:extent cx="5457825" cy="2282024"/>
            <wp:effectExtent l="0" t="0" r="0" b="4445"/>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0C572F77" w14:textId="77777777" w:rsidR="00F32AD5" w:rsidRPr="00A341C6" w:rsidRDefault="00F32AD5" w:rsidP="00F32AD5">
      <w:pPr>
        <w:pStyle w:val="Default"/>
        <w:jc w:val="both"/>
        <w:rPr>
          <w:color w:val="auto"/>
          <w:sz w:val="16"/>
          <w:lang w:eastAsia="es-MX"/>
        </w:rPr>
      </w:pPr>
      <w:r w:rsidRPr="00A341C6">
        <w:rPr>
          <w:color w:val="auto"/>
          <w:sz w:val="16"/>
          <w:vertAlign w:val="superscript"/>
          <w:lang w:eastAsia="es-MX"/>
        </w:rPr>
        <w:t>p/</w:t>
      </w:r>
      <w:r w:rsidR="007E6900">
        <w:rPr>
          <w:color w:val="auto"/>
          <w:sz w:val="16"/>
          <w:vertAlign w:val="superscript"/>
          <w:lang w:eastAsia="es-MX"/>
        </w:rPr>
        <w:t xml:space="preserve"> </w:t>
      </w:r>
      <w:r w:rsidR="00651C45">
        <w:rPr>
          <w:color w:val="auto"/>
          <w:sz w:val="16"/>
          <w:lang w:eastAsia="es-MX"/>
        </w:rPr>
        <w:t>Cifras preliminares.</w:t>
      </w:r>
    </w:p>
    <w:p w14:paraId="07C499C3" w14:textId="77777777" w:rsidR="00F32AD5" w:rsidRPr="00A341C6" w:rsidRDefault="00F32AD5" w:rsidP="00F32AD5">
      <w:pPr>
        <w:pStyle w:val="Default"/>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r w:rsidR="0068288C">
        <w:rPr>
          <w:b/>
          <w:color w:val="auto"/>
          <w:sz w:val="16"/>
          <w:lang w:eastAsia="es-MX"/>
        </w:rPr>
        <w:t>.</w:t>
      </w:r>
    </w:p>
    <w:p w14:paraId="1C4B83CA" w14:textId="77777777" w:rsidR="0093482B" w:rsidRDefault="007E6900" w:rsidP="00BB32E4">
      <w:pPr>
        <w:pStyle w:val="Default"/>
        <w:jc w:val="both"/>
        <w:rPr>
          <w:color w:val="auto"/>
          <w:sz w:val="22"/>
          <w:szCs w:val="22"/>
          <w:lang w:eastAsia="es-MX"/>
        </w:rPr>
      </w:pPr>
      <w:r>
        <w:rPr>
          <w:color w:val="auto"/>
          <w:sz w:val="22"/>
          <w:szCs w:val="22"/>
          <w:lang w:eastAsia="es-MX"/>
        </w:rPr>
        <w:lastRenderedPageBreak/>
        <w:t xml:space="preserve">En cuanto a variables de carácter cualitativo, se dispone de información referente al nivel de instrucción del personal ocupado. En este sentido, destaca </w:t>
      </w:r>
      <w:r w:rsidR="0093482B">
        <w:rPr>
          <w:color w:val="auto"/>
          <w:sz w:val="22"/>
          <w:szCs w:val="22"/>
          <w:lang w:eastAsia="es-MX"/>
        </w:rPr>
        <w:t xml:space="preserve">la disminución que tiene el personal con educación básica, tanto en hombres como mujeres, con 0.4 y 0.5 puntos porcentuales de diferencia entre ambos años. Situación semejante se presenta en el nivel de instrucción de educación superior con 0.1 puntos de diferencia en ambos sexos. </w:t>
      </w:r>
    </w:p>
    <w:p w14:paraId="180BADD5" w14:textId="77777777" w:rsidR="00E5221E" w:rsidRDefault="00E5221E" w:rsidP="00BB32E4">
      <w:pPr>
        <w:pStyle w:val="Default"/>
        <w:jc w:val="both"/>
        <w:rPr>
          <w:color w:val="auto"/>
          <w:sz w:val="22"/>
          <w:szCs w:val="22"/>
          <w:lang w:eastAsia="es-MX"/>
        </w:rPr>
      </w:pPr>
    </w:p>
    <w:p w14:paraId="131888DE" w14:textId="77777777" w:rsidR="00E5221E" w:rsidRPr="00124434" w:rsidRDefault="00494A00" w:rsidP="00E5221E">
      <w:pPr>
        <w:pStyle w:val="Default"/>
        <w:jc w:val="center"/>
        <w:rPr>
          <w:b/>
          <w:color w:val="auto"/>
          <w:sz w:val="22"/>
          <w:szCs w:val="22"/>
          <w:lang w:eastAsia="es-MX"/>
        </w:rPr>
      </w:pPr>
      <w:r>
        <w:rPr>
          <w:b/>
          <w:color w:val="auto"/>
          <w:sz w:val="22"/>
          <w:szCs w:val="22"/>
          <w:lang w:eastAsia="es-MX"/>
        </w:rPr>
        <w:t>Cuadro 8</w:t>
      </w:r>
    </w:p>
    <w:p w14:paraId="2F4760E0" w14:textId="77777777" w:rsidR="00A83498" w:rsidRDefault="00E5221E" w:rsidP="00A83498">
      <w:pPr>
        <w:pStyle w:val="Default"/>
        <w:jc w:val="center"/>
        <w:rPr>
          <w:b/>
          <w:color w:val="auto"/>
          <w:sz w:val="22"/>
          <w:szCs w:val="22"/>
          <w:lang w:eastAsia="es-MX"/>
        </w:rPr>
      </w:pPr>
      <w:r w:rsidRPr="004664F5">
        <w:rPr>
          <w:b/>
          <w:color w:val="auto"/>
          <w:sz w:val="22"/>
          <w:szCs w:val="22"/>
          <w:lang w:eastAsia="es-MX"/>
        </w:rPr>
        <w:t xml:space="preserve">Participación </w:t>
      </w:r>
      <w:r>
        <w:rPr>
          <w:b/>
          <w:color w:val="auto"/>
          <w:sz w:val="22"/>
          <w:szCs w:val="22"/>
          <w:lang w:eastAsia="es-MX"/>
        </w:rPr>
        <w:t xml:space="preserve">del personal ocupado dependiente de la razón </w:t>
      </w:r>
    </w:p>
    <w:p w14:paraId="605C3C00" w14:textId="77777777" w:rsidR="00E5221E" w:rsidRDefault="00E5221E" w:rsidP="00A83498">
      <w:pPr>
        <w:pStyle w:val="Default"/>
        <w:jc w:val="center"/>
        <w:rPr>
          <w:b/>
          <w:color w:val="auto"/>
          <w:sz w:val="22"/>
          <w:szCs w:val="22"/>
          <w:lang w:eastAsia="es-MX"/>
        </w:rPr>
      </w:pPr>
      <w:r>
        <w:rPr>
          <w:b/>
          <w:color w:val="auto"/>
          <w:sz w:val="22"/>
          <w:szCs w:val="22"/>
          <w:lang w:eastAsia="es-MX"/>
        </w:rPr>
        <w:t xml:space="preserve">social </w:t>
      </w:r>
      <w:r w:rsidR="00BF062E" w:rsidRPr="004664F5">
        <w:rPr>
          <w:b/>
          <w:color w:val="auto"/>
          <w:sz w:val="22"/>
          <w:szCs w:val="22"/>
          <w:lang w:eastAsia="es-MX"/>
        </w:rPr>
        <w:t xml:space="preserve">de las </w:t>
      </w:r>
      <w:r w:rsidR="00651C45">
        <w:rPr>
          <w:b/>
          <w:color w:val="auto"/>
          <w:sz w:val="22"/>
          <w:szCs w:val="22"/>
          <w:lang w:eastAsia="es-MX"/>
        </w:rPr>
        <w:t>i</w:t>
      </w:r>
      <w:r w:rsidR="00BF062E" w:rsidRPr="004664F5">
        <w:rPr>
          <w:b/>
          <w:color w:val="auto"/>
          <w:sz w:val="22"/>
          <w:szCs w:val="22"/>
          <w:lang w:eastAsia="es-MX"/>
        </w:rPr>
        <w:t>ndustrias manufactureras</w:t>
      </w:r>
      <w:r w:rsidR="00BF062E">
        <w:rPr>
          <w:b/>
          <w:color w:val="auto"/>
          <w:sz w:val="22"/>
          <w:szCs w:val="22"/>
          <w:lang w:eastAsia="es-MX"/>
        </w:rPr>
        <w:t xml:space="preserve"> por sexo</w:t>
      </w:r>
      <w:r w:rsidR="00A83498">
        <w:rPr>
          <w:b/>
          <w:color w:val="auto"/>
          <w:sz w:val="22"/>
          <w:szCs w:val="22"/>
          <w:lang w:eastAsia="es-MX"/>
        </w:rPr>
        <w:t xml:space="preserve"> y nivel de estudios</w:t>
      </w:r>
    </w:p>
    <w:p w14:paraId="4D76C8E8" w14:textId="77777777" w:rsidR="00AD5B56" w:rsidRDefault="005850C6" w:rsidP="00A83498">
      <w:pPr>
        <w:pStyle w:val="Default"/>
        <w:jc w:val="center"/>
        <w:rPr>
          <w:b/>
          <w:color w:val="auto"/>
          <w:sz w:val="22"/>
          <w:szCs w:val="22"/>
          <w:lang w:eastAsia="es-MX"/>
        </w:rPr>
      </w:pPr>
      <w:r>
        <w:rPr>
          <w:b/>
          <w:color w:val="auto"/>
          <w:sz w:val="22"/>
          <w:szCs w:val="22"/>
          <w:lang w:eastAsia="es-MX"/>
        </w:rPr>
        <w:t>(Porcentaje)</w:t>
      </w:r>
    </w:p>
    <w:tbl>
      <w:tblPr>
        <w:tblW w:w="66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126"/>
        <w:gridCol w:w="709"/>
        <w:gridCol w:w="850"/>
        <w:gridCol w:w="709"/>
        <w:gridCol w:w="709"/>
        <w:gridCol w:w="850"/>
        <w:gridCol w:w="709"/>
      </w:tblGrid>
      <w:tr w:rsidR="00AD5B56" w:rsidRPr="001C5FBA" w14:paraId="6011B143" w14:textId="77777777" w:rsidTr="00B04E4C">
        <w:trPr>
          <w:trHeight w:val="20"/>
          <w:jc w:val="center"/>
        </w:trPr>
        <w:tc>
          <w:tcPr>
            <w:tcW w:w="2126" w:type="dxa"/>
            <w:vMerge w:val="restart"/>
            <w:shd w:val="clear" w:color="auto" w:fill="A8D08D" w:themeFill="accent6" w:themeFillTint="99"/>
            <w:tcMar>
              <w:top w:w="15" w:type="dxa"/>
              <w:left w:w="15" w:type="dxa"/>
              <w:bottom w:w="0" w:type="dxa"/>
              <w:right w:w="15" w:type="dxa"/>
            </w:tcMar>
            <w:vAlign w:val="center"/>
          </w:tcPr>
          <w:p w14:paraId="61063E40"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Nivel de estudios</w:t>
            </w:r>
          </w:p>
        </w:tc>
        <w:tc>
          <w:tcPr>
            <w:tcW w:w="1559" w:type="dxa"/>
            <w:gridSpan w:val="2"/>
            <w:shd w:val="clear" w:color="auto" w:fill="A8D08D" w:themeFill="accent6" w:themeFillTint="99"/>
            <w:tcMar>
              <w:top w:w="15" w:type="dxa"/>
              <w:left w:w="15" w:type="dxa"/>
              <w:bottom w:w="0" w:type="dxa"/>
              <w:right w:w="15" w:type="dxa"/>
            </w:tcMar>
            <w:vAlign w:val="center"/>
          </w:tcPr>
          <w:p w14:paraId="478F1283"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Hombres</w:t>
            </w:r>
          </w:p>
        </w:tc>
        <w:tc>
          <w:tcPr>
            <w:tcW w:w="1418" w:type="dxa"/>
            <w:gridSpan w:val="2"/>
            <w:shd w:val="clear" w:color="auto" w:fill="A8D08D" w:themeFill="accent6" w:themeFillTint="99"/>
            <w:vAlign w:val="center"/>
          </w:tcPr>
          <w:p w14:paraId="56C60FB1"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Mujeres</w:t>
            </w:r>
          </w:p>
        </w:tc>
        <w:tc>
          <w:tcPr>
            <w:tcW w:w="1559" w:type="dxa"/>
            <w:gridSpan w:val="2"/>
            <w:shd w:val="clear" w:color="auto" w:fill="A8D08D" w:themeFill="accent6" w:themeFillTint="99"/>
            <w:tcMar>
              <w:top w:w="15" w:type="dxa"/>
              <w:left w:w="15" w:type="dxa"/>
              <w:bottom w:w="0" w:type="dxa"/>
              <w:right w:w="15" w:type="dxa"/>
            </w:tcMar>
            <w:vAlign w:val="center"/>
          </w:tcPr>
          <w:p w14:paraId="0754ECEB"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Diferencia anual</w:t>
            </w:r>
          </w:p>
        </w:tc>
      </w:tr>
      <w:tr w:rsidR="00AD5B56" w:rsidRPr="001C5FBA" w14:paraId="47663133" w14:textId="77777777" w:rsidTr="00B04E4C">
        <w:trPr>
          <w:trHeight w:val="20"/>
          <w:jc w:val="center"/>
        </w:trPr>
        <w:tc>
          <w:tcPr>
            <w:tcW w:w="2126" w:type="dxa"/>
            <w:vMerge/>
            <w:shd w:val="clear" w:color="auto" w:fill="A8D08D" w:themeFill="accent6" w:themeFillTint="99"/>
            <w:tcMar>
              <w:top w:w="15" w:type="dxa"/>
              <w:left w:w="15" w:type="dxa"/>
              <w:bottom w:w="0" w:type="dxa"/>
              <w:right w:w="15" w:type="dxa"/>
            </w:tcMar>
            <w:vAlign w:val="center"/>
          </w:tcPr>
          <w:p w14:paraId="21CA3288" w14:textId="77777777" w:rsidR="00AD5B56" w:rsidRPr="001C5FBA" w:rsidRDefault="00AD5B56" w:rsidP="00B04E4C">
            <w:pPr>
              <w:pStyle w:val="Default"/>
              <w:jc w:val="center"/>
              <w:rPr>
                <w:b/>
                <w:bCs/>
                <w:color w:val="auto"/>
                <w:sz w:val="18"/>
                <w:szCs w:val="18"/>
                <w:lang w:eastAsia="es-MX"/>
              </w:rPr>
            </w:pPr>
          </w:p>
        </w:tc>
        <w:tc>
          <w:tcPr>
            <w:tcW w:w="709" w:type="dxa"/>
            <w:shd w:val="clear" w:color="auto" w:fill="A8D08D" w:themeFill="accent6" w:themeFillTint="99"/>
            <w:tcMar>
              <w:top w:w="15" w:type="dxa"/>
              <w:left w:w="15" w:type="dxa"/>
              <w:bottom w:w="0" w:type="dxa"/>
              <w:right w:w="15" w:type="dxa"/>
            </w:tcMar>
            <w:vAlign w:val="center"/>
          </w:tcPr>
          <w:p w14:paraId="6501410E" w14:textId="77777777" w:rsidR="00AD5B56" w:rsidRPr="001C5FBA" w:rsidRDefault="00AD5B56" w:rsidP="00B04E4C">
            <w:pPr>
              <w:pStyle w:val="Default"/>
              <w:jc w:val="center"/>
              <w:rPr>
                <w:b/>
                <w:bCs/>
                <w:color w:val="auto"/>
                <w:sz w:val="18"/>
                <w:szCs w:val="18"/>
                <w:lang w:eastAsia="es-MX"/>
              </w:rPr>
            </w:pPr>
            <w:r w:rsidRPr="001C5FBA">
              <w:rPr>
                <w:b/>
                <w:bCs/>
                <w:color w:val="auto"/>
                <w:sz w:val="18"/>
                <w:szCs w:val="18"/>
                <w:lang w:eastAsia="es-MX"/>
              </w:rPr>
              <w:t>2019</w:t>
            </w:r>
          </w:p>
        </w:tc>
        <w:tc>
          <w:tcPr>
            <w:tcW w:w="850" w:type="dxa"/>
            <w:shd w:val="clear" w:color="auto" w:fill="A8D08D" w:themeFill="accent6" w:themeFillTint="99"/>
            <w:vAlign w:val="center"/>
          </w:tcPr>
          <w:p w14:paraId="7C299205" w14:textId="77777777" w:rsidR="00AD5B56" w:rsidRPr="001C5FBA" w:rsidRDefault="00AD5B56" w:rsidP="00B04E4C">
            <w:pPr>
              <w:pStyle w:val="Default"/>
              <w:jc w:val="center"/>
              <w:rPr>
                <w:b/>
                <w:bCs/>
                <w:color w:val="auto"/>
                <w:sz w:val="18"/>
                <w:szCs w:val="18"/>
                <w:lang w:eastAsia="es-MX"/>
              </w:rPr>
            </w:pPr>
            <w:r w:rsidRPr="001C5FBA">
              <w:rPr>
                <w:b/>
                <w:bCs/>
                <w:color w:val="auto"/>
                <w:sz w:val="18"/>
                <w:szCs w:val="18"/>
                <w:lang w:eastAsia="es-MX"/>
              </w:rPr>
              <w:t>2020</w:t>
            </w:r>
            <w:r w:rsidRPr="001C5FBA">
              <w:rPr>
                <w:rFonts w:eastAsia="Times New Roman"/>
                <w:b/>
                <w:bCs/>
                <w:sz w:val="18"/>
                <w:szCs w:val="18"/>
                <w:vertAlign w:val="superscript"/>
                <w:lang w:eastAsia="es-MX"/>
              </w:rPr>
              <w:t>p/</w:t>
            </w:r>
          </w:p>
        </w:tc>
        <w:tc>
          <w:tcPr>
            <w:tcW w:w="709" w:type="dxa"/>
            <w:shd w:val="clear" w:color="auto" w:fill="A8D08D" w:themeFill="accent6" w:themeFillTint="99"/>
            <w:vAlign w:val="center"/>
          </w:tcPr>
          <w:p w14:paraId="61D3C526" w14:textId="77777777" w:rsidR="00AD5B56" w:rsidRPr="001C5FBA" w:rsidRDefault="00AD5B56" w:rsidP="00B04E4C">
            <w:pPr>
              <w:pStyle w:val="Default"/>
              <w:jc w:val="center"/>
              <w:rPr>
                <w:b/>
                <w:bCs/>
                <w:color w:val="auto"/>
                <w:sz w:val="18"/>
                <w:szCs w:val="18"/>
                <w:lang w:eastAsia="es-MX"/>
              </w:rPr>
            </w:pPr>
            <w:r w:rsidRPr="001C5FBA">
              <w:rPr>
                <w:b/>
                <w:bCs/>
                <w:color w:val="auto"/>
                <w:sz w:val="18"/>
                <w:szCs w:val="18"/>
                <w:lang w:eastAsia="es-MX"/>
              </w:rPr>
              <w:t>2019</w:t>
            </w:r>
          </w:p>
        </w:tc>
        <w:tc>
          <w:tcPr>
            <w:tcW w:w="709" w:type="dxa"/>
            <w:shd w:val="clear" w:color="auto" w:fill="A8D08D" w:themeFill="accent6" w:themeFillTint="99"/>
            <w:vAlign w:val="center"/>
          </w:tcPr>
          <w:p w14:paraId="143F1C0C" w14:textId="77777777" w:rsidR="00AD5B56" w:rsidRPr="001C5FBA" w:rsidRDefault="00AD5B56" w:rsidP="00B04E4C">
            <w:pPr>
              <w:pStyle w:val="Default"/>
              <w:jc w:val="center"/>
              <w:rPr>
                <w:b/>
                <w:bCs/>
                <w:color w:val="auto"/>
                <w:sz w:val="18"/>
                <w:szCs w:val="18"/>
                <w:lang w:eastAsia="es-MX"/>
              </w:rPr>
            </w:pPr>
            <w:r w:rsidRPr="001C5FBA">
              <w:rPr>
                <w:b/>
                <w:bCs/>
                <w:color w:val="auto"/>
                <w:sz w:val="18"/>
                <w:szCs w:val="18"/>
                <w:lang w:eastAsia="es-MX"/>
              </w:rPr>
              <w:t>2020</w:t>
            </w:r>
            <w:r w:rsidRPr="001C5FBA">
              <w:rPr>
                <w:rFonts w:eastAsia="Times New Roman"/>
                <w:b/>
                <w:bCs/>
                <w:sz w:val="18"/>
                <w:szCs w:val="18"/>
                <w:vertAlign w:val="superscript"/>
                <w:lang w:eastAsia="es-MX"/>
              </w:rPr>
              <w:t>p/</w:t>
            </w:r>
          </w:p>
        </w:tc>
        <w:tc>
          <w:tcPr>
            <w:tcW w:w="850" w:type="dxa"/>
            <w:shd w:val="clear" w:color="auto" w:fill="A8D08D" w:themeFill="accent6" w:themeFillTint="99"/>
            <w:tcMar>
              <w:top w:w="15" w:type="dxa"/>
              <w:left w:w="15" w:type="dxa"/>
              <w:bottom w:w="0" w:type="dxa"/>
              <w:right w:w="15" w:type="dxa"/>
            </w:tcMar>
            <w:vAlign w:val="center"/>
          </w:tcPr>
          <w:p w14:paraId="5423B8A6"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Hombres</w:t>
            </w:r>
          </w:p>
        </w:tc>
        <w:tc>
          <w:tcPr>
            <w:tcW w:w="709" w:type="dxa"/>
            <w:shd w:val="clear" w:color="auto" w:fill="A8D08D" w:themeFill="accent6" w:themeFillTint="99"/>
            <w:vAlign w:val="center"/>
          </w:tcPr>
          <w:p w14:paraId="796F8C4C" w14:textId="77777777" w:rsidR="00AD5B56" w:rsidRPr="001C5FBA" w:rsidRDefault="00AD5B56" w:rsidP="00B04E4C">
            <w:pPr>
              <w:pStyle w:val="Default"/>
              <w:jc w:val="center"/>
              <w:rPr>
                <w:b/>
                <w:bCs/>
                <w:color w:val="auto"/>
                <w:sz w:val="18"/>
                <w:szCs w:val="18"/>
                <w:lang w:eastAsia="es-MX"/>
              </w:rPr>
            </w:pPr>
            <w:r>
              <w:rPr>
                <w:b/>
                <w:bCs/>
                <w:color w:val="auto"/>
                <w:sz w:val="18"/>
                <w:szCs w:val="18"/>
                <w:lang w:eastAsia="es-MX"/>
              </w:rPr>
              <w:t>Mujeres</w:t>
            </w:r>
          </w:p>
        </w:tc>
      </w:tr>
      <w:tr w:rsidR="00AD5B56" w:rsidRPr="001C5FBA" w14:paraId="6BBD5BA8" w14:textId="77777777" w:rsidTr="00B04E4C">
        <w:trPr>
          <w:trHeight w:val="20"/>
          <w:jc w:val="center"/>
        </w:trPr>
        <w:tc>
          <w:tcPr>
            <w:tcW w:w="2126" w:type="dxa"/>
            <w:shd w:val="clear" w:color="auto" w:fill="auto"/>
            <w:tcMar>
              <w:top w:w="15" w:type="dxa"/>
              <w:left w:w="15" w:type="dxa"/>
              <w:bottom w:w="0" w:type="dxa"/>
              <w:right w:w="15" w:type="dxa"/>
            </w:tcMar>
            <w:vAlign w:val="center"/>
          </w:tcPr>
          <w:p w14:paraId="367A5974" w14:textId="77777777" w:rsidR="00AD5B56" w:rsidRPr="001C5FBA" w:rsidRDefault="00AD5B56" w:rsidP="00B04E4C">
            <w:pPr>
              <w:pStyle w:val="Default"/>
              <w:rPr>
                <w:color w:val="auto"/>
                <w:sz w:val="18"/>
                <w:szCs w:val="18"/>
                <w:lang w:eastAsia="es-MX"/>
              </w:rPr>
            </w:pPr>
            <w:r>
              <w:rPr>
                <w:color w:val="auto"/>
                <w:sz w:val="18"/>
                <w:szCs w:val="18"/>
                <w:lang w:eastAsia="es-MX"/>
              </w:rPr>
              <w:t>Sin instrucción</w:t>
            </w:r>
          </w:p>
        </w:tc>
        <w:tc>
          <w:tcPr>
            <w:tcW w:w="709" w:type="dxa"/>
            <w:shd w:val="clear" w:color="auto" w:fill="auto"/>
            <w:tcMar>
              <w:top w:w="15" w:type="dxa"/>
              <w:left w:w="15" w:type="dxa"/>
              <w:bottom w:w="0" w:type="dxa"/>
              <w:right w:w="15" w:type="dxa"/>
            </w:tcMar>
            <w:vAlign w:val="center"/>
          </w:tcPr>
          <w:p w14:paraId="0EC68E83"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3.0</w:t>
            </w:r>
          </w:p>
        </w:tc>
        <w:tc>
          <w:tcPr>
            <w:tcW w:w="850" w:type="dxa"/>
            <w:shd w:val="clear" w:color="auto" w:fill="auto"/>
            <w:vAlign w:val="center"/>
          </w:tcPr>
          <w:p w14:paraId="7255E31F" w14:textId="77777777" w:rsidR="00AD5B56" w:rsidRPr="001C5FBA" w:rsidRDefault="00AD5B56" w:rsidP="00B04E4C">
            <w:pPr>
              <w:pStyle w:val="Default"/>
              <w:jc w:val="center"/>
              <w:rPr>
                <w:color w:val="auto"/>
                <w:sz w:val="18"/>
                <w:szCs w:val="18"/>
                <w:lang w:eastAsia="es-MX"/>
              </w:rPr>
            </w:pPr>
            <w:r>
              <w:rPr>
                <w:color w:val="auto"/>
                <w:sz w:val="18"/>
                <w:szCs w:val="18"/>
                <w:lang w:eastAsia="es-MX"/>
              </w:rPr>
              <w:t>3.1</w:t>
            </w:r>
          </w:p>
        </w:tc>
        <w:tc>
          <w:tcPr>
            <w:tcW w:w="709" w:type="dxa"/>
            <w:vAlign w:val="center"/>
          </w:tcPr>
          <w:p w14:paraId="63F70A8E" w14:textId="77777777" w:rsidR="00AD5B56" w:rsidRPr="001C5FBA" w:rsidRDefault="00AD5B56" w:rsidP="00B04E4C">
            <w:pPr>
              <w:pStyle w:val="Default"/>
              <w:jc w:val="center"/>
              <w:rPr>
                <w:color w:val="auto"/>
                <w:sz w:val="18"/>
                <w:szCs w:val="18"/>
                <w:lang w:eastAsia="es-MX"/>
              </w:rPr>
            </w:pPr>
            <w:r>
              <w:rPr>
                <w:color w:val="auto"/>
                <w:sz w:val="18"/>
                <w:szCs w:val="18"/>
                <w:lang w:eastAsia="es-MX"/>
              </w:rPr>
              <w:t>3.8</w:t>
            </w:r>
          </w:p>
        </w:tc>
        <w:tc>
          <w:tcPr>
            <w:tcW w:w="709" w:type="dxa"/>
            <w:vAlign w:val="center"/>
          </w:tcPr>
          <w:p w14:paraId="175CD1D0" w14:textId="77777777" w:rsidR="00AD5B56" w:rsidRPr="001C5FBA" w:rsidRDefault="00AD5B56" w:rsidP="00B04E4C">
            <w:pPr>
              <w:pStyle w:val="Default"/>
              <w:jc w:val="center"/>
              <w:rPr>
                <w:color w:val="auto"/>
                <w:sz w:val="18"/>
                <w:szCs w:val="18"/>
                <w:lang w:eastAsia="es-MX"/>
              </w:rPr>
            </w:pPr>
            <w:r>
              <w:rPr>
                <w:color w:val="auto"/>
                <w:sz w:val="18"/>
                <w:szCs w:val="18"/>
                <w:lang w:eastAsia="es-MX"/>
              </w:rPr>
              <w:t>4.0</w:t>
            </w:r>
          </w:p>
        </w:tc>
        <w:tc>
          <w:tcPr>
            <w:tcW w:w="850" w:type="dxa"/>
            <w:shd w:val="clear" w:color="auto" w:fill="auto"/>
            <w:tcMar>
              <w:top w:w="15" w:type="dxa"/>
              <w:left w:w="15" w:type="dxa"/>
              <w:bottom w:w="0" w:type="dxa"/>
              <w:right w:w="15" w:type="dxa"/>
            </w:tcMar>
            <w:vAlign w:val="center"/>
          </w:tcPr>
          <w:p w14:paraId="5EE9E570"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0.1</w:t>
            </w:r>
          </w:p>
        </w:tc>
        <w:tc>
          <w:tcPr>
            <w:tcW w:w="709" w:type="dxa"/>
            <w:shd w:val="clear" w:color="auto" w:fill="auto"/>
            <w:vAlign w:val="center"/>
          </w:tcPr>
          <w:p w14:paraId="4E13E176"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0.2</w:t>
            </w:r>
          </w:p>
        </w:tc>
      </w:tr>
      <w:tr w:rsidR="00AD5B56" w:rsidRPr="001C5FBA" w14:paraId="747AC4E9" w14:textId="77777777" w:rsidTr="00B04E4C">
        <w:trPr>
          <w:trHeight w:val="20"/>
          <w:jc w:val="center"/>
        </w:trPr>
        <w:tc>
          <w:tcPr>
            <w:tcW w:w="2126" w:type="dxa"/>
            <w:shd w:val="clear" w:color="auto" w:fill="auto"/>
            <w:tcMar>
              <w:top w:w="15" w:type="dxa"/>
              <w:left w:w="15" w:type="dxa"/>
              <w:bottom w:w="0" w:type="dxa"/>
              <w:right w:w="15" w:type="dxa"/>
            </w:tcMar>
            <w:vAlign w:val="center"/>
          </w:tcPr>
          <w:p w14:paraId="5A723C88" w14:textId="77777777" w:rsidR="00AD5B56" w:rsidRPr="001C5FBA" w:rsidRDefault="00AD5B56" w:rsidP="00B04E4C">
            <w:pPr>
              <w:pStyle w:val="Default"/>
              <w:rPr>
                <w:color w:val="auto"/>
                <w:sz w:val="18"/>
                <w:szCs w:val="18"/>
                <w:lang w:eastAsia="es-MX"/>
              </w:rPr>
            </w:pPr>
            <w:r>
              <w:rPr>
                <w:color w:val="auto"/>
                <w:sz w:val="18"/>
                <w:szCs w:val="18"/>
                <w:lang w:eastAsia="es-MX"/>
              </w:rPr>
              <w:t>Educación Básica</w:t>
            </w:r>
          </w:p>
        </w:tc>
        <w:tc>
          <w:tcPr>
            <w:tcW w:w="709" w:type="dxa"/>
            <w:shd w:val="clear" w:color="auto" w:fill="auto"/>
            <w:tcMar>
              <w:top w:w="15" w:type="dxa"/>
              <w:left w:w="15" w:type="dxa"/>
              <w:bottom w:w="0" w:type="dxa"/>
              <w:right w:w="15" w:type="dxa"/>
            </w:tcMar>
            <w:vAlign w:val="center"/>
          </w:tcPr>
          <w:p w14:paraId="6B891B06" w14:textId="77777777" w:rsidR="00AD5B56" w:rsidRPr="00C3203B" w:rsidRDefault="00AD5B56" w:rsidP="00B04E4C">
            <w:pPr>
              <w:pStyle w:val="Default"/>
              <w:jc w:val="center"/>
              <w:rPr>
                <w:color w:val="auto"/>
                <w:sz w:val="18"/>
                <w:szCs w:val="18"/>
                <w:lang w:eastAsia="es-MX"/>
              </w:rPr>
            </w:pPr>
            <w:r>
              <w:rPr>
                <w:color w:val="auto"/>
                <w:sz w:val="18"/>
                <w:szCs w:val="18"/>
                <w:lang w:eastAsia="es-MX"/>
              </w:rPr>
              <w:t>53.6</w:t>
            </w:r>
          </w:p>
        </w:tc>
        <w:tc>
          <w:tcPr>
            <w:tcW w:w="850" w:type="dxa"/>
            <w:shd w:val="clear" w:color="auto" w:fill="auto"/>
            <w:vAlign w:val="center"/>
          </w:tcPr>
          <w:p w14:paraId="05DEAB6C" w14:textId="77777777" w:rsidR="00AD5B56" w:rsidRPr="001C5FBA" w:rsidRDefault="00AD5B56" w:rsidP="00B04E4C">
            <w:pPr>
              <w:pStyle w:val="NormalWeb"/>
              <w:spacing w:before="0" w:beforeAutospacing="0" w:after="0" w:afterAutospacing="0"/>
              <w:jc w:val="center"/>
              <w:textAlignment w:val="bottom"/>
              <w:rPr>
                <w:rFonts w:ascii="Arial" w:hAnsi="Arial" w:cs="Arial"/>
                <w:sz w:val="18"/>
                <w:szCs w:val="18"/>
              </w:rPr>
            </w:pPr>
            <w:r>
              <w:rPr>
                <w:rFonts w:ascii="Arial" w:hAnsi="Arial" w:cs="Arial"/>
                <w:sz w:val="18"/>
                <w:szCs w:val="18"/>
              </w:rPr>
              <w:t>53.3</w:t>
            </w:r>
          </w:p>
        </w:tc>
        <w:tc>
          <w:tcPr>
            <w:tcW w:w="709" w:type="dxa"/>
            <w:vAlign w:val="center"/>
          </w:tcPr>
          <w:p w14:paraId="4A62F3A0" w14:textId="77777777" w:rsidR="00AD5B56" w:rsidRPr="001C5FBA" w:rsidRDefault="00AD5B56" w:rsidP="00B04E4C">
            <w:pPr>
              <w:pStyle w:val="NormalWeb"/>
              <w:spacing w:before="0" w:beforeAutospacing="0" w:after="0" w:afterAutospacing="0"/>
              <w:jc w:val="center"/>
              <w:textAlignment w:val="bottom"/>
              <w:rPr>
                <w:rFonts w:ascii="Arial" w:hAnsi="Arial" w:cs="Arial"/>
                <w:sz w:val="18"/>
                <w:szCs w:val="18"/>
              </w:rPr>
            </w:pPr>
            <w:r>
              <w:rPr>
                <w:rFonts w:ascii="Arial" w:hAnsi="Arial" w:cs="Arial"/>
                <w:sz w:val="18"/>
                <w:szCs w:val="18"/>
              </w:rPr>
              <w:t>59.5</w:t>
            </w:r>
          </w:p>
        </w:tc>
        <w:tc>
          <w:tcPr>
            <w:tcW w:w="709" w:type="dxa"/>
            <w:vAlign w:val="center"/>
          </w:tcPr>
          <w:p w14:paraId="51290D1A" w14:textId="77777777" w:rsidR="00AD5B56" w:rsidRPr="001C5FBA" w:rsidRDefault="00AD5B56" w:rsidP="00B04E4C">
            <w:pPr>
              <w:pStyle w:val="NormalWeb"/>
              <w:spacing w:before="0" w:beforeAutospacing="0" w:after="0" w:afterAutospacing="0"/>
              <w:jc w:val="center"/>
              <w:textAlignment w:val="bottom"/>
              <w:rPr>
                <w:rFonts w:ascii="Arial" w:hAnsi="Arial" w:cs="Arial"/>
                <w:sz w:val="18"/>
                <w:szCs w:val="18"/>
              </w:rPr>
            </w:pPr>
            <w:r>
              <w:rPr>
                <w:rFonts w:ascii="Arial" w:hAnsi="Arial" w:cs="Arial"/>
                <w:sz w:val="18"/>
                <w:szCs w:val="18"/>
              </w:rPr>
              <w:t>59.0</w:t>
            </w:r>
          </w:p>
        </w:tc>
        <w:tc>
          <w:tcPr>
            <w:tcW w:w="850" w:type="dxa"/>
            <w:shd w:val="clear" w:color="auto" w:fill="auto"/>
            <w:tcMar>
              <w:top w:w="15" w:type="dxa"/>
              <w:left w:w="15" w:type="dxa"/>
              <w:bottom w:w="0" w:type="dxa"/>
              <w:right w:w="15" w:type="dxa"/>
            </w:tcMar>
            <w:vAlign w:val="center"/>
          </w:tcPr>
          <w:p w14:paraId="2EE87F54"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-0.4</w:t>
            </w:r>
          </w:p>
        </w:tc>
        <w:tc>
          <w:tcPr>
            <w:tcW w:w="709" w:type="dxa"/>
            <w:shd w:val="clear" w:color="auto" w:fill="auto"/>
            <w:vAlign w:val="center"/>
          </w:tcPr>
          <w:p w14:paraId="28698E09"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-0.5</w:t>
            </w:r>
          </w:p>
        </w:tc>
      </w:tr>
      <w:tr w:rsidR="00AD5B56" w:rsidRPr="001C5FBA" w14:paraId="39861AAA" w14:textId="77777777" w:rsidTr="00B04E4C">
        <w:trPr>
          <w:trHeight w:val="20"/>
          <w:jc w:val="center"/>
        </w:trPr>
        <w:tc>
          <w:tcPr>
            <w:tcW w:w="2126" w:type="dxa"/>
            <w:shd w:val="clear" w:color="auto" w:fill="auto"/>
            <w:tcMar>
              <w:top w:w="15" w:type="dxa"/>
              <w:left w:w="15" w:type="dxa"/>
              <w:bottom w:w="0" w:type="dxa"/>
              <w:right w:w="15" w:type="dxa"/>
            </w:tcMar>
            <w:vAlign w:val="center"/>
          </w:tcPr>
          <w:p w14:paraId="24E11017" w14:textId="77777777" w:rsidR="00AD5B56" w:rsidRPr="001C5FBA" w:rsidRDefault="00AD5B56" w:rsidP="00B04E4C">
            <w:pPr>
              <w:pStyle w:val="Default"/>
              <w:rPr>
                <w:color w:val="auto"/>
                <w:sz w:val="18"/>
                <w:szCs w:val="18"/>
                <w:lang w:eastAsia="es-MX"/>
              </w:rPr>
            </w:pPr>
            <w:r>
              <w:rPr>
                <w:color w:val="auto"/>
                <w:sz w:val="18"/>
                <w:szCs w:val="18"/>
                <w:lang w:eastAsia="es-MX"/>
              </w:rPr>
              <w:t>Educación media superior</w:t>
            </w:r>
          </w:p>
        </w:tc>
        <w:tc>
          <w:tcPr>
            <w:tcW w:w="709" w:type="dxa"/>
            <w:shd w:val="clear" w:color="auto" w:fill="auto"/>
            <w:tcMar>
              <w:top w:w="15" w:type="dxa"/>
              <w:left w:w="15" w:type="dxa"/>
              <w:bottom w:w="0" w:type="dxa"/>
              <w:right w:w="15" w:type="dxa"/>
            </w:tcMar>
            <w:vAlign w:val="center"/>
          </w:tcPr>
          <w:p w14:paraId="6932F621"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29.2</w:t>
            </w:r>
          </w:p>
        </w:tc>
        <w:tc>
          <w:tcPr>
            <w:tcW w:w="850" w:type="dxa"/>
            <w:shd w:val="clear" w:color="auto" w:fill="auto"/>
            <w:vAlign w:val="center"/>
          </w:tcPr>
          <w:p w14:paraId="63193D88" w14:textId="77777777" w:rsidR="00AD5B56" w:rsidRPr="001C5FBA" w:rsidRDefault="00AD5B56"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29.5</w:t>
            </w:r>
          </w:p>
        </w:tc>
        <w:tc>
          <w:tcPr>
            <w:tcW w:w="709" w:type="dxa"/>
            <w:vAlign w:val="center"/>
          </w:tcPr>
          <w:p w14:paraId="5A5A79AC" w14:textId="77777777" w:rsidR="00AD5B56" w:rsidRPr="001C5FBA" w:rsidRDefault="00AD5B56"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23.9</w:t>
            </w:r>
          </w:p>
        </w:tc>
        <w:tc>
          <w:tcPr>
            <w:tcW w:w="709" w:type="dxa"/>
            <w:vAlign w:val="center"/>
          </w:tcPr>
          <w:p w14:paraId="5BFAB192" w14:textId="77777777" w:rsidR="00AD5B56" w:rsidRPr="001C5FBA" w:rsidRDefault="00AD5B56"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24.3</w:t>
            </w:r>
          </w:p>
        </w:tc>
        <w:tc>
          <w:tcPr>
            <w:tcW w:w="850" w:type="dxa"/>
            <w:shd w:val="clear" w:color="auto" w:fill="auto"/>
            <w:tcMar>
              <w:top w:w="15" w:type="dxa"/>
              <w:left w:w="15" w:type="dxa"/>
              <w:bottom w:w="0" w:type="dxa"/>
              <w:right w:w="15" w:type="dxa"/>
            </w:tcMar>
            <w:vAlign w:val="center"/>
          </w:tcPr>
          <w:p w14:paraId="3B7B1212"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0.3</w:t>
            </w:r>
          </w:p>
        </w:tc>
        <w:tc>
          <w:tcPr>
            <w:tcW w:w="709" w:type="dxa"/>
            <w:shd w:val="clear" w:color="auto" w:fill="auto"/>
            <w:vAlign w:val="center"/>
          </w:tcPr>
          <w:p w14:paraId="7B7102D2"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0.5</w:t>
            </w:r>
          </w:p>
        </w:tc>
      </w:tr>
      <w:tr w:rsidR="00AD5B56" w:rsidRPr="001C5FBA" w14:paraId="2D830EE2" w14:textId="77777777" w:rsidTr="00B04E4C">
        <w:trPr>
          <w:trHeight w:val="20"/>
          <w:jc w:val="center"/>
        </w:trPr>
        <w:tc>
          <w:tcPr>
            <w:tcW w:w="2126" w:type="dxa"/>
            <w:shd w:val="clear" w:color="auto" w:fill="auto"/>
            <w:tcMar>
              <w:top w:w="15" w:type="dxa"/>
              <w:left w:w="15" w:type="dxa"/>
              <w:bottom w:w="0" w:type="dxa"/>
              <w:right w:w="15" w:type="dxa"/>
            </w:tcMar>
            <w:vAlign w:val="center"/>
          </w:tcPr>
          <w:p w14:paraId="68B9C6A5" w14:textId="77777777" w:rsidR="00AD5B56" w:rsidRPr="001C5FBA" w:rsidRDefault="00AD5B56" w:rsidP="00B04E4C">
            <w:pPr>
              <w:pStyle w:val="Default"/>
              <w:rPr>
                <w:color w:val="auto"/>
                <w:sz w:val="18"/>
                <w:szCs w:val="18"/>
                <w:lang w:eastAsia="es-MX"/>
              </w:rPr>
            </w:pPr>
            <w:r>
              <w:rPr>
                <w:color w:val="auto"/>
                <w:sz w:val="18"/>
                <w:szCs w:val="18"/>
                <w:lang w:eastAsia="es-MX"/>
              </w:rPr>
              <w:t>Educación superior</w:t>
            </w:r>
          </w:p>
        </w:tc>
        <w:tc>
          <w:tcPr>
            <w:tcW w:w="709" w:type="dxa"/>
            <w:shd w:val="clear" w:color="auto" w:fill="auto"/>
            <w:tcMar>
              <w:top w:w="15" w:type="dxa"/>
              <w:left w:w="15" w:type="dxa"/>
              <w:bottom w:w="0" w:type="dxa"/>
              <w:right w:w="15" w:type="dxa"/>
            </w:tcMar>
            <w:vAlign w:val="center"/>
          </w:tcPr>
          <w:p w14:paraId="3A068E72"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14.2</w:t>
            </w:r>
          </w:p>
        </w:tc>
        <w:tc>
          <w:tcPr>
            <w:tcW w:w="850" w:type="dxa"/>
            <w:shd w:val="clear" w:color="auto" w:fill="auto"/>
            <w:vAlign w:val="center"/>
          </w:tcPr>
          <w:p w14:paraId="28937179" w14:textId="77777777" w:rsidR="00AD5B56" w:rsidRPr="001C5FBA" w:rsidRDefault="00AD5B56"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14.1</w:t>
            </w:r>
          </w:p>
        </w:tc>
        <w:tc>
          <w:tcPr>
            <w:tcW w:w="709" w:type="dxa"/>
            <w:vAlign w:val="center"/>
          </w:tcPr>
          <w:p w14:paraId="3B75026E" w14:textId="77777777" w:rsidR="00AD5B56" w:rsidRPr="001C5FBA" w:rsidRDefault="00AD5B56"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12.8</w:t>
            </w:r>
          </w:p>
        </w:tc>
        <w:tc>
          <w:tcPr>
            <w:tcW w:w="709" w:type="dxa"/>
            <w:vAlign w:val="center"/>
          </w:tcPr>
          <w:p w14:paraId="12EAF6C7" w14:textId="77777777" w:rsidR="00AD5B56" w:rsidRPr="001C5FBA" w:rsidRDefault="00AD5B56" w:rsidP="00B04E4C">
            <w:pPr>
              <w:pStyle w:val="NormalWeb"/>
              <w:spacing w:before="0" w:beforeAutospacing="0" w:after="0" w:afterAutospacing="0"/>
              <w:jc w:val="center"/>
              <w:textAlignment w:val="bottom"/>
              <w:rPr>
                <w:rFonts w:ascii="Arial" w:eastAsia="Helvetica Neue Medium" w:hAnsi="Arial" w:cs="Arial"/>
                <w:sz w:val="18"/>
                <w:szCs w:val="18"/>
              </w:rPr>
            </w:pPr>
            <w:r>
              <w:rPr>
                <w:rFonts w:ascii="Arial" w:eastAsia="Helvetica Neue Medium" w:hAnsi="Arial" w:cs="Arial"/>
                <w:sz w:val="18"/>
                <w:szCs w:val="18"/>
              </w:rPr>
              <w:t>12.7</w:t>
            </w:r>
          </w:p>
        </w:tc>
        <w:tc>
          <w:tcPr>
            <w:tcW w:w="850" w:type="dxa"/>
            <w:shd w:val="clear" w:color="auto" w:fill="auto"/>
            <w:tcMar>
              <w:top w:w="15" w:type="dxa"/>
              <w:left w:w="15" w:type="dxa"/>
              <w:bottom w:w="0" w:type="dxa"/>
              <w:right w:w="15" w:type="dxa"/>
            </w:tcMar>
            <w:vAlign w:val="center"/>
          </w:tcPr>
          <w:p w14:paraId="5B09E857"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-0.1</w:t>
            </w:r>
          </w:p>
        </w:tc>
        <w:tc>
          <w:tcPr>
            <w:tcW w:w="709" w:type="dxa"/>
            <w:shd w:val="clear" w:color="auto" w:fill="auto"/>
            <w:vAlign w:val="center"/>
          </w:tcPr>
          <w:p w14:paraId="2623265A" w14:textId="77777777" w:rsidR="00AD5B56" w:rsidRPr="00C3203B" w:rsidRDefault="00AD5B56" w:rsidP="00B04E4C">
            <w:pPr>
              <w:pStyle w:val="Default"/>
              <w:jc w:val="center"/>
              <w:rPr>
                <w:color w:val="auto"/>
                <w:sz w:val="18"/>
                <w:szCs w:val="18"/>
                <w:lang w:eastAsia="es-MX"/>
              </w:rPr>
            </w:pPr>
            <w:r w:rsidRPr="00C3203B">
              <w:rPr>
                <w:color w:val="auto"/>
                <w:sz w:val="18"/>
                <w:szCs w:val="18"/>
                <w:lang w:eastAsia="es-MX"/>
              </w:rPr>
              <w:t>-0.1</w:t>
            </w:r>
          </w:p>
        </w:tc>
      </w:tr>
    </w:tbl>
    <w:p w14:paraId="17DEB2D2" w14:textId="77777777" w:rsidR="00AD5B56" w:rsidRDefault="00AD5B56" w:rsidP="00A83498">
      <w:pPr>
        <w:pStyle w:val="Default"/>
        <w:jc w:val="center"/>
        <w:rPr>
          <w:b/>
          <w:color w:val="auto"/>
          <w:sz w:val="22"/>
          <w:szCs w:val="22"/>
          <w:lang w:eastAsia="es-MX"/>
        </w:rPr>
      </w:pPr>
    </w:p>
    <w:p w14:paraId="557ED70A" w14:textId="77777777" w:rsidR="00E5221E" w:rsidRPr="00A341C6" w:rsidRDefault="00E5221E" w:rsidP="00331010">
      <w:pPr>
        <w:pStyle w:val="Default"/>
        <w:ind w:left="840" w:hanging="42"/>
        <w:jc w:val="both"/>
        <w:rPr>
          <w:color w:val="auto"/>
          <w:sz w:val="16"/>
          <w:lang w:eastAsia="es-MX"/>
        </w:rPr>
      </w:pPr>
      <w:r w:rsidRPr="00A341C6">
        <w:rPr>
          <w:color w:val="auto"/>
          <w:sz w:val="16"/>
          <w:vertAlign w:val="superscript"/>
          <w:lang w:eastAsia="es-MX"/>
        </w:rPr>
        <w:t>p/</w:t>
      </w:r>
      <w:r w:rsidR="007E6900">
        <w:rPr>
          <w:color w:val="auto"/>
          <w:sz w:val="16"/>
          <w:vertAlign w:val="superscript"/>
          <w:lang w:eastAsia="es-MX"/>
        </w:rPr>
        <w:t xml:space="preserve"> </w:t>
      </w:r>
      <w:r w:rsidR="00651C45">
        <w:rPr>
          <w:color w:val="auto"/>
          <w:sz w:val="16"/>
          <w:lang w:eastAsia="es-MX"/>
        </w:rPr>
        <w:t>Cifras preliminares.</w:t>
      </w:r>
    </w:p>
    <w:p w14:paraId="7E0C6FAC" w14:textId="77777777" w:rsidR="00E5221E" w:rsidRPr="00A341C6" w:rsidRDefault="00E5221E" w:rsidP="00331010">
      <w:pPr>
        <w:pStyle w:val="Default"/>
        <w:ind w:left="840" w:hanging="42"/>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r>
        <w:rPr>
          <w:b/>
          <w:color w:val="auto"/>
          <w:sz w:val="16"/>
          <w:lang w:eastAsia="es-MX"/>
        </w:rPr>
        <w:t>.</w:t>
      </w:r>
    </w:p>
    <w:p w14:paraId="3E251FE8" w14:textId="77777777" w:rsidR="00E5221E" w:rsidRDefault="00E5221E" w:rsidP="00BB32E4">
      <w:pPr>
        <w:pStyle w:val="Default"/>
        <w:jc w:val="both"/>
        <w:rPr>
          <w:color w:val="auto"/>
          <w:sz w:val="22"/>
          <w:szCs w:val="22"/>
          <w:lang w:eastAsia="es-MX"/>
        </w:rPr>
      </w:pPr>
    </w:p>
    <w:p w14:paraId="3145DC07" w14:textId="77777777" w:rsidR="006D162D" w:rsidRDefault="006D162D" w:rsidP="00BB32E4">
      <w:pPr>
        <w:pStyle w:val="Default"/>
        <w:jc w:val="both"/>
        <w:rPr>
          <w:color w:val="auto"/>
          <w:sz w:val="22"/>
          <w:szCs w:val="22"/>
          <w:lang w:eastAsia="es-MX"/>
        </w:rPr>
      </w:pPr>
      <w:r>
        <w:rPr>
          <w:color w:val="auto"/>
          <w:sz w:val="22"/>
          <w:szCs w:val="22"/>
          <w:lang w:eastAsia="es-MX"/>
        </w:rPr>
        <w:t xml:space="preserve">El número de establecimientos manufactureros que proporcionaron capacitación a su personal representó 7.7% y 6.1% en 2019 y 2020, respectivamente. </w:t>
      </w:r>
    </w:p>
    <w:p w14:paraId="6016BCBA" w14:textId="77777777" w:rsidR="006D162D" w:rsidRDefault="006D162D" w:rsidP="00BB32E4">
      <w:pPr>
        <w:pStyle w:val="Default"/>
        <w:jc w:val="both"/>
        <w:rPr>
          <w:color w:val="auto"/>
          <w:sz w:val="22"/>
          <w:szCs w:val="22"/>
          <w:lang w:eastAsia="es-MX"/>
        </w:rPr>
      </w:pPr>
    </w:p>
    <w:p w14:paraId="635310A6" w14:textId="77777777" w:rsidR="00D00E62" w:rsidRPr="00A341C6" w:rsidRDefault="00E116FA" w:rsidP="00D00E62">
      <w:pPr>
        <w:pStyle w:val="Default"/>
        <w:jc w:val="center"/>
        <w:rPr>
          <w:b/>
          <w:color w:val="auto"/>
          <w:sz w:val="22"/>
          <w:lang w:eastAsia="es-MX"/>
        </w:rPr>
      </w:pPr>
      <w:r>
        <w:rPr>
          <w:b/>
          <w:color w:val="auto"/>
          <w:sz w:val="22"/>
          <w:lang w:eastAsia="es-MX"/>
        </w:rPr>
        <w:t>Grafica</w:t>
      </w:r>
      <w:r w:rsidR="00D00E62" w:rsidRPr="0044757A">
        <w:rPr>
          <w:b/>
          <w:color w:val="auto"/>
          <w:sz w:val="22"/>
          <w:lang w:eastAsia="es-MX"/>
        </w:rPr>
        <w:t xml:space="preserve"> </w:t>
      </w:r>
      <w:r w:rsidR="00331010">
        <w:rPr>
          <w:b/>
          <w:color w:val="auto"/>
          <w:sz w:val="22"/>
          <w:lang w:eastAsia="es-MX"/>
        </w:rPr>
        <w:t>4</w:t>
      </w:r>
    </w:p>
    <w:p w14:paraId="04B28B6C" w14:textId="77777777" w:rsidR="00D00E62" w:rsidRDefault="00D00E62" w:rsidP="00D00E62">
      <w:pPr>
        <w:pStyle w:val="Default"/>
        <w:jc w:val="center"/>
        <w:rPr>
          <w:b/>
          <w:color w:val="auto"/>
          <w:sz w:val="22"/>
          <w:lang w:eastAsia="es-MX"/>
        </w:rPr>
      </w:pPr>
      <w:r>
        <w:rPr>
          <w:b/>
          <w:color w:val="auto"/>
          <w:sz w:val="22"/>
          <w:lang w:eastAsia="es-MX"/>
        </w:rPr>
        <w:t xml:space="preserve">Participación de los </w:t>
      </w:r>
      <w:r w:rsidR="00CD47EE">
        <w:rPr>
          <w:b/>
          <w:color w:val="auto"/>
          <w:sz w:val="22"/>
          <w:lang w:eastAsia="es-MX"/>
        </w:rPr>
        <w:t>e</w:t>
      </w:r>
      <w:r w:rsidR="00CD47EE" w:rsidRPr="00CD47EE">
        <w:rPr>
          <w:b/>
          <w:color w:val="auto"/>
          <w:sz w:val="22"/>
          <w:lang w:eastAsia="es-MX"/>
        </w:rPr>
        <w:t xml:space="preserve">stablecimientos </w:t>
      </w:r>
      <w:r w:rsidR="00BF062E">
        <w:rPr>
          <w:b/>
          <w:color w:val="auto"/>
          <w:sz w:val="22"/>
          <w:lang w:eastAsia="es-MX"/>
        </w:rPr>
        <w:t xml:space="preserve">de las </w:t>
      </w:r>
      <w:r w:rsidR="00651C45">
        <w:rPr>
          <w:b/>
          <w:color w:val="auto"/>
          <w:sz w:val="22"/>
          <w:lang w:eastAsia="es-MX"/>
        </w:rPr>
        <w:t>i</w:t>
      </w:r>
      <w:r w:rsidR="00BF062E">
        <w:rPr>
          <w:b/>
          <w:color w:val="auto"/>
          <w:sz w:val="22"/>
          <w:lang w:eastAsia="es-MX"/>
        </w:rPr>
        <w:t xml:space="preserve">ndustrias manufactureras </w:t>
      </w:r>
      <w:r w:rsidR="00CD47EE" w:rsidRPr="00CD47EE">
        <w:rPr>
          <w:b/>
          <w:color w:val="auto"/>
          <w:sz w:val="22"/>
          <w:lang w:eastAsia="es-MX"/>
        </w:rPr>
        <w:t>que proporcionaron capacitación al personal ocupado</w:t>
      </w:r>
    </w:p>
    <w:p w14:paraId="509B5CEA" w14:textId="77777777" w:rsidR="00651C45" w:rsidRDefault="00651C45" w:rsidP="00D00E62">
      <w:pPr>
        <w:pStyle w:val="Default"/>
        <w:jc w:val="center"/>
        <w:rPr>
          <w:b/>
          <w:color w:val="auto"/>
          <w:sz w:val="22"/>
          <w:vertAlign w:val="superscript"/>
          <w:lang w:eastAsia="es-MX"/>
        </w:rPr>
      </w:pPr>
      <w:r>
        <w:rPr>
          <w:b/>
          <w:color w:val="auto"/>
          <w:sz w:val="22"/>
          <w:lang w:eastAsia="es-MX"/>
        </w:rPr>
        <w:t>(Porcentaje)</w:t>
      </w:r>
    </w:p>
    <w:p w14:paraId="73485D10" w14:textId="77777777" w:rsidR="00D00E62" w:rsidRDefault="00CD47EE" w:rsidP="00D00E62">
      <w:pPr>
        <w:pStyle w:val="Default"/>
        <w:jc w:val="center"/>
        <w:rPr>
          <w:b/>
          <w:color w:val="auto"/>
          <w:sz w:val="22"/>
          <w:vertAlign w:val="superscript"/>
          <w:lang w:eastAsia="es-MX"/>
        </w:rPr>
      </w:pPr>
      <w:r>
        <w:rPr>
          <w:noProof/>
          <w:lang w:eastAsia="es-MX"/>
        </w:rPr>
        <w:drawing>
          <wp:inline distT="0" distB="0" distL="0" distR="0" wp14:anchorId="1BB2E859" wp14:editId="39886943">
            <wp:extent cx="5612130" cy="1073150"/>
            <wp:effectExtent l="0" t="0" r="0" b="0"/>
            <wp:docPr id="6" name="Gráfico 6">
              <a:extLst xmlns:a="http://schemas.openxmlformats.org/drawingml/2006/main">
                <a:ext uri="{FF2B5EF4-FFF2-40B4-BE49-F238E27FC236}">
                  <a16:creationId xmlns:a16="http://schemas.microsoft.com/office/drawing/2014/main" id="{7B536FF7-0B05-41DA-B77A-E8ACB13748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3A2729C5" w14:textId="77777777" w:rsidR="00CD47EE" w:rsidRPr="00A341C6" w:rsidRDefault="00CD47EE" w:rsidP="00CD47EE">
      <w:pPr>
        <w:pStyle w:val="Default"/>
        <w:jc w:val="both"/>
        <w:rPr>
          <w:color w:val="auto"/>
          <w:sz w:val="16"/>
          <w:lang w:eastAsia="es-MX"/>
        </w:rPr>
      </w:pPr>
      <w:r w:rsidRPr="00A341C6">
        <w:rPr>
          <w:color w:val="auto"/>
          <w:sz w:val="16"/>
          <w:vertAlign w:val="superscript"/>
          <w:lang w:eastAsia="es-MX"/>
        </w:rPr>
        <w:t>p/</w:t>
      </w:r>
      <w:r w:rsidR="002C562C">
        <w:rPr>
          <w:color w:val="auto"/>
          <w:sz w:val="16"/>
          <w:vertAlign w:val="superscript"/>
          <w:lang w:eastAsia="es-MX"/>
        </w:rPr>
        <w:t xml:space="preserve"> </w:t>
      </w:r>
      <w:r w:rsidRPr="00A341C6">
        <w:rPr>
          <w:color w:val="auto"/>
          <w:sz w:val="16"/>
          <w:lang w:eastAsia="es-MX"/>
        </w:rPr>
        <w:t>Cif</w:t>
      </w:r>
      <w:r w:rsidR="00651C45">
        <w:rPr>
          <w:color w:val="auto"/>
          <w:sz w:val="16"/>
          <w:lang w:eastAsia="es-MX"/>
        </w:rPr>
        <w:t>ras preliminares.</w:t>
      </w:r>
    </w:p>
    <w:p w14:paraId="0B7A4742" w14:textId="77777777" w:rsidR="00CD47EE" w:rsidRPr="00A341C6" w:rsidRDefault="00CD47EE" w:rsidP="00CD47EE">
      <w:pPr>
        <w:pStyle w:val="Default"/>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r>
        <w:rPr>
          <w:b/>
          <w:color w:val="auto"/>
          <w:sz w:val="16"/>
          <w:lang w:eastAsia="es-MX"/>
        </w:rPr>
        <w:t>.</w:t>
      </w:r>
    </w:p>
    <w:p w14:paraId="6D0C5689" w14:textId="77777777" w:rsidR="00E116FA" w:rsidRDefault="00E116FA" w:rsidP="00D00E62">
      <w:pPr>
        <w:pStyle w:val="Default"/>
        <w:jc w:val="center"/>
        <w:rPr>
          <w:b/>
          <w:color w:val="auto"/>
          <w:sz w:val="22"/>
          <w:vertAlign w:val="superscript"/>
          <w:lang w:eastAsia="es-MX"/>
        </w:rPr>
      </w:pPr>
    </w:p>
    <w:p w14:paraId="0D60C261" w14:textId="77777777" w:rsidR="0028205D" w:rsidRPr="004230E5" w:rsidRDefault="0028205D" w:rsidP="00BB32E4">
      <w:pPr>
        <w:pStyle w:val="Default"/>
        <w:jc w:val="both"/>
        <w:rPr>
          <w:color w:val="auto"/>
          <w:sz w:val="22"/>
          <w:szCs w:val="22"/>
          <w:lang w:eastAsia="es-MX"/>
        </w:rPr>
      </w:pPr>
      <w:r w:rsidRPr="004230E5">
        <w:rPr>
          <w:color w:val="auto"/>
          <w:sz w:val="22"/>
          <w:szCs w:val="22"/>
          <w:lang w:eastAsia="es-MX"/>
        </w:rPr>
        <w:t>Los gastos</w:t>
      </w:r>
      <w:r w:rsidR="00F47A4D" w:rsidRPr="004230E5">
        <w:rPr>
          <w:color w:val="auto"/>
          <w:sz w:val="22"/>
          <w:szCs w:val="22"/>
          <w:lang w:eastAsia="es-MX"/>
        </w:rPr>
        <w:t xml:space="preserve"> que</w:t>
      </w:r>
      <w:r w:rsidRPr="004230E5">
        <w:rPr>
          <w:color w:val="auto"/>
          <w:sz w:val="22"/>
          <w:szCs w:val="22"/>
          <w:lang w:eastAsia="es-MX"/>
        </w:rPr>
        <w:t xml:space="preserve"> </w:t>
      </w:r>
      <w:r w:rsidR="00D01255" w:rsidRPr="004230E5">
        <w:rPr>
          <w:color w:val="auto"/>
          <w:sz w:val="22"/>
          <w:szCs w:val="22"/>
          <w:lang w:eastAsia="es-MX"/>
        </w:rPr>
        <w:t>se realizan utilizando medios</w:t>
      </w:r>
      <w:r w:rsidR="006D162D">
        <w:rPr>
          <w:color w:val="auto"/>
          <w:sz w:val="22"/>
          <w:szCs w:val="22"/>
          <w:lang w:eastAsia="es-MX"/>
        </w:rPr>
        <w:t xml:space="preserve"> electrónicos</w:t>
      </w:r>
      <w:r w:rsidRPr="004230E5">
        <w:rPr>
          <w:color w:val="auto"/>
          <w:sz w:val="22"/>
          <w:szCs w:val="22"/>
          <w:lang w:eastAsia="es-MX"/>
        </w:rPr>
        <w:t xml:space="preserve"> representan </w:t>
      </w:r>
      <w:r w:rsidR="008508D0" w:rsidRPr="004230E5">
        <w:rPr>
          <w:color w:val="auto"/>
          <w:sz w:val="22"/>
          <w:szCs w:val="22"/>
          <w:lang w:eastAsia="es-MX"/>
        </w:rPr>
        <w:t xml:space="preserve">21.1% </w:t>
      </w:r>
      <w:r w:rsidRPr="004230E5">
        <w:rPr>
          <w:color w:val="auto"/>
          <w:sz w:val="22"/>
          <w:szCs w:val="22"/>
          <w:lang w:eastAsia="es-MX"/>
        </w:rPr>
        <w:t>del total de l</w:t>
      </w:r>
      <w:r w:rsidR="00D01255" w:rsidRPr="004230E5">
        <w:rPr>
          <w:color w:val="auto"/>
          <w:sz w:val="22"/>
          <w:szCs w:val="22"/>
          <w:lang w:eastAsia="es-MX"/>
        </w:rPr>
        <w:t>os gastos reportados por l</w:t>
      </w:r>
      <w:r w:rsidRPr="004230E5">
        <w:rPr>
          <w:color w:val="auto"/>
          <w:sz w:val="22"/>
          <w:szCs w:val="22"/>
          <w:lang w:eastAsia="es-MX"/>
        </w:rPr>
        <w:t xml:space="preserve">as </w:t>
      </w:r>
      <w:r w:rsidR="006D162D">
        <w:rPr>
          <w:color w:val="auto"/>
          <w:sz w:val="22"/>
          <w:szCs w:val="22"/>
          <w:lang w:eastAsia="es-MX"/>
        </w:rPr>
        <w:t>i</w:t>
      </w:r>
      <w:r w:rsidRPr="004230E5">
        <w:rPr>
          <w:color w:val="auto"/>
          <w:sz w:val="22"/>
          <w:szCs w:val="22"/>
          <w:lang w:eastAsia="es-MX"/>
        </w:rPr>
        <w:t>ndustrias manufactureras en 2020.</w:t>
      </w:r>
    </w:p>
    <w:p w14:paraId="540DB969" w14:textId="77777777" w:rsidR="0028205D" w:rsidRPr="004230E5" w:rsidRDefault="0028205D" w:rsidP="00BB32E4">
      <w:pPr>
        <w:pStyle w:val="Default"/>
        <w:jc w:val="both"/>
        <w:rPr>
          <w:color w:val="auto"/>
          <w:sz w:val="22"/>
          <w:szCs w:val="22"/>
          <w:lang w:eastAsia="es-MX"/>
        </w:rPr>
      </w:pPr>
    </w:p>
    <w:p w14:paraId="2D8ED77F" w14:textId="77777777" w:rsidR="00BC6CA2" w:rsidRPr="004230E5" w:rsidRDefault="0028205D" w:rsidP="00BB32E4">
      <w:pPr>
        <w:pStyle w:val="Default"/>
        <w:jc w:val="both"/>
        <w:rPr>
          <w:color w:val="auto"/>
          <w:sz w:val="22"/>
          <w:szCs w:val="22"/>
          <w:lang w:eastAsia="es-MX"/>
        </w:rPr>
      </w:pPr>
      <w:r w:rsidRPr="004230E5">
        <w:rPr>
          <w:color w:val="auto"/>
          <w:sz w:val="22"/>
          <w:szCs w:val="22"/>
          <w:lang w:eastAsia="es-MX"/>
        </w:rPr>
        <w:t>L</w:t>
      </w:r>
      <w:r w:rsidR="00BC6CA2" w:rsidRPr="004230E5">
        <w:rPr>
          <w:color w:val="auto"/>
          <w:sz w:val="22"/>
          <w:szCs w:val="22"/>
          <w:lang w:eastAsia="es-MX"/>
        </w:rPr>
        <w:t>os gastos se realizaron a través de</w:t>
      </w:r>
      <w:r w:rsidR="007466F6" w:rsidRPr="004230E5">
        <w:rPr>
          <w:color w:val="auto"/>
          <w:sz w:val="22"/>
          <w:szCs w:val="22"/>
          <w:lang w:eastAsia="es-MX"/>
        </w:rPr>
        <w:t xml:space="preserve"> diferentes modalidades, siendo la principal el</w:t>
      </w:r>
      <w:r w:rsidR="00BC6CA2" w:rsidRPr="004230E5">
        <w:rPr>
          <w:color w:val="auto"/>
          <w:sz w:val="22"/>
          <w:szCs w:val="22"/>
          <w:lang w:eastAsia="es-MX"/>
        </w:rPr>
        <w:t xml:space="preserve"> correo electrónico </w:t>
      </w:r>
      <w:r w:rsidR="00D01255" w:rsidRPr="004230E5">
        <w:rPr>
          <w:color w:val="auto"/>
          <w:sz w:val="22"/>
          <w:szCs w:val="22"/>
          <w:lang w:eastAsia="es-MX"/>
        </w:rPr>
        <w:t>con</w:t>
      </w:r>
      <w:r w:rsidR="00BC6CA2" w:rsidRPr="004230E5">
        <w:rPr>
          <w:color w:val="auto"/>
          <w:sz w:val="22"/>
          <w:szCs w:val="22"/>
          <w:lang w:eastAsia="es-MX"/>
        </w:rPr>
        <w:t xml:space="preserve"> 42.5%, páginas web de las y los proveedores 28.</w:t>
      </w:r>
      <w:r w:rsidR="007D528D">
        <w:rPr>
          <w:color w:val="auto"/>
          <w:sz w:val="22"/>
          <w:szCs w:val="22"/>
          <w:lang w:eastAsia="es-MX"/>
        </w:rPr>
        <w:t>9</w:t>
      </w:r>
      <w:r w:rsidR="00BC6CA2" w:rsidRPr="004230E5">
        <w:rPr>
          <w:color w:val="auto"/>
          <w:sz w:val="22"/>
          <w:szCs w:val="22"/>
          <w:lang w:eastAsia="es-MX"/>
        </w:rPr>
        <w:t xml:space="preserve">%, páginas web de intermediarios </w:t>
      </w:r>
      <w:r w:rsidR="002C6FE2" w:rsidRPr="004230E5">
        <w:rPr>
          <w:color w:val="auto"/>
          <w:sz w:val="22"/>
          <w:szCs w:val="22"/>
          <w:lang w:eastAsia="es-MX"/>
        </w:rPr>
        <w:t>2.9</w:t>
      </w:r>
      <w:r w:rsidR="00BC6CA2" w:rsidRPr="004230E5">
        <w:rPr>
          <w:color w:val="auto"/>
          <w:sz w:val="22"/>
          <w:szCs w:val="22"/>
          <w:lang w:eastAsia="es-MX"/>
        </w:rPr>
        <w:t>%, redes sociales 2.4% y por otra modalidad informática</w:t>
      </w:r>
      <w:r w:rsidR="006D162D">
        <w:rPr>
          <w:color w:val="auto"/>
          <w:sz w:val="22"/>
          <w:szCs w:val="22"/>
          <w:lang w:eastAsia="es-MX"/>
        </w:rPr>
        <w:t xml:space="preserve"> 23.3 por ciento</w:t>
      </w:r>
      <w:r w:rsidR="00BC6CA2" w:rsidRPr="004230E5">
        <w:rPr>
          <w:color w:val="auto"/>
          <w:sz w:val="22"/>
          <w:szCs w:val="22"/>
          <w:lang w:eastAsia="es-MX"/>
        </w:rPr>
        <w:t>.</w:t>
      </w:r>
    </w:p>
    <w:p w14:paraId="5BEE019F" w14:textId="77777777" w:rsidR="001C1006" w:rsidRPr="00A341C6" w:rsidRDefault="001C1006" w:rsidP="00BB32E4">
      <w:pPr>
        <w:pStyle w:val="Default"/>
        <w:jc w:val="both"/>
        <w:rPr>
          <w:color w:val="auto"/>
          <w:sz w:val="22"/>
          <w:lang w:eastAsia="es-MX"/>
        </w:rPr>
      </w:pPr>
    </w:p>
    <w:p w14:paraId="54C10C79" w14:textId="77777777" w:rsidR="0093482B" w:rsidRDefault="0093482B" w:rsidP="00D1429B">
      <w:pPr>
        <w:pStyle w:val="Default"/>
        <w:jc w:val="center"/>
        <w:rPr>
          <w:b/>
          <w:color w:val="auto"/>
          <w:sz w:val="22"/>
          <w:szCs w:val="22"/>
          <w:lang w:eastAsia="es-MX"/>
        </w:rPr>
      </w:pPr>
    </w:p>
    <w:p w14:paraId="0D086463" w14:textId="77777777" w:rsidR="0093482B" w:rsidRDefault="0093482B" w:rsidP="00D1429B">
      <w:pPr>
        <w:pStyle w:val="Default"/>
        <w:jc w:val="center"/>
        <w:rPr>
          <w:b/>
          <w:color w:val="auto"/>
          <w:sz w:val="22"/>
          <w:szCs w:val="22"/>
          <w:lang w:eastAsia="es-MX"/>
        </w:rPr>
      </w:pPr>
    </w:p>
    <w:p w14:paraId="15FFE90F" w14:textId="77777777" w:rsidR="0093482B" w:rsidRDefault="0093482B" w:rsidP="00D1429B">
      <w:pPr>
        <w:pStyle w:val="Default"/>
        <w:jc w:val="center"/>
        <w:rPr>
          <w:b/>
          <w:color w:val="auto"/>
          <w:sz w:val="22"/>
          <w:szCs w:val="22"/>
          <w:lang w:eastAsia="es-MX"/>
        </w:rPr>
      </w:pPr>
    </w:p>
    <w:p w14:paraId="159C95AE" w14:textId="77777777" w:rsidR="0093482B" w:rsidRDefault="0093482B" w:rsidP="00D1429B">
      <w:pPr>
        <w:pStyle w:val="Default"/>
        <w:jc w:val="center"/>
        <w:rPr>
          <w:b/>
          <w:color w:val="auto"/>
          <w:sz w:val="22"/>
          <w:szCs w:val="22"/>
          <w:lang w:eastAsia="es-MX"/>
        </w:rPr>
      </w:pPr>
    </w:p>
    <w:p w14:paraId="3326F4A6" w14:textId="77777777" w:rsidR="0093482B" w:rsidRDefault="0093482B" w:rsidP="00D1429B">
      <w:pPr>
        <w:pStyle w:val="Default"/>
        <w:jc w:val="center"/>
        <w:rPr>
          <w:b/>
          <w:color w:val="auto"/>
          <w:sz w:val="22"/>
          <w:szCs w:val="22"/>
          <w:lang w:eastAsia="es-MX"/>
        </w:rPr>
      </w:pPr>
    </w:p>
    <w:p w14:paraId="7884663C" w14:textId="77777777" w:rsidR="0093482B" w:rsidRDefault="0093482B" w:rsidP="00D1429B">
      <w:pPr>
        <w:pStyle w:val="Default"/>
        <w:jc w:val="center"/>
        <w:rPr>
          <w:b/>
          <w:color w:val="auto"/>
          <w:sz w:val="22"/>
          <w:szCs w:val="22"/>
          <w:lang w:eastAsia="es-MX"/>
        </w:rPr>
      </w:pPr>
    </w:p>
    <w:p w14:paraId="0A52F526" w14:textId="77777777" w:rsidR="0093482B" w:rsidRDefault="0093482B" w:rsidP="00D1429B">
      <w:pPr>
        <w:pStyle w:val="Default"/>
        <w:jc w:val="center"/>
        <w:rPr>
          <w:b/>
          <w:color w:val="auto"/>
          <w:sz w:val="22"/>
          <w:szCs w:val="22"/>
          <w:lang w:eastAsia="es-MX"/>
        </w:rPr>
      </w:pPr>
    </w:p>
    <w:p w14:paraId="2B937545" w14:textId="77777777" w:rsidR="0093482B" w:rsidRDefault="0093482B" w:rsidP="00D1429B">
      <w:pPr>
        <w:pStyle w:val="Default"/>
        <w:jc w:val="center"/>
        <w:rPr>
          <w:b/>
          <w:color w:val="auto"/>
          <w:sz w:val="22"/>
          <w:szCs w:val="22"/>
          <w:lang w:eastAsia="es-MX"/>
        </w:rPr>
      </w:pPr>
    </w:p>
    <w:p w14:paraId="53068FF6" w14:textId="77777777" w:rsidR="0093482B" w:rsidRDefault="0093482B" w:rsidP="00D1429B">
      <w:pPr>
        <w:pStyle w:val="Default"/>
        <w:jc w:val="center"/>
        <w:rPr>
          <w:b/>
          <w:color w:val="auto"/>
          <w:sz w:val="22"/>
          <w:szCs w:val="22"/>
          <w:lang w:eastAsia="es-MX"/>
        </w:rPr>
      </w:pPr>
    </w:p>
    <w:p w14:paraId="3DCDBD8A" w14:textId="77777777" w:rsidR="00D1429B" w:rsidRPr="004230E5" w:rsidRDefault="00D1429B" w:rsidP="00D1429B">
      <w:pPr>
        <w:pStyle w:val="Default"/>
        <w:jc w:val="center"/>
        <w:rPr>
          <w:b/>
          <w:color w:val="auto"/>
          <w:sz w:val="22"/>
          <w:szCs w:val="22"/>
          <w:lang w:eastAsia="es-MX"/>
        </w:rPr>
      </w:pPr>
      <w:r w:rsidRPr="004230E5">
        <w:rPr>
          <w:b/>
          <w:color w:val="auto"/>
          <w:sz w:val="22"/>
          <w:szCs w:val="22"/>
          <w:lang w:eastAsia="es-MX"/>
        </w:rPr>
        <w:t xml:space="preserve">Gráfica </w:t>
      </w:r>
      <w:r w:rsidR="00CB66FA">
        <w:rPr>
          <w:b/>
          <w:color w:val="auto"/>
          <w:sz w:val="22"/>
          <w:szCs w:val="22"/>
          <w:lang w:eastAsia="es-MX"/>
        </w:rPr>
        <w:t>5</w:t>
      </w:r>
    </w:p>
    <w:p w14:paraId="18ED2390" w14:textId="77777777" w:rsidR="005850C6" w:rsidRPr="00494A00" w:rsidRDefault="00494A00" w:rsidP="005850C6">
      <w:pPr>
        <w:spacing w:after="0" w:line="240" w:lineRule="auto"/>
        <w:jc w:val="center"/>
        <w:rPr>
          <w:rFonts w:ascii="Arial" w:hAnsi="Arial" w:cs="Arial"/>
          <w:b/>
          <w:szCs w:val="24"/>
          <w:lang w:eastAsia="es-MX"/>
        </w:rPr>
      </w:pPr>
      <w:r w:rsidRPr="00494A00">
        <w:rPr>
          <w:rFonts w:ascii="Arial" w:hAnsi="Arial" w:cs="Arial"/>
          <w:b/>
          <w:szCs w:val="24"/>
          <w:lang w:eastAsia="es-MX"/>
        </w:rPr>
        <w:t xml:space="preserve">Participación de los medios de transacción en los gastos </w:t>
      </w:r>
      <w:r w:rsidR="00651C45">
        <w:rPr>
          <w:rFonts w:ascii="Arial" w:hAnsi="Arial" w:cs="Arial"/>
          <w:b/>
          <w:szCs w:val="24"/>
          <w:lang w:eastAsia="es-MX"/>
        </w:rPr>
        <w:t>de las i</w:t>
      </w:r>
      <w:r w:rsidR="005850C6" w:rsidRPr="00494A00">
        <w:rPr>
          <w:rFonts w:ascii="Arial" w:hAnsi="Arial" w:cs="Arial"/>
          <w:b/>
          <w:szCs w:val="24"/>
          <w:lang w:eastAsia="es-MX"/>
        </w:rPr>
        <w:t>ndustrias manufactureras</w:t>
      </w:r>
      <w:r w:rsidR="005850C6" w:rsidRPr="005850C6">
        <w:rPr>
          <w:rFonts w:ascii="Arial" w:hAnsi="Arial" w:cs="Arial"/>
          <w:b/>
          <w:szCs w:val="24"/>
          <w:lang w:eastAsia="es-MX"/>
        </w:rPr>
        <w:t xml:space="preserve"> </w:t>
      </w:r>
      <w:r w:rsidR="005850C6" w:rsidRPr="00494A00">
        <w:rPr>
          <w:rFonts w:ascii="Arial" w:hAnsi="Arial" w:cs="Arial"/>
          <w:b/>
          <w:szCs w:val="24"/>
          <w:lang w:eastAsia="es-MX"/>
        </w:rPr>
        <w:t xml:space="preserve">realizados a través de medios electrónicos </w:t>
      </w:r>
    </w:p>
    <w:p w14:paraId="5C7A0947" w14:textId="77777777" w:rsidR="005850C6" w:rsidRPr="00494A00" w:rsidRDefault="005850C6" w:rsidP="005850C6">
      <w:pPr>
        <w:spacing w:after="0" w:line="240" w:lineRule="auto"/>
        <w:jc w:val="center"/>
        <w:rPr>
          <w:rFonts w:ascii="Arial" w:hAnsi="Arial" w:cs="Arial"/>
          <w:b/>
          <w:szCs w:val="24"/>
          <w:lang w:eastAsia="es-MX"/>
        </w:rPr>
      </w:pPr>
      <w:r w:rsidRPr="00494A00">
        <w:rPr>
          <w:rFonts w:ascii="Arial" w:hAnsi="Arial" w:cs="Arial"/>
          <w:b/>
          <w:szCs w:val="24"/>
          <w:lang w:eastAsia="es-MX"/>
        </w:rPr>
        <w:t>(Porcentaje)</w:t>
      </w:r>
    </w:p>
    <w:p w14:paraId="50C2CAF3" w14:textId="77777777" w:rsidR="00084E03" w:rsidRPr="00A341C6" w:rsidRDefault="00A779B1" w:rsidP="00494A00">
      <w:pPr>
        <w:pStyle w:val="Default"/>
        <w:jc w:val="center"/>
        <w:rPr>
          <w:color w:val="auto"/>
          <w:sz w:val="22"/>
          <w:lang w:eastAsia="es-MX"/>
        </w:rPr>
      </w:pPr>
      <w:r w:rsidRPr="00A341C6">
        <w:rPr>
          <w:noProof/>
          <w:lang w:eastAsia="es-MX"/>
        </w:rPr>
        <w:drawing>
          <wp:inline distT="0" distB="0" distL="0" distR="0" wp14:anchorId="413B1265" wp14:editId="123D8B7B">
            <wp:extent cx="5191125" cy="1712794"/>
            <wp:effectExtent l="0" t="0" r="0" b="1905"/>
            <wp:docPr id="1" name="Gráfico 1">
              <a:extLst xmlns:a="http://schemas.openxmlformats.org/drawingml/2006/main">
                <a:ext uri="{FF2B5EF4-FFF2-40B4-BE49-F238E27FC236}">
                  <a16:creationId xmlns:a16="http://schemas.microsoft.com/office/drawing/2014/main" id="{7073E548-BC58-4933-853D-9977211673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5BF0A42B" w14:textId="77777777" w:rsidR="00D80625" w:rsidRPr="00A341C6" w:rsidRDefault="00D80625" w:rsidP="00A64FDE">
      <w:pPr>
        <w:pStyle w:val="Default"/>
        <w:ind w:left="426"/>
        <w:jc w:val="both"/>
        <w:rPr>
          <w:color w:val="auto"/>
          <w:sz w:val="16"/>
          <w:lang w:eastAsia="es-MX"/>
        </w:rPr>
      </w:pPr>
      <w:r w:rsidRPr="00A341C6">
        <w:rPr>
          <w:color w:val="auto"/>
          <w:sz w:val="16"/>
          <w:vertAlign w:val="superscript"/>
          <w:lang w:eastAsia="es-MX"/>
        </w:rPr>
        <w:t>p/</w:t>
      </w:r>
      <w:r w:rsidR="00326708">
        <w:rPr>
          <w:color w:val="auto"/>
          <w:sz w:val="16"/>
          <w:vertAlign w:val="superscript"/>
          <w:lang w:eastAsia="es-MX"/>
        </w:rPr>
        <w:t xml:space="preserve"> </w:t>
      </w:r>
      <w:r w:rsidRPr="00A341C6">
        <w:rPr>
          <w:color w:val="auto"/>
          <w:sz w:val="16"/>
          <w:lang w:eastAsia="es-MX"/>
        </w:rPr>
        <w:t>Cifras preliminares</w:t>
      </w:r>
      <w:r w:rsidR="00651C45">
        <w:rPr>
          <w:color w:val="auto"/>
          <w:sz w:val="16"/>
          <w:lang w:eastAsia="es-MX"/>
        </w:rPr>
        <w:t>.</w:t>
      </w:r>
      <w:r w:rsidRPr="00A341C6">
        <w:rPr>
          <w:color w:val="auto"/>
          <w:sz w:val="16"/>
          <w:lang w:eastAsia="es-MX"/>
        </w:rPr>
        <w:t xml:space="preserve"> </w:t>
      </w:r>
    </w:p>
    <w:p w14:paraId="39D6E1EF" w14:textId="77777777" w:rsidR="00D80625" w:rsidRDefault="00D80625" w:rsidP="00A64FDE">
      <w:pPr>
        <w:pStyle w:val="Default"/>
        <w:ind w:left="426"/>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r w:rsidR="00233C30">
        <w:rPr>
          <w:b/>
          <w:color w:val="auto"/>
          <w:sz w:val="16"/>
          <w:lang w:eastAsia="es-MX"/>
        </w:rPr>
        <w:t>.</w:t>
      </w:r>
    </w:p>
    <w:p w14:paraId="03A65F46" w14:textId="77777777" w:rsidR="00326708" w:rsidRDefault="00326708" w:rsidP="0028205D">
      <w:pPr>
        <w:pStyle w:val="Default"/>
        <w:jc w:val="both"/>
        <w:rPr>
          <w:color w:val="auto"/>
          <w:sz w:val="22"/>
          <w:szCs w:val="22"/>
          <w:lang w:eastAsia="es-MX"/>
        </w:rPr>
      </w:pPr>
    </w:p>
    <w:p w14:paraId="20A1C4EB" w14:textId="77777777" w:rsidR="0028205D" w:rsidRPr="004230E5" w:rsidRDefault="0028205D" w:rsidP="0028205D">
      <w:pPr>
        <w:pStyle w:val="Default"/>
        <w:jc w:val="both"/>
        <w:rPr>
          <w:color w:val="auto"/>
          <w:sz w:val="22"/>
          <w:szCs w:val="22"/>
          <w:lang w:eastAsia="es-MX"/>
        </w:rPr>
      </w:pPr>
      <w:r w:rsidRPr="004230E5">
        <w:rPr>
          <w:color w:val="auto"/>
          <w:sz w:val="22"/>
          <w:szCs w:val="22"/>
          <w:lang w:eastAsia="es-MX"/>
        </w:rPr>
        <w:t xml:space="preserve">Por su parte, 16.8% de los ingresos totales de las </w:t>
      </w:r>
      <w:r w:rsidR="005A2E0A">
        <w:rPr>
          <w:color w:val="auto"/>
          <w:sz w:val="22"/>
          <w:szCs w:val="22"/>
          <w:lang w:eastAsia="es-MX"/>
        </w:rPr>
        <w:t>i</w:t>
      </w:r>
      <w:r w:rsidR="005D6820">
        <w:rPr>
          <w:color w:val="auto"/>
          <w:sz w:val="22"/>
          <w:szCs w:val="22"/>
          <w:lang w:eastAsia="es-MX"/>
        </w:rPr>
        <w:t>ndustrias manufacture</w:t>
      </w:r>
      <w:r w:rsidRPr="004230E5">
        <w:rPr>
          <w:color w:val="auto"/>
          <w:sz w:val="22"/>
          <w:szCs w:val="22"/>
          <w:lang w:eastAsia="es-MX"/>
        </w:rPr>
        <w:t>r</w:t>
      </w:r>
      <w:r w:rsidR="005D6820">
        <w:rPr>
          <w:color w:val="auto"/>
          <w:sz w:val="22"/>
          <w:szCs w:val="22"/>
          <w:lang w:eastAsia="es-MX"/>
        </w:rPr>
        <w:t>a</w:t>
      </w:r>
      <w:r w:rsidRPr="004230E5">
        <w:rPr>
          <w:color w:val="auto"/>
          <w:sz w:val="22"/>
          <w:szCs w:val="22"/>
          <w:lang w:eastAsia="es-MX"/>
        </w:rPr>
        <w:t xml:space="preserve">s durante 2020 se </w:t>
      </w:r>
      <w:r w:rsidR="00326708">
        <w:rPr>
          <w:color w:val="auto"/>
          <w:sz w:val="22"/>
          <w:szCs w:val="22"/>
          <w:lang w:eastAsia="es-MX"/>
        </w:rPr>
        <w:t>recibieron</w:t>
      </w:r>
      <w:r w:rsidR="00D01255" w:rsidRPr="004230E5">
        <w:rPr>
          <w:color w:val="auto"/>
          <w:sz w:val="22"/>
          <w:szCs w:val="22"/>
          <w:lang w:eastAsia="es-MX"/>
        </w:rPr>
        <w:t xml:space="preserve"> utilizando un medio electrónico</w:t>
      </w:r>
      <w:r w:rsidRPr="004230E5">
        <w:rPr>
          <w:color w:val="auto"/>
          <w:sz w:val="22"/>
          <w:szCs w:val="22"/>
          <w:lang w:eastAsia="es-MX"/>
        </w:rPr>
        <w:t>.</w:t>
      </w:r>
    </w:p>
    <w:p w14:paraId="790C1F98" w14:textId="77777777" w:rsidR="006F2CA7" w:rsidRPr="004230E5" w:rsidRDefault="006F2CA7" w:rsidP="0028205D">
      <w:pPr>
        <w:pStyle w:val="Default"/>
        <w:jc w:val="both"/>
        <w:rPr>
          <w:color w:val="auto"/>
          <w:sz w:val="22"/>
          <w:szCs w:val="22"/>
          <w:lang w:eastAsia="es-MX"/>
        </w:rPr>
      </w:pPr>
    </w:p>
    <w:p w14:paraId="6124FB35" w14:textId="77777777" w:rsidR="00336BCD" w:rsidRDefault="006F2CA7" w:rsidP="00233C30">
      <w:pPr>
        <w:pStyle w:val="Default"/>
        <w:jc w:val="both"/>
        <w:rPr>
          <w:color w:val="auto"/>
          <w:sz w:val="22"/>
          <w:szCs w:val="22"/>
          <w:lang w:eastAsia="es-MX"/>
        </w:rPr>
      </w:pPr>
      <w:r w:rsidRPr="004230E5">
        <w:rPr>
          <w:color w:val="auto"/>
          <w:sz w:val="22"/>
          <w:szCs w:val="22"/>
          <w:lang w:eastAsia="es-MX"/>
        </w:rPr>
        <w:t xml:space="preserve">La modalidad </w:t>
      </w:r>
      <w:r w:rsidR="006F64AD" w:rsidRPr="004230E5">
        <w:rPr>
          <w:color w:val="auto"/>
          <w:sz w:val="22"/>
          <w:szCs w:val="22"/>
          <w:lang w:eastAsia="es-MX"/>
        </w:rPr>
        <w:t xml:space="preserve">electrónica mediante la cual </w:t>
      </w:r>
      <w:r w:rsidRPr="004230E5">
        <w:rPr>
          <w:color w:val="auto"/>
          <w:sz w:val="22"/>
          <w:szCs w:val="22"/>
          <w:lang w:eastAsia="es-MX"/>
        </w:rPr>
        <w:t xml:space="preserve">los establecimientos manufactureros obtuvieron mayor cantidad de ingresos fue </w:t>
      </w:r>
      <w:r w:rsidR="008634E6">
        <w:rPr>
          <w:color w:val="auto"/>
          <w:sz w:val="22"/>
          <w:szCs w:val="22"/>
          <w:lang w:eastAsia="es-MX"/>
        </w:rPr>
        <w:t xml:space="preserve">el </w:t>
      </w:r>
      <w:r w:rsidRPr="004230E5">
        <w:rPr>
          <w:color w:val="auto"/>
          <w:sz w:val="22"/>
          <w:szCs w:val="22"/>
          <w:lang w:eastAsia="es-MX"/>
        </w:rPr>
        <w:t>correo electrónico con 33.5%, seguido de otra modalidad informática 31.7%, pág</w:t>
      </w:r>
      <w:r w:rsidR="00697F66">
        <w:rPr>
          <w:color w:val="auto"/>
          <w:sz w:val="22"/>
          <w:szCs w:val="22"/>
          <w:lang w:eastAsia="es-MX"/>
        </w:rPr>
        <w:t>ina web del establecimiento 26</w:t>
      </w:r>
      <w:r w:rsidRPr="004230E5">
        <w:rPr>
          <w:color w:val="auto"/>
          <w:sz w:val="22"/>
          <w:szCs w:val="22"/>
          <w:lang w:eastAsia="es-MX"/>
        </w:rPr>
        <w:t>%, redes sociales 6.3% y páginas web de terceros 2.5 por ciento.</w:t>
      </w:r>
    </w:p>
    <w:p w14:paraId="62C61D28" w14:textId="77777777" w:rsidR="00233C30" w:rsidRDefault="00233C30" w:rsidP="00233C30">
      <w:pPr>
        <w:pStyle w:val="Default"/>
        <w:jc w:val="both"/>
        <w:rPr>
          <w:b/>
          <w:lang w:eastAsia="es-MX"/>
        </w:rPr>
      </w:pPr>
    </w:p>
    <w:p w14:paraId="65597FDD" w14:textId="77777777" w:rsidR="006B70FB" w:rsidRPr="004230E5" w:rsidRDefault="006B70FB" w:rsidP="006B70FB">
      <w:pPr>
        <w:pStyle w:val="Default"/>
        <w:jc w:val="center"/>
        <w:rPr>
          <w:b/>
          <w:color w:val="auto"/>
          <w:sz w:val="22"/>
          <w:szCs w:val="22"/>
          <w:lang w:eastAsia="es-MX"/>
        </w:rPr>
      </w:pPr>
      <w:r w:rsidRPr="004230E5">
        <w:rPr>
          <w:b/>
          <w:color w:val="auto"/>
          <w:sz w:val="22"/>
          <w:szCs w:val="22"/>
          <w:lang w:eastAsia="es-MX"/>
        </w:rPr>
        <w:t xml:space="preserve">Gráfica </w:t>
      </w:r>
      <w:r w:rsidR="00CB66FA">
        <w:rPr>
          <w:b/>
          <w:color w:val="auto"/>
          <w:sz w:val="22"/>
          <w:szCs w:val="22"/>
          <w:lang w:eastAsia="es-MX"/>
        </w:rPr>
        <w:t>6</w:t>
      </w:r>
    </w:p>
    <w:p w14:paraId="358B368D" w14:textId="77777777" w:rsidR="00B34209" w:rsidRPr="00B34209" w:rsidRDefault="00B34209" w:rsidP="00B34209">
      <w:pPr>
        <w:pStyle w:val="Default"/>
        <w:jc w:val="center"/>
        <w:rPr>
          <w:b/>
          <w:color w:val="auto"/>
          <w:sz w:val="22"/>
          <w:szCs w:val="22"/>
          <w:lang w:eastAsia="es-MX"/>
        </w:rPr>
      </w:pPr>
      <w:r w:rsidRPr="00B34209">
        <w:rPr>
          <w:b/>
          <w:color w:val="auto"/>
          <w:sz w:val="22"/>
          <w:szCs w:val="22"/>
          <w:lang w:eastAsia="es-MX"/>
        </w:rPr>
        <w:t xml:space="preserve">Participación de los medios de transacción en los ingresos realizados a través de medios electrónicos de las </w:t>
      </w:r>
      <w:r w:rsidR="00651C45">
        <w:rPr>
          <w:b/>
          <w:color w:val="auto"/>
          <w:sz w:val="22"/>
          <w:szCs w:val="22"/>
          <w:lang w:eastAsia="es-MX"/>
        </w:rPr>
        <w:t>i</w:t>
      </w:r>
      <w:r w:rsidRPr="00B34209">
        <w:rPr>
          <w:b/>
          <w:color w:val="auto"/>
          <w:sz w:val="22"/>
          <w:szCs w:val="22"/>
          <w:lang w:eastAsia="es-MX"/>
        </w:rPr>
        <w:t>ndustrias manufactureras</w:t>
      </w:r>
    </w:p>
    <w:p w14:paraId="38B87CF7" w14:textId="77777777" w:rsidR="00AA69C0" w:rsidRPr="00A341C6" w:rsidRDefault="00B34209" w:rsidP="00B34209">
      <w:pPr>
        <w:pStyle w:val="Default"/>
        <w:jc w:val="center"/>
        <w:rPr>
          <w:b/>
          <w:color w:val="auto"/>
          <w:sz w:val="22"/>
          <w:vertAlign w:val="superscript"/>
          <w:lang w:eastAsia="es-MX"/>
        </w:rPr>
      </w:pPr>
      <w:r w:rsidRPr="00B34209">
        <w:rPr>
          <w:b/>
          <w:color w:val="auto"/>
          <w:sz w:val="22"/>
          <w:szCs w:val="22"/>
          <w:lang w:eastAsia="es-MX"/>
        </w:rPr>
        <w:t>(Porcentaje)</w:t>
      </w:r>
      <w:r w:rsidR="00AA69C0" w:rsidRPr="00A341C6">
        <w:rPr>
          <w:noProof/>
          <w:lang w:eastAsia="es-MX"/>
        </w:rPr>
        <w:drawing>
          <wp:inline distT="0" distB="0" distL="0" distR="0" wp14:anchorId="5E1C988B" wp14:editId="0A14E271">
            <wp:extent cx="5191125" cy="1492211"/>
            <wp:effectExtent l="0" t="0" r="0" b="0"/>
            <wp:docPr id="5" name="Gráfico 5">
              <a:extLst xmlns:a="http://schemas.openxmlformats.org/drawingml/2006/main">
                <a:ext uri="{FF2B5EF4-FFF2-40B4-BE49-F238E27FC236}">
                  <a16:creationId xmlns:a16="http://schemas.microsoft.com/office/drawing/2014/main" id="{9FB6AD78-7279-477B-B455-E5766AC485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89EDCFC" w14:textId="77777777" w:rsidR="00E36327" w:rsidRPr="00A341C6" w:rsidRDefault="00E36327" w:rsidP="00A64FDE">
      <w:pPr>
        <w:pStyle w:val="Default"/>
        <w:ind w:left="426"/>
        <w:jc w:val="both"/>
        <w:rPr>
          <w:color w:val="auto"/>
          <w:sz w:val="16"/>
          <w:lang w:eastAsia="es-MX"/>
        </w:rPr>
      </w:pPr>
      <w:r w:rsidRPr="00A341C6">
        <w:rPr>
          <w:color w:val="auto"/>
          <w:sz w:val="16"/>
          <w:vertAlign w:val="superscript"/>
          <w:lang w:eastAsia="es-MX"/>
        </w:rPr>
        <w:t>p/</w:t>
      </w:r>
      <w:r w:rsidR="00326708">
        <w:rPr>
          <w:color w:val="auto"/>
          <w:sz w:val="16"/>
          <w:vertAlign w:val="superscript"/>
          <w:lang w:eastAsia="es-MX"/>
        </w:rPr>
        <w:t xml:space="preserve"> </w:t>
      </w:r>
      <w:r w:rsidRPr="00A341C6">
        <w:rPr>
          <w:color w:val="auto"/>
          <w:sz w:val="16"/>
          <w:lang w:eastAsia="es-MX"/>
        </w:rPr>
        <w:t>Cifras preliminares</w:t>
      </w:r>
      <w:r w:rsidR="00445015">
        <w:rPr>
          <w:color w:val="auto"/>
          <w:sz w:val="16"/>
          <w:lang w:eastAsia="es-MX"/>
        </w:rPr>
        <w:t>.</w:t>
      </w:r>
      <w:r w:rsidRPr="00A341C6">
        <w:rPr>
          <w:color w:val="auto"/>
          <w:sz w:val="16"/>
          <w:lang w:eastAsia="es-MX"/>
        </w:rPr>
        <w:t xml:space="preserve"> </w:t>
      </w:r>
    </w:p>
    <w:p w14:paraId="21906D71" w14:textId="77777777" w:rsidR="00E36327" w:rsidRDefault="00E36327" w:rsidP="00A64FDE">
      <w:pPr>
        <w:pStyle w:val="Default"/>
        <w:ind w:left="426"/>
        <w:jc w:val="both"/>
        <w:rPr>
          <w:b/>
          <w:color w:val="auto"/>
          <w:sz w:val="16"/>
          <w:lang w:eastAsia="es-MX"/>
        </w:rPr>
      </w:pPr>
      <w:r w:rsidRPr="00A341C6">
        <w:rPr>
          <w:color w:val="auto"/>
          <w:sz w:val="16"/>
          <w:lang w:eastAsia="es-MX"/>
        </w:rPr>
        <w:t xml:space="preserve">Fuente: </w:t>
      </w:r>
      <w:r w:rsidRPr="00A341C6">
        <w:rPr>
          <w:b/>
          <w:color w:val="auto"/>
          <w:sz w:val="16"/>
          <w:lang w:eastAsia="es-MX"/>
        </w:rPr>
        <w:t>INEGI</w:t>
      </w:r>
      <w:r w:rsidR="00233C30">
        <w:rPr>
          <w:b/>
          <w:color w:val="auto"/>
          <w:sz w:val="16"/>
          <w:lang w:eastAsia="es-MX"/>
        </w:rPr>
        <w:t>.</w:t>
      </w:r>
    </w:p>
    <w:p w14:paraId="3CC33CE0" w14:textId="77777777" w:rsidR="00336BCD" w:rsidRPr="008634E6" w:rsidRDefault="00336BCD" w:rsidP="008634E6">
      <w:pPr>
        <w:pStyle w:val="Default"/>
        <w:jc w:val="both"/>
        <w:rPr>
          <w:b/>
          <w:color w:val="auto"/>
          <w:sz w:val="22"/>
          <w:szCs w:val="22"/>
          <w:lang w:eastAsia="es-MX"/>
        </w:rPr>
      </w:pPr>
    </w:p>
    <w:p w14:paraId="29033963" w14:textId="77777777" w:rsidR="00CE44EC" w:rsidRPr="004230E5" w:rsidRDefault="00CE44EC" w:rsidP="00CE44EC">
      <w:pPr>
        <w:pStyle w:val="Default"/>
        <w:jc w:val="both"/>
        <w:rPr>
          <w:color w:val="auto"/>
          <w:sz w:val="22"/>
          <w:szCs w:val="22"/>
          <w:lang w:eastAsia="es-MX"/>
        </w:rPr>
      </w:pPr>
      <w:r w:rsidRPr="004230E5">
        <w:rPr>
          <w:color w:val="auto"/>
          <w:sz w:val="22"/>
          <w:szCs w:val="22"/>
          <w:lang w:eastAsia="es-MX"/>
        </w:rPr>
        <w:t>Los resulta</w:t>
      </w:r>
      <w:r w:rsidR="000479F8" w:rsidRPr="004230E5">
        <w:rPr>
          <w:color w:val="auto"/>
          <w:sz w:val="22"/>
          <w:szCs w:val="22"/>
          <w:lang w:eastAsia="es-MX"/>
        </w:rPr>
        <w:t>dos completos de la EAIM de 2020</w:t>
      </w:r>
      <w:r w:rsidRPr="004230E5">
        <w:rPr>
          <w:color w:val="auto"/>
          <w:sz w:val="22"/>
          <w:szCs w:val="22"/>
          <w:lang w:eastAsia="es-MX"/>
        </w:rPr>
        <w:t xml:space="preserve"> y años previos se encuentran disponibles en el portal </w:t>
      </w:r>
      <w:r w:rsidR="006F64AD" w:rsidRPr="004230E5">
        <w:rPr>
          <w:color w:val="auto"/>
          <w:sz w:val="22"/>
          <w:szCs w:val="22"/>
          <w:lang w:eastAsia="es-MX"/>
        </w:rPr>
        <w:t>del Institu</w:t>
      </w:r>
      <w:r w:rsidR="00BE2009" w:rsidRPr="004230E5">
        <w:rPr>
          <w:color w:val="auto"/>
          <w:sz w:val="22"/>
          <w:szCs w:val="22"/>
          <w:lang w:eastAsia="es-MX"/>
        </w:rPr>
        <w:t>t</w:t>
      </w:r>
      <w:r w:rsidR="006F64AD" w:rsidRPr="004230E5">
        <w:rPr>
          <w:color w:val="auto"/>
          <w:sz w:val="22"/>
          <w:szCs w:val="22"/>
          <w:lang w:eastAsia="es-MX"/>
        </w:rPr>
        <w:t>o</w:t>
      </w:r>
      <w:r w:rsidRPr="004230E5">
        <w:rPr>
          <w:color w:val="auto"/>
          <w:sz w:val="22"/>
          <w:szCs w:val="22"/>
          <w:lang w:eastAsia="es-MX"/>
        </w:rPr>
        <w:t xml:space="preserve"> (</w:t>
      </w:r>
      <w:hyperlink r:id="rId31" w:history="1">
        <w:r w:rsidR="00196DBF" w:rsidRPr="004230E5">
          <w:rPr>
            <w:rStyle w:val="Hipervnculo"/>
            <w:sz w:val="22"/>
            <w:szCs w:val="22"/>
            <w:lang w:eastAsia="es-MX"/>
          </w:rPr>
          <w:t>www.inegi.org.mx</w:t>
        </w:r>
      </w:hyperlink>
      <w:r w:rsidRPr="004230E5">
        <w:rPr>
          <w:color w:val="auto"/>
          <w:sz w:val="22"/>
          <w:szCs w:val="22"/>
          <w:lang w:eastAsia="es-MX"/>
        </w:rPr>
        <w:t>)</w:t>
      </w:r>
      <w:r w:rsidR="00D46C1D" w:rsidRPr="004230E5">
        <w:rPr>
          <w:color w:val="auto"/>
          <w:sz w:val="22"/>
          <w:szCs w:val="22"/>
          <w:lang w:eastAsia="es-MX"/>
        </w:rPr>
        <w:t>, en las siguientes secciones:</w:t>
      </w:r>
    </w:p>
    <w:p w14:paraId="7BBD66E6" w14:textId="77777777" w:rsidR="002447C9" w:rsidRPr="004230E5" w:rsidRDefault="002447C9" w:rsidP="00CE44EC">
      <w:pPr>
        <w:pStyle w:val="Default"/>
        <w:jc w:val="both"/>
        <w:rPr>
          <w:color w:val="auto"/>
          <w:sz w:val="22"/>
          <w:szCs w:val="22"/>
          <w:lang w:eastAsia="es-MX"/>
        </w:rPr>
      </w:pPr>
    </w:p>
    <w:p w14:paraId="2C2180E3" w14:textId="77777777" w:rsidR="00D46C1D" w:rsidRPr="004230E5" w:rsidRDefault="00DC17B8" w:rsidP="00CE44EC">
      <w:pPr>
        <w:pStyle w:val="Default"/>
        <w:numPr>
          <w:ilvl w:val="0"/>
          <w:numId w:val="3"/>
        </w:numPr>
        <w:ind w:left="284" w:hanging="284"/>
        <w:jc w:val="both"/>
        <w:rPr>
          <w:rStyle w:val="A1"/>
          <w:sz w:val="22"/>
          <w:szCs w:val="22"/>
        </w:rPr>
      </w:pPr>
      <w:r w:rsidRPr="004230E5">
        <w:rPr>
          <w:rStyle w:val="A1"/>
          <w:sz w:val="22"/>
          <w:szCs w:val="22"/>
        </w:rPr>
        <w:t xml:space="preserve">Programas: </w:t>
      </w:r>
      <w:r w:rsidR="00CE44EC" w:rsidRPr="004230E5">
        <w:rPr>
          <w:rStyle w:val="A1"/>
          <w:sz w:val="22"/>
          <w:szCs w:val="22"/>
        </w:rPr>
        <w:t xml:space="preserve"> </w:t>
      </w:r>
    </w:p>
    <w:p w14:paraId="1C5A5DB5" w14:textId="77777777" w:rsidR="00CE44EC" w:rsidRDefault="008367EC" w:rsidP="00D46C1D">
      <w:pPr>
        <w:pStyle w:val="Default"/>
        <w:ind w:left="284"/>
        <w:jc w:val="both"/>
        <w:rPr>
          <w:rStyle w:val="Hipervnculo"/>
          <w:sz w:val="22"/>
          <w:szCs w:val="22"/>
        </w:rPr>
      </w:pPr>
      <w:hyperlink r:id="rId32" w:history="1">
        <w:r w:rsidR="00D87992" w:rsidRPr="004230E5">
          <w:rPr>
            <w:rStyle w:val="Hipervnculo"/>
            <w:sz w:val="22"/>
            <w:szCs w:val="22"/>
          </w:rPr>
          <w:t>https://www.inegi.org.mx/programas/eaim/2013/</w:t>
        </w:r>
      </w:hyperlink>
    </w:p>
    <w:p w14:paraId="51C9A90B" w14:textId="77777777" w:rsidR="00DC17B8" w:rsidRPr="004230E5" w:rsidRDefault="00CE44EC" w:rsidP="00846A2A">
      <w:pPr>
        <w:pStyle w:val="Default"/>
        <w:numPr>
          <w:ilvl w:val="0"/>
          <w:numId w:val="3"/>
        </w:numPr>
        <w:ind w:left="284" w:hanging="284"/>
        <w:jc w:val="both"/>
        <w:rPr>
          <w:rStyle w:val="A1"/>
          <w:sz w:val="22"/>
          <w:szCs w:val="22"/>
        </w:rPr>
      </w:pPr>
      <w:r w:rsidRPr="004230E5">
        <w:rPr>
          <w:rStyle w:val="A1"/>
          <w:sz w:val="22"/>
          <w:szCs w:val="22"/>
        </w:rPr>
        <w:t>Banco de Información Económica (BIE):</w:t>
      </w:r>
      <w:r w:rsidR="00DC17B8" w:rsidRPr="004230E5">
        <w:rPr>
          <w:rStyle w:val="A1"/>
          <w:sz w:val="22"/>
          <w:szCs w:val="22"/>
        </w:rPr>
        <w:t xml:space="preserve"> </w:t>
      </w:r>
    </w:p>
    <w:p w14:paraId="4066DEFE" w14:textId="77777777" w:rsidR="00CE44EC" w:rsidRPr="004230E5" w:rsidRDefault="008367EC" w:rsidP="00DC17B8">
      <w:pPr>
        <w:pStyle w:val="Default"/>
        <w:ind w:left="284"/>
        <w:jc w:val="both"/>
        <w:rPr>
          <w:sz w:val="22"/>
          <w:szCs w:val="22"/>
        </w:rPr>
      </w:pPr>
      <w:hyperlink r:id="rId33" w:history="1">
        <w:r w:rsidR="00CE44EC" w:rsidRPr="004230E5">
          <w:rPr>
            <w:rStyle w:val="Hipervnculo"/>
            <w:sz w:val="22"/>
            <w:szCs w:val="22"/>
          </w:rPr>
          <w:t>https://www.inegi.org.mx/app/indicadores/bie.html</w:t>
        </w:r>
      </w:hyperlink>
    </w:p>
    <w:p w14:paraId="45858180" w14:textId="77777777" w:rsidR="001F543B" w:rsidRPr="00A341C6" w:rsidRDefault="001F543B" w:rsidP="00D26405">
      <w:pPr>
        <w:pStyle w:val="Default"/>
        <w:jc w:val="both"/>
        <w:rPr>
          <w:b/>
          <w:color w:val="auto"/>
          <w:sz w:val="22"/>
          <w:szCs w:val="22"/>
          <w:lang w:eastAsia="es-MX"/>
        </w:rPr>
      </w:pPr>
    </w:p>
    <w:p w14:paraId="2DC5F36D" w14:textId="77777777" w:rsidR="00D46C1D" w:rsidRPr="004230E5" w:rsidRDefault="00D46C1D" w:rsidP="00D46C1D">
      <w:pPr>
        <w:spacing w:after="0" w:line="240" w:lineRule="auto"/>
        <w:jc w:val="both"/>
        <w:rPr>
          <w:rFonts w:ascii="Arial" w:eastAsia="Calibri" w:hAnsi="Arial" w:cs="Arial"/>
          <w:b/>
        </w:rPr>
      </w:pPr>
      <w:r w:rsidRPr="004230E5">
        <w:rPr>
          <w:rFonts w:ascii="Arial" w:eastAsia="Calibri" w:hAnsi="Arial" w:cs="Arial"/>
          <w:b/>
        </w:rPr>
        <w:lastRenderedPageBreak/>
        <w:t>Nota al usuario.</w:t>
      </w:r>
    </w:p>
    <w:p w14:paraId="1E1873F7" w14:textId="77777777" w:rsidR="00D46C1D" w:rsidRPr="004230E5" w:rsidRDefault="00D46C1D" w:rsidP="00D46C1D">
      <w:pPr>
        <w:spacing w:after="0" w:line="240" w:lineRule="auto"/>
        <w:jc w:val="both"/>
        <w:rPr>
          <w:rFonts w:ascii="Arial" w:eastAsia="Calibri" w:hAnsi="Arial" w:cs="Arial"/>
        </w:rPr>
      </w:pPr>
    </w:p>
    <w:p w14:paraId="2B259CA1" w14:textId="77777777" w:rsidR="00D46C1D" w:rsidRPr="004230E5" w:rsidRDefault="00D46C1D" w:rsidP="00D46C1D">
      <w:pPr>
        <w:spacing w:after="0" w:line="240" w:lineRule="auto"/>
        <w:jc w:val="both"/>
        <w:rPr>
          <w:rFonts w:ascii="Arial" w:eastAsia="Calibri" w:hAnsi="Arial" w:cs="Arial"/>
        </w:rPr>
      </w:pPr>
      <w:r w:rsidRPr="004230E5">
        <w:rPr>
          <w:rFonts w:ascii="Arial" w:eastAsia="Calibri" w:hAnsi="Arial" w:cs="Arial"/>
        </w:rPr>
        <w:t xml:space="preserve">La Tasa de No Respuesta de la Encuesta Anual de la Industria Manufacturera (EAIM), correspondiente al año de estudio 2020, registró porcentajes apropiados conforme al diseño estadístico de la encuesta, lo que permitió la generación de estadísticas con niveles altos de precisión. </w:t>
      </w:r>
    </w:p>
    <w:p w14:paraId="5CF6946B" w14:textId="77777777" w:rsidR="00D46C1D" w:rsidRPr="004230E5" w:rsidRDefault="00D46C1D" w:rsidP="00D46C1D">
      <w:pPr>
        <w:spacing w:after="0" w:line="240" w:lineRule="auto"/>
        <w:jc w:val="both"/>
        <w:rPr>
          <w:rFonts w:ascii="Arial" w:eastAsia="Calibri" w:hAnsi="Arial" w:cs="Arial"/>
        </w:rPr>
      </w:pPr>
    </w:p>
    <w:p w14:paraId="7AA8B518" w14:textId="77777777" w:rsidR="00D46C1D" w:rsidRPr="004230E5" w:rsidRDefault="00D46C1D" w:rsidP="00D46C1D">
      <w:pPr>
        <w:spacing w:after="0" w:line="240" w:lineRule="auto"/>
        <w:jc w:val="both"/>
        <w:rPr>
          <w:rFonts w:ascii="Arial" w:eastAsia="Calibri" w:hAnsi="Arial" w:cs="Arial"/>
        </w:rPr>
      </w:pPr>
      <w:r w:rsidRPr="004230E5">
        <w:rPr>
          <w:rFonts w:ascii="Arial" w:eastAsia="Calibri" w:hAnsi="Arial" w:cs="Arial"/>
        </w:rPr>
        <w:t>De las 223 clases de actividad que estudia la encuesta solo 14 presentaron problemas, las cuales representan 2.9% en relación con la variabl</w:t>
      </w:r>
      <w:r w:rsidR="005A2E0A">
        <w:rPr>
          <w:rFonts w:ascii="Arial" w:eastAsia="Calibri" w:hAnsi="Arial" w:cs="Arial"/>
        </w:rPr>
        <w:t>e de ingresos del total de las industrias m</w:t>
      </w:r>
      <w:r w:rsidRPr="004230E5">
        <w:rPr>
          <w:rFonts w:ascii="Arial" w:eastAsia="Calibri" w:hAnsi="Arial" w:cs="Arial"/>
        </w:rPr>
        <w:t>anufactureras</w:t>
      </w:r>
      <w:r w:rsidR="005A2E0A">
        <w:rPr>
          <w:rFonts w:ascii="Arial" w:eastAsia="Calibri" w:hAnsi="Arial" w:cs="Arial"/>
        </w:rPr>
        <w:t>, entre las que se encuentran: c</w:t>
      </w:r>
      <w:r w:rsidRPr="004230E5">
        <w:rPr>
          <w:rFonts w:ascii="Arial" w:eastAsia="Calibri" w:hAnsi="Arial" w:cs="Arial"/>
        </w:rPr>
        <w:t>orte y empacado de carne de ganado, aves</w:t>
      </w:r>
      <w:r w:rsidR="005A2E0A">
        <w:rPr>
          <w:rFonts w:ascii="Arial" w:eastAsia="Calibri" w:hAnsi="Arial" w:cs="Arial"/>
        </w:rPr>
        <w:t xml:space="preserve"> y otros animales comestibles, elaboración de cigarros, complejos siderúrgicos, l</w:t>
      </w:r>
      <w:r w:rsidRPr="004230E5">
        <w:rPr>
          <w:rFonts w:ascii="Arial" w:eastAsia="Calibri" w:hAnsi="Arial" w:cs="Arial"/>
        </w:rPr>
        <w:t>am</w:t>
      </w:r>
      <w:r w:rsidR="005A2E0A">
        <w:rPr>
          <w:rFonts w:ascii="Arial" w:eastAsia="Calibri" w:hAnsi="Arial" w:cs="Arial"/>
        </w:rPr>
        <w:t>inación secundaria de cobre y, f</w:t>
      </w:r>
      <w:r w:rsidRPr="004230E5">
        <w:rPr>
          <w:rFonts w:ascii="Arial" w:eastAsia="Calibri" w:hAnsi="Arial" w:cs="Arial"/>
        </w:rPr>
        <w:t>abricación de maquinaria y equipo para la construcción, para las que se recomienda el uso con reserva de las estimaciones.</w:t>
      </w:r>
    </w:p>
    <w:p w14:paraId="35384CF6" w14:textId="77777777" w:rsidR="00D46C1D" w:rsidRPr="00922953" w:rsidRDefault="00D46C1D" w:rsidP="00D46C1D">
      <w:pPr>
        <w:spacing w:after="0" w:line="240" w:lineRule="auto"/>
        <w:jc w:val="both"/>
        <w:rPr>
          <w:rFonts w:ascii="Arial" w:eastAsia="Calibri" w:hAnsi="Arial" w:cs="Arial"/>
        </w:rPr>
      </w:pPr>
    </w:p>
    <w:p w14:paraId="4BED3AEE" w14:textId="77777777" w:rsidR="00D26405" w:rsidRPr="004230E5" w:rsidRDefault="00D26405" w:rsidP="00D26405">
      <w:pPr>
        <w:pStyle w:val="Default"/>
        <w:jc w:val="both"/>
        <w:rPr>
          <w:b/>
          <w:color w:val="auto"/>
          <w:sz w:val="22"/>
          <w:szCs w:val="22"/>
          <w:lang w:eastAsia="es-MX"/>
        </w:rPr>
      </w:pPr>
      <w:r w:rsidRPr="004230E5">
        <w:rPr>
          <w:b/>
          <w:color w:val="auto"/>
          <w:sz w:val="22"/>
          <w:szCs w:val="22"/>
          <w:lang w:eastAsia="es-MX"/>
        </w:rPr>
        <w:t>Aspectos metodológicos.</w:t>
      </w:r>
    </w:p>
    <w:p w14:paraId="66FA93D3" w14:textId="77777777" w:rsidR="00D26405" w:rsidRPr="004230E5" w:rsidRDefault="00D26405" w:rsidP="00D26405">
      <w:pPr>
        <w:pStyle w:val="Default"/>
        <w:jc w:val="both"/>
        <w:rPr>
          <w:b/>
          <w:color w:val="auto"/>
          <w:sz w:val="22"/>
          <w:szCs w:val="22"/>
          <w:lang w:eastAsia="es-MX"/>
        </w:rPr>
      </w:pPr>
    </w:p>
    <w:p w14:paraId="3605FDEA" w14:textId="77777777" w:rsidR="009F5A93" w:rsidRPr="004230E5" w:rsidRDefault="009F5A93" w:rsidP="009F5A93">
      <w:pPr>
        <w:pStyle w:val="Pa27"/>
        <w:spacing w:line="240" w:lineRule="auto"/>
        <w:jc w:val="both"/>
        <w:rPr>
          <w:rFonts w:eastAsia="Times New Roman"/>
          <w:sz w:val="22"/>
          <w:szCs w:val="22"/>
          <w:lang w:val="es-MX" w:eastAsia="es-MX"/>
        </w:rPr>
      </w:pPr>
      <w:r w:rsidRPr="004230E5">
        <w:rPr>
          <w:rFonts w:eastAsia="Times New Roman"/>
          <w:sz w:val="22"/>
          <w:szCs w:val="22"/>
          <w:lang w:val="es-MX" w:eastAsia="es-MX"/>
        </w:rPr>
        <w:t xml:space="preserve">El objetivo de la EAIM es generar estadísticas básicas sobre el comportamiento económico de estructura de las principales variables del sector manufacturero del país, que sirve como insumo fundamental para la generación de diversos cálculos macroeconómicos, así como de indicadores económicos relacionados con el empleo, la producción y la inversión de la industria manufacturera. </w:t>
      </w:r>
    </w:p>
    <w:p w14:paraId="1EEAC1F1" w14:textId="77777777" w:rsidR="009F5A93" w:rsidRPr="004230E5" w:rsidRDefault="009F5A93" w:rsidP="00A459B2">
      <w:pPr>
        <w:pStyle w:val="Pa10"/>
        <w:spacing w:line="240" w:lineRule="auto"/>
        <w:jc w:val="both"/>
        <w:rPr>
          <w:rStyle w:val="A1"/>
          <w:sz w:val="22"/>
          <w:szCs w:val="22"/>
          <w:lang w:val="es-MX"/>
        </w:rPr>
      </w:pPr>
    </w:p>
    <w:p w14:paraId="2F1EFC6A" w14:textId="77777777" w:rsidR="009F5A93" w:rsidRPr="004230E5" w:rsidRDefault="009F5A93" w:rsidP="00A459B2">
      <w:pPr>
        <w:pStyle w:val="Pa10"/>
        <w:spacing w:line="240" w:lineRule="auto"/>
        <w:jc w:val="both"/>
        <w:rPr>
          <w:rStyle w:val="A1"/>
          <w:sz w:val="22"/>
          <w:szCs w:val="22"/>
          <w:lang w:val="es-MX"/>
        </w:rPr>
      </w:pPr>
      <w:r w:rsidRPr="004230E5">
        <w:rPr>
          <w:rStyle w:val="A1"/>
          <w:sz w:val="22"/>
          <w:szCs w:val="22"/>
          <w:lang w:val="es-MX"/>
        </w:rPr>
        <w:t>Se aplican l</w:t>
      </w:r>
      <w:r w:rsidR="00A459B2" w:rsidRPr="004230E5">
        <w:rPr>
          <w:rStyle w:val="A1"/>
          <w:sz w:val="22"/>
          <w:szCs w:val="22"/>
          <w:lang w:val="es-MX"/>
        </w:rPr>
        <w:t>as Recomendaciones internacionales para estadísticas industriales 2008 de la O</w:t>
      </w:r>
      <w:r w:rsidRPr="004230E5">
        <w:rPr>
          <w:rStyle w:val="A1"/>
          <w:sz w:val="22"/>
          <w:szCs w:val="22"/>
          <w:lang w:val="es-MX"/>
        </w:rPr>
        <w:t xml:space="preserve">rganización de las </w:t>
      </w:r>
      <w:r w:rsidR="00A459B2" w:rsidRPr="004230E5">
        <w:rPr>
          <w:rStyle w:val="A1"/>
          <w:sz w:val="22"/>
          <w:szCs w:val="22"/>
          <w:lang w:val="es-MX"/>
        </w:rPr>
        <w:t>N</w:t>
      </w:r>
      <w:r w:rsidRPr="004230E5">
        <w:rPr>
          <w:rStyle w:val="A1"/>
          <w:sz w:val="22"/>
          <w:szCs w:val="22"/>
          <w:lang w:val="es-MX"/>
        </w:rPr>
        <w:t xml:space="preserve">aciones </w:t>
      </w:r>
      <w:r w:rsidR="00A459B2" w:rsidRPr="004230E5">
        <w:rPr>
          <w:rStyle w:val="A1"/>
          <w:sz w:val="22"/>
          <w:szCs w:val="22"/>
          <w:lang w:val="es-MX"/>
        </w:rPr>
        <w:t>U</w:t>
      </w:r>
      <w:r w:rsidRPr="004230E5">
        <w:rPr>
          <w:rStyle w:val="A1"/>
          <w:sz w:val="22"/>
          <w:szCs w:val="22"/>
          <w:lang w:val="es-MX"/>
        </w:rPr>
        <w:t>nidas.</w:t>
      </w:r>
    </w:p>
    <w:p w14:paraId="52C63B62" w14:textId="77777777" w:rsidR="009F5A93" w:rsidRPr="004230E5" w:rsidRDefault="009F5A93" w:rsidP="00F40AB8">
      <w:pPr>
        <w:pStyle w:val="Default"/>
        <w:jc w:val="both"/>
        <w:rPr>
          <w:color w:val="auto"/>
          <w:sz w:val="22"/>
          <w:szCs w:val="22"/>
          <w:lang w:eastAsia="es-MX"/>
        </w:rPr>
      </w:pPr>
    </w:p>
    <w:p w14:paraId="19E10661" w14:textId="77777777" w:rsidR="00F40AB8" w:rsidRPr="00A22F3B" w:rsidRDefault="00196DBF" w:rsidP="00F40AB8">
      <w:pPr>
        <w:pStyle w:val="Default"/>
        <w:jc w:val="both"/>
        <w:rPr>
          <w:rStyle w:val="A1"/>
          <w:color w:val="auto"/>
          <w:sz w:val="22"/>
          <w:szCs w:val="22"/>
        </w:rPr>
      </w:pPr>
      <w:r w:rsidRPr="00A22F3B">
        <w:rPr>
          <w:color w:val="auto"/>
          <w:sz w:val="22"/>
          <w:szCs w:val="22"/>
          <w:lang w:eastAsia="es-MX"/>
        </w:rPr>
        <w:t>L</w:t>
      </w:r>
      <w:r w:rsidR="00D26405" w:rsidRPr="00A22F3B">
        <w:rPr>
          <w:color w:val="auto"/>
          <w:sz w:val="22"/>
          <w:szCs w:val="22"/>
          <w:lang w:eastAsia="es-MX"/>
        </w:rPr>
        <w:t>a unidad de observación</w:t>
      </w:r>
      <w:r w:rsidR="00F40AB8" w:rsidRPr="00A22F3B">
        <w:rPr>
          <w:color w:val="auto"/>
          <w:sz w:val="22"/>
          <w:szCs w:val="22"/>
          <w:lang w:eastAsia="es-MX"/>
        </w:rPr>
        <w:t xml:space="preserve"> son los establecimientos clasificados en el </w:t>
      </w:r>
      <w:r w:rsidR="00F40AB8" w:rsidRPr="00A22F3B">
        <w:rPr>
          <w:rStyle w:val="A1"/>
          <w:color w:val="auto"/>
          <w:sz w:val="22"/>
          <w:szCs w:val="22"/>
        </w:rPr>
        <w:t>sector 31-33 Industria</w:t>
      </w:r>
      <w:r w:rsidR="00A22F3B" w:rsidRPr="00A22F3B">
        <w:rPr>
          <w:rStyle w:val="A1"/>
          <w:color w:val="auto"/>
          <w:sz w:val="22"/>
          <w:szCs w:val="22"/>
        </w:rPr>
        <w:t>s</w:t>
      </w:r>
      <w:r w:rsidR="00F40AB8" w:rsidRPr="00A22F3B">
        <w:rPr>
          <w:rStyle w:val="A1"/>
          <w:color w:val="auto"/>
          <w:sz w:val="22"/>
          <w:szCs w:val="22"/>
        </w:rPr>
        <w:t xml:space="preserve"> manufacturera</w:t>
      </w:r>
      <w:r w:rsidR="00A22F3B" w:rsidRPr="00A22F3B">
        <w:rPr>
          <w:rStyle w:val="A1"/>
          <w:color w:val="auto"/>
          <w:sz w:val="22"/>
          <w:szCs w:val="22"/>
        </w:rPr>
        <w:t>s</w:t>
      </w:r>
      <w:r w:rsidR="008508D0" w:rsidRPr="00A22F3B">
        <w:rPr>
          <w:rStyle w:val="A1"/>
          <w:color w:val="auto"/>
          <w:sz w:val="22"/>
          <w:szCs w:val="22"/>
        </w:rPr>
        <w:t xml:space="preserve"> </w:t>
      </w:r>
      <w:r w:rsidR="00156B5B" w:rsidRPr="00A22F3B">
        <w:rPr>
          <w:rStyle w:val="A1"/>
          <w:color w:val="auto"/>
          <w:sz w:val="22"/>
          <w:szCs w:val="22"/>
        </w:rPr>
        <w:t>del Sistema de Clasificación Industrial de América del Norte (SCIAN) 2013</w:t>
      </w:r>
      <w:r w:rsidR="00156B5B" w:rsidRPr="00A22F3B">
        <w:rPr>
          <w:rStyle w:val="A1"/>
          <w:iCs/>
          <w:color w:val="auto"/>
          <w:sz w:val="22"/>
          <w:szCs w:val="22"/>
        </w:rPr>
        <w:t>.</w:t>
      </w:r>
    </w:p>
    <w:p w14:paraId="68BE80AA" w14:textId="77777777" w:rsidR="00F40AB8" w:rsidRPr="004230E5" w:rsidRDefault="00F40AB8" w:rsidP="00D26405">
      <w:pPr>
        <w:pStyle w:val="Default"/>
        <w:jc w:val="both"/>
        <w:rPr>
          <w:color w:val="auto"/>
          <w:sz w:val="22"/>
          <w:szCs w:val="22"/>
          <w:lang w:eastAsia="es-MX"/>
        </w:rPr>
      </w:pPr>
    </w:p>
    <w:p w14:paraId="6F5AFA42" w14:textId="77777777" w:rsidR="00D26405" w:rsidRPr="004230E5" w:rsidRDefault="00BC6CA2" w:rsidP="00D26405">
      <w:pPr>
        <w:pStyle w:val="Default"/>
        <w:jc w:val="both"/>
        <w:rPr>
          <w:color w:val="auto"/>
          <w:sz w:val="22"/>
          <w:szCs w:val="22"/>
          <w:lang w:eastAsia="es-MX"/>
        </w:rPr>
      </w:pPr>
      <w:r w:rsidRPr="004230E5">
        <w:rPr>
          <w:color w:val="auto"/>
          <w:sz w:val="22"/>
          <w:szCs w:val="22"/>
          <w:lang w:eastAsia="es-MX"/>
        </w:rPr>
        <w:t>S</w:t>
      </w:r>
      <w:r w:rsidR="00D26405" w:rsidRPr="004230E5">
        <w:rPr>
          <w:color w:val="auto"/>
          <w:sz w:val="22"/>
          <w:szCs w:val="22"/>
          <w:lang w:eastAsia="es-MX"/>
        </w:rPr>
        <w:t xml:space="preserve">e incluyen </w:t>
      </w:r>
      <w:r w:rsidR="00156B5B" w:rsidRPr="004230E5">
        <w:rPr>
          <w:color w:val="auto"/>
          <w:sz w:val="22"/>
          <w:szCs w:val="22"/>
          <w:lang w:eastAsia="es-MX"/>
        </w:rPr>
        <w:t xml:space="preserve">los </w:t>
      </w:r>
      <w:r w:rsidR="00D26405" w:rsidRPr="004230E5">
        <w:rPr>
          <w:color w:val="auto"/>
          <w:sz w:val="22"/>
          <w:szCs w:val="22"/>
          <w:lang w:eastAsia="es-MX"/>
        </w:rPr>
        <w:t xml:space="preserve">establecimientos que disponen del Programa de la Industria Manufacturera, Maquiladora y de Servicios de Exportación (IMMEX). </w:t>
      </w:r>
    </w:p>
    <w:p w14:paraId="103FA386" w14:textId="77777777" w:rsidR="00E87960" w:rsidRDefault="00E87960" w:rsidP="00D26405">
      <w:pPr>
        <w:pStyle w:val="Default"/>
        <w:jc w:val="both"/>
        <w:rPr>
          <w:color w:val="auto"/>
          <w:sz w:val="22"/>
          <w:szCs w:val="22"/>
          <w:lang w:eastAsia="es-MX"/>
        </w:rPr>
      </w:pPr>
    </w:p>
    <w:p w14:paraId="747114BB" w14:textId="77777777" w:rsidR="001B686D" w:rsidRPr="004230E5" w:rsidRDefault="00156B5B" w:rsidP="001B686D">
      <w:pPr>
        <w:pStyle w:val="Default"/>
        <w:jc w:val="both"/>
        <w:rPr>
          <w:color w:val="auto"/>
          <w:sz w:val="22"/>
          <w:szCs w:val="22"/>
          <w:lang w:eastAsia="es-MX"/>
        </w:rPr>
      </w:pPr>
      <w:r w:rsidRPr="004230E5">
        <w:rPr>
          <w:rStyle w:val="A1"/>
          <w:color w:val="auto"/>
          <w:sz w:val="22"/>
          <w:szCs w:val="22"/>
        </w:rPr>
        <w:t xml:space="preserve">La encuesta cubre </w:t>
      </w:r>
      <w:r w:rsidR="001B686D" w:rsidRPr="004230E5">
        <w:rPr>
          <w:rStyle w:val="A1"/>
          <w:color w:val="auto"/>
          <w:sz w:val="22"/>
          <w:szCs w:val="22"/>
        </w:rPr>
        <w:t>la siguiente temática</w:t>
      </w:r>
      <w:r w:rsidRPr="004230E5">
        <w:rPr>
          <w:color w:val="auto"/>
          <w:sz w:val="22"/>
          <w:szCs w:val="22"/>
          <w:lang w:eastAsia="es-MX"/>
        </w:rPr>
        <w:t>:</w:t>
      </w:r>
    </w:p>
    <w:p w14:paraId="31354DF5" w14:textId="77777777" w:rsidR="001B686D" w:rsidRPr="004230E5" w:rsidRDefault="001B686D" w:rsidP="001B686D">
      <w:pPr>
        <w:pStyle w:val="Default"/>
        <w:jc w:val="both"/>
        <w:rPr>
          <w:color w:val="auto"/>
          <w:sz w:val="22"/>
          <w:szCs w:val="22"/>
          <w:lang w:eastAsia="es-MX"/>
        </w:rPr>
      </w:pPr>
    </w:p>
    <w:p w14:paraId="64FC8BF0" w14:textId="77777777" w:rsidR="008508D0" w:rsidRPr="004230E5" w:rsidRDefault="008508D0" w:rsidP="003F2243">
      <w:pPr>
        <w:pStyle w:val="Pa9"/>
        <w:numPr>
          <w:ilvl w:val="0"/>
          <w:numId w:val="5"/>
        </w:numPr>
        <w:spacing w:line="240" w:lineRule="auto"/>
        <w:jc w:val="both"/>
        <w:rPr>
          <w:rStyle w:val="A1"/>
          <w:b/>
          <w:bCs/>
          <w:color w:val="auto"/>
          <w:sz w:val="22"/>
          <w:szCs w:val="22"/>
          <w:lang w:val="es-MX"/>
        </w:rPr>
      </w:pPr>
      <w:r w:rsidRPr="004230E5">
        <w:rPr>
          <w:rStyle w:val="A1"/>
          <w:bCs/>
          <w:color w:val="auto"/>
          <w:sz w:val="22"/>
          <w:szCs w:val="22"/>
          <w:lang w:val="es-MX"/>
        </w:rPr>
        <w:t>V</w:t>
      </w:r>
      <w:r w:rsidR="003F2243" w:rsidRPr="004230E5">
        <w:rPr>
          <w:rStyle w:val="A1"/>
          <w:bCs/>
          <w:color w:val="auto"/>
          <w:sz w:val="22"/>
          <w:szCs w:val="22"/>
          <w:lang w:val="es-MX"/>
        </w:rPr>
        <w:t>inculación internacional</w:t>
      </w:r>
      <w:r w:rsidR="001B686D" w:rsidRPr="004230E5">
        <w:rPr>
          <w:rStyle w:val="A1"/>
          <w:b/>
          <w:bCs/>
          <w:color w:val="auto"/>
          <w:sz w:val="22"/>
          <w:szCs w:val="22"/>
          <w:lang w:val="es-MX"/>
        </w:rPr>
        <w:t xml:space="preserve">   </w:t>
      </w:r>
    </w:p>
    <w:p w14:paraId="47917185" w14:textId="77777777" w:rsidR="001B686D" w:rsidRPr="004230E5" w:rsidRDefault="001B686D" w:rsidP="003F2243">
      <w:pPr>
        <w:pStyle w:val="Pa9"/>
        <w:numPr>
          <w:ilvl w:val="0"/>
          <w:numId w:val="5"/>
        </w:numPr>
        <w:spacing w:line="240" w:lineRule="auto"/>
        <w:jc w:val="both"/>
        <w:rPr>
          <w:sz w:val="22"/>
          <w:szCs w:val="22"/>
          <w:lang w:val="es-MX"/>
        </w:rPr>
      </w:pPr>
      <w:r w:rsidRPr="004230E5">
        <w:rPr>
          <w:rStyle w:val="A1"/>
          <w:color w:val="auto"/>
          <w:sz w:val="22"/>
          <w:szCs w:val="22"/>
          <w:lang w:val="es-MX"/>
        </w:rPr>
        <w:t>Personal dependiente de la razón social</w:t>
      </w:r>
    </w:p>
    <w:p w14:paraId="31BCD468" w14:textId="77777777" w:rsidR="001B686D" w:rsidRPr="004230E5" w:rsidRDefault="001B686D" w:rsidP="003F2243">
      <w:pPr>
        <w:pStyle w:val="Default"/>
        <w:numPr>
          <w:ilvl w:val="0"/>
          <w:numId w:val="5"/>
        </w:numPr>
        <w:jc w:val="both"/>
        <w:rPr>
          <w:rStyle w:val="A1"/>
          <w:color w:val="auto"/>
          <w:sz w:val="22"/>
          <w:szCs w:val="22"/>
        </w:rPr>
      </w:pPr>
      <w:r w:rsidRPr="004230E5">
        <w:rPr>
          <w:rStyle w:val="A1"/>
          <w:color w:val="auto"/>
          <w:sz w:val="22"/>
          <w:szCs w:val="22"/>
        </w:rPr>
        <w:t>Personal suministrado por otra razón social</w:t>
      </w:r>
    </w:p>
    <w:p w14:paraId="342D727F" w14:textId="77777777" w:rsidR="003F2243" w:rsidRPr="004230E5" w:rsidRDefault="003F2243" w:rsidP="003F2243">
      <w:pPr>
        <w:pStyle w:val="Default"/>
        <w:numPr>
          <w:ilvl w:val="0"/>
          <w:numId w:val="5"/>
        </w:numPr>
        <w:jc w:val="both"/>
        <w:rPr>
          <w:rStyle w:val="A1"/>
          <w:color w:val="auto"/>
          <w:sz w:val="22"/>
          <w:szCs w:val="22"/>
        </w:rPr>
      </w:pPr>
      <w:r w:rsidRPr="004230E5">
        <w:rPr>
          <w:rStyle w:val="A1"/>
          <w:color w:val="auto"/>
          <w:sz w:val="22"/>
          <w:szCs w:val="22"/>
        </w:rPr>
        <w:t xml:space="preserve">Capacitación </w:t>
      </w:r>
    </w:p>
    <w:p w14:paraId="4E8E4E5F" w14:textId="77777777" w:rsidR="001B686D" w:rsidRPr="004230E5" w:rsidRDefault="001B686D" w:rsidP="003F2243">
      <w:pPr>
        <w:pStyle w:val="Pa9"/>
        <w:numPr>
          <w:ilvl w:val="0"/>
          <w:numId w:val="5"/>
        </w:numPr>
        <w:spacing w:line="240" w:lineRule="auto"/>
        <w:jc w:val="both"/>
        <w:rPr>
          <w:sz w:val="22"/>
          <w:szCs w:val="22"/>
          <w:lang w:val="es-MX"/>
        </w:rPr>
      </w:pPr>
      <w:r w:rsidRPr="004230E5">
        <w:rPr>
          <w:rStyle w:val="A1"/>
          <w:color w:val="auto"/>
          <w:sz w:val="22"/>
          <w:szCs w:val="22"/>
          <w:lang w:val="es-MX"/>
        </w:rPr>
        <w:t>Remuneraciones</w:t>
      </w:r>
    </w:p>
    <w:p w14:paraId="4461835B" w14:textId="77777777" w:rsidR="001B686D" w:rsidRPr="004230E5" w:rsidRDefault="001B686D" w:rsidP="003F2243">
      <w:pPr>
        <w:pStyle w:val="Pa9"/>
        <w:numPr>
          <w:ilvl w:val="0"/>
          <w:numId w:val="5"/>
        </w:numPr>
        <w:spacing w:line="240" w:lineRule="auto"/>
        <w:jc w:val="both"/>
        <w:rPr>
          <w:rStyle w:val="A1"/>
          <w:color w:val="auto"/>
          <w:sz w:val="22"/>
          <w:szCs w:val="22"/>
          <w:lang w:val="es-MX"/>
        </w:rPr>
      </w:pPr>
      <w:r w:rsidRPr="004230E5">
        <w:rPr>
          <w:rStyle w:val="A1"/>
          <w:color w:val="auto"/>
          <w:sz w:val="22"/>
          <w:szCs w:val="22"/>
          <w:lang w:val="es-MX"/>
        </w:rPr>
        <w:t>Consumo de bienes y servicios</w:t>
      </w:r>
    </w:p>
    <w:p w14:paraId="6BF902A9" w14:textId="77777777" w:rsidR="003F2243" w:rsidRPr="004230E5" w:rsidRDefault="003F2243" w:rsidP="003F2243">
      <w:pPr>
        <w:pStyle w:val="Default"/>
        <w:numPr>
          <w:ilvl w:val="0"/>
          <w:numId w:val="5"/>
        </w:numPr>
        <w:rPr>
          <w:sz w:val="22"/>
          <w:szCs w:val="22"/>
        </w:rPr>
      </w:pPr>
      <w:r w:rsidRPr="004230E5">
        <w:rPr>
          <w:sz w:val="22"/>
          <w:szCs w:val="22"/>
        </w:rPr>
        <w:t>Gastos por comercio electrónico</w:t>
      </w:r>
    </w:p>
    <w:p w14:paraId="4AE80DF9" w14:textId="77777777" w:rsidR="001B686D" w:rsidRPr="004230E5" w:rsidRDefault="001B686D" w:rsidP="003F2243">
      <w:pPr>
        <w:pStyle w:val="Pa9"/>
        <w:numPr>
          <w:ilvl w:val="0"/>
          <w:numId w:val="5"/>
        </w:numPr>
        <w:spacing w:line="240" w:lineRule="auto"/>
        <w:jc w:val="both"/>
        <w:rPr>
          <w:rStyle w:val="A1"/>
          <w:color w:val="auto"/>
          <w:sz w:val="22"/>
          <w:szCs w:val="22"/>
          <w:lang w:val="es-MX"/>
        </w:rPr>
      </w:pPr>
      <w:r w:rsidRPr="004230E5">
        <w:rPr>
          <w:rStyle w:val="A1"/>
          <w:color w:val="auto"/>
          <w:sz w:val="22"/>
          <w:szCs w:val="22"/>
          <w:lang w:val="es-MX"/>
        </w:rPr>
        <w:t>Gastos fiscales, financieros y donaciones</w:t>
      </w:r>
    </w:p>
    <w:p w14:paraId="436CD79B" w14:textId="77777777" w:rsidR="001B686D" w:rsidRPr="004230E5" w:rsidRDefault="001B686D" w:rsidP="003F2243">
      <w:pPr>
        <w:pStyle w:val="Pa9"/>
        <w:numPr>
          <w:ilvl w:val="0"/>
          <w:numId w:val="5"/>
        </w:numPr>
        <w:spacing w:line="240" w:lineRule="auto"/>
        <w:jc w:val="both"/>
        <w:rPr>
          <w:sz w:val="22"/>
          <w:szCs w:val="22"/>
          <w:lang w:val="es-MX"/>
        </w:rPr>
      </w:pPr>
      <w:r w:rsidRPr="004230E5">
        <w:rPr>
          <w:sz w:val="22"/>
          <w:szCs w:val="22"/>
          <w:lang w:val="es-MX"/>
        </w:rPr>
        <w:t>Impuesto al valor agregado (IVA)</w:t>
      </w:r>
    </w:p>
    <w:p w14:paraId="41984075" w14:textId="77777777" w:rsidR="001B686D" w:rsidRPr="004230E5" w:rsidRDefault="001B686D" w:rsidP="003F2243">
      <w:pPr>
        <w:pStyle w:val="Pa9"/>
        <w:numPr>
          <w:ilvl w:val="0"/>
          <w:numId w:val="5"/>
        </w:numPr>
        <w:spacing w:line="240" w:lineRule="auto"/>
        <w:jc w:val="both"/>
        <w:rPr>
          <w:sz w:val="22"/>
          <w:szCs w:val="22"/>
          <w:lang w:val="es-MX"/>
        </w:rPr>
      </w:pPr>
      <w:r w:rsidRPr="004230E5">
        <w:rPr>
          <w:sz w:val="22"/>
          <w:szCs w:val="22"/>
          <w:lang w:val="es-MX"/>
        </w:rPr>
        <w:t xml:space="preserve">Ingresos por suministro de bienes y servicios </w:t>
      </w:r>
    </w:p>
    <w:p w14:paraId="08ED989B" w14:textId="77777777" w:rsidR="003F2243" w:rsidRPr="004230E5" w:rsidRDefault="003F2243" w:rsidP="003F2243">
      <w:pPr>
        <w:pStyle w:val="Default"/>
        <w:numPr>
          <w:ilvl w:val="0"/>
          <w:numId w:val="5"/>
        </w:numPr>
        <w:rPr>
          <w:sz w:val="22"/>
          <w:szCs w:val="22"/>
        </w:rPr>
      </w:pPr>
      <w:r w:rsidRPr="004230E5">
        <w:rPr>
          <w:sz w:val="22"/>
          <w:szCs w:val="22"/>
        </w:rPr>
        <w:t>Ingresos por comercio electrónico</w:t>
      </w:r>
    </w:p>
    <w:p w14:paraId="1E042C75" w14:textId="77777777" w:rsidR="001B686D" w:rsidRPr="004230E5" w:rsidRDefault="001B686D" w:rsidP="003F2243">
      <w:pPr>
        <w:pStyle w:val="Pa9"/>
        <w:numPr>
          <w:ilvl w:val="0"/>
          <w:numId w:val="5"/>
        </w:numPr>
        <w:spacing w:line="240" w:lineRule="auto"/>
        <w:jc w:val="both"/>
        <w:rPr>
          <w:sz w:val="22"/>
          <w:szCs w:val="22"/>
          <w:lang w:val="es-MX"/>
        </w:rPr>
      </w:pPr>
      <w:r w:rsidRPr="004230E5">
        <w:rPr>
          <w:sz w:val="22"/>
          <w:szCs w:val="22"/>
          <w:lang w:val="es-MX"/>
        </w:rPr>
        <w:t>Ingresos</w:t>
      </w:r>
      <w:r w:rsidR="003F2243" w:rsidRPr="004230E5">
        <w:rPr>
          <w:sz w:val="22"/>
          <w:szCs w:val="22"/>
          <w:lang w:val="es-MX"/>
        </w:rPr>
        <w:t xml:space="preserve"> </w:t>
      </w:r>
      <w:r w:rsidRPr="004230E5">
        <w:rPr>
          <w:sz w:val="22"/>
          <w:szCs w:val="22"/>
          <w:lang w:val="es-MX"/>
        </w:rPr>
        <w:t>financieros, subsidios y donaciones</w:t>
      </w:r>
    </w:p>
    <w:p w14:paraId="212A362F" w14:textId="77777777" w:rsidR="001B686D" w:rsidRPr="004230E5" w:rsidRDefault="001B686D" w:rsidP="003F2243">
      <w:pPr>
        <w:pStyle w:val="Pa9"/>
        <w:numPr>
          <w:ilvl w:val="0"/>
          <w:numId w:val="5"/>
        </w:numPr>
        <w:spacing w:line="240" w:lineRule="auto"/>
        <w:jc w:val="both"/>
        <w:rPr>
          <w:sz w:val="22"/>
          <w:szCs w:val="22"/>
          <w:lang w:val="es-MX"/>
        </w:rPr>
      </w:pPr>
      <w:r w:rsidRPr="004230E5">
        <w:rPr>
          <w:sz w:val="22"/>
          <w:szCs w:val="22"/>
          <w:lang w:val="es-MX"/>
        </w:rPr>
        <w:t>Valor de la producción</w:t>
      </w:r>
    </w:p>
    <w:p w14:paraId="6B6D6CF5" w14:textId="77777777" w:rsidR="001B686D" w:rsidRPr="004230E5" w:rsidRDefault="001B686D" w:rsidP="003F2243">
      <w:pPr>
        <w:pStyle w:val="Pa9"/>
        <w:numPr>
          <w:ilvl w:val="0"/>
          <w:numId w:val="5"/>
        </w:numPr>
        <w:spacing w:line="240" w:lineRule="auto"/>
        <w:jc w:val="both"/>
        <w:rPr>
          <w:sz w:val="22"/>
          <w:szCs w:val="22"/>
          <w:lang w:val="es-MX"/>
        </w:rPr>
      </w:pPr>
      <w:r w:rsidRPr="004230E5">
        <w:rPr>
          <w:sz w:val="22"/>
          <w:szCs w:val="22"/>
          <w:lang w:val="es-MX"/>
        </w:rPr>
        <w:t>Existencias</w:t>
      </w:r>
    </w:p>
    <w:p w14:paraId="5FF9E292" w14:textId="77777777" w:rsidR="001B686D" w:rsidRPr="004230E5" w:rsidRDefault="001B686D" w:rsidP="003F2243">
      <w:pPr>
        <w:pStyle w:val="Pa9"/>
        <w:numPr>
          <w:ilvl w:val="0"/>
          <w:numId w:val="5"/>
        </w:numPr>
        <w:spacing w:line="240" w:lineRule="auto"/>
        <w:jc w:val="both"/>
        <w:rPr>
          <w:sz w:val="22"/>
          <w:szCs w:val="22"/>
          <w:lang w:val="es-MX"/>
        </w:rPr>
      </w:pPr>
      <w:r w:rsidRPr="004230E5">
        <w:rPr>
          <w:sz w:val="22"/>
          <w:szCs w:val="22"/>
          <w:lang w:val="es-MX"/>
        </w:rPr>
        <w:t xml:space="preserve">Activos fijos </w:t>
      </w:r>
    </w:p>
    <w:p w14:paraId="1075E6B7" w14:textId="77777777" w:rsidR="003F2243" w:rsidRPr="004230E5" w:rsidRDefault="003F2243" w:rsidP="003F2243">
      <w:pPr>
        <w:pStyle w:val="Default"/>
        <w:numPr>
          <w:ilvl w:val="0"/>
          <w:numId w:val="5"/>
        </w:numPr>
        <w:rPr>
          <w:sz w:val="22"/>
          <w:szCs w:val="22"/>
        </w:rPr>
      </w:pPr>
      <w:r w:rsidRPr="004230E5">
        <w:rPr>
          <w:sz w:val="22"/>
          <w:szCs w:val="22"/>
        </w:rPr>
        <w:t>Características generales de</w:t>
      </w:r>
      <w:r w:rsidR="00156B5B" w:rsidRPr="004230E5">
        <w:rPr>
          <w:sz w:val="22"/>
          <w:szCs w:val="22"/>
        </w:rPr>
        <w:t xml:space="preserve"> </w:t>
      </w:r>
      <w:r w:rsidRPr="004230E5">
        <w:rPr>
          <w:sz w:val="22"/>
          <w:szCs w:val="22"/>
        </w:rPr>
        <w:t>l</w:t>
      </w:r>
      <w:r w:rsidR="00156B5B" w:rsidRPr="004230E5">
        <w:rPr>
          <w:sz w:val="22"/>
          <w:szCs w:val="22"/>
        </w:rPr>
        <w:t>os</w:t>
      </w:r>
      <w:r w:rsidRPr="004230E5">
        <w:rPr>
          <w:sz w:val="22"/>
          <w:szCs w:val="22"/>
        </w:rPr>
        <w:t xml:space="preserve"> establecimiento</w:t>
      </w:r>
      <w:r w:rsidR="00156B5B" w:rsidRPr="004230E5">
        <w:rPr>
          <w:sz w:val="22"/>
          <w:szCs w:val="22"/>
        </w:rPr>
        <w:t>s</w:t>
      </w:r>
    </w:p>
    <w:p w14:paraId="1620AEA2" w14:textId="77777777" w:rsidR="00E87960" w:rsidRPr="004230E5" w:rsidRDefault="00E87960" w:rsidP="00D26405">
      <w:pPr>
        <w:pStyle w:val="Default"/>
        <w:jc w:val="both"/>
        <w:rPr>
          <w:rStyle w:val="A1"/>
          <w:sz w:val="22"/>
          <w:szCs w:val="22"/>
        </w:rPr>
      </w:pPr>
      <w:r w:rsidRPr="004230E5">
        <w:rPr>
          <w:rStyle w:val="A1"/>
          <w:sz w:val="22"/>
          <w:szCs w:val="22"/>
        </w:rPr>
        <w:lastRenderedPageBreak/>
        <w:t xml:space="preserve">La cobertura geográfica es nacional por clase de actividad </w:t>
      </w:r>
      <w:r w:rsidR="00D42589" w:rsidRPr="004230E5">
        <w:rPr>
          <w:rStyle w:val="A1"/>
          <w:sz w:val="22"/>
          <w:szCs w:val="22"/>
        </w:rPr>
        <w:t>SCIAN.</w:t>
      </w:r>
    </w:p>
    <w:p w14:paraId="7ED84082" w14:textId="77777777" w:rsidR="00E87960" w:rsidRPr="004230E5" w:rsidRDefault="00E87960" w:rsidP="00D26405">
      <w:pPr>
        <w:pStyle w:val="Default"/>
        <w:jc w:val="both"/>
        <w:rPr>
          <w:rStyle w:val="A1"/>
          <w:sz w:val="22"/>
          <w:szCs w:val="22"/>
        </w:rPr>
      </w:pPr>
    </w:p>
    <w:p w14:paraId="492FBC41" w14:textId="77777777" w:rsidR="00D42589" w:rsidRPr="004230E5" w:rsidRDefault="00D42589" w:rsidP="00D42589">
      <w:pPr>
        <w:pStyle w:val="Default"/>
        <w:jc w:val="both"/>
        <w:rPr>
          <w:rStyle w:val="A1"/>
          <w:sz w:val="22"/>
          <w:szCs w:val="22"/>
        </w:rPr>
      </w:pPr>
      <w:r w:rsidRPr="004230E5">
        <w:rPr>
          <w:rStyle w:val="A1"/>
          <w:sz w:val="22"/>
          <w:szCs w:val="22"/>
        </w:rPr>
        <w:t>Para la serie 2013, el marco de la encuesta se conformó con el directorio de los resultados definitivos de los Censos Económicos 2014 (datos de 2013), actualizado por el Registro Estadístico de Negocios de México (RENEM).</w:t>
      </w:r>
    </w:p>
    <w:p w14:paraId="4755DB5C" w14:textId="77777777" w:rsidR="00112917" w:rsidRPr="004230E5" w:rsidRDefault="00112917" w:rsidP="00D42589">
      <w:pPr>
        <w:pStyle w:val="Default"/>
        <w:jc w:val="both"/>
        <w:rPr>
          <w:rStyle w:val="A1"/>
          <w:sz w:val="22"/>
          <w:szCs w:val="22"/>
        </w:rPr>
      </w:pPr>
    </w:p>
    <w:p w14:paraId="43CD38C8" w14:textId="77777777" w:rsidR="00D42589" w:rsidRPr="004230E5" w:rsidRDefault="00494A00" w:rsidP="00D42589">
      <w:pPr>
        <w:pStyle w:val="Default"/>
        <w:jc w:val="center"/>
        <w:rPr>
          <w:b/>
          <w:color w:val="auto"/>
          <w:sz w:val="22"/>
          <w:szCs w:val="22"/>
          <w:lang w:eastAsia="es-MX"/>
        </w:rPr>
      </w:pPr>
      <w:r>
        <w:rPr>
          <w:b/>
          <w:color w:val="auto"/>
          <w:sz w:val="22"/>
          <w:szCs w:val="22"/>
          <w:lang w:eastAsia="es-MX"/>
        </w:rPr>
        <w:t>Cuadro 9</w:t>
      </w:r>
    </w:p>
    <w:p w14:paraId="33081AC3" w14:textId="77777777" w:rsidR="00D42589" w:rsidRDefault="00D42589" w:rsidP="00D42589">
      <w:pPr>
        <w:pStyle w:val="Default"/>
        <w:jc w:val="center"/>
        <w:rPr>
          <w:b/>
          <w:bCs/>
          <w:sz w:val="22"/>
          <w:szCs w:val="22"/>
        </w:rPr>
      </w:pPr>
      <w:r w:rsidRPr="004230E5">
        <w:rPr>
          <w:b/>
          <w:bCs/>
          <w:sz w:val="22"/>
          <w:szCs w:val="22"/>
        </w:rPr>
        <w:t>Marco de muestreo de la EAIM</w:t>
      </w:r>
    </w:p>
    <w:p w14:paraId="58F776F7" w14:textId="77777777" w:rsidR="00246DCB" w:rsidRPr="004230E5" w:rsidRDefault="00246DCB" w:rsidP="00D42589">
      <w:pPr>
        <w:pStyle w:val="Default"/>
        <w:jc w:val="center"/>
        <w:rPr>
          <w:b/>
          <w:color w:val="auto"/>
          <w:sz w:val="22"/>
          <w:szCs w:val="22"/>
          <w:lang w:eastAsia="es-MX"/>
        </w:rPr>
      </w:pPr>
      <w:r>
        <w:rPr>
          <w:b/>
          <w:color w:val="auto"/>
          <w:sz w:val="22"/>
          <w:szCs w:val="22"/>
          <w:lang w:eastAsia="es-MX"/>
        </w:rPr>
        <w:t>Participación porcentual</w:t>
      </w:r>
    </w:p>
    <w:tbl>
      <w:tblPr>
        <w:tblW w:w="8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397"/>
        <w:gridCol w:w="1701"/>
        <w:gridCol w:w="1985"/>
        <w:gridCol w:w="1688"/>
      </w:tblGrid>
      <w:tr w:rsidR="00D42589" w:rsidRPr="004C017C" w14:paraId="184774F5" w14:textId="77777777" w:rsidTr="00B34209">
        <w:trPr>
          <w:trHeight w:val="20"/>
          <w:jc w:val="center"/>
        </w:trPr>
        <w:tc>
          <w:tcPr>
            <w:tcW w:w="3397" w:type="dxa"/>
            <w:shd w:val="clear" w:color="auto" w:fill="A8D08D" w:themeFill="accent6" w:themeFillTint="99"/>
            <w:vAlign w:val="center"/>
            <w:hideMark/>
          </w:tcPr>
          <w:p w14:paraId="289BD08D" w14:textId="77777777" w:rsidR="00D42589" w:rsidRPr="004C017C" w:rsidRDefault="00D42589"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Dominio</w:t>
            </w:r>
          </w:p>
        </w:tc>
        <w:tc>
          <w:tcPr>
            <w:tcW w:w="1701" w:type="dxa"/>
            <w:shd w:val="clear" w:color="auto" w:fill="A8D08D" w:themeFill="accent6" w:themeFillTint="99"/>
            <w:vAlign w:val="center"/>
            <w:hideMark/>
          </w:tcPr>
          <w:p w14:paraId="7C9C7D7F" w14:textId="77777777" w:rsidR="00D42589" w:rsidRPr="004C017C" w:rsidRDefault="00D42589"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Unidades económicas</w:t>
            </w:r>
          </w:p>
        </w:tc>
        <w:tc>
          <w:tcPr>
            <w:tcW w:w="1985" w:type="dxa"/>
            <w:shd w:val="clear" w:color="auto" w:fill="A8D08D" w:themeFill="accent6" w:themeFillTint="99"/>
            <w:vAlign w:val="center"/>
            <w:hideMark/>
          </w:tcPr>
          <w:p w14:paraId="1A876DE5" w14:textId="77777777" w:rsidR="00D42589" w:rsidRPr="004C017C" w:rsidRDefault="00D42589"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Personal ocupado total</w:t>
            </w:r>
          </w:p>
          <w:p w14:paraId="588FAE4D" w14:textId="77777777" w:rsidR="00D42589" w:rsidRPr="004C017C" w:rsidRDefault="00D42589"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(Personas)</w:t>
            </w:r>
          </w:p>
        </w:tc>
        <w:tc>
          <w:tcPr>
            <w:tcW w:w="1688" w:type="dxa"/>
            <w:shd w:val="clear" w:color="auto" w:fill="A8D08D" w:themeFill="accent6" w:themeFillTint="99"/>
            <w:vAlign w:val="center"/>
            <w:hideMark/>
          </w:tcPr>
          <w:p w14:paraId="1B1E9E16" w14:textId="77777777" w:rsidR="00D42589" w:rsidRPr="004C017C" w:rsidRDefault="00D42589"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Ingresos totales</w:t>
            </w:r>
          </w:p>
          <w:p w14:paraId="00A36ADE" w14:textId="77777777" w:rsidR="00D42589" w:rsidRPr="004C017C" w:rsidRDefault="00D42589"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 xml:space="preserve"> (Miles de pesos)</w:t>
            </w:r>
          </w:p>
        </w:tc>
      </w:tr>
      <w:tr w:rsidR="00246DCB" w:rsidRPr="004C017C" w14:paraId="2DA99340" w14:textId="77777777" w:rsidTr="00B34209">
        <w:trPr>
          <w:trHeight w:val="20"/>
          <w:jc w:val="center"/>
        </w:trPr>
        <w:tc>
          <w:tcPr>
            <w:tcW w:w="3397" w:type="dxa"/>
            <w:shd w:val="clear" w:color="auto" w:fill="auto"/>
            <w:noWrap/>
            <w:vAlign w:val="center"/>
            <w:hideMark/>
          </w:tcPr>
          <w:p w14:paraId="085E983A" w14:textId="77777777" w:rsidR="00246DCB" w:rsidRPr="004C017C" w:rsidRDefault="00246DCB" w:rsidP="00246DCB">
            <w:pPr>
              <w:spacing w:after="0" w:line="240" w:lineRule="auto"/>
              <w:ind w:left="133"/>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Industrias manufactureras</w:t>
            </w:r>
          </w:p>
        </w:tc>
        <w:tc>
          <w:tcPr>
            <w:tcW w:w="1701" w:type="dxa"/>
            <w:shd w:val="clear" w:color="auto" w:fill="auto"/>
            <w:noWrap/>
            <w:vAlign w:val="center"/>
          </w:tcPr>
          <w:p w14:paraId="3002910C" w14:textId="77777777" w:rsidR="00246DCB" w:rsidRPr="004C017C" w:rsidRDefault="00246DCB"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100.00</w:t>
            </w:r>
          </w:p>
        </w:tc>
        <w:tc>
          <w:tcPr>
            <w:tcW w:w="1985" w:type="dxa"/>
            <w:shd w:val="clear" w:color="auto" w:fill="auto"/>
            <w:noWrap/>
            <w:vAlign w:val="center"/>
          </w:tcPr>
          <w:p w14:paraId="6D833C61" w14:textId="77777777" w:rsidR="00246DCB" w:rsidRPr="004C017C" w:rsidRDefault="00246DCB"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100.00</w:t>
            </w:r>
          </w:p>
        </w:tc>
        <w:tc>
          <w:tcPr>
            <w:tcW w:w="1688" w:type="dxa"/>
            <w:shd w:val="clear" w:color="auto" w:fill="auto"/>
            <w:noWrap/>
            <w:vAlign w:val="center"/>
          </w:tcPr>
          <w:p w14:paraId="5EB05494" w14:textId="77777777" w:rsidR="00246DCB" w:rsidRPr="004C017C" w:rsidRDefault="00246DCB" w:rsidP="00846A2A">
            <w:pPr>
              <w:spacing w:after="0" w:line="240" w:lineRule="auto"/>
              <w:jc w:val="center"/>
              <w:rPr>
                <w:rFonts w:ascii="Arial" w:eastAsia="Times New Roman" w:hAnsi="Arial" w:cs="Arial"/>
                <w:b/>
                <w:bCs/>
                <w:color w:val="000000"/>
                <w:sz w:val="17"/>
                <w:szCs w:val="17"/>
                <w:lang w:eastAsia="es-MX"/>
              </w:rPr>
            </w:pPr>
            <w:r w:rsidRPr="004C017C">
              <w:rPr>
                <w:rFonts w:ascii="Arial" w:eastAsia="Times New Roman" w:hAnsi="Arial" w:cs="Arial"/>
                <w:b/>
                <w:bCs/>
                <w:color w:val="000000"/>
                <w:sz w:val="17"/>
                <w:szCs w:val="17"/>
                <w:lang w:eastAsia="es-MX"/>
              </w:rPr>
              <w:t>100.00</w:t>
            </w:r>
          </w:p>
        </w:tc>
      </w:tr>
      <w:tr w:rsidR="00246DCB" w:rsidRPr="004C017C" w14:paraId="3CF66FB3" w14:textId="77777777" w:rsidTr="00B34209">
        <w:trPr>
          <w:trHeight w:val="20"/>
          <w:jc w:val="center"/>
        </w:trPr>
        <w:tc>
          <w:tcPr>
            <w:tcW w:w="3397" w:type="dxa"/>
            <w:shd w:val="clear" w:color="auto" w:fill="auto"/>
            <w:noWrap/>
            <w:vAlign w:val="center"/>
            <w:hideMark/>
          </w:tcPr>
          <w:p w14:paraId="5D82BDCA" w14:textId="77777777" w:rsidR="00246DCB" w:rsidRPr="004C017C" w:rsidRDefault="00246DCB" w:rsidP="00246DCB">
            <w:pPr>
              <w:spacing w:after="0" w:line="240" w:lineRule="auto"/>
              <w:ind w:left="133"/>
              <w:rPr>
                <w:rFonts w:ascii="Arial" w:eastAsia="Times New Roman" w:hAnsi="Arial" w:cs="Arial"/>
                <w:bCs/>
                <w:color w:val="000000"/>
                <w:sz w:val="17"/>
                <w:szCs w:val="17"/>
                <w:lang w:eastAsia="es-MX"/>
              </w:rPr>
            </w:pPr>
            <w:r w:rsidRPr="004C017C">
              <w:rPr>
                <w:rFonts w:ascii="Arial" w:eastAsia="Times New Roman" w:hAnsi="Arial" w:cs="Arial"/>
                <w:bCs/>
                <w:color w:val="000000"/>
                <w:sz w:val="17"/>
                <w:szCs w:val="17"/>
                <w:lang w:eastAsia="es-MX"/>
              </w:rPr>
              <w:t>Marco de diseño (239 clases)</w:t>
            </w:r>
          </w:p>
        </w:tc>
        <w:tc>
          <w:tcPr>
            <w:tcW w:w="1701" w:type="dxa"/>
            <w:shd w:val="clear" w:color="auto" w:fill="auto"/>
            <w:noWrap/>
            <w:vAlign w:val="center"/>
          </w:tcPr>
          <w:p w14:paraId="7BB7C96B" w14:textId="77777777" w:rsidR="00246DCB" w:rsidRPr="004C017C" w:rsidRDefault="00246DCB" w:rsidP="00846A2A">
            <w:pPr>
              <w:spacing w:after="0" w:line="240" w:lineRule="auto"/>
              <w:jc w:val="center"/>
              <w:rPr>
                <w:rFonts w:ascii="Arial" w:eastAsia="Times New Roman" w:hAnsi="Arial" w:cs="Arial"/>
                <w:bCs/>
                <w:color w:val="000000"/>
                <w:sz w:val="17"/>
                <w:szCs w:val="17"/>
                <w:lang w:eastAsia="es-MX"/>
              </w:rPr>
            </w:pPr>
            <w:r w:rsidRPr="004C017C">
              <w:rPr>
                <w:rFonts w:ascii="Arial" w:eastAsia="Times New Roman" w:hAnsi="Arial" w:cs="Arial"/>
                <w:bCs/>
                <w:color w:val="000000"/>
                <w:sz w:val="17"/>
                <w:szCs w:val="17"/>
                <w:lang w:eastAsia="es-MX"/>
              </w:rPr>
              <w:t>89.02</w:t>
            </w:r>
          </w:p>
        </w:tc>
        <w:tc>
          <w:tcPr>
            <w:tcW w:w="1985" w:type="dxa"/>
            <w:shd w:val="clear" w:color="auto" w:fill="auto"/>
            <w:noWrap/>
            <w:vAlign w:val="center"/>
          </w:tcPr>
          <w:p w14:paraId="54B7024F" w14:textId="77777777" w:rsidR="00246DCB" w:rsidRPr="004C017C" w:rsidRDefault="00246DCB" w:rsidP="00846A2A">
            <w:pPr>
              <w:spacing w:after="0" w:line="240" w:lineRule="auto"/>
              <w:jc w:val="center"/>
              <w:rPr>
                <w:rFonts w:ascii="Arial" w:eastAsia="Times New Roman" w:hAnsi="Arial" w:cs="Arial"/>
                <w:bCs/>
                <w:color w:val="000000"/>
                <w:sz w:val="17"/>
                <w:szCs w:val="17"/>
                <w:lang w:eastAsia="es-MX"/>
              </w:rPr>
            </w:pPr>
            <w:r w:rsidRPr="004C017C">
              <w:rPr>
                <w:rFonts w:ascii="Arial" w:eastAsia="Times New Roman" w:hAnsi="Arial" w:cs="Arial"/>
                <w:bCs/>
                <w:color w:val="000000"/>
                <w:sz w:val="17"/>
                <w:szCs w:val="17"/>
                <w:lang w:eastAsia="es-MX"/>
              </w:rPr>
              <w:t>96.60</w:t>
            </w:r>
          </w:p>
        </w:tc>
        <w:tc>
          <w:tcPr>
            <w:tcW w:w="1688" w:type="dxa"/>
            <w:shd w:val="clear" w:color="auto" w:fill="auto"/>
            <w:noWrap/>
            <w:vAlign w:val="center"/>
          </w:tcPr>
          <w:p w14:paraId="0BE07508" w14:textId="77777777" w:rsidR="00246DCB" w:rsidRPr="004C017C" w:rsidRDefault="00246DCB" w:rsidP="00846A2A">
            <w:pPr>
              <w:spacing w:after="0" w:line="240" w:lineRule="auto"/>
              <w:jc w:val="center"/>
              <w:rPr>
                <w:rFonts w:ascii="Arial" w:eastAsia="Times New Roman" w:hAnsi="Arial" w:cs="Arial"/>
                <w:bCs/>
                <w:color w:val="000000"/>
                <w:sz w:val="17"/>
                <w:szCs w:val="17"/>
                <w:lang w:eastAsia="es-MX"/>
              </w:rPr>
            </w:pPr>
            <w:r w:rsidRPr="004C017C">
              <w:rPr>
                <w:rFonts w:ascii="Arial" w:eastAsia="Times New Roman" w:hAnsi="Arial" w:cs="Arial"/>
                <w:bCs/>
                <w:color w:val="000000"/>
                <w:sz w:val="17"/>
                <w:szCs w:val="17"/>
                <w:lang w:eastAsia="es-MX"/>
              </w:rPr>
              <w:t>99.33</w:t>
            </w:r>
          </w:p>
        </w:tc>
      </w:tr>
      <w:tr w:rsidR="00246DCB" w:rsidRPr="004C017C" w14:paraId="4C5B8537" w14:textId="77777777" w:rsidTr="00B34209">
        <w:trPr>
          <w:trHeight w:val="20"/>
          <w:jc w:val="center"/>
        </w:trPr>
        <w:tc>
          <w:tcPr>
            <w:tcW w:w="3397" w:type="dxa"/>
            <w:shd w:val="clear" w:color="auto" w:fill="auto"/>
            <w:noWrap/>
            <w:vAlign w:val="center"/>
            <w:hideMark/>
          </w:tcPr>
          <w:p w14:paraId="5527FDEB" w14:textId="77777777" w:rsidR="00246DCB" w:rsidRPr="004C017C" w:rsidRDefault="00246DCB" w:rsidP="00246DCB">
            <w:pPr>
              <w:spacing w:after="0" w:line="240" w:lineRule="auto"/>
              <w:ind w:left="133" w:firstLineChars="100" w:firstLine="170"/>
              <w:rPr>
                <w:rFonts w:ascii="Arial" w:eastAsia="Times New Roman" w:hAnsi="Arial" w:cs="Arial"/>
                <w:color w:val="000000"/>
                <w:sz w:val="17"/>
                <w:szCs w:val="17"/>
                <w:lang w:eastAsia="es-MX"/>
              </w:rPr>
            </w:pPr>
            <w:r w:rsidRPr="004C017C">
              <w:rPr>
                <w:rFonts w:ascii="Arial" w:eastAsia="Times New Roman" w:hAnsi="Arial" w:cs="Arial"/>
                <w:color w:val="000000"/>
                <w:sz w:val="17"/>
                <w:szCs w:val="17"/>
                <w:lang w:eastAsia="es-MX"/>
              </w:rPr>
              <w:t>Diseño no probabilístico (235 Clases)</w:t>
            </w:r>
          </w:p>
        </w:tc>
        <w:tc>
          <w:tcPr>
            <w:tcW w:w="1701" w:type="dxa"/>
            <w:shd w:val="clear" w:color="auto" w:fill="auto"/>
            <w:noWrap/>
            <w:vAlign w:val="center"/>
          </w:tcPr>
          <w:p w14:paraId="7A44FCAE" w14:textId="77777777" w:rsidR="00246DCB" w:rsidRPr="004C017C" w:rsidRDefault="00246DCB" w:rsidP="00846A2A">
            <w:pPr>
              <w:spacing w:after="0" w:line="240" w:lineRule="auto"/>
              <w:jc w:val="center"/>
              <w:rPr>
                <w:rFonts w:ascii="Arial" w:eastAsia="Times New Roman" w:hAnsi="Arial" w:cs="Arial"/>
                <w:color w:val="000000"/>
                <w:sz w:val="17"/>
                <w:szCs w:val="17"/>
                <w:lang w:eastAsia="es-MX"/>
              </w:rPr>
            </w:pPr>
            <w:r w:rsidRPr="004C017C">
              <w:rPr>
                <w:rFonts w:ascii="Arial" w:eastAsia="Times New Roman" w:hAnsi="Arial" w:cs="Arial"/>
                <w:color w:val="000000"/>
                <w:sz w:val="17"/>
                <w:szCs w:val="17"/>
                <w:lang w:eastAsia="es-MX"/>
              </w:rPr>
              <w:t>40.47</w:t>
            </w:r>
          </w:p>
        </w:tc>
        <w:tc>
          <w:tcPr>
            <w:tcW w:w="1985" w:type="dxa"/>
            <w:shd w:val="clear" w:color="auto" w:fill="auto"/>
            <w:noWrap/>
            <w:vAlign w:val="center"/>
          </w:tcPr>
          <w:p w14:paraId="439E9705" w14:textId="77777777" w:rsidR="00246DCB" w:rsidRPr="004C017C" w:rsidRDefault="00246DCB" w:rsidP="00846A2A">
            <w:pPr>
              <w:spacing w:after="0" w:line="240" w:lineRule="auto"/>
              <w:jc w:val="center"/>
              <w:rPr>
                <w:rFonts w:ascii="Arial" w:eastAsia="Times New Roman" w:hAnsi="Arial" w:cs="Arial"/>
                <w:color w:val="000000"/>
                <w:sz w:val="17"/>
                <w:szCs w:val="17"/>
                <w:lang w:eastAsia="es-MX"/>
              </w:rPr>
            </w:pPr>
            <w:r w:rsidRPr="004C017C">
              <w:rPr>
                <w:rFonts w:ascii="Arial" w:eastAsia="Times New Roman" w:hAnsi="Arial" w:cs="Arial"/>
                <w:color w:val="000000"/>
                <w:sz w:val="17"/>
                <w:szCs w:val="17"/>
                <w:lang w:eastAsia="es-MX"/>
              </w:rPr>
              <w:t>85.07</w:t>
            </w:r>
          </w:p>
        </w:tc>
        <w:tc>
          <w:tcPr>
            <w:tcW w:w="1688" w:type="dxa"/>
            <w:shd w:val="clear" w:color="auto" w:fill="auto"/>
            <w:noWrap/>
            <w:vAlign w:val="center"/>
          </w:tcPr>
          <w:p w14:paraId="361485BD" w14:textId="77777777" w:rsidR="00246DCB" w:rsidRPr="004C017C" w:rsidRDefault="00246DCB" w:rsidP="00846A2A">
            <w:pPr>
              <w:spacing w:after="0" w:line="240" w:lineRule="auto"/>
              <w:jc w:val="center"/>
              <w:rPr>
                <w:rFonts w:ascii="Arial" w:eastAsia="Times New Roman" w:hAnsi="Arial" w:cs="Arial"/>
                <w:color w:val="000000"/>
                <w:sz w:val="17"/>
                <w:szCs w:val="17"/>
                <w:lang w:eastAsia="es-MX"/>
              </w:rPr>
            </w:pPr>
            <w:r w:rsidRPr="004C017C">
              <w:rPr>
                <w:rFonts w:ascii="Arial" w:eastAsia="Times New Roman" w:hAnsi="Arial" w:cs="Arial"/>
                <w:color w:val="000000"/>
                <w:sz w:val="17"/>
                <w:szCs w:val="17"/>
                <w:lang w:eastAsia="es-MX"/>
              </w:rPr>
              <w:t>97.77</w:t>
            </w:r>
          </w:p>
        </w:tc>
      </w:tr>
      <w:tr w:rsidR="00246DCB" w:rsidRPr="004C017C" w14:paraId="2C5E0FDF" w14:textId="77777777" w:rsidTr="00B34209">
        <w:trPr>
          <w:trHeight w:val="20"/>
          <w:jc w:val="center"/>
        </w:trPr>
        <w:tc>
          <w:tcPr>
            <w:tcW w:w="3397" w:type="dxa"/>
            <w:shd w:val="clear" w:color="auto" w:fill="auto"/>
            <w:noWrap/>
            <w:vAlign w:val="center"/>
            <w:hideMark/>
          </w:tcPr>
          <w:p w14:paraId="6E127BD9" w14:textId="77777777" w:rsidR="00246DCB" w:rsidRPr="004C017C" w:rsidRDefault="00246DCB" w:rsidP="00246DCB">
            <w:pPr>
              <w:spacing w:after="0" w:line="240" w:lineRule="auto"/>
              <w:ind w:left="133" w:firstLineChars="100" w:firstLine="170"/>
              <w:rPr>
                <w:rFonts w:ascii="Arial" w:eastAsia="Times New Roman" w:hAnsi="Arial" w:cs="Arial"/>
                <w:color w:val="000000"/>
                <w:sz w:val="17"/>
                <w:szCs w:val="17"/>
                <w:lang w:eastAsia="es-MX"/>
              </w:rPr>
            </w:pPr>
            <w:r w:rsidRPr="004C017C">
              <w:rPr>
                <w:rFonts w:ascii="Arial" w:eastAsia="Times New Roman" w:hAnsi="Arial" w:cs="Arial"/>
                <w:color w:val="000000"/>
                <w:sz w:val="17"/>
                <w:szCs w:val="17"/>
                <w:lang w:eastAsia="es-MX"/>
              </w:rPr>
              <w:t>Diseño Probabilístico (4 clases)</w:t>
            </w:r>
          </w:p>
        </w:tc>
        <w:tc>
          <w:tcPr>
            <w:tcW w:w="1701" w:type="dxa"/>
            <w:shd w:val="clear" w:color="auto" w:fill="auto"/>
            <w:noWrap/>
            <w:vAlign w:val="center"/>
          </w:tcPr>
          <w:p w14:paraId="5626311C" w14:textId="77777777" w:rsidR="00246DCB" w:rsidRPr="004C017C" w:rsidRDefault="00246DCB" w:rsidP="00846A2A">
            <w:pPr>
              <w:spacing w:after="0" w:line="240" w:lineRule="auto"/>
              <w:jc w:val="center"/>
              <w:rPr>
                <w:rFonts w:ascii="Arial" w:eastAsia="Times New Roman" w:hAnsi="Arial" w:cs="Arial"/>
                <w:color w:val="000000"/>
                <w:sz w:val="17"/>
                <w:szCs w:val="17"/>
                <w:lang w:eastAsia="es-MX"/>
              </w:rPr>
            </w:pPr>
            <w:r w:rsidRPr="004C017C">
              <w:rPr>
                <w:rFonts w:ascii="Arial" w:eastAsia="Times New Roman" w:hAnsi="Arial" w:cs="Arial"/>
                <w:color w:val="000000"/>
                <w:sz w:val="17"/>
                <w:szCs w:val="17"/>
                <w:lang w:eastAsia="es-MX"/>
              </w:rPr>
              <w:t>48.56</w:t>
            </w:r>
          </w:p>
        </w:tc>
        <w:tc>
          <w:tcPr>
            <w:tcW w:w="1985" w:type="dxa"/>
            <w:shd w:val="clear" w:color="auto" w:fill="auto"/>
            <w:noWrap/>
            <w:vAlign w:val="center"/>
          </w:tcPr>
          <w:p w14:paraId="1236F3FD" w14:textId="77777777" w:rsidR="00246DCB" w:rsidRPr="004C017C" w:rsidRDefault="00246DCB" w:rsidP="00846A2A">
            <w:pPr>
              <w:spacing w:after="0" w:line="240" w:lineRule="auto"/>
              <w:jc w:val="center"/>
              <w:rPr>
                <w:rFonts w:ascii="Arial" w:eastAsia="Times New Roman" w:hAnsi="Arial" w:cs="Arial"/>
                <w:color w:val="000000"/>
                <w:sz w:val="17"/>
                <w:szCs w:val="17"/>
                <w:lang w:eastAsia="es-MX"/>
              </w:rPr>
            </w:pPr>
            <w:r w:rsidRPr="004C017C">
              <w:rPr>
                <w:rFonts w:ascii="Arial" w:eastAsia="Times New Roman" w:hAnsi="Arial" w:cs="Arial"/>
                <w:color w:val="000000"/>
                <w:sz w:val="17"/>
                <w:szCs w:val="17"/>
                <w:lang w:eastAsia="es-MX"/>
              </w:rPr>
              <w:t>11.54</w:t>
            </w:r>
          </w:p>
        </w:tc>
        <w:tc>
          <w:tcPr>
            <w:tcW w:w="1688" w:type="dxa"/>
            <w:shd w:val="clear" w:color="auto" w:fill="auto"/>
            <w:noWrap/>
            <w:vAlign w:val="center"/>
          </w:tcPr>
          <w:p w14:paraId="613AEB34" w14:textId="77777777" w:rsidR="00246DCB" w:rsidRPr="004C017C" w:rsidRDefault="00246DCB" w:rsidP="00846A2A">
            <w:pPr>
              <w:spacing w:after="0" w:line="240" w:lineRule="auto"/>
              <w:jc w:val="center"/>
              <w:rPr>
                <w:rFonts w:ascii="Arial" w:eastAsia="Times New Roman" w:hAnsi="Arial" w:cs="Arial"/>
                <w:color w:val="000000"/>
                <w:sz w:val="17"/>
                <w:szCs w:val="17"/>
                <w:lang w:eastAsia="es-MX"/>
              </w:rPr>
            </w:pPr>
            <w:r w:rsidRPr="004C017C">
              <w:rPr>
                <w:rFonts w:ascii="Arial" w:eastAsia="Times New Roman" w:hAnsi="Arial" w:cs="Arial"/>
                <w:color w:val="000000"/>
                <w:sz w:val="17"/>
                <w:szCs w:val="17"/>
                <w:lang w:eastAsia="es-MX"/>
              </w:rPr>
              <w:t>1.56</w:t>
            </w:r>
          </w:p>
        </w:tc>
      </w:tr>
    </w:tbl>
    <w:p w14:paraId="2F9399A8" w14:textId="77777777" w:rsidR="00D42589" w:rsidRPr="00A341C6" w:rsidRDefault="00D42589" w:rsidP="00D42589">
      <w:pPr>
        <w:pStyle w:val="Default"/>
        <w:jc w:val="both"/>
        <w:rPr>
          <w:color w:val="auto"/>
          <w:sz w:val="16"/>
          <w:lang w:eastAsia="es-MX"/>
        </w:rPr>
      </w:pPr>
      <w:r w:rsidRPr="00A341C6">
        <w:rPr>
          <w:color w:val="auto"/>
          <w:sz w:val="16"/>
          <w:lang w:eastAsia="es-MX"/>
        </w:rPr>
        <w:t xml:space="preserve">Fuente: </w:t>
      </w:r>
      <w:r w:rsidRPr="00A341C6">
        <w:rPr>
          <w:b/>
          <w:color w:val="auto"/>
          <w:sz w:val="16"/>
          <w:lang w:eastAsia="es-MX"/>
        </w:rPr>
        <w:t>INEGI</w:t>
      </w:r>
    </w:p>
    <w:p w14:paraId="4C7A8BFC" w14:textId="77777777" w:rsidR="00D42589" w:rsidRDefault="00D42589" w:rsidP="00D26405">
      <w:pPr>
        <w:pStyle w:val="Default"/>
        <w:jc w:val="both"/>
        <w:rPr>
          <w:rStyle w:val="A1"/>
          <w:sz w:val="22"/>
          <w:szCs w:val="22"/>
        </w:rPr>
      </w:pPr>
    </w:p>
    <w:p w14:paraId="1459271B" w14:textId="77777777" w:rsidR="00D26405" w:rsidRPr="00202E26" w:rsidRDefault="003F00D6" w:rsidP="00D26405">
      <w:pPr>
        <w:pStyle w:val="Default"/>
        <w:jc w:val="both"/>
        <w:rPr>
          <w:rStyle w:val="A1"/>
          <w:sz w:val="22"/>
          <w:szCs w:val="22"/>
        </w:rPr>
      </w:pPr>
      <w:r w:rsidRPr="00202E26">
        <w:rPr>
          <w:rStyle w:val="A1"/>
          <w:sz w:val="22"/>
          <w:szCs w:val="22"/>
        </w:rPr>
        <w:t xml:space="preserve">La </w:t>
      </w:r>
      <w:r w:rsidR="003A3D8D" w:rsidRPr="00202E26">
        <w:rPr>
          <w:rStyle w:val="A1"/>
          <w:sz w:val="22"/>
          <w:szCs w:val="22"/>
        </w:rPr>
        <w:t xml:space="preserve">serie actual de la </w:t>
      </w:r>
      <w:r w:rsidRPr="00202E26">
        <w:rPr>
          <w:rStyle w:val="A1"/>
          <w:sz w:val="22"/>
          <w:szCs w:val="22"/>
        </w:rPr>
        <w:t xml:space="preserve">EIAM </w:t>
      </w:r>
      <w:r w:rsidR="003F2243" w:rsidRPr="00202E26">
        <w:rPr>
          <w:rStyle w:val="A1"/>
          <w:sz w:val="22"/>
          <w:szCs w:val="22"/>
        </w:rPr>
        <w:t xml:space="preserve">tiene un </w:t>
      </w:r>
      <w:r w:rsidR="00E87960" w:rsidRPr="00202E26">
        <w:rPr>
          <w:rStyle w:val="A1"/>
          <w:sz w:val="22"/>
          <w:szCs w:val="22"/>
        </w:rPr>
        <w:t xml:space="preserve">diseño </w:t>
      </w:r>
      <w:r w:rsidR="00D42589" w:rsidRPr="00202E26">
        <w:rPr>
          <w:rStyle w:val="A1"/>
          <w:sz w:val="22"/>
          <w:szCs w:val="22"/>
        </w:rPr>
        <w:t>estadístico mixto</w:t>
      </w:r>
      <w:r w:rsidR="00F91707" w:rsidRPr="00202E26">
        <w:rPr>
          <w:rStyle w:val="A1"/>
          <w:sz w:val="22"/>
          <w:szCs w:val="22"/>
        </w:rPr>
        <w:t xml:space="preserve">, midiendo 239 clases de actividad económica, de las cuales </w:t>
      </w:r>
      <w:r w:rsidR="003F2243" w:rsidRPr="00202E26">
        <w:rPr>
          <w:rStyle w:val="A1"/>
          <w:sz w:val="22"/>
          <w:szCs w:val="22"/>
        </w:rPr>
        <w:t>235 tienen u</w:t>
      </w:r>
      <w:r w:rsidR="00D26405" w:rsidRPr="00202E26">
        <w:rPr>
          <w:rStyle w:val="A1"/>
          <w:sz w:val="22"/>
          <w:szCs w:val="22"/>
        </w:rPr>
        <w:t xml:space="preserve">n diseño no probabilístico y </w:t>
      </w:r>
      <w:r w:rsidR="00F91707" w:rsidRPr="00202E26">
        <w:rPr>
          <w:rStyle w:val="A1"/>
          <w:sz w:val="22"/>
          <w:szCs w:val="22"/>
        </w:rPr>
        <w:t xml:space="preserve">cuatro </w:t>
      </w:r>
      <w:r w:rsidR="003F2243" w:rsidRPr="00202E26">
        <w:rPr>
          <w:rStyle w:val="A1"/>
          <w:sz w:val="22"/>
          <w:szCs w:val="22"/>
        </w:rPr>
        <w:t>un</w:t>
      </w:r>
      <w:r w:rsidR="00D26405" w:rsidRPr="00202E26">
        <w:rPr>
          <w:rStyle w:val="A1"/>
          <w:sz w:val="22"/>
          <w:szCs w:val="22"/>
        </w:rPr>
        <w:t xml:space="preserve"> diseño probabilístico.</w:t>
      </w:r>
      <w:r w:rsidR="00F91707" w:rsidRPr="00202E26">
        <w:rPr>
          <w:rStyle w:val="A1"/>
          <w:sz w:val="22"/>
          <w:szCs w:val="22"/>
        </w:rPr>
        <w:t xml:space="preserve"> </w:t>
      </w:r>
    </w:p>
    <w:p w14:paraId="3B3DE125" w14:textId="77777777" w:rsidR="00D26405" w:rsidRPr="00202E26" w:rsidRDefault="00D26405" w:rsidP="00D26405">
      <w:pPr>
        <w:pStyle w:val="Default"/>
        <w:jc w:val="both"/>
        <w:rPr>
          <w:color w:val="auto"/>
          <w:sz w:val="22"/>
          <w:szCs w:val="22"/>
          <w:lang w:eastAsia="es-MX"/>
        </w:rPr>
      </w:pPr>
    </w:p>
    <w:p w14:paraId="4FF313F8" w14:textId="77777777" w:rsidR="00D26405" w:rsidRPr="00202E26" w:rsidRDefault="00F91707" w:rsidP="00D26405">
      <w:pPr>
        <w:pStyle w:val="Pa9"/>
        <w:spacing w:line="240" w:lineRule="auto"/>
        <w:jc w:val="both"/>
        <w:rPr>
          <w:rStyle w:val="A1"/>
          <w:sz w:val="22"/>
          <w:szCs w:val="22"/>
          <w:lang w:val="es-MX"/>
        </w:rPr>
      </w:pPr>
      <w:r w:rsidRPr="00202E26">
        <w:rPr>
          <w:rStyle w:val="A1"/>
          <w:sz w:val="22"/>
          <w:szCs w:val="22"/>
          <w:lang w:val="es-MX"/>
        </w:rPr>
        <w:t xml:space="preserve">La selección de la muestra de </w:t>
      </w:r>
      <w:r w:rsidR="00D26405" w:rsidRPr="00202E26">
        <w:rPr>
          <w:rStyle w:val="A1"/>
          <w:sz w:val="22"/>
          <w:szCs w:val="22"/>
          <w:lang w:val="es-MX"/>
        </w:rPr>
        <w:t xml:space="preserve">las clases con diseño no probabilístico </w:t>
      </w:r>
      <w:r w:rsidRPr="00202E26">
        <w:rPr>
          <w:rStyle w:val="A1"/>
          <w:sz w:val="22"/>
          <w:szCs w:val="22"/>
          <w:lang w:val="es-MX"/>
        </w:rPr>
        <w:t xml:space="preserve">se basó en la variable de ingresos, integrando los establecimientos de acuerdo con su </w:t>
      </w:r>
      <w:r w:rsidR="00D26405" w:rsidRPr="00202E26">
        <w:rPr>
          <w:rStyle w:val="A1"/>
          <w:sz w:val="22"/>
          <w:szCs w:val="22"/>
          <w:lang w:val="es-MX"/>
        </w:rPr>
        <w:t xml:space="preserve">contribución en la variable </w:t>
      </w:r>
      <w:r w:rsidR="00894715" w:rsidRPr="00202E26">
        <w:rPr>
          <w:rStyle w:val="A1"/>
          <w:sz w:val="22"/>
          <w:szCs w:val="22"/>
          <w:lang w:val="es-MX"/>
        </w:rPr>
        <w:t xml:space="preserve">citada. </w:t>
      </w:r>
    </w:p>
    <w:p w14:paraId="3B51EE88" w14:textId="77777777" w:rsidR="00D26405" w:rsidRPr="00202E26" w:rsidRDefault="00D26405" w:rsidP="00D26405">
      <w:pPr>
        <w:pStyle w:val="Default"/>
        <w:jc w:val="both"/>
        <w:rPr>
          <w:sz w:val="22"/>
          <w:szCs w:val="22"/>
        </w:rPr>
      </w:pPr>
    </w:p>
    <w:p w14:paraId="51389E4A" w14:textId="77777777" w:rsidR="00FA2277" w:rsidRPr="00202E26" w:rsidRDefault="00D26405" w:rsidP="00D26405">
      <w:pPr>
        <w:pStyle w:val="Default"/>
        <w:jc w:val="both"/>
        <w:rPr>
          <w:rStyle w:val="A1"/>
          <w:sz w:val="22"/>
          <w:szCs w:val="22"/>
        </w:rPr>
      </w:pPr>
      <w:r w:rsidRPr="00202E26">
        <w:rPr>
          <w:rStyle w:val="A1"/>
          <w:sz w:val="22"/>
          <w:szCs w:val="22"/>
        </w:rPr>
        <w:t>L</w:t>
      </w:r>
      <w:r w:rsidR="00FA2277" w:rsidRPr="00202E26">
        <w:rPr>
          <w:rStyle w:val="A1"/>
          <w:sz w:val="22"/>
          <w:szCs w:val="22"/>
        </w:rPr>
        <w:t xml:space="preserve">a muestra de </w:t>
      </w:r>
      <w:r w:rsidRPr="00202E26">
        <w:rPr>
          <w:rStyle w:val="A1"/>
          <w:sz w:val="22"/>
          <w:szCs w:val="22"/>
        </w:rPr>
        <w:t xml:space="preserve">las clases con diseño probabilístico </w:t>
      </w:r>
      <w:r w:rsidR="00FA2277" w:rsidRPr="00202E26">
        <w:rPr>
          <w:rStyle w:val="A1"/>
          <w:sz w:val="22"/>
          <w:szCs w:val="22"/>
        </w:rPr>
        <w:t xml:space="preserve">se realizó de manera </w:t>
      </w:r>
      <w:r w:rsidR="00667C63" w:rsidRPr="00202E26">
        <w:rPr>
          <w:rStyle w:val="A1"/>
          <w:sz w:val="22"/>
          <w:szCs w:val="22"/>
        </w:rPr>
        <w:t>aleatoria</w:t>
      </w:r>
      <w:r w:rsidR="00FA2277" w:rsidRPr="00202E26">
        <w:rPr>
          <w:rStyle w:val="A1"/>
          <w:sz w:val="22"/>
          <w:szCs w:val="22"/>
        </w:rPr>
        <w:t xml:space="preserve"> e independiente </w:t>
      </w:r>
      <w:r w:rsidRPr="00202E26">
        <w:rPr>
          <w:rStyle w:val="A1"/>
          <w:sz w:val="22"/>
          <w:szCs w:val="22"/>
        </w:rPr>
        <w:t>para cada estrato.</w:t>
      </w:r>
      <w:r w:rsidR="00FA2277" w:rsidRPr="00202E26">
        <w:rPr>
          <w:rStyle w:val="A1"/>
          <w:sz w:val="22"/>
          <w:szCs w:val="22"/>
        </w:rPr>
        <w:t xml:space="preserve">  El tamaño de muestra se obtuvo a través de la expresión para estimar un total, con un nivel de confianza de 95%, un error relativo de 10% y una tasa de no respuesta esperada de 15%. Considerando al estrato uno con certeza.</w:t>
      </w:r>
    </w:p>
    <w:p w14:paraId="041D5048" w14:textId="77777777" w:rsidR="00F91707" w:rsidRPr="00202E26" w:rsidRDefault="00F91707" w:rsidP="00D26405">
      <w:pPr>
        <w:pStyle w:val="Default"/>
        <w:jc w:val="both"/>
        <w:rPr>
          <w:rStyle w:val="A1"/>
          <w:sz w:val="22"/>
          <w:szCs w:val="22"/>
        </w:rPr>
      </w:pPr>
    </w:p>
    <w:p w14:paraId="739D9400" w14:textId="77777777" w:rsidR="00FA2277" w:rsidRPr="00202E26" w:rsidRDefault="00FA2277" w:rsidP="00FA2277">
      <w:pPr>
        <w:pStyle w:val="Default"/>
        <w:jc w:val="both"/>
        <w:rPr>
          <w:color w:val="auto"/>
          <w:sz w:val="22"/>
          <w:szCs w:val="22"/>
          <w:lang w:eastAsia="es-MX"/>
        </w:rPr>
      </w:pPr>
      <w:r w:rsidRPr="00202E26">
        <w:rPr>
          <w:color w:val="auto"/>
          <w:sz w:val="22"/>
          <w:szCs w:val="22"/>
          <w:lang w:eastAsia="es-MX"/>
        </w:rPr>
        <w:t>El tamaño de muestra total de la EAIM está conformado por 10,447 establecimientos manufactureros.</w:t>
      </w:r>
    </w:p>
    <w:p w14:paraId="7F43A687" w14:textId="77777777" w:rsidR="00FA2277" w:rsidRDefault="00FA2277" w:rsidP="00FA2277">
      <w:pPr>
        <w:pStyle w:val="Default"/>
        <w:jc w:val="center"/>
        <w:rPr>
          <w:b/>
          <w:color w:val="auto"/>
          <w:sz w:val="22"/>
          <w:szCs w:val="22"/>
          <w:lang w:eastAsia="es-MX"/>
        </w:rPr>
      </w:pPr>
    </w:p>
    <w:p w14:paraId="615883D9" w14:textId="77777777" w:rsidR="00FA2277" w:rsidRPr="00202E26" w:rsidRDefault="00494A00" w:rsidP="00FA2277">
      <w:pPr>
        <w:pStyle w:val="Default"/>
        <w:jc w:val="center"/>
        <w:rPr>
          <w:b/>
          <w:color w:val="auto"/>
          <w:sz w:val="22"/>
          <w:szCs w:val="22"/>
          <w:lang w:eastAsia="es-MX"/>
        </w:rPr>
      </w:pPr>
      <w:r>
        <w:rPr>
          <w:b/>
          <w:color w:val="auto"/>
          <w:sz w:val="22"/>
          <w:szCs w:val="22"/>
          <w:lang w:eastAsia="es-MX"/>
        </w:rPr>
        <w:t>Cuadro 10</w:t>
      </w:r>
    </w:p>
    <w:p w14:paraId="1BC710F3" w14:textId="77777777" w:rsidR="00CF25CB" w:rsidRPr="00202E26" w:rsidRDefault="00FA2277" w:rsidP="00FA2277">
      <w:pPr>
        <w:pStyle w:val="Default"/>
        <w:jc w:val="center"/>
        <w:rPr>
          <w:b/>
          <w:bCs/>
          <w:sz w:val="22"/>
          <w:szCs w:val="22"/>
        </w:rPr>
      </w:pPr>
      <w:r w:rsidRPr="00202E26">
        <w:rPr>
          <w:b/>
          <w:bCs/>
          <w:sz w:val="22"/>
          <w:szCs w:val="22"/>
        </w:rPr>
        <w:t>Tamaño de muestra de la EAIM</w:t>
      </w:r>
      <w:r w:rsidR="00AC444E" w:rsidRPr="00202E26">
        <w:rPr>
          <w:b/>
          <w:bCs/>
          <w:sz w:val="22"/>
          <w:szCs w:val="22"/>
        </w:rPr>
        <w:t xml:space="preserve"> </w:t>
      </w:r>
    </w:p>
    <w:p w14:paraId="3EE1EA15" w14:textId="77777777" w:rsidR="00FA2277" w:rsidRPr="00202E26" w:rsidRDefault="00AC444E" w:rsidP="00FA2277">
      <w:pPr>
        <w:pStyle w:val="Default"/>
        <w:jc w:val="center"/>
        <w:rPr>
          <w:b/>
          <w:color w:val="auto"/>
          <w:sz w:val="22"/>
          <w:szCs w:val="22"/>
          <w:lang w:eastAsia="es-MX"/>
        </w:rPr>
      </w:pPr>
      <w:r w:rsidRPr="00202E26">
        <w:rPr>
          <w:b/>
          <w:bCs/>
          <w:sz w:val="22"/>
          <w:szCs w:val="22"/>
        </w:rPr>
        <w:t>por tipo de diseño</w:t>
      </w:r>
    </w:p>
    <w:tbl>
      <w:tblPr>
        <w:tblW w:w="50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74"/>
        <w:gridCol w:w="1377"/>
      </w:tblGrid>
      <w:tr w:rsidR="00FA2277" w:rsidRPr="004C017C" w14:paraId="72CD4E6E" w14:textId="77777777" w:rsidTr="00B34209">
        <w:trPr>
          <w:trHeight w:val="374"/>
          <w:jc w:val="center"/>
        </w:trPr>
        <w:tc>
          <w:tcPr>
            <w:tcW w:w="3674" w:type="dxa"/>
            <w:shd w:val="clear" w:color="auto" w:fill="A8D08D" w:themeFill="accent6" w:themeFillTint="99"/>
            <w:vAlign w:val="center"/>
          </w:tcPr>
          <w:p w14:paraId="7BDDFD1E" w14:textId="77777777" w:rsidR="00FA2277" w:rsidRPr="004C017C" w:rsidRDefault="00FA2277" w:rsidP="00846A2A">
            <w:pPr>
              <w:spacing w:after="0" w:line="240" w:lineRule="auto"/>
              <w:jc w:val="center"/>
              <w:rPr>
                <w:rFonts w:ascii="Arial" w:eastAsia="Times New Roman" w:hAnsi="Arial" w:cs="Arial"/>
                <w:b/>
                <w:bCs/>
                <w:color w:val="000000"/>
                <w:sz w:val="18"/>
                <w:szCs w:val="16"/>
                <w:lang w:eastAsia="es-MX"/>
              </w:rPr>
            </w:pPr>
            <w:r w:rsidRPr="004C017C">
              <w:rPr>
                <w:rFonts w:ascii="Arial" w:eastAsia="Times New Roman" w:hAnsi="Arial" w:cs="Arial"/>
                <w:b/>
                <w:bCs/>
                <w:color w:val="000000"/>
                <w:sz w:val="18"/>
                <w:szCs w:val="16"/>
                <w:lang w:eastAsia="es-MX"/>
              </w:rPr>
              <w:t>Dominio</w:t>
            </w:r>
          </w:p>
        </w:tc>
        <w:tc>
          <w:tcPr>
            <w:tcW w:w="1377" w:type="dxa"/>
            <w:shd w:val="clear" w:color="auto" w:fill="A8D08D" w:themeFill="accent6" w:themeFillTint="99"/>
            <w:vAlign w:val="center"/>
          </w:tcPr>
          <w:p w14:paraId="0E4471C5" w14:textId="77777777" w:rsidR="00FA2277" w:rsidRPr="004C017C" w:rsidRDefault="00FA2277" w:rsidP="00846A2A">
            <w:pPr>
              <w:spacing w:after="0" w:line="240" w:lineRule="auto"/>
              <w:jc w:val="center"/>
              <w:rPr>
                <w:rFonts w:ascii="Arial" w:eastAsia="Times New Roman" w:hAnsi="Arial" w:cs="Arial"/>
                <w:b/>
                <w:bCs/>
                <w:color w:val="000000"/>
                <w:sz w:val="18"/>
                <w:szCs w:val="16"/>
                <w:lang w:eastAsia="es-MX"/>
              </w:rPr>
            </w:pPr>
            <w:r w:rsidRPr="004C017C">
              <w:rPr>
                <w:rFonts w:ascii="Arial" w:eastAsia="Times New Roman" w:hAnsi="Arial" w:cs="Arial"/>
                <w:b/>
                <w:bCs/>
                <w:color w:val="000000"/>
                <w:sz w:val="18"/>
                <w:szCs w:val="16"/>
                <w:lang w:eastAsia="es-MX"/>
              </w:rPr>
              <w:t>Muestra</w:t>
            </w:r>
          </w:p>
        </w:tc>
      </w:tr>
      <w:tr w:rsidR="00FA2277" w:rsidRPr="004C017C" w14:paraId="23620845" w14:textId="77777777" w:rsidTr="00B34209">
        <w:trPr>
          <w:trHeight w:val="249"/>
          <w:jc w:val="center"/>
        </w:trPr>
        <w:tc>
          <w:tcPr>
            <w:tcW w:w="3674" w:type="dxa"/>
            <w:shd w:val="clear" w:color="auto" w:fill="auto"/>
            <w:noWrap/>
            <w:vAlign w:val="center"/>
            <w:hideMark/>
          </w:tcPr>
          <w:p w14:paraId="4946D72F" w14:textId="77777777" w:rsidR="00FA2277" w:rsidRPr="004C017C" w:rsidRDefault="00FA2277" w:rsidP="00846A2A">
            <w:pPr>
              <w:spacing w:after="0" w:line="240" w:lineRule="auto"/>
              <w:rPr>
                <w:rFonts w:ascii="Arial" w:eastAsia="Times New Roman" w:hAnsi="Arial" w:cs="Arial"/>
                <w:b/>
                <w:bCs/>
                <w:color w:val="000000"/>
                <w:sz w:val="18"/>
                <w:szCs w:val="16"/>
                <w:lang w:eastAsia="es-MX"/>
              </w:rPr>
            </w:pPr>
            <w:r w:rsidRPr="004C017C">
              <w:rPr>
                <w:rFonts w:ascii="Arial" w:eastAsia="Times New Roman" w:hAnsi="Arial" w:cs="Arial"/>
                <w:b/>
                <w:bCs/>
                <w:color w:val="000000"/>
                <w:sz w:val="18"/>
                <w:szCs w:val="16"/>
                <w:lang w:eastAsia="es-MX"/>
              </w:rPr>
              <w:t>Industrias manufactureras</w:t>
            </w:r>
          </w:p>
        </w:tc>
        <w:tc>
          <w:tcPr>
            <w:tcW w:w="1377" w:type="dxa"/>
            <w:shd w:val="clear" w:color="auto" w:fill="auto"/>
            <w:noWrap/>
            <w:vAlign w:val="center"/>
          </w:tcPr>
          <w:p w14:paraId="3DB9FE6A" w14:textId="77777777" w:rsidR="00FA2277" w:rsidRPr="004C017C" w:rsidRDefault="00FA2277" w:rsidP="00846A2A">
            <w:pPr>
              <w:spacing w:after="0" w:line="240" w:lineRule="auto"/>
              <w:jc w:val="right"/>
              <w:rPr>
                <w:rFonts w:ascii="Arial" w:eastAsia="Times New Roman" w:hAnsi="Arial" w:cs="Arial"/>
                <w:b/>
                <w:bCs/>
                <w:color w:val="000000"/>
                <w:sz w:val="18"/>
                <w:szCs w:val="16"/>
                <w:lang w:eastAsia="es-MX"/>
              </w:rPr>
            </w:pPr>
            <w:r w:rsidRPr="004C017C">
              <w:rPr>
                <w:rFonts w:ascii="Arial" w:eastAsia="Times New Roman" w:hAnsi="Arial" w:cs="Arial"/>
                <w:b/>
                <w:bCs/>
                <w:color w:val="000000"/>
                <w:sz w:val="18"/>
                <w:szCs w:val="16"/>
                <w:lang w:eastAsia="es-MX"/>
              </w:rPr>
              <w:t>10</w:t>
            </w:r>
            <w:r w:rsidR="007257F9">
              <w:rPr>
                <w:rFonts w:ascii="Arial" w:eastAsia="Times New Roman" w:hAnsi="Arial" w:cs="Arial"/>
                <w:b/>
                <w:bCs/>
                <w:color w:val="000000"/>
                <w:sz w:val="18"/>
                <w:szCs w:val="16"/>
                <w:lang w:eastAsia="es-MX"/>
              </w:rPr>
              <w:t xml:space="preserve"> </w:t>
            </w:r>
            <w:r w:rsidRPr="004C017C">
              <w:rPr>
                <w:rFonts w:ascii="Arial" w:eastAsia="Times New Roman" w:hAnsi="Arial" w:cs="Arial"/>
                <w:b/>
                <w:bCs/>
                <w:color w:val="000000"/>
                <w:sz w:val="18"/>
                <w:szCs w:val="16"/>
                <w:lang w:eastAsia="es-MX"/>
              </w:rPr>
              <w:t>447</w:t>
            </w:r>
          </w:p>
        </w:tc>
      </w:tr>
      <w:tr w:rsidR="00FA2277" w:rsidRPr="004C017C" w14:paraId="38D48F5C" w14:textId="77777777" w:rsidTr="00B34209">
        <w:trPr>
          <w:trHeight w:val="22"/>
          <w:jc w:val="center"/>
        </w:trPr>
        <w:tc>
          <w:tcPr>
            <w:tcW w:w="3674" w:type="dxa"/>
            <w:shd w:val="clear" w:color="auto" w:fill="auto"/>
            <w:noWrap/>
            <w:vAlign w:val="center"/>
            <w:hideMark/>
          </w:tcPr>
          <w:p w14:paraId="02E3F7CB" w14:textId="77777777" w:rsidR="00FA2277" w:rsidRPr="004C017C" w:rsidRDefault="00FA2277" w:rsidP="00A459B2">
            <w:pPr>
              <w:spacing w:after="0" w:line="240" w:lineRule="auto"/>
              <w:ind w:firstLineChars="100" w:firstLine="180"/>
              <w:rPr>
                <w:rFonts w:ascii="Arial" w:eastAsia="Times New Roman" w:hAnsi="Arial" w:cs="Arial"/>
                <w:color w:val="000000"/>
                <w:sz w:val="18"/>
                <w:szCs w:val="16"/>
                <w:lang w:eastAsia="es-MX"/>
              </w:rPr>
            </w:pPr>
            <w:r w:rsidRPr="004C017C">
              <w:rPr>
                <w:rFonts w:ascii="Arial" w:eastAsia="Times New Roman" w:hAnsi="Arial" w:cs="Arial"/>
                <w:color w:val="000000"/>
                <w:sz w:val="18"/>
                <w:szCs w:val="16"/>
                <w:lang w:eastAsia="es-MX"/>
              </w:rPr>
              <w:t>Diseño no probabilístico (235 Clases)</w:t>
            </w:r>
          </w:p>
        </w:tc>
        <w:tc>
          <w:tcPr>
            <w:tcW w:w="1377" w:type="dxa"/>
            <w:shd w:val="clear" w:color="auto" w:fill="auto"/>
            <w:noWrap/>
            <w:vAlign w:val="center"/>
          </w:tcPr>
          <w:p w14:paraId="7EA5C71D" w14:textId="77777777" w:rsidR="00FA2277" w:rsidRPr="004C017C" w:rsidRDefault="00FA2277" w:rsidP="00846A2A">
            <w:pPr>
              <w:spacing w:after="0" w:line="240" w:lineRule="auto"/>
              <w:jc w:val="right"/>
              <w:rPr>
                <w:rFonts w:ascii="Arial" w:eastAsia="Times New Roman" w:hAnsi="Arial" w:cs="Arial"/>
                <w:color w:val="000000"/>
                <w:sz w:val="18"/>
                <w:szCs w:val="16"/>
                <w:lang w:eastAsia="es-MX"/>
              </w:rPr>
            </w:pPr>
            <w:r w:rsidRPr="004C017C">
              <w:rPr>
                <w:rFonts w:ascii="Arial" w:eastAsia="Times New Roman" w:hAnsi="Arial" w:cs="Arial"/>
                <w:color w:val="000000"/>
                <w:sz w:val="18"/>
                <w:szCs w:val="16"/>
                <w:lang w:eastAsia="es-MX"/>
              </w:rPr>
              <w:t>10</w:t>
            </w:r>
            <w:r w:rsidR="007257F9">
              <w:rPr>
                <w:rFonts w:ascii="Arial" w:eastAsia="Times New Roman" w:hAnsi="Arial" w:cs="Arial"/>
                <w:color w:val="000000"/>
                <w:sz w:val="18"/>
                <w:szCs w:val="16"/>
                <w:lang w:eastAsia="es-MX"/>
              </w:rPr>
              <w:t xml:space="preserve"> </w:t>
            </w:r>
            <w:r w:rsidRPr="004C017C">
              <w:rPr>
                <w:rFonts w:ascii="Arial" w:eastAsia="Times New Roman" w:hAnsi="Arial" w:cs="Arial"/>
                <w:color w:val="000000"/>
                <w:sz w:val="18"/>
                <w:szCs w:val="16"/>
                <w:lang w:eastAsia="es-MX"/>
              </w:rPr>
              <w:t>080</w:t>
            </w:r>
          </w:p>
        </w:tc>
      </w:tr>
      <w:tr w:rsidR="00FA2277" w:rsidRPr="004C017C" w14:paraId="2062DB93" w14:textId="77777777" w:rsidTr="00B34209">
        <w:trPr>
          <w:trHeight w:val="22"/>
          <w:jc w:val="center"/>
        </w:trPr>
        <w:tc>
          <w:tcPr>
            <w:tcW w:w="3674" w:type="dxa"/>
            <w:shd w:val="clear" w:color="auto" w:fill="auto"/>
            <w:noWrap/>
            <w:vAlign w:val="center"/>
            <w:hideMark/>
          </w:tcPr>
          <w:p w14:paraId="4D8C9583" w14:textId="77777777" w:rsidR="00FA2277" w:rsidRPr="004C017C" w:rsidRDefault="00FA2277" w:rsidP="00A459B2">
            <w:pPr>
              <w:spacing w:after="0" w:line="240" w:lineRule="auto"/>
              <w:ind w:firstLineChars="100" w:firstLine="180"/>
              <w:rPr>
                <w:rFonts w:ascii="Arial" w:eastAsia="Times New Roman" w:hAnsi="Arial" w:cs="Arial"/>
                <w:color w:val="000000"/>
                <w:sz w:val="18"/>
                <w:szCs w:val="16"/>
                <w:lang w:eastAsia="es-MX"/>
              </w:rPr>
            </w:pPr>
            <w:r w:rsidRPr="004C017C">
              <w:rPr>
                <w:rFonts w:ascii="Arial" w:eastAsia="Times New Roman" w:hAnsi="Arial" w:cs="Arial"/>
                <w:color w:val="000000"/>
                <w:sz w:val="18"/>
                <w:szCs w:val="16"/>
                <w:lang w:eastAsia="es-MX"/>
              </w:rPr>
              <w:t>Diseño Probabilístico</w:t>
            </w:r>
            <w:r w:rsidR="00A459B2" w:rsidRPr="004C017C">
              <w:rPr>
                <w:rFonts w:ascii="Arial" w:eastAsia="Times New Roman" w:hAnsi="Arial" w:cs="Arial"/>
                <w:color w:val="000000"/>
                <w:sz w:val="18"/>
                <w:szCs w:val="16"/>
                <w:lang w:eastAsia="es-MX"/>
              </w:rPr>
              <w:t xml:space="preserve"> </w:t>
            </w:r>
            <w:r w:rsidRPr="004C017C">
              <w:rPr>
                <w:rFonts w:ascii="Arial" w:eastAsia="Times New Roman" w:hAnsi="Arial" w:cs="Arial"/>
                <w:color w:val="000000"/>
                <w:sz w:val="18"/>
                <w:szCs w:val="16"/>
                <w:lang w:eastAsia="es-MX"/>
              </w:rPr>
              <w:t>(4 clases)</w:t>
            </w:r>
          </w:p>
        </w:tc>
        <w:tc>
          <w:tcPr>
            <w:tcW w:w="1377" w:type="dxa"/>
            <w:shd w:val="clear" w:color="auto" w:fill="auto"/>
            <w:noWrap/>
            <w:vAlign w:val="center"/>
          </w:tcPr>
          <w:p w14:paraId="25509B4F" w14:textId="77777777" w:rsidR="00FA2277" w:rsidRPr="004C017C" w:rsidRDefault="00FA2277" w:rsidP="00846A2A">
            <w:pPr>
              <w:spacing w:after="0" w:line="240" w:lineRule="auto"/>
              <w:jc w:val="right"/>
              <w:rPr>
                <w:rFonts w:ascii="Arial" w:eastAsia="Times New Roman" w:hAnsi="Arial" w:cs="Arial"/>
                <w:color w:val="000000"/>
                <w:sz w:val="18"/>
                <w:szCs w:val="16"/>
                <w:lang w:eastAsia="es-MX"/>
              </w:rPr>
            </w:pPr>
            <w:r w:rsidRPr="004C017C">
              <w:rPr>
                <w:rFonts w:ascii="Arial" w:eastAsia="Times New Roman" w:hAnsi="Arial" w:cs="Arial"/>
                <w:color w:val="000000"/>
                <w:sz w:val="18"/>
                <w:szCs w:val="16"/>
                <w:lang w:eastAsia="es-MX"/>
              </w:rPr>
              <w:t>367</w:t>
            </w:r>
          </w:p>
        </w:tc>
      </w:tr>
    </w:tbl>
    <w:p w14:paraId="0B8E60E2" w14:textId="77777777" w:rsidR="00FA2277" w:rsidRPr="00A341C6" w:rsidRDefault="00FA2277" w:rsidP="00D26405">
      <w:pPr>
        <w:pStyle w:val="Default"/>
        <w:jc w:val="both"/>
        <w:rPr>
          <w:color w:val="auto"/>
          <w:sz w:val="22"/>
          <w:szCs w:val="22"/>
          <w:lang w:eastAsia="es-MX"/>
        </w:rPr>
      </w:pPr>
    </w:p>
    <w:p w14:paraId="702786B4" w14:textId="77777777" w:rsidR="00D26405" w:rsidRPr="00202E26" w:rsidRDefault="00D26405" w:rsidP="003F00D6">
      <w:pPr>
        <w:pStyle w:val="Pa29"/>
        <w:spacing w:line="240" w:lineRule="auto"/>
        <w:jc w:val="both"/>
        <w:rPr>
          <w:rStyle w:val="A1"/>
          <w:sz w:val="22"/>
          <w:szCs w:val="22"/>
          <w:lang w:val="es-MX"/>
        </w:rPr>
      </w:pPr>
      <w:r w:rsidRPr="00202E26">
        <w:rPr>
          <w:rStyle w:val="A1"/>
          <w:sz w:val="22"/>
          <w:szCs w:val="22"/>
          <w:lang w:val="es-MX"/>
        </w:rPr>
        <w:t>Se utilizan dos modalidades para la captación de la información</w:t>
      </w:r>
      <w:r w:rsidR="003F00D6" w:rsidRPr="00202E26">
        <w:rPr>
          <w:rStyle w:val="A1"/>
          <w:sz w:val="22"/>
          <w:szCs w:val="22"/>
          <w:lang w:val="es-MX"/>
        </w:rPr>
        <w:t xml:space="preserve">: </w:t>
      </w:r>
      <w:r w:rsidRPr="00202E26">
        <w:rPr>
          <w:rStyle w:val="A1"/>
          <w:sz w:val="22"/>
          <w:szCs w:val="22"/>
          <w:lang w:val="es-MX"/>
        </w:rPr>
        <w:t>Cuestionario impreso (en papel)</w:t>
      </w:r>
      <w:r w:rsidR="003F00D6" w:rsidRPr="00202E26">
        <w:rPr>
          <w:rStyle w:val="A1"/>
          <w:sz w:val="22"/>
          <w:szCs w:val="22"/>
          <w:lang w:val="es-MX"/>
        </w:rPr>
        <w:t xml:space="preserve"> y cu</w:t>
      </w:r>
      <w:r w:rsidRPr="00202E26">
        <w:rPr>
          <w:rStyle w:val="A1"/>
          <w:sz w:val="22"/>
          <w:szCs w:val="22"/>
          <w:lang w:val="es-MX"/>
        </w:rPr>
        <w:t xml:space="preserve">estionario electrónico en el Sitio del INEGI en </w:t>
      </w:r>
      <w:r w:rsidR="00A13601" w:rsidRPr="00202E26">
        <w:rPr>
          <w:rStyle w:val="A1"/>
          <w:sz w:val="22"/>
          <w:szCs w:val="22"/>
          <w:lang w:val="es-MX"/>
        </w:rPr>
        <w:t>I</w:t>
      </w:r>
      <w:r w:rsidRPr="00202E26">
        <w:rPr>
          <w:rStyle w:val="A1"/>
          <w:sz w:val="22"/>
          <w:szCs w:val="22"/>
          <w:lang w:val="es-MX"/>
        </w:rPr>
        <w:t>nternet</w:t>
      </w:r>
      <w:r w:rsidR="002645DD" w:rsidRPr="00202E26">
        <w:rPr>
          <w:rStyle w:val="A1"/>
          <w:sz w:val="22"/>
          <w:szCs w:val="22"/>
          <w:lang w:val="es-MX"/>
        </w:rPr>
        <w:t>.</w:t>
      </w:r>
    </w:p>
    <w:p w14:paraId="3767A7F8" w14:textId="77777777" w:rsidR="002645DD" w:rsidRPr="00202E26" w:rsidRDefault="002645DD" w:rsidP="002645DD">
      <w:pPr>
        <w:pStyle w:val="Pa10"/>
        <w:spacing w:line="240" w:lineRule="auto"/>
        <w:jc w:val="both"/>
        <w:rPr>
          <w:rStyle w:val="A1"/>
          <w:sz w:val="22"/>
          <w:szCs w:val="22"/>
          <w:lang w:val="es-MX"/>
        </w:rPr>
      </w:pPr>
    </w:p>
    <w:p w14:paraId="1EA3A33F" w14:textId="77777777" w:rsidR="00D26405" w:rsidRPr="00202E26" w:rsidRDefault="00667C63" w:rsidP="00A459B2">
      <w:pPr>
        <w:pStyle w:val="Pa10"/>
        <w:spacing w:line="240" w:lineRule="auto"/>
        <w:jc w:val="both"/>
        <w:rPr>
          <w:color w:val="000000"/>
          <w:sz w:val="22"/>
          <w:szCs w:val="22"/>
          <w:lang w:val="es-MX"/>
        </w:rPr>
      </w:pPr>
      <w:r w:rsidRPr="00202E26">
        <w:rPr>
          <w:rStyle w:val="A1"/>
          <w:sz w:val="22"/>
          <w:szCs w:val="22"/>
          <w:lang w:val="es-MX"/>
        </w:rPr>
        <w:t>Los</w:t>
      </w:r>
      <w:r w:rsidR="00D26405" w:rsidRPr="00202E26">
        <w:rPr>
          <w:rStyle w:val="A1"/>
          <w:sz w:val="22"/>
          <w:szCs w:val="22"/>
          <w:lang w:val="es-MX"/>
        </w:rPr>
        <w:t xml:space="preserve"> resultados </w:t>
      </w:r>
      <w:r w:rsidRPr="00202E26">
        <w:rPr>
          <w:rStyle w:val="A1"/>
          <w:sz w:val="22"/>
          <w:szCs w:val="22"/>
          <w:lang w:val="es-MX"/>
        </w:rPr>
        <w:t xml:space="preserve">se difunden </w:t>
      </w:r>
      <w:r w:rsidR="00D26405" w:rsidRPr="00202E26">
        <w:rPr>
          <w:rStyle w:val="A1"/>
          <w:sz w:val="22"/>
          <w:szCs w:val="22"/>
          <w:lang w:val="es-MX"/>
        </w:rPr>
        <w:t xml:space="preserve">a los 12 meses de </w:t>
      </w:r>
      <w:r w:rsidR="00CF25CB" w:rsidRPr="00202E26">
        <w:rPr>
          <w:rStyle w:val="A1"/>
          <w:sz w:val="22"/>
          <w:szCs w:val="22"/>
          <w:lang w:val="es-MX"/>
        </w:rPr>
        <w:t>concluido el año de referencia de la información</w:t>
      </w:r>
      <w:r w:rsidR="00A459B2" w:rsidRPr="00202E26">
        <w:rPr>
          <w:rStyle w:val="A1"/>
          <w:sz w:val="22"/>
          <w:szCs w:val="22"/>
          <w:lang w:val="es-MX"/>
        </w:rPr>
        <w:t xml:space="preserve">. </w:t>
      </w:r>
      <w:r w:rsidR="001B686D" w:rsidRPr="00202E26">
        <w:rPr>
          <w:color w:val="000000"/>
          <w:sz w:val="22"/>
          <w:szCs w:val="22"/>
          <w:lang w:val="es-MX"/>
        </w:rPr>
        <w:t xml:space="preserve">La fecha de difusión </w:t>
      </w:r>
      <w:r w:rsidR="00C22170" w:rsidRPr="00202E26">
        <w:rPr>
          <w:color w:val="000000"/>
          <w:sz w:val="22"/>
          <w:szCs w:val="22"/>
          <w:lang w:val="es-MX"/>
        </w:rPr>
        <w:t>de d</w:t>
      </w:r>
      <w:r w:rsidR="00D26405" w:rsidRPr="00202E26">
        <w:rPr>
          <w:color w:val="000000"/>
          <w:sz w:val="22"/>
          <w:szCs w:val="22"/>
          <w:lang w:val="es-MX"/>
        </w:rPr>
        <w:t>icha encuesta</w:t>
      </w:r>
      <w:r w:rsidR="00C22170" w:rsidRPr="00202E26">
        <w:rPr>
          <w:color w:val="000000"/>
          <w:sz w:val="22"/>
          <w:szCs w:val="22"/>
          <w:lang w:val="es-MX"/>
        </w:rPr>
        <w:t xml:space="preserve"> se encuentra e</w:t>
      </w:r>
      <w:r w:rsidR="00D26405" w:rsidRPr="00202E26">
        <w:rPr>
          <w:color w:val="000000"/>
          <w:sz w:val="22"/>
          <w:szCs w:val="22"/>
          <w:lang w:val="es-MX"/>
        </w:rPr>
        <w:t xml:space="preserve">stablecida en el Calendario de difusión de </w:t>
      </w:r>
      <w:r w:rsidR="00CF25CB" w:rsidRPr="00202E26">
        <w:rPr>
          <w:color w:val="000000"/>
          <w:sz w:val="22"/>
          <w:szCs w:val="22"/>
          <w:lang w:val="es-MX"/>
        </w:rPr>
        <w:t>i</w:t>
      </w:r>
      <w:r w:rsidR="00D26405" w:rsidRPr="00202E26">
        <w:rPr>
          <w:color w:val="000000"/>
          <w:sz w:val="22"/>
          <w:szCs w:val="22"/>
          <w:lang w:val="es-MX"/>
        </w:rPr>
        <w:t xml:space="preserve">nformación estadística y geográfica y de Interés Nacional del INEGI, publicado en el Sitio del INEGI en </w:t>
      </w:r>
      <w:r w:rsidR="00CF25CB" w:rsidRPr="00202E26">
        <w:rPr>
          <w:color w:val="000000"/>
          <w:sz w:val="22"/>
          <w:szCs w:val="22"/>
          <w:lang w:val="es-MX"/>
        </w:rPr>
        <w:t>I</w:t>
      </w:r>
      <w:r w:rsidR="00D26405" w:rsidRPr="00202E26">
        <w:rPr>
          <w:color w:val="000000"/>
          <w:sz w:val="22"/>
          <w:szCs w:val="22"/>
          <w:lang w:val="es-MX"/>
        </w:rPr>
        <w:t>nternet</w:t>
      </w:r>
      <w:r w:rsidR="003F00D6" w:rsidRPr="00202E26">
        <w:rPr>
          <w:color w:val="000000"/>
          <w:sz w:val="22"/>
          <w:szCs w:val="22"/>
          <w:lang w:val="es-MX"/>
        </w:rPr>
        <w:t xml:space="preserve"> en la siguiente liga electrónica:</w:t>
      </w:r>
    </w:p>
    <w:p w14:paraId="06BA6CAD" w14:textId="77777777" w:rsidR="005476CD" w:rsidRPr="00A341C6" w:rsidRDefault="005476CD" w:rsidP="00D26405">
      <w:pPr>
        <w:autoSpaceDE w:val="0"/>
        <w:autoSpaceDN w:val="0"/>
        <w:adjustRightInd w:val="0"/>
        <w:spacing w:after="0" w:line="240" w:lineRule="auto"/>
        <w:jc w:val="both"/>
        <w:rPr>
          <w:rFonts w:ascii="Arial" w:hAnsi="Arial" w:cs="Arial"/>
          <w:color w:val="000000"/>
          <w:szCs w:val="24"/>
        </w:rPr>
      </w:pPr>
    </w:p>
    <w:p w14:paraId="38E7D295" w14:textId="77777777" w:rsidR="00D26405" w:rsidRPr="00202E26" w:rsidRDefault="008367EC" w:rsidP="00D26405">
      <w:pPr>
        <w:autoSpaceDE w:val="0"/>
        <w:autoSpaceDN w:val="0"/>
        <w:adjustRightInd w:val="0"/>
        <w:spacing w:after="0" w:line="240" w:lineRule="auto"/>
        <w:jc w:val="both"/>
        <w:rPr>
          <w:rStyle w:val="Hipervnculo"/>
          <w:rFonts w:ascii="Arial" w:hAnsi="Arial" w:cs="Arial"/>
        </w:rPr>
      </w:pPr>
      <w:hyperlink r:id="rId34" w:history="1">
        <w:r w:rsidR="00D26405" w:rsidRPr="00202E26">
          <w:rPr>
            <w:rStyle w:val="Hipervnculo"/>
            <w:rFonts w:ascii="Arial" w:hAnsi="Arial" w:cs="Arial"/>
          </w:rPr>
          <w:t>https://www.inegi.org.mx/app/saladeprensa/calendario/default.html</w:t>
        </w:r>
      </w:hyperlink>
    </w:p>
    <w:p w14:paraId="30867EA3" w14:textId="77777777" w:rsidR="00A730AC" w:rsidRPr="00202E26" w:rsidRDefault="00A730AC" w:rsidP="00A730AC">
      <w:pPr>
        <w:widowControl w:val="0"/>
        <w:autoSpaceDE w:val="0"/>
        <w:autoSpaceDN w:val="0"/>
        <w:adjustRightInd w:val="0"/>
        <w:spacing w:after="0" w:line="240" w:lineRule="auto"/>
        <w:jc w:val="both"/>
        <w:rPr>
          <w:rFonts w:ascii="Arial" w:eastAsiaTheme="minorEastAsia" w:hAnsi="Arial" w:cs="Arial"/>
          <w:lang w:eastAsia="es-MX"/>
        </w:rPr>
      </w:pPr>
    </w:p>
    <w:p w14:paraId="32B50B42" w14:textId="77777777" w:rsidR="00A730AC" w:rsidRDefault="00A730AC" w:rsidP="00A730AC">
      <w:pPr>
        <w:widowControl w:val="0"/>
        <w:autoSpaceDE w:val="0"/>
        <w:autoSpaceDN w:val="0"/>
        <w:adjustRightInd w:val="0"/>
        <w:spacing w:after="0" w:line="240" w:lineRule="auto"/>
        <w:jc w:val="both"/>
        <w:rPr>
          <w:rFonts w:ascii="Arial" w:eastAsiaTheme="minorEastAsia" w:hAnsi="Arial" w:cs="Arial"/>
          <w:lang w:eastAsia="es-MX"/>
        </w:rPr>
      </w:pPr>
      <w:r w:rsidRPr="00202E26">
        <w:rPr>
          <w:rFonts w:ascii="Arial" w:eastAsiaTheme="minorEastAsia" w:hAnsi="Arial" w:cs="Arial"/>
          <w:lang w:eastAsia="es-MX"/>
        </w:rPr>
        <w:lastRenderedPageBreak/>
        <w:t xml:space="preserve">Con el objetivo de brindar </w:t>
      </w:r>
      <w:r w:rsidR="003F2243" w:rsidRPr="00202E26">
        <w:rPr>
          <w:rFonts w:ascii="Arial" w:eastAsiaTheme="minorEastAsia" w:hAnsi="Arial" w:cs="Arial"/>
          <w:lang w:eastAsia="es-MX"/>
        </w:rPr>
        <w:t>mayores elementos que permitan evaluar</w:t>
      </w:r>
      <w:r w:rsidRPr="00202E26">
        <w:rPr>
          <w:rFonts w:ascii="Arial" w:eastAsiaTheme="minorEastAsia" w:hAnsi="Arial" w:cs="Arial"/>
          <w:lang w:eastAsia="es-MX"/>
        </w:rPr>
        <w:t xml:space="preserve"> la precisión de los datos generados por la </w:t>
      </w:r>
      <w:r w:rsidR="003F00D6" w:rsidRPr="00202E26">
        <w:rPr>
          <w:rFonts w:ascii="Arial" w:eastAsiaTheme="minorEastAsia" w:hAnsi="Arial" w:cs="Arial"/>
          <w:lang w:eastAsia="es-MX"/>
        </w:rPr>
        <w:t>EAIM</w:t>
      </w:r>
      <w:r w:rsidRPr="00202E26">
        <w:rPr>
          <w:rFonts w:ascii="Arial" w:eastAsiaTheme="minorEastAsia" w:hAnsi="Arial" w:cs="Arial"/>
          <w:lang w:eastAsia="es-MX"/>
        </w:rPr>
        <w:t xml:space="preserve">, </w:t>
      </w:r>
      <w:r w:rsidR="003F2243" w:rsidRPr="00202E26">
        <w:rPr>
          <w:rFonts w:ascii="Arial" w:eastAsiaTheme="minorEastAsia" w:hAnsi="Arial" w:cs="Arial"/>
          <w:lang w:eastAsia="es-MX"/>
        </w:rPr>
        <w:t xml:space="preserve">se publican </w:t>
      </w:r>
      <w:r w:rsidRPr="00202E26">
        <w:rPr>
          <w:rFonts w:ascii="Arial" w:eastAsiaTheme="minorEastAsia" w:hAnsi="Arial" w:cs="Arial"/>
          <w:lang w:eastAsia="es-MX"/>
        </w:rPr>
        <w:t xml:space="preserve">los indicadores de precisión </w:t>
      </w:r>
      <w:r w:rsidR="003F00D6" w:rsidRPr="00202E26">
        <w:rPr>
          <w:rFonts w:ascii="Arial" w:eastAsiaTheme="minorEastAsia" w:hAnsi="Arial" w:cs="Arial"/>
          <w:lang w:eastAsia="es-MX"/>
        </w:rPr>
        <w:t>e</w:t>
      </w:r>
      <w:r w:rsidRPr="00202E26">
        <w:rPr>
          <w:rFonts w:ascii="Arial" w:eastAsiaTheme="minorEastAsia" w:hAnsi="Arial" w:cs="Arial"/>
          <w:lang w:eastAsia="es-MX"/>
        </w:rPr>
        <w:t xml:space="preserve">stadística </w:t>
      </w:r>
      <w:r w:rsidR="003F2243" w:rsidRPr="00202E26">
        <w:rPr>
          <w:rFonts w:ascii="Arial" w:eastAsiaTheme="minorEastAsia" w:hAnsi="Arial" w:cs="Arial"/>
          <w:lang w:eastAsia="es-MX"/>
        </w:rPr>
        <w:t xml:space="preserve">para la variable </w:t>
      </w:r>
      <w:r w:rsidRPr="00202E26">
        <w:rPr>
          <w:rFonts w:ascii="Arial" w:eastAsiaTheme="minorEastAsia" w:hAnsi="Arial" w:cs="Arial"/>
          <w:lang w:eastAsia="es-MX"/>
        </w:rPr>
        <w:t>de personal ocupado</w:t>
      </w:r>
      <w:r w:rsidR="003F2243" w:rsidRPr="00202E26">
        <w:rPr>
          <w:rFonts w:ascii="Arial" w:eastAsiaTheme="minorEastAsia" w:hAnsi="Arial" w:cs="Arial"/>
          <w:lang w:eastAsia="es-MX"/>
        </w:rPr>
        <w:t xml:space="preserve"> </w:t>
      </w:r>
      <w:r w:rsidR="00CF25CB" w:rsidRPr="00202E26">
        <w:rPr>
          <w:rFonts w:ascii="Arial" w:eastAsiaTheme="minorEastAsia" w:hAnsi="Arial" w:cs="Arial"/>
          <w:lang w:eastAsia="es-MX"/>
        </w:rPr>
        <w:t xml:space="preserve">de las cuatro </w:t>
      </w:r>
      <w:r w:rsidR="003F2243" w:rsidRPr="00202E26">
        <w:rPr>
          <w:rFonts w:ascii="Arial" w:eastAsiaTheme="minorEastAsia" w:hAnsi="Arial" w:cs="Arial"/>
          <w:lang w:eastAsia="es-MX"/>
        </w:rPr>
        <w:t>clases con diseño probabilístico</w:t>
      </w:r>
      <w:r w:rsidR="00CF25CB" w:rsidRPr="00202E26">
        <w:rPr>
          <w:rFonts w:ascii="Arial" w:eastAsiaTheme="minorEastAsia" w:hAnsi="Arial" w:cs="Arial"/>
          <w:lang w:eastAsia="es-MX"/>
        </w:rPr>
        <w:t xml:space="preserve">, así como las </w:t>
      </w:r>
      <w:r w:rsidR="003F2243" w:rsidRPr="00202E26">
        <w:rPr>
          <w:rFonts w:ascii="Arial" w:eastAsiaTheme="minorEastAsia" w:hAnsi="Arial" w:cs="Arial"/>
          <w:lang w:eastAsia="es-MX"/>
        </w:rPr>
        <w:t>coberturas respecto a ingresos totales para las clases de actividad con diseño no probabilístico.</w:t>
      </w:r>
    </w:p>
    <w:p w14:paraId="667DA6DC" w14:textId="77777777" w:rsidR="007257F9" w:rsidRPr="00202E26" w:rsidRDefault="007257F9" w:rsidP="00A730AC">
      <w:pPr>
        <w:widowControl w:val="0"/>
        <w:autoSpaceDE w:val="0"/>
        <w:autoSpaceDN w:val="0"/>
        <w:adjustRightInd w:val="0"/>
        <w:spacing w:after="0" w:line="240" w:lineRule="auto"/>
        <w:jc w:val="both"/>
        <w:rPr>
          <w:rFonts w:ascii="Arial" w:eastAsiaTheme="minorEastAsia" w:hAnsi="Arial" w:cs="Arial"/>
          <w:lang w:eastAsia="es-MX"/>
        </w:rPr>
      </w:pPr>
    </w:p>
    <w:p w14:paraId="7D77357D" w14:textId="77777777" w:rsidR="00D26405" w:rsidRPr="00202E26" w:rsidRDefault="00A730AC" w:rsidP="002645DD">
      <w:pPr>
        <w:pStyle w:val="Pa29"/>
        <w:spacing w:line="240" w:lineRule="auto"/>
        <w:jc w:val="both"/>
        <w:rPr>
          <w:rStyle w:val="A1"/>
          <w:color w:val="auto"/>
          <w:sz w:val="22"/>
          <w:szCs w:val="22"/>
          <w:lang w:val="es-MX"/>
        </w:rPr>
      </w:pPr>
      <w:r w:rsidRPr="00202E26">
        <w:rPr>
          <w:rStyle w:val="A1"/>
          <w:color w:val="auto"/>
          <w:sz w:val="22"/>
          <w:szCs w:val="22"/>
          <w:lang w:val="es-MX"/>
        </w:rPr>
        <w:t>Toda l</w:t>
      </w:r>
      <w:r w:rsidR="00D26405" w:rsidRPr="00202E26">
        <w:rPr>
          <w:rStyle w:val="A1"/>
          <w:color w:val="auto"/>
          <w:sz w:val="22"/>
          <w:szCs w:val="22"/>
          <w:lang w:val="es-MX"/>
        </w:rPr>
        <w:t xml:space="preserve">a información de la EAIM </w:t>
      </w:r>
      <w:r w:rsidR="00CF25CB" w:rsidRPr="00202E26">
        <w:rPr>
          <w:rStyle w:val="A1"/>
          <w:color w:val="auto"/>
          <w:sz w:val="22"/>
          <w:szCs w:val="22"/>
          <w:lang w:val="es-MX"/>
        </w:rPr>
        <w:t>se</w:t>
      </w:r>
      <w:r w:rsidRPr="00202E26">
        <w:rPr>
          <w:rStyle w:val="A1"/>
          <w:color w:val="auto"/>
          <w:sz w:val="22"/>
          <w:szCs w:val="22"/>
          <w:lang w:val="es-MX"/>
        </w:rPr>
        <w:t xml:space="preserve"> puede consultar </w:t>
      </w:r>
      <w:r w:rsidR="00D26405" w:rsidRPr="00202E26">
        <w:rPr>
          <w:rStyle w:val="A1"/>
          <w:color w:val="auto"/>
          <w:sz w:val="22"/>
          <w:szCs w:val="22"/>
          <w:lang w:val="es-MX"/>
        </w:rPr>
        <w:t xml:space="preserve">en el portal </w:t>
      </w:r>
      <w:r w:rsidR="00CF25CB" w:rsidRPr="00202E26">
        <w:rPr>
          <w:rStyle w:val="A1"/>
          <w:color w:val="auto"/>
          <w:sz w:val="22"/>
          <w:szCs w:val="22"/>
          <w:lang w:val="es-MX"/>
        </w:rPr>
        <w:t>del Instituto</w:t>
      </w:r>
      <w:r w:rsidR="002645DD" w:rsidRPr="00202E26">
        <w:rPr>
          <w:rStyle w:val="A1"/>
          <w:color w:val="auto"/>
          <w:sz w:val="22"/>
          <w:szCs w:val="22"/>
          <w:lang w:val="es-MX"/>
        </w:rPr>
        <w:t xml:space="preserve"> </w:t>
      </w:r>
      <w:r w:rsidR="003F00D6" w:rsidRPr="00202E26">
        <w:rPr>
          <w:rStyle w:val="A1"/>
          <w:color w:val="auto"/>
          <w:sz w:val="22"/>
          <w:szCs w:val="22"/>
          <w:lang w:val="es-MX"/>
        </w:rPr>
        <w:t>(</w:t>
      </w:r>
      <w:hyperlink r:id="rId35" w:history="1">
        <w:r w:rsidR="003F00D6" w:rsidRPr="00202E26">
          <w:rPr>
            <w:rStyle w:val="Hipervnculo"/>
            <w:sz w:val="22"/>
            <w:szCs w:val="22"/>
            <w:lang w:val="es-MX" w:eastAsia="es-MX"/>
          </w:rPr>
          <w:t>www.inegi.org.mx</w:t>
        </w:r>
      </w:hyperlink>
      <w:r w:rsidR="003F00D6" w:rsidRPr="00202E26">
        <w:rPr>
          <w:rStyle w:val="Hipervnculo"/>
          <w:color w:val="auto"/>
          <w:sz w:val="22"/>
          <w:szCs w:val="22"/>
          <w:u w:val="none"/>
          <w:lang w:val="es-MX"/>
        </w:rPr>
        <w:t>)</w:t>
      </w:r>
      <w:r w:rsidR="002645DD" w:rsidRPr="00202E26">
        <w:rPr>
          <w:rStyle w:val="A1"/>
          <w:color w:val="auto"/>
          <w:sz w:val="22"/>
          <w:szCs w:val="22"/>
          <w:lang w:val="es-MX"/>
        </w:rPr>
        <w:t xml:space="preserve"> en los siguientes apartados:</w:t>
      </w:r>
    </w:p>
    <w:p w14:paraId="614BE801" w14:textId="77777777" w:rsidR="002645DD" w:rsidRPr="00202E26" w:rsidRDefault="002645DD" w:rsidP="002645DD">
      <w:pPr>
        <w:pStyle w:val="Default"/>
        <w:rPr>
          <w:sz w:val="22"/>
          <w:szCs w:val="22"/>
        </w:rPr>
      </w:pPr>
    </w:p>
    <w:p w14:paraId="38106846" w14:textId="77777777" w:rsidR="003F00D6" w:rsidRPr="00202E26" w:rsidRDefault="00CF25CB" w:rsidP="00D26405">
      <w:pPr>
        <w:pStyle w:val="Default"/>
        <w:numPr>
          <w:ilvl w:val="0"/>
          <w:numId w:val="3"/>
        </w:numPr>
        <w:ind w:left="284" w:hanging="284"/>
        <w:jc w:val="both"/>
        <w:rPr>
          <w:rStyle w:val="A1"/>
          <w:sz w:val="22"/>
          <w:szCs w:val="22"/>
        </w:rPr>
      </w:pPr>
      <w:r w:rsidRPr="00202E26">
        <w:rPr>
          <w:rStyle w:val="A1"/>
          <w:sz w:val="22"/>
          <w:szCs w:val="22"/>
        </w:rPr>
        <w:t>Programas</w:t>
      </w:r>
      <w:r w:rsidR="00D26405" w:rsidRPr="00202E26">
        <w:rPr>
          <w:rStyle w:val="A1"/>
          <w:sz w:val="22"/>
          <w:szCs w:val="22"/>
        </w:rPr>
        <w:t>:</w:t>
      </w:r>
    </w:p>
    <w:p w14:paraId="687D0D35" w14:textId="77777777" w:rsidR="00D26405" w:rsidRPr="00202E26" w:rsidRDefault="008367EC" w:rsidP="003F00D6">
      <w:pPr>
        <w:pStyle w:val="Default"/>
        <w:ind w:left="284"/>
        <w:jc w:val="both"/>
        <w:rPr>
          <w:sz w:val="22"/>
          <w:szCs w:val="22"/>
        </w:rPr>
      </w:pPr>
      <w:hyperlink r:id="rId36" w:history="1">
        <w:r w:rsidR="00D26405" w:rsidRPr="00202E26">
          <w:rPr>
            <w:rStyle w:val="Hipervnculo"/>
            <w:sz w:val="22"/>
            <w:szCs w:val="22"/>
          </w:rPr>
          <w:t>https://www.inegi.org.mx/programas/eaim/2013/</w:t>
        </w:r>
      </w:hyperlink>
    </w:p>
    <w:p w14:paraId="2070AAE8" w14:textId="77777777" w:rsidR="00D26405" w:rsidRPr="00202E26" w:rsidRDefault="00D26405" w:rsidP="00D26405">
      <w:pPr>
        <w:pStyle w:val="Default"/>
        <w:numPr>
          <w:ilvl w:val="0"/>
          <w:numId w:val="3"/>
        </w:numPr>
        <w:ind w:left="284" w:hanging="284"/>
        <w:jc w:val="both"/>
        <w:rPr>
          <w:rStyle w:val="A1"/>
          <w:sz w:val="22"/>
          <w:szCs w:val="22"/>
        </w:rPr>
      </w:pPr>
      <w:r w:rsidRPr="00202E26">
        <w:rPr>
          <w:rStyle w:val="A1"/>
          <w:sz w:val="22"/>
          <w:szCs w:val="22"/>
        </w:rPr>
        <w:t>Banco de Información Económica (BIE):</w:t>
      </w:r>
    </w:p>
    <w:p w14:paraId="1D595B67" w14:textId="77777777" w:rsidR="00D26405" w:rsidRPr="00202E26" w:rsidRDefault="008367EC" w:rsidP="00672351">
      <w:pPr>
        <w:pStyle w:val="Default"/>
        <w:ind w:left="284"/>
        <w:jc w:val="both"/>
        <w:rPr>
          <w:rStyle w:val="Hipervnculo"/>
          <w:sz w:val="22"/>
          <w:szCs w:val="22"/>
        </w:rPr>
      </w:pPr>
      <w:hyperlink r:id="rId37" w:history="1">
        <w:r w:rsidR="00A13601" w:rsidRPr="00202E26">
          <w:rPr>
            <w:rStyle w:val="Hipervnculo"/>
            <w:sz w:val="22"/>
            <w:szCs w:val="22"/>
          </w:rPr>
          <w:t>https://www.inegi.org.mx/app/indicadores/bie.html</w:t>
        </w:r>
      </w:hyperlink>
    </w:p>
    <w:p w14:paraId="08143F16" w14:textId="77777777" w:rsidR="00D26405" w:rsidRPr="00202E26" w:rsidRDefault="00D26405" w:rsidP="00D26405">
      <w:pPr>
        <w:pStyle w:val="Pa10"/>
        <w:spacing w:line="240" w:lineRule="auto"/>
        <w:jc w:val="both"/>
        <w:rPr>
          <w:sz w:val="22"/>
          <w:szCs w:val="22"/>
          <w:lang w:val="es-MX" w:eastAsia="es-MX"/>
        </w:rPr>
      </w:pPr>
    </w:p>
    <w:p w14:paraId="0BC4D91B" w14:textId="77777777" w:rsidR="00D26405" w:rsidRPr="00A341C6" w:rsidRDefault="00D26405" w:rsidP="00A459B2">
      <w:pPr>
        <w:pStyle w:val="Default"/>
        <w:jc w:val="center"/>
      </w:pPr>
      <w:r w:rsidRPr="00A341C6">
        <w:rPr>
          <w:lang w:eastAsia="es-MX"/>
        </w:rPr>
        <w:t>* * * * * *</w:t>
      </w:r>
    </w:p>
    <w:sectPr w:rsidR="00D26405" w:rsidRPr="00A341C6" w:rsidSect="007257F9">
      <w:headerReference w:type="default" r:id="rId38"/>
      <w:footerReference w:type="default" r:id="rId39"/>
      <w:type w:val="continuous"/>
      <w:pgSz w:w="12240" w:h="15840"/>
      <w:pgMar w:top="1985" w:right="1701" w:bottom="1135" w:left="1701" w:header="709" w:footer="4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4F7D81" w14:textId="77777777" w:rsidR="008367EC" w:rsidRDefault="008367EC" w:rsidP="00F47EF4">
      <w:pPr>
        <w:spacing w:after="0" w:line="240" w:lineRule="auto"/>
      </w:pPr>
      <w:r>
        <w:separator/>
      </w:r>
    </w:p>
  </w:endnote>
  <w:endnote w:type="continuationSeparator" w:id="0">
    <w:p w14:paraId="31565D79" w14:textId="77777777" w:rsidR="008367EC" w:rsidRDefault="008367EC" w:rsidP="00F47E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Medium">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69577836"/>
      <w:docPartObj>
        <w:docPartGallery w:val="Page Numbers (Bottom of Page)"/>
        <w:docPartUnique/>
      </w:docPartObj>
    </w:sdtPr>
    <w:sdtEndPr>
      <w:rPr>
        <w:rFonts w:ascii="Arial" w:hAnsi="Arial" w:cs="Arial"/>
        <w:b/>
        <w:color w:val="002060"/>
        <w:sz w:val="20"/>
        <w:szCs w:val="20"/>
      </w:rPr>
    </w:sdtEndPr>
    <w:sdtContent>
      <w:p w14:paraId="42270B91" w14:textId="77777777" w:rsidR="00FF6CB9" w:rsidRPr="00C472F2" w:rsidRDefault="00FF6CB9" w:rsidP="00FF6CB9">
        <w:pPr>
          <w:pStyle w:val="Piedepgina"/>
          <w:ind w:left="-426" w:right="-233"/>
          <w:jc w:val="center"/>
          <w:rPr>
            <w:rFonts w:ascii="Arial" w:hAnsi="Arial" w:cs="Arial"/>
            <w:b/>
            <w:color w:val="002060"/>
            <w:sz w:val="20"/>
            <w:szCs w:val="20"/>
          </w:rPr>
        </w:pPr>
        <w:r w:rsidRPr="00C472F2">
          <w:rPr>
            <w:rFonts w:ascii="Arial" w:hAnsi="Arial" w:cs="Arial"/>
            <w:b/>
            <w:color w:val="002060"/>
            <w:sz w:val="20"/>
            <w:szCs w:val="20"/>
          </w:rPr>
          <w:t>COMUNICACIÓN SOCIAL</w:t>
        </w:r>
      </w:p>
    </w:sdtContent>
  </w:sdt>
  <w:p w14:paraId="6EF39C47" w14:textId="77777777" w:rsidR="00FF6CB9" w:rsidRDefault="00FF6CB9" w:rsidP="00FF6CB9">
    <w:pPr>
      <w:pStyle w:val="Piedepgina"/>
      <w:jc w:val="center"/>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color w:val="002060"/>
        <w:sz w:val="20"/>
        <w:szCs w:val="20"/>
      </w:rPr>
      <w:id w:val="1915811249"/>
      <w:docPartObj>
        <w:docPartGallery w:val="Page Numbers (Bottom of Page)"/>
        <w:docPartUnique/>
      </w:docPartObj>
    </w:sdtPr>
    <w:sdtEndPr/>
    <w:sdtContent>
      <w:p w14:paraId="3DD2B187" w14:textId="77777777" w:rsidR="00FF6CB9" w:rsidRPr="00D535E8" w:rsidRDefault="00FF6CB9" w:rsidP="00D535E8">
        <w:pPr>
          <w:pStyle w:val="Piedepgina"/>
          <w:jc w:val="center"/>
          <w:rPr>
            <w:rFonts w:ascii="Arial" w:hAnsi="Arial" w:cs="Arial"/>
            <w:b/>
            <w:color w:val="002060"/>
            <w:sz w:val="20"/>
            <w:szCs w:val="20"/>
          </w:rPr>
        </w:pPr>
        <w:r w:rsidRPr="00D535E8">
          <w:rPr>
            <w:rFonts w:ascii="Arial" w:hAnsi="Arial" w:cs="Arial"/>
            <w:b/>
            <w:color w:val="002060"/>
            <w:sz w:val="20"/>
            <w:szCs w:val="20"/>
          </w:rPr>
          <w:t>COMUNICACIÓN SOCIAL</w:t>
        </w:r>
      </w:p>
    </w:sdtContent>
  </w:sdt>
  <w:p w14:paraId="56F15A77" w14:textId="77777777" w:rsidR="00FF6CB9" w:rsidRPr="00D535E8" w:rsidRDefault="00FF6CB9" w:rsidP="00D535E8">
    <w:pPr>
      <w:pStyle w:val="Piedepgina"/>
      <w:jc w:val="center"/>
      <w:rPr>
        <w:rFonts w:ascii="Arial" w:hAnsi="Arial" w:cs="Arial"/>
        <w:b/>
        <w:color w:val="00206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F2A11" w14:textId="77777777" w:rsidR="008367EC" w:rsidRDefault="008367EC" w:rsidP="00F47EF4">
      <w:pPr>
        <w:spacing w:after="0" w:line="240" w:lineRule="auto"/>
      </w:pPr>
      <w:r>
        <w:separator/>
      </w:r>
    </w:p>
  </w:footnote>
  <w:footnote w:type="continuationSeparator" w:id="0">
    <w:p w14:paraId="6D2DCA16" w14:textId="77777777" w:rsidR="008367EC" w:rsidRDefault="008367EC" w:rsidP="00F47E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7EB2" w14:textId="77777777" w:rsidR="00FF6CB9" w:rsidRPr="00C472F2" w:rsidRDefault="00FF6CB9" w:rsidP="00FF6CB9">
    <w:pPr>
      <w:pStyle w:val="Encabezado"/>
      <w:framePr w:w="5398" w:hSpace="141" w:wrap="auto" w:vAnchor="text" w:hAnchor="page" w:x="5695" w:y="31"/>
      <w:ind w:left="567" w:hanging="11"/>
      <w:jc w:val="right"/>
      <w:rPr>
        <w:rFonts w:ascii="Arial" w:hAnsi="Arial" w:cs="Arial"/>
        <w:b/>
        <w:color w:val="002060"/>
        <w:sz w:val="24"/>
        <w:szCs w:val="24"/>
      </w:rPr>
    </w:pPr>
    <w:r w:rsidRPr="00C472F2">
      <w:rPr>
        <w:rFonts w:ascii="Arial" w:hAnsi="Arial" w:cs="Arial"/>
        <w:b/>
        <w:color w:val="002060"/>
        <w:sz w:val="24"/>
        <w:szCs w:val="24"/>
      </w:rPr>
      <w:t>COMUNICADO DE PRENSA NÚM. 7</w:t>
    </w:r>
    <w:r>
      <w:rPr>
        <w:rFonts w:ascii="Arial" w:hAnsi="Arial" w:cs="Arial"/>
        <w:b/>
        <w:color w:val="002060"/>
        <w:sz w:val="24"/>
        <w:szCs w:val="24"/>
      </w:rPr>
      <w:t>70</w:t>
    </w:r>
    <w:r w:rsidRPr="00C472F2">
      <w:rPr>
        <w:rFonts w:ascii="Arial" w:hAnsi="Arial" w:cs="Arial"/>
        <w:b/>
        <w:color w:val="002060"/>
        <w:sz w:val="24"/>
        <w:szCs w:val="24"/>
      </w:rPr>
      <w:t>/21</w:t>
    </w:r>
  </w:p>
  <w:p w14:paraId="3D5D387F" w14:textId="77777777" w:rsidR="00FF6CB9" w:rsidRPr="00C472F2" w:rsidRDefault="00FF6CB9" w:rsidP="00FF6CB9">
    <w:pPr>
      <w:pStyle w:val="Encabezado"/>
      <w:framePr w:w="5398" w:hSpace="141" w:wrap="auto" w:vAnchor="text" w:hAnchor="page" w:x="5695" w:y="31"/>
      <w:ind w:left="567" w:hanging="11"/>
      <w:jc w:val="right"/>
      <w:rPr>
        <w:rFonts w:ascii="Arial" w:hAnsi="Arial" w:cs="Arial"/>
        <w:b/>
        <w:color w:val="002060"/>
        <w:sz w:val="24"/>
        <w:szCs w:val="24"/>
        <w:lang w:val="pt-BR"/>
      </w:rPr>
    </w:pPr>
    <w:r w:rsidRPr="00C472F2">
      <w:rPr>
        <w:rFonts w:ascii="Arial" w:hAnsi="Arial" w:cs="Arial"/>
        <w:b/>
        <w:color w:val="002060"/>
        <w:sz w:val="24"/>
        <w:szCs w:val="24"/>
        <w:lang w:val="pt-BR"/>
      </w:rPr>
      <w:t>1</w:t>
    </w:r>
    <w:r>
      <w:rPr>
        <w:rFonts w:ascii="Arial" w:hAnsi="Arial" w:cs="Arial"/>
        <w:b/>
        <w:color w:val="002060"/>
        <w:sz w:val="24"/>
        <w:szCs w:val="24"/>
        <w:lang w:val="pt-BR"/>
      </w:rPr>
      <w:t>4</w:t>
    </w:r>
    <w:r w:rsidRPr="00C472F2">
      <w:rPr>
        <w:rFonts w:ascii="Arial" w:hAnsi="Arial" w:cs="Arial"/>
        <w:b/>
        <w:color w:val="002060"/>
        <w:sz w:val="24"/>
        <w:szCs w:val="24"/>
        <w:lang w:val="pt-BR"/>
      </w:rPr>
      <w:t xml:space="preserve"> DE DICIEMBRE DE 2021</w:t>
    </w:r>
  </w:p>
  <w:p w14:paraId="3C4D4511" w14:textId="77777777" w:rsidR="00FF6CB9" w:rsidRPr="00C472F2" w:rsidRDefault="00FF6CB9" w:rsidP="00FF6CB9">
    <w:pPr>
      <w:pStyle w:val="Encabezado"/>
      <w:framePr w:w="5398" w:hSpace="141" w:wrap="auto" w:vAnchor="text" w:hAnchor="page" w:x="5695" w:y="31"/>
      <w:ind w:left="567" w:hanging="11"/>
      <w:jc w:val="right"/>
      <w:rPr>
        <w:rFonts w:ascii="Arial" w:hAnsi="Arial" w:cs="Arial"/>
        <w:b/>
        <w:color w:val="002060"/>
        <w:sz w:val="24"/>
        <w:szCs w:val="24"/>
        <w:lang w:val="pt-BR"/>
      </w:rPr>
    </w:pPr>
    <w:r w:rsidRPr="00C472F2">
      <w:rPr>
        <w:rFonts w:ascii="Arial" w:hAnsi="Arial" w:cs="Arial"/>
        <w:b/>
        <w:color w:val="002060"/>
        <w:sz w:val="24"/>
        <w:szCs w:val="24"/>
        <w:lang w:val="pt-BR"/>
      </w:rPr>
      <w:t xml:space="preserve">PÁGINA </w:t>
    </w:r>
    <w:r w:rsidRPr="00C472F2">
      <w:rPr>
        <w:rFonts w:ascii="Arial" w:hAnsi="Arial" w:cs="Arial"/>
        <w:b/>
        <w:color w:val="002060"/>
        <w:sz w:val="24"/>
        <w:szCs w:val="24"/>
      </w:rPr>
      <w:fldChar w:fldCharType="begin"/>
    </w:r>
    <w:r w:rsidRPr="00C472F2">
      <w:rPr>
        <w:rFonts w:ascii="Arial" w:hAnsi="Arial" w:cs="Arial"/>
        <w:b/>
        <w:color w:val="002060"/>
        <w:sz w:val="24"/>
        <w:szCs w:val="24"/>
        <w:lang w:val="pt-BR"/>
      </w:rPr>
      <w:instrText xml:space="preserve">\PAGE </w:instrText>
    </w:r>
    <w:r w:rsidRPr="00C472F2">
      <w:rPr>
        <w:rFonts w:ascii="Arial" w:hAnsi="Arial" w:cs="Arial"/>
        <w:color w:val="002060"/>
        <w:sz w:val="24"/>
        <w:szCs w:val="24"/>
      </w:rPr>
      <w:fldChar w:fldCharType="separate"/>
    </w:r>
    <w:r w:rsidR="002C562C">
      <w:rPr>
        <w:rFonts w:ascii="Arial" w:hAnsi="Arial" w:cs="Arial"/>
        <w:b/>
        <w:noProof/>
        <w:color w:val="002060"/>
        <w:sz w:val="24"/>
        <w:szCs w:val="24"/>
        <w:lang w:val="pt-BR"/>
      </w:rPr>
      <w:t>2</w:t>
    </w:r>
    <w:r w:rsidRPr="00C472F2">
      <w:rPr>
        <w:rFonts w:ascii="Arial" w:hAnsi="Arial" w:cs="Arial"/>
        <w:color w:val="002060"/>
        <w:sz w:val="24"/>
        <w:szCs w:val="24"/>
      </w:rPr>
      <w:fldChar w:fldCharType="end"/>
    </w:r>
    <w:r w:rsidRPr="00C472F2">
      <w:rPr>
        <w:rFonts w:ascii="Arial" w:hAnsi="Arial" w:cs="Arial"/>
        <w:b/>
        <w:color w:val="002060"/>
        <w:sz w:val="24"/>
        <w:szCs w:val="24"/>
        <w:lang w:val="pt-BR"/>
      </w:rPr>
      <w:t>/2</w:t>
    </w:r>
  </w:p>
  <w:p w14:paraId="7B5F6A59" w14:textId="77777777" w:rsidR="00FF6CB9" w:rsidRDefault="00FF6CB9" w:rsidP="00FF6CB9">
    <w:pPr>
      <w:pStyle w:val="Encabezado"/>
      <w:tabs>
        <w:tab w:val="center" w:pos="1713"/>
      </w:tabs>
      <w:ind w:left="-426"/>
    </w:pPr>
    <w:r w:rsidRPr="008309F1">
      <w:rPr>
        <w:noProof/>
        <w:lang w:eastAsia="es-MX"/>
      </w:rPr>
      <w:drawing>
        <wp:inline distT="0" distB="0" distL="0" distR="0" wp14:anchorId="1C1FB0F1" wp14:editId="06D3DCAE">
          <wp:extent cx="742950" cy="769466"/>
          <wp:effectExtent l="0" t="0" r="0" b="0"/>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807" cy="772425"/>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638CC" w14:textId="77777777" w:rsidR="00FF6CB9" w:rsidRPr="00EE1B2C" w:rsidRDefault="00FF6CB9" w:rsidP="00C472F2">
    <w:pPr>
      <w:pStyle w:val="Encabezado"/>
      <w:tabs>
        <w:tab w:val="center" w:pos="1713"/>
      </w:tabs>
      <w:ind w:left="-567"/>
      <w:jc w:val="center"/>
    </w:pPr>
    <w:r w:rsidRPr="008309F1">
      <w:rPr>
        <w:noProof/>
        <w:lang w:eastAsia="es-MX"/>
      </w:rPr>
      <w:drawing>
        <wp:inline distT="0" distB="0" distL="0" distR="0" wp14:anchorId="08C5AB7F" wp14:editId="2250E807">
          <wp:extent cx="685800" cy="710276"/>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9293" cy="71389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993E65"/>
    <w:multiLevelType w:val="hybridMultilevel"/>
    <w:tmpl w:val="603E2440"/>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C026A9A"/>
    <w:multiLevelType w:val="hybridMultilevel"/>
    <w:tmpl w:val="E73CA128"/>
    <w:lvl w:ilvl="0" w:tplc="ABE4E55C">
      <w:start w:val="1"/>
      <w:numFmt w:val="upperRoman"/>
      <w:lvlText w:val="%1."/>
      <w:lvlJc w:val="right"/>
      <w:pPr>
        <w:ind w:left="720" w:hanging="360"/>
      </w:pPr>
      <w:rPr>
        <w:rFonts w:hint="default"/>
        <w:b w:val="0"/>
        <w:color w:val="221F1F"/>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E45225B"/>
    <w:multiLevelType w:val="hybridMultilevel"/>
    <w:tmpl w:val="798A019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8A35F74"/>
    <w:multiLevelType w:val="hybridMultilevel"/>
    <w:tmpl w:val="3FF645CE"/>
    <w:lvl w:ilvl="0" w:tplc="080A0001">
      <w:start w:val="1"/>
      <w:numFmt w:val="bullet"/>
      <w:lvlText w:val=""/>
      <w:lvlJc w:val="left"/>
      <w:pPr>
        <w:ind w:left="2707" w:hanging="360"/>
      </w:pPr>
      <w:rPr>
        <w:rFonts w:ascii="Symbol" w:hAnsi="Symbol" w:hint="default"/>
      </w:rPr>
    </w:lvl>
    <w:lvl w:ilvl="1" w:tplc="080A0003" w:tentative="1">
      <w:start w:val="1"/>
      <w:numFmt w:val="bullet"/>
      <w:lvlText w:val="o"/>
      <w:lvlJc w:val="left"/>
      <w:pPr>
        <w:ind w:left="3427" w:hanging="360"/>
      </w:pPr>
      <w:rPr>
        <w:rFonts w:ascii="Courier New" w:hAnsi="Courier New" w:cs="Courier New" w:hint="default"/>
      </w:rPr>
    </w:lvl>
    <w:lvl w:ilvl="2" w:tplc="080A0005" w:tentative="1">
      <w:start w:val="1"/>
      <w:numFmt w:val="bullet"/>
      <w:lvlText w:val=""/>
      <w:lvlJc w:val="left"/>
      <w:pPr>
        <w:ind w:left="4147" w:hanging="360"/>
      </w:pPr>
      <w:rPr>
        <w:rFonts w:ascii="Wingdings" w:hAnsi="Wingdings" w:hint="default"/>
      </w:rPr>
    </w:lvl>
    <w:lvl w:ilvl="3" w:tplc="080A0001" w:tentative="1">
      <w:start w:val="1"/>
      <w:numFmt w:val="bullet"/>
      <w:lvlText w:val=""/>
      <w:lvlJc w:val="left"/>
      <w:pPr>
        <w:ind w:left="4867" w:hanging="360"/>
      </w:pPr>
      <w:rPr>
        <w:rFonts w:ascii="Symbol" w:hAnsi="Symbol" w:hint="default"/>
      </w:rPr>
    </w:lvl>
    <w:lvl w:ilvl="4" w:tplc="080A0003" w:tentative="1">
      <w:start w:val="1"/>
      <w:numFmt w:val="bullet"/>
      <w:lvlText w:val="o"/>
      <w:lvlJc w:val="left"/>
      <w:pPr>
        <w:ind w:left="5587" w:hanging="360"/>
      </w:pPr>
      <w:rPr>
        <w:rFonts w:ascii="Courier New" w:hAnsi="Courier New" w:cs="Courier New" w:hint="default"/>
      </w:rPr>
    </w:lvl>
    <w:lvl w:ilvl="5" w:tplc="080A0005" w:tentative="1">
      <w:start w:val="1"/>
      <w:numFmt w:val="bullet"/>
      <w:lvlText w:val=""/>
      <w:lvlJc w:val="left"/>
      <w:pPr>
        <w:ind w:left="6307" w:hanging="360"/>
      </w:pPr>
      <w:rPr>
        <w:rFonts w:ascii="Wingdings" w:hAnsi="Wingdings" w:hint="default"/>
      </w:rPr>
    </w:lvl>
    <w:lvl w:ilvl="6" w:tplc="080A0001" w:tentative="1">
      <w:start w:val="1"/>
      <w:numFmt w:val="bullet"/>
      <w:lvlText w:val=""/>
      <w:lvlJc w:val="left"/>
      <w:pPr>
        <w:ind w:left="7027" w:hanging="360"/>
      </w:pPr>
      <w:rPr>
        <w:rFonts w:ascii="Symbol" w:hAnsi="Symbol" w:hint="default"/>
      </w:rPr>
    </w:lvl>
    <w:lvl w:ilvl="7" w:tplc="080A0003" w:tentative="1">
      <w:start w:val="1"/>
      <w:numFmt w:val="bullet"/>
      <w:lvlText w:val="o"/>
      <w:lvlJc w:val="left"/>
      <w:pPr>
        <w:ind w:left="7747" w:hanging="360"/>
      </w:pPr>
      <w:rPr>
        <w:rFonts w:ascii="Courier New" w:hAnsi="Courier New" w:cs="Courier New" w:hint="default"/>
      </w:rPr>
    </w:lvl>
    <w:lvl w:ilvl="8" w:tplc="080A0005" w:tentative="1">
      <w:start w:val="1"/>
      <w:numFmt w:val="bullet"/>
      <w:lvlText w:val=""/>
      <w:lvlJc w:val="left"/>
      <w:pPr>
        <w:ind w:left="8467" w:hanging="360"/>
      </w:pPr>
      <w:rPr>
        <w:rFonts w:ascii="Wingdings" w:hAnsi="Wingdings" w:hint="default"/>
      </w:rPr>
    </w:lvl>
  </w:abstractNum>
  <w:abstractNum w:abstractNumId="4" w15:restartNumberingAfterBreak="0">
    <w:nsid w:val="51B976F3"/>
    <w:multiLevelType w:val="hybridMultilevel"/>
    <w:tmpl w:val="1F1CC3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MX" w:vendorID="64" w:dllVersion="6" w:nlCheck="1" w:checkStyle="0"/>
  <w:activeWritingStyle w:appName="MSWord" w:lang="es-MX" w:vendorID="64" w:dllVersion="0" w:nlCheck="1" w:checkStyle="0"/>
  <w:activeWritingStyle w:appName="MSWord" w:lang="pt-BR" w:vendorID="64" w:dllVersion="0" w:nlCheck="1" w:checkStyle="0"/>
  <w:activeWritingStyle w:appName="MSWord" w:lang="en-US" w:vendorID="64" w:dllVersion="6" w:nlCheck="1" w:checkStyle="1"/>
  <w:activeWritingStyle w:appName="MSWord" w:lang="en-US" w:vendorID="64" w:dllVersion="0" w:nlCheck="1" w:checkStyle="0"/>
  <w:activeWritingStyle w:appName="MSWord" w:lang="es-ES_tradnl" w:vendorID="64" w:dllVersion="6" w:nlCheck="1" w:checkStyle="0"/>
  <w:activeWritingStyle w:appName="MSWord" w:lang="es-MX" w:vendorID="64" w:dllVersion="4096" w:nlCheck="1" w:checkStyle="0"/>
  <w:activeWritingStyle w:appName="MSWord" w:lang="es-ES" w:vendorID="64" w:dllVersion="6" w:nlCheck="1" w:checkStyle="0"/>
  <w:activeWritingStyle w:appName="MSWord" w:lang="es-ES_tradn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s-ES_tradnl" w:vendorID="64" w:dllVersion="0" w:nlCheck="1" w:checkStyle="0"/>
  <w:activeWritingStyle w:appName="MSWord" w:lang="es-ES" w:vendorID="64" w:dllVersion="0" w:nlCheck="1" w:checkStyle="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7EF4"/>
    <w:rsid w:val="000067F8"/>
    <w:rsid w:val="00007853"/>
    <w:rsid w:val="00007A43"/>
    <w:rsid w:val="00007DE5"/>
    <w:rsid w:val="000131E7"/>
    <w:rsid w:val="00014502"/>
    <w:rsid w:val="000161B1"/>
    <w:rsid w:val="00021D00"/>
    <w:rsid w:val="0003202F"/>
    <w:rsid w:val="00032E12"/>
    <w:rsid w:val="00041CCC"/>
    <w:rsid w:val="00042FFC"/>
    <w:rsid w:val="00043729"/>
    <w:rsid w:val="0004589D"/>
    <w:rsid w:val="000470C0"/>
    <w:rsid w:val="000479F8"/>
    <w:rsid w:val="00047D22"/>
    <w:rsid w:val="0005283F"/>
    <w:rsid w:val="00054764"/>
    <w:rsid w:val="00056DE9"/>
    <w:rsid w:val="00057F18"/>
    <w:rsid w:val="000667A9"/>
    <w:rsid w:val="00067436"/>
    <w:rsid w:val="00070EAB"/>
    <w:rsid w:val="00070F02"/>
    <w:rsid w:val="0007485C"/>
    <w:rsid w:val="00075E07"/>
    <w:rsid w:val="000761DA"/>
    <w:rsid w:val="00080123"/>
    <w:rsid w:val="00083ECC"/>
    <w:rsid w:val="00084D08"/>
    <w:rsid w:val="00084E03"/>
    <w:rsid w:val="000855B2"/>
    <w:rsid w:val="00092FAB"/>
    <w:rsid w:val="000937B3"/>
    <w:rsid w:val="000A08B7"/>
    <w:rsid w:val="000A0DA1"/>
    <w:rsid w:val="000A3B24"/>
    <w:rsid w:val="000A5078"/>
    <w:rsid w:val="000C250A"/>
    <w:rsid w:val="000C2AEF"/>
    <w:rsid w:val="000C41F3"/>
    <w:rsid w:val="000D1054"/>
    <w:rsid w:val="000D23CE"/>
    <w:rsid w:val="000D51B5"/>
    <w:rsid w:val="000D575D"/>
    <w:rsid w:val="000E3AF7"/>
    <w:rsid w:val="000E5D8F"/>
    <w:rsid w:val="000E61D3"/>
    <w:rsid w:val="000F1ABF"/>
    <w:rsid w:val="000F394E"/>
    <w:rsid w:val="00100E6F"/>
    <w:rsid w:val="0010459D"/>
    <w:rsid w:val="0010465A"/>
    <w:rsid w:val="0010772A"/>
    <w:rsid w:val="00110305"/>
    <w:rsid w:val="0011241B"/>
    <w:rsid w:val="00112917"/>
    <w:rsid w:val="00114577"/>
    <w:rsid w:val="00114E3F"/>
    <w:rsid w:val="0012394C"/>
    <w:rsid w:val="00123ABF"/>
    <w:rsid w:val="001304E6"/>
    <w:rsid w:val="001320A9"/>
    <w:rsid w:val="00132EA4"/>
    <w:rsid w:val="00134EE3"/>
    <w:rsid w:val="0014062A"/>
    <w:rsid w:val="001407CB"/>
    <w:rsid w:val="00142E0B"/>
    <w:rsid w:val="0014423B"/>
    <w:rsid w:val="001457F9"/>
    <w:rsid w:val="0014692A"/>
    <w:rsid w:val="00146C37"/>
    <w:rsid w:val="00156B5B"/>
    <w:rsid w:val="001576B8"/>
    <w:rsid w:val="00157823"/>
    <w:rsid w:val="00163D66"/>
    <w:rsid w:val="0016479C"/>
    <w:rsid w:val="0016491D"/>
    <w:rsid w:val="00164A99"/>
    <w:rsid w:val="00170131"/>
    <w:rsid w:val="001723B4"/>
    <w:rsid w:val="00172E22"/>
    <w:rsid w:val="00176B7E"/>
    <w:rsid w:val="001806ED"/>
    <w:rsid w:val="00182BFC"/>
    <w:rsid w:val="0018332D"/>
    <w:rsid w:val="001834EF"/>
    <w:rsid w:val="001837CD"/>
    <w:rsid w:val="0018776A"/>
    <w:rsid w:val="001877BA"/>
    <w:rsid w:val="00193899"/>
    <w:rsid w:val="00193BEE"/>
    <w:rsid w:val="001942A1"/>
    <w:rsid w:val="0019470E"/>
    <w:rsid w:val="00196DBF"/>
    <w:rsid w:val="00197166"/>
    <w:rsid w:val="00197536"/>
    <w:rsid w:val="001A03F0"/>
    <w:rsid w:val="001A3337"/>
    <w:rsid w:val="001A5436"/>
    <w:rsid w:val="001A6054"/>
    <w:rsid w:val="001A622A"/>
    <w:rsid w:val="001B686D"/>
    <w:rsid w:val="001C0C2B"/>
    <w:rsid w:val="001C1006"/>
    <w:rsid w:val="001C16D6"/>
    <w:rsid w:val="001C2696"/>
    <w:rsid w:val="001C379C"/>
    <w:rsid w:val="001C3C8E"/>
    <w:rsid w:val="001C5FBA"/>
    <w:rsid w:val="001D05A8"/>
    <w:rsid w:val="001D0CD1"/>
    <w:rsid w:val="001D30D0"/>
    <w:rsid w:val="001D3A52"/>
    <w:rsid w:val="001D44D0"/>
    <w:rsid w:val="001D4B18"/>
    <w:rsid w:val="001E0349"/>
    <w:rsid w:val="001E2B26"/>
    <w:rsid w:val="001E37C1"/>
    <w:rsid w:val="001E6323"/>
    <w:rsid w:val="001E7119"/>
    <w:rsid w:val="001F0194"/>
    <w:rsid w:val="001F543B"/>
    <w:rsid w:val="00200051"/>
    <w:rsid w:val="00201E4A"/>
    <w:rsid w:val="00202E26"/>
    <w:rsid w:val="002046F5"/>
    <w:rsid w:val="00205D19"/>
    <w:rsid w:val="0021228C"/>
    <w:rsid w:val="0021293B"/>
    <w:rsid w:val="00214402"/>
    <w:rsid w:val="00220489"/>
    <w:rsid w:val="0022201E"/>
    <w:rsid w:val="00224E48"/>
    <w:rsid w:val="00225872"/>
    <w:rsid w:val="002273F9"/>
    <w:rsid w:val="00227F2D"/>
    <w:rsid w:val="00233AEF"/>
    <w:rsid w:val="00233C30"/>
    <w:rsid w:val="00234F64"/>
    <w:rsid w:val="00234F9C"/>
    <w:rsid w:val="0024373F"/>
    <w:rsid w:val="002447C9"/>
    <w:rsid w:val="002452A5"/>
    <w:rsid w:val="00245951"/>
    <w:rsid w:val="00246DCB"/>
    <w:rsid w:val="002530A1"/>
    <w:rsid w:val="00253C26"/>
    <w:rsid w:val="0026425C"/>
    <w:rsid w:val="002645DD"/>
    <w:rsid w:val="00270B6F"/>
    <w:rsid w:val="00270E99"/>
    <w:rsid w:val="0027244E"/>
    <w:rsid w:val="00273F9B"/>
    <w:rsid w:val="00274128"/>
    <w:rsid w:val="00275A1F"/>
    <w:rsid w:val="0028205D"/>
    <w:rsid w:val="00283D84"/>
    <w:rsid w:val="00283D9D"/>
    <w:rsid w:val="002848DD"/>
    <w:rsid w:val="00286A1F"/>
    <w:rsid w:val="00290078"/>
    <w:rsid w:val="002938EA"/>
    <w:rsid w:val="0029689D"/>
    <w:rsid w:val="002A1BF7"/>
    <w:rsid w:val="002A3BAA"/>
    <w:rsid w:val="002A6DB9"/>
    <w:rsid w:val="002A72B5"/>
    <w:rsid w:val="002B5D3C"/>
    <w:rsid w:val="002B63E5"/>
    <w:rsid w:val="002B7B03"/>
    <w:rsid w:val="002C1050"/>
    <w:rsid w:val="002C14F2"/>
    <w:rsid w:val="002C26BB"/>
    <w:rsid w:val="002C562C"/>
    <w:rsid w:val="002C6FE2"/>
    <w:rsid w:val="002C799B"/>
    <w:rsid w:val="002D0A5E"/>
    <w:rsid w:val="002D0ABD"/>
    <w:rsid w:val="002D6B8A"/>
    <w:rsid w:val="002D7900"/>
    <w:rsid w:val="002E291A"/>
    <w:rsid w:val="002E2FF3"/>
    <w:rsid w:val="002E6E49"/>
    <w:rsid w:val="002F0E72"/>
    <w:rsid w:val="002F46A6"/>
    <w:rsid w:val="002F5482"/>
    <w:rsid w:val="002F56B3"/>
    <w:rsid w:val="00301F02"/>
    <w:rsid w:val="00304D9B"/>
    <w:rsid w:val="0031003A"/>
    <w:rsid w:val="00317C6E"/>
    <w:rsid w:val="003203D0"/>
    <w:rsid w:val="003228D9"/>
    <w:rsid w:val="0032308A"/>
    <w:rsid w:val="00323663"/>
    <w:rsid w:val="00325858"/>
    <w:rsid w:val="00325A5D"/>
    <w:rsid w:val="00326066"/>
    <w:rsid w:val="00326708"/>
    <w:rsid w:val="003300CF"/>
    <w:rsid w:val="00330433"/>
    <w:rsid w:val="00331010"/>
    <w:rsid w:val="00333234"/>
    <w:rsid w:val="00333F5D"/>
    <w:rsid w:val="00336BCD"/>
    <w:rsid w:val="00345B40"/>
    <w:rsid w:val="00355850"/>
    <w:rsid w:val="00356217"/>
    <w:rsid w:val="003566BC"/>
    <w:rsid w:val="00356A76"/>
    <w:rsid w:val="00360633"/>
    <w:rsid w:val="00373A26"/>
    <w:rsid w:val="00384087"/>
    <w:rsid w:val="00384825"/>
    <w:rsid w:val="003861E3"/>
    <w:rsid w:val="003878D0"/>
    <w:rsid w:val="003911F4"/>
    <w:rsid w:val="00391DFD"/>
    <w:rsid w:val="0039258C"/>
    <w:rsid w:val="00392A98"/>
    <w:rsid w:val="00394810"/>
    <w:rsid w:val="00397166"/>
    <w:rsid w:val="003A3D8D"/>
    <w:rsid w:val="003A5030"/>
    <w:rsid w:val="003A5BE7"/>
    <w:rsid w:val="003A7738"/>
    <w:rsid w:val="003B090A"/>
    <w:rsid w:val="003B3D3F"/>
    <w:rsid w:val="003C2EC4"/>
    <w:rsid w:val="003C3F99"/>
    <w:rsid w:val="003C6430"/>
    <w:rsid w:val="003C7BBF"/>
    <w:rsid w:val="003D35C1"/>
    <w:rsid w:val="003D3C67"/>
    <w:rsid w:val="003D4539"/>
    <w:rsid w:val="003D4661"/>
    <w:rsid w:val="003E3838"/>
    <w:rsid w:val="003E4387"/>
    <w:rsid w:val="003E5447"/>
    <w:rsid w:val="003F00D6"/>
    <w:rsid w:val="003F2243"/>
    <w:rsid w:val="003F2424"/>
    <w:rsid w:val="003F2BF8"/>
    <w:rsid w:val="003F7252"/>
    <w:rsid w:val="00400914"/>
    <w:rsid w:val="00404186"/>
    <w:rsid w:val="00404B13"/>
    <w:rsid w:val="004106FB"/>
    <w:rsid w:val="00411F9D"/>
    <w:rsid w:val="004128F9"/>
    <w:rsid w:val="00415575"/>
    <w:rsid w:val="00417011"/>
    <w:rsid w:val="004172E7"/>
    <w:rsid w:val="00417D34"/>
    <w:rsid w:val="00421549"/>
    <w:rsid w:val="004230E5"/>
    <w:rsid w:val="00424A1F"/>
    <w:rsid w:val="00425D73"/>
    <w:rsid w:val="00432749"/>
    <w:rsid w:val="00433EB5"/>
    <w:rsid w:val="00435C9F"/>
    <w:rsid w:val="004363AC"/>
    <w:rsid w:val="004412D3"/>
    <w:rsid w:val="00443454"/>
    <w:rsid w:val="00445015"/>
    <w:rsid w:val="0044757A"/>
    <w:rsid w:val="0045183E"/>
    <w:rsid w:val="00454392"/>
    <w:rsid w:val="00454DAC"/>
    <w:rsid w:val="00455E09"/>
    <w:rsid w:val="004569C1"/>
    <w:rsid w:val="004572BF"/>
    <w:rsid w:val="00460EBE"/>
    <w:rsid w:val="00462962"/>
    <w:rsid w:val="0046363A"/>
    <w:rsid w:val="00466274"/>
    <w:rsid w:val="004701E3"/>
    <w:rsid w:val="00474ADE"/>
    <w:rsid w:val="00482554"/>
    <w:rsid w:val="00483DE2"/>
    <w:rsid w:val="00494A00"/>
    <w:rsid w:val="0049501A"/>
    <w:rsid w:val="004A055E"/>
    <w:rsid w:val="004A130B"/>
    <w:rsid w:val="004A2BFD"/>
    <w:rsid w:val="004A2E14"/>
    <w:rsid w:val="004A6509"/>
    <w:rsid w:val="004B7609"/>
    <w:rsid w:val="004B7765"/>
    <w:rsid w:val="004C017C"/>
    <w:rsid w:val="004C0745"/>
    <w:rsid w:val="004C3671"/>
    <w:rsid w:val="004E2F39"/>
    <w:rsid w:val="004E67B1"/>
    <w:rsid w:val="004E7B4B"/>
    <w:rsid w:val="004F2981"/>
    <w:rsid w:val="004F6D29"/>
    <w:rsid w:val="00502D65"/>
    <w:rsid w:val="00505EE4"/>
    <w:rsid w:val="00511F8B"/>
    <w:rsid w:val="00514D28"/>
    <w:rsid w:val="00517ACC"/>
    <w:rsid w:val="00522231"/>
    <w:rsid w:val="005231EB"/>
    <w:rsid w:val="00523D1C"/>
    <w:rsid w:val="005322E2"/>
    <w:rsid w:val="005334B8"/>
    <w:rsid w:val="00534C43"/>
    <w:rsid w:val="005363F8"/>
    <w:rsid w:val="00537E07"/>
    <w:rsid w:val="00541A58"/>
    <w:rsid w:val="0054312A"/>
    <w:rsid w:val="005476CD"/>
    <w:rsid w:val="005478CC"/>
    <w:rsid w:val="00550CE4"/>
    <w:rsid w:val="005548AB"/>
    <w:rsid w:val="00555022"/>
    <w:rsid w:val="005566D3"/>
    <w:rsid w:val="00561E80"/>
    <w:rsid w:val="00565ADB"/>
    <w:rsid w:val="00566AFB"/>
    <w:rsid w:val="00570B57"/>
    <w:rsid w:val="00570D8F"/>
    <w:rsid w:val="005714B6"/>
    <w:rsid w:val="0057210D"/>
    <w:rsid w:val="00572B22"/>
    <w:rsid w:val="00572C80"/>
    <w:rsid w:val="00574029"/>
    <w:rsid w:val="00575E59"/>
    <w:rsid w:val="00576565"/>
    <w:rsid w:val="005850C6"/>
    <w:rsid w:val="00593E43"/>
    <w:rsid w:val="005A12BA"/>
    <w:rsid w:val="005A154B"/>
    <w:rsid w:val="005A2367"/>
    <w:rsid w:val="005A2E0A"/>
    <w:rsid w:val="005A5216"/>
    <w:rsid w:val="005B3654"/>
    <w:rsid w:val="005B4068"/>
    <w:rsid w:val="005B4F6D"/>
    <w:rsid w:val="005B5817"/>
    <w:rsid w:val="005B6881"/>
    <w:rsid w:val="005C2459"/>
    <w:rsid w:val="005C6401"/>
    <w:rsid w:val="005C7BD0"/>
    <w:rsid w:val="005C7C09"/>
    <w:rsid w:val="005D3C37"/>
    <w:rsid w:val="005D5154"/>
    <w:rsid w:val="005D6820"/>
    <w:rsid w:val="005D6936"/>
    <w:rsid w:val="005E5BED"/>
    <w:rsid w:val="005F047E"/>
    <w:rsid w:val="005F0F21"/>
    <w:rsid w:val="005F190E"/>
    <w:rsid w:val="005F30C6"/>
    <w:rsid w:val="005F3983"/>
    <w:rsid w:val="005F6356"/>
    <w:rsid w:val="00601B32"/>
    <w:rsid w:val="00606F10"/>
    <w:rsid w:val="006109BF"/>
    <w:rsid w:val="00610D26"/>
    <w:rsid w:val="00613338"/>
    <w:rsid w:val="006135CB"/>
    <w:rsid w:val="0061449F"/>
    <w:rsid w:val="00614CBC"/>
    <w:rsid w:val="00623833"/>
    <w:rsid w:val="00625ECE"/>
    <w:rsid w:val="0062753C"/>
    <w:rsid w:val="00627626"/>
    <w:rsid w:val="00630E50"/>
    <w:rsid w:val="00631D76"/>
    <w:rsid w:val="00636889"/>
    <w:rsid w:val="006407D9"/>
    <w:rsid w:val="006414A8"/>
    <w:rsid w:val="00642B91"/>
    <w:rsid w:val="0064466D"/>
    <w:rsid w:val="006468CA"/>
    <w:rsid w:val="00647E8F"/>
    <w:rsid w:val="0065129E"/>
    <w:rsid w:val="00651C45"/>
    <w:rsid w:val="00652848"/>
    <w:rsid w:val="00652F58"/>
    <w:rsid w:val="006558C3"/>
    <w:rsid w:val="00663620"/>
    <w:rsid w:val="00664E67"/>
    <w:rsid w:val="006650A9"/>
    <w:rsid w:val="00667837"/>
    <w:rsid w:val="00667C63"/>
    <w:rsid w:val="00670214"/>
    <w:rsid w:val="00672351"/>
    <w:rsid w:val="00673FAE"/>
    <w:rsid w:val="0067566A"/>
    <w:rsid w:val="0068146B"/>
    <w:rsid w:val="00681F5E"/>
    <w:rsid w:val="0068288C"/>
    <w:rsid w:val="00682A9F"/>
    <w:rsid w:val="00686A73"/>
    <w:rsid w:val="006871A0"/>
    <w:rsid w:val="00687E63"/>
    <w:rsid w:val="0069160E"/>
    <w:rsid w:val="006923AF"/>
    <w:rsid w:val="006940F1"/>
    <w:rsid w:val="00697F66"/>
    <w:rsid w:val="006B1C4F"/>
    <w:rsid w:val="006B20D2"/>
    <w:rsid w:val="006B259C"/>
    <w:rsid w:val="006B7096"/>
    <w:rsid w:val="006B70FB"/>
    <w:rsid w:val="006C0600"/>
    <w:rsid w:val="006C2C5B"/>
    <w:rsid w:val="006C6C23"/>
    <w:rsid w:val="006C7A87"/>
    <w:rsid w:val="006D162D"/>
    <w:rsid w:val="006D6E36"/>
    <w:rsid w:val="006D78E9"/>
    <w:rsid w:val="006E265C"/>
    <w:rsid w:val="006E3D87"/>
    <w:rsid w:val="006E63EB"/>
    <w:rsid w:val="006F2CA7"/>
    <w:rsid w:val="006F3159"/>
    <w:rsid w:val="006F64AD"/>
    <w:rsid w:val="006F761C"/>
    <w:rsid w:val="007016AE"/>
    <w:rsid w:val="0070374B"/>
    <w:rsid w:val="00703DF2"/>
    <w:rsid w:val="00705D90"/>
    <w:rsid w:val="00706727"/>
    <w:rsid w:val="0071019C"/>
    <w:rsid w:val="00711FBE"/>
    <w:rsid w:val="00713652"/>
    <w:rsid w:val="00715969"/>
    <w:rsid w:val="007203D4"/>
    <w:rsid w:val="00722CA8"/>
    <w:rsid w:val="0072367E"/>
    <w:rsid w:val="00723C6C"/>
    <w:rsid w:val="007257F9"/>
    <w:rsid w:val="00726A25"/>
    <w:rsid w:val="0073060C"/>
    <w:rsid w:val="007319DD"/>
    <w:rsid w:val="00732F31"/>
    <w:rsid w:val="007339B0"/>
    <w:rsid w:val="00735227"/>
    <w:rsid w:val="007353D8"/>
    <w:rsid w:val="00735D17"/>
    <w:rsid w:val="00737B2E"/>
    <w:rsid w:val="00741601"/>
    <w:rsid w:val="00742195"/>
    <w:rsid w:val="0074455D"/>
    <w:rsid w:val="00744974"/>
    <w:rsid w:val="007462C5"/>
    <w:rsid w:val="007466F6"/>
    <w:rsid w:val="00750ABF"/>
    <w:rsid w:val="007547AE"/>
    <w:rsid w:val="00761323"/>
    <w:rsid w:val="00762936"/>
    <w:rsid w:val="00765FA6"/>
    <w:rsid w:val="00766867"/>
    <w:rsid w:val="00767EF3"/>
    <w:rsid w:val="00771018"/>
    <w:rsid w:val="007722AB"/>
    <w:rsid w:val="00772B0D"/>
    <w:rsid w:val="00773130"/>
    <w:rsid w:val="0078604F"/>
    <w:rsid w:val="00786073"/>
    <w:rsid w:val="00786EB2"/>
    <w:rsid w:val="00790150"/>
    <w:rsid w:val="007902EF"/>
    <w:rsid w:val="007908C9"/>
    <w:rsid w:val="00793793"/>
    <w:rsid w:val="00795AB5"/>
    <w:rsid w:val="007A176F"/>
    <w:rsid w:val="007A1FBE"/>
    <w:rsid w:val="007A43EA"/>
    <w:rsid w:val="007A76B2"/>
    <w:rsid w:val="007B03E0"/>
    <w:rsid w:val="007B515A"/>
    <w:rsid w:val="007C6797"/>
    <w:rsid w:val="007C6995"/>
    <w:rsid w:val="007D0EC2"/>
    <w:rsid w:val="007D1CD6"/>
    <w:rsid w:val="007D528D"/>
    <w:rsid w:val="007D74F7"/>
    <w:rsid w:val="007E10D9"/>
    <w:rsid w:val="007E3891"/>
    <w:rsid w:val="007E6900"/>
    <w:rsid w:val="007F2D93"/>
    <w:rsid w:val="007F428A"/>
    <w:rsid w:val="007F53F2"/>
    <w:rsid w:val="007F61BC"/>
    <w:rsid w:val="007F6D60"/>
    <w:rsid w:val="007F7AE4"/>
    <w:rsid w:val="0080211A"/>
    <w:rsid w:val="00803443"/>
    <w:rsid w:val="008065ED"/>
    <w:rsid w:val="00814956"/>
    <w:rsid w:val="008166AD"/>
    <w:rsid w:val="00822010"/>
    <w:rsid w:val="0082210E"/>
    <w:rsid w:val="00823D73"/>
    <w:rsid w:val="00831A50"/>
    <w:rsid w:val="00835C09"/>
    <w:rsid w:val="008367EC"/>
    <w:rsid w:val="00836884"/>
    <w:rsid w:val="0084080B"/>
    <w:rsid w:val="00843BCA"/>
    <w:rsid w:val="00845CA7"/>
    <w:rsid w:val="00846A2A"/>
    <w:rsid w:val="0085051F"/>
    <w:rsid w:val="008506DB"/>
    <w:rsid w:val="008508D0"/>
    <w:rsid w:val="008520D6"/>
    <w:rsid w:val="008541B1"/>
    <w:rsid w:val="0085509C"/>
    <w:rsid w:val="0085526B"/>
    <w:rsid w:val="008557EE"/>
    <w:rsid w:val="00860DAA"/>
    <w:rsid w:val="008610EF"/>
    <w:rsid w:val="00862BF1"/>
    <w:rsid w:val="008634E6"/>
    <w:rsid w:val="00864765"/>
    <w:rsid w:val="00870914"/>
    <w:rsid w:val="008718AB"/>
    <w:rsid w:val="00871D7D"/>
    <w:rsid w:val="008735C6"/>
    <w:rsid w:val="00874864"/>
    <w:rsid w:val="00875AFF"/>
    <w:rsid w:val="00880312"/>
    <w:rsid w:val="00881FC6"/>
    <w:rsid w:val="0088234C"/>
    <w:rsid w:val="00890DDC"/>
    <w:rsid w:val="0089369A"/>
    <w:rsid w:val="00894715"/>
    <w:rsid w:val="00894F6B"/>
    <w:rsid w:val="00897052"/>
    <w:rsid w:val="008A1AE6"/>
    <w:rsid w:val="008A3A61"/>
    <w:rsid w:val="008A49BE"/>
    <w:rsid w:val="008A5101"/>
    <w:rsid w:val="008A6568"/>
    <w:rsid w:val="008B0399"/>
    <w:rsid w:val="008B56DB"/>
    <w:rsid w:val="008B65EF"/>
    <w:rsid w:val="008C1355"/>
    <w:rsid w:val="008C2BFD"/>
    <w:rsid w:val="008C4232"/>
    <w:rsid w:val="008C698D"/>
    <w:rsid w:val="008D1423"/>
    <w:rsid w:val="008D6E8A"/>
    <w:rsid w:val="008E07DE"/>
    <w:rsid w:val="008E0E59"/>
    <w:rsid w:val="008E148E"/>
    <w:rsid w:val="008E17A9"/>
    <w:rsid w:val="008E3533"/>
    <w:rsid w:val="008E44B6"/>
    <w:rsid w:val="008E544D"/>
    <w:rsid w:val="008E584C"/>
    <w:rsid w:val="008E609F"/>
    <w:rsid w:val="008F010E"/>
    <w:rsid w:val="008F26DE"/>
    <w:rsid w:val="008F3E12"/>
    <w:rsid w:val="009018C0"/>
    <w:rsid w:val="00905092"/>
    <w:rsid w:val="00910752"/>
    <w:rsid w:val="00912BC2"/>
    <w:rsid w:val="00912C62"/>
    <w:rsid w:val="00915EAD"/>
    <w:rsid w:val="00916A4F"/>
    <w:rsid w:val="00917604"/>
    <w:rsid w:val="00922953"/>
    <w:rsid w:val="0092434F"/>
    <w:rsid w:val="009261B1"/>
    <w:rsid w:val="0092621F"/>
    <w:rsid w:val="00926F71"/>
    <w:rsid w:val="0092743A"/>
    <w:rsid w:val="00933DFC"/>
    <w:rsid w:val="0093482B"/>
    <w:rsid w:val="009349ED"/>
    <w:rsid w:val="009375C1"/>
    <w:rsid w:val="009376C1"/>
    <w:rsid w:val="00942C01"/>
    <w:rsid w:val="009453DB"/>
    <w:rsid w:val="009470B9"/>
    <w:rsid w:val="00951484"/>
    <w:rsid w:val="00953B6A"/>
    <w:rsid w:val="00954CE1"/>
    <w:rsid w:val="00955C01"/>
    <w:rsid w:val="00964A74"/>
    <w:rsid w:val="00964B6B"/>
    <w:rsid w:val="0097075E"/>
    <w:rsid w:val="00975BF5"/>
    <w:rsid w:val="00976E45"/>
    <w:rsid w:val="00982E62"/>
    <w:rsid w:val="00985F98"/>
    <w:rsid w:val="00986657"/>
    <w:rsid w:val="009866E2"/>
    <w:rsid w:val="00986762"/>
    <w:rsid w:val="00986B53"/>
    <w:rsid w:val="00987217"/>
    <w:rsid w:val="00992465"/>
    <w:rsid w:val="00994C7F"/>
    <w:rsid w:val="009A103D"/>
    <w:rsid w:val="009A1BC1"/>
    <w:rsid w:val="009A40E9"/>
    <w:rsid w:val="009A4943"/>
    <w:rsid w:val="009B029C"/>
    <w:rsid w:val="009B2285"/>
    <w:rsid w:val="009B401E"/>
    <w:rsid w:val="009B4496"/>
    <w:rsid w:val="009B77D1"/>
    <w:rsid w:val="009C0FCB"/>
    <w:rsid w:val="009C283D"/>
    <w:rsid w:val="009C2B4B"/>
    <w:rsid w:val="009C4A76"/>
    <w:rsid w:val="009D10AB"/>
    <w:rsid w:val="009D1530"/>
    <w:rsid w:val="009D3DD0"/>
    <w:rsid w:val="009D5DBC"/>
    <w:rsid w:val="009E2AB1"/>
    <w:rsid w:val="009E50EA"/>
    <w:rsid w:val="009F0269"/>
    <w:rsid w:val="009F1088"/>
    <w:rsid w:val="009F32F6"/>
    <w:rsid w:val="009F5A93"/>
    <w:rsid w:val="00A01D7F"/>
    <w:rsid w:val="00A0312A"/>
    <w:rsid w:val="00A0356E"/>
    <w:rsid w:val="00A03802"/>
    <w:rsid w:val="00A039A4"/>
    <w:rsid w:val="00A03A5C"/>
    <w:rsid w:val="00A051F0"/>
    <w:rsid w:val="00A068BE"/>
    <w:rsid w:val="00A106CD"/>
    <w:rsid w:val="00A111C2"/>
    <w:rsid w:val="00A1122B"/>
    <w:rsid w:val="00A11D42"/>
    <w:rsid w:val="00A12836"/>
    <w:rsid w:val="00A13601"/>
    <w:rsid w:val="00A15878"/>
    <w:rsid w:val="00A22F3B"/>
    <w:rsid w:val="00A2530A"/>
    <w:rsid w:val="00A26267"/>
    <w:rsid w:val="00A2691F"/>
    <w:rsid w:val="00A278D5"/>
    <w:rsid w:val="00A31D13"/>
    <w:rsid w:val="00A33670"/>
    <w:rsid w:val="00A341C6"/>
    <w:rsid w:val="00A349ED"/>
    <w:rsid w:val="00A35123"/>
    <w:rsid w:val="00A42211"/>
    <w:rsid w:val="00A42487"/>
    <w:rsid w:val="00A44F59"/>
    <w:rsid w:val="00A459B2"/>
    <w:rsid w:val="00A47151"/>
    <w:rsid w:val="00A4775E"/>
    <w:rsid w:val="00A511D4"/>
    <w:rsid w:val="00A53939"/>
    <w:rsid w:val="00A5523F"/>
    <w:rsid w:val="00A55B2E"/>
    <w:rsid w:val="00A57743"/>
    <w:rsid w:val="00A578C9"/>
    <w:rsid w:val="00A64652"/>
    <w:rsid w:val="00A64FDE"/>
    <w:rsid w:val="00A66BB4"/>
    <w:rsid w:val="00A67F0A"/>
    <w:rsid w:val="00A718E7"/>
    <w:rsid w:val="00A730AC"/>
    <w:rsid w:val="00A738F7"/>
    <w:rsid w:val="00A75BA6"/>
    <w:rsid w:val="00A76774"/>
    <w:rsid w:val="00A76F29"/>
    <w:rsid w:val="00A779B1"/>
    <w:rsid w:val="00A805A9"/>
    <w:rsid w:val="00A81A1C"/>
    <w:rsid w:val="00A8204F"/>
    <w:rsid w:val="00A83498"/>
    <w:rsid w:val="00A848F8"/>
    <w:rsid w:val="00A84ACE"/>
    <w:rsid w:val="00A857BE"/>
    <w:rsid w:val="00A86500"/>
    <w:rsid w:val="00A927A7"/>
    <w:rsid w:val="00A9585D"/>
    <w:rsid w:val="00A96DBC"/>
    <w:rsid w:val="00AA0654"/>
    <w:rsid w:val="00AA69C0"/>
    <w:rsid w:val="00AB0EC9"/>
    <w:rsid w:val="00AB3DD9"/>
    <w:rsid w:val="00AB4106"/>
    <w:rsid w:val="00AB4899"/>
    <w:rsid w:val="00AC05C1"/>
    <w:rsid w:val="00AC19EB"/>
    <w:rsid w:val="00AC2CE9"/>
    <w:rsid w:val="00AC444E"/>
    <w:rsid w:val="00AD1D88"/>
    <w:rsid w:val="00AD1DD3"/>
    <w:rsid w:val="00AD411E"/>
    <w:rsid w:val="00AD4316"/>
    <w:rsid w:val="00AD507B"/>
    <w:rsid w:val="00AD5B56"/>
    <w:rsid w:val="00AD63A1"/>
    <w:rsid w:val="00AE05A4"/>
    <w:rsid w:val="00AE3FBA"/>
    <w:rsid w:val="00AE5F72"/>
    <w:rsid w:val="00AE7AAC"/>
    <w:rsid w:val="00AF584F"/>
    <w:rsid w:val="00AF5895"/>
    <w:rsid w:val="00AF6C56"/>
    <w:rsid w:val="00AF6D93"/>
    <w:rsid w:val="00B00B6F"/>
    <w:rsid w:val="00B03507"/>
    <w:rsid w:val="00B04E4C"/>
    <w:rsid w:val="00B06FFB"/>
    <w:rsid w:val="00B11FB0"/>
    <w:rsid w:val="00B15A80"/>
    <w:rsid w:val="00B201C8"/>
    <w:rsid w:val="00B2292D"/>
    <w:rsid w:val="00B25A45"/>
    <w:rsid w:val="00B3030B"/>
    <w:rsid w:val="00B309AB"/>
    <w:rsid w:val="00B30B9A"/>
    <w:rsid w:val="00B34209"/>
    <w:rsid w:val="00B34982"/>
    <w:rsid w:val="00B35569"/>
    <w:rsid w:val="00B36026"/>
    <w:rsid w:val="00B37805"/>
    <w:rsid w:val="00B401FA"/>
    <w:rsid w:val="00B40383"/>
    <w:rsid w:val="00B42BBD"/>
    <w:rsid w:val="00B43431"/>
    <w:rsid w:val="00B619A8"/>
    <w:rsid w:val="00B67AAE"/>
    <w:rsid w:val="00B7019B"/>
    <w:rsid w:val="00B71C55"/>
    <w:rsid w:val="00B73A98"/>
    <w:rsid w:val="00B73D9A"/>
    <w:rsid w:val="00B74A58"/>
    <w:rsid w:val="00B763A1"/>
    <w:rsid w:val="00B76FC1"/>
    <w:rsid w:val="00B844A3"/>
    <w:rsid w:val="00B875D8"/>
    <w:rsid w:val="00B90002"/>
    <w:rsid w:val="00B904C8"/>
    <w:rsid w:val="00B9062E"/>
    <w:rsid w:val="00B906AB"/>
    <w:rsid w:val="00B91FAE"/>
    <w:rsid w:val="00B96459"/>
    <w:rsid w:val="00BA1FDD"/>
    <w:rsid w:val="00BA3352"/>
    <w:rsid w:val="00BA40B4"/>
    <w:rsid w:val="00BA67A8"/>
    <w:rsid w:val="00BA6E95"/>
    <w:rsid w:val="00BB1A7D"/>
    <w:rsid w:val="00BB2950"/>
    <w:rsid w:val="00BB32E4"/>
    <w:rsid w:val="00BC6477"/>
    <w:rsid w:val="00BC6CA2"/>
    <w:rsid w:val="00BC7340"/>
    <w:rsid w:val="00BD264E"/>
    <w:rsid w:val="00BD416C"/>
    <w:rsid w:val="00BD5A29"/>
    <w:rsid w:val="00BD6133"/>
    <w:rsid w:val="00BE18E2"/>
    <w:rsid w:val="00BE1CAA"/>
    <w:rsid w:val="00BE2009"/>
    <w:rsid w:val="00BE5632"/>
    <w:rsid w:val="00BF062E"/>
    <w:rsid w:val="00BF4B40"/>
    <w:rsid w:val="00C019B6"/>
    <w:rsid w:val="00C064E0"/>
    <w:rsid w:val="00C131A5"/>
    <w:rsid w:val="00C14317"/>
    <w:rsid w:val="00C160BD"/>
    <w:rsid w:val="00C2070A"/>
    <w:rsid w:val="00C22170"/>
    <w:rsid w:val="00C2419D"/>
    <w:rsid w:val="00C25DEA"/>
    <w:rsid w:val="00C30E12"/>
    <w:rsid w:val="00C31A7A"/>
    <w:rsid w:val="00C34EE5"/>
    <w:rsid w:val="00C3533D"/>
    <w:rsid w:val="00C37009"/>
    <w:rsid w:val="00C42711"/>
    <w:rsid w:val="00C42F05"/>
    <w:rsid w:val="00C472F2"/>
    <w:rsid w:val="00C50150"/>
    <w:rsid w:val="00C51441"/>
    <w:rsid w:val="00C51C1F"/>
    <w:rsid w:val="00C53D64"/>
    <w:rsid w:val="00C55AFD"/>
    <w:rsid w:val="00C57ABD"/>
    <w:rsid w:val="00C57FC4"/>
    <w:rsid w:val="00C60C87"/>
    <w:rsid w:val="00C6116C"/>
    <w:rsid w:val="00C618C5"/>
    <w:rsid w:val="00C61DED"/>
    <w:rsid w:val="00C630F1"/>
    <w:rsid w:val="00C64878"/>
    <w:rsid w:val="00C7007D"/>
    <w:rsid w:val="00C70822"/>
    <w:rsid w:val="00C810D1"/>
    <w:rsid w:val="00C81508"/>
    <w:rsid w:val="00C819EC"/>
    <w:rsid w:val="00C82B48"/>
    <w:rsid w:val="00C84140"/>
    <w:rsid w:val="00C8741C"/>
    <w:rsid w:val="00C91122"/>
    <w:rsid w:val="00C949F2"/>
    <w:rsid w:val="00C96014"/>
    <w:rsid w:val="00C97E5E"/>
    <w:rsid w:val="00CA0C5A"/>
    <w:rsid w:val="00CA10B6"/>
    <w:rsid w:val="00CA5454"/>
    <w:rsid w:val="00CB160A"/>
    <w:rsid w:val="00CB66FA"/>
    <w:rsid w:val="00CB7626"/>
    <w:rsid w:val="00CB7E5B"/>
    <w:rsid w:val="00CC0198"/>
    <w:rsid w:val="00CC1307"/>
    <w:rsid w:val="00CC4101"/>
    <w:rsid w:val="00CD47EE"/>
    <w:rsid w:val="00CD5CB9"/>
    <w:rsid w:val="00CD7DE4"/>
    <w:rsid w:val="00CE1AAF"/>
    <w:rsid w:val="00CE1F06"/>
    <w:rsid w:val="00CE2F37"/>
    <w:rsid w:val="00CE3342"/>
    <w:rsid w:val="00CE3561"/>
    <w:rsid w:val="00CE44EC"/>
    <w:rsid w:val="00CE5755"/>
    <w:rsid w:val="00CE5946"/>
    <w:rsid w:val="00CF0806"/>
    <w:rsid w:val="00CF25CB"/>
    <w:rsid w:val="00CF2AD8"/>
    <w:rsid w:val="00CF2D87"/>
    <w:rsid w:val="00CF7384"/>
    <w:rsid w:val="00D00388"/>
    <w:rsid w:val="00D009A4"/>
    <w:rsid w:val="00D00E62"/>
    <w:rsid w:val="00D01255"/>
    <w:rsid w:val="00D108C8"/>
    <w:rsid w:val="00D11718"/>
    <w:rsid w:val="00D1220A"/>
    <w:rsid w:val="00D131C9"/>
    <w:rsid w:val="00D1429B"/>
    <w:rsid w:val="00D16E7C"/>
    <w:rsid w:val="00D16E9A"/>
    <w:rsid w:val="00D231CE"/>
    <w:rsid w:val="00D24A73"/>
    <w:rsid w:val="00D24B74"/>
    <w:rsid w:val="00D24D5E"/>
    <w:rsid w:val="00D260EA"/>
    <w:rsid w:val="00D26405"/>
    <w:rsid w:val="00D3208B"/>
    <w:rsid w:val="00D3464A"/>
    <w:rsid w:val="00D40FB1"/>
    <w:rsid w:val="00D41F5A"/>
    <w:rsid w:val="00D4222F"/>
    <w:rsid w:val="00D42589"/>
    <w:rsid w:val="00D46C1D"/>
    <w:rsid w:val="00D50C33"/>
    <w:rsid w:val="00D535E8"/>
    <w:rsid w:val="00D61D2C"/>
    <w:rsid w:val="00D61F18"/>
    <w:rsid w:val="00D662B9"/>
    <w:rsid w:val="00D67688"/>
    <w:rsid w:val="00D67714"/>
    <w:rsid w:val="00D72996"/>
    <w:rsid w:val="00D741E2"/>
    <w:rsid w:val="00D7522B"/>
    <w:rsid w:val="00D75F2F"/>
    <w:rsid w:val="00D766CB"/>
    <w:rsid w:val="00D8014D"/>
    <w:rsid w:val="00D801C6"/>
    <w:rsid w:val="00D80625"/>
    <w:rsid w:val="00D83F5B"/>
    <w:rsid w:val="00D8620E"/>
    <w:rsid w:val="00D86F1C"/>
    <w:rsid w:val="00D87600"/>
    <w:rsid w:val="00D87992"/>
    <w:rsid w:val="00D92634"/>
    <w:rsid w:val="00D93DBE"/>
    <w:rsid w:val="00D962B1"/>
    <w:rsid w:val="00D96CC6"/>
    <w:rsid w:val="00D97D09"/>
    <w:rsid w:val="00DA1180"/>
    <w:rsid w:val="00DA26C9"/>
    <w:rsid w:val="00DA2C56"/>
    <w:rsid w:val="00DA37B3"/>
    <w:rsid w:val="00DA6C2D"/>
    <w:rsid w:val="00DA72EB"/>
    <w:rsid w:val="00DB1297"/>
    <w:rsid w:val="00DB1317"/>
    <w:rsid w:val="00DB284A"/>
    <w:rsid w:val="00DB5229"/>
    <w:rsid w:val="00DB6F13"/>
    <w:rsid w:val="00DB761A"/>
    <w:rsid w:val="00DC0B97"/>
    <w:rsid w:val="00DC17B8"/>
    <w:rsid w:val="00DC6763"/>
    <w:rsid w:val="00DD2531"/>
    <w:rsid w:val="00DD362B"/>
    <w:rsid w:val="00DD39E6"/>
    <w:rsid w:val="00DD6B8D"/>
    <w:rsid w:val="00DE2596"/>
    <w:rsid w:val="00DE2796"/>
    <w:rsid w:val="00DE2FFE"/>
    <w:rsid w:val="00DE4AD0"/>
    <w:rsid w:val="00DF03E3"/>
    <w:rsid w:val="00DF1563"/>
    <w:rsid w:val="00DF1B9B"/>
    <w:rsid w:val="00DF305E"/>
    <w:rsid w:val="00DF7052"/>
    <w:rsid w:val="00DF7512"/>
    <w:rsid w:val="00E02413"/>
    <w:rsid w:val="00E0420F"/>
    <w:rsid w:val="00E06B67"/>
    <w:rsid w:val="00E07213"/>
    <w:rsid w:val="00E116FA"/>
    <w:rsid w:val="00E13FB8"/>
    <w:rsid w:val="00E3076E"/>
    <w:rsid w:val="00E322AD"/>
    <w:rsid w:val="00E3399B"/>
    <w:rsid w:val="00E34E7C"/>
    <w:rsid w:val="00E36327"/>
    <w:rsid w:val="00E36DF7"/>
    <w:rsid w:val="00E400FE"/>
    <w:rsid w:val="00E40A75"/>
    <w:rsid w:val="00E42FCF"/>
    <w:rsid w:val="00E45BD6"/>
    <w:rsid w:val="00E4621D"/>
    <w:rsid w:val="00E4761C"/>
    <w:rsid w:val="00E478CF"/>
    <w:rsid w:val="00E5004A"/>
    <w:rsid w:val="00E50C91"/>
    <w:rsid w:val="00E5221E"/>
    <w:rsid w:val="00E5405D"/>
    <w:rsid w:val="00E54869"/>
    <w:rsid w:val="00E570FF"/>
    <w:rsid w:val="00E57F6D"/>
    <w:rsid w:val="00E61795"/>
    <w:rsid w:val="00E61C1B"/>
    <w:rsid w:val="00E62221"/>
    <w:rsid w:val="00E6362A"/>
    <w:rsid w:val="00E63A0A"/>
    <w:rsid w:val="00E6514B"/>
    <w:rsid w:val="00E70688"/>
    <w:rsid w:val="00E71E8D"/>
    <w:rsid w:val="00E73CD1"/>
    <w:rsid w:val="00E76F78"/>
    <w:rsid w:val="00E80109"/>
    <w:rsid w:val="00E82368"/>
    <w:rsid w:val="00E82C79"/>
    <w:rsid w:val="00E86EC0"/>
    <w:rsid w:val="00E87960"/>
    <w:rsid w:val="00E90513"/>
    <w:rsid w:val="00E91A98"/>
    <w:rsid w:val="00E935A7"/>
    <w:rsid w:val="00E9576F"/>
    <w:rsid w:val="00EA07DA"/>
    <w:rsid w:val="00EA1B0E"/>
    <w:rsid w:val="00EA35D5"/>
    <w:rsid w:val="00EA378E"/>
    <w:rsid w:val="00EA4D7A"/>
    <w:rsid w:val="00EB0452"/>
    <w:rsid w:val="00EB1CA7"/>
    <w:rsid w:val="00EB656B"/>
    <w:rsid w:val="00EC1A70"/>
    <w:rsid w:val="00EC5522"/>
    <w:rsid w:val="00ED64AE"/>
    <w:rsid w:val="00ED65F1"/>
    <w:rsid w:val="00ED7684"/>
    <w:rsid w:val="00EE1B2C"/>
    <w:rsid w:val="00EE1D91"/>
    <w:rsid w:val="00EE4744"/>
    <w:rsid w:val="00EE5B65"/>
    <w:rsid w:val="00EE6E8F"/>
    <w:rsid w:val="00EF109D"/>
    <w:rsid w:val="00EF4539"/>
    <w:rsid w:val="00EF792A"/>
    <w:rsid w:val="00F005B6"/>
    <w:rsid w:val="00F00845"/>
    <w:rsid w:val="00F02F39"/>
    <w:rsid w:val="00F06D7B"/>
    <w:rsid w:val="00F15292"/>
    <w:rsid w:val="00F1622E"/>
    <w:rsid w:val="00F16295"/>
    <w:rsid w:val="00F1718D"/>
    <w:rsid w:val="00F22DA1"/>
    <w:rsid w:val="00F249D8"/>
    <w:rsid w:val="00F25C82"/>
    <w:rsid w:val="00F269F3"/>
    <w:rsid w:val="00F32AD5"/>
    <w:rsid w:val="00F40AB8"/>
    <w:rsid w:val="00F41696"/>
    <w:rsid w:val="00F416E7"/>
    <w:rsid w:val="00F45E07"/>
    <w:rsid w:val="00F46088"/>
    <w:rsid w:val="00F47671"/>
    <w:rsid w:val="00F47A4D"/>
    <w:rsid w:val="00F47EF4"/>
    <w:rsid w:val="00F509EA"/>
    <w:rsid w:val="00F53668"/>
    <w:rsid w:val="00F56234"/>
    <w:rsid w:val="00F562A2"/>
    <w:rsid w:val="00F61231"/>
    <w:rsid w:val="00F665F9"/>
    <w:rsid w:val="00F67857"/>
    <w:rsid w:val="00F70236"/>
    <w:rsid w:val="00F708A6"/>
    <w:rsid w:val="00F71320"/>
    <w:rsid w:val="00F74959"/>
    <w:rsid w:val="00F76B93"/>
    <w:rsid w:val="00F85E92"/>
    <w:rsid w:val="00F86745"/>
    <w:rsid w:val="00F870E0"/>
    <w:rsid w:val="00F9032A"/>
    <w:rsid w:val="00F91707"/>
    <w:rsid w:val="00F91EC6"/>
    <w:rsid w:val="00F926A3"/>
    <w:rsid w:val="00F935D5"/>
    <w:rsid w:val="00F94299"/>
    <w:rsid w:val="00F978DA"/>
    <w:rsid w:val="00FA2277"/>
    <w:rsid w:val="00FA3650"/>
    <w:rsid w:val="00FA68E1"/>
    <w:rsid w:val="00FB0181"/>
    <w:rsid w:val="00FB3AF7"/>
    <w:rsid w:val="00FB6042"/>
    <w:rsid w:val="00FB74F2"/>
    <w:rsid w:val="00FC35FC"/>
    <w:rsid w:val="00FC7AC9"/>
    <w:rsid w:val="00FD0749"/>
    <w:rsid w:val="00FD1D6A"/>
    <w:rsid w:val="00FD3158"/>
    <w:rsid w:val="00FD34FF"/>
    <w:rsid w:val="00FD3555"/>
    <w:rsid w:val="00FD4EFD"/>
    <w:rsid w:val="00FD5284"/>
    <w:rsid w:val="00FE37EE"/>
    <w:rsid w:val="00FE6EAA"/>
    <w:rsid w:val="00FE7213"/>
    <w:rsid w:val="00FF42EB"/>
    <w:rsid w:val="00FF5122"/>
    <w:rsid w:val="00FF6C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E717D"/>
  <w15:chartTrackingRefBased/>
  <w15:docId w15:val="{9F4831DB-209F-4019-A9CD-2A8A581F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7EF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F47EF4"/>
    <w:pPr>
      <w:ind w:left="720"/>
      <w:contextualSpacing/>
    </w:pPr>
  </w:style>
  <w:style w:type="character" w:styleId="Hipervnculo">
    <w:name w:val="Hyperlink"/>
    <w:basedOn w:val="Fuentedeprrafopredeter"/>
    <w:uiPriority w:val="99"/>
    <w:unhideWhenUsed/>
    <w:rsid w:val="00F47EF4"/>
    <w:rPr>
      <w:color w:val="0563C1" w:themeColor="hyperlink"/>
      <w:u w:val="single"/>
    </w:rPr>
  </w:style>
  <w:style w:type="table" w:styleId="Tablaconcuadrcula">
    <w:name w:val="Table Grid"/>
    <w:basedOn w:val="Tablanormal"/>
    <w:uiPriority w:val="39"/>
    <w:rsid w:val="00F47E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47EF4"/>
    <w:pPr>
      <w:spacing w:before="100" w:beforeAutospacing="1" w:after="100" w:afterAutospacing="1" w:line="240" w:lineRule="auto"/>
    </w:pPr>
    <w:rPr>
      <w:rFonts w:ascii="Times New Roman" w:eastAsiaTheme="minorEastAsia" w:hAnsi="Times New Roman" w:cs="Times New Roman"/>
      <w:sz w:val="24"/>
      <w:szCs w:val="24"/>
      <w:lang w:eastAsia="es-MX"/>
    </w:rPr>
  </w:style>
  <w:style w:type="paragraph" w:styleId="Textonotapie">
    <w:name w:val="footnote text"/>
    <w:basedOn w:val="Normal"/>
    <w:link w:val="TextonotapieCar"/>
    <w:uiPriority w:val="99"/>
    <w:semiHidden/>
    <w:unhideWhenUsed/>
    <w:rsid w:val="00F47EF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47EF4"/>
    <w:rPr>
      <w:sz w:val="20"/>
      <w:szCs w:val="20"/>
    </w:rPr>
  </w:style>
  <w:style w:type="character" w:styleId="Refdenotaalpie">
    <w:name w:val="footnote reference"/>
    <w:basedOn w:val="Fuentedeprrafopredeter"/>
    <w:semiHidden/>
    <w:unhideWhenUsed/>
    <w:rsid w:val="00F47EF4"/>
    <w:rPr>
      <w:vertAlign w:val="superscript"/>
    </w:rPr>
  </w:style>
  <w:style w:type="paragraph" w:styleId="Encabezado">
    <w:name w:val="header"/>
    <w:basedOn w:val="Normal"/>
    <w:link w:val="EncabezadoCar"/>
    <w:unhideWhenUsed/>
    <w:rsid w:val="00F47EF4"/>
    <w:pPr>
      <w:tabs>
        <w:tab w:val="center" w:pos="4419"/>
        <w:tab w:val="right" w:pos="8838"/>
      </w:tabs>
      <w:spacing w:after="0" w:line="240" w:lineRule="auto"/>
    </w:pPr>
  </w:style>
  <w:style w:type="character" w:customStyle="1" w:styleId="EncabezadoCar">
    <w:name w:val="Encabezado Car"/>
    <w:basedOn w:val="Fuentedeprrafopredeter"/>
    <w:link w:val="Encabezado"/>
    <w:rsid w:val="00F47EF4"/>
  </w:style>
  <w:style w:type="paragraph" w:styleId="Piedepgina">
    <w:name w:val="footer"/>
    <w:basedOn w:val="Normal"/>
    <w:link w:val="PiedepginaCar"/>
    <w:uiPriority w:val="99"/>
    <w:unhideWhenUsed/>
    <w:rsid w:val="00F47EF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47EF4"/>
  </w:style>
  <w:style w:type="character" w:customStyle="1" w:styleId="Mencinsinresolver1">
    <w:name w:val="Mención sin resolver1"/>
    <w:basedOn w:val="Fuentedeprrafopredeter"/>
    <w:uiPriority w:val="99"/>
    <w:semiHidden/>
    <w:unhideWhenUsed/>
    <w:rsid w:val="00F47EF4"/>
    <w:rPr>
      <w:color w:val="605E5C"/>
      <w:shd w:val="clear" w:color="auto" w:fill="E1DFDD"/>
    </w:rPr>
  </w:style>
  <w:style w:type="paragraph" w:styleId="Textodeglobo">
    <w:name w:val="Balloon Text"/>
    <w:basedOn w:val="Normal"/>
    <w:link w:val="TextodegloboCar"/>
    <w:uiPriority w:val="99"/>
    <w:semiHidden/>
    <w:unhideWhenUsed/>
    <w:rsid w:val="00C64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64878"/>
    <w:rPr>
      <w:rFonts w:ascii="Segoe UI" w:hAnsi="Segoe UI" w:cs="Segoe UI"/>
      <w:sz w:val="18"/>
      <w:szCs w:val="18"/>
    </w:rPr>
  </w:style>
  <w:style w:type="character" w:customStyle="1" w:styleId="Mencinsinresolver2">
    <w:name w:val="Mención sin resolver2"/>
    <w:basedOn w:val="Fuentedeprrafopredeter"/>
    <w:uiPriority w:val="99"/>
    <w:semiHidden/>
    <w:unhideWhenUsed/>
    <w:rsid w:val="009018C0"/>
    <w:rPr>
      <w:color w:val="605E5C"/>
      <w:shd w:val="clear" w:color="auto" w:fill="E1DFDD"/>
    </w:rPr>
  </w:style>
  <w:style w:type="character" w:styleId="Hipervnculovisitado">
    <w:name w:val="FollowedHyperlink"/>
    <w:basedOn w:val="Fuentedeprrafopredeter"/>
    <w:uiPriority w:val="99"/>
    <w:semiHidden/>
    <w:unhideWhenUsed/>
    <w:rsid w:val="00E73CD1"/>
    <w:rPr>
      <w:color w:val="954F72" w:themeColor="followedHyperlink"/>
      <w:u w:val="single"/>
    </w:rPr>
  </w:style>
  <w:style w:type="character" w:styleId="nfasissutil">
    <w:name w:val="Subtle Emphasis"/>
    <w:basedOn w:val="Fuentedeprrafopredeter"/>
    <w:uiPriority w:val="19"/>
    <w:qFormat/>
    <w:rsid w:val="008E07DE"/>
    <w:rPr>
      <w:i/>
      <w:iCs/>
      <w:color w:val="404040" w:themeColor="text1" w:themeTint="BF"/>
    </w:rPr>
  </w:style>
  <w:style w:type="paragraph" w:customStyle="1" w:styleId="Default">
    <w:name w:val="Default"/>
    <w:rsid w:val="0014062A"/>
    <w:pPr>
      <w:autoSpaceDE w:val="0"/>
      <w:autoSpaceDN w:val="0"/>
      <w:adjustRightInd w:val="0"/>
      <w:spacing w:after="0" w:line="240" w:lineRule="auto"/>
    </w:pPr>
    <w:rPr>
      <w:rFonts w:ascii="Arial" w:hAnsi="Arial" w:cs="Arial"/>
      <w:color w:val="000000"/>
      <w:sz w:val="24"/>
      <w:szCs w:val="24"/>
    </w:rPr>
  </w:style>
  <w:style w:type="paragraph" w:customStyle="1" w:styleId="Pa27">
    <w:name w:val="Pa27"/>
    <w:basedOn w:val="Default"/>
    <w:next w:val="Default"/>
    <w:uiPriority w:val="99"/>
    <w:rsid w:val="00D26405"/>
    <w:pPr>
      <w:spacing w:line="221" w:lineRule="atLeast"/>
    </w:pPr>
    <w:rPr>
      <w:color w:val="auto"/>
      <w:lang w:val="en-US"/>
    </w:rPr>
  </w:style>
  <w:style w:type="character" w:customStyle="1" w:styleId="A1">
    <w:name w:val="A1"/>
    <w:uiPriority w:val="99"/>
    <w:rsid w:val="00D26405"/>
    <w:rPr>
      <w:color w:val="000000"/>
      <w:sz w:val="20"/>
      <w:szCs w:val="20"/>
    </w:rPr>
  </w:style>
  <w:style w:type="paragraph" w:customStyle="1" w:styleId="Pa10">
    <w:name w:val="Pa10"/>
    <w:basedOn w:val="Default"/>
    <w:next w:val="Default"/>
    <w:uiPriority w:val="99"/>
    <w:rsid w:val="00D26405"/>
    <w:pPr>
      <w:spacing w:line="221" w:lineRule="atLeast"/>
    </w:pPr>
    <w:rPr>
      <w:color w:val="auto"/>
      <w:lang w:val="en-US"/>
    </w:rPr>
  </w:style>
  <w:style w:type="paragraph" w:customStyle="1" w:styleId="texto">
    <w:name w:val="texto"/>
    <w:basedOn w:val="Normal"/>
    <w:uiPriority w:val="99"/>
    <w:rsid w:val="00D26405"/>
    <w:pPr>
      <w:keepLines/>
      <w:widowControl w:val="0"/>
      <w:spacing w:before="240" w:after="0" w:line="240" w:lineRule="auto"/>
      <w:jc w:val="both"/>
    </w:pPr>
    <w:rPr>
      <w:rFonts w:ascii="Arial" w:eastAsia="Times New Roman" w:hAnsi="Arial" w:cs="Times New Roman"/>
      <w:snapToGrid w:val="0"/>
      <w:color w:val="000080"/>
      <w:sz w:val="24"/>
      <w:szCs w:val="20"/>
      <w:lang w:eastAsia="es-ES"/>
    </w:rPr>
  </w:style>
  <w:style w:type="paragraph" w:customStyle="1" w:styleId="Pa9">
    <w:name w:val="Pa9"/>
    <w:basedOn w:val="Default"/>
    <w:next w:val="Default"/>
    <w:uiPriority w:val="99"/>
    <w:rsid w:val="00D26405"/>
    <w:pPr>
      <w:spacing w:line="221" w:lineRule="atLeast"/>
    </w:pPr>
    <w:rPr>
      <w:color w:val="auto"/>
      <w:lang w:val="en-US"/>
    </w:rPr>
  </w:style>
  <w:style w:type="paragraph" w:customStyle="1" w:styleId="Pa29">
    <w:name w:val="Pa29"/>
    <w:basedOn w:val="Default"/>
    <w:next w:val="Default"/>
    <w:uiPriority w:val="99"/>
    <w:rsid w:val="00D26405"/>
    <w:pPr>
      <w:spacing w:line="221" w:lineRule="atLeast"/>
    </w:pPr>
    <w:rPr>
      <w:color w:val="auto"/>
      <w:lang w:val="en-US"/>
    </w:rPr>
  </w:style>
  <w:style w:type="table" w:styleId="Tabladelista1clara-nfasis6">
    <w:name w:val="List Table 1 Light Accent 6"/>
    <w:basedOn w:val="Tablanormal"/>
    <w:uiPriority w:val="46"/>
    <w:rsid w:val="00D009A4"/>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E0420F"/>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Mencinsinresolver3">
    <w:name w:val="Mención sin resolver3"/>
    <w:basedOn w:val="Fuentedeprrafopredeter"/>
    <w:uiPriority w:val="99"/>
    <w:semiHidden/>
    <w:unhideWhenUsed/>
    <w:rsid w:val="00196DBF"/>
    <w:rPr>
      <w:color w:val="605E5C"/>
      <w:shd w:val="clear" w:color="auto" w:fill="E1DFDD"/>
    </w:rPr>
  </w:style>
  <w:style w:type="character" w:styleId="Refdecomentario">
    <w:name w:val="annotation reference"/>
    <w:basedOn w:val="Fuentedeprrafopredeter"/>
    <w:uiPriority w:val="99"/>
    <w:semiHidden/>
    <w:unhideWhenUsed/>
    <w:rsid w:val="00325A5D"/>
    <w:rPr>
      <w:sz w:val="16"/>
      <w:szCs w:val="16"/>
    </w:rPr>
  </w:style>
  <w:style w:type="paragraph" w:styleId="Textocomentario">
    <w:name w:val="annotation text"/>
    <w:basedOn w:val="Normal"/>
    <w:link w:val="TextocomentarioCar"/>
    <w:uiPriority w:val="99"/>
    <w:semiHidden/>
    <w:unhideWhenUsed/>
    <w:rsid w:val="00325A5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25A5D"/>
    <w:rPr>
      <w:sz w:val="20"/>
      <w:szCs w:val="20"/>
    </w:rPr>
  </w:style>
  <w:style w:type="paragraph" w:styleId="Asuntodelcomentario">
    <w:name w:val="annotation subject"/>
    <w:basedOn w:val="Textocomentario"/>
    <w:next w:val="Textocomentario"/>
    <w:link w:val="AsuntodelcomentarioCar"/>
    <w:uiPriority w:val="99"/>
    <w:semiHidden/>
    <w:unhideWhenUsed/>
    <w:rsid w:val="00325A5D"/>
    <w:rPr>
      <w:b/>
      <w:bCs/>
    </w:rPr>
  </w:style>
  <w:style w:type="character" w:customStyle="1" w:styleId="AsuntodelcomentarioCar">
    <w:name w:val="Asunto del comentario Car"/>
    <w:basedOn w:val="TextocomentarioCar"/>
    <w:link w:val="Asuntodelcomentario"/>
    <w:uiPriority w:val="99"/>
    <w:semiHidden/>
    <w:rsid w:val="00325A5D"/>
    <w:rPr>
      <w:b/>
      <w:bCs/>
      <w:sz w:val="20"/>
      <w:szCs w:val="20"/>
    </w:rPr>
  </w:style>
  <w:style w:type="character" w:customStyle="1" w:styleId="Mencinsinresolver4">
    <w:name w:val="Mención sin resolver4"/>
    <w:basedOn w:val="Fuentedeprrafopredeter"/>
    <w:uiPriority w:val="99"/>
    <w:semiHidden/>
    <w:unhideWhenUsed/>
    <w:rsid w:val="00D46C1D"/>
    <w:rPr>
      <w:color w:val="605E5C"/>
      <w:shd w:val="clear" w:color="auto" w:fill="E1DFDD"/>
    </w:rPr>
  </w:style>
  <w:style w:type="paragraph" w:styleId="Revisin">
    <w:name w:val="Revision"/>
    <w:hidden/>
    <w:uiPriority w:val="99"/>
    <w:semiHidden/>
    <w:rsid w:val="00846A2A"/>
    <w:pPr>
      <w:spacing w:after="0" w:line="240" w:lineRule="auto"/>
    </w:pPr>
  </w:style>
  <w:style w:type="character" w:customStyle="1" w:styleId="Mencinsinresolver5">
    <w:name w:val="Mención sin resolver5"/>
    <w:basedOn w:val="Fuentedeprrafopredeter"/>
    <w:uiPriority w:val="99"/>
    <w:semiHidden/>
    <w:unhideWhenUsed/>
    <w:rsid w:val="007629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91633">
      <w:bodyDiv w:val="1"/>
      <w:marLeft w:val="0"/>
      <w:marRight w:val="0"/>
      <w:marTop w:val="0"/>
      <w:marBottom w:val="0"/>
      <w:divBdr>
        <w:top w:val="none" w:sz="0" w:space="0" w:color="auto"/>
        <w:left w:val="none" w:sz="0" w:space="0" w:color="auto"/>
        <w:bottom w:val="none" w:sz="0" w:space="0" w:color="auto"/>
        <w:right w:val="none" w:sz="0" w:space="0" w:color="auto"/>
      </w:divBdr>
    </w:div>
    <w:div w:id="12153876">
      <w:bodyDiv w:val="1"/>
      <w:marLeft w:val="0"/>
      <w:marRight w:val="0"/>
      <w:marTop w:val="0"/>
      <w:marBottom w:val="0"/>
      <w:divBdr>
        <w:top w:val="none" w:sz="0" w:space="0" w:color="auto"/>
        <w:left w:val="none" w:sz="0" w:space="0" w:color="auto"/>
        <w:bottom w:val="none" w:sz="0" w:space="0" w:color="auto"/>
        <w:right w:val="none" w:sz="0" w:space="0" w:color="auto"/>
      </w:divBdr>
    </w:div>
    <w:div w:id="58603225">
      <w:bodyDiv w:val="1"/>
      <w:marLeft w:val="0"/>
      <w:marRight w:val="0"/>
      <w:marTop w:val="0"/>
      <w:marBottom w:val="0"/>
      <w:divBdr>
        <w:top w:val="none" w:sz="0" w:space="0" w:color="auto"/>
        <w:left w:val="none" w:sz="0" w:space="0" w:color="auto"/>
        <w:bottom w:val="none" w:sz="0" w:space="0" w:color="auto"/>
        <w:right w:val="none" w:sz="0" w:space="0" w:color="auto"/>
      </w:divBdr>
    </w:div>
    <w:div w:id="140274151">
      <w:bodyDiv w:val="1"/>
      <w:marLeft w:val="0"/>
      <w:marRight w:val="0"/>
      <w:marTop w:val="0"/>
      <w:marBottom w:val="0"/>
      <w:divBdr>
        <w:top w:val="none" w:sz="0" w:space="0" w:color="auto"/>
        <w:left w:val="none" w:sz="0" w:space="0" w:color="auto"/>
        <w:bottom w:val="none" w:sz="0" w:space="0" w:color="auto"/>
        <w:right w:val="none" w:sz="0" w:space="0" w:color="auto"/>
      </w:divBdr>
    </w:div>
    <w:div w:id="187762878">
      <w:bodyDiv w:val="1"/>
      <w:marLeft w:val="0"/>
      <w:marRight w:val="0"/>
      <w:marTop w:val="0"/>
      <w:marBottom w:val="0"/>
      <w:divBdr>
        <w:top w:val="none" w:sz="0" w:space="0" w:color="auto"/>
        <w:left w:val="none" w:sz="0" w:space="0" w:color="auto"/>
        <w:bottom w:val="none" w:sz="0" w:space="0" w:color="auto"/>
        <w:right w:val="none" w:sz="0" w:space="0" w:color="auto"/>
      </w:divBdr>
    </w:div>
    <w:div w:id="227344425">
      <w:bodyDiv w:val="1"/>
      <w:marLeft w:val="0"/>
      <w:marRight w:val="0"/>
      <w:marTop w:val="0"/>
      <w:marBottom w:val="0"/>
      <w:divBdr>
        <w:top w:val="none" w:sz="0" w:space="0" w:color="auto"/>
        <w:left w:val="none" w:sz="0" w:space="0" w:color="auto"/>
        <w:bottom w:val="none" w:sz="0" w:space="0" w:color="auto"/>
        <w:right w:val="none" w:sz="0" w:space="0" w:color="auto"/>
      </w:divBdr>
    </w:div>
    <w:div w:id="236979993">
      <w:bodyDiv w:val="1"/>
      <w:marLeft w:val="0"/>
      <w:marRight w:val="0"/>
      <w:marTop w:val="0"/>
      <w:marBottom w:val="0"/>
      <w:divBdr>
        <w:top w:val="none" w:sz="0" w:space="0" w:color="auto"/>
        <w:left w:val="none" w:sz="0" w:space="0" w:color="auto"/>
        <w:bottom w:val="none" w:sz="0" w:space="0" w:color="auto"/>
        <w:right w:val="none" w:sz="0" w:space="0" w:color="auto"/>
      </w:divBdr>
    </w:div>
    <w:div w:id="251357680">
      <w:bodyDiv w:val="1"/>
      <w:marLeft w:val="0"/>
      <w:marRight w:val="0"/>
      <w:marTop w:val="0"/>
      <w:marBottom w:val="0"/>
      <w:divBdr>
        <w:top w:val="none" w:sz="0" w:space="0" w:color="auto"/>
        <w:left w:val="none" w:sz="0" w:space="0" w:color="auto"/>
        <w:bottom w:val="none" w:sz="0" w:space="0" w:color="auto"/>
        <w:right w:val="none" w:sz="0" w:space="0" w:color="auto"/>
      </w:divBdr>
    </w:div>
    <w:div w:id="255793152">
      <w:bodyDiv w:val="1"/>
      <w:marLeft w:val="0"/>
      <w:marRight w:val="0"/>
      <w:marTop w:val="0"/>
      <w:marBottom w:val="0"/>
      <w:divBdr>
        <w:top w:val="none" w:sz="0" w:space="0" w:color="auto"/>
        <w:left w:val="none" w:sz="0" w:space="0" w:color="auto"/>
        <w:bottom w:val="none" w:sz="0" w:space="0" w:color="auto"/>
        <w:right w:val="none" w:sz="0" w:space="0" w:color="auto"/>
      </w:divBdr>
    </w:div>
    <w:div w:id="320279457">
      <w:bodyDiv w:val="1"/>
      <w:marLeft w:val="0"/>
      <w:marRight w:val="0"/>
      <w:marTop w:val="0"/>
      <w:marBottom w:val="0"/>
      <w:divBdr>
        <w:top w:val="none" w:sz="0" w:space="0" w:color="auto"/>
        <w:left w:val="none" w:sz="0" w:space="0" w:color="auto"/>
        <w:bottom w:val="none" w:sz="0" w:space="0" w:color="auto"/>
        <w:right w:val="none" w:sz="0" w:space="0" w:color="auto"/>
      </w:divBdr>
    </w:div>
    <w:div w:id="322662005">
      <w:bodyDiv w:val="1"/>
      <w:marLeft w:val="0"/>
      <w:marRight w:val="0"/>
      <w:marTop w:val="0"/>
      <w:marBottom w:val="0"/>
      <w:divBdr>
        <w:top w:val="none" w:sz="0" w:space="0" w:color="auto"/>
        <w:left w:val="none" w:sz="0" w:space="0" w:color="auto"/>
        <w:bottom w:val="none" w:sz="0" w:space="0" w:color="auto"/>
        <w:right w:val="none" w:sz="0" w:space="0" w:color="auto"/>
      </w:divBdr>
    </w:div>
    <w:div w:id="332877313">
      <w:bodyDiv w:val="1"/>
      <w:marLeft w:val="0"/>
      <w:marRight w:val="0"/>
      <w:marTop w:val="0"/>
      <w:marBottom w:val="0"/>
      <w:divBdr>
        <w:top w:val="none" w:sz="0" w:space="0" w:color="auto"/>
        <w:left w:val="none" w:sz="0" w:space="0" w:color="auto"/>
        <w:bottom w:val="none" w:sz="0" w:space="0" w:color="auto"/>
        <w:right w:val="none" w:sz="0" w:space="0" w:color="auto"/>
      </w:divBdr>
    </w:div>
    <w:div w:id="343556457">
      <w:bodyDiv w:val="1"/>
      <w:marLeft w:val="0"/>
      <w:marRight w:val="0"/>
      <w:marTop w:val="0"/>
      <w:marBottom w:val="0"/>
      <w:divBdr>
        <w:top w:val="none" w:sz="0" w:space="0" w:color="auto"/>
        <w:left w:val="none" w:sz="0" w:space="0" w:color="auto"/>
        <w:bottom w:val="none" w:sz="0" w:space="0" w:color="auto"/>
        <w:right w:val="none" w:sz="0" w:space="0" w:color="auto"/>
      </w:divBdr>
    </w:div>
    <w:div w:id="349184510">
      <w:bodyDiv w:val="1"/>
      <w:marLeft w:val="0"/>
      <w:marRight w:val="0"/>
      <w:marTop w:val="0"/>
      <w:marBottom w:val="0"/>
      <w:divBdr>
        <w:top w:val="none" w:sz="0" w:space="0" w:color="auto"/>
        <w:left w:val="none" w:sz="0" w:space="0" w:color="auto"/>
        <w:bottom w:val="none" w:sz="0" w:space="0" w:color="auto"/>
        <w:right w:val="none" w:sz="0" w:space="0" w:color="auto"/>
      </w:divBdr>
    </w:div>
    <w:div w:id="457841128">
      <w:bodyDiv w:val="1"/>
      <w:marLeft w:val="0"/>
      <w:marRight w:val="0"/>
      <w:marTop w:val="0"/>
      <w:marBottom w:val="0"/>
      <w:divBdr>
        <w:top w:val="none" w:sz="0" w:space="0" w:color="auto"/>
        <w:left w:val="none" w:sz="0" w:space="0" w:color="auto"/>
        <w:bottom w:val="none" w:sz="0" w:space="0" w:color="auto"/>
        <w:right w:val="none" w:sz="0" w:space="0" w:color="auto"/>
      </w:divBdr>
    </w:div>
    <w:div w:id="460923913">
      <w:bodyDiv w:val="1"/>
      <w:marLeft w:val="0"/>
      <w:marRight w:val="0"/>
      <w:marTop w:val="0"/>
      <w:marBottom w:val="0"/>
      <w:divBdr>
        <w:top w:val="none" w:sz="0" w:space="0" w:color="auto"/>
        <w:left w:val="none" w:sz="0" w:space="0" w:color="auto"/>
        <w:bottom w:val="none" w:sz="0" w:space="0" w:color="auto"/>
        <w:right w:val="none" w:sz="0" w:space="0" w:color="auto"/>
      </w:divBdr>
    </w:div>
    <w:div w:id="468547950">
      <w:bodyDiv w:val="1"/>
      <w:marLeft w:val="0"/>
      <w:marRight w:val="0"/>
      <w:marTop w:val="0"/>
      <w:marBottom w:val="0"/>
      <w:divBdr>
        <w:top w:val="none" w:sz="0" w:space="0" w:color="auto"/>
        <w:left w:val="none" w:sz="0" w:space="0" w:color="auto"/>
        <w:bottom w:val="none" w:sz="0" w:space="0" w:color="auto"/>
        <w:right w:val="none" w:sz="0" w:space="0" w:color="auto"/>
      </w:divBdr>
    </w:div>
    <w:div w:id="470683052">
      <w:bodyDiv w:val="1"/>
      <w:marLeft w:val="0"/>
      <w:marRight w:val="0"/>
      <w:marTop w:val="0"/>
      <w:marBottom w:val="0"/>
      <w:divBdr>
        <w:top w:val="none" w:sz="0" w:space="0" w:color="auto"/>
        <w:left w:val="none" w:sz="0" w:space="0" w:color="auto"/>
        <w:bottom w:val="none" w:sz="0" w:space="0" w:color="auto"/>
        <w:right w:val="none" w:sz="0" w:space="0" w:color="auto"/>
      </w:divBdr>
    </w:div>
    <w:div w:id="518274137">
      <w:bodyDiv w:val="1"/>
      <w:marLeft w:val="0"/>
      <w:marRight w:val="0"/>
      <w:marTop w:val="0"/>
      <w:marBottom w:val="0"/>
      <w:divBdr>
        <w:top w:val="none" w:sz="0" w:space="0" w:color="auto"/>
        <w:left w:val="none" w:sz="0" w:space="0" w:color="auto"/>
        <w:bottom w:val="none" w:sz="0" w:space="0" w:color="auto"/>
        <w:right w:val="none" w:sz="0" w:space="0" w:color="auto"/>
      </w:divBdr>
    </w:div>
    <w:div w:id="537812658">
      <w:bodyDiv w:val="1"/>
      <w:marLeft w:val="0"/>
      <w:marRight w:val="0"/>
      <w:marTop w:val="0"/>
      <w:marBottom w:val="0"/>
      <w:divBdr>
        <w:top w:val="none" w:sz="0" w:space="0" w:color="auto"/>
        <w:left w:val="none" w:sz="0" w:space="0" w:color="auto"/>
        <w:bottom w:val="none" w:sz="0" w:space="0" w:color="auto"/>
        <w:right w:val="none" w:sz="0" w:space="0" w:color="auto"/>
      </w:divBdr>
    </w:div>
    <w:div w:id="559099776">
      <w:bodyDiv w:val="1"/>
      <w:marLeft w:val="0"/>
      <w:marRight w:val="0"/>
      <w:marTop w:val="0"/>
      <w:marBottom w:val="0"/>
      <w:divBdr>
        <w:top w:val="none" w:sz="0" w:space="0" w:color="auto"/>
        <w:left w:val="none" w:sz="0" w:space="0" w:color="auto"/>
        <w:bottom w:val="none" w:sz="0" w:space="0" w:color="auto"/>
        <w:right w:val="none" w:sz="0" w:space="0" w:color="auto"/>
      </w:divBdr>
    </w:div>
    <w:div w:id="605163069">
      <w:bodyDiv w:val="1"/>
      <w:marLeft w:val="0"/>
      <w:marRight w:val="0"/>
      <w:marTop w:val="0"/>
      <w:marBottom w:val="0"/>
      <w:divBdr>
        <w:top w:val="none" w:sz="0" w:space="0" w:color="auto"/>
        <w:left w:val="none" w:sz="0" w:space="0" w:color="auto"/>
        <w:bottom w:val="none" w:sz="0" w:space="0" w:color="auto"/>
        <w:right w:val="none" w:sz="0" w:space="0" w:color="auto"/>
      </w:divBdr>
    </w:div>
    <w:div w:id="632902138">
      <w:bodyDiv w:val="1"/>
      <w:marLeft w:val="0"/>
      <w:marRight w:val="0"/>
      <w:marTop w:val="0"/>
      <w:marBottom w:val="0"/>
      <w:divBdr>
        <w:top w:val="none" w:sz="0" w:space="0" w:color="auto"/>
        <w:left w:val="none" w:sz="0" w:space="0" w:color="auto"/>
        <w:bottom w:val="none" w:sz="0" w:space="0" w:color="auto"/>
        <w:right w:val="none" w:sz="0" w:space="0" w:color="auto"/>
      </w:divBdr>
    </w:div>
    <w:div w:id="643778372">
      <w:bodyDiv w:val="1"/>
      <w:marLeft w:val="0"/>
      <w:marRight w:val="0"/>
      <w:marTop w:val="0"/>
      <w:marBottom w:val="0"/>
      <w:divBdr>
        <w:top w:val="none" w:sz="0" w:space="0" w:color="auto"/>
        <w:left w:val="none" w:sz="0" w:space="0" w:color="auto"/>
        <w:bottom w:val="none" w:sz="0" w:space="0" w:color="auto"/>
        <w:right w:val="none" w:sz="0" w:space="0" w:color="auto"/>
      </w:divBdr>
    </w:div>
    <w:div w:id="670832684">
      <w:bodyDiv w:val="1"/>
      <w:marLeft w:val="0"/>
      <w:marRight w:val="0"/>
      <w:marTop w:val="0"/>
      <w:marBottom w:val="0"/>
      <w:divBdr>
        <w:top w:val="none" w:sz="0" w:space="0" w:color="auto"/>
        <w:left w:val="none" w:sz="0" w:space="0" w:color="auto"/>
        <w:bottom w:val="none" w:sz="0" w:space="0" w:color="auto"/>
        <w:right w:val="none" w:sz="0" w:space="0" w:color="auto"/>
      </w:divBdr>
    </w:div>
    <w:div w:id="670837320">
      <w:bodyDiv w:val="1"/>
      <w:marLeft w:val="0"/>
      <w:marRight w:val="0"/>
      <w:marTop w:val="0"/>
      <w:marBottom w:val="0"/>
      <w:divBdr>
        <w:top w:val="none" w:sz="0" w:space="0" w:color="auto"/>
        <w:left w:val="none" w:sz="0" w:space="0" w:color="auto"/>
        <w:bottom w:val="none" w:sz="0" w:space="0" w:color="auto"/>
        <w:right w:val="none" w:sz="0" w:space="0" w:color="auto"/>
      </w:divBdr>
    </w:div>
    <w:div w:id="700788508">
      <w:bodyDiv w:val="1"/>
      <w:marLeft w:val="0"/>
      <w:marRight w:val="0"/>
      <w:marTop w:val="0"/>
      <w:marBottom w:val="0"/>
      <w:divBdr>
        <w:top w:val="none" w:sz="0" w:space="0" w:color="auto"/>
        <w:left w:val="none" w:sz="0" w:space="0" w:color="auto"/>
        <w:bottom w:val="none" w:sz="0" w:space="0" w:color="auto"/>
        <w:right w:val="none" w:sz="0" w:space="0" w:color="auto"/>
      </w:divBdr>
    </w:div>
    <w:div w:id="728771879">
      <w:bodyDiv w:val="1"/>
      <w:marLeft w:val="0"/>
      <w:marRight w:val="0"/>
      <w:marTop w:val="0"/>
      <w:marBottom w:val="0"/>
      <w:divBdr>
        <w:top w:val="none" w:sz="0" w:space="0" w:color="auto"/>
        <w:left w:val="none" w:sz="0" w:space="0" w:color="auto"/>
        <w:bottom w:val="none" w:sz="0" w:space="0" w:color="auto"/>
        <w:right w:val="none" w:sz="0" w:space="0" w:color="auto"/>
      </w:divBdr>
    </w:div>
    <w:div w:id="736712299">
      <w:bodyDiv w:val="1"/>
      <w:marLeft w:val="0"/>
      <w:marRight w:val="0"/>
      <w:marTop w:val="0"/>
      <w:marBottom w:val="0"/>
      <w:divBdr>
        <w:top w:val="none" w:sz="0" w:space="0" w:color="auto"/>
        <w:left w:val="none" w:sz="0" w:space="0" w:color="auto"/>
        <w:bottom w:val="none" w:sz="0" w:space="0" w:color="auto"/>
        <w:right w:val="none" w:sz="0" w:space="0" w:color="auto"/>
      </w:divBdr>
    </w:div>
    <w:div w:id="750657203">
      <w:bodyDiv w:val="1"/>
      <w:marLeft w:val="0"/>
      <w:marRight w:val="0"/>
      <w:marTop w:val="0"/>
      <w:marBottom w:val="0"/>
      <w:divBdr>
        <w:top w:val="none" w:sz="0" w:space="0" w:color="auto"/>
        <w:left w:val="none" w:sz="0" w:space="0" w:color="auto"/>
        <w:bottom w:val="none" w:sz="0" w:space="0" w:color="auto"/>
        <w:right w:val="none" w:sz="0" w:space="0" w:color="auto"/>
      </w:divBdr>
    </w:div>
    <w:div w:id="769667588">
      <w:bodyDiv w:val="1"/>
      <w:marLeft w:val="0"/>
      <w:marRight w:val="0"/>
      <w:marTop w:val="0"/>
      <w:marBottom w:val="0"/>
      <w:divBdr>
        <w:top w:val="none" w:sz="0" w:space="0" w:color="auto"/>
        <w:left w:val="none" w:sz="0" w:space="0" w:color="auto"/>
        <w:bottom w:val="none" w:sz="0" w:space="0" w:color="auto"/>
        <w:right w:val="none" w:sz="0" w:space="0" w:color="auto"/>
      </w:divBdr>
    </w:div>
    <w:div w:id="792673889">
      <w:bodyDiv w:val="1"/>
      <w:marLeft w:val="0"/>
      <w:marRight w:val="0"/>
      <w:marTop w:val="0"/>
      <w:marBottom w:val="0"/>
      <w:divBdr>
        <w:top w:val="none" w:sz="0" w:space="0" w:color="auto"/>
        <w:left w:val="none" w:sz="0" w:space="0" w:color="auto"/>
        <w:bottom w:val="none" w:sz="0" w:space="0" w:color="auto"/>
        <w:right w:val="none" w:sz="0" w:space="0" w:color="auto"/>
      </w:divBdr>
    </w:div>
    <w:div w:id="813446588">
      <w:bodyDiv w:val="1"/>
      <w:marLeft w:val="0"/>
      <w:marRight w:val="0"/>
      <w:marTop w:val="0"/>
      <w:marBottom w:val="0"/>
      <w:divBdr>
        <w:top w:val="none" w:sz="0" w:space="0" w:color="auto"/>
        <w:left w:val="none" w:sz="0" w:space="0" w:color="auto"/>
        <w:bottom w:val="none" w:sz="0" w:space="0" w:color="auto"/>
        <w:right w:val="none" w:sz="0" w:space="0" w:color="auto"/>
      </w:divBdr>
    </w:div>
    <w:div w:id="813647202">
      <w:bodyDiv w:val="1"/>
      <w:marLeft w:val="0"/>
      <w:marRight w:val="0"/>
      <w:marTop w:val="0"/>
      <w:marBottom w:val="0"/>
      <w:divBdr>
        <w:top w:val="none" w:sz="0" w:space="0" w:color="auto"/>
        <w:left w:val="none" w:sz="0" w:space="0" w:color="auto"/>
        <w:bottom w:val="none" w:sz="0" w:space="0" w:color="auto"/>
        <w:right w:val="none" w:sz="0" w:space="0" w:color="auto"/>
      </w:divBdr>
    </w:div>
    <w:div w:id="832909924">
      <w:bodyDiv w:val="1"/>
      <w:marLeft w:val="0"/>
      <w:marRight w:val="0"/>
      <w:marTop w:val="0"/>
      <w:marBottom w:val="0"/>
      <w:divBdr>
        <w:top w:val="none" w:sz="0" w:space="0" w:color="auto"/>
        <w:left w:val="none" w:sz="0" w:space="0" w:color="auto"/>
        <w:bottom w:val="none" w:sz="0" w:space="0" w:color="auto"/>
        <w:right w:val="none" w:sz="0" w:space="0" w:color="auto"/>
      </w:divBdr>
    </w:div>
    <w:div w:id="846596868">
      <w:bodyDiv w:val="1"/>
      <w:marLeft w:val="0"/>
      <w:marRight w:val="0"/>
      <w:marTop w:val="0"/>
      <w:marBottom w:val="0"/>
      <w:divBdr>
        <w:top w:val="none" w:sz="0" w:space="0" w:color="auto"/>
        <w:left w:val="none" w:sz="0" w:space="0" w:color="auto"/>
        <w:bottom w:val="none" w:sz="0" w:space="0" w:color="auto"/>
        <w:right w:val="none" w:sz="0" w:space="0" w:color="auto"/>
      </w:divBdr>
    </w:div>
    <w:div w:id="854272836">
      <w:bodyDiv w:val="1"/>
      <w:marLeft w:val="0"/>
      <w:marRight w:val="0"/>
      <w:marTop w:val="0"/>
      <w:marBottom w:val="0"/>
      <w:divBdr>
        <w:top w:val="none" w:sz="0" w:space="0" w:color="auto"/>
        <w:left w:val="none" w:sz="0" w:space="0" w:color="auto"/>
        <w:bottom w:val="none" w:sz="0" w:space="0" w:color="auto"/>
        <w:right w:val="none" w:sz="0" w:space="0" w:color="auto"/>
      </w:divBdr>
    </w:div>
    <w:div w:id="870994864">
      <w:bodyDiv w:val="1"/>
      <w:marLeft w:val="0"/>
      <w:marRight w:val="0"/>
      <w:marTop w:val="0"/>
      <w:marBottom w:val="0"/>
      <w:divBdr>
        <w:top w:val="none" w:sz="0" w:space="0" w:color="auto"/>
        <w:left w:val="none" w:sz="0" w:space="0" w:color="auto"/>
        <w:bottom w:val="none" w:sz="0" w:space="0" w:color="auto"/>
        <w:right w:val="none" w:sz="0" w:space="0" w:color="auto"/>
      </w:divBdr>
    </w:div>
    <w:div w:id="881481518">
      <w:bodyDiv w:val="1"/>
      <w:marLeft w:val="0"/>
      <w:marRight w:val="0"/>
      <w:marTop w:val="0"/>
      <w:marBottom w:val="0"/>
      <w:divBdr>
        <w:top w:val="none" w:sz="0" w:space="0" w:color="auto"/>
        <w:left w:val="none" w:sz="0" w:space="0" w:color="auto"/>
        <w:bottom w:val="none" w:sz="0" w:space="0" w:color="auto"/>
        <w:right w:val="none" w:sz="0" w:space="0" w:color="auto"/>
      </w:divBdr>
    </w:div>
    <w:div w:id="905997840">
      <w:bodyDiv w:val="1"/>
      <w:marLeft w:val="0"/>
      <w:marRight w:val="0"/>
      <w:marTop w:val="0"/>
      <w:marBottom w:val="0"/>
      <w:divBdr>
        <w:top w:val="none" w:sz="0" w:space="0" w:color="auto"/>
        <w:left w:val="none" w:sz="0" w:space="0" w:color="auto"/>
        <w:bottom w:val="none" w:sz="0" w:space="0" w:color="auto"/>
        <w:right w:val="none" w:sz="0" w:space="0" w:color="auto"/>
      </w:divBdr>
    </w:div>
    <w:div w:id="918442161">
      <w:bodyDiv w:val="1"/>
      <w:marLeft w:val="0"/>
      <w:marRight w:val="0"/>
      <w:marTop w:val="0"/>
      <w:marBottom w:val="0"/>
      <w:divBdr>
        <w:top w:val="none" w:sz="0" w:space="0" w:color="auto"/>
        <w:left w:val="none" w:sz="0" w:space="0" w:color="auto"/>
        <w:bottom w:val="none" w:sz="0" w:space="0" w:color="auto"/>
        <w:right w:val="none" w:sz="0" w:space="0" w:color="auto"/>
      </w:divBdr>
    </w:div>
    <w:div w:id="929309556">
      <w:bodyDiv w:val="1"/>
      <w:marLeft w:val="0"/>
      <w:marRight w:val="0"/>
      <w:marTop w:val="0"/>
      <w:marBottom w:val="0"/>
      <w:divBdr>
        <w:top w:val="none" w:sz="0" w:space="0" w:color="auto"/>
        <w:left w:val="none" w:sz="0" w:space="0" w:color="auto"/>
        <w:bottom w:val="none" w:sz="0" w:space="0" w:color="auto"/>
        <w:right w:val="none" w:sz="0" w:space="0" w:color="auto"/>
      </w:divBdr>
    </w:div>
    <w:div w:id="934896638">
      <w:bodyDiv w:val="1"/>
      <w:marLeft w:val="0"/>
      <w:marRight w:val="0"/>
      <w:marTop w:val="0"/>
      <w:marBottom w:val="0"/>
      <w:divBdr>
        <w:top w:val="none" w:sz="0" w:space="0" w:color="auto"/>
        <w:left w:val="none" w:sz="0" w:space="0" w:color="auto"/>
        <w:bottom w:val="none" w:sz="0" w:space="0" w:color="auto"/>
        <w:right w:val="none" w:sz="0" w:space="0" w:color="auto"/>
      </w:divBdr>
    </w:div>
    <w:div w:id="964114656">
      <w:bodyDiv w:val="1"/>
      <w:marLeft w:val="0"/>
      <w:marRight w:val="0"/>
      <w:marTop w:val="0"/>
      <w:marBottom w:val="0"/>
      <w:divBdr>
        <w:top w:val="none" w:sz="0" w:space="0" w:color="auto"/>
        <w:left w:val="none" w:sz="0" w:space="0" w:color="auto"/>
        <w:bottom w:val="none" w:sz="0" w:space="0" w:color="auto"/>
        <w:right w:val="none" w:sz="0" w:space="0" w:color="auto"/>
      </w:divBdr>
    </w:div>
    <w:div w:id="1001155363">
      <w:bodyDiv w:val="1"/>
      <w:marLeft w:val="0"/>
      <w:marRight w:val="0"/>
      <w:marTop w:val="0"/>
      <w:marBottom w:val="0"/>
      <w:divBdr>
        <w:top w:val="none" w:sz="0" w:space="0" w:color="auto"/>
        <w:left w:val="none" w:sz="0" w:space="0" w:color="auto"/>
        <w:bottom w:val="none" w:sz="0" w:space="0" w:color="auto"/>
        <w:right w:val="none" w:sz="0" w:space="0" w:color="auto"/>
      </w:divBdr>
    </w:div>
    <w:div w:id="1017074456">
      <w:bodyDiv w:val="1"/>
      <w:marLeft w:val="0"/>
      <w:marRight w:val="0"/>
      <w:marTop w:val="0"/>
      <w:marBottom w:val="0"/>
      <w:divBdr>
        <w:top w:val="none" w:sz="0" w:space="0" w:color="auto"/>
        <w:left w:val="none" w:sz="0" w:space="0" w:color="auto"/>
        <w:bottom w:val="none" w:sz="0" w:space="0" w:color="auto"/>
        <w:right w:val="none" w:sz="0" w:space="0" w:color="auto"/>
      </w:divBdr>
    </w:div>
    <w:div w:id="1036388519">
      <w:bodyDiv w:val="1"/>
      <w:marLeft w:val="0"/>
      <w:marRight w:val="0"/>
      <w:marTop w:val="0"/>
      <w:marBottom w:val="0"/>
      <w:divBdr>
        <w:top w:val="none" w:sz="0" w:space="0" w:color="auto"/>
        <w:left w:val="none" w:sz="0" w:space="0" w:color="auto"/>
        <w:bottom w:val="none" w:sz="0" w:space="0" w:color="auto"/>
        <w:right w:val="none" w:sz="0" w:space="0" w:color="auto"/>
      </w:divBdr>
    </w:div>
    <w:div w:id="1110778213">
      <w:bodyDiv w:val="1"/>
      <w:marLeft w:val="0"/>
      <w:marRight w:val="0"/>
      <w:marTop w:val="0"/>
      <w:marBottom w:val="0"/>
      <w:divBdr>
        <w:top w:val="none" w:sz="0" w:space="0" w:color="auto"/>
        <w:left w:val="none" w:sz="0" w:space="0" w:color="auto"/>
        <w:bottom w:val="none" w:sz="0" w:space="0" w:color="auto"/>
        <w:right w:val="none" w:sz="0" w:space="0" w:color="auto"/>
      </w:divBdr>
    </w:div>
    <w:div w:id="1140347222">
      <w:bodyDiv w:val="1"/>
      <w:marLeft w:val="0"/>
      <w:marRight w:val="0"/>
      <w:marTop w:val="0"/>
      <w:marBottom w:val="0"/>
      <w:divBdr>
        <w:top w:val="none" w:sz="0" w:space="0" w:color="auto"/>
        <w:left w:val="none" w:sz="0" w:space="0" w:color="auto"/>
        <w:bottom w:val="none" w:sz="0" w:space="0" w:color="auto"/>
        <w:right w:val="none" w:sz="0" w:space="0" w:color="auto"/>
      </w:divBdr>
    </w:div>
    <w:div w:id="1162819536">
      <w:bodyDiv w:val="1"/>
      <w:marLeft w:val="0"/>
      <w:marRight w:val="0"/>
      <w:marTop w:val="0"/>
      <w:marBottom w:val="0"/>
      <w:divBdr>
        <w:top w:val="none" w:sz="0" w:space="0" w:color="auto"/>
        <w:left w:val="none" w:sz="0" w:space="0" w:color="auto"/>
        <w:bottom w:val="none" w:sz="0" w:space="0" w:color="auto"/>
        <w:right w:val="none" w:sz="0" w:space="0" w:color="auto"/>
      </w:divBdr>
    </w:div>
    <w:div w:id="1170876184">
      <w:bodyDiv w:val="1"/>
      <w:marLeft w:val="0"/>
      <w:marRight w:val="0"/>
      <w:marTop w:val="0"/>
      <w:marBottom w:val="0"/>
      <w:divBdr>
        <w:top w:val="none" w:sz="0" w:space="0" w:color="auto"/>
        <w:left w:val="none" w:sz="0" w:space="0" w:color="auto"/>
        <w:bottom w:val="none" w:sz="0" w:space="0" w:color="auto"/>
        <w:right w:val="none" w:sz="0" w:space="0" w:color="auto"/>
      </w:divBdr>
    </w:div>
    <w:div w:id="1180703116">
      <w:bodyDiv w:val="1"/>
      <w:marLeft w:val="0"/>
      <w:marRight w:val="0"/>
      <w:marTop w:val="0"/>
      <w:marBottom w:val="0"/>
      <w:divBdr>
        <w:top w:val="none" w:sz="0" w:space="0" w:color="auto"/>
        <w:left w:val="none" w:sz="0" w:space="0" w:color="auto"/>
        <w:bottom w:val="none" w:sz="0" w:space="0" w:color="auto"/>
        <w:right w:val="none" w:sz="0" w:space="0" w:color="auto"/>
      </w:divBdr>
    </w:div>
    <w:div w:id="1182205842">
      <w:bodyDiv w:val="1"/>
      <w:marLeft w:val="0"/>
      <w:marRight w:val="0"/>
      <w:marTop w:val="0"/>
      <w:marBottom w:val="0"/>
      <w:divBdr>
        <w:top w:val="none" w:sz="0" w:space="0" w:color="auto"/>
        <w:left w:val="none" w:sz="0" w:space="0" w:color="auto"/>
        <w:bottom w:val="none" w:sz="0" w:space="0" w:color="auto"/>
        <w:right w:val="none" w:sz="0" w:space="0" w:color="auto"/>
      </w:divBdr>
    </w:div>
    <w:div w:id="1242981271">
      <w:bodyDiv w:val="1"/>
      <w:marLeft w:val="0"/>
      <w:marRight w:val="0"/>
      <w:marTop w:val="0"/>
      <w:marBottom w:val="0"/>
      <w:divBdr>
        <w:top w:val="none" w:sz="0" w:space="0" w:color="auto"/>
        <w:left w:val="none" w:sz="0" w:space="0" w:color="auto"/>
        <w:bottom w:val="none" w:sz="0" w:space="0" w:color="auto"/>
        <w:right w:val="none" w:sz="0" w:space="0" w:color="auto"/>
      </w:divBdr>
    </w:div>
    <w:div w:id="1254975016">
      <w:bodyDiv w:val="1"/>
      <w:marLeft w:val="0"/>
      <w:marRight w:val="0"/>
      <w:marTop w:val="0"/>
      <w:marBottom w:val="0"/>
      <w:divBdr>
        <w:top w:val="none" w:sz="0" w:space="0" w:color="auto"/>
        <w:left w:val="none" w:sz="0" w:space="0" w:color="auto"/>
        <w:bottom w:val="none" w:sz="0" w:space="0" w:color="auto"/>
        <w:right w:val="none" w:sz="0" w:space="0" w:color="auto"/>
      </w:divBdr>
    </w:div>
    <w:div w:id="1264462093">
      <w:bodyDiv w:val="1"/>
      <w:marLeft w:val="0"/>
      <w:marRight w:val="0"/>
      <w:marTop w:val="0"/>
      <w:marBottom w:val="0"/>
      <w:divBdr>
        <w:top w:val="none" w:sz="0" w:space="0" w:color="auto"/>
        <w:left w:val="none" w:sz="0" w:space="0" w:color="auto"/>
        <w:bottom w:val="none" w:sz="0" w:space="0" w:color="auto"/>
        <w:right w:val="none" w:sz="0" w:space="0" w:color="auto"/>
      </w:divBdr>
    </w:div>
    <w:div w:id="1278373669">
      <w:bodyDiv w:val="1"/>
      <w:marLeft w:val="0"/>
      <w:marRight w:val="0"/>
      <w:marTop w:val="0"/>
      <w:marBottom w:val="0"/>
      <w:divBdr>
        <w:top w:val="none" w:sz="0" w:space="0" w:color="auto"/>
        <w:left w:val="none" w:sz="0" w:space="0" w:color="auto"/>
        <w:bottom w:val="none" w:sz="0" w:space="0" w:color="auto"/>
        <w:right w:val="none" w:sz="0" w:space="0" w:color="auto"/>
      </w:divBdr>
    </w:div>
    <w:div w:id="1323780647">
      <w:bodyDiv w:val="1"/>
      <w:marLeft w:val="0"/>
      <w:marRight w:val="0"/>
      <w:marTop w:val="0"/>
      <w:marBottom w:val="0"/>
      <w:divBdr>
        <w:top w:val="none" w:sz="0" w:space="0" w:color="auto"/>
        <w:left w:val="none" w:sz="0" w:space="0" w:color="auto"/>
        <w:bottom w:val="none" w:sz="0" w:space="0" w:color="auto"/>
        <w:right w:val="none" w:sz="0" w:space="0" w:color="auto"/>
      </w:divBdr>
    </w:div>
    <w:div w:id="1431197769">
      <w:bodyDiv w:val="1"/>
      <w:marLeft w:val="0"/>
      <w:marRight w:val="0"/>
      <w:marTop w:val="0"/>
      <w:marBottom w:val="0"/>
      <w:divBdr>
        <w:top w:val="none" w:sz="0" w:space="0" w:color="auto"/>
        <w:left w:val="none" w:sz="0" w:space="0" w:color="auto"/>
        <w:bottom w:val="none" w:sz="0" w:space="0" w:color="auto"/>
        <w:right w:val="none" w:sz="0" w:space="0" w:color="auto"/>
      </w:divBdr>
    </w:div>
    <w:div w:id="1451390095">
      <w:bodyDiv w:val="1"/>
      <w:marLeft w:val="0"/>
      <w:marRight w:val="0"/>
      <w:marTop w:val="0"/>
      <w:marBottom w:val="0"/>
      <w:divBdr>
        <w:top w:val="none" w:sz="0" w:space="0" w:color="auto"/>
        <w:left w:val="none" w:sz="0" w:space="0" w:color="auto"/>
        <w:bottom w:val="none" w:sz="0" w:space="0" w:color="auto"/>
        <w:right w:val="none" w:sz="0" w:space="0" w:color="auto"/>
      </w:divBdr>
    </w:div>
    <w:div w:id="1460955975">
      <w:bodyDiv w:val="1"/>
      <w:marLeft w:val="0"/>
      <w:marRight w:val="0"/>
      <w:marTop w:val="0"/>
      <w:marBottom w:val="0"/>
      <w:divBdr>
        <w:top w:val="none" w:sz="0" w:space="0" w:color="auto"/>
        <w:left w:val="none" w:sz="0" w:space="0" w:color="auto"/>
        <w:bottom w:val="none" w:sz="0" w:space="0" w:color="auto"/>
        <w:right w:val="none" w:sz="0" w:space="0" w:color="auto"/>
      </w:divBdr>
    </w:div>
    <w:div w:id="1466192366">
      <w:bodyDiv w:val="1"/>
      <w:marLeft w:val="0"/>
      <w:marRight w:val="0"/>
      <w:marTop w:val="0"/>
      <w:marBottom w:val="0"/>
      <w:divBdr>
        <w:top w:val="none" w:sz="0" w:space="0" w:color="auto"/>
        <w:left w:val="none" w:sz="0" w:space="0" w:color="auto"/>
        <w:bottom w:val="none" w:sz="0" w:space="0" w:color="auto"/>
        <w:right w:val="none" w:sz="0" w:space="0" w:color="auto"/>
      </w:divBdr>
    </w:div>
    <w:div w:id="1468889839">
      <w:bodyDiv w:val="1"/>
      <w:marLeft w:val="0"/>
      <w:marRight w:val="0"/>
      <w:marTop w:val="0"/>
      <w:marBottom w:val="0"/>
      <w:divBdr>
        <w:top w:val="none" w:sz="0" w:space="0" w:color="auto"/>
        <w:left w:val="none" w:sz="0" w:space="0" w:color="auto"/>
        <w:bottom w:val="none" w:sz="0" w:space="0" w:color="auto"/>
        <w:right w:val="none" w:sz="0" w:space="0" w:color="auto"/>
      </w:divBdr>
    </w:div>
    <w:div w:id="1471820207">
      <w:bodyDiv w:val="1"/>
      <w:marLeft w:val="0"/>
      <w:marRight w:val="0"/>
      <w:marTop w:val="0"/>
      <w:marBottom w:val="0"/>
      <w:divBdr>
        <w:top w:val="none" w:sz="0" w:space="0" w:color="auto"/>
        <w:left w:val="none" w:sz="0" w:space="0" w:color="auto"/>
        <w:bottom w:val="none" w:sz="0" w:space="0" w:color="auto"/>
        <w:right w:val="none" w:sz="0" w:space="0" w:color="auto"/>
      </w:divBdr>
    </w:div>
    <w:div w:id="1472284929">
      <w:bodyDiv w:val="1"/>
      <w:marLeft w:val="0"/>
      <w:marRight w:val="0"/>
      <w:marTop w:val="0"/>
      <w:marBottom w:val="0"/>
      <w:divBdr>
        <w:top w:val="none" w:sz="0" w:space="0" w:color="auto"/>
        <w:left w:val="none" w:sz="0" w:space="0" w:color="auto"/>
        <w:bottom w:val="none" w:sz="0" w:space="0" w:color="auto"/>
        <w:right w:val="none" w:sz="0" w:space="0" w:color="auto"/>
      </w:divBdr>
    </w:div>
    <w:div w:id="1480148571">
      <w:bodyDiv w:val="1"/>
      <w:marLeft w:val="0"/>
      <w:marRight w:val="0"/>
      <w:marTop w:val="0"/>
      <w:marBottom w:val="0"/>
      <w:divBdr>
        <w:top w:val="none" w:sz="0" w:space="0" w:color="auto"/>
        <w:left w:val="none" w:sz="0" w:space="0" w:color="auto"/>
        <w:bottom w:val="none" w:sz="0" w:space="0" w:color="auto"/>
        <w:right w:val="none" w:sz="0" w:space="0" w:color="auto"/>
      </w:divBdr>
    </w:div>
    <w:div w:id="1486776985">
      <w:bodyDiv w:val="1"/>
      <w:marLeft w:val="0"/>
      <w:marRight w:val="0"/>
      <w:marTop w:val="0"/>
      <w:marBottom w:val="0"/>
      <w:divBdr>
        <w:top w:val="none" w:sz="0" w:space="0" w:color="auto"/>
        <w:left w:val="none" w:sz="0" w:space="0" w:color="auto"/>
        <w:bottom w:val="none" w:sz="0" w:space="0" w:color="auto"/>
        <w:right w:val="none" w:sz="0" w:space="0" w:color="auto"/>
      </w:divBdr>
    </w:div>
    <w:div w:id="1501310171">
      <w:bodyDiv w:val="1"/>
      <w:marLeft w:val="0"/>
      <w:marRight w:val="0"/>
      <w:marTop w:val="0"/>
      <w:marBottom w:val="0"/>
      <w:divBdr>
        <w:top w:val="none" w:sz="0" w:space="0" w:color="auto"/>
        <w:left w:val="none" w:sz="0" w:space="0" w:color="auto"/>
        <w:bottom w:val="none" w:sz="0" w:space="0" w:color="auto"/>
        <w:right w:val="none" w:sz="0" w:space="0" w:color="auto"/>
      </w:divBdr>
    </w:div>
    <w:div w:id="1505170651">
      <w:bodyDiv w:val="1"/>
      <w:marLeft w:val="0"/>
      <w:marRight w:val="0"/>
      <w:marTop w:val="0"/>
      <w:marBottom w:val="0"/>
      <w:divBdr>
        <w:top w:val="none" w:sz="0" w:space="0" w:color="auto"/>
        <w:left w:val="none" w:sz="0" w:space="0" w:color="auto"/>
        <w:bottom w:val="none" w:sz="0" w:space="0" w:color="auto"/>
        <w:right w:val="none" w:sz="0" w:space="0" w:color="auto"/>
      </w:divBdr>
    </w:div>
    <w:div w:id="1550535976">
      <w:bodyDiv w:val="1"/>
      <w:marLeft w:val="0"/>
      <w:marRight w:val="0"/>
      <w:marTop w:val="0"/>
      <w:marBottom w:val="0"/>
      <w:divBdr>
        <w:top w:val="none" w:sz="0" w:space="0" w:color="auto"/>
        <w:left w:val="none" w:sz="0" w:space="0" w:color="auto"/>
        <w:bottom w:val="none" w:sz="0" w:space="0" w:color="auto"/>
        <w:right w:val="none" w:sz="0" w:space="0" w:color="auto"/>
      </w:divBdr>
    </w:div>
    <w:div w:id="1562247326">
      <w:bodyDiv w:val="1"/>
      <w:marLeft w:val="0"/>
      <w:marRight w:val="0"/>
      <w:marTop w:val="0"/>
      <w:marBottom w:val="0"/>
      <w:divBdr>
        <w:top w:val="none" w:sz="0" w:space="0" w:color="auto"/>
        <w:left w:val="none" w:sz="0" w:space="0" w:color="auto"/>
        <w:bottom w:val="none" w:sz="0" w:space="0" w:color="auto"/>
        <w:right w:val="none" w:sz="0" w:space="0" w:color="auto"/>
      </w:divBdr>
    </w:div>
    <w:div w:id="1562598669">
      <w:bodyDiv w:val="1"/>
      <w:marLeft w:val="0"/>
      <w:marRight w:val="0"/>
      <w:marTop w:val="0"/>
      <w:marBottom w:val="0"/>
      <w:divBdr>
        <w:top w:val="none" w:sz="0" w:space="0" w:color="auto"/>
        <w:left w:val="none" w:sz="0" w:space="0" w:color="auto"/>
        <w:bottom w:val="none" w:sz="0" w:space="0" w:color="auto"/>
        <w:right w:val="none" w:sz="0" w:space="0" w:color="auto"/>
      </w:divBdr>
    </w:div>
    <w:div w:id="1578441928">
      <w:bodyDiv w:val="1"/>
      <w:marLeft w:val="0"/>
      <w:marRight w:val="0"/>
      <w:marTop w:val="0"/>
      <w:marBottom w:val="0"/>
      <w:divBdr>
        <w:top w:val="none" w:sz="0" w:space="0" w:color="auto"/>
        <w:left w:val="none" w:sz="0" w:space="0" w:color="auto"/>
        <w:bottom w:val="none" w:sz="0" w:space="0" w:color="auto"/>
        <w:right w:val="none" w:sz="0" w:space="0" w:color="auto"/>
      </w:divBdr>
    </w:div>
    <w:div w:id="1591962987">
      <w:bodyDiv w:val="1"/>
      <w:marLeft w:val="0"/>
      <w:marRight w:val="0"/>
      <w:marTop w:val="0"/>
      <w:marBottom w:val="0"/>
      <w:divBdr>
        <w:top w:val="none" w:sz="0" w:space="0" w:color="auto"/>
        <w:left w:val="none" w:sz="0" w:space="0" w:color="auto"/>
        <w:bottom w:val="none" w:sz="0" w:space="0" w:color="auto"/>
        <w:right w:val="none" w:sz="0" w:space="0" w:color="auto"/>
      </w:divBdr>
    </w:div>
    <w:div w:id="1623724285">
      <w:bodyDiv w:val="1"/>
      <w:marLeft w:val="0"/>
      <w:marRight w:val="0"/>
      <w:marTop w:val="0"/>
      <w:marBottom w:val="0"/>
      <w:divBdr>
        <w:top w:val="none" w:sz="0" w:space="0" w:color="auto"/>
        <w:left w:val="none" w:sz="0" w:space="0" w:color="auto"/>
        <w:bottom w:val="none" w:sz="0" w:space="0" w:color="auto"/>
        <w:right w:val="none" w:sz="0" w:space="0" w:color="auto"/>
      </w:divBdr>
    </w:div>
    <w:div w:id="1645164119">
      <w:bodyDiv w:val="1"/>
      <w:marLeft w:val="0"/>
      <w:marRight w:val="0"/>
      <w:marTop w:val="0"/>
      <w:marBottom w:val="0"/>
      <w:divBdr>
        <w:top w:val="none" w:sz="0" w:space="0" w:color="auto"/>
        <w:left w:val="none" w:sz="0" w:space="0" w:color="auto"/>
        <w:bottom w:val="none" w:sz="0" w:space="0" w:color="auto"/>
        <w:right w:val="none" w:sz="0" w:space="0" w:color="auto"/>
      </w:divBdr>
    </w:div>
    <w:div w:id="1654287791">
      <w:bodyDiv w:val="1"/>
      <w:marLeft w:val="0"/>
      <w:marRight w:val="0"/>
      <w:marTop w:val="0"/>
      <w:marBottom w:val="0"/>
      <w:divBdr>
        <w:top w:val="none" w:sz="0" w:space="0" w:color="auto"/>
        <w:left w:val="none" w:sz="0" w:space="0" w:color="auto"/>
        <w:bottom w:val="none" w:sz="0" w:space="0" w:color="auto"/>
        <w:right w:val="none" w:sz="0" w:space="0" w:color="auto"/>
      </w:divBdr>
    </w:div>
    <w:div w:id="1657956785">
      <w:bodyDiv w:val="1"/>
      <w:marLeft w:val="0"/>
      <w:marRight w:val="0"/>
      <w:marTop w:val="0"/>
      <w:marBottom w:val="0"/>
      <w:divBdr>
        <w:top w:val="none" w:sz="0" w:space="0" w:color="auto"/>
        <w:left w:val="none" w:sz="0" w:space="0" w:color="auto"/>
        <w:bottom w:val="none" w:sz="0" w:space="0" w:color="auto"/>
        <w:right w:val="none" w:sz="0" w:space="0" w:color="auto"/>
      </w:divBdr>
    </w:div>
    <w:div w:id="1659337364">
      <w:bodyDiv w:val="1"/>
      <w:marLeft w:val="0"/>
      <w:marRight w:val="0"/>
      <w:marTop w:val="0"/>
      <w:marBottom w:val="0"/>
      <w:divBdr>
        <w:top w:val="none" w:sz="0" w:space="0" w:color="auto"/>
        <w:left w:val="none" w:sz="0" w:space="0" w:color="auto"/>
        <w:bottom w:val="none" w:sz="0" w:space="0" w:color="auto"/>
        <w:right w:val="none" w:sz="0" w:space="0" w:color="auto"/>
      </w:divBdr>
    </w:div>
    <w:div w:id="1673795442">
      <w:bodyDiv w:val="1"/>
      <w:marLeft w:val="0"/>
      <w:marRight w:val="0"/>
      <w:marTop w:val="0"/>
      <w:marBottom w:val="0"/>
      <w:divBdr>
        <w:top w:val="none" w:sz="0" w:space="0" w:color="auto"/>
        <w:left w:val="none" w:sz="0" w:space="0" w:color="auto"/>
        <w:bottom w:val="none" w:sz="0" w:space="0" w:color="auto"/>
        <w:right w:val="none" w:sz="0" w:space="0" w:color="auto"/>
      </w:divBdr>
    </w:div>
    <w:div w:id="1683048298">
      <w:bodyDiv w:val="1"/>
      <w:marLeft w:val="0"/>
      <w:marRight w:val="0"/>
      <w:marTop w:val="0"/>
      <w:marBottom w:val="0"/>
      <w:divBdr>
        <w:top w:val="none" w:sz="0" w:space="0" w:color="auto"/>
        <w:left w:val="none" w:sz="0" w:space="0" w:color="auto"/>
        <w:bottom w:val="none" w:sz="0" w:space="0" w:color="auto"/>
        <w:right w:val="none" w:sz="0" w:space="0" w:color="auto"/>
      </w:divBdr>
    </w:div>
    <w:div w:id="1699353735">
      <w:bodyDiv w:val="1"/>
      <w:marLeft w:val="0"/>
      <w:marRight w:val="0"/>
      <w:marTop w:val="0"/>
      <w:marBottom w:val="0"/>
      <w:divBdr>
        <w:top w:val="none" w:sz="0" w:space="0" w:color="auto"/>
        <w:left w:val="none" w:sz="0" w:space="0" w:color="auto"/>
        <w:bottom w:val="none" w:sz="0" w:space="0" w:color="auto"/>
        <w:right w:val="none" w:sz="0" w:space="0" w:color="auto"/>
      </w:divBdr>
    </w:div>
    <w:div w:id="1707025784">
      <w:bodyDiv w:val="1"/>
      <w:marLeft w:val="0"/>
      <w:marRight w:val="0"/>
      <w:marTop w:val="0"/>
      <w:marBottom w:val="0"/>
      <w:divBdr>
        <w:top w:val="none" w:sz="0" w:space="0" w:color="auto"/>
        <w:left w:val="none" w:sz="0" w:space="0" w:color="auto"/>
        <w:bottom w:val="none" w:sz="0" w:space="0" w:color="auto"/>
        <w:right w:val="none" w:sz="0" w:space="0" w:color="auto"/>
      </w:divBdr>
    </w:div>
    <w:div w:id="1720058074">
      <w:bodyDiv w:val="1"/>
      <w:marLeft w:val="0"/>
      <w:marRight w:val="0"/>
      <w:marTop w:val="0"/>
      <w:marBottom w:val="0"/>
      <w:divBdr>
        <w:top w:val="none" w:sz="0" w:space="0" w:color="auto"/>
        <w:left w:val="none" w:sz="0" w:space="0" w:color="auto"/>
        <w:bottom w:val="none" w:sz="0" w:space="0" w:color="auto"/>
        <w:right w:val="none" w:sz="0" w:space="0" w:color="auto"/>
      </w:divBdr>
    </w:div>
    <w:div w:id="1804886878">
      <w:bodyDiv w:val="1"/>
      <w:marLeft w:val="0"/>
      <w:marRight w:val="0"/>
      <w:marTop w:val="0"/>
      <w:marBottom w:val="0"/>
      <w:divBdr>
        <w:top w:val="none" w:sz="0" w:space="0" w:color="auto"/>
        <w:left w:val="none" w:sz="0" w:space="0" w:color="auto"/>
        <w:bottom w:val="none" w:sz="0" w:space="0" w:color="auto"/>
        <w:right w:val="none" w:sz="0" w:space="0" w:color="auto"/>
      </w:divBdr>
    </w:div>
    <w:div w:id="1806967728">
      <w:bodyDiv w:val="1"/>
      <w:marLeft w:val="0"/>
      <w:marRight w:val="0"/>
      <w:marTop w:val="0"/>
      <w:marBottom w:val="0"/>
      <w:divBdr>
        <w:top w:val="none" w:sz="0" w:space="0" w:color="auto"/>
        <w:left w:val="none" w:sz="0" w:space="0" w:color="auto"/>
        <w:bottom w:val="none" w:sz="0" w:space="0" w:color="auto"/>
        <w:right w:val="none" w:sz="0" w:space="0" w:color="auto"/>
      </w:divBdr>
    </w:div>
    <w:div w:id="1812402132">
      <w:bodyDiv w:val="1"/>
      <w:marLeft w:val="0"/>
      <w:marRight w:val="0"/>
      <w:marTop w:val="0"/>
      <w:marBottom w:val="0"/>
      <w:divBdr>
        <w:top w:val="none" w:sz="0" w:space="0" w:color="auto"/>
        <w:left w:val="none" w:sz="0" w:space="0" w:color="auto"/>
        <w:bottom w:val="none" w:sz="0" w:space="0" w:color="auto"/>
        <w:right w:val="none" w:sz="0" w:space="0" w:color="auto"/>
      </w:divBdr>
    </w:div>
    <w:div w:id="1835146021">
      <w:bodyDiv w:val="1"/>
      <w:marLeft w:val="0"/>
      <w:marRight w:val="0"/>
      <w:marTop w:val="0"/>
      <w:marBottom w:val="0"/>
      <w:divBdr>
        <w:top w:val="none" w:sz="0" w:space="0" w:color="auto"/>
        <w:left w:val="none" w:sz="0" w:space="0" w:color="auto"/>
        <w:bottom w:val="none" w:sz="0" w:space="0" w:color="auto"/>
        <w:right w:val="none" w:sz="0" w:space="0" w:color="auto"/>
      </w:divBdr>
    </w:div>
    <w:div w:id="1838110971">
      <w:bodyDiv w:val="1"/>
      <w:marLeft w:val="0"/>
      <w:marRight w:val="0"/>
      <w:marTop w:val="0"/>
      <w:marBottom w:val="0"/>
      <w:divBdr>
        <w:top w:val="none" w:sz="0" w:space="0" w:color="auto"/>
        <w:left w:val="none" w:sz="0" w:space="0" w:color="auto"/>
        <w:bottom w:val="none" w:sz="0" w:space="0" w:color="auto"/>
        <w:right w:val="none" w:sz="0" w:space="0" w:color="auto"/>
      </w:divBdr>
    </w:div>
    <w:div w:id="1866215827">
      <w:bodyDiv w:val="1"/>
      <w:marLeft w:val="0"/>
      <w:marRight w:val="0"/>
      <w:marTop w:val="0"/>
      <w:marBottom w:val="0"/>
      <w:divBdr>
        <w:top w:val="none" w:sz="0" w:space="0" w:color="auto"/>
        <w:left w:val="none" w:sz="0" w:space="0" w:color="auto"/>
        <w:bottom w:val="none" w:sz="0" w:space="0" w:color="auto"/>
        <w:right w:val="none" w:sz="0" w:space="0" w:color="auto"/>
      </w:divBdr>
    </w:div>
    <w:div w:id="1883131748">
      <w:bodyDiv w:val="1"/>
      <w:marLeft w:val="0"/>
      <w:marRight w:val="0"/>
      <w:marTop w:val="0"/>
      <w:marBottom w:val="0"/>
      <w:divBdr>
        <w:top w:val="none" w:sz="0" w:space="0" w:color="auto"/>
        <w:left w:val="none" w:sz="0" w:space="0" w:color="auto"/>
        <w:bottom w:val="none" w:sz="0" w:space="0" w:color="auto"/>
        <w:right w:val="none" w:sz="0" w:space="0" w:color="auto"/>
      </w:divBdr>
    </w:div>
    <w:div w:id="1938177084">
      <w:bodyDiv w:val="1"/>
      <w:marLeft w:val="0"/>
      <w:marRight w:val="0"/>
      <w:marTop w:val="0"/>
      <w:marBottom w:val="0"/>
      <w:divBdr>
        <w:top w:val="none" w:sz="0" w:space="0" w:color="auto"/>
        <w:left w:val="none" w:sz="0" w:space="0" w:color="auto"/>
        <w:bottom w:val="none" w:sz="0" w:space="0" w:color="auto"/>
        <w:right w:val="none" w:sz="0" w:space="0" w:color="auto"/>
      </w:divBdr>
    </w:div>
    <w:div w:id="1982493035">
      <w:bodyDiv w:val="1"/>
      <w:marLeft w:val="0"/>
      <w:marRight w:val="0"/>
      <w:marTop w:val="0"/>
      <w:marBottom w:val="0"/>
      <w:divBdr>
        <w:top w:val="none" w:sz="0" w:space="0" w:color="auto"/>
        <w:left w:val="none" w:sz="0" w:space="0" w:color="auto"/>
        <w:bottom w:val="none" w:sz="0" w:space="0" w:color="auto"/>
        <w:right w:val="none" w:sz="0" w:space="0" w:color="auto"/>
      </w:divBdr>
    </w:div>
    <w:div w:id="1996764057">
      <w:bodyDiv w:val="1"/>
      <w:marLeft w:val="0"/>
      <w:marRight w:val="0"/>
      <w:marTop w:val="0"/>
      <w:marBottom w:val="0"/>
      <w:divBdr>
        <w:top w:val="none" w:sz="0" w:space="0" w:color="auto"/>
        <w:left w:val="none" w:sz="0" w:space="0" w:color="auto"/>
        <w:bottom w:val="none" w:sz="0" w:space="0" w:color="auto"/>
        <w:right w:val="none" w:sz="0" w:space="0" w:color="auto"/>
      </w:divBdr>
    </w:div>
    <w:div w:id="1998460736">
      <w:bodyDiv w:val="1"/>
      <w:marLeft w:val="0"/>
      <w:marRight w:val="0"/>
      <w:marTop w:val="0"/>
      <w:marBottom w:val="0"/>
      <w:divBdr>
        <w:top w:val="none" w:sz="0" w:space="0" w:color="auto"/>
        <w:left w:val="none" w:sz="0" w:space="0" w:color="auto"/>
        <w:bottom w:val="none" w:sz="0" w:space="0" w:color="auto"/>
        <w:right w:val="none" w:sz="0" w:space="0" w:color="auto"/>
      </w:divBdr>
    </w:div>
    <w:div w:id="1998876084">
      <w:bodyDiv w:val="1"/>
      <w:marLeft w:val="0"/>
      <w:marRight w:val="0"/>
      <w:marTop w:val="0"/>
      <w:marBottom w:val="0"/>
      <w:divBdr>
        <w:top w:val="none" w:sz="0" w:space="0" w:color="auto"/>
        <w:left w:val="none" w:sz="0" w:space="0" w:color="auto"/>
        <w:bottom w:val="none" w:sz="0" w:space="0" w:color="auto"/>
        <w:right w:val="none" w:sz="0" w:space="0" w:color="auto"/>
      </w:divBdr>
    </w:div>
    <w:div w:id="2004355881">
      <w:bodyDiv w:val="1"/>
      <w:marLeft w:val="0"/>
      <w:marRight w:val="0"/>
      <w:marTop w:val="0"/>
      <w:marBottom w:val="0"/>
      <w:divBdr>
        <w:top w:val="none" w:sz="0" w:space="0" w:color="auto"/>
        <w:left w:val="none" w:sz="0" w:space="0" w:color="auto"/>
        <w:bottom w:val="none" w:sz="0" w:space="0" w:color="auto"/>
        <w:right w:val="none" w:sz="0" w:space="0" w:color="auto"/>
      </w:divBdr>
    </w:div>
    <w:div w:id="2007585600">
      <w:bodyDiv w:val="1"/>
      <w:marLeft w:val="0"/>
      <w:marRight w:val="0"/>
      <w:marTop w:val="0"/>
      <w:marBottom w:val="0"/>
      <w:divBdr>
        <w:top w:val="none" w:sz="0" w:space="0" w:color="auto"/>
        <w:left w:val="none" w:sz="0" w:space="0" w:color="auto"/>
        <w:bottom w:val="none" w:sz="0" w:space="0" w:color="auto"/>
        <w:right w:val="none" w:sz="0" w:space="0" w:color="auto"/>
      </w:divBdr>
    </w:div>
    <w:div w:id="2025280436">
      <w:bodyDiv w:val="1"/>
      <w:marLeft w:val="0"/>
      <w:marRight w:val="0"/>
      <w:marTop w:val="0"/>
      <w:marBottom w:val="0"/>
      <w:divBdr>
        <w:top w:val="none" w:sz="0" w:space="0" w:color="auto"/>
        <w:left w:val="none" w:sz="0" w:space="0" w:color="auto"/>
        <w:bottom w:val="none" w:sz="0" w:space="0" w:color="auto"/>
        <w:right w:val="none" w:sz="0" w:space="0" w:color="auto"/>
      </w:divBdr>
    </w:div>
    <w:div w:id="2054959043">
      <w:bodyDiv w:val="1"/>
      <w:marLeft w:val="0"/>
      <w:marRight w:val="0"/>
      <w:marTop w:val="0"/>
      <w:marBottom w:val="0"/>
      <w:divBdr>
        <w:top w:val="none" w:sz="0" w:space="0" w:color="auto"/>
        <w:left w:val="none" w:sz="0" w:space="0" w:color="auto"/>
        <w:bottom w:val="none" w:sz="0" w:space="0" w:color="auto"/>
        <w:right w:val="none" w:sz="0" w:space="0" w:color="auto"/>
      </w:divBdr>
    </w:div>
    <w:div w:id="2073459289">
      <w:bodyDiv w:val="1"/>
      <w:marLeft w:val="0"/>
      <w:marRight w:val="0"/>
      <w:marTop w:val="0"/>
      <w:marBottom w:val="0"/>
      <w:divBdr>
        <w:top w:val="none" w:sz="0" w:space="0" w:color="auto"/>
        <w:left w:val="none" w:sz="0" w:space="0" w:color="auto"/>
        <w:bottom w:val="none" w:sz="0" w:space="0" w:color="auto"/>
        <w:right w:val="none" w:sz="0" w:space="0" w:color="auto"/>
      </w:divBdr>
    </w:div>
    <w:div w:id="2083067363">
      <w:bodyDiv w:val="1"/>
      <w:marLeft w:val="0"/>
      <w:marRight w:val="0"/>
      <w:marTop w:val="0"/>
      <w:marBottom w:val="0"/>
      <w:divBdr>
        <w:top w:val="none" w:sz="0" w:space="0" w:color="auto"/>
        <w:left w:val="none" w:sz="0" w:space="0" w:color="auto"/>
        <w:bottom w:val="none" w:sz="0" w:space="0" w:color="auto"/>
        <w:right w:val="none" w:sz="0" w:space="0" w:color="auto"/>
      </w:divBdr>
    </w:div>
    <w:div w:id="2121602342">
      <w:bodyDiv w:val="1"/>
      <w:marLeft w:val="0"/>
      <w:marRight w:val="0"/>
      <w:marTop w:val="0"/>
      <w:marBottom w:val="0"/>
      <w:divBdr>
        <w:top w:val="none" w:sz="0" w:space="0" w:color="auto"/>
        <w:left w:val="none" w:sz="0" w:space="0" w:color="auto"/>
        <w:bottom w:val="none" w:sz="0" w:space="0" w:color="auto"/>
        <w:right w:val="none" w:sz="0" w:space="0" w:color="auto"/>
      </w:divBdr>
    </w:div>
    <w:div w:id="2135248218">
      <w:bodyDiv w:val="1"/>
      <w:marLeft w:val="0"/>
      <w:marRight w:val="0"/>
      <w:marTop w:val="0"/>
      <w:marBottom w:val="0"/>
      <w:divBdr>
        <w:top w:val="none" w:sz="0" w:space="0" w:color="auto"/>
        <w:left w:val="none" w:sz="0" w:space="0" w:color="auto"/>
        <w:bottom w:val="none" w:sz="0" w:space="0" w:color="auto"/>
        <w:right w:val="none" w:sz="0" w:space="0" w:color="auto"/>
      </w:divBdr>
    </w:div>
    <w:div w:id="2137019936">
      <w:bodyDiv w:val="1"/>
      <w:marLeft w:val="0"/>
      <w:marRight w:val="0"/>
      <w:marTop w:val="0"/>
      <w:marBottom w:val="0"/>
      <w:divBdr>
        <w:top w:val="none" w:sz="0" w:space="0" w:color="auto"/>
        <w:left w:val="none" w:sz="0" w:space="0" w:color="auto"/>
        <w:bottom w:val="none" w:sz="0" w:space="0" w:color="auto"/>
        <w:right w:val="none" w:sz="0" w:space="0" w:color="auto"/>
      </w:divBdr>
    </w:div>
    <w:div w:id="214449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twitter.com/INEGI_INFORMA" TargetMode="External"/><Relationship Id="rId26" Type="http://schemas.openxmlformats.org/officeDocument/2006/relationships/chart" Target="charts/chart3.xml"/><Relationship Id="rId39" Type="http://schemas.openxmlformats.org/officeDocument/2006/relationships/footer" Target="footer2.xml"/><Relationship Id="rId21" Type="http://schemas.openxmlformats.org/officeDocument/2006/relationships/image" Target="media/image5.jpeg"/><Relationship Id="rId34" Type="http://schemas.openxmlformats.org/officeDocument/2006/relationships/hyperlink" Target="https://www.inegi.org.mx/app/saladeprensa/calendario/default.html"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instagram.com/inegi_informa/" TargetMode="External"/><Relationship Id="rId20" Type="http://schemas.openxmlformats.org/officeDocument/2006/relationships/hyperlink" Target="https://www.youtube.com/user/INEGIInforma" TargetMode="External"/><Relationship Id="rId29" Type="http://schemas.openxmlformats.org/officeDocument/2006/relationships/chart" Target="charts/chart6.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unicacionsocial@inegi.org.mx" TargetMode="External"/><Relationship Id="rId24" Type="http://schemas.openxmlformats.org/officeDocument/2006/relationships/chart" Target="charts/chart1.xml"/><Relationship Id="rId32" Type="http://schemas.openxmlformats.org/officeDocument/2006/relationships/hyperlink" Target="https://www.inegi.org.mx/programas/eaim/2013/" TargetMode="External"/><Relationship Id="rId37" Type="http://schemas.openxmlformats.org/officeDocument/2006/relationships/hyperlink" Target="https://www.inegi.org.mx/app/indicadores/bie.html"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image" Target="media/image6.png"/><Relationship Id="rId28" Type="http://schemas.openxmlformats.org/officeDocument/2006/relationships/chart" Target="charts/chart5.xml"/><Relationship Id="rId36" Type="http://schemas.openxmlformats.org/officeDocument/2006/relationships/hyperlink" Target="https://www.inegi.org.mx/programas/eaim/2013/" TargetMode="External"/><Relationship Id="rId10" Type="http://schemas.openxmlformats.org/officeDocument/2006/relationships/hyperlink" Target="https://www.inegi.org.mx/app/indicadores/bie.html" TargetMode="External"/><Relationship Id="rId19" Type="http://schemas.openxmlformats.org/officeDocument/2006/relationships/image" Target="media/image4.jpeg"/><Relationship Id="rId31" Type="http://schemas.openxmlformats.org/officeDocument/2006/relationships/hyperlink" Target="http://www.inegi.org.mx" TargetMode="External"/><Relationship Id="rId4" Type="http://schemas.openxmlformats.org/officeDocument/2006/relationships/settings" Target="settings.xml"/><Relationship Id="rId9" Type="http://schemas.openxmlformats.org/officeDocument/2006/relationships/hyperlink" Target="https://www.inegi.org.mx/programas/eaim/2013/" TargetMode="External"/><Relationship Id="rId14" Type="http://schemas.openxmlformats.org/officeDocument/2006/relationships/hyperlink" Target="https://www.facebook.com/INEGIInforma/" TargetMode="External"/><Relationship Id="rId22" Type="http://schemas.openxmlformats.org/officeDocument/2006/relationships/hyperlink" Target="http://www.inegi.org.mx/" TargetMode="External"/><Relationship Id="rId27" Type="http://schemas.openxmlformats.org/officeDocument/2006/relationships/chart" Target="charts/chart4.xml"/><Relationship Id="rId30" Type="http://schemas.openxmlformats.org/officeDocument/2006/relationships/chart" Target="charts/chart7.xml"/><Relationship Id="rId35" Type="http://schemas.openxmlformats.org/officeDocument/2006/relationships/hyperlink" Target="http://www.inegi.org.mx" TargetMode="External"/><Relationship Id="rId8" Type="http://schemas.openxmlformats.org/officeDocument/2006/relationships/hyperlink" Target="http://www.inegi.org.mx" TargetMode="External"/><Relationship Id="rId3"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5" Type="http://schemas.openxmlformats.org/officeDocument/2006/relationships/chart" Target="charts/chart2.xml"/><Relationship Id="rId33" Type="http://schemas.openxmlformats.org/officeDocument/2006/relationships/hyperlink" Target="https://www.inegi.org.mx/app/indicadores/bie.html" TargetMode="External"/><Relationship Id="rId38"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Miguel.frausto\Descargas\Copia%20de%20Copia%20de%20fuente2020%20(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iguel.frausto\Descargas\Copia%20de%20Copia%20de%20fuente2020%20(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iguel.frausto\Descargas\Copia%20de%20Copia%20de%20fuente2020%20(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iguel.frausto\Descargas\Copia%20de%204%20Personal%20que%20recibio%20capacitaci&#243;n%202020(306).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Miguel.frausto\Descargas\Copia%20de%20Copia%20de%20fuente2020%20(4).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Miguel.frausto\Descargas\Copia%20de%20Copia%20de%20fuente2020%20(4).xlsx" TargetMode="External"/><Relationship Id="rId2" Type="http://schemas.microsoft.com/office/2011/relationships/chartColorStyle" Target="colors7.xml"/><Relationship Id="rId1" Type="http://schemas.microsoft.com/office/2011/relationships/chartStyle" Target="style7.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00" b="1" i="0" u="none" strike="noStrike" kern="1200" baseline="0">
                <a:solidFill>
                  <a:srgbClr val="000000"/>
                </a:solidFill>
                <a:latin typeface="Arial" panose="020B0604020202020204" pitchFamily="34" charset="0"/>
                <a:ea typeface="Calibri"/>
                <a:cs typeface="Arial" panose="020B0604020202020204" pitchFamily="34" charset="0"/>
              </a:defRPr>
            </a:pPr>
            <a:r>
              <a:rPr lang="es-MX" sz="900"/>
              <a:t>2019</a:t>
            </a:r>
          </a:p>
        </c:rich>
      </c:tx>
      <c:layout>
        <c:manualLayout>
          <c:xMode val="edge"/>
          <c:yMode val="edge"/>
          <c:x val="0.2448623985292977"/>
          <c:y val="2.6917315963776778E-2"/>
        </c:manualLayout>
      </c:layout>
      <c:overlay val="0"/>
      <c:spPr>
        <a:noFill/>
        <a:ln w="25400">
          <a:noFill/>
        </a:ln>
        <a:effectLst/>
      </c:spPr>
      <c:txPr>
        <a:bodyPr rot="0" spcFirstLastPara="1" vertOverflow="ellipsis" vert="horz" wrap="square" anchor="ctr" anchorCtr="1"/>
        <a:lstStyle/>
        <a:p>
          <a:pPr>
            <a:defRPr sz="9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title>
    <c:autoTitleDeleted val="0"/>
    <c:plotArea>
      <c:layout>
        <c:manualLayout>
          <c:layoutTarget val="inner"/>
          <c:xMode val="edge"/>
          <c:yMode val="edge"/>
          <c:x val="0.16941182985038264"/>
          <c:y val="0.24875018894889447"/>
          <c:w val="0.22678139916054793"/>
          <c:h val="0.56279781781204041"/>
        </c:manualLayout>
      </c:layout>
      <c:doughnutChart>
        <c:varyColors val="1"/>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6350" cap="flat" cmpd="sng" algn="ctr">
              <a:solidFill>
                <a:schemeClr val="accent6"/>
              </a:solidFill>
              <a:prstDash val="solid"/>
              <a:miter lim="800000"/>
            </a:ln>
            <a:effectLst/>
          </c:spPr>
          <c:dPt>
            <c:idx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c:spPr>
            <c:extLst>
              <c:ext xmlns:c16="http://schemas.microsoft.com/office/drawing/2014/chart" uri="{C3380CC4-5D6E-409C-BE32-E72D297353CC}">
                <c16:uniqueId val="{00000001-0B79-488B-90AA-DBE79C48C3EF}"/>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6350" cap="flat" cmpd="sng" algn="ctr">
                <a:solidFill>
                  <a:schemeClr val="accent6"/>
                </a:solidFill>
                <a:prstDash val="solid"/>
                <a:miter lim="800000"/>
              </a:ln>
              <a:effectLst/>
            </c:spPr>
            <c:extLst>
              <c:ext xmlns:c16="http://schemas.microsoft.com/office/drawing/2014/chart" uri="{C3380CC4-5D6E-409C-BE32-E72D297353CC}">
                <c16:uniqueId val="{00000003-0B79-488B-90AA-DBE79C48C3EF}"/>
              </c:ext>
            </c:extLst>
          </c:dPt>
          <c:dLbls>
            <c:dLbl>
              <c:idx val="0"/>
              <c:tx>
                <c:rich>
                  <a:bodyPr/>
                  <a:lstStyle/>
                  <a:p>
                    <a:r>
                      <a:rPr lang="en-US"/>
                      <a:t>63.9</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0B79-488B-90AA-DBE79C48C3EF}"/>
                </c:ext>
              </c:extLst>
            </c:dLbl>
            <c:dLbl>
              <c:idx val="1"/>
              <c:tx>
                <c:rich>
                  <a:bodyPr/>
                  <a:lstStyle/>
                  <a:p>
                    <a:r>
                      <a:rPr lang="en-US"/>
                      <a:t>36.1</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0B79-488B-90AA-DBE79C48C3EF}"/>
                </c:ext>
              </c:extLst>
            </c:dLbl>
            <c:spPr>
              <a:noFill/>
              <a:ln w="25400">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showLegendKey val="0"/>
            <c:showVal val="0"/>
            <c:showCatName val="1"/>
            <c:showSerName val="0"/>
            <c:showPercent val="1"/>
            <c:showBubbleSize val="0"/>
            <c:showLeaderLines val="0"/>
            <c:extLst>
              <c:ext xmlns:c15="http://schemas.microsoft.com/office/drawing/2012/chart" uri="{CE6537A1-D6FC-4f65-9D91-7224C49458BB}"/>
            </c:extLst>
          </c:dLbls>
          <c:cat>
            <c:strRef>
              <c:f>Hoja1!$I$12:$J$12</c:f>
              <c:strCache>
                <c:ptCount val="2"/>
                <c:pt idx="0">
                  <c:v>Hombres</c:v>
                </c:pt>
                <c:pt idx="1">
                  <c:v>Mujeres</c:v>
                </c:pt>
              </c:strCache>
            </c:strRef>
          </c:cat>
          <c:val>
            <c:numRef>
              <c:f>Hoja1!$I$11:$J$11</c:f>
              <c:numCache>
                <c:formatCode>0.0</c:formatCode>
                <c:ptCount val="2"/>
                <c:pt idx="0">
                  <c:v>63.91576860195228</c:v>
                </c:pt>
                <c:pt idx="1">
                  <c:v>36.08423139804772</c:v>
                </c:pt>
              </c:numCache>
            </c:numRef>
          </c:val>
          <c:extLst>
            <c:ext xmlns:c16="http://schemas.microsoft.com/office/drawing/2014/chart" uri="{C3380CC4-5D6E-409C-BE32-E72D297353CC}">
              <c16:uniqueId val="{00000004-0B79-488B-90AA-DBE79C48C3EF}"/>
            </c:ext>
          </c:extLst>
        </c:ser>
        <c:dLbls>
          <c:showLegendKey val="0"/>
          <c:showVal val="0"/>
          <c:showCatName val="0"/>
          <c:showSerName val="0"/>
          <c:showPercent val="0"/>
          <c:showBubbleSize val="0"/>
          <c:showLeaderLines val="0"/>
        </c:dLbls>
        <c:firstSliceAng val="0"/>
        <c:holeSize val="50"/>
      </c:doughnutChart>
      <c:spPr>
        <a:noFill/>
        <a:ln w="25400">
          <a:noFill/>
        </a:ln>
        <a:effectLst/>
      </c:spPr>
    </c:plotArea>
    <c:legend>
      <c:legendPos val="b"/>
      <c:layout>
        <c:manualLayout>
          <c:xMode val="edge"/>
          <c:yMode val="edge"/>
          <c:x val="0.19023511301593629"/>
          <c:y val="0.88364870621538805"/>
          <c:w val="0.64203329014252963"/>
          <c:h val="0.10937049099229089"/>
        </c:manualLayout>
      </c:layout>
      <c:overlay val="0"/>
      <c:spPr>
        <a:noFill/>
        <a:ln>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legend>
    <c:plotVisOnly val="1"/>
    <c:dispBlanksAs val="zero"/>
    <c:showDLblsOverMax val="0"/>
  </c:chart>
  <c:spPr>
    <a:noFill/>
    <a:ln w="12700" cap="flat" cmpd="sng" algn="ctr">
      <a:noFill/>
      <a:prstDash val="solid"/>
      <a:round/>
    </a:ln>
    <a:effectLst/>
  </c:spPr>
  <c:txPr>
    <a:bodyPr/>
    <a:lstStyle/>
    <a:p>
      <a:pPr>
        <a:defRPr sz="800" b="1" i="0" u="none" strike="noStrike" baseline="0">
          <a:solidFill>
            <a:srgbClr val="000000"/>
          </a:solidFill>
          <a:latin typeface="Arial" panose="020B0604020202020204" pitchFamily="34" charset="0"/>
          <a:ea typeface="Calibri"/>
          <a:cs typeface="Arial" panose="020B0604020202020204" pitchFamily="34" charset="0"/>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rot="0" spcFirstLastPara="1" vertOverflow="ellipsis" vert="horz" wrap="square" anchor="ctr" anchorCtr="1"/>
          <a:lstStyle/>
          <a:p>
            <a:pPr>
              <a:defRPr sz="900" b="1" i="0" u="none" strike="noStrike" kern="1200" baseline="0">
                <a:solidFill>
                  <a:srgbClr val="000000"/>
                </a:solidFill>
                <a:latin typeface="Arial" panose="020B0604020202020204" pitchFamily="34" charset="0"/>
                <a:ea typeface="Calibri"/>
                <a:cs typeface="Arial" panose="020B0604020202020204" pitchFamily="34" charset="0"/>
              </a:defRPr>
            </a:pPr>
            <a:r>
              <a:rPr lang="es-MX" sz="900">
                <a:latin typeface="Arial" panose="020B0604020202020204" pitchFamily="34" charset="0"/>
                <a:cs typeface="Arial" panose="020B0604020202020204" pitchFamily="34" charset="0"/>
              </a:rPr>
              <a:t>2020p/</a:t>
            </a:r>
          </a:p>
        </c:rich>
      </c:tx>
      <c:layout>
        <c:manualLayout>
          <c:xMode val="edge"/>
          <c:yMode val="edge"/>
          <c:x val="0.37037037037037035"/>
          <c:y val="3.3755274261603373E-2"/>
        </c:manualLayout>
      </c:layout>
      <c:overlay val="0"/>
      <c:spPr>
        <a:noFill/>
        <a:ln w="25400">
          <a:noFill/>
        </a:ln>
        <a:effectLst/>
      </c:spPr>
      <c:txPr>
        <a:bodyPr rot="0" spcFirstLastPara="1" vertOverflow="ellipsis" vert="horz" wrap="square" anchor="ctr" anchorCtr="1"/>
        <a:lstStyle/>
        <a:p>
          <a:pPr>
            <a:defRPr sz="9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title>
    <c:autoTitleDeleted val="0"/>
    <c:plotArea>
      <c:layout>
        <c:manualLayout>
          <c:layoutTarget val="inner"/>
          <c:xMode val="edge"/>
          <c:yMode val="edge"/>
          <c:x val="0.19508097427291954"/>
          <c:y val="0.26808014768879279"/>
          <c:w val="0.60382778445254237"/>
          <c:h val="0.62025315164619965"/>
        </c:manualLayout>
      </c:layout>
      <c:doughnutChart>
        <c:varyColors val="1"/>
        <c:ser>
          <c:idx val="0"/>
          <c:order val="0"/>
          <c:dPt>
            <c:idx val="0"/>
            <c:bubble3D val="0"/>
            <c:spPr>
              <a:gradFill rotWithShape="1">
                <a:gsLst>
                  <a:gs pos="0">
                    <a:schemeClr val="accent6">
                      <a:lumMod val="110000"/>
                      <a:satMod val="105000"/>
                      <a:tint val="67000"/>
                    </a:schemeClr>
                  </a:gs>
                  <a:gs pos="50000">
                    <a:schemeClr val="accent6">
                      <a:lumMod val="105000"/>
                      <a:satMod val="103000"/>
                      <a:tint val="73000"/>
                    </a:schemeClr>
                  </a:gs>
                  <a:gs pos="100000">
                    <a:schemeClr val="accent6">
                      <a:lumMod val="105000"/>
                      <a:satMod val="109000"/>
                      <a:tint val="81000"/>
                    </a:schemeClr>
                  </a:gs>
                </a:gsLst>
                <a:lin ang="5400000" scaled="0"/>
              </a:gradFill>
              <a:ln w="6350" cap="flat" cmpd="sng" algn="ctr">
                <a:solidFill>
                  <a:schemeClr val="accent6"/>
                </a:solidFill>
                <a:prstDash val="solid"/>
                <a:miter lim="800000"/>
              </a:ln>
              <a:effectLst/>
            </c:spPr>
            <c:extLst>
              <c:ext xmlns:c16="http://schemas.microsoft.com/office/drawing/2014/chart" uri="{C3380CC4-5D6E-409C-BE32-E72D297353CC}">
                <c16:uniqueId val="{00000001-55D3-4986-97AB-B77A85903258}"/>
              </c:ext>
            </c:extLst>
          </c:dPt>
          <c:dPt>
            <c:idx val="1"/>
            <c:bubble3D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w="6350" cap="flat" cmpd="sng" algn="ctr">
                <a:solidFill>
                  <a:schemeClr val="accent6"/>
                </a:solidFill>
                <a:prstDash val="solid"/>
                <a:miter lim="800000"/>
              </a:ln>
              <a:effectLst/>
            </c:spPr>
            <c:extLst>
              <c:ext xmlns:c16="http://schemas.microsoft.com/office/drawing/2014/chart" uri="{C3380CC4-5D6E-409C-BE32-E72D297353CC}">
                <c16:uniqueId val="{00000003-55D3-4986-97AB-B77A85903258}"/>
              </c:ext>
            </c:extLst>
          </c:dPt>
          <c:dLbls>
            <c:dLbl>
              <c:idx val="0"/>
              <c:tx>
                <c:rich>
                  <a:bodyPr/>
                  <a:lstStyle/>
                  <a:p>
                    <a:r>
                      <a:rPr lang="en-US"/>
                      <a:t>63.6</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5D3-4986-97AB-B77A85903258}"/>
                </c:ext>
              </c:extLst>
            </c:dLbl>
            <c:dLbl>
              <c:idx val="1"/>
              <c:tx>
                <c:rich>
                  <a:bodyPr/>
                  <a:lstStyle/>
                  <a:p>
                    <a:r>
                      <a:rPr lang="en-US"/>
                      <a:t>36.4</a:t>
                    </a:r>
                  </a:p>
                </c:rich>
              </c:tx>
              <c:showLegendKey val="0"/>
              <c:showVal val="0"/>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5D3-4986-97AB-B77A85903258}"/>
                </c:ext>
              </c:extLst>
            </c:dLbl>
            <c:spPr>
              <a:noFill/>
              <a:ln w="25400">
                <a:noFill/>
              </a:ln>
              <a:effectLst/>
            </c:spPr>
            <c:txPr>
              <a:bodyPr rot="0" spcFirstLastPara="1" vertOverflow="ellipsis" vert="horz" wrap="square" anchor="ctr" anchorCtr="1"/>
              <a:lstStyle/>
              <a:p>
                <a:pPr>
                  <a:defRPr sz="800" b="1" i="0" u="none" strike="noStrike" kern="1200" baseline="0">
                    <a:solidFill>
                      <a:srgbClr val="000000"/>
                    </a:solidFill>
                    <a:latin typeface="Arial" panose="020B0604020202020204" pitchFamily="34" charset="0"/>
                    <a:ea typeface="Calibri"/>
                    <a:cs typeface="Arial" panose="020B0604020202020204" pitchFamily="34" charset="0"/>
                  </a:defRPr>
                </a:pPr>
                <a:endParaRPr lang="es-MX"/>
              </a:p>
            </c:txPr>
            <c:showLegendKey val="0"/>
            <c:showVal val="0"/>
            <c:showCatName val="1"/>
            <c:showSerName val="0"/>
            <c:showPercent val="1"/>
            <c:showBubbleSize val="0"/>
            <c:showLeaderLines val="0"/>
            <c:extLst>
              <c:ext xmlns:c15="http://schemas.microsoft.com/office/drawing/2012/chart" uri="{CE6537A1-D6FC-4f65-9D91-7224C49458BB}"/>
            </c:extLst>
          </c:dLbls>
          <c:cat>
            <c:strRef>
              <c:f>hm!$I$12:$J$12</c:f>
              <c:strCache>
                <c:ptCount val="2"/>
                <c:pt idx="0">
                  <c:v>Hombres</c:v>
                </c:pt>
                <c:pt idx="1">
                  <c:v>Mujeres</c:v>
                </c:pt>
              </c:strCache>
            </c:strRef>
          </c:cat>
          <c:val>
            <c:numRef>
              <c:f>hm!$I$13:$J$13</c:f>
              <c:numCache>
                <c:formatCode>0.0</c:formatCode>
                <c:ptCount val="2"/>
                <c:pt idx="0">
                  <c:v>63.571451976118595</c:v>
                </c:pt>
                <c:pt idx="1">
                  <c:v>36.428548023881405</c:v>
                </c:pt>
              </c:numCache>
            </c:numRef>
          </c:val>
          <c:extLst>
            <c:ext xmlns:c16="http://schemas.microsoft.com/office/drawing/2014/chart" uri="{C3380CC4-5D6E-409C-BE32-E72D297353CC}">
              <c16:uniqueId val="{00000004-55D3-4986-97AB-B77A85903258}"/>
            </c:ext>
          </c:extLst>
        </c:ser>
        <c:dLbls>
          <c:showLegendKey val="0"/>
          <c:showVal val="0"/>
          <c:showCatName val="0"/>
          <c:showSerName val="0"/>
          <c:showPercent val="0"/>
          <c:showBubbleSize val="0"/>
          <c:showLeaderLines val="0"/>
        </c:dLbls>
        <c:firstSliceAng val="0"/>
        <c:holeSize val="50"/>
      </c:doughnutChart>
      <c:spPr>
        <a:noFill/>
        <a:ln w="25400">
          <a:noFill/>
        </a:ln>
        <a:effectLst/>
      </c:spPr>
    </c:plotArea>
    <c:plotVisOnly val="1"/>
    <c:dispBlanksAs val="zero"/>
    <c:showDLblsOverMax val="0"/>
  </c:chart>
  <c:spPr>
    <a:noFill/>
    <a:ln w="12700" cap="flat" cmpd="sng" algn="ctr">
      <a:noFill/>
      <a:prstDash val="solid"/>
      <a:round/>
    </a:ln>
    <a:effectLst/>
  </c:spPr>
  <c:txPr>
    <a:bodyPr/>
    <a:lstStyle/>
    <a:p>
      <a:pPr>
        <a:defRPr sz="800" b="1" i="0" u="none" strike="noStrike" baseline="0">
          <a:solidFill>
            <a:srgbClr val="000000"/>
          </a:solidFill>
          <a:latin typeface="Calibri"/>
          <a:ea typeface="Calibri"/>
          <a:cs typeface="Calibri"/>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38806807470889343"/>
          <c:y val="6.7073170731707321E-2"/>
          <c:w val="0.57822084221516512"/>
          <c:h val="0.78813286270250704"/>
        </c:manualLayout>
      </c:layout>
      <c:barChart>
        <c:barDir val="bar"/>
        <c:grouping val="clustered"/>
        <c:varyColors val="0"/>
        <c:ser>
          <c:idx val="0"/>
          <c:order val="0"/>
          <c:tx>
            <c:strRef>
              <c:f>vp!$R$3</c:f>
              <c:strCache>
                <c:ptCount val="1"/>
                <c:pt idx="0">
                  <c:v>2020 p/</c:v>
                </c:pt>
              </c:strCache>
            </c:strRef>
          </c:tx>
          <c:spPr>
            <a:solidFill>
              <a:schemeClr val="accent6">
                <a:lumMod val="75000"/>
              </a:schemeClr>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vp!$Q$4:$Q$9</c:f>
              <c:strCache>
                <c:ptCount val="6"/>
                <c:pt idx="0">
                  <c:v>Resto de subsectores</c:v>
                </c:pt>
                <c:pt idx="1">
                  <c:v>312 Industria de las bebidas y del tabaco</c:v>
                </c:pt>
                <c:pt idx="2">
                  <c:v>331 Industrias metálicas básicas</c:v>
                </c:pt>
                <c:pt idx="3">
                  <c:v>325 Industria química</c:v>
                </c:pt>
                <c:pt idx="4">
                  <c:v>311 Industria alimentaria</c:v>
                </c:pt>
                <c:pt idx="5">
                  <c:v>336 Fabricación de equipo de transporte</c:v>
                </c:pt>
              </c:strCache>
            </c:strRef>
          </c:cat>
          <c:val>
            <c:numRef>
              <c:f>vp!$R$4:$R$9</c:f>
              <c:numCache>
                <c:formatCode>0.0</c:formatCode>
                <c:ptCount val="6"/>
                <c:pt idx="0">
                  <c:v>27.672917744027647</c:v>
                </c:pt>
                <c:pt idx="1">
                  <c:v>6.3036139753274583</c:v>
                </c:pt>
                <c:pt idx="2">
                  <c:v>7.116188189538275</c:v>
                </c:pt>
                <c:pt idx="3">
                  <c:v>9.5405505367659433</c:v>
                </c:pt>
                <c:pt idx="4">
                  <c:v>16.710346921300566</c:v>
                </c:pt>
                <c:pt idx="5">
                  <c:v>32.656382633040103</c:v>
                </c:pt>
              </c:numCache>
            </c:numRef>
          </c:val>
          <c:extLst>
            <c:ext xmlns:c16="http://schemas.microsoft.com/office/drawing/2014/chart" uri="{C3380CC4-5D6E-409C-BE32-E72D297353CC}">
              <c16:uniqueId val="{00000000-42A6-4B28-982C-4F1183515B91}"/>
            </c:ext>
          </c:extLst>
        </c:ser>
        <c:ser>
          <c:idx val="1"/>
          <c:order val="1"/>
          <c:tx>
            <c:strRef>
              <c:f>vp!$S$3</c:f>
              <c:strCache>
                <c:ptCount val="1"/>
                <c:pt idx="0">
                  <c:v>2019</c:v>
                </c:pt>
              </c:strCache>
            </c:strRef>
          </c:tx>
          <c:spPr>
            <a:solidFill>
              <a:srgbClr val="97BB77"/>
            </a:solidFill>
            <a:ln w="19050">
              <a:solidFill>
                <a:schemeClr val="lt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solidFill>
                    <a:latin typeface="+mn-lt"/>
                    <a:ea typeface="+mn-ea"/>
                    <a:cs typeface="+mn-cs"/>
                  </a:defRPr>
                </a:pPr>
                <a:endParaRPr lang="es-MX"/>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vp!$S$4:$S$9</c:f>
              <c:numCache>
                <c:formatCode>0.0</c:formatCode>
                <c:ptCount val="6"/>
                <c:pt idx="0">
                  <c:v>28.892347281343373</c:v>
                </c:pt>
                <c:pt idx="1">
                  <c:v>6.0772088939297388</c:v>
                </c:pt>
                <c:pt idx="2">
                  <c:v>6.8325705483281167</c:v>
                </c:pt>
                <c:pt idx="3">
                  <c:v>9.6053119675744885</c:v>
                </c:pt>
                <c:pt idx="4">
                  <c:v>15.072204083645216</c:v>
                </c:pt>
                <c:pt idx="5">
                  <c:v>33.520357225179062</c:v>
                </c:pt>
              </c:numCache>
            </c:numRef>
          </c:val>
          <c:extLst>
            <c:ext xmlns:c16="http://schemas.microsoft.com/office/drawing/2014/chart" uri="{C3380CC4-5D6E-409C-BE32-E72D297353CC}">
              <c16:uniqueId val="{00000001-42A6-4B28-982C-4F1183515B91}"/>
            </c:ext>
          </c:extLst>
        </c:ser>
        <c:dLbls>
          <c:dLblPos val="outEnd"/>
          <c:showLegendKey val="0"/>
          <c:showVal val="1"/>
          <c:showCatName val="0"/>
          <c:showSerName val="0"/>
          <c:showPercent val="0"/>
          <c:showBubbleSize val="0"/>
        </c:dLbls>
        <c:gapWidth val="50"/>
        <c:axId val="363633664"/>
        <c:axId val="363634976"/>
      </c:barChart>
      <c:valAx>
        <c:axId val="363634976"/>
        <c:scaling>
          <c:orientation val="minMax"/>
          <c:max val="35"/>
        </c:scaling>
        <c:delete val="0"/>
        <c:axPos val="b"/>
        <c:majorGridlines>
          <c:spPr>
            <a:ln w="9525" cap="flat" cmpd="sng" algn="ctr">
              <a:solidFill>
                <a:schemeClr val="tx1">
                  <a:lumMod val="15000"/>
                  <a:lumOff val="85000"/>
                </a:schemeClr>
              </a:solidFill>
              <a:round/>
            </a:ln>
            <a:effectLst/>
          </c:spPr>
        </c:majorGridlines>
        <c:numFmt formatCode="0.0" sourceLinked="1"/>
        <c:majorTickMark val="out"/>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63633664"/>
        <c:crosses val="autoZero"/>
        <c:crossBetween val="between"/>
      </c:valAx>
      <c:catAx>
        <c:axId val="363633664"/>
        <c:scaling>
          <c:orientation val="minMax"/>
        </c:scaling>
        <c:delete val="0"/>
        <c:axPos val="l"/>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chemeClr val="tx1"/>
                </a:solidFill>
                <a:latin typeface="Arial" panose="020B0604020202020204" pitchFamily="34" charset="0"/>
                <a:ea typeface="+mn-ea"/>
                <a:cs typeface="Arial" panose="020B0604020202020204" pitchFamily="34" charset="0"/>
              </a:defRPr>
            </a:pPr>
            <a:endParaRPr lang="es-MX"/>
          </a:p>
        </c:txPr>
        <c:crossAx val="363634976"/>
        <c:crosses val="autoZero"/>
        <c:auto val="1"/>
        <c:lblAlgn val="ctr"/>
        <c:lblOffset val="100"/>
        <c:noMultiLvlLbl val="0"/>
      </c:catAx>
      <c:spPr>
        <a:noFill/>
        <a:ln>
          <a:noFill/>
        </a:ln>
        <a:effectLst/>
      </c:spPr>
    </c:plotArea>
    <c:legend>
      <c:legendPos val="r"/>
      <c:legendEntry>
        <c:idx val="1"/>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Entry>
      <c:layout>
        <c:manualLayout>
          <c:xMode val="edge"/>
          <c:yMode val="edge"/>
          <c:x val="0.37648109076144481"/>
          <c:y val="0.92856467654186903"/>
          <c:w val="0.27130896448717384"/>
          <c:h val="5.81587336185053E-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showDLblsOverMax val="0"/>
  </c:chart>
  <c:spPr>
    <a:solidFill>
      <a:schemeClr val="bg1"/>
    </a:solidFill>
    <a:ln w="9525" cap="flat" cmpd="sng" algn="ctr">
      <a:noFill/>
      <a:round/>
    </a:ln>
    <a:effectLst/>
  </c:spPr>
  <c:txPr>
    <a:bodyPr/>
    <a:lstStyle/>
    <a:p>
      <a:pPr>
        <a:defRPr b="1">
          <a:solidFill>
            <a:schemeClr val="tx1"/>
          </a:solidFill>
        </a:defRPr>
      </a:pPr>
      <a:endParaRPr lang="es-MX"/>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9.9555958646530412E-2"/>
          <c:y val="1.8648018648018648E-2"/>
          <c:w val="0.86125846834590702"/>
          <c:h val="0.45524519961320625"/>
        </c:manualLayout>
      </c:layout>
      <c:barChart>
        <c:barDir val="bar"/>
        <c:grouping val="stacked"/>
        <c:varyColors val="0"/>
        <c:ser>
          <c:idx val="0"/>
          <c:order val="0"/>
          <c:tx>
            <c:strRef>
              <c:f>activos!$B$50</c:f>
              <c:strCache>
                <c:ptCount val="1"/>
                <c:pt idx="0">
                  <c:v>Maquinaria y equipo de producción</c:v>
                </c:pt>
              </c:strCache>
            </c:strRef>
          </c:tx>
          <c:spPr>
            <a:solidFill>
              <a:schemeClr val="accent6">
                <a:lumMod val="75000"/>
              </a:schemeClr>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activos!$A$51:$A$52</c:f>
              <c:strCache>
                <c:ptCount val="2"/>
                <c:pt idx="0">
                  <c:v>2020/p</c:v>
                </c:pt>
                <c:pt idx="1">
                  <c:v>2019</c:v>
                </c:pt>
              </c:strCache>
            </c:strRef>
          </c:cat>
          <c:val>
            <c:numRef>
              <c:f>activos!$B$51:$B$52</c:f>
              <c:numCache>
                <c:formatCode>0.0</c:formatCode>
                <c:ptCount val="2"/>
                <c:pt idx="0">
                  <c:v>70.168894445853994</c:v>
                </c:pt>
                <c:pt idx="1">
                  <c:v>69.993101360649035</c:v>
                </c:pt>
              </c:numCache>
            </c:numRef>
          </c:val>
          <c:extLst>
            <c:ext xmlns:c16="http://schemas.microsoft.com/office/drawing/2014/chart" uri="{C3380CC4-5D6E-409C-BE32-E72D297353CC}">
              <c16:uniqueId val="{00000000-6D34-46C7-90E0-2C20D3A6F5FB}"/>
            </c:ext>
          </c:extLst>
        </c:ser>
        <c:ser>
          <c:idx val="1"/>
          <c:order val="1"/>
          <c:tx>
            <c:strRef>
              <c:f>activos!$C$50</c:f>
              <c:strCache>
                <c:ptCount val="1"/>
                <c:pt idx="0">
                  <c:v>Bienes inmuebles</c:v>
                </c:pt>
              </c:strCache>
            </c:strRef>
          </c:tx>
          <c:spPr>
            <a:solidFill>
              <a:srgbClr val="68A141"/>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activos!$A$51:$A$52</c:f>
              <c:strCache>
                <c:ptCount val="2"/>
                <c:pt idx="0">
                  <c:v>2020/p</c:v>
                </c:pt>
                <c:pt idx="1">
                  <c:v>2019</c:v>
                </c:pt>
              </c:strCache>
            </c:strRef>
          </c:cat>
          <c:val>
            <c:numRef>
              <c:f>activos!$C$51:$C$52</c:f>
              <c:numCache>
                <c:formatCode>0.0</c:formatCode>
                <c:ptCount val="2"/>
                <c:pt idx="0">
                  <c:v>22.389732783759328</c:v>
                </c:pt>
                <c:pt idx="1">
                  <c:v>22.615851675380974</c:v>
                </c:pt>
              </c:numCache>
            </c:numRef>
          </c:val>
          <c:extLst>
            <c:ext xmlns:c16="http://schemas.microsoft.com/office/drawing/2014/chart" uri="{C3380CC4-5D6E-409C-BE32-E72D297353CC}">
              <c16:uniqueId val="{00000001-6D34-46C7-90E0-2C20D3A6F5FB}"/>
            </c:ext>
          </c:extLst>
        </c:ser>
        <c:ser>
          <c:idx val="2"/>
          <c:order val="2"/>
          <c:tx>
            <c:strRef>
              <c:f>activos!$D$50</c:f>
              <c:strCache>
                <c:ptCount val="1"/>
                <c:pt idx="0">
                  <c:v>Unidades y equipo de transporte</c:v>
                </c:pt>
              </c:strCache>
            </c:strRef>
          </c:tx>
          <c:spPr>
            <a:solidFill>
              <a:schemeClr val="accent6"/>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activos!$A$51:$A$52</c:f>
              <c:strCache>
                <c:ptCount val="2"/>
                <c:pt idx="0">
                  <c:v>2020/p</c:v>
                </c:pt>
                <c:pt idx="1">
                  <c:v>2019</c:v>
                </c:pt>
              </c:strCache>
            </c:strRef>
          </c:cat>
          <c:val>
            <c:numRef>
              <c:f>activos!$D$51:$D$52</c:f>
              <c:numCache>
                <c:formatCode>0.0</c:formatCode>
                <c:ptCount val="2"/>
                <c:pt idx="0">
                  <c:v>2.4622801957269571</c:v>
                </c:pt>
                <c:pt idx="1">
                  <c:v>2.4857070575784213</c:v>
                </c:pt>
              </c:numCache>
            </c:numRef>
          </c:val>
          <c:extLst>
            <c:ext xmlns:c16="http://schemas.microsoft.com/office/drawing/2014/chart" uri="{C3380CC4-5D6E-409C-BE32-E72D297353CC}">
              <c16:uniqueId val="{00000002-6D34-46C7-90E0-2C20D3A6F5FB}"/>
            </c:ext>
          </c:extLst>
        </c:ser>
        <c:ser>
          <c:idx val="3"/>
          <c:order val="3"/>
          <c:tx>
            <c:strRef>
              <c:f>activos!$E$50</c:f>
              <c:strCache>
                <c:ptCount val="1"/>
                <c:pt idx="0">
                  <c:v>Equipo de cómputo y periféricos</c:v>
                </c:pt>
              </c:strCache>
            </c:strRef>
          </c:tx>
          <c:spPr>
            <a:solidFill>
              <a:srgbClr val="9CCA7C"/>
            </a:solidFill>
            <a:ln>
              <a:noFill/>
            </a:ln>
            <a:effectLst/>
          </c:spPr>
          <c:invertIfNegative val="0"/>
          <c:dLbls>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activos!$A$51:$A$52</c:f>
              <c:strCache>
                <c:ptCount val="2"/>
                <c:pt idx="0">
                  <c:v>2020/p</c:v>
                </c:pt>
                <c:pt idx="1">
                  <c:v>2019</c:v>
                </c:pt>
              </c:strCache>
            </c:strRef>
          </c:cat>
          <c:val>
            <c:numRef>
              <c:f>activos!$E$51:$E$52</c:f>
              <c:numCache>
                <c:formatCode>0.0</c:formatCode>
                <c:ptCount val="2"/>
                <c:pt idx="0">
                  <c:v>1.5558309357823297</c:v>
                </c:pt>
                <c:pt idx="1">
                  <c:v>1.5307428975190829</c:v>
                </c:pt>
              </c:numCache>
            </c:numRef>
          </c:val>
          <c:extLst>
            <c:ext xmlns:c16="http://schemas.microsoft.com/office/drawing/2014/chart" uri="{C3380CC4-5D6E-409C-BE32-E72D297353CC}">
              <c16:uniqueId val="{00000003-6D34-46C7-90E0-2C20D3A6F5FB}"/>
            </c:ext>
          </c:extLst>
        </c:ser>
        <c:ser>
          <c:idx val="4"/>
          <c:order val="4"/>
          <c:tx>
            <c:strRef>
              <c:f>activos!$F$50</c:f>
              <c:strCache>
                <c:ptCount val="1"/>
                <c:pt idx="0">
                  <c:v>Mobiliario, equipo de oficina y otros activos</c:v>
                </c:pt>
              </c:strCache>
            </c:strRef>
          </c:tx>
          <c:spPr>
            <a:solidFill>
              <a:schemeClr val="accent6">
                <a:lumMod val="40000"/>
                <a:lumOff val="60000"/>
              </a:schemeClr>
            </a:solidFill>
            <a:ln>
              <a:noFill/>
            </a:ln>
            <a:effectLst/>
          </c:spPr>
          <c:invertIfNegative val="0"/>
          <c:dLbls>
            <c:dLbl>
              <c:idx val="0"/>
              <c:tx>
                <c:rich>
                  <a:bodyPr/>
                  <a:lstStyle/>
                  <a:p>
                    <a:r>
                      <a:rPr lang="en-US"/>
                      <a:t>3.3</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FFD-4463-BBD7-19E9E80BCF90}"/>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activos!$A$51:$A$52</c:f>
              <c:strCache>
                <c:ptCount val="2"/>
                <c:pt idx="0">
                  <c:v>2020/p</c:v>
                </c:pt>
                <c:pt idx="1">
                  <c:v>2019</c:v>
                </c:pt>
              </c:strCache>
            </c:strRef>
          </c:cat>
          <c:val>
            <c:numRef>
              <c:f>activos!$F$51:$F$52</c:f>
              <c:numCache>
                <c:formatCode>0.0</c:formatCode>
                <c:ptCount val="2"/>
                <c:pt idx="0">
                  <c:v>3.4232616388773951</c:v>
                </c:pt>
                <c:pt idx="1">
                  <c:v>3.3745970088724833</c:v>
                </c:pt>
              </c:numCache>
            </c:numRef>
          </c:val>
          <c:extLst>
            <c:ext xmlns:c16="http://schemas.microsoft.com/office/drawing/2014/chart" uri="{C3380CC4-5D6E-409C-BE32-E72D297353CC}">
              <c16:uniqueId val="{00000004-6D34-46C7-90E0-2C20D3A6F5FB}"/>
            </c:ext>
          </c:extLst>
        </c:ser>
        <c:dLbls>
          <c:dLblPos val="ctr"/>
          <c:showLegendKey val="0"/>
          <c:showVal val="1"/>
          <c:showCatName val="0"/>
          <c:showSerName val="0"/>
          <c:showPercent val="0"/>
          <c:showBubbleSize val="0"/>
        </c:dLbls>
        <c:gapWidth val="73"/>
        <c:overlap val="100"/>
        <c:axId val="514231512"/>
        <c:axId val="514232496"/>
      </c:barChart>
      <c:catAx>
        <c:axId val="51423151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4232496"/>
        <c:crosses val="autoZero"/>
        <c:auto val="1"/>
        <c:lblAlgn val="ctr"/>
        <c:lblOffset val="100"/>
        <c:noMultiLvlLbl val="0"/>
      </c:catAx>
      <c:valAx>
        <c:axId val="514232496"/>
        <c:scaling>
          <c:orientation val="minMax"/>
          <c:max val="100"/>
          <c:min val="40"/>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514231512"/>
        <c:crosses val="autoZero"/>
        <c:crossBetween val="between"/>
      </c:valAx>
      <c:spPr>
        <a:noFill/>
        <a:ln>
          <a:noFill/>
        </a:ln>
        <a:effectLst/>
      </c:spPr>
    </c:plotArea>
    <c:legend>
      <c:legendPos val="b"/>
      <c:layout>
        <c:manualLayout>
          <c:xMode val="edge"/>
          <c:yMode val="edge"/>
          <c:x val="0.11386367280006229"/>
          <c:y val="0.58134233220847398"/>
          <c:w val="0.80950341940241766"/>
          <c:h val="0.34557274746251126"/>
        </c:manualLayout>
      </c:layout>
      <c:overlay val="0"/>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showDLblsOverMax val="0"/>
  </c:chart>
  <c:spPr>
    <a:solidFill>
      <a:schemeClr val="bg1"/>
    </a:solidFill>
    <a:ln w="9525" cap="flat" cmpd="sng" algn="ctr">
      <a:noFill/>
      <a:round/>
    </a:ln>
    <a:effectLst/>
  </c:spPr>
  <c:txPr>
    <a:bodyPr/>
    <a:lstStyle/>
    <a:p>
      <a:pPr>
        <a:defRPr b="1">
          <a:solidFill>
            <a:sysClr val="windowText" lastClr="000000"/>
          </a:solidFill>
        </a:defRPr>
      </a:pPr>
      <a:endParaRPr lang="es-MX"/>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9.5632852410760263E-2"/>
          <c:y val="3.5502958579881658E-2"/>
          <c:w val="0.87947463797167924"/>
          <c:h val="0.74024227740763171"/>
        </c:manualLayout>
      </c:layout>
      <c:barChart>
        <c:barDir val="bar"/>
        <c:grouping val="percentStacked"/>
        <c:varyColors val="0"/>
        <c:ser>
          <c:idx val="0"/>
          <c:order val="0"/>
          <c:tx>
            <c:strRef>
              <c:f>Hoja1!$B$27</c:f>
              <c:strCache>
                <c:ptCount val="1"/>
                <c:pt idx="0">
                  <c:v>No</c:v>
                </c:pt>
              </c:strCache>
            </c:strRef>
          </c:tx>
          <c:spPr>
            <a:solidFill>
              <a:srgbClr val="04AC68"/>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Hoja1!$A$28:$A$29</c:f>
              <c:strCache>
                <c:ptCount val="2"/>
                <c:pt idx="0">
                  <c:v>2019</c:v>
                </c:pt>
                <c:pt idx="1">
                  <c:v>2020p/</c:v>
                </c:pt>
              </c:strCache>
            </c:strRef>
          </c:cat>
          <c:val>
            <c:numRef>
              <c:f>Hoja1!$B$28:$B$29</c:f>
              <c:numCache>
                <c:formatCode>0.0</c:formatCode>
                <c:ptCount val="2"/>
                <c:pt idx="0" formatCode="###,###,###,###,##0.0">
                  <c:v>92.3</c:v>
                </c:pt>
                <c:pt idx="1">
                  <c:v>93.9</c:v>
                </c:pt>
              </c:numCache>
            </c:numRef>
          </c:val>
          <c:extLst>
            <c:ext xmlns:c16="http://schemas.microsoft.com/office/drawing/2014/chart" uri="{C3380CC4-5D6E-409C-BE32-E72D297353CC}">
              <c16:uniqueId val="{00000000-4635-400B-A01C-028450880A98}"/>
            </c:ext>
          </c:extLst>
        </c:ser>
        <c:ser>
          <c:idx val="1"/>
          <c:order val="1"/>
          <c:tx>
            <c:strRef>
              <c:f>Hoja1!$C$27</c:f>
              <c:strCache>
                <c:ptCount val="1"/>
                <c:pt idx="0">
                  <c:v>Sí</c:v>
                </c:pt>
              </c:strCache>
            </c:strRef>
          </c:tx>
          <c:spPr>
            <a:solidFill>
              <a:srgbClr val="96DEAC"/>
            </a:solidFill>
            <a:ln>
              <a:noFill/>
            </a:ln>
            <a:effectLst/>
          </c:spPr>
          <c:invertIfNegative val="0"/>
          <c:dLbls>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Hoja1!$A$28:$A$29</c:f>
              <c:strCache>
                <c:ptCount val="2"/>
                <c:pt idx="0">
                  <c:v>2019</c:v>
                </c:pt>
                <c:pt idx="1">
                  <c:v>2020p/</c:v>
                </c:pt>
              </c:strCache>
            </c:strRef>
          </c:cat>
          <c:val>
            <c:numRef>
              <c:f>Hoja1!$C$28:$C$29</c:f>
              <c:numCache>
                <c:formatCode>0.0</c:formatCode>
                <c:ptCount val="2"/>
                <c:pt idx="0" formatCode="###,###,###,###,##0.0">
                  <c:v>7.7</c:v>
                </c:pt>
                <c:pt idx="1">
                  <c:v>6.1</c:v>
                </c:pt>
              </c:numCache>
            </c:numRef>
          </c:val>
          <c:extLst>
            <c:ext xmlns:c16="http://schemas.microsoft.com/office/drawing/2014/chart" uri="{C3380CC4-5D6E-409C-BE32-E72D297353CC}">
              <c16:uniqueId val="{00000001-4635-400B-A01C-028450880A98}"/>
            </c:ext>
          </c:extLst>
        </c:ser>
        <c:dLbls>
          <c:dLblPos val="ctr"/>
          <c:showLegendKey val="0"/>
          <c:showVal val="1"/>
          <c:showCatName val="0"/>
          <c:showSerName val="0"/>
          <c:showPercent val="0"/>
          <c:showBubbleSize val="0"/>
        </c:dLbls>
        <c:gapWidth val="50"/>
        <c:overlap val="100"/>
        <c:axId val="2067109488"/>
        <c:axId val="2065607248"/>
      </c:barChart>
      <c:catAx>
        <c:axId val="2067109488"/>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2065607248"/>
        <c:crosses val="autoZero"/>
        <c:auto val="1"/>
        <c:lblAlgn val="ctr"/>
        <c:lblOffset val="100"/>
        <c:noMultiLvlLbl val="0"/>
      </c:catAx>
      <c:valAx>
        <c:axId val="2065607248"/>
        <c:scaling>
          <c:orientation val="minMax"/>
          <c:min val="0"/>
        </c:scaling>
        <c:delete val="1"/>
        <c:axPos val="b"/>
        <c:numFmt formatCode="0%" sourceLinked="1"/>
        <c:majorTickMark val="none"/>
        <c:minorTickMark val="none"/>
        <c:tickLblPos val="nextTo"/>
        <c:crossAx val="2067109488"/>
        <c:crosses val="autoZero"/>
        <c:crossBetween val="between"/>
      </c:valAx>
      <c:spPr>
        <a:noFill/>
        <a:ln>
          <a:noFill/>
        </a:ln>
        <a:effectLst/>
      </c:spPr>
    </c:plotArea>
    <c:legend>
      <c:legendPos val="b"/>
      <c:layout>
        <c:manualLayout>
          <c:xMode val="edge"/>
          <c:yMode val="edge"/>
          <c:x val="0.44985950075996101"/>
          <c:y val="0.81124819456739516"/>
          <c:w val="0.10480673113416832"/>
          <c:h val="0.18875180543260495"/>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sz="900" b="1">
          <a:solidFill>
            <a:sysClr val="windowText" lastClr="000000"/>
          </a:solidFill>
          <a:latin typeface="Arial" panose="020B0604020202020204" pitchFamily="34" charset="0"/>
          <a:cs typeface="Arial" panose="020B0604020202020204" pitchFamily="34" charset="0"/>
        </a:defRPr>
      </a:pPr>
      <a:endParaRPr lang="es-MX"/>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31993045823400518"/>
          <c:y val="4.3827611395178961E-2"/>
          <c:w val="0.64227137662838019"/>
          <c:h val="0.73031479288352696"/>
        </c:manualLayout>
      </c:layout>
      <c:barChart>
        <c:barDir val="bar"/>
        <c:grouping val="stacked"/>
        <c:varyColors val="0"/>
        <c:ser>
          <c:idx val="0"/>
          <c:order val="0"/>
          <c:tx>
            <c:strRef>
              <c:f>'gasto ing elec'!$A$3</c:f>
              <c:strCache>
                <c:ptCount val="1"/>
                <c:pt idx="0">
                  <c:v>2019</c:v>
                </c:pt>
              </c:strCache>
            </c:strRef>
          </c:tx>
          <c:spPr>
            <a:solidFill>
              <a:schemeClr val="accent6">
                <a:shade val="76000"/>
              </a:schemeClr>
            </a:solidFill>
            <a:ln w="19050">
              <a:solidFill>
                <a:schemeClr val="lt1"/>
              </a:solidFill>
            </a:ln>
            <a:effectLst/>
          </c:spPr>
          <c:invertIfNegative val="0"/>
          <c:dLbls>
            <c:dLbl>
              <c:idx val="0"/>
              <c:layout>
                <c:manualLayout>
                  <c:x val="-0.10275229357798166"/>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AAB-487E-BEFE-6151A81E5F09}"/>
                </c:ext>
              </c:extLst>
            </c:dLbl>
            <c:dLbl>
              <c:idx val="1"/>
              <c:layout>
                <c:manualLayout>
                  <c:x val="-3.1804281345565837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AAB-487E-BEFE-6151A81E5F09}"/>
                </c:ext>
              </c:extLst>
            </c:dLbl>
            <c:dLbl>
              <c:idx val="2"/>
              <c:layout>
                <c:manualLayout>
                  <c:x val="-2.2018348623853302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AAB-487E-BEFE-6151A81E5F09}"/>
                </c:ext>
              </c:extLst>
            </c:dLbl>
            <c:dLbl>
              <c:idx val="3"/>
              <c:layout>
                <c:manualLayout>
                  <c:x val="-0.14678899082568811"/>
                  <c:y val="-1.1264590812625985E-1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BAAB-487E-BEFE-6151A81E5F09}"/>
                </c:ext>
              </c:extLst>
            </c:dLbl>
            <c:dLbl>
              <c:idx val="4"/>
              <c:layout>
                <c:manualLayout>
                  <c:x val="-7.5840978593272171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AAB-487E-BEFE-6151A81E5F09}"/>
                </c:ext>
              </c:extLst>
            </c:dLbl>
            <c:numFmt formatCode="#,##0.0_ ;#,##0.0\ "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'gasto ing elec'!$B$3:$F$3</c:f>
              <c:numCache>
                <c:formatCode>0.0</c:formatCode>
                <c:ptCount val="5"/>
                <c:pt idx="0">
                  <c:v>-29.2</c:v>
                </c:pt>
                <c:pt idx="1">
                  <c:v>-4.4000000000000004</c:v>
                </c:pt>
                <c:pt idx="2">
                  <c:v>-1.4</c:v>
                </c:pt>
                <c:pt idx="3">
                  <c:v>-45</c:v>
                </c:pt>
                <c:pt idx="4">
                  <c:v>-20</c:v>
                </c:pt>
              </c:numCache>
            </c:numRef>
          </c:val>
          <c:extLst>
            <c:ext xmlns:c16="http://schemas.microsoft.com/office/drawing/2014/chart" uri="{C3380CC4-5D6E-409C-BE32-E72D297353CC}">
              <c16:uniqueId val="{00000005-BAAB-487E-BEFE-6151A81E5F09}"/>
            </c:ext>
          </c:extLst>
        </c:ser>
        <c:ser>
          <c:idx val="1"/>
          <c:order val="1"/>
          <c:tx>
            <c:strRef>
              <c:f>'gasto ing elec'!$A$4</c:f>
              <c:strCache>
                <c:ptCount val="1"/>
                <c:pt idx="0">
                  <c:v>2020 p/</c:v>
                </c:pt>
              </c:strCache>
            </c:strRef>
          </c:tx>
          <c:spPr>
            <a:solidFill>
              <a:schemeClr val="accent6">
                <a:tint val="77000"/>
              </a:schemeClr>
            </a:solidFill>
            <a:ln w="19050">
              <a:solidFill>
                <a:schemeClr val="lt1"/>
              </a:solidFill>
            </a:ln>
            <a:effectLst/>
          </c:spPr>
          <c:invertIfNegative val="0"/>
          <c:dLbls>
            <c:dLbl>
              <c:idx val="0"/>
              <c:layout>
                <c:manualLayout>
                  <c:x val="0.10030581039755351"/>
                  <c:y val="8.9482241055978087E-18"/>
                </c:manualLayout>
              </c:layout>
              <c:tx>
                <c:rich>
                  <a:bodyPr/>
                  <a:lstStyle/>
                  <a:p>
                    <a:r>
                      <a:rPr lang="en-US"/>
                      <a:t>28.9</a:t>
                    </a:r>
                  </a:p>
                </c:rich>
              </c:tx>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AAB-487E-BEFE-6151A81E5F09}"/>
                </c:ext>
              </c:extLst>
            </c:dLbl>
            <c:dLbl>
              <c:idx val="1"/>
              <c:layout>
                <c:manualLayout>
                  <c:x val="2.4464831804281256E-2"/>
                  <c:y val="6.1491727825314302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AAB-487E-BEFE-6151A81E5F09}"/>
                </c:ext>
              </c:extLst>
            </c:dLbl>
            <c:dLbl>
              <c:idx val="2"/>
              <c:layout>
                <c:manualLayout>
                  <c:x val="2.4464831804281256E-2"/>
                  <c:y val="9.6762098286101338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BAAB-487E-BEFE-6151A81E5F09}"/>
                </c:ext>
              </c:extLst>
            </c:dLbl>
            <c:dLbl>
              <c:idx val="3"/>
              <c:layout>
                <c:manualLayout>
                  <c:x val="0.13700305810397553"/>
                  <c:y val="4.8381049143050669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BAAB-487E-BEFE-6151A81E5F09}"/>
                </c:ext>
              </c:extLst>
            </c:dLbl>
            <c:dLbl>
              <c:idx val="4"/>
              <c:layout>
                <c:manualLayout>
                  <c:x val="8.5626911314984705E-2"/>
                  <c:y val="9.6762098286101338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BAAB-487E-BEFE-6151A81E5F09}"/>
                </c:ext>
              </c:extLst>
            </c:dLbl>
            <c:spPr>
              <a:noFill/>
              <a:ln>
                <a:noFill/>
              </a:ln>
              <a:effectLst/>
            </c:spPr>
            <c:txPr>
              <a:bodyPr rot="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'gasto ing elec'!$B$2:$F$2</c:f>
              <c:strCache>
                <c:ptCount val="5"/>
                <c:pt idx="0">
                  <c:v>Páginas web de proveedores</c:v>
                </c:pt>
                <c:pt idx="1">
                  <c:v>Páginas web de intermediarios</c:v>
                </c:pt>
                <c:pt idx="2">
                  <c:v>Redes sociales</c:v>
                </c:pt>
                <c:pt idx="3">
                  <c:v>Correo electrónico</c:v>
                </c:pt>
                <c:pt idx="4">
                  <c:v>Otra modalidad informática</c:v>
                </c:pt>
              </c:strCache>
            </c:strRef>
          </c:cat>
          <c:val>
            <c:numRef>
              <c:f>'gasto ing elec'!$B$4:$F$4</c:f>
              <c:numCache>
                <c:formatCode>0.0</c:formatCode>
                <c:ptCount val="5"/>
                <c:pt idx="0">
                  <c:v>28.8</c:v>
                </c:pt>
                <c:pt idx="1">
                  <c:v>2.9</c:v>
                </c:pt>
                <c:pt idx="2">
                  <c:v>2.4</c:v>
                </c:pt>
                <c:pt idx="3">
                  <c:v>42.5</c:v>
                </c:pt>
                <c:pt idx="4">
                  <c:v>23.3</c:v>
                </c:pt>
              </c:numCache>
            </c:numRef>
          </c:val>
          <c:extLst>
            <c:ext xmlns:c16="http://schemas.microsoft.com/office/drawing/2014/chart" uri="{C3380CC4-5D6E-409C-BE32-E72D297353CC}">
              <c16:uniqueId val="{0000000B-BAAB-487E-BEFE-6151A81E5F09}"/>
            </c:ext>
          </c:extLst>
        </c:ser>
        <c:dLbls>
          <c:dLblPos val="ctr"/>
          <c:showLegendKey val="0"/>
          <c:showVal val="1"/>
          <c:showCatName val="0"/>
          <c:showSerName val="0"/>
          <c:showPercent val="0"/>
          <c:showBubbleSize val="0"/>
        </c:dLbls>
        <c:gapWidth val="32"/>
        <c:overlap val="100"/>
        <c:axId val="819455392"/>
        <c:axId val="819469120"/>
      </c:barChart>
      <c:catAx>
        <c:axId val="819455392"/>
        <c:scaling>
          <c:orientation val="maxMin"/>
        </c:scaling>
        <c:delete val="0"/>
        <c:axPos val="l"/>
        <c:numFmt formatCode="#,##0.0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69120"/>
        <c:crosses val="autoZero"/>
        <c:auto val="1"/>
        <c:lblAlgn val="ctr"/>
        <c:lblOffset val="100"/>
        <c:noMultiLvlLbl val="0"/>
      </c:catAx>
      <c:valAx>
        <c:axId val="819469120"/>
        <c:scaling>
          <c:orientation val="minMax"/>
        </c:scaling>
        <c:delete val="0"/>
        <c:axPos val="t"/>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55392"/>
        <c:crosses val="autoZero"/>
        <c:crossBetween val="between"/>
      </c:valAx>
      <c:spPr>
        <a:noFill/>
        <a:ln>
          <a:noFill/>
        </a:ln>
        <a:effectLst/>
      </c:spPr>
    </c:plotArea>
    <c:legend>
      <c:legendPos val="b"/>
      <c:legendEntry>
        <c:idx val="1"/>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Entry>
      <c:layout>
        <c:manualLayout>
          <c:xMode val="edge"/>
          <c:yMode val="edge"/>
          <c:x val="0.38998444460497483"/>
          <c:y val="0.87886630276882216"/>
          <c:w val="0.50137667653928586"/>
          <c:h val="0.12073043489930184"/>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defRPr>
      </a:pPr>
      <a:endParaRPr lang="es-MX"/>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33243198728599299"/>
          <c:y val="9.3656875266070666E-2"/>
          <c:w val="0.62976984757639254"/>
          <c:h val="0.65826503487830301"/>
        </c:manualLayout>
      </c:layout>
      <c:barChart>
        <c:barDir val="bar"/>
        <c:grouping val="stacked"/>
        <c:varyColors val="0"/>
        <c:ser>
          <c:idx val="0"/>
          <c:order val="0"/>
          <c:tx>
            <c:strRef>
              <c:f>'gasto ing elec'!$A$30</c:f>
              <c:strCache>
                <c:ptCount val="1"/>
                <c:pt idx="0">
                  <c:v>2019</c:v>
                </c:pt>
              </c:strCache>
            </c:strRef>
          </c:tx>
          <c:spPr>
            <a:solidFill>
              <a:schemeClr val="accent6">
                <a:shade val="76000"/>
              </a:schemeClr>
            </a:solidFill>
            <a:ln w="19050">
              <a:solidFill>
                <a:schemeClr val="lt1"/>
              </a:solidFill>
            </a:ln>
            <a:effectLst/>
          </c:spPr>
          <c:invertIfNegative val="0"/>
          <c:dLbls>
            <c:dLbl>
              <c:idx val="0"/>
              <c:layout>
                <c:manualLayout>
                  <c:x val="-0.12232415902140673"/>
                  <c:y val="8.514261387824606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98E-4DBB-9C6A-3BCD918D83C8}"/>
                </c:ext>
              </c:extLst>
            </c:dLbl>
            <c:dLbl>
              <c:idx val="1"/>
              <c:layout>
                <c:manualLayout>
                  <c:x val="-3.1804281345565837E-2"/>
                  <c:y val="-3.902324722764749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18E-46F9-B469-8C5364014C4F}"/>
                </c:ext>
              </c:extLst>
            </c:dLbl>
            <c:dLbl>
              <c:idx val="2"/>
              <c:layout>
                <c:manualLayout>
                  <c:x val="-4.4036697247706515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18E-46F9-B469-8C5364014C4F}"/>
                </c:ext>
              </c:extLst>
            </c:dLbl>
            <c:dLbl>
              <c:idx val="3"/>
              <c:layout>
                <c:manualLayout>
                  <c:x val="-0.14678899082568811"/>
                  <c:y val="-8.5142613878246842E-3"/>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98E-4DBB-9C6A-3BCD918D83C8}"/>
                </c:ext>
              </c:extLst>
            </c:dLbl>
            <c:dLbl>
              <c:idx val="4"/>
              <c:layout>
                <c:manualLayout>
                  <c:x val="-0.11743119266055047"/>
                  <c:y val="7.804649445529498E-1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698E-4DBB-9C6A-3BCD918D83C8}"/>
                </c:ext>
              </c:extLst>
            </c:dLbl>
            <c:numFmt formatCode="#,##0.0_ ;#,##0.0\ " sourceLinked="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val>
            <c:numRef>
              <c:f>'gasto ing elec'!$B$30:$F$30</c:f>
              <c:numCache>
                <c:formatCode>0.0</c:formatCode>
                <c:ptCount val="5"/>
                <c:pt idx="0">
                  <c:v>-27.9</c:v>
                </c:pt>
                <c:pt idx="1">
                  <c:v>-3.2</c:v>
                </c:pt>
                <c:pt idx="2">
                  <c:v>-7.1</c:v>
                </c:pt>
                <c:pt idx="3">
                  <c:v>-35.4</c:v>
                </c:pt>
                <c:pt idx="4">
                  <c:v>-26.4</c:v>
                </c:pt>
              </c:numCache>
            </c:numRef>
          </c:val>
          <c:extLst>
            <c:ext xmlns:c16="http://schemas.microsoft.com/office/drawing/2014/chart" uri="{C3380CC4-5D6E-409C-BE32-E72D297353CC}">
              <c16:uniqueId val="{00000001-F18E-46F9-B469-8C5364014C4F}"/>
            </c:ext>
          </c:extLst>
        </c:ser>
        <c:ser>
          <c:idx val="1"/>
          <c:order val="1"/>
          <c:tx>
            <c:strRef>
              <c:f>'gasto ing elec'!$A$31</c:f>
              <c:strCache>
                <c:ptCount val="1"/>
                <c:pt idx="0">
                  <c:v>2020p/</c:v>
                </c:pt>
              </c:strCache>
            </c:strRef>
          </c:tx>
          <c:spPr>
            <a:solidFill>
              <a:schemeClr val="accent6">
                <a:tint val="77000"/>
              </a:schemeClr>
            </a:solidFill>
            <a:ln w="19050">
              <a:solidFill>
                <a:schemeClr val="lt1"/>
              </a:solidFill>
            </a:ln>
            <a:effectLst/>
          </c:spPr>
          <c:invertIfNegative val="0"/>
          <c:dLbls>
            <c:dLbl>
              <c:idx val="0"/>
              <c:layout>
                <c:manualLayout>
                  <c:x val="0.11498470948012214"/>
                  <c:y val="1.3408285650117491E-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98E-4DBB-9C6A-3BCD918D83C8}"/>
                </c:ext>
              </c:extLst>
            </c:dLbl>
            <c:dLbl>
              <c:idx val="1"/>
              <c:layout>
                <c:manualLayout>
                  <c:x val="2.6911314984709479E-2"/>
                  <c:y val="2.0112428475176235E-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107C-4DCC-A483-2EA168037E86}"/>
                </c:ext>
              </c:extLst>
            </c:dLbl>
            <c:dLbl>
              <c:idx val="2"/>
              <c:layout>
                <c:manualLayout>
                  <c:x val="4.4036697247706424E-2"/>
                  <c:y val="0"/>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7D5-4BD3-B99B-ADE25635DC70}"/>
                </c:ext>
              </c:extLst>
            </c:dLbl>
            <c:dLbl>
              <c:idx val="3"/>
              <c:layout>
                <c:manualLayout>
                  <c:x val="0.14189602446483179"/>
                  <c:y val="2.0112428475176235E-6"/>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98E-4DBB-9C6A-3BCD918D83C8}"/>
                </c:ext>
              </c:extLst>
            </c:dLbl>
            <c:dLbl>
              <c:idx val="4"/>
              <c:layout>
                <c:manualLayout>
                  <c:x val="0.13455657492354739"/>
                  <c:y val="6.7041428258392101E-7"/>
                </c:manualLayout>
              </c:layout>
              <c:dLblPos val="ct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98E-4DBB-9C6A-3BCD918D83C8}"/>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mn-lt"/>
                    <a:ea typeface="+mn-ea"/>
                    <a:cs typeface="+mn-cs"/>
                  </a:defRPr>
                </a:pPr>
                <a:endParaRPr lang="es-MX"/>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'gasto ing elec'!$B$29:$F$29</c:f>
              <c:strCache>
                <c:ptCount val="5"/>
                <c:pt idx="0">
                  <c:v>Página web del establecimiento</c:v>
                </c:pt>
                <c:pt idx="1">
                  <c:v>Páginas web de terceros</c:v>
                </c:pt>
                <c:pt idx="2">
                  <c:v>Redes sociales</c:v>
                </c:pt>
                <c:pt idx="3">
                  <c:v>Correo electrónico</c:v>
                </c:pt>
                <c:pt idx="4">
                  <c:v>Otra modalidad informática</c:v>
                </c:pt>
              </c:strCache>
            </c:strRef>
          </c:cat>
          <c:val>
            <c:numRef>
              <c:f>'gasto ing elec'!$B$31:$F$31</c:f>
              <c:numCache>
                <c:formatCode>0.0</c:formatCode>
                <c:ptCount val="5"/>
                <c:pt idx="0">
                  <c:v>26</c:v>
                </c:pt>
                <c:pt idx="1">
                  <c:v>2.5</c:v>
                </c:pt>
                <c:pt idx="2">
                  <c:v>6.3</c:v>
                </c:pt>
                <c:pt idx="3">
                  <c:v>33.5</c:v>
                </c:pt>
                <c:pt idx="4">
                  <c:v>31.7</c:v>
                </c:pt>
              </c:numCache>
            </c:numRef>
          </c:val>
          <c:extLst>
            <c:ext xmlns:c16="http://schemas.microsoft.com/office/drawing/2014/chart" uri="{C3380CC4-5D6E-409C-BE32-E72D297353CC}">
              <c16:uniqueId val="{00000001-107C-4DCC-A483-2EA168037E86}"/>
            </c:ext>
          </c:extLst>
        </c:ser>
        <c:dLbls>
          <c:dLblPos val="ctr"/>
          <c:showLegendKey val="0"/>
          <c:showVal val="1"/>
          <c:showCatName val="0"/>
          <c:showSerName val="0"/>
          <c:showPercent val="0"/>
          <c:showBubbleSize val="0"/>
        </c:dLbls>
        <c:gapWidth val="32"/>
        <c:overlap val="100"/>
        <c:axId val="819455392"/>
        <c:axId val="819469120"/>
      </c:barChart>
      <c:catAx>
        <c:axId val="819455392"/>
        <c:scaling>
          <c:orientation val="maxMin"/>
        </c:scaling>
        <c:delete val="0"/>
        <c:axPos val="l"/>
        <c:numFmt formatCode="#,##0.00" sourceLinked="0"/>
        <c:majorTickMark val="none"/>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69120"/>
        <c:crosses val="autoZero"/>
        <c:auto val="1"/>
        <c:lblAlgn val="ctr"/>
        <c:lblOffset val="100"/>
        <c:noMultiLvlLbl val="0"/>
      </c:catAx>
      <c:valAx>
        <c:axId val="819469120"/>
        <c:scaling>
          <c:orientation val="minMax"/>
          <c:max val="45"/>
          <c:min val="-45"/>
        </c:scaling>
        <c:delete val="0"/>
        <c:axPos val="t"/>
        <c:numFmt formatCode="#,##0;#,##0" sourceLinked="0"/>
        <c:majorTickMark val="none"/>
        <c:minorTickMark val="none"/>
        <c:tickLblPos val="high"/>
        <c:spPr>
          <a:noFill/>
          <a:ln>
            <a:noFill/>
          </a:ln>
          <a:effectLst/>
        </c:spPr>
        <c:txPr>
          <a:bodyPr rot="-60000000" spcFirstLastPara="1" vertOverflow="ellipsis" vert="horz" wrap="square" anchor="ctr" anchorCtr="1"/>
          <a:lstStyle/>
          <a:p>
            <a:pPr>
              <a:defRPr sz="8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MX"/>
          </a:p>
        </c:txPr>
        <c:crossAx val="819455392"/>
        <c:crosses val="autoZero"/>
        <c:crossBetween val="between"/>
        <c:majorUnit val="10"/>
      </c:valAx>
      <c:spPr>
        <a:noFill/>
        <a:ln>
          <a:noFill/>
        </a:ln>
        <a:effectLst/>
      </c:spPr>
    </c:plotArea>
    <c:legend>
      <c:legendPos val="b"/>
      <c:legendEntry>
        <c:idx val="1"/>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Entry>
      <c:layout>
        <c:manualLayout>
          <c:xMode val="edge"/>
          <c:yMode val="edge"/>
          <c:x val="0.40221686050711547"/>
          <c:y val="0.85632083345903598"/>
          <c:w val="0.48914426063714511"/>
          <c:h val="0.14367916654096402"/>
        </c:manualLayout>
      </c:layout>
      <c:overlay val="0"/>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mn-lt"/>
              <a:ea typeface="+mn-ea"/>
              <a:cs typeface="+mn-cs"/>
            </a:defRPr>
          </a:pPr>
          <a:endParaRPr lang="es-MX"/>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b="1">
          <a:solidFill>
            <a:sysClr val="windowText" lastClr="000000"/>
          </a:solidFill>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6">
  <a:schemeClr val="accent6"/>
</cs:colorStyle>
</file>

<file path=word/charts/colors2.xml><?xml version="1.0" encoding="utf-8"?>
<cs:colorStyle xmlns:cs="http://schemas.microsoft.com/office/drawing/2012/chartStyle" xmlns:a="http://schemas.openxmlformats.org/drawingml/2006/main" meth="withinLinearReversed" id="26">
  <a:schemeClr val="accent6"/>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withinLinearReversed" id="26">
  <a:schemeClr val="accent6"/>
</cs:colorStyle>
</file>

<file path=word/charts/colors5.xml><?xml version="1.0" encoding="utf-8"?>
<cs:colorStyle xmlns:cs="http://schemas.microsoft.com/office/drawing/2012/chartStyle" xmlns:a="http://schemas.openxmlformats.org/drawingml/2006/main" meth="withinLinear" id="19">
  <a:schemeClr val="accent6"/>
</cs:colorStyle>
</file>

<file path=word/charts/colors6.xml><?xml version="1.0" encoding="utf-8"?>
<cs:colorStyle xmlns:cs="http://schemas.microsoft.com/office/drawing/2012/chartStyle" xmlns:a="http://schemas.openxmlformats.org/drawingml/2006/main" meth="withinLinear" id="19">
  <a:schemeClr val="accent6"/>
</cs:colorStyle>
</file>

<file path=word/charts/colors7.xml><?xml version="1.0" encoding="utf-8"?>
<cs:colorStyle xmlns:cs="http://schemas.microsoft.com/office/drawing/2012/chartStyle" xmlns:a="http://schemas.openxmlformats.org/drawingml/2006/main" meth="withinLinear" id="19">
  <a:schemeClr val="accent6"/>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FE997-E84C-46C8-8498-7924D5785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4728</Words>
  <Characters>26006</Characters>
  <Application>Microsoft Office Word</Application>
  <DocSecurity>0</DocSecurity>
  <Lines>216</Lines>
  <Paragraphs>61</Paragraphs>
  <ScaleCrop>false</ScaleCrop>
  <HeadingPairs>
    <vt:vector size="2" baseType="variant">
      <vt:variant>
        <vt:lpstr>Título</vt:lpstr>
      </vt:variant>
      <vt:variant>
        <vt:i4>1</vt:i4>
      </vt:variant>
    </vt:vector>
  </HeadingPairs>
  <TitlesOfParts>
    <vt:vector size="1" baseType="lpstr">
      <vt:lpstr>Encuesta Anual de la Industria Manufacturera (EAIM) 2020 cifras preliminares</vt:lpstr>
    </vt:vector>
  </TitlesOfParts>
  <Company/>
  <LinksUpToDate>false</LinksUpToDate>
  <CharactersWithSpaces>30673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Encuesta Anual de la Industria Manufacturera (EAIM) 2020 cifras preliminares</dc:title>
  <dc:subject/>
  <dc:creator>INEGI</dc:creator>
  <cp:keywords/>
  <dc:description/>
  <cp:lastModifiedBy>GUILLEN MEDINA MOISES</cp:lastModifiedBy>
  <cp:revision>6</cp:revision>
  <cp:lastPrinted>2021-12-14T02:21:00Z</cp:lastPrinted>
  <dcterms:created xsi:type="dcterms:W3CDTF">2021-12-13T21:27:00Z</dcterms:created>
  <dcterms:modified xsi:type="dcterms:W3CDTF">2021-12-14T02:21:00Z</dcterms:modified>
</cp:coreProperties>
</file>