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9AFA2" w14:textId="1DE5A518" w:rsidR="00BA23C1" w:rsidRDefault="00BA71AF" w:rsidP="009B2985">
      <w:pPr>
        <w:pStyle w:val="Textoindependiente"/>
        <w:ind w:left="-567" w:right="-518"/>
        <w:jc w:val="center"/>
        <w:rPr>
          <w:rFonts w:ascii="Arial" w:hAnsi="Arial" w:cs="Arial"/>
          <w:b/>
          <w:spacing w:val="-2"/>
          <w:lang w:val="es-MX"/>
        </w:rPr>
      </w:pPr>
      <w:r w:rsidRPr="00BF63AC">
        <w:rPr>
          <w:rFonts w:ascii="Arial" w:hAnsi="Arial" w:cs="Arial"/>
          <w:b/>
          <w:spacing w:val="-2"/>
          <w:lang w:val="es-MX"/>
        </w:rPr>
        <w:t>CUENTAS ECONÓMICAS Y ECOLÓGICAS DE MÉXICO</w:t>
      </w:r>
      <w:r w:rsidR="00BF63AC">
        <w:rPr>
          <w:rFonts w:ascii="Arial" w:hAnsi="Arial" w:cs="Arial"/>
          <w:b/>
          <w:spacing w:val="-2"/>
          <w:lang w:val="es-MX"/>
        </w:rPr>
        <w:t xml:space="preserve"> </w:t>
      </w:r>
      <w:r w:rsidRPr="00BF63AC">
        <w:rPr>
          <w:rFonts w:ascii="Arial" w:hAnsi="Arial" w:cs="Arial"/>
          <w:b/>
          <w:spacing w:val="-2"/>
          <w:lang w:val="es-MX"/>
        </w:rPr>
        <w:t>2020</w:t>
      </w:r>
    </w:p>
    <w:p w14:paraId="0DFB4690" w14:textId="77777777" w:rsidR="001A16E8" w:rsidRDefault="001A16E8" w:rsidP="009B2985">
      <w:pPr>
        <w:pStyle w:val="Textoindependiente"/>
        <w:ind w:left="-567" w:right="-518"/>
        <w:jc w:val="center"/>
        <w:rPr>
          <w:rFonts w:ascii="Arial" w:hAnsi="Arial" w:cs="Arial"/>
          <w:b/>
          <w:spacing w:val="-2"/>
          <w:lang w:val="es-MX"/>
        </w:rPr>
      </w:pPr>
    </w:p>
    <w:p w14:paraId="1D078CC7" w14:textId="3AA0E141" w:rsidR="00BA23C1" w:rsidRPr="001A16E8" w:rsidRDefault="00BA23C1" w:rsidP="009B2985">
      <w:pPr>
        <w:pStyle w:val="Prrafodelista"/>
        <w:numPr>
          <w:ilvl w:val="0"/>
          <w:numId w:val="3"/>
        </w:numPr>
        <w:spacing w:before="0"/>
        <w:ind w:left="0" w:right="191" w:hanging="284"/>
        <w:jc w:val="both"/>
        <w:rPr>
          <w:rFonts w:ascii="Arial" w:hAnsi="Arial" w:cs="Arial"/>
          <w:sz w:val="24"/>
          <w:szCs w:val="24"/>
          <w:lang w:eastAsia="x-none"/>
        </w:rPr>
      </w:pPr>
      <w:r w:rsidRPr="001A16E8">
        <w:rPr>
          <w:rFonts w:ascii="Arial" w:hAnsi="Arial" w:cs="Arial"/>
          <w:sz w:val="24"/>
          <w:szCs w:val="24"/>
          <w:lang w:val="x-none" w:eastAsia="x-none"/>
        </w:rPr>
        <w:t xml:space="preserve">Los </w:t>
      </w:r>
      <w:r w:rsidR="00FA4582">
        <w:rPr>
          <w:rFonts w:ascii="Arial" w:hAnsi="Arial" w:cs="Arial"/>
          <w:sz w:val="24"/>
          <w:szCs w:val="24"/>
          <w:lang w:val="es-MX" w:eastAsia="x-none"/>
        </w:rPr>
        <w:t>Costos</w:t>
      </w:r>
      <w:r w:rsidRPr="001A16E8">
        <w:rPr>
          <w:rFonts w:ascii="Arial" w:hAnsi="Arial" w:cs="Arial"/>
          <w:sz w:val="24"/>
          <w:szCs w:val="24"/>
          <w:lang w:val="x-none" w:eastAsia="x-none"/>
        </w:rPr>
        <w:t xml:space="preserve"> Totales por Agotamiento y Degradación Ambiental (CTADA</w:t>
      </w:r>
      <w:r w:rsidR="00217264">
        <w:rPr>
          <w:rFonts w:ascii="Arial" w:hAnsi="Arial" w:cs="Arial"/>
          <w:sz w:val="24"/>
          <w:szCs w:val="24"/>
          <w:lang w:eastAsia="x-none"/>
        </w:rPr>
        <w:t>)</w:t>
      </w:r>
      <w:r w:rsidRPr="001A16E8">
        <w:rPr>
          <w:rFonts w:ascii="Arial" w:hAnsi="Arial" w:cs="Arial"/>
          <w:sz w:val="24"/>
          <w:szCs w:val="24"/>
          <w:lang w:eastAsia="x-none"/>
        </w:rPr>
        <w:t xml:space="preserve"> en 2020 ascendieron a 1 066 853 millones de pesos corrientes, monto equivalente a 4.6% del PIB </w:t>
      </w:r>
      <w:r w:rsidR="009B2985">
        <w:rPr>
          <w:rFonts w:ascii="Arial" w:hAnsi="Arial" w:cs="Arial"/>
          <w:sz w:val="24"/>
          <w:szCs w:val="24"/>
          <w:lang w:eastAsia="x-none"/>
        </w:rPr>
        <w:t>n</w:t>
      </w:r>
      <w:r w:rsidRPr="001A16E8">
        <w:rPr>
          <w:rFonts w:ascii="Arial" w:hAnsi="Arial" w:cs="Arial"/>
          <w:sz w:val="24"/>
          <w:szCs w:val="24"/>
          <w:lang w:eastAsia="x-none"/>
        </w:rPr>
        <w:t xml:space="preserve">acional a precios de mercado. </w:t>
      </w:r>
    </w:p>
    <w:p w14:paraId="478B26C3" w14:textId="27453315" w:rsidR="00BA23C1" w:rsidRPr="001A16E8" w:rsidRDefault="00BA23C1" w:rsidP="009B2985">
      <w:pPr>
        <w:pStyle w:val="Textoindependiente"/>
        <w:numPr>
          <w:ilvl w:val="0"/>
          <w:numId w:val="3"/>
        </w:numPr>
        <w:ind w:left="0" w:right="191" w:hanging="284"/>
        <w:rPr>
          <w:rFonts w:ascii="Arial" w:hAnsi="Arial" w:cs="Arial"/>
          <w:b/>
          <w:spacing w:val="-2"/>
          <w:lang w:val="es-MX"/>
        </w:rPr>
      </w:pPr>
      <w:r w:rsidRPr="001A16E8">
        <w:rPr>
          <w:rFonts w:ascii="Arial" w:hAnsi="Arial" w:cs="Arial"/>
          <w:spacing w:val="-1"/>
        </w:rPr>
        <w:t xml:space="preserve">En 2020 las emisiones al aire representaron el mayor costo ambiental; le siguieron los costos por degradación del suelo </w:t>
      </w:r>
      <w:r w:rsidRPr="001A16E8">
        <w:rPr>
          <w:rFonts w:ascii="Arial" w:hAnsi="Arial" w:cs="Arial"/>
          <w:spacing w:val="-1"/>
          <w:lang w:val="es-MX"/>
        </w:rPr>
        <w:t>y</w:t>
      </w:r>
      <w:r w:rsidRPr="001A16E8">
        <w:rPr>
          <w:rFonts w:ascii="Arial" w:hAnsi="Arial" w:cs="Arial"/>
          <w:spacing w:val="-1"/>
        </w:rPr>
        <w:t xml:space="preserve"> los </w:t>
      </w:r>
      <w:r w:rsidR="00FA4582">
        <w:rPr>
          <w:rFonts w:ascii="Arial" w:hAnsi="Arial" w:cs="Arial"/>
          <w:spacing w:val="-1"/>
          <w:lang w:val="es-MX"/>
        </w:rPr>
        <w:t xml:space="preserve">costos por </w:t>
      </w:r>
      <w:r w:rsidRPr="001A16E8">
        <w:rPr>
          <w:rFonts w:ascii="Arial" w:hAnsi="Arial" w:cs="Arial"/>
          <w:spacing w:val="-1"/>
        </w:rPr>
        <w:t>residuos sólidos urbanos</w:t>
      </w:r>
      <w:r w:rsidRPr="001A16E8">
        <w:rPr>
          <w:rFonts w:ascii="Arial" w:hAnsi="Arial" w:cs="Arial"/>
          <w:spacing w:val="-1"/>
          <w:lang w:val="es-MX"/>
        </w:rPr>
        <w:t>.</w:t>
      </w:r>
    </w:p>
    <w:p w14:paraId="49B45A8A" w14:textId="4732DE08" w:rsidR="00BA23C1" w:rsidRPr="001A16E8" w:rsidRDefault="00FA4582" w:rsidP="009B2985">
      <w:pPr>
        <w:pStyle w:val="Textoindependiente"/>
        <w:numPr>
          <w:ilvl w:val="0"/>
          <w:numId w:val="3"/>
        </w:numPr>
        <w:ind w:left="0" w:right="191" w:hanging="284"/>
        <w:rPr>
          <w:rFonts w:ascii="Arial" w:hAnsi="Arial" w:cs="Arial"/>
          <w:b/>
          <w:spacing w:val="-2"/>
          <w:lang w:val="es-MX"/>
        </w:rPr>
      </w:pPr>
      <w:r>
        <w:rPr>
          <w:rFonts w:ascii="Arial" w:hAnsi="Arial" w:cs="Arial"/>
          <w:lang w:val="es-MX"/>
        </w:rPr>
        <w:t>L</w:t>
      </w:r>
      <w:r w:rsidR="001A16E8" w:rsidRPr="001A16E8">
        <w:rPr>
          <w:rFonts w:ascii="Arial" w:hAnsi="Arial" w:cs="Arial"/>
          <w:lang w:val="es-MX"/>
        </w:rPr>
        <w:t xml:space="preserve">os principales </w:t>
      </w:r>
      <w:r>
        <w:rPr>
          <w:rFonts w:ascii="Arial" w:hAnsi="Arial" w:cs="Arial"/>
          <w:lang w:val="es-MX"/>
        </w:rPr>
        <w:t>g</w:t>
      </w:r>
      <w:r w:rsidR="001A16E8" w:rsidRPr="001A16E8">
        <w:rPr>
          <w:rFonts w:ascii="Arial" w:hAnsi="Arial" w:cs="Arial"/>
          <w:lang w:val="es-MX"/>
        </w:rPr>
        <w:t xml:space="preserve">astos en protección </w:t>
      </w:r>
      <w:r>
        <w:rPr>
          <w:rFonts w:ascii="Arial" w:hAnsi="Arial" w:cs="Arial"/>
          <w:lang w:val="es-MX"/>
        </w:rPr>
        <w:t>a</w:t>
      </w:r>
      <w:r w:rsidR="001A16E8" w:rsidRPr="001A16E8">
        <w:rPr>
          <w:rFonts w:ascii="Arial" w:hAnsi="Arial" w:cs="Arial"/>
          <w:lang w:val="es-MX"/>
        </w:rPr>
        <w:t>mbiental se destinaron a la</w:t>
      </w:r>
      <w:r w:rsidR="00BA23C1" w:rsidRPr="001A16E8">
        <w:rPr>
          <w:rFonts w:ascii="Arial" w:hAnsi="Arial" w:cs="Arial"/>
        </w:rPr>
        <w:t xml:space="preserve"> protección del aire-ambiente y clima</w:t>
      </w:r>
      <w:r w:rsidR="001A16E8" w:rsidRPr="001A16E8">
        <w:rPr>
          <w:rFonts w:ascii="Arial" w:hAnsi="Arial" w:cs="Arial"/>
          <w:lang w:val="es-MX"/>
        </w:rPr>
        <w:t xml:space="preserve">, la </w:t>
      </w:r>
      <w:r w:rsidR="00BA23C1" w:rsidRPr="001A16E8">
        <w:rPr>
          <w:rFonts w:ascii="Arial" w:hAnsi="Arial" w:cs="Arial"/>
        </w:rPr>
        <w:t>gestión de aguas residuales</w:t>
      </w:r>
      <w:r w:rsidR="001A16E8" w:rsidRPr="001A16E8">
        <w:rPr>
          <w:rFonts w:ascii="Arial" w:hAnsi="Arial" w:cs="Arial"/>
          <w:lang w:val="es-MX"/>
        </w:rPr>
        <w:t xml:space="preserve"> y la </w:t>
      </w:r>
      <w:r w:rsidR="00BA23C1" w:rsidRPr="001A16E8">
        <w:rPr>
          <w:rFonts w:ascii="Arial" w:hAnsi="Arial" w:cs="Arial"/>
        </w:rPr>
        <w:t>gestión de los residuos</w:t>
      </w:r>
      <w:r w:rsidR="001A16E8" w:rsidRPr="001A16E8">
        <w:rPr>
          <w:rFonts w:ascii="Arial" w:hAnsi="Arial" w:cs="Arial"/>
          <w:lang w:val="es-MX"/>
        </w:rPr>
        <w:t>.</w:t>
      </w:r>
    </w:p>
    <w:p w14:paraId="38F1E231" w14:textId="77777777" w:rsidR="001A16E8" w:rsidRPr="00BF63AC" w:rsidRDefault="001A16E8" w:rsidP="009B2985">
      <w:pPr>
        <w:pStyle w:val="Textoindependiente"/>
        <w:ind w:left="153" w:right="-518"/>
        <w:rPr>
          <w:rFonts w:ascii="Arial" w:hAnsi="Arial" w:cs="Arial"/>
          <w:b/>
          <w:spacing w:val="-2"/>
          <w:lang w:val="es-MX"/>
        </w:rPr>
      </w:pPr>
    </w:p>
    <w:p w14:paraId="6C08B7E7" w14:textId="33D52502" w:rsidR="00BF63AC" w:rsidRPr="00FA4582" w:rsidRDefault="00BA71AF" w:rsidP="009F1F84">
      <w:pPr>
        <w:pStyle w:val="Textoindependiente"/>
        <w:ind w:left="-567" w:right="-516"/>
        <w:rPr>
          <w:rFonts w:ascii="Arial" w:hAnsi="Arial" w:cs="Arial"/>
          <w:lang w:val="es-MX"/>
        </w:rPr>
      </w:pPr>
      <w:r w:rsidRPr="003B1F98">
        <w:rPr>
          <w:rFonts w:ascii="Arial" w:hAnsi="Arial" w:cs="Arial"/>
          <w:spacing w:val="-2"/>
        </w:rPr>
        <w:t>El Instituto Nacional de Estadística y Geografía (INEGI) presenta los resultados de la</w:t>
      </w:r>
      <w:r w:rsidRPr="003B1F98">
        <w:rPr>
          <w:rFonts w:ascii="Arial" w:hAnsi="Arial" w:cs="Arial"/>
          <w:spacing w:val="-2"/>
          <w:lang w:val="es-MX"/>
        </w:rPr>
        <w:t>s</w:t>
      </w:r>
      <w:r w:rsidRPr="003B1F98">
        <w:rPr>
          <w:rFonts w:ascii="Arial" w:hAnsi="Arial" w:cs="Arial"/>
          <w:spacing w:val="-2"/>
        </w:rPr>
        <w:t xml:space="preserve"> </w:t>
      </w:r>
      <w:bookmarkStart w:id="0" w:name="_GoBack"/>
      <w:r w:rsidRPr="003B1F98">
        <w:rPr>
          <w:rFonts w:ascii="Arial" w:hAnsi="Arial" w:cs="Arial"/>
          <w:spacing w:val="-2"/>
        </w:rPr>
        <w:t xml:space="preserve">Cuentas </w:t>
      </w:r>
      <w:r>
        <w:rPr>
          <w:rFonts w:ascii="Arial" w:hAnsi="Arial" w:cs="Arial"/>
          <w:spacing w:val="-2"/>
          <w:lang w:val="es-MX"/>
        </w:rPr>
        <w:t>Económicas</w:t>
      </w:r>
      <w:r w:rsidRPr="003B1F98">
        <w:rPr>
          <w:rFonts w:ascii="Arial" w:hAnsi="Arial" w:cs="Arial"/>
          <w:spacing w:val="-2"/>
        </w:rPr>
        <w:t xml:space="preserve"> y </w:t>
      </w:r>
      <w:r>
        <w:rPr>
          <w:rFonts w:ascii="Arial" w:hAnsi="Arial" w:cs="Arial"/>
          <w:spacing w:val="-2"/>
          <w:lang w:val="es-MX"/>
        </w:rPr>
        <w:t xml:space="preserve">Ecológicas </w:t>
      </w:r>
      <w:r w:rsidRPr="003B1F98">
        <w:rPr>
          <w:rFonts w:ascii="Arial" w:hAnsi="Arial" w:cs="Arial"/>
          <w:spacing w:val="-2"/>
        </w:rPr>
        <w:t>de México 2020</w:t>
      </w:r>
      <w:bookmarkEnd w:id="0"/>
      <w:r w:rsidR="00BF63AC">
        <w:rPr>
          <w:rFonts w:ascii="Arial" w:hAnsi="Arial" w:cs="Arial"/>
          <w:spacing w:val="-2"/>
          <w:lang w:val="es-MX"/>
        </w:rPr>
        <w:t xml:space="preserve"> que permiten </w:t>
      </w:r>
      <w:r w:rsidR="00BF63AC">
        <w:rPr>
          <w:rFonts w:ascii="Arial" w:hAnsi="Arial" w:cs="Arial"/>
          <w:lang w:val="es-MX"/>
        </w:rPr>
        <w:t>medir</w:t>
      </w:r>
      <w:r w:rsidR="00BF63AC" w:rsidRPr="009B67F3">
        <w:rPr>
          <w:rFonts w:ascii="Arial" w:hAnsi="Arial" w:cs="Arial"/>
        </w:rPr>
        <w:t xml:space="preserve"> el impacto que tienen en </w:t>
      </w:r>
      <w:r w:rsidR="00BF63AC" w:rsidRPr="009B67F3">
        <w:rPr>
          <w:rFonts w:ascii="Arial" w:hAnsi="Arial" w:cs="Arial"/>
          <w:lang w:val="es-MX"/>
        </w:rPr>
        <w:t xml:space="preserve">la economía </w:t>
      </w:r>
      <w:r w:rsidR="00217264">
        <w:rPr>
          <w:rFonts w:ascii="Arial" w:hAnsi="Arial" w:cs="Arial"/>
          <w:lang w:val="es-MX"/>
        </w:rPr>
        <w:t xml:space="preserve">tanto </w:t>
      </w:r>
      <w:r w:rsidR="00BF63AC" w:rsidRPr="009B67F3">
        <w:rPr>
          <w:rFonts w:ascii="Arial" w:hAnsi="Arial" w:cs="Arial"/>
        </w:rPr>
        <w:t xml:space="preserve">el agotamiento </w:t>
      </w:r>
      <w:r w:rsidR="00BF63AC" w:rsidRPr="00216AEF">
        <w:rPr>
          <w:rFonts w:ascii="Arial" w:hAnsi="Arial" w:cs="Arial"/>
        </w:rPr>
        <w:t xml:space="preserve">de los recursos naturales </w:t>
      </w:r>
      <w:r w:rsidR="00217264">
        <w:rPr>
          <w:rFonts w:ascii="Arial" w:hAnsi="Arial" w:cs="Arial"/>
          <w:lang w:val="es-MX"/>
        </w:rPr>
        <w:t xml:space="preserve">como </w:t>
      </w:r>
      <w:r w:rsidR="00BF63AC" w:rsidRPr="00216AEF">
        <w:rPr>
          <w:rFonts w:ascii="Arial" w:hAnsi="Arial" w:cs="Arial"/>
        </w:rPr>
        <w:t xml:space="preserve">la degradación del medio ambiente ocasionados por </w:t>
      </w:r>
      <w:r w:rsidR="00BF63AC">
        <w:rPr>
          <w:rFonts w:ascii="Arial" w:hAnsi="Arial" w:cs="Arial"/>
          <w:lang w:val="es-MX"/>
        </w:rPr>
        <w:t>la</w:t>
      </w:r>
      <w:r w:rsidR="00BF63AC" w:rsidRPr="00216AEF">
        <w:rPr>
          <w:rFonts w:ascii="Arial" w:hAnsi="Arial" w:cs="Arial"/>
        </w:rPr>
        <w:t xml:space="preserve"> producción, distribución y consumo</w:t>
      </w:r>
      <w:r w:rsidR="00BF63AC">
        <w:rPr>
          <w:rFonts w:ascii="Arial" w:hAnsi="Arial" w:cs="Arial"/>
          <w:lang w:val="es-MX"/>
        </w:rPr>
        <w:t xml:space="preserve"> de bienes y servicios</w:t>
      </w:r>
      <w:r w:rsidR="00FA4582">
        <w:rPr>
          <w:rFonts w:ascii="Arial" w:hAnsi="Arial" w:cs="Arial"/>
          <w:lang w:val="es-MX"/>
        </w:rPr>
        <w:t xml:space="preserve">. </w:t>
      </w:r>
      <w:r w:rsidR="001C1242">
        <w:rPr>
          <w:rFonts w:ascii="Arial" w:hAnsi="Arial" w:cs="Arial"/>
          <w:lang w:val="es-MX"/>
        </w:rPr>
        <w:t xml:space="preserve">Adicionalmente, </w:t>
      </w:r>
      <w:r w:rsidR="00FA4582">
        <w:rPr>
          <w:rFonts w:ascii="Arial" w:hAnsi="Arial" w:cs="Arial"/>
          <w:lang w:val="es-MX"/>
        </w:rPr>
        <w:t xml:space="preserve">proporcionan información para </w:t>
      </w:r>
      <w:r w:rsidR="00BF63AC" w:rsidRPr="00216AEF">
        <w:rPr>
          <w:rFonts w:ascii="Arial" w:hAnsi="Arial" w:cs="Arial"/>
        </w:rPr>
        <w:t>cuantificar</w:t>
      </w:r>
      <w:r w:rsidR="00FA4582">
        <w:rPr>
          <w:rFonts w:ascii="Arial" w:hAnsi="Arial" w:cs="Arial"/>
          <w:lang w:val="es-MX"/>
        </w:rPr>
        <w:t>,</w:t>
      </w:r>
      <w:r w:rsidR="00BF63AC" w:rsidRPr="00216AEF">
        <w:rPr>
          <w:rFonts w:ascii="Arial" w:hAnsi="Arial" w:cs="Arial"/>
        </w:rPr>
        <w:t xml:space="preserve"> en unidades monetarias</w:t>
      </w:r>
      <w:r w:rsidR="00FA4582">
        <w:rPr>
          <w:rFonts w:ascii="Arial" w:hAnsi="Arial" w:cs="Arial"/>
          <w:lang w:val="es-MX"/>
        </w:rPr>
        <w:t>,</w:t>
      </w:r>
      <w:r w:rsidR="00BF63AC" w:rsidRPr="00216AEF">
        <w:rPr>
          <w:rFonts w:ascii="Arial" w:hAnsi="Arial" w:cs="Arial"/>
        </w:rPr>
        <w:t xml:space="preserve"> los esfuerzos realizados para la protección del medio ambiente</w:t>
      </w:r>
      <w:r w:rsidR="00FA4582">
        <w:rPr>
          <w:rFonts w:ascii="Arial" w:hAnsi="Arial" w:cs="Arial"/>
          <w:lang w:val="es-MX"/>
        </w:rPr>
        <w:t>.</w:t>
      </w:r>
    </w:p>
    <w:p w14:paraId="5242DFAA" w14:textId="77777777" w:rsidR="00BA23C1" w:rsidRPr="003B1F98" w:rsidRDefault="00BA23C1" w:rsidP="009B2985">
      <w:pPr>
        <w:pStyle w:val="Textoindependiente"/>
        <w:ind w:right="-516"/>
        <w:rPr>
          <w:rFonts w:ascii="Arial" w:hAnsi="Arial" w:cs="Arial"/>
          <w:spacing w:val="-2"/>
        </w:rPr>
      </w:pPr>
    </w:p>
    <w:p w14:paraId="3526DF06" w14:textId="6A8B4D14" w:rsidR="00BF63AC" w:rsidRDefault="00BF63AC" w:rsidP="009B2985">
      <w:pPr>
        <w:ind w:left="-567" w:right="-516"/>
        <w:jc w:val="both"/>
        <w:rPr>
          <w:rFonts w:ascii="Arial" w:hAnsi="Arial" w:cs="Arial"/>
          <w:b/>
          <w:lang w:eastAsia="x-none"/>
        </w:rPr>
      </w:pPr>
      <w:r w:rsidRPr="00BF63AC">
        <w:rPr>
          <w:rFonts w:ascii="Arial" w:hAnsi="Arial" w:cs="Arial"/>
          <w:b/>
          <w:lang w:eastAsia="x-none"/>
        </w:rPr>
        <w:t>PRINCIPALES RESULTADOS</w:t>
      </w:r>
    </w:p>
    <w:p w14:paraId="7D18EDAD" w14:textId="77777777" w:rsidR="00BA23C1" w:rsidRPr="00BF63AC" w:rsidRDefault="00BA23C1" w:rsidP="009B2985">
      <w:pPr>
        <w:ind w:left="-567" w:right="-516"/>
        <w:jc w:val="both"/>
        <w:rPr>
          <w:rFonts w:ascii="Arial" w:hAnsi="Arial" w:cs="Arial"/>
          <w:b/>
          <w:lang w:eastAsia="x-none"/>
        </w:rPr>
      </w:pPr>
    </w:p>
    <w:p w14:paraId="4D92A875" w14:textId="77777777" w:rsidR="00887465" w:rsidRPr="00572526" w:rsidRDefault="00887465" w:rsidP="00887465">
      <w:pPr>
        <w:ind w:left="-567" w:right="-516"/>
        <w:jc w:val="both"/>
        <w:rPr>
          <w:rFonts w:ascii="Arial" w:hAnsi="Arial" w:cs="Arial"/>
          <w:b/>
          <w:bCs/>
          <w:lang w:val="x-none" w:eastAsia="x-none"/>
        </w:rPr>
      </w:pPr>
      <w:bookmarkStart w:id="1" w:name="_Hlk89277921"/>
      <w:r w:rsidRPr="00572526">
        <w:rPr>
          <w:rFonts w:ascii="Arial" w:hAnsi="Arial" w:cs="Arial"/>
          <w:b/>
          <w:bCs/>
          <w:lang w:val="x-none" w:eastAsia="x-none"/>
        </w:rPr>
        <w:t>Producto Interno Neto Ajustado Ambientalmente</w:t>
      </w:r>
      <w:bookmarkEnd w:id="1"/>
    </w:p>
    <w:p w14:paraId="05878CF2" w14:textId="77777777" w:rsidR="00887465" w:rsidRPr="00572526" w:rsidRDefault="00887465" w:rsidP="00887465">
      <w:pPr>
        <w:ind w:left="-567" w:right="-516"/>
        <w:jc w:val="both"/>
        <w:rPr>
          <w:rFonts w:ascii="Arial" w:hAnsi="Arial" w:cs="Arial"/>
          <w:lang w:val="x-none" w:eastAsia="x-none"/>
        </w:rPr>
      </w:pPr>
    </w:p>
    <w:p w14:paraId="0E557B35" w14:textId="31BF2AAD" w:rsidR="00887465" w:rsidRPr="00572526" w:rsidRDefault="00887465" w:rsidP="00887465">
      <w:pPr>
        <w:ind w:left="-567" w:right="-516"/>
        <w:jc w:val="both"/>
        <w:rPr>
          <w:rFonts w:ascii="Arial" w:hAnsi="Arial" w:cs="Arial"/>
          <w:lang w:val="x-none" w:eastAsia="x-none"/>
        </w:rPr>
      </w:pPr>
      <w:r w:rsidRPr="00572526">
        <w:rPr>
          <w:rFonts w:ascii="Arial" w:hAnsi="Arial" w:cs="Arial"/>
          <w:lang w:val="x-none" w:eastAsia="x-none"/>
        </w:rPr>
        <w:t>El Producto Interno Neto Ajustado Ambientalmente es el indicador que muestra el impacto ambiental ocasionado por la producción de bienes y servicios, que se obtiene al deducir del Producto Interno Bruto (PIB) a precios de mercado</w:t>
      </w:r>
      <w:r w:rsidRPr="00572526">
        <w:rPr>
          <w:rStyle w:val="Refdenotaalpie"/>
          <w:rFonts w:ascii="Arial" w:hAnsi="Arial" w:cs="Arial"/>
          <w:lang w:val="x-none" w:eastAsia="x-none"/>
        </w:rPr>
        <w:footnoteReference w:id="1"/>
      </w:r>
      <w:r w:rsidRPr="00572526">
        <w:rPr>
          <w:rFonts w:ascii="Arial" w:hAnsi="Arial" w:cs="Arial"/>
          <w:lang w:val="x-none" w:eastAsia="x-none"/>
        </w:rPr>
        <w:t xml:space="preserve"> los costos por el consumo de capital fijo y los costos imputados por el agotamiento de los recursos naturales y por la degradación ambiental.</w:t>
      </w:r>
    </w:p>
    <w:p w14:paraId="2060BD98" w14:textId="77777777" w:rsidR="00887465" w:rsidRPr="00572526" w:rsidRDefault="00887465" w:rsidP="00887465">
      <w:pPr>
        <w:ind w:left="-567" w:right="-516"/>
        <w:jc w:val="both"/>
        <w:rPr>
          <w:rFonts w:ascii="Arial" w:hAnsi="Arial" w:cs="Arial"/>
          <w:lang w:val="x-none" w:eastAsia="x-none"/>
        </w:rPr>
      </w:pPr>
    </w:p>
    <w:p w14:paraId="3C17D06D" w14:textId="752CD90A" w:rsidR="00887465" w:rsidRPr="00572526" w:rsidRDefault="00887465" w:rsidP="00887465">
      <w:pPr>
        <w:ind w:left="-567" w:right="-516"/>
        <w:jc w:val="both"/>
        <w:rPr>
          <w:rFonts w:ascii="Arial" w:hAnsi="Arial" w:cs="Arial"/>
          <w:lang w:val="x-none" w:eastAsia="x-none"/>
        </w:rPr>
      </w:pPr>
      <w:r w:rsidRPr="00572526">
        <w:rPr>
          <w:rFonts w:ascii="Arial" w:hAnsi="Arial" w:cs="Arial"/>
          <w:lang w:val="x-none" w:eastAsia="x-none"/>
        </w:rPr>
        <w:t>Durante el periodo de 2003 a 20</w:t>
      </w:r>
      <w:r w:rsidRPr="00572526">
        <w:rPr>
          <w:rFonts w:ascii="Arial" w:hAnsi="Arial" w:cs="Arial"/>
          <w:lang w:eastAsia="x-none"/>
        </w:rPr>
        <w:t>20</w:t>
      </w:r>
      <w:r w:rsidRPr="00572526">
        <w:rPr>
          <w:rFonts w:ascii="Arial" w:hAnsi="Arial" w:cs="Arial"/>
          <w:lang w:val="x-none" w:eastAsia="x-none"/>
        </w:rPr>
        <w:t xml:space="preserve"> el Producto Interno Neto Ajustado Ambientalmente ha representado en promedio 78.</w:t>
      </w:r>
      <w:r w:rsidRPr="00572526">
        <w:rPr>
          <w:rFonts w:ascii="Arial" w:hAnsi="Arial" w:cs="Arial"/>
          <w:lang w:eastAsia="x-none"/>
        </w:rPr>
        <w:t>7</w:t>
      </w:r>
      <w:r w:rsidRPr="00572526">
        <w:rPr>
          <w:rFonts w:ascii="Arial" w:hAnsi="Arial" w:cs="Arial"/>
          <w:lang w:val="x-none" w:eastAsia="x-none"/>
        </w:rPr>
        <w:t>% del Producto Interno Bruto del país, a precios de mercado, siendo 2007 el año en que registró el mayor porcentaje con 80.2% y 20</w:t>
      </w:r>
      <w:r w:rsidRPr="00572526">
        <w:rPr>
          <w:rFonts w:ascii="Arial" w:hAnsi="Arial" w:cs="Arial"/>
          <w:lang w:eastAsia="x-none"/>
        </w:rPr>
        <w:t>20</w:t>
      </w:r>
      <w:r w:rsidRPr="00572526">
        <w:rPr>
          <w:rFonts w:ascii="Arial" w:hAnsi="Arial" w:cs="Arial"/>
          <w:lang w:val="x-none" w:eastAsia="x-none"/>
        </w:rPr>
        <w:t xml:space="preserve"> el menor con 7</w:t>
      </w:r>
      <w:r w:rsidRPr="00572526">
        <w:rPr>
          <w:rFonts w:ascii="Arial" w:hAnsi="Arial" w:cs="Arial"/>
          <w:lang w:eastAsia="x-none"/>
        </w:rPr>
        <w:t>5</w:t>
      </w:r>
      <w:r w:rsidRPr="00572526">
        <w:rPr>
          <w:rFonts w:ascii="Arial" w:hAnsi="Arial" w:cs="Arial"/>
          <w:lang w:val="x-none" w:eastAsia="x-none"/>
        </w:rPr>
        <w:t>.</w:t>
      </w:r>
      <w:r w:rsidRPr="00572526">
        <w:rPr>
          <w:rFonts w:ascii="Arial" w:hAnsi="Arial" w:cs="Arial"/>
          <w:lang w:eastAsia="x-none"/>
        </w:rPr>
        <w:t>7</w:t>
      </w:r>
      <w:r w:rsidRPr="00572526">
        <w:rPr>
          <w:rFonts w:ascii="Arial" w:hAnsi="Arial" w:cs="Arial"/>
          <w:lang w:val="x-none" w:eastAsia="x-none"/>
        </w:rPr>
        <w:t xml:space="preserve"> por ciento.</w:t>
      </w:r>
    </w:p>
    <w:p w14:paraId="3DF6B1B8" w14:textId="77777777" w:rsidR="00887465" w:rsidRPr="00D86B25" w:rsidRDefault="00887465" w:rsidP="00A564B9">
      <w:pPr>
        <w:ind w:left="-567" w:right="-516"/>
        <w:jc w:val="both"/>
        <w:rPr>
          <w:rFonts w:ascii="Arial" w:hAnsi="Arial" w:cs="Arial"/>
          <w:color w:val="FF0000"/>
          <w:lang w:val="x-none" w:eastAsia="x-none"/>
        </w:rPr>
      </w:pPr>
    </w:p>
    <w:p w14:paraId="628035B1" w14:textId="324A650E" w:rsidR="00887465" w:rsidRPr="00887465" w:rsidRDefault="00887465" w:rsidP="00A564B9">
      <w:pPr>
        <w:ind w:left="-567" w:right="-516"/>
        <w:jc w:val="both"/>
        <w:rPr>
          <w:rFonts w:ascii="Arial" w:hAnsi="Arial" w:cs="Arial"/>
          <w:b/>
          <w:bCs/>
          <w:lang w:val="x-none" w:eastAsia="x-none"/>
        </w:rPr>
      </w:pPr>
      <w:r w:rsidRPr="00887465">
        <w:rPr>
          <w:rFonts w:ascii="Arial" w:hAnsi="Arial" w:cs="Arial"/>
          <w:b/>
          <w:bCs/>
          <w:lang w:val="x-none" w:eastAsia="x-none"/>
        </w:rPr>
        <w:t>Costos Totales por Agotamiento y Degradación Ambiental</w:t>
      </w:r>
    </w:p>
    <w:p w14:paraId="6EA2B749" w14:textId="77777777" w:rsidR="00D86B25" w:rsidRDefault="00D86B25" w:rsidP="00A564B9">
      <w:pPr>
        <w:ind w:left="-567" w:right="-516"/>
        <w:jc w:val="both"/>
        <w:rPr>
          <w:rFonts w:ascii="Arial" w:hAnsi="Arial" w:cs="Arial"/>
          <w:lang w:val="x-none" w:eastAsia="x-none"/>
        </w:rPr>
      </w:pPr>
    </w:p>
    <w:p w14:paraId="36647B24" w14:textId="379873E4" w:rsidR="00BA71AF" w:rsidRPr="00A564B9" w:rsidRDefault="00BA71AF" w:rsidP="00A564B9">
      <w:pPr>
        <w:ind w:left="-567" w:right="-516"/>
        <w:jc w:val="both"/>
        <w:rPr>
          <w:rFonts w:ascii="Arial" w:hAnsi="Arial" w:cs="Arial"/>
          <w:lang w:eastAsia="x-none"/>
        </w:rPr>
      </w:pPr>
      <w:r w:rsidRPr="00A0738B">
        <w:rPr>
          <w:rFonts w:ascii="Arial" w:hAnsi="Arial" w:cs="Arial"/>
          <w:lang w:val="x-none" w:eastAsia="x-none"/>
        </w:rPr>
        <w:t xml:space="preserve">Los Costos Totales por Agotamiento </w:t>
      </w:r>
      <w:r>
        <w:rPr>
          <w:rFonts w:ascii="Arial" w:hAnsi="Arial" w:cs="Arial"/>
          <w:lang w:val="x-none" w:eastAsia="x-none"/>
        </w:rPr>
        <w:t>y Degradación Ambiental (CTADA</w:t>
      </w:r>
      <w:r w:rsidRPr="00DE24C3">
        <w:rPr>
          <w:rFonts w:ascii="Arial" w:hAnsi="Arial" w:cs="Arial"/>
          <w:lang w:eastAsia="x-none"/>
        </w:rPr>
        <w:t>) en 2020 ascendieron a 1</w:t>
      </w:r>
      <w:r w:rsidR="00BF63AC">
        <w:rPr>
          <w:rFonts w:ascii="Arial" w:hAnsi="Arial" w:cs="Arial"/>
          <w:lang w:eastAsia="x-none"/>
        </w:rPr>
        <w:t xml:space="preserve"> </w:t>
      </w:r>
      <w:r w:rsidRPr="00DE24C3">
        <w:rPr>
          <w:rFonts w:ascii="Arial" w:hAnsi="Arial" w:cs="Arial"/>
          <w:lang w:eastAsia="x-none"/>
        </w:rPr>
        <w:t>066</w:t>
      </w:r>
      <w:r w:rsidR="00BF63AC">
        <w:rPr>
          <w:rFonts w:ascii="Arial" w:hAnsi="Arial" w:cs="Arial"/>
          <w:lang w:eastAsia="x-none"/>
        </w:rPr>
        <w:t xml:space="preserve"> </w:t>
      </w:r>
      <w:r w:rsidRPr="00DE24C3">
        <w:rPr>
          <w:rFonts w:ascii="Arial" w:hAnsi="Arial" w:cs="Arial"/>
          <w:lang w:eastAsia="x-none"/>
        </w:rPr>
        <w:t xml:space="preserve">853 millones de pesos corrientes, monto equivalente a 4.6% del PIB </w:t>
      </w:r>
      <w:r w:rsidR="00FA4582">
        <w:rPr>
          <w:rFonts w:ascii="Arial" w:hAnsi="Arial" w:cs="Arial"/>
          <w:lang w:eastAsia="x-none"/>
        </w:rPr>
        <w:t>n</w:t>
      </w:r>
      <w:r w:rsidRPr="00DE24C3">
        <w:rPr>
          <w:rFonts w:ascii="Arial" w:hAnsi="Arial" w:cs="Arial"/>
          <w:lang w:eastAsia="x-none"/>
        </w:rPr>
        <w:t>acional a precios de mercado</w:t>
      </w:r>
      <w:r>
        <w:rPr>
          <w:rFonts w:ascii="Arial" w:hAnsi="Arial" w:cs="Arial"/>
          <w:lang w:eastAsia="x-none"/>
        </w:rPr>
        <w:t>. Por componentes,</w:t>
      </w:r>
      <w:r w:rsidRPr="00A0738B">
        <w:rPr>
          <w:rFonts w:ascii="Arial" w:hAnsi="Arial" w:cs="Arial"/>
          <w:lang w:val="x-none" w:eastAsia="x-none"/>
        </w:rPr>
        <w:t xml:space="preserve"> los costos por agotamiento</w:t>
      </w:r>
      <w:r>
        <w:rPr>
          <w:rFonts w:ascii="Arial" w:hAnsi="Arial" w:cs="Arial"/>
          <w:lang w:eastAsia="x-none"/>
        </w:rPr>
        <w:t xml:space="preserve"> representaron </w:t>
      </w:r>
      <w:r w:rsidRPr="00A0738B">
        <w:rPr>
          <w:rFonts w:ascii="Arial" w:hAnsi="Arial" w:cs="Arial"/>
          <w:lang w:val="x-none" w:eastAsia="x-none"/>
        </w:rPr>
        <w:t>0.7%</w:t>
      </w:r>
      <w:r>
        <w:rPr>
          <w:rFonts w:ascii="Arial" w:hAnsi="Arial" w:cs="Arial"/>
          <w:lang w:eastAsia="x-none"/>
        </w:rPr>
        <w:t>, mientras que</w:t>
      </w:r>
      <w:r w:rsidRPr="00A0738B">
        <w:rPr>
          <w:rFonts w:ascii="Arial" w:hAnsi="Arial" w:cs="Arial"/>
          <w:lang w:val="x-none" w:eastAsia="x-none"/>
        </w:rPr>
        <w:t xml:space="preserve"> los costos por degradación </w:t>
      </w:r>
      <w:r>
        <w:rPr>
          <w:rFonts w:ascii="Arial" w:hAnsi="Arial" w:cs="Arial"/>
          <w:lang w:eastAsia="x-none"/>
        </w:rPr>
        <w:t xml:space="preserve">fueron equivalentes a </w:t>
      </w:r>
      <w:r w:rsidRPr="00A0738B">
        <w:rPr>
          <w:rFonts w:ascii="Arial" w:hAnsi="Arial" w:cs="Arial"/>
          <w:lang w:val="x-none" w:eastAsia="x-none"/>
        </w:rPr>
        <w:t>3.9 por ciento.</w:t>
      </w:r>
    </w:p>
    <w:p w14:paraId="7AC31F4F" w14:textId="77777777" w:rsidR="00BA23C1" w:rsidRDefault="00BA23C1" w:rsidP="009B2985">
      <w:pPr>
        <w:ind w:left="-567" w:right="-516"/>
        <w:jc w:val="both"/>
        <w:rPr>
          <w:rFonts w:ascii="Arial" w:hAnsi="Arial" w:cs="Arial"/>
          <w:lang w:val="x-none" w:eastAsia="x-none"/>
        </w:rPr>
      </w:pPr>
    </w:p>
    <w:p w14:paraId="33915AD0" w14:textId="0F294F8C" w:rsidR="001A16E8" w:rsidRDefault="00BF63AC" w:rsidP="009B2985">
      <w:pPr>
        <w:ind w:left="-567" w:right="-516"/>
        <w:jc w:val="both"/>
        <w:rPr>
          <w:rFonts w:ascii="Arial" w:hAnsi="Arial" w:cs="Arial"/>
          <w:spacing w:val="-1"/>
          <w:lang w:eastAsia="x-none"/>
        </w:rPr>
      </w:pPr>
      <w:r>
        <w:rPr>
          <w:rFonts w:ascii="Arial" w:hAnsi="Arial" w:cs="Arial"/>
          <w:spacing w:val="-1"/>
          <w:lang w:eastAsia="x-none"/>
        </w:rPr>
        <w:t>En</w:t>
      </w:r>
      <w:r w:rsidR="00BA71AF">
        <w:rPr>
          <w:rFonts w:ascii="Arial" w:hAnsi="Arial" w:cs="Arial"/>
          <w:spacing w:val="-1"/>
          <w:lang w:eastAsia="x-none"/>
        </w:rPr>
        <w:t xml:space="preserve"> 2020</w:t>
      </w:r>
      <w:r w:rsidR="00FA4582">
        <w:rPr>
          <w:rFonts w:ascii="Arial" w:hAnsi="Arial" w:cs="Arial"/>
          <w:spacing w:val="-1"/>
          <w:lang w:eastAsia="x-none"/>
        </w:rPr>
        <w:t>,</w:t>
      </w:r>
      <w:r w:rsidR="00BA71AF">
        <w:rPr>
          <w:rFonts w:ascii="Arial" w:hAnsi="Arial" w:cs="Arial"/>
          <w:spacing w:val="-1"/>
          <w:lang w:eastAsia="x-none"/>
        </w:rPr>
        <w:t xml:space="preserve"> </w:t>
      </w:r>
      <w:proofErr w:type="spellStart"/>
      <w:r w:rsidR="00FA4582" w:rsidRPr="000D5670">
        <w:rPr>
          <w:rFonts w:ascii="Arial" w:hAnsi="Arial" w:cs="Arial"/>
          <w:spacing w:val="-1"/>
          <w:lang w:eastAsia="x-none"/>
        </w:rPr>
        <w:t>l</w:t>
      </w:r>
      <w:r w:rsidR="00FA4582" w:rsidRPr="000D5670">
        <w:rPr>
          <w:rFonts w:ascii="Arial" w:hAnsi="Arial" w:cs="Arial"/>
          <w:spacing w:val="-1"/>
          <w:lang w:val="x-none" w:eastAsia="x-none"/>
        </w:rPr>
        <w:t>as</w:t>
      </w:r>
      <w:proofErr w:type="spellEnd"/>
      <w:r w:rsidR="00BA71AF" w:rsidRPr="000D5670">
        <w:rPr>
          <w:rFonts w:ascii="Arial" w:hAnsi="Arial" w:cs="Arial"/>
          <w:spacing w:val="-1"/>
          <w:lang w:val="x-none" w:eastAsia="x-none"/>
        </w:rPr>
        <w:t xml:space="preserve"> emisiones al aire representaron el mayor costo ambiental al ubicarse en 611</w:t>
      </w:r>
      <w:r>
        <w:rPr>
          <w:rFonts w:ascii="Arial" w:hAnsi="Arial" w:cs="Arial"/>
          <w:spacing w:val="-1"/>
          <w:lang w:eastAsia="x-none"/>
        </w:rPr>
        <w:t xml:space="preserve"> </w:t>
      </w:r>
      <w:r w:rsidR="00BA71AF" w:rsidRPr="000D5670">
        <w:rPr>
          <w:rFonts w:ascii="Arial" w:hAnsi="Arial" w:cs="Arial"/>
          <w:spacing w:val="-1"/>
          <w:lang w:val="x-none" w:eastAsia="x-none"/>
        </w:rPr>
        <w:t>235</w:t>
      </w:r>
      <w:r w:rsidR="00BA71AF">
        <w:rPr>
          <w:rFonts w:ascii="Arial" w:hAnsi="Arial" w:cs="Arial"/>
          <w:spacing w:val="-1"/>
          <w:lang w:eastAsia="x-none"/>
        </w:rPr>
        <w:t>.3</w:t>
      </w:r>
      <w:r w:rsidR="00BA71AF" w:rsidRPr="000D5670">
        <w:rPr>
          <w:rFonts w:ascii="Arial" w:hAnsi="Arial" w:cs="Arial"/>
          <w:spacing w:val="-1"/>
          <w:lang w:val="x-none" w:eastAsia="x-none"/>
        </w:rPr>
        <w:t xml:space="preserve"> millones de pesos</w:t>
      </w:r>
      <w:r w:rsidR="00BA71AF">
        <w:rPr>
          <w:rFonts w:ascii="Arial" w:hAnsi="Arial" w:cs="Arial"/>
          <w:spacing w:val="-1"/>
          <w:lang w:eastAsia="x-none"/>
        </w:rPr>
        <w:t>;</w:t>
      </w:r>
      <w:r w:rsidR="00BA71AF" w:rsidRPr="000D5670">
        <w:rPr>
          <w:rFonts w:ascii="Arial" w:hAnsi="Arial" w:cs="Arial"/>
          <w:spacing w:val="-1"/>
          <w:lang w:val="x-none" w:eastAsia="x-none"/>
        </w:rPr>
        <w:t xml:space="preserve"> le siguieron los costos por degradación del suelo</w:t>
      </w:r>
      <w:r w:rsidR="00BA71AF">
        <w:rPr>
          <w:rFonts w:ascii="Arial" w:hAnsi="Arial" w:cs="Arial"/>
          <w:spacing w:val="-1"/>
          <w:lang w:eastAsia="x-none"/>
        </w:rPr>
        <w:t xml:space="preserve"> con</w:t>
      </w:r>
      <w:r w:rsidR="00BA71AF" w:rsidRPr="000D5670">
        <w:rPr>
          <w:rFonts w:ascii="Arial" w:hAnsi="Arial" w:cs="Arial"/>
          <w:spacing w:val="-1"/>
          <w:lang w:val="x-none" w:eastAsia="x-none"/>
        </w:rPr>
        <w:t xml:space="preserve"> 163</w:t>
      </w:r>
      <w:r>
        <w:rPr>
          <w:rFonts w:ascii="Arial" w:hAnsi="Arial" w:cs="Arial"/>
          <w:spacing w:val="-1"/>
          <w:lang w:eastAsia="x-none"/>
        </w:rPr>
        <w:t xml:space="preserve"> </w:t>
      </w:r>
      <w:r w:rsidR="00BA71AF" w:rsidRPr="000D5670">
        <w:rPr>
          <w:rFonts w:ascii="Arial" w:hAnsi="Arial" w:cs="Arial"/>
          <w:spacing w:val="-1"/>
          <w:lang w:val="x-none" w:eastAsia="x-none"/>
        </w:rPr>
        <w:t>807</w:t>
      </w:r>
      <w:r w:rsidR="00BA71AF">
        <w:rPr>
          <w:rFonts w:ascii="Arial" w:hAnsi="Arial" w:cs="Arial"/>
          <w:spacing w:val="-1"/>
          <w:lang w:eastAsia="x-none"/>
        </w:rPr>
        <w:t>.4</w:t>
      </w:r>
      <w:r w:rsidR="00BA71AF" w:rsidRPr="000D5670">
        <w:rPr>
          <w:rFonts w:ascii="Arial" w:hAnsi="Arial" w:cs="Arial"/>
          <w:spacing w:val="-1"/>
          <w:lang w:val="x-none" w:eastAsia="x-none"/>
        </w:rPr>
        <w:t xml:space="preserve"> millones</w:t>
      </w:r>
      <w:r>
        <w:rPr>
          <w:rFonts w:ascii="Arial" w:hAnsi="Arial" w:cs="Arial"/>
          <w:spacing w:val="-1"/>
          <w:lang w:eastAsia="x-none"/>
        </w:rPr>
        <w:t xml:space="preserve"> de pesos</w:t>
      </w:r>
      <w:r w:rsidR="001A16E8">
        <w:rPr>
          <w:rFonts w:ascii="Arial" w:hAnsi="Arial" w:cs="Arial"/>
          <w:spacing w:val="-1"/>
          <w:lang w:eastAsia="x-none"/>
        </w:rPr>
        <w:t xml:space="preserve"> y</w:t>
      </w:r>
      <w:r w:rsidR="00BA71AF">
        <w:rPr>
          <w:rFonts w:ascii="Arial" w:hAnsi="Arial" w:cs="Arial"/>
          <w:spacing w:val="-1"/>
          <w:lang w:eastAsia="x-none"/>
        </w:rPr>
        <w:t xml:space="preserve"> los</w:t>
      </w:r>
      <w:r w:rsidR="00BA71AF" w:rsidRPr="000D5670">
        <w:rPr>
          <w:rFonts w:ascii="Arial" w:hAnsi="Arial" w:cs="Arial"/>
          <w:spacing w:val="-1"/>
          <w:lang w:val="x-none" w:eastAsia="x-none"/>
        </w:rPr>
        <w:t xml:space="preserve"> residuos sólidos urbanos </w:t>
      </w:r>
      <w:r w:rsidR="00BA71AF">
        <w:rPr>
          <w:rFonts w:ascii="Arial" w:hAnsi="Arial" w:cs="Arial"/>
          <w:spacing w:val="-1"/>
          <w:lang w:eastAsia="x-none"/>
        </w:rPr>
        <w:t xml:space="preserve">con </w:t>
      </w:r>
      <w:r w:rsidR="00BA71AF" w:rsidRPr="000D5670">
        <w:rPr>
          <w:rFonts w:ascii="Arial" w:hAnsi="Arial" w:cs="Arial"/>
          <w:spacing w:val="-1"/>
          <w:lang w:val="x-none" w:eastAsia="x-none"/>
        </w:rPr>
        <w:t>87</w:t>
      </w:r>
      <w:r>
        <w:rPr>
          <w:rFonts w:ascii="Arial" w:hAnsi="Arial" w:cs="Arial"/>
          <w:spacing w:val="-1"/>
          <w:lang w:eastAsia="x-none"/>
        </w:rPr>
        <w:t xml:space="preserve"> </w:t>
      </w:r>
      <w:r w:rsidR="00BA71AF" w:rsidRPr="000D5670">
        <w:rPr>
          <w:rFonts w:ascii="Arial" w:hAnsi="Arial" w:cs="Arial"/>
          <w:spacing w:val="-1"/>
          <w:lang w:val="x-none" w:eastAsia="x-none"/>
        </w:rPr>
        <w:t>019</w:t>
      </w:r>
      <w:r w:rsidR="00BA71AF">
        <w:rPr>
          <w:rFonts w:ascii="Arial" w:hAnsi="Arial" w:cs="Arial"/>
          <w:spacing w:val="-1"/>
          <w:lang w:eastAsia="x-none"/>
        </w:rPr>
        <w:t>.3</w:t>
      </w:r>
      <w:r w:rsidR="00BA71AF" w:rsidRPr="000D5670">
        <w:rPr>
          <w:rFonts w:ascii="Arial" w:hAnsi="Arial" w:cs="Arial"/>
          <w:spacing w:val="-1"/>
          <w:lang w:val="x-none" w:eastAsia="x-none"/>
        </w:rPr>
        <w:t xml:space="preserve"> millones</w:t>
      </w:r>
      <w:r>
        <w:rPr>
          <w:rFonts w:ascii="Arial" w:hAnsi="Arial" w:cs="Arial"/>
          <w:spacing w:val="-1"/>
          <w:lang w:eastAsia="x-none"/>
        </w:rPr>
        <w:t xml:space="preserve"> de pesos</w:t>
      </w:r>
      <w:r w:rsidR="001A16E8">
        <w:rPr>
          <w:rFonts w:ascii="Arial" w:hAnsi="Arial" w:cs="Arial"/>
          <w:spacing w:val="-1"/>
          <w:lang w:eastAsia="x-none"/>
        </w:rPr>
        <w:t>.</w:t>
      </w:r>
    </w:p>
    <w:p w14:paraId="7621B3CF" w14:textId="77777777" w:rsidR="001A16E8" w:rsidRDefault="001A16E8" w:rsidP="00BA23C1">
      <w:pPr>
        <w:ind w:left="-567" w:right="-516"/>
        <w:jc w:val="both"/>
        <w:rPr>
          <w:rFonts w:ascii="Arial" w:hAnsi="Arial" w:cs="Arial"/>
          <w:spacing w:val="-1"/>
          <w:lang w:eastAsia="x-none"/>
        </w:rPr>
      </w:pPr>
    </w:p>
    <w:p w14:paraId="79DE9A60" w14:textId="77777777" w:rsidR="00572526" w:rsidRDefault="00572526" w:rsidP="001A16E8">
      <w:pPr>
        <w:ind w:right="49"/>
        <w:jc w:val="center"/>
        <w:rPr>
          <w:rFonts w:ascii="Arial" w:hAnsi="Arial" w:cs="Arial"/>
          <w:b/>
          <w:sz w:val="22"/>
          <w:szCs w:val="22"/>
        </w:rPr>
      </w:pPr>
    </w:p>
    <w:p w14:paraId="51B91D8E" w14:textId="085682A5" w:rsidR="001A16E8" w:rsidRPr="00141AFC" w:rsidRDefault="001A16E8" w:rsidP="001A16E8">
      <w:pPr>
        <w:ind w:right="49"/>
        <w:jc w:val="center"/>
        <w:rPr>
          <w:rFonts w:ascii="Arial" w:hAnsi="Arial" w:cs="Arial"/>
          <w:b/>
          <w:sz w:val="22"/>
          <w:szCs w:val="22"/>
        </w:rPr>
      </w:pPr>
      <w:r w:rsidRPr="00141AFC">
        <w:rPr>
          <w:rFonts w:ascii="Arial" w:hAnsi="Arial" w:cs="Arial"/>
          <w:b/>
          <w:sz w:val="22"/>
          <w:szCs w:val="22"/>
        </w:rPr>
        <w:lastRenderedPageBreak/>
        <w:t>COMPOSICIÓN DE LOS COSTOS TOTALES POR AGOTAMIENTO Y</w:t>
      </w:r>
    </w:p>
    <w:p w14:paraId="45AFBC68" w14:textId="77777777" w:rsidR="001A16E8" w:rsidRPr="00141AFC" w:rsidRDefault="001A16E8" w:rsidP="001A16E8">
      <w:pPr>
        <w:spacing w:line="276" w:lineRule="exact"/>
        <w:ind w:right="49"/>
        <w:jc w:val="center"/>
        <w:rPr>
          <w:rFonts w:ascii="Arial" w:hAnsi="Arial" w:cs="Arial"/>
          <w:b/>
          <w:sz w:val="22"/>
          <w:szCs w:val="22"/>
        </w:rPr>
      </w:pPr>
      <w:r w:rsidRPr="00141AFC">
        <w:rPr>
          <w:rFonts w:ascii="Arial" w:hAnsi="Arial" w:cs="Arial"/>
          <w:b/>
          <w:sz w:val="22"/>
          <w:szCs w:val="22"/>
        </w:rPr>
        <w:t xml:space="preserve">DEGRADACIÓN AMBIENTAL, </w:t>
      </w:r>
      <w:r>
        <w:rPr>
          <w:rFonts w:ascii="Arial" w:hAnsi="Arial" w:cs="Arial"/>
          <w:b/>
          <w:sz w:val="22"/>
          <w:szCs w:val="22"/>
        </w:rPr>
        <w:t xml:space="preserve">AÑO </w:t>
      </w:r>
      <w:r w:rsidRPr="00141AFC">
        <w:rPr>
          <w:rFonts w:ascii="Arial" w:hAnsi="Arial" w:cs="Arial"/>
          <w:b/>
          <w:sz w:val="22"/>
          <w:szCs w:val="22"/>
        </w:rPr>
        <w:t>2020</w:t>
      </w:r>
    </w:p>
    <w:tbl>
      <w:tblPr>
        <w:tblStyle w:val="TableNormal"/>
        <w:tblW w:w="921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119"/>
        <w:gridCol w:w="2410"/>
      </w:tblGrid>
      <w:tr w:rsidR="001A16E8" w:rsidRPr="00A0738B" w14:paraId="3CF95E65" w14:textId="77777777" w:rsidTr="009B2985">
        <w:trPr>
          <w:trHeight w:hRule="exact" w:val="672"/>
        </w:trPr>
        <w:tc>
          <w:tcPr>
            <w:tcW w:w="3686" w:type="dxa"/>
            <w:shd w:val="clear" w:color="auto" w:fill="B4C5E7"/>
          </w:tcPr>
          <w:p w14:paraId="01DBCA3C" w14:textId="77777777" w:rsidR="001A16E8" w:rsidRPr="00A0738B" w:rsidRDefault="001A16E8" w:rsidP="00E62AE8">
            <w:pPr>
              <w:pStyle w:val="TableParagraph"/>
              <w:spacing w:before="0"/>
              <w:rPr>
                <w:sz w:val="27"/>
                <w:lang w:val="es-MX"/>
              </w:rPr>
            </w:pPr>
          </w:p>
          <w:p w14:paraId="67EA1B37" w14:textId="77777777" w:rsidR="001A16E8" w:rsidRPr="00A0738B" w:rsidRDefault="001A16E8" w:rsidP="00E62AE8">
            <w:pPr>
              <w:pStyle w:val="TableParagraph"/>
              <w:spacing w:before="0"/>
              <w:ind w:left="1404" w:right="1401"/>
              <w:jc w:val="center"/>
              <w:rPr>
                <w:b/>
                <w:sz w:val="18"/>
                <w:lang w:val="es-MX"/>
              </w:rPr>
            </w:pPr>
            <w:r w:rsidRPr="00A0738B">
              <w:rPr>
                <w:b/>
                <w:sz w:val="18"/>
                <w:lang w:val="es-MX"/>
              </w:rPr>
              <w:t>Concepto</w:t>
            </w:r>
          </w:p>
        </w:tc>
        <w:tc>
          <w:tcPr>
            <w:tcW w:w="3119" w:type="dxa"/>
            <w:shd w:val="clear" w:color="auto" w:fill="B4C5E7"/>
          </w:tcPr>
          <w:p w14:paraId="1B22E866" w14:textId="77777777" w:rsidR="001A16E8" w:rsidRPr="00A0738B" w:rsidRDefault="001A16E8" w:rsidP="00E62AE8">
            <w:pPr>
              <w:pStyle w:val="TableParagraph"/>
              <w:spacing w:before="0"/>
              <w:ind w:left="304" w:right="307" w:firstLine="1"/>
              <w:jc w:val="center"/>
              <w:rPr>
                <w:b/>
                <w:sz w:val="18"/>
                <w:lang w:val="es-MX"/>
              </w:rPr>
            </w:pPr>
            <w:r w:rsidRPr="00A0738B">
              <w:rPr>
                <w:b/>
                <w:sz w:val="18"/>
                <w:lang w:val="es-MX"/>
              </w:rPr>
              <w:t>Costos por agotamiento y degradación ambiental</w:t>
            </w:r>
            <w:r>
              <w:rPr>
                <w:b/>
                <w:sz w:val="18"/>
                <w:lang w:val="es-MX"/>
              </w:rPr>
              <w:t xml:space="preserve"> </w:t>
            </w:r>
            <w:r w:rsidRPr="001448FC">
              <w:rPr>
                <w:sz w:val="18"/>
                <w:lang w:val="es-MX"/>
              </w:rPr>
              <w:t>(Millones de pesos corrientes)</w:t>
            </w:r>
          </w:p>
        </w:tc>
        <w:tc>
          <w:tcPr>
            <w:tcW w:w="2410" w:type="dxa"/>
            <w:shd w:val="clear" w:color="auto" w:fill="B4C5E7"/>
          </w:tcPr>
          <w:p w14:paraId="253A4C40" w14:textId="77777777" w:rsidR="001A16E8" w:rsidRPr="00A0738B" w:rsidRDefault="001A16E8" w:rsidP="00E62AE8">
            <w:pPr>
              <w:pStyle w:val="TableParagraph"/>
              <w:spacing w:before="0"/>
              <w:rPr>
                <w:sz w:val="18"/>
                <w:lang w:val="es-MX"/>
              </w:rPr>
            </w:pPr>
          </w:p>
          <w:p w14:paraId="488BF9C2" w14:textId="77777777" w:rsidR="001A16E8" w:rsidRPr="00A0738B" w:rsidRDefault="001A16E8" w:rsidP="00E62AE8">
            <w:pPr>
              <w:pStyle w:val="TableParagraph"/>
              <w:spacing w:before="1"/>
              <w:ind w:left="194" w:right="177" w:hanging="60"/>
              <w:jc w:val="center"/>
              <w:rPr>
                <w:b/>
                <w:sz w:val="18"/>
                <w:lang w:val="es-MX"/>
              </w:rPr>
            </w:pPr>
            <w:r>
              <w:rPr>
                <w:b/>
                <w:sz w:val="18"/>
                <w:lang w:val="es-MX"/>
              </w:rPr>
              <w:t>Porcentaje</w:t>
            </w:r>
            <w:r w:rsidRPr="00A0738B">
              <w:rPr>
                <w:b/>
                <w:sz w:val="18"/>
                <w:lang w:val="es-MX"/>
              </w:rPr>
              <w:t xml:space="preserve"> respecto al PIB Nacional</w:t>
            </w:r>
          </w:p>
        </w:tc>
      </w:tr>
      <w:tr w:rsidR="001A16E8" w:rsidRPr="00A0738B" w14:paraId="26338970" w14:textId="77777777" w:rsidTr="00FA4582">
        <w:trPr>
          <w:trHeight w:hRule="exact" w:val="509"/>
        </w:trPr>
        <w:tc>
          <w:tcPr>
            <w:tcW w:w="3686" w:type="dxa"/>
            <w:shd w:val="clear" w:color="auto" w:fill="ECECEC"/>
          </w:tcPr>
          <w:p w14:paraId="45A71724" w14:textId="77777777" w:rsidR="001A16E8" w:rsidRPr="00A0738B" w:rsidRDefault="001A16E8" w:rsidP="00E62AE8">
            <w:pPr>
              <w:pStyle w:val="TableParagraph"/>
              <w:spacing w:before="66"/>
              <w:ind w:left="136"/>
              <w:rPr>
                <w:b/>
                <w:sz w:val="18"/>
                <w:lang w:val="es-MX"/>
              </w:rPr>
            </w:pPr>
            <w:r w:rsidRPr="00A0738B">
              <w:rPr>
                <w:b/>
                <w:sz w:val="18"/>
                <w:lang w:val="es-MX"/>
              </w:rPr>
              <w:t>Costos Totales</w:t>
            </w:r>
            <w:r>
              <w:rPr>
                <w:b/>
                <w:sz w:val="18"/>
                <w:lang w:val="es-MX"/>
              </w:rPr>
              <w:t xml:space="preserve"> por Agotamiento y Degradación Ambiental</w:t>
            </w:r>
          </w:p>
        </w:tc>
        <w:tc>
          <w:tcPr>
            <w:tcW w:w="3119" w:type="dxa"/>
            <w:shd w:val="clear" w:color="auto" w:fill="ECECEC"/>
          </w:tcPr>
          <w:p w14:paraId="362FA0BD" w14:textId="77777777" w:rsidR="001A16E8" w:rsidRPr="00A0738B" w:rsidRDefault="001A16E8" w:rsidP="00E62AE8">
            <w:pPr>
              <w:pStyle w:val="TableParagraph"/>
              <w:spacing w:before="66"/>
              <w:ind w:right="661"/>
              <w:jc w:val="right"/>
              <w:rPr>
                <w:b/>
                <w:sz w:val="18"/>
                <w:lang w:val="es-MX"/>
              </w:rPr>
            </w:pPr>
            <w:r w:rsidRPr="00A0738B">
              <w:rPr>
                <w:b/>
                <w:sz w:val="18"/>
                <w:lang w:val="es-MX"/>
              </w:rPr>
              <w:t>1</w:t>
            </w:r>
            <w:r>
              <w:rPr>
                <w:b/>
                <w:sz w:val="18"/>
                <w:lang w:val="es-MX"/>
              </w:rPr>
              <w:t xml:space="preserve"> </w:t>
            </w:r>
            <w:r w:rsidRPr="00A0738B">
              <w:rPr>
                <w:b/>
                <w:sz w:val="18"/>
                <w:lang w:val="es-MX"/>
              </w:rPr>
              <w:t>066</w:t>
            </w:r>
            <w:r>
              <w:rPr>
                <w:b/>
                <w:sz w:val="18"/>
                <w:lang w:val="es-MX"/>
              </w:rPr>
              <w:t xml:space="preserve"> </w:t>
            </w:r>
            <w:r w:rsidRPr="00A0738B">
              <w:rPr>
                <w:b/>
                <w:sz w:val="18"/>
                <w:lang w:val="es-MX"/>
              </w:rPr>
              <w:t>853</w:t>
            </w:r>
          </w:p>
        </w:tc>
        <w:tc>
          <w:tcPr>
            <w:tcW w:w="2410" w:type="dxa"/>
            <w:shd w:val="clear" w:color="auto" w:fill="ECECEC"/>
          </w:tcPr>
          <w:p w14:paraId="5C363246" w14:textId="77777777" w:rsidR="001A16E8" w:rsidRPr="00A0738B" w:rsidRDefault="001A16E8" w:rsidP="00E62AE8">
            <w:pPr>
              <w:pStyle w:val="TableParagraph"/>
              <w:spacing w:before="66"/>
              <w:ind w:left="700" w:right="700"/>
              <w:jc w:val="center"/>
              <w:rPr>
                <w:b/>
                <w:sz w:val="18"/>
                <w:lang w:val="es-MX"/>
              </w:rPr>
            </w:pPr>
            <w:r w:rsidRPr="00A0738B">
              <w:rPr>
                <w:b/>
                <w:sz w:val="18"/>
                <w:lang w:val="es-MX"/>
              </w:rPr>
              <w:t>4.</w:t>
            </w:r>
            <w:r>
              <w:rPr>
                <w:b/>
                <w:sz w:val="18"/>
                <w:lang w:val="es-MX"/>
              </w:rPr>
              <w:t>6</w:t>
            </w:r>
          </w:p>
        </w:tc>
      </w:tr>
      <w:tr w:rsidR="001A16E8" w:rsidRPr="00A0738B" w14:paraId="1EFF4E41" w14:textId="77777777" w:rsidTr="00217264">
        <w:trPr>
          <w:trHeight w:hRule="exact" w:val="327"/>
        </w:trPr>
        <w:tc>
          <w:tcPr>
            <w:tcW w:w="3686" w:type="dxa"/>
            <w:shd w:val="clear" w:color="auto" w:fill="ECECEC"/>
          </w:tcPr>
          <w:p w14:paraId="222C57A5" w14:textId="77777777" w:rsidR="001A16E8" w:rsidRPr="00A0738B" w:rsidRDefault="001A16E8" w:rsidP="00E62AE8">
            <w:pPr>
              <w:pStyle w:val="TableParagraph"/>
              <w:spacing w:before="64"/>
              <w:ind w:left="136"/>
              <w:rPr>
                <w:b/>
                <w:sz w:val="18"/>
                <w:lang w:val="es-MX"/>
              </w:rPr>
            </w:pPr>
            <w:r>
              <w:rPr>
                <w:b/>
                <w:sz w:val="18"/>
                <w:lang w:val="es-MX"/>
              </w:rPr>
              <w:t xml:space="preserve">    </w:t>
            </w:r>
            <w:r w:rsidRPr="00A0738B">
              <w:rPr>
                <w:b/>
                <w:sz w:val="18"/>
                <w:lang w:val="es-MX"/>
              </w:rPr>
              <w:t>Costos por Agotamiento</w:t>
            </w:r>
          </w:p>
        </w:tc>
        <w:tc>
          <w:tcPr>
            <w:tcW w:w="3119" w:type="dxa"/>
            <w:shd w:val="clear" w:color="auto" w:fill="ECECEC"/>
          </w:tcPr>
          <w:p w14:paraId="1A2B1322" w14:textId="77777777" w:rsidR="001A16E8" w:rsidRPr="00A0738B" w:rsidRDefault="001A16E8" w:rsidP="00E62AE8">
            <w:pPr>
              <w:pStyle w:val="TableParagraph"/>
              <w:spacing w:before="64"/>
              <w:ind w:right="661"/>
              <w:jc w:val="right"/>
              <w:rPr>
                <w:b/>
                <w:sz w:val="18"/>
                <w:lang w:val="es-MX"/>
              </w:rPr>
            </w:pPr>
            <w:r w:rsidRPr="00A0738B">
              <w:rPr>
                <w:b/>
                <w:sz w:val="18"/>
                <w:lang w:val="es-MX"/>
              </w:rPr>
              <w:t>156</w:t>
            </w:r>
            <w:r>
              <w:rPr>
                <w:b/>
                <w:sz w:val="18"/>
                <w:lang w:val="es-MX"/>
              </w:rPr>
              <w:t xml:space="preserve"> </w:t>
            </w:r>
            <w:r w:rsidRPr="00A0738B">
              <w:rPr>
                <w:b/>
                <w:sz w:val="18"/>
                <w:lang w:val="es-MX"/>
              </w:rPr>
              <w:t>88</w:t>
            </w:r>
            <w:r>
              <w:rPr>
                <w:b/>
                <w:sz w:val="18"/>
                <w:lang w:val="es-MX"/>
              </w:rPr>
              <w:t>7.6</w:t>
            </w:r>
          </w:p>
        </w:tc>
        <w:tc>
          <w:tcPr>
            <w:tcW w:w="2410" w:type="dxa"/>
            <w:shd w:val="clear" w:color="auto" w:fill="ECECEC"/>
          </w:tcPr>
          <w:p w14:paraId="0189D00E" w14:textId="77777777" w:rsidR="001A16E8" w:rsidRPr="00A0738B" w:rsidRDefault="001A16E8" w:rsidP="00E62AE8">
            <w:pPr>
              <w:pStyle w:val="TableParagraph"/>
              <w:spacing w:before="64"/>
              <w:ind w:left="700" w:right="700"/>
              <w:jc w:val="center"/>
              <w:rPr>
                <w:b/>
                <w:sz w:val="18"/>
                <w:lang w:val="es-MX"/>
              </w:rPr>
            </w:pPr>
            <w:r w:rsidRPr="00A0738B">
              <w:rPr>
                <w:b/>
                <w:sz w:val="18"/>
                <w:lang w:val="es-MX"/>
              </w:rPr>
              <w:t>0.7</w:t>
            </w:r>
          </w:p>
        </w:tc>
      </w:tr>
      <w:tr w:rsidR="001A16E8" w:rsidRPr="00A0738B" w14:paraId="34432F11" w14:textId="77777777" w:rsidTr="00217264">
        <w:trPr>
          <w:trHeight w:hRule="exact" w:val="275"/>
        </w:trPr>
        <w:tc>
          <w:tcPr>
            <w:tcW w:w="3686" w:type="dxa"/>
          </w:tcPr>
          <w:p w14:paraId="4369CAB0" w14:textId="77777777" w:rsidR="001A16E8" w:rsidRPr="00A0738B" w:rsidRDefault="001A16E8" w:rsidP="00E62AE8">
            <w:pPr>
              <w:pStyle w:val="TableParagraph"/>
              <w:spacing w:before="37"/>
              <w:ind w:left="420"/>
              <w:rPr>
                <w:sz w:val="18"/>
                <w:lang w:val="es-MX"/>
              </w:rPr>
            </w:pPr>
            <w:r>
              <w:rPr>
                <w:sz w:val="18"/>
                <w:lang w:val="es-MX"/>
              </w:rPr>
              <w:t xml:space="preserve">  H</w:t>
            </w:r>
            <w:r w:rsidRPr="00A0738B">
              <w:rPr>
                <w:sz w:val="18"/>
                <w:lang w:val="es-MX"/>
              </w:rPr>
              <w:t>idrocarburos</w:t>
            </w:r>
          </w:p>
        </w:tc>
        <w:tc>
          <w:tcPr>
            <w:tcW w:w="3119" w:type="dxa"/>
          </w:tcPr>
          <w:p w14:paraId="4C919452" w14:textId="77777777" w:rsidR="001A16E8" w:rsidRPr="00A0738B" w:rsidRDefault="001A16E8" w:rsidP="00E62AE8">
            <w:pPr>
              <w:pStyle w:val="TableParagraph"/>
              <w:spacing w:before="37"/>
              <w:ind w:right="661"/>
              <w:jc w:val="right"/>
              <w:rPr>
                <w:sz w:val="18"/>
                <w:lang w:val="es-MX"/>
              </w:rPr>
            </w:pPr>
            <w:r w:rsidRPr="00A0738B">
              <w:rPr>
                <w:sz w:val="18"/>
                <w:lang w:val="es-MX"/>
              </w:rPr>
              <w:t>61</w:t>
            </w:r>
            <w:r>
              <w:rPr>
                <w:sz w:val="18"/>
                <w:lang w:val="es-MX"/>
              </w:rPr>
              <w:t xml:space="preserve"> </w:t>
            </w:r>
            <w:r w:rsidRPr="00A0738B">
              <w:rPr>
                <w:sz w:val="18"/>
                <w:lang w:val="es-MX"/>
              </w:rPr>
              <w:t>312</w:t>
            </w:r>
            <w:r>
              <w:rPr>
                <w:sz w:val="18"/>
                <w:lang w:val="es-MX"/>
              </w:rPr>
              <w:t>.2</w:t>
            </w:r>
          </w:p>
        </w:tc>
        <w:tc>
          <w:tcPr>
            <w:tcW w:w="2410" w:type="dxa"/>
          </w:tcPr>
          <w:p w14:paraId="07F3EFCD" w14:textId="77777777" w:rsidR="001A16E8" w:rsidRPr="00A0738B" w:rsidRDefault="001A16E8" w:rsidP="00E62AE8">
            <w:pPr>
              <w:pStyle w:val="TableParagraph"/>
              <w:spacing w:before="37"/>
              <w:ind w:left="699" w:right="700"/>
              <w:jc w:val="center"/>
              <w:rPr>
                <w:sz w:val="18"/>
                <w:lang w:val="es-MX"/>
              </w:rPr>
            </w:pPr>
            <w:r w:rsidRPr="00A0738B">
              <w:rPr>
                <w:sz w:val="18"/>
                <w:lang w:val="es-MX"/>
              </w:rPr>
              <w:t>0.</w:t>
            </w:r>
            <w:r>
              <w:rPr>
                <w:sz w:val="18"/>
                <w:lang w:val="es-MX"/>
              </w:rPr>
              <w:t>3</w:t>
            </w:r>
          </w:p>
        </w:tc>
      </w:tr>
      <w:tr w:rsidR="001A16E8" w:rsidRPr="00A0738B" w14:paraId="7C3C1DDB" w14:textId="77777777" w:rsidTr="00FA4582">
        <w:trPr>
          <w:trHeight w:hRule="exact" w:val="324"/>
        </w:trPr>
        <w:tc>
          <w:tcPr>
            <w:tcW w:w="3686" w:type="dxa"/>
          </w:tcPr>
          <w:p w14:paraId="10715D5F" w14:textId="77777777" w:rsidR="001A16E8" w:rsidRPr="00A0738B" w:rsidRDefault="001A16E8" w:rsidP="00E62AE8">
            <w:pPr>
              <w:pStyle w:val="TableParagraph"/>
              <w:spacing w:before="37"/>
              <w:ind w:left="420"/>
              <w:rPr>
                <w:sz w:val="18"/>
                <w:lang w:val="es-MX"/>
              </w:rPr>
            </w:pPr>
            <w:r>
              <w:rPr>
                <w:sz w:val="18"/>
                <w:lang w:val="es-MX"/>
              </w:rPr>
              <w:t xml:space="preserve">  R</w:t>
            </w:r>
            <w:r w:rsidRPr="00A0738B">
              <w:rPr>
                <w:sz w:val="18"/>
                <w:lang w:val="es-MX"/>
              </w:rPr>
              <w:t>ecursos forestales</w:t>
            </w:r>
          </w:p>
        </w:tc>
        <w:tc>
          <w:tcPr>
            <w:tcW w:w="3119" w:type="dxa"/>
          </w:tcPr>
          <w:p w14:paraId="6817AFD8" w14:textId="77777777" w:rsidR="001A16E8" w:rsidRPr="00A0738B" w:rsidRDefault="001A16E8" w:rsidP="00E62AE8">
            <w:pPr>
              <w:pStyle w:val="TableParagraph"/>
              <w:spacing w:before="37"/>
              <w:ind w:right="661"/>
              <w:jc w:val="right"/>
              <w:rPr>
                <w:sz w:val="18"/>
                <w:lang w:val="es-MX"/>
              </w:rPr>
            </w:pPr>
            <w:r w:rsidRPr="00A0738B">
              <w:rPr>
                <w:sz w:val="18"/>
                <w:lang w:val="es-MX"/>
              </w:rPr>
              <w:t>37</w:t>
            </w:r>
            <w:r>
              <w:rPr>
                <w:sz w:val="18"/>
                <w:lang w:val="es-MX"/>
              </w:rPr>
              <w:t xml:space="preserve"> </w:t>
            </w:r>
            <w:r w:rsidRPr="00A0738B">
              <w:rPr>
                <w:sz w:val="18"/>
                <w:lang w:val="es-MX"/>
              </w:rPr>
              <w:t>070</w:t>
            </w:r>
            <w:r>
              <w:rPr>
                <w:sz w:val="18"/>
                <w:lang w:val="es-MX"/>
              </w:rPr>
              <w:t>.3</w:t>
            </w:r>
          </w:p>
        </w:tc>
        <w:tc>
          <w:tcPr>
            <w:tcW w:w="2410" w:type="dxa"/>
          </w:tcPr>
          <w:p w14:paraId="6FC1E35B" w14:textId="77777777" w:rsidR="001A16E8" w:rsidRPr="00A0738B" w:rsidRDefault="001A16E8" w:rsidP="00E62AE8">
            <w:pPr>
              <w:pStyle w:val="TableParagraph"/>
              <w:spacing w:before="37"/>
              <w:ind w:left="700" w:right="700"/>
              <w:jc w:val="center"/>
              <w:rPr>
                <w:sz w:val="18"/>
                <w:lang w:val="es-MX"/>
              </w:rPr>
            </w:pPr>
            <w:r w:rsidRPr="00A0738B">
              <w:rPr>
                <w:sz w:val="18"/>
                <w:lang w:val="es-MX"/>
              </w:rPr>
              <w:t>0.</w:t>
            </w:r>
            <w:r>
              <w:rPr>
                <w:sz w:val="18"/>
                <w:lang w:val="es-MX"/>
              </w:rPr>
              <w:t>2</w:t>
            </w:r>
          </w:p>
        </w:tc>
      </w:tr>
      <w:tr w:rsidR="001A16E8" w:rsidRPr="00A0738B" w14:paraId="1D91D034" w14:textId="77777777" w:rsidTr="00217264">
        <w:trPr>
          <w:trHeight w:hRule="exact" w:val="255"/>
        </w:trPr>
        <w:tc>
          <w:tcPr>
            <w:tcW w:w="3686" w:type="dxa"/>
          </w:tcPr>
          <w:p w14:paraId="295247E1" w14:textId="77777777" w:rsidR="001A16E8" w:rsidRPr="00A0738B" w:rsidRDefault="001A16E8" w:rsidP="00E62AE8">
            <w:pPr>
              <w:pStyle w:val="TableParagraph"/>
              <w:spacing w:before="37"/>
              <w:ind w:left="420"/>
              <w:rPr>
                <w:sz w:val="18"/>
                <w:lang w:val="es-MX"/>
              </w:rPr>
            </w:pPr>
            <w:r>
              <w:rPr>
                <w:sz w:val="18"/>
                <w:lang w:val="es-MX"/>
              </w:rPr>
              <w:t xml:space="preserve">  A</w:t>
            </w:r>
            <w:r w:rsidRPr="00A0738B">
              <w:rPr>
                <w:sz w:val="18"/>
                <w:lang w:val="es-MX"/>
              </w:rPr>
              <w:t>gua subterránea</w:t>
            </w:r>
          </w:p>
        </w:tc>
        <w:tc>
          <w:tcPr>
            <w:tcW w:w="3119" w:type="dxa"/>
          </w:tcPr>
          <w:p w14:paraId="549C5D2D" w14:textId="77777777" w:rsidR="001A16E8" w:rsidRPr="00A0738B" w:rsidRDefault="001A16E8" w:rsidP="00E62AE8">
            <w:pPr>
              <w:pStyle w:val="TableParagraph"/>
              <w:spacing w:before="37"/>
              <w:ind w:right="662"/>
              <w:jc w:val="right"/>
              <w:rPr>
                <w:sz w:val="18"/>
                <w:lang w:val="es-MX"/>
              </w:rPr>
            </w:pPr>
            <w:r w:rsidRPr="00A0738B">
              <w:rPr>
                <w:sz w:val="18"/>
                <w:lang w:val="es-MX"/>
              </w:rPr>
              <w:t>58</w:t>
            </w:r>
            <w:r>
              <w:rPr>
                <w:sz w:val="18"/>
                <w:lang w:val="es-MX"/>
              </w:rPr>
              <w:t xml:space="preserve"> </w:t>
            </w:r>
            <w:r w:rsidRPr="00A0738B">
              <w:rPr>
                <w:sz w:val="18"/>
                <w:lang w:val="es-MX"/>
              </w:rPr>
              <w:t>505</w:t>
            </w:r>
            <w:r>
              <w:rPr>
                <w:sz w:val="18"/>
                <w:lang w:val="es-MX"/>
              </w:rPr>
              <w:t>.1</w:t>
            </w:r>
          </w:p>
        </w:tc>
        <w:tc>
          <w:tcPr>
            <w:tcW w:w="2410" w:type="dxa"/>
          </w:tcPr>
          <w:p w14:paraId="0DAF6A68" w14:textId="77777777" w:rsidR="001A16E8" w:rsidRPr="00A0738B" w:rsidRDefault="001A16E8" w:rsidP="00E62AE8">
            <w:pPr>
              <w:pStyle w:val="TableParagraph"/>
              <w:spacing w:before="37"/>
              <w:ind w:left="699" w:right="700"/>
              <w:jc w:val="center"/>
              <w:rPr>
                <w:sz w:val="18"/>
                <w:lang w:val="es-MX"/>
              </w:rPr>
            </w:pPr>
            <w:r w:rsidRPr="00A0738B">
              <w:rPr>
                <w:sz w:val="18"/>
                <w:lang w:val="es-MX"/>
              </w:rPr>
              <w:t>0.2</w:t>
            </w:r>
          </w:p>
        </w:tc>
      </w:tr>
      <w:tr w:rsidR="001A16E8" w:rsidRPr="00A0738B" w14:paraId="5BDD33CE" w14:textId="77777777" w:rsidTr="00217264">
        <w:trPr>
          <w:trHeight w:hRule="exact" w:val="287"/>
        </w:trPr>
        <w:tc>
          <w:tcPr>
            <w:tcW w:w="3686" w:type="dxa"/>
            <w:shd w:val="clear" w:color="auto" w:fill="ECECEC"/>
          </w:tcPr>
          <w:p w14:paraId="7DED2C1C" w14:textId="77777777" w:rsidR="001A16E8" w:rsidRPr="00A0738B" w:rsidRDefault="001A16E8" w:rsidP="00E62AE8">
            <w:pPr>
              <w:pStyle w:val="TableParagraph"/>
              <w:spacing w:before="66"/>
              <w:ind w:left="136"/>
              <w:rPr>
                <w:b/>
                <w:sz w:val="18"/>
                <w:lang w:val="es-MX"/>
              </w:rPr>
            </w:pPr>
            <w:r>
              <w:rPr>
                <w:b/>
                <w:sz w:val="18"/>
                <w:lang w:val="es-MX"/>
              </w:rPr>
              <w:t xml:space="preserve">    </w:t>
            </w:r>
            <w:r w:rsidRPr="00A0738B">
              <w:rPr>
                <w:b/>
                <w:sz w:val="18"/>
                <w:lang w:val="es-MX"/>
              </w:rPr>
              <w:t>Costos por Degradación</w:t>
            </w:r>
          </w:p>
        </w:tc>
        <w:tc>
          <w:tcPr>
            <w:tcW w:w="3119" w:type="dxa"/>
            <w:shd w:val="clear" w:color="auto" w:fill="ECECEC"/>
          </w:tcPr>
          <w:p w14:paraId="0EC22A7B" w14:textId="77777777" w:rsidR="001A16E8" w:rsidRPr="00A0738B" w:rsidRDefault="001A16E8" w:rsidP="00E62AE8">
            <w:pPr>
              <w:pStyle w:val="TableParagraph"/>
              <w:spacing w:before="66"/>
              <w:ind w:right="661"/>
              <w:jc w:val="right"/>
              <w:rPr>
                <w:b/>
                <w:sz w:val="18"/>
                <w:lang w:val="es-MX"/>
              </w:rPr>
            </w:pPr>
            <w:r w:rsidRPr="00A0738B">
              <w:rPr>
                <w:b/>
                <w:sz w:val="18"/>
                <w:lang w:val="es-MX"/>
              </w:rPr>
              <w:t>909</w:t>
            </w:r>
            <w:r>
              <w:rPr>
                <w:b/>
                <w:sz w:val="18"/>
                <w:lang w:val="es-MX"/>
              </w:rPr>
              <w:t xml:space="preserve"> </w:t>
            </w:r>
            <w:r w:rsidRPr="00A0738B">
              <w:rPr>
                <w:b/>
                <w:sz w:val="18"/>
                <w:lang w:val="es-MX"/>
              </w:rPr>
              <w:t>965</w:t>
            </w:r>
            <w:r>
              <w:rPr>
                <w:b/>
                <w:sz w:val="18"/>
                <w:lang w:val="es-MX"/>
              </w:rPr>
              <w:t>.3</w:t>
            </w:r>
          </w:p>
        </w:tc>
        <w:tc>
          <w:tcPr>
            <w:tcW w:w="2410" w:type="dxa"/>
            <w:shd w:val="clear" w:color="auto" w:fill="ECECEC"/>
          </w:tcPr>
          <w:p w14:paraId="49E47159" w14:textId="77777777" w:rsidR="001A16E8" w:rsidRPr="00A0738B" w:rsidRDefault="001A16E8" w:rsidP="00E62AE8">
            <w:pPr>
              <w:pStyle w:val="TableParagraph"/>
              <w:spacing w:before="66"/>
              <w:ind w:left="700" w:right="700"/>
              <w:jc w:val="center"/>
              <w:rPr>
                <w:b/>
                <w:sz w:val="18"/>
                <w:lang w:val="es-MX"/>
              </w:rPr>
            </w:pPr>
            <w:r w:rsidRPr="00A0738B">
              <w:rPr>
                <w:b/>
                <w:sz w:val="18"/>
                <w:lang w:val="es-MX"/>
              </w:rPr>
              <w:t>3.9</w:t>
            </w:r>
          </w:p>
        </w:tc>
      </w:tr>
      <w:tr w:rsidR="001A16E8" w:rsidRPr="00A0738B" w14:paraId="4286CA92" w14:textId="77777777" w:rsidTr="00217264">
        <w:trPr>
          <w:trHeight w:hRule="exact" w:val="277"/>
        </w:trPr>
        <w:tc>
          <w:tcPr>
            <w:tcW w:w="3686" w:type="dxa"/>
          </w:tcPr>
          <w:p w14:paraId="501942D2" w14:textId="77777777" w:rsidR="001A16E8" w:rsidRPr="00A0738B" w:rsidRDefault="001A16E8" w:rsidP="00E62AE8">
            <w:pPr>
              <w:pStyle w:val="TableParagraph"/>
              <w:spacing w:before="38"/>
              <w:ind w:left="420"/>
              <w:rPr>
                <w:sz w:val="18"/>
                <w:lang w:val="es-MX"/>
              </w:rPr>
            </w:pPr>
            <w:r>
              <w:rPr>
                <w:sz w:val="18"/>
                <w:lang w:val="es-MX"/>
              </w:rPr>
              <w:t xml:space="preserve">  </w:t>
            </w:r>
            <w:r w:rsidRPr="00A0738B">
              <w:rPr>
                <w:sz w:val="18"/>
                <w:lang w:val="es-MX"/>
              </w:rPr>
              <w:t>Degradación del suelo</w:t>
            </w:r>
          </w:p>
        </w:tc>
        <w:tc>
          <w:tcPr>
            <w:tcW w:w="3119" w:type="dxa"/>
          </w:tcPr>
          <w:p w14:paraId="74255C16" w14:textId="77777777" w:rsidR="001A16E8" w:rsidRPr="00A0738B" w:rsidRDefault="001A16E8" w:rsidP="00E62AE8">
            <w:pPr>
              <w:pStyle w:val="TableParagraph"/>
              <w:spacing w:before="38"/>
              <w:ind w:right="661"/>
              <w:jc w:val="right"/>
              <w:rPr>
                <w:sz w:val="18"/>
                <w:lang w:val="es-MX"/>
              </w:rPr>
            </w:pPr>
            <w:r w:rsidRPr="00A0738B">
              <w:rPr>
                <w:sz w:val="18"/>
                <w:lang w:val="es-MX"/>
              </w:rPr>
              <w:t>163</w:t>
            </w:r>
            <w:r>
              <w:rPr>
                <w:sz w:val="18"/>
                <w:lang w:val="es-MX"/>
              </w:rPr>
              <w:t xml:space="preserve"> </w:t>
            </w:r>
            <w:r w:rsidRPr="00A0738B">
              <w:rPr>
                <w:sz w:val="18"/>
                <w:lang w:val="es-MX"/>
              </w:rPr>
              <w:t>807</w:t>
            </w:r>
            <w:r>
              <w:rPr>
                <w:sz w:val="18"/>
                <w:lang w:val="es-MX"/>
              </w:rPr>
              <w:t>.4</w:t>
            </w:r>
          </w:p>
        </w:tc>
        <w:tc>
          <w:tcPr>
            <w:tcW w:w="2410" w:type="dxa"/>
          </w:tcPr>
          <w:p w14:paraId="584AA41D" w14:textId="77777777" w:rsidR="001A16E8" w:rsidRPr="00A0738B" w:rsidRDefault="001A16E8" w:rsidP="00E62AE8">
            <w:pPr>
              <w:pStyle w:val="TableParagraph"/>
              <w:spacing w:before="38"/>
              <w:ind w:left="700" w:right="700"/>
              <w:jc w:val="center"/>
              <w:rPr>
                <w:sz w:val="18"/>
                <w:lang w:val="es-MX"/>
              </w:rPr>
            </w:pPr>
            <w:r w:rsidRPr="00A0738B">
              <w:rPr>
                <w:sz w:val="18"/>
                <w:lang w:val="es-MX"/>
              </w:rPr>
              <w:t>0.7</w:t>
            </w:r>
          </w:p>
        </w:tc>
      </w:tr>
      <w:tr w:rsidR="001A16E8" w:rsidRPr="00A0738B" w14:paraId="195BFFBD" w14:textId="77777777" w:rsidTr="00217264">
        <w:trPr>
          <w:trHeight w:hRule="exact" w:val="281"/>
        </w:trPr>
        <w:tc>
          <w:tcPr>
            <w:tcW w:w="3686" w:type="dxa"/>
          </w:tcPr>
          <w:p w14:paraId="48161B4E" w14:textId="77777777" w:rsidR="001A16E8" w:rsidRPr="00A0738B" w:rsidRDefault="001A16E8" w:rsidP="00E62AE8">
            <w:pPr>
              <w:pStyle w:val="TableParagraph"/>
              <w:spacing w:before="37"/>
              <w:ind w:left="420"/>
              <w:rPr>
                <w:sz w:val="18"/>
                <w:lang w:val="es-MX"/>
              </w:rPr>
            </w:pPr>
            <w:r>
              <w:rPr>
                <w:sz w:val="18"/>
                <w:lang w:val="es-MX"/>
              </w:rPr>
              <w:t xml:space="preserve">  </w:t>
            </w:r>
            <w:r w:rsidRPr="00A0738B">
              <w:rPr>
                <w:sz w:val="18"/>
                <w:lang w:val="es-MX"/>
              </w:rPr>
              <w:t>Residuos sólidos urbanos</w:t>
            </w:r>
          </w:p>
        </w:tc>
        <w:tc>
          <w:tcPr>
            <w:tcW w:w="3119" w:type="dxa"/>
          </w:tcPr>
          <w:p w14:paraId="13225821" w14:textId="77777777" w:rsidR="001A16E8" w:rsidRPr="00A0738B" w:rsidRDefault="001A16E8" w:rsidP="00E62AE8">
            <w:pPr>
              <w:pStyle w:val="TableParagraph"/>
              <w:spacing w:before="37"/>
              <w:ind w:right="661"/>
              <w:jc w:val="right"/>
              <w:rPr>
                <w:sz w:val="18"/>
                <w:lang w:val="es-MX"/>
              </w:rPr>
            </w:pPr>
            <w:r w:rsidRPr="00A0738B">
              <w:rPr>
                <w:sz w:val="18"/>
                <w:lang w:val="es-MX"/>
              </w:rPr>
              <w:t>87</w:t>
            </w:r>
            <w:r>
              <w:rPr>
                <w:sz w:val="18"/>
                <w:lang w:val="es-MX"/>
              </w:rPr>
              <w:t xml:space="preserve"> </w:t>
            </w:r>
            <w:r w:rsidRPr="00A0738B">
              <w:rPr>
                <w:sz w:val="18"/>
                <w:lang w:val="es-MX"/>
              </w:rPr>
              <w:t>019</w:t>
            </w:r>
            <w:r>
              <w:rPr>
                <w:sz w:val="18"/>
                <w:lang w:val="es-MX"/>
              </w:rPr>
              <w:t>.3</w:t>
            </w:r>
          </w:p>
        </w:tc>
        <w:tc>
          <w:tcPr>
            <w:tcW w:w="2410" w:type="dxa"/>
          </w:tcPr>
          <w:p w14:paraId="279BA6D5" w14:textId="77777777" w:rsidR="001A16E8" w:rsidRPr="00A0738B" w:rsidRDefault="001A16E8" w:rsidP="00E62AE8">
            <w:pPr>
              <w:pStyle w:val="TableParagraph"/>
              <w:spacing w:before="37"/>
              <w:ind w:left="699" w:right="700"/>
              <w:jc w:val="center"/>
              <w:rPr>
                <w:sz w:val="18"/>
                <w:lang w:val="es-MX"/>
              </w:rPr>
            </w:pPr>
            <w:r w:rsidRPr="00A0738B">
              <w:rPr>
                <w:sz w:val="18"/>
                <w:lang w:val="es-MX"/>
              </w:rPr>
              <w:t>0.</w:t>
            </w:r>
            <w:r>
              <w:rPr>
                <w:sz w:val="18"/>
                <w:lang w:val="es-MX"/>
              </w:rPr>
              <w:t>4</w:t>
            </w:r>
          </w:p>
        </w:tc>
      </w:tr>
      <w:tr w:rsidR="001A16E8" w:rsidRPr="00A0738B" w14:paraId="67E3AB59" w14:textId="77777777" w:rsidTr="00FA4582">
        <w:trPr>
          <w:trHeight w:hRule="exact" w:val="324"/>
        </w:trPr>
        <w:tc>
          <w:tcPr>
            <w:tcW w:w="3686" w:type="dxa"/>
          </w:tcPr>
          <w:p w14:paraId="796EBEA3" w14:textId="77777777" w:rsidR="001A16E8" w:rsidRPr="00A0738B" w:rsidRDefault="001A16E8" w:rsidP="00E62AE8">
            <w:pPr>
              <w:pStyle w:val="TableParagraph"/>
              <w:spacing w:before="37"/>
              <w:ind w:left="420"/>
              <w:rPr>
                <w:sz w:val="18"/>
                <w:lang w:val="es-MX"/>
              </w:rPr>
            </w:pPr>
            <w:r>
              <w:rPr>
                <w:sz w:val="18"/>
                <w:lang w:val="es-MX"/>
              </w:rPr>
              <w:t xml:space="preserve">  </w:t>
            </w:r>
            <w:r w:rsidRPr="00A0738B">
              <w:rPr>
                <w:sz w:val="18"/>
                <w:lang w:val="es-MX"/>
              </w:rPr>
              <w:t>Contaminación del agua</w:t>
            </w:r>
          </w:p>
        </w:tc>
        <w:tc>
          <w:tcPr>
            <w:tcW w:w="3119" w:type="dxa"/>
          </w:tcPr>
          <w:p w14:paraId="28947046" w14:textId="77777777" w:rsidR="001A16E8" w:rsidRPr="00A0738B" w:rsidRDefault="001A16E8" w:rsidP="00E62AE8">
            <w:pPr>
              <w:pStyle w:val="TableParagraph"/>
              <w:spacing w:before="37"/>
              <w:ind w:right="661"/>
              <w:jc w:val="right"/>
              <w:rPr>
                <w:sz w:val="18"/>
                <w:lang w:val="es-MX"/>
              </w:rPr>
            </w:pPr>
            <w:r w:rsidRPr="00A0738B">
              <w:rPr>
                <w:sz w:val="18"/>
                <w:lang w:val="es-MX"/>
              </w:rPr>
              <w:t>47</w:t>
            </w:r>
            <w:r>
              <w:rPr>
                <w:sz w:val="18"/>
                <w:lang w:val="es-MX"/>
              </w:rPr>
              <w:t xml:space="preserve"> </w:t>
            </w:r>
            <w:r w:rsidRPr="00A0738B">
              <w:rPr>
                <w:sz w:val="18"/>
                <w:lang w:val="es-MX"/>
              </w:rPr>
              <w:t>903</w:t>
            </w:r>
            <w:r>
              <w:rPr>
                <w:sz w:val="18"/>
                <w:lang w:val="es-MX"/>
              </w:rPr>
              <w:t>.3</w:t>
            </w:r>
          </w:p>
        </w:tc>
        <w:tc>
          <w:tcPr>
            <w:tcW w:w="2410" w:type="dxa"/>
          </w:tcPr>
          <w:p w14:paraId="61A3E70C" w14:textId="77777777" w:rsidR="001A16E8" w:rsidRPr="00A0738B" w:rsidRDefault="001A16E8" w:rsidP="00E62AE8">
            <w:pPr>
              <w:pStyle w:val="TableParagraph"/>
              <w:spacing w:before="37"/>
              <w:ind w:left="699" w:right="700"/>
              <w:jc w:val="center"/>
              <w:rPr>
                <w:sz w:val="18"/>
                <w:lang w:val="es-MX"/>
              </w:rPr>
            </w:pPr>
            <w:r w:rsidRPr="00A0738B">
              <w:rPr>
                <w:sz w:val="18"/>
                <w:lang w:val="es-MX"/>
              </w:rPr>
              <w:t>0.2</w:t>
            </w:r>
          </w:p>
        </w:tc>
      </w:tr>
      <w:tr w:rsidR="001A16E8" w:rsidRPr="00A0738B" w14:paraId="11AEFA1E" w14:textId="77777777" w:rsidTr="00FA4582">
        <w:trPr>
          <w:trHeight w:hRule="exact" w:val="326"/>
        </w:trPr>
        <w:tc>
          <w:tcPr>
            <w:tcW w:w="3686" w:type="dxa"/>
          </w:tcPr>
          <w:p w14:paraId="24315611" w14:textId="77777777" w:rsidR="001A16E8" w:rsidRPr="00A0738B" w:rsidRDefault="001A16E8" w:rsidP="00E62AE8">
            <w:pPr>
              <w:pStyle w:val="TableParagraph"/>
              <w:spacing w:before="37"/>
              <w:ind w:left="420"/>
              <w:rPr>
                <w:sz w:val="18"/>
                <w:lang w:val="es-MX"/>
              </w:rPr>
            </w:pPr>
            <w:r>
              <w:rPr>
                <w:sz w:val="18"/>
                <w:lang w:val="es-MX"/>
              </w:rPr>
              <w:t xml:space="preserve">  </w:t>
            </w:r>
            <w:r w:rsidRPr="00A0738B">
              <w:rPr>
                <w:sz w:val="18"/>
                <w:lang w:val="es-MX"/>
              </w:rPr>
              <w:t>Emisiones al aire</w:t>
            </w:r>
          </w:p>
        </w:tc>
        <w:tc>
          <w:tcPr>
            <w:tcW w:w="3119" w:type="dxa"/>
          </w:tcPr>
          <w:p w14:paraId="13BF90C3" w14:textId="77777777" w:rsidR="001A16E8" w:rsidRPr="00A0738B" w:rsidRDefault="001A16E8" w:rsidP="00E62AE8">
            <w:pPr>
              <w:pStyle w:val="TableParagraph"/>
              <w:spacing w:before="37"/>
              <w:ind w:right="661"/>
              <w:jc w:val="right"/>
              <w:rPr>
                <w:sz w:val="18"/>
                <w:lang w:val="es-MX"/>
              </w:rPr>
            </w:pPr>
            <w:r w:rsidRPr="00A0738B">
              <w:rPr>
                <w:sz w:val="18"/>
                <w:lang w:val="es-MX"/>
              </w:rPr>
              <w:t>611</w:t>
            </w:r>
            <w:r>
              <w:rPr>
                <w:sz w:val="18"/>
                <w:lang w:val="es-MX"/>
              </w:rPr>
              <w:t xml:space="preserve"> </w:t>
            </w:r>
            <w:r w:rsidRPr="00A0738B">
              <w:rPr>
                <w:sz w:val="18"/>
                <w:lang w:val="es-MX"/>
              </w:rPr>
              <w:t>235</w:t>
            </w:r>
            <w:r>
              <w:rPr>
                <w:sz w:val="18"/>
                <w:lang w:val="es-MX"/>
              </w:rPr>
              <w:t>.3</w:t>
            </w:r>
          </w:p>
        </w:tc>
        <w:tc>
          <w:tcPr>
            <w:tcW w:w="2410" w:type="dxa"/>
          </w:tcPr>
          <w:p w14:paraId="3721405D" w14:textId="77777777" w:rsidR="001A16E8" w:rsidRPr="00A0738B" w:rsidRDefault="001A16E8" w:rsidP="00E62AE8">
            <w:pPr>
              <w:pStyle w:val="TableParagraph"/>
              <w:spacing w:before="37"/>
              <w:ind w:left="699" w:right="700"/>
              <w:jc w:val="center"/>
              <w:rPr>
                <w:sz w:val="18"/>
                <w:lang w:val="es-MX"/>
              </w:rPr>
            </w:pPr>
            <w:r w:rsidRPr="00A0738B">
              <w:rPr>
                <w:sz w:val="18"/>
                <w:lang w:val="es-MX"/>
              </w:rPr>
              <w:t>2.6</w:t>
            </w:r>
          </w:p>
        </w:tc>
      </w:tr>
    </w:tbl>
    <w:p w14:paraId="00BE0B92" w14:textId="77777777" w:rsidR="001A16E8" w:rsidRPr="00A0738B" w:rsidRDefault="001A16E8" w:rsidP="00A564B9">
      <w:pPr>
        <w:ind w:left="709" w:right="1325" w:hanging="993"/>
        <w:rPr>
          <w:sz w:val="16"/>
        </w:rPr>
      </w:pPr>
      <w:r w:rsidRPr="00A0738B">
        <w:rPr>
          <w:sz w:val="16"/>
        </w:rPr>
        <w:t xml:space="preserve">NOTA: La suma de los parciales puede no coincidir con los totales debido al redondeo. </w:t>
      </w:r>
    </w:p>
    <w:p w14:paraId="15CE9C22" w14:textId="77777777" w:rsidR="001A16E8" w:rsidRPr="00A0738B" w:rsidRDefault="001A16E8" w:rsidP="00A564B9">
      <w:pPr>
        <w:ind w:left="709" w:right="1325" w:hanging="993"/>
        <w:rPr>
          <w:sz w:val="16"/>
        </w:rPr>
      </w:pPr>
      <w:r w:rsidRPr="00A0738B">
        <w:rPr>
          <w:sz w:val="16"/>
        </w:rPr>
        <w:t>Fuente: INEGI.</w:t>
      </w:r>
    </w:p>
    <w:p w14:paraId="63CF9ED0" w14:textId="77777777" w:rsidR="0003341F" w:rsidRDefault="0003341F" w:rsidP="00BA23C1">
      <w:pPr>
        <w:ind w:left="-567" w:right="-516"/>
        <w:jc w:val="both"/>
        <w:rPr>
          <w:rFonts w:ascii="Arial" w:hAnsi="Arial" w:cs="Arial"/>
          <w:spacing w:val="-6"/>
          <w:lang w:val="x-none" w:eastAsia="x-none"/>
        </w:rPr>
      </w:pPr>
    </w:p>
    <w:p w14:paraId="3A3CBE15" w14:textId="080FDE4B" w:rsidR="00BA71AF" w:rsidRDefault="00BA71AF" w:rsidP="00BA23C1">
      <w:pPr>
        <w:ind w:left="-567" w:right="-516"/>
        <w:jc w:val="both"/>
        <w:rPr>
          <w:rFonts w:ascii="Arial" w:hAnsi="Arial" w:cs="Arial"/>
          <w:spacing w:val="-6"/>
          <w:lang w:val="x-none" w:eastAsia="x-none"/>
        </w:rPr>
      </w:pPr>
      <w:r w:rsidRPr="006B61AF">
        <w:rPr>
          <w:rFonts w:ascii="Arial" w:hAnsi="Arial" w:cs="Arial"/>
          <w:spacing w:val="-6"/>
          <w:lang w:val="x-none" w:eastAsia="x-none"/>
        </w:rPr>
        <w:t>Durante</w:t>
      </w:r>
      <w:r w:rsidRPr="006B61AF">
        <w:rPr>
          <w:rFonts w:ascii="Arial" w:hAnsi="Arial" w:cs="Arial"/>
          <w:spacing w:val="-6"/>
          <w:lang w:eastAsia="x-none"/>
        </w:rPr>
        <w:t xml:space="preserve"> </w:t>
      </w:r>
      <w:r w:rsidRPr="006B61AF">
        <w:rPr>
          <w:rFonts w:ascii="Arial" w:hAnsi="Arial" w:cs="Arial"/>
          <w:spacing w:val="-6"/>
          <w:lang w:val="x-none" w:eastAsia="x-none"/>
        </w:rPr>
        <w:t xml:space="preserve">2020, el </w:t>
      </w:r>
      <w:r w:rsidR="00A564B9">
        <w:rPr>
          <w:rFonts w:ascii="Arial" w:hAnsi="Arial" w:cs="Arial"/>
          <w:spacing w:val="-6"/>
          <w:lang w:eastAsia="x-none"/>
        </w:rPr>
        <w:t>g</w:t>
      </w:r>
      <w:r w:rsidRPr="006B61AF">
        <w:rPr>
          <w:rFonts w:ascii="Arial" w:hAnsi="Arial" w:cs="Arial"/>
          <w:spacing w:val="-6"/>
          <w:lang w:eastAsia="x-none"/>
        </w:rPr>
        <w:t xml:space="preserve">asto </w:t>
      </w:r>
      <w:r w:rsidRPr="006B61AF">
        <w:rPr>
          <w:rFonts w:ascii="Arial" w:hAnsi="Arial" w:cs="Arial"/>
          <w:spacing w:val="-6"/>
          <w:lang w:val="x-none" w:eastAsia="x-none"/>
        </w:rPr>
        <w:t xml:space="preserve">en </w:t>
      </w:r>
      <w:r w:rsidR="00A564B9">
        <w:rPr>
          <w:rFonts w:ascii="Arial" w:hAnsi="Arial" w:cs="Arial"/>
          <w:spacing w:val="-6"/>
          <w:lang w:eastAsia="x-none"/>
        </w:rPr>
        <w:t>p</w:t>
      </w:r>
      <w:r w:rsidRPr="006B61AF">
        <w:rPr>
          <w:rFonts w:ascii="Arial" w:hAnsi="Arial" w:cs="Arial"/>
          <w:spacing w:val="-6"/>
          <w:lang w:eastAsia="x-none"/>
        </w:rPr>
        <w:t>rotección</w:t>
      </w:r>
      <w:r w:rsidRPr="006B61AF">
        <w:rPr>
          <w:rFonts w:ascii="Arial" w:hAnsi="Arial" w:cs="Arial"/>
          <w:spacing w:val="-6"/>
          <w:lang w:val="x-none" w:eastAsia="x-none"/>
        </w:rPr>
        <w:t xml:space="preserve"> </w:t>
      </w:r>
      <w:r w:rsidR="00A564B9">
        <w:rPr>
          <w:rFonts w:ascii="Arial" w:hAnsi="Arial" w:cs="Arial"/>
          <w:spacing w:val="-6"/>
          <w:lang w:eastAsia="x-none"/>
        </w:rPr>
        <w:t>a</w:t>
      </w:r>
      <w:r w:rsidRPr="006B61AF">
        <w:rPr>
          <w:rFonts w:ascii="Arial" w:hAnsi="Arial" w:cs="Arial"/>
          <w:spacing w:val="-6"/>
          <w:lang w:eastAsia="x-none"/>
        </w:rPr>
        <w:t>mbiental</w:t>
      </w:r>
      <w:r w:rsidRPr="006B61AF">
        <w:rPr>
          <w:rFonts w:ascii="Arial" w:hAnsi="Arial" w:cs="Arial"/>
          <w:spacing w:val="-6"/>
          <w:lang w:val="x-none" w:eastAsia="x-none"/>
        </w:rPr>
        <w:t xml:space="preserve"> </w:t>
      </w:r>
      <w:r w:rsidRPr="006B61AF">
        <w:rPr>
          <w:rFonts w:ascii="Arial" w:hAnsi="Arial" w:cs="Arial"/>
          <w:spacing w:val="-6"/>
          <w:lang w:eastAsia="x-none"/>
        </w:rPr>
        <w:t xml:space="preserve">del sector público </w:t>
      </w:r>
      <w:r w:rsidRPr="006B61AF">
        <w:rPr>
          <w:rFonts w:ascii="Arial" w:hAnsi="Arial" w:cs="Arial"/>
          <w:spacing w:val="-6"/>
          <w:lang w:val="x-none" w:eastAsia="x-none"/>
        </w:rPr>
        <w:t>ascendi</w:t>
      </w:r>
      <w:r w:rsidRPr="006B61AF">
        <w:rPr>
          <w:rFonts w:ascii="Arial" w:hAnsi="Arial" w:cs="Arial"/>
          <w:spacing w:val="-6"/>
          <w:lang w:eastAsia="x-none"/>
        </w:rPr>
        <w:t>ó</w:t>
      </w:r>
      <w:r w:rsidRPr="006B61AF">
        <w:rPr>
          <w:rFonts w:ascii="Arial" w:hAnsi="Arial" w:cs="Arial"/>
          <w:spacing w:val="-6"/>
          <w:lang w:val="x-none" w:eastAsia="x-none"/>
        </w:rPr>
        <w:t xml:space="preserve"> a 101</w:t>
      </w:r>
      <w:r w:rsidR="00A564B9">
        <w:rPr>
          <w:rFonts w:ascii="Arial" w:hAnsi="Arial" w:cs="Arial"/>
          <w:spacing w:val="-6"/>
          <w:lang w:eastAsia="x-none"/>
        </w:rPr>
        <w:t xml:space="preserve"> </w:t>
      </w:r>
      <w:r w:rsidRPr="006B61AF">
        <w:rPr>
          <w:rFonts w:ascii="Arial" w:hAnsi="Arial" w:cs="Arial"/>
          <w:spacing w:val="-6"/>
          <w:lang w:val="x-none" w:eastAsia="x-none"/>
        </w:rPr>
        <w:t xml:space="preserve">299 millones de pesos, equivalente a 0.46% del PIB </w:t>
      </w:r>
      <w:r w:rsidR="00572526" w:rsidRPr="006B61AF">
        <w:rPr>
          <w:rFonts w:ascii="Arial" w:hAnsi="Arial" w:cs="Arial"/>
          <w:spacing w:val="-6"/>
          <w:lang w:val="x-none" w:eastAsia="x-none"/>
        </w:rPr>
        <w:t>nacional</w:t>
      </w:r>
      <w:r w:rsidRPr="006B61AF">
        <w:rPr>
          <w:rFonts w:ascii="Arial" w:hAnsi="Arial" w:cs="Arial"/>
          <w:spacing w:val="-6"/>
          <w:lang w:val="x-none" w:eastAsia="x-none"/>
        </w:rPr>
        <w:t xml:space="preserve"> a precios básicos, mientras que en 2019 alcanz</w:t>
      </w:r>
      <w:r w:rsidRPr="006B61AF">
        <w:rPr>
          <w:rFonts w:ascii="Arial" w:hAnsi="Arial" w:cs="Arial"/>
          <w:spacing w:val="-6"/>
          <w:lang w:eastAsia="x-none"/>
        </w:rPr>
        <w:t>ó</w:t>
      </w:r>
      <w:r w:rsidRPr="006B61AF">
        <w:rPr>
          <w:rFonts w:ascii="Arial" w:hAnsi="Arial" w:cs="Arial"/>
          <w:spacing w:val="-6"/>
          <w:lang w:val="x-none" w:eastAsia="x-none"/>
        </w:rPr>
        <w:t xml:space="preserve"> un monto equivalente a 0.47% del PIB.</w:t>
      </w:r>
    </w:p>
    <w:p w14:paraId="58048550" w14:textId="77777777" w:rsidR="00BA23C1" w:rsidRPr="00BF63AC" w:rsidRDefault="00BA23C1" w:rsidP="00BA23C1">
      <w:pPr>
        <w:ind w:left="-567" w:right="-516"/>
        <w:jc w:val="both"/>
        <w:rPr>
          <w:rFonts w:ascii="Arial" w:hAnsi="Arial" w:cs="Arial"/>
          <w:spacing w:val="-6"/>
          <w:lang w:val="x-none" w:eastAsia="x-none"/>
        </w:rPr>
      </w:pPr>
    </w:p>
    <w:p w14:paraId="47550551" w14:textId="141C6221" w:rsidR="00BA71AF" w:rsidRDefault="00A564B9" w:rsidP="00BA23C1">
      <w:pPr>
        <w:ind w:left="-567" w:right="-516"/>
        <w:jc w:val="both"/>
        <w:rPr>
          <w:rFonts w:ascii="Arial" w:hAnsi="Arial" w:cs="Arial"/>
          <w:lang w:val="x-none" w:eastAsia="x-none"/>
        </w:rPr>
      </w:pPr>
      <w:r>
        <w:rPr>
          <w:rFonts w:ascii="Arial" w:hAnsi="Arial" w:cs="Arial"/>
          <w:lang w:eastAsia="x-none"/>
        </w:rPr>
        <w:t>L</w:t>
      </w:r>
      <w:r w:rsidR="00BA71AF">
        <w:rPr>
          <w:rFonts w:ascii="Arial" w:hAnsi="Arial" w:cs="Arial"/>
          <w:lang w:eastAsia="x-none"/>
        </w:rPr>
        <w:t xml:space="preserve">os </w:t>
      </w:r>
      <w:r w:rsidR="00572526" w:rsidRPr="00A0738B">
        <w:rPr>
          <w:rFonts w:ascii="Arial" w:hAnsi="Arial" w:cs="Arial"/>
          <w:lang w:val="x-none" w:eastAsia="x-none"/>
        </w:rPr>
        <w:t>gastos</w:t>
      </w:r>
      <w:r w:rsidR="00BA71AF" w:rsidRPr="00A0738B">
        <w:rPr>
          <w:rFonts w:ascii="Arial" w:hAnsi="Arial" w:cs="Arial"/>
          <w:lang w:val="x-none" w:eastAsia="x-none"/>
        </w:rPr>
        <w:t xml:space="preserve"> en </w:t>
      </w:r>
      <w:r w:rsidR="00572526" w:rsidRPr="00A0738B">
        <w:rPr>
          <w:rFonts w:ascii="Arial" w:hAnsi="Arial" w:cs="Arial"/>
          <w:lang w:val="x-none" w:eastAsia="x-none"/>
        </w:rPr>
        <w:t>protección</w:t>
      </w:r>
      <w:r w:rsidR="00BA71AF" w:rsidRPr="00A0738B">
        <w:rPr>
          <w:rFonts w:ascii="Arial" w:hAnsi="Arial" w:cs="Arial"/>
          <w:lang w:val="x-none" w:eastAsia="x-none"/>
        </w:rPr>
        <w:t xml:space="preserve"> </w:t>
      </w:r>
      <w:r w:rsidR="00572526" w:rsidRPr="00A0738B">
        <w:rPr>
          <w:rFonts w:ascii="Arial" w:hAnsi="Arial" w:cs="Arial"/>
          <w:lang w:val="x-none" w:eastAsia="x-none"/>
        </w:rPr>
        <w:t>ambiental</w:t>
      </w:r>
      <w:r w:rsidR="00BA71AF">
        <w:rPr>
          <w:rFonts w:ascii="Arial" w:hAnsi="Arial" w:cs="Arial"/>
          <w:lang w:eastAsia="x-none"/>
        </w:rPr>
        <w:t xml:space="preserve"> del sector público,</w:t>
      </w:r>
      <w:r w:rsidR="00BA71AF" w:rsidRPr="00A0738B">
        <w:rPr>
          <w:rFonts w:ascii="Arial" w:hAnsi="Arial" w:cs="Arial"/>
          <w:lang w:val="x-none" w:eastAsia="x-none"/>
        </w:rPr>
        <w:t xml:space="preserve"> de acuerdo con la clasificación funcional de actividades ambientales</w:t>
      </w:r>
      <w:r w:rsidR="00BA71AF">
        <w:rPr>
          <w:rFonts w:ascii="Arial" w:hAnsi="Arial" w:cs="Arial"/>
          <w:lang w:eastAsia="x-none"/>
        </w:rPr>
        <w:t xml:space="preserve"> se distribuyen de </w:t>
      </w:r>
      <w:r w:rsidR="00BA71AF" w:rsidRPr="00A0738B">
        <w:rPr>
          <w:rFonts w:ascii="Arial" w:hAnsi="Arial" w:cs="Arial"/>
          <w:lang w:val="x-none" w:eastAsia="x-none"/>
        </w:rPr>
        <w:t>la siguiente</w:t>
      </w:r>
      <w:r w:rsidR="00BA71AF">
        <w:rPr>
          <w:rFonts w:ascii="Arial" w:hAnsi="Arial" w:cs="Arial"/>
          <w:lang w:eastAsia="x-none"/>
        </w:rPr>
        <w:t xml:space="preserve"> forma</w:t>
      </w:r>
      <w:r w:rsidR="00BA71AF" w:rsidRPr="00A0738B">
        <w:rPr>
          <w:rFonts w:ascii="Arial" w:hAnsi="Arial" w:cs="Arial"/>
          <w:lang w:val="x-none" w:eastAsia="x-none"/>
        </w:rPr>
        <w:t>: protección del aire-ambiente y clima 38.6%; gestión de aguas residuales 17.1%; gestión de los residuos 14.6%; gestión pública y educación 10.0%; investigación y desarrollo 9.7%; otras actividades de protección ambiental 4.3%; protección de la biodiversidad 4.0%; y agua y suelo</w:t>
      </w:r>
      <w:r w:rsidR="00BA71AF">
        <w:rPr>
          <w:rFonts w:ascii="Arial" w:hAnsi="Arial" w:cs="Arial"/>
          <w:lang w:eastAsia="x-none"/>
        </w:rPr>
        <w:t xml:space="preserve"> </w:t>
      </w:r>
      <w:r w:rsidR="00BA71AF" w:rsidRPr="00A0738B">
        <w:rPr>
          <w:rFonts w:ascii="Arial" w:hAnsi="Arial" w:cs="Arial"/>
          <w:lang w:val="x-none" w:eastAsia="x-none"/>
        </w:rPr>
        <w:t>1.7 por ciento.</w:t>
      </w:r>
    </w:p>
    <w:p w14:paraId="426B768A" w14:textId="77777777" w:rsidR="00BA71AF" w:rsidRDefault="00BA71AF" w:rsidP="00BA23C1">
      <w:pPr>
        <w:pStyle w:val="Ttulo2"/>
        <w:tabs>
          <w:tab w:val="left" w:pos="1276"/>
        </w:tabs>
        <w:spacing w:before="0"/>
        <w:ind w:left="-567" w:right="-516"/>
        <w:jc w:val="center"/>
        <w:rPr>
          <w:rFonts w:ascii="Arial" w:hAnsi="Arial" w:cs="Arial"/>
          <w:i w:val="0"/>
          <w:color w:val="000000"/>
        </w:rPr>
      </w:pPr>
    </w:p>
    <w:p w14:paraId="2FAF5EEE" w14:textId="220814BB" w:rsidR="00BA71AF" w:rsidRDefault="00BA71AF" w:rsidP="00BA23C1">
      <w:pPr>
        <w:ind w:left="-567" w:right="-516"/>
        <w:jc w:val="both"/>
        <w:rPr>
          <w:rFonts w:ascii="Arial" w:hAnsi="Arial" w:cs="Arial"/>
          <w:lang w:val="x-none" w:eastAsia="x-none"/>
        </w:rPr>
      </w:pPr>
      <w:r w:rsidRPr="00A0738B">
        <w:rPr>
          <w:rFonts w:ascii="Arial" w:hAnsi="Arial" w:cs="Arial"/>
          <w:lang w:val="x-none" w:eastAsia="x-none"/>
        </w:rPr>
        <w:t>El gasto ambiental realizado por el sector público de nuestro país</w:t>
      </w:r>
      <w:r>
        <w:rPr>
          <w:rFonts w:ascii="Arial" w:hAnsi="Arial" w:cs="Arial"/>
          <w:lang w:eastAsia="x-none"/>
        </w:rPr>
        <w:t>,</w:t>
      </w:r>
      <w:r w:rsidRPr="00A0738B">
        <w:rPr>
          <w:rFonts w:ascii="Arial" w:hAnsi="Arial" w:cs="Arial"/>
          <w:lang w:val="x-none" w:eastAsia="x-none"/>
        </w:rPr>
        <w:t xml:space="preserve"> como proporción del PIB</w:t>
      </w:r>
      <w:r>
        <w:rPr>
          <w:rFonts w:ascii="Arial" w:hAnsi="Arial" w:cs="Arial"/>
          <w:lang w:eastAsia="x-none"/>
        </w:rPr>
        <w:t>,</w:t>
      </w:r>
      <w:r w:rsidRPr="00A0738B">
        <w:rPr>
          <w:rFonts w:ascii="Arial" w:hAnsi="Arial" w:cs="Arial"/>
          <w:lang w:val="x-none" w:eastAsia="x-none"/>
        </w:rPr>
        <w:t xml:space="preserve"> representa una cifra </w:t>
      </w:r>
      <w:r>
        <w:rPr>
          <w:rFonts w:ascii="Arial" w:hAnsi="Arial" w:cs="Arial"/>
          <w:lang w:eastAsia="x-none"/>
        </w:rPr>
        <w:t xml:space="preserve">similar a </w:t>
      </w:r>
      <w:r w:rsidRPr="00A0738B">
        <w:rPr>
          <w:rFonts w:ascii="Arial" w:hAnsi="Arial" w:cs="Arial"/>
          <w:lang w:val="x-none" w:eastAsia="x-none"/>
        </w:rPr>
        <w:t>l</w:t>
      </w:r>
      <w:r>
        <w:rPr>
          <w:rFonts w:ascii="Arial" w:hAnsi="Arial" w:cs="Arial"/>
          <w:lang w:eastAsia="x-none"/>
        </w:rPr>
        <w:t>a</w:t>
      </w:r>
      <w:r>
        <w:rPr>
          <w:rFonts w:ascii="Arial" w:hAnsi="Arial" w:cs="Arial"/>
          <w:lang w:val="x-none" w:eastAsia="x-none"/>
        </w:rPr>
        <w:t xml:space="preserve"> reportada</w:t>
      </w:r>
      <w:r w:rsidRPr="00A0738B">
        <w:rPr>
          <w:rFonts w:ascii="Arial" w:hAnsi="Arial" w:cs="Arial"/>
          <w:lang w:val="x-none" w:eastAsia="x-none"/>
        </w:rPr>
        <w:t xml:space="preserve"> por España, Noruega y Suiza.</w:t>
      </w:r>
    </w:p>
    <w:p w14:paraId="4CA4EECB" w14:textId="43E05014" w:rsidR="00BA71AF" w:rsidRPr="00BA71AF" w:rsidRDefault="00BA71AF" w:rsidP="00BA71AF">
      <w:pPr>
        <w:spacing w:before="360"/>
        <w:jc w:val="center"/>
        <w:rPr>
          <w:rFonts w:ascii="Arial" w:hAnsi="Arial" w:cs="Arial"/>
          <w:b/>
          <w:lang w:eastAsia="x-none"/>
        </w:rPr>
      </w:pPr>
      <w:r w:rsidRPr="00BA71AF">
        <w:rPr>
          <w:rFonts w:ascii="Arial" w:hAnsi="Arial" w:cs="Arial"/>
          <w:b/>
          <w:lang w:eastAsia="x-none"/>
        </w:rPr>
        <w:t>Se anexa nota técnica</w:t>
      </w:r>
    </w:p>
    <w:p w14:paraId="6A878D11" w14:textId="77777777" w:rsidR="00BA71AF" w:rsidRPr="00DA506E" w:rsidRDefault="00BA71AF" w:rsidP="00BA71AF">
      <w:pPr>
        <w:spacing w:before="360"/>
        <w:jc w:val="both"/>
        <w:rPr>
          <w:rFonts w:ascii="Arial" w:hAnsi="Arial" w:cs="Arial"/>
          <w:lang w:eastAsia="x-none"/>
        </w:rPr>
      </w:pPr>
    </w:p>
    <w:p w14:paraId="274DCAC2" w14:textId="77777777" w:rsidR="00BA71AF" w:rsidRDefault="00BA71AF" w:rsidP="00A564B9">
      <w:pPr>
        <w:pStyle w:val="NormalWeb"/>
        <w:spacing w:before="0" w:beforeAutospacing="0" w:after="0" w:afterAutospacing="0"/>
        <w:ind w:left="-425" w:right="-516"/>
        <w:contextualSpacing/>
        <w:jc w:val="center"/>
        <w:rPr>
          <w:rFonts w:ascii="Arial" w:hAnsi="Arial" w:cs="Arial"/>
          <w:sz w:val="22"/>
          <w:szCs w:val="22"/>
        </w:rPr>
      </w:pPr>
      <w:r w:rsidRPr="008B29CA">
        <w:rPr>
          <w:rFonts w:ascii="Arial" w:hAnsi="Arial" w:cs="Arial"/>
          <w:sz w:val="22"/>
          <w:szCs w:val="22"/>
        </w:rPr>
        <w:t xml:space="preserve">Para consultas de medios y periodistas, contactar a: </w:t>
      </w:r>
      <w:hyperlink r:id="rId8" w:history="1">
        <w:r w:rsidRPr="008B29CA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8B29CA">
        <w:rPr>
          <w:rFonts w:ascii="Arial" w:hAnsi="Arial" w:cs="Arial"/>
          <w:sz w:val="22"/>
          <w:szCs w:val="22"/>
        </w:rPr>
        <w:t xml:space="preserve"> </w:t>
      </w:r>
    </w:p>
    <w:p w14:paraId="2D58A73C" w14:textId="77777777" w:rsidR="00BA71AF" w:rsidRDefault="00BA71AF" w:rsidP="00A564B9">
      <w:pPr>
        <w:pStyle w:val="NormalWeb"/>
        <w:spacing w:before="0" w:beforeAutospacing="0" w:after="0" w:afterAutospacing="0"/>
        <w:ind w:left="-425" w:right="-516"/>
        <w:contextualSpacing/>
        <w:jc w:val="center"/>
        <w:rPr>
          <w:rFonts w:ascii="Arial" w:hAnsi="Arial" w:cs="Arial"/>
          <w:sz w:val="22"/>
          <w:szCs w:val="22"/>
        </w:rPr>
      </w:pPr>
      <w:r w:rsidRPr="008B29CA">
        <w:rPr>
          <w:rFonts w:ascii="Arial" w:hAnsi="Arial" w:cs="Arial"/>
          <w:sz w:val="22"/>
          <w:szCs w:val="22"/>
        </w:rPr>
        <w:t>o llamar al teléfono (55) 52-78-10-00, ext. 1466 y 1241.</w:t>
      </w:r>
    </w:p>
    <w:p w14:paraId="3D148063" w14:textId="77777777" w:rsidR="00BA71AF" w:rsidRPr="008B29CA" w:rsidRDefault="00BA71AF" w:rsidP="00BA71AF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568E3CC4" w14:textId="77777777" w:rsidR="00BA71AF" w:rsidRDefault="00BA71AF" w:rsidP="00BA71AF">
      <w:pPr>
        <w:ind w:left="-426" w:right="-518"/>
        <w:contextualSpacing/>
        <w:jc w:val="center"/>
        <w:rPr>
          <w:rFonts w:ascii="Arial" w:hAnsi="Arial" w:cs="Arial"/>
        </w:rPr>
      </w:pPr>
      <w:r w:rsidRPr="008B29CA">
        <w:rPr>
          <w:rFonts w:ascii="Arial" w:hAnsi="Arial" w:cs="Arial"/>
        </w:rPr>
        <w:t>Dirección de Atención a Medios / Dirección General Adjunta de Comunicación</w:t>
      </w:r>
    </w:p>
    <w:p w14:paraId="29BE0D23" w14:textId="77777777" w:rsidR="00BA71AF" w:rsidRPr="008B29CA" w:rsidRDefault="00BA71AF" w:rsidP="00BA71AF">
      <w:pPr>
        <w:ind w:left="-426" w:right="-518"/>
        <w:contextualSpacing/>
        <w:jc w:val="center"/>
        <w:rPr>
          <w:rFonts w:ascii="Arial" w:hAnsi="Arial" w:cs="Arial"/>
        </w:rPr>
      </w:pPr>
    </w:p>
    <w:p w14:paraId="7B0ABAB3" w14:textId="77777777" w:rsidR="00BA71AF" w:rsidRPr="00BA1ADF" w:rsidRDefault="00BA71AF" w:rsidP="00BA71AF">
      <w:pPr>
        <w:ind w:left="-426" w:right="-518"/>
        <w:contextualSpacing/>
        <w:jc w:val="center"/>
      </w:pPr>
    </w:p>
    <w:p w14:paraId="79AA3FB7" w14:textId="77777777" w:rsidR="00BA71AF" w:rsidRDefault="00BA71AF" w:rsidP="00BA71AF">
      <w:pPr>
        <w:ind w:left="-425" w:right="-516"/>
        <w:contextualSpacing/>
        <w:jc w:val="center"/>
        <w:rPr>
          <w:noProof/>
        </w:rPr>
        <w:sectPr w:rsidR="00BA71AF" w:rsidSect="00A564B9">
          <w:headerReference w:type="default" r:id="rId9"/>
          <w:footerReference w:type="default" r:id="rId10"/>
          <w:pgSz w:w="12240" w:h="15840"/>
          <w:pgMar w:top="1985" w:right="1701" w:bottom="851" w:left="1701" w:header="142" w:footer="709" w:gutter="0"/>
          <w:cols w:space="708"/>
          <w:docGrid w:linePitch="360"/>
        </w:sectPr>
      </w:pPr>
      <w:r w:rsidRPr="008F0992">
        <w:rPr>
          <w:noProof/>
        </w:rPr>
        <w:drawing>
          <wp:inline distT="0" distB="0" distL="0" distR="0" wp14:anchorId="233B9567" wp14:editId="3FDF57FA">
            <wp:extent cx="318472" cy="322419"/>
            <wp:effectExtent l="0" t="0" r="5715" b="1905"/>
            <wp:docPr id="507" name="Imagen 507" descr="C:\Users\saladeprensa\Desktop\NVOS LOGOS\F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90" cy="3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FA755F">
        <w:rPr>
          <w:noProof/>
        </w:rPr>
        <w:t xml:space="preserve"> </w:t>
      </w:r>
      <w:r w:rsidRPr="008F0992">
        <w:rPr>
          <w:noProof/>
        </w:rPr>
        <w:drawing>
          <wp:inline distT="0" distB="0" distL="0" distR="0" wp14:anchorId="763ED733" wp14:editId="63D2C75F">
            <wp:extent cx="327704" cy="325467"/>
            <wp:effectExtent l="0" t="0" r="0" b="0"/>
            <wp:docPr id="10" name="Imagen 10" descr="C:\Users\saladeprensa\Desktop\NVOS LOGOS\I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60" cy="44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755F">
        <w:rPr>
          <w:noProof/>
        </w:rPr>
        <w:t xml:space="preserve">  </w:t>
      </w:r>
      <w:r w:rsidRPr="008F0992">
        <w:rPr>
          <w:noProof/>
        </w:rPr>
        <w:drawing>
          <wp:inline distT="0" distB="0" distL="0" distR="0" wp14:anchorId="28376D7E" wp14:editId="7170366A">
            <wp:extent cx="321276" cy="324093"/>
            <wp:effectExtent l="0" t="0" r="3175" b="0"/>
            <wp:docPr id="508" name="Imagen 508" descr="C:\Users\saladeprensa\Desktop\NVOS LOGOS\T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52" cy="33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Pr="008F0992">
        <w:rPr>
          <w:noProof/>
        </w:rPr>
        <w:drawing>
          <wp:inline distT="0" distB="0" distL="0" distR="0" wp14:anchorId="78E470D2" wp14:editId="6EC93347">
            <wp:extent cx="321276" cy="326574"/>
            <wp:effectExtent l="0" t="0" r="3175" b="0"/>
            <wp:docPr id="509" name="Imagen 509" descr="C:\Users\saladeprensa\Desktop\NVOS LOGOS\Y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02" cy="37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Pr="008F0992">
        <w:rPr>
          <w:noProof/>
          <w:sz w:val="14"/>
          <w:szCs w:val="18"/>
        </w:rPr>
        <w:drawing>
          <wp:inline distT="0" distB="0" distL="0" distR="0" wp14:anchorId="37C128E6" wp14:editId="084ACE02">
            <wp:extent cx="2323070" cy="319707"/>
            <wp:effectExtent l="0" t="0" r="1270" b="4445"/>
            <wp:docPr id="506" name="Imagen 506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623" cy="35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94DB3" w14:textId="617C53DD" w:rsidR="00BA71AF" w:rsidRPr="00E5061E" w:rsidRDefault="00BA71AF" w:rsidP="00BA71AF">
      <w:pPr>
        <w:ind w:left="-425" w:right="-516"/>
        <w:contextualSpacing/>
        <w:jc w:val="center"/>
        <w:rPr>
          <w:rFonts w:ascii="Arial" w:hAnsi="Arial" w:cs="Arial"/>
          <w:color w:val="000000" w:themeColor="text1"/>
        </w:rPr>
      </w:pPr>
    </w:p>
    <w:p w14:paraId="2B16C2CA" w14:textId="77777777" w:rsidR="00BA71AF" w:rsidRPr="00D558EC" w:rsidRDefault="00BA71AF" w:rsidP="00BA71AF">
      <w:pPr>
        <w:ind w:left="-567" w:right="-518"/>
        <w:jc w:val="both"/>
        <w:rPr>
          <w:rFonts w:ascii="Arial" w:hAnsi="Arial" w:cs="Arial"/>
          <w:color w:val="000000" w:themeColor="text1"/>
          <w:shd w:val="clear" w:color="auto" w:fill="FAF9F8"/>
        </w:rPr>
      </w:pPr>
    </w:p>
    <w:p w14:paraId="0AF5B0D0" w14:textId="2C9A9C50" w:rsidR="00BA71AF" w:rsidRDefault="00BA71AF" w:rsidP="00C1453E">
      <w:pPr>
        <w:pStyle w:val="Ttulo2"/>
        <w:tabs>
          <w:tab w:val="left" w:pos="1276"/>
        </w:tabs>
        <w:spacing w:before="0" w:after="120"/>
        <w:jc w:val="center"/>
        <w:rPr>
          <w:rFonts w:ascii="Arial" w:hAnsi="Arial" w:cs="Arial"/>
          <w:i w:val="0"/>
          <w:color w:val="000000"/>
        </w:rPr>
      </w:pPr>
      <w:r>
        <w:rPr>
          <w:rFonts w:ascii="Arial" w:hAnsi="Arial" w:cs="Arial"/>
          <w:i w:val="0"/>
          <w:color w:val="000000"/>
        </w:rPr>
        <w:br w:type="page"/>
      </w:r>
    </w:p>
    <w:p w14:paraId="4410D58B" w14:textId="0C6B49AA" w:rsidR="00994BB9" w:rsidRPr="0085042C" w:rsidRDefault="00C1453E" w:rsidP="00C1453E">
      <w:pPr>
        <w:pStyle w:val="Ttulo2"/>
        <w:tabs>
          <w:tab w:val="left" w:pos="1276"/>
        </w:tabs>
        <w:spacing w:before="0" w:after="120"/>
        <w:jc w:val="center"/>
        <w:rPr>
          <w:rFonts w:ascii="Arial" w:hAnsi="Arial" w:cs="Arial"/>
          <w:b w:val="0"/>
          <w:i w:val="0"/>
          <w:color w:val="000000"/>
        </w:rPr>
      </w:pPr>
      <w:r>
        <w:rPr>
          <w:rFonts w:ascii="Arial" w:hAnsi="Arial" w:cs="Arial"/>
          <w:i w:val="0"/>
          <w:color w:val="000000"/>
        </w:rPr>
        <w:lastRenderedPageBreak/>
        <w:t>N</w:t>
      </w:r>
      <w:r w:rsidR="00994BB9" w:rsidRPr="0085042C">
        <w:rPr>
          <w:rFonts w:ascii="Arial" w:hAnsi="Arial" w:cs="Arial"/>
          <w:i w:val="0"/>
          <w:color w:val="000000"/>
        </w:rPr>
        <w:t>OTA TÉCNICA</w:t>
      </w:r>
    </w:p>
    <w:p w14:paraId="54DD08F7" w14:textId="77777777" w:rsidR="00ED71F9" w:rsidRPr="0085042C" w:rsidRDefault="00ED71F9" w:rsidP="00ED71F9">
      <w:pPr>
        <w:pStyle w:val="Profesin"/>
        <w:spacing w:before="60"/>
        <w:outlineLvl w:val="0"/>
        <w:rPr>
          <w:rFonts w:ascii="Arial" w:hAnsi="Arial" w:cs="Arial"/>
          <w:sz w:val="24"/>
          <w:szCs w:val="24"/>
          <w:lang w:val="es-MX"/>
        </w:rPr>
      </w:pPr>
      <w:r w:rsidRPr="0085042C">
        <w:rPr>
          <w:rFonts w:ascii="Arial" w:hAnsi="Arial" w:cs="Arial"/>
          <w:sz w:val="24"/>
          <w:szCs w:val="24"/>
          <w:lang w:val="es-MX"/>
        </w:rPr>
        <w:t>SISTEMA DE CUENTAS NACIONALES DE MÉXICO</w:t>
      </w:r>
    </w:p>
    <w:p w14:paraId="3EADD2E8" w14:textId="77777777" w:rsidR="00ED71F9" w:rsidRPr="0085042C" w:rsidRDefault="009F4B67" w:rsidP="00ED71F9">
      <w:pPr>
        <w:pStyle w:val="Profesin"/>
        <w:outlineLvl w:val="0"/>
        <w:rPr>
          <w:rFonts w:ascii="Arial" w:hAnsi="Arial" w:cs="Arial"/>
          <w:sz w:val="24"/>
          <w:szCs w:val="24"/>
          <w:lang w:val="es-MX"/>
        </w:rPr>
      </w:pPr>
      <w:r w:rsidRPr="009F4B67">
        <w:rPr>
          <w:rFonts w:ascii="Arial" w:hAnsi="Arial" w:cs="Arial"/>
          <w:sz w:val="24"/>
          <w:szCs w:val="24"/>
          <w:lang w:val="es-MX"/>
        </w:rPr>
        <w:t>Cuentas Económicas y Ecológicas de México, 2020.</w:t>
      </w:r>
    </w:p>
    <w:p w14:paraId="4605170B" w14:textId="77777777" w:rsidR="00994BB9" w:rsidRDefault="00994BB9" w:rsidP="00ED71F9">
      <w:pPr>
        <w:pStyle w:val="Textodebloque1"/>
        <w:tabs>
          <w:tab w:val="left" w:pos="0"/>
          <w:tab w:val="left" w:pos="8222"/>
        </w:tabs>
        <w:spacing w:before="0"/>
        <w:ind w:left="0" w:right="618" w:firstLine="0"/>
        <w:rPr>
          <w:rFonts w:ascii="Arial" w:hAnsi="Arial" w:cs="Arial"/>
          <w:i/>
          <w:iCs/>
          <w:smallCaps/>
          <w:sz w:val="24"/>
          <w:szCs w:val="24"/>
        </w:rPr>
      </w:pPr>
    </w:p>
    <w:p w14:paraId="4C51EB8B" w14:textId="77777777" w:rsidR="00ED71F9" w:rsidRPr="006D3F7A" w:rsidRDefault="00ED71F9" w:rsidP="00ED71F9">
      <w:pPr>
        <w:pStyle w:val="Textodebloque1"/>
        <w:tabs>
          <w:tab w:val="left" w:pos="0"/>
          <w:tab w:val="left" w:pos="8222"/>
        </w:tabs>
        <w:spacing w:before="0"/>
        <w:ind w:left="0" w:right="618" w:firstLine="0"/>
        <w:rPr>
          <w:rFonts w:ascii="Arial" w:hAnsi="Arial" w:cs="Arial"/>
          <w:i/>
          <w:iCs/>
          <w:smallCaps/>
          <w:sz w:val="24"/>
          <w:szCs w:val="24"/>
        </w:rPr>
      </w:pPr>
      <w:r w:rsidRPr="006D3F7A">
        <w:rPr>
          <w:rFonts w:ascii="Arial" w:hAnsi="Arial" w:cs="Arial"/>
          <w:i/>
          <w:iCs/>
          <w:smallCaps/>
          <w:sz w:val="24"/>
          <w:szCs w:val="24"/>
        </w:rPr>
        <w:t>Aspectos Generales</w:t>
      </w:r>
    </w:p>
    <w:p w14:paraId="7DC61892" w14:textId="55D52058" w:rsidR="00CF29A6" w:rsidRPr="003B1F98" w:rsidRDefault="00CF29A6" w:rsidP="00141A97">
      <w:pPr>
        <w:pStyle w:val="Textoindependiente"/>
        <w:spacing w:before="360"/>
        <w:rPr>
          <w:rFonts w:ascii="Arial" w:hAnsi="Arial" w:cs="Arial"/>
          <w:spacing w:val="-2"/>
        </w:rPr>
      </w:pPr>
      <w:r w:rsidRPr="003B1F98">
        <w:rPr>
          <w:rFonts w:ascii="Arial" w:hAnsi="Arial" w:cs="Arial"/>
          <w:spacing w:val="-2"/>
        </w:rPr>
        <w:t>El Instituto Nacional de Estadística y Geografía (INEGI) presenta los resultados de la</w:t>
      </w:r>
      <w:r w:rsidR="00216AEF" w:rsidRPr="003B1F98">
        <w:rPr>
          <w:rFonts w:ascii="Arial" w:hAnsi="Arial" w:cs="Arial"/>
          <w:spacing w:val="-2"/>
          <w:lang w:val="es-MX"/>
        </w:rPr>
        <w:t>s</w:t>
      </w:r>
      <w:r w:rsidRPr="003B1F98">
        <w:rPr>
          <w:rFonts w:ascii="Arial" w:hAnsi="Arial" w:cs="Arial"/>
          <w:spacing w:val="-2"/>
        </w:rPr>
        <w:t xml:space="preserve"> </w:t>
      </w:r>
      <w:bookmarkStart w:id="2" w:name="_Hlk87955333"/>
      <w:r w:rsidR="00216AEF" w:rsidRPr="003B1F98">
        <w:rPr>
          <w:rFonts w:ascii="Arial" w:hAnsi="Arial" w:cs="Arial"/>
          <w:spacing w:val="-2"/>
        </w:rPr>
        <w:t xml:space="preserve">Cuentas </w:t>
      </w:r>
      <w:r w:rsidR="004B6E0C">
        <w:rPr>
          <w:rFonts w:ascii="Arial" w:hAnsi="Arial" w:cs="Arial"/>
          <w:spacing w:val="-2"/>
          <w:lang w:val="es-MX"/>
        </w:rPr>
        <w:t>Económicas</w:t>
      </w:r>
      <w:r w:rsidR="00216AEF" w:rsidRPr="003B1F98">
        <w:rPr>
          <w:rFonts w:ascii="Arial" w:hAnsi="Arial" w:cs="Arial"/>
          <w:spacing w:val="-2"/>
        </w:rPr>
        <w:t xml:space="preserve"> y </w:t>
      </w:r>
      <w:r w:rsidR="004B6E0C">
        <w:rPr>
          <w:rFonts w:ascii="Arial" w:hAnsi="Arial" w:cs="Arial"/>
          <w:spacing w:val="-2"/>
          <w:lang w:val="es-MX"/>
        </w:rPr>
        <w:t xml:space="preserve">Ecológicas </w:t>
      </w:r>
      <w:r w:rsidR="00216AEF" w:rsidRPr="003B1F98">
        <w:rPr>
          <w:rFonts w:ascii="Arial" w:hAnsi="Arial" w:cs="Arial"/>
          <w:spacing w:val="-2"/>
        </w:rPr>
        <w:t>de México</w:t>
      </w:r>
      <w:bookmarkEnd w:id="2"/>
      <w:r w:rsidR="00216AEF" w:rsidRPr="003B1F98">
        <w:rPr>
          <w:rFonts w:ascii="Arial" w:hAnsi="Arial" w:cs="Arial"/>
          <w:spacing w:val="-2"/>
        </w:rPr>
        <w:t xml:space="preserve">, 2020. Año Base 2013. </w:t>
      </w:r>
      <w:r w:rsidRPr="003B1F98">
        <w:rPr>
          <w:rFonts w:ascii="Arial" w:hAnsi="Arial" w:cs="Arial"/>
          <w:spacing w:val="-2"/>
        </w:rPr>
        <w:t>Este trabajo proporciona información económica para la toma de decisiones y forma parte del Sistema de Cuent</w:t>
      </w:r>
      <w:r w:rsidR="00A915F4">
        <w:rPr>
          <w:rFonts w:ascii="Arial" w:hAnsi="Arial" w:cs="Arial"/>
          <w:spacing w:val="-2"/>
        </w:rPr>
        <w:t>as Nacionales de México (SCNM).</w:t>
      </w:r>
    </w:p>
    <w:p w14:paraId="33A99A84" w14:textId="5C6F771C" w:rsidR="00CF29A6" w:rsidRPr="00CF29A6" w:rsidRDefault="00216AEF" w:rsidP="009B67F3">
      <w:pPr>
        <w:pStyle w:val="Textoindependiente"/>
        <w:spacing w:before="100" w:beforeAutospacing="1"/>
        <w:rPr>
          <w:rFonts w:ascii="Arial" w:hAnsi="Arial" w:cs="Arial"/>
        </w:rPr>
      </w:pPr>
      <w:r w:rsidRPr="00216AEF">
        <w:rPr>
          <w:rFonts w:ascii="Arial" w:hAnsi="Arial" w:cs="Arial"/>
        </w:rPr>
        <w:t xml:space="preserve">Su objetivo general es </w:t>
      </w:r>
      <w:r w:rsidR="009B67F3">
        <w:rPr>
          <w:rFonts w:ascii="Arial" w:hAnsi="Arial" w:cs="Arial"/>
          <w:lang w:val="es-MX"/>
        </w:rPr>
        <w:t>medir</w:t>
      </w:r>
      <w:r w:rsidR="009B67F3" w:rsidRPr="009B67F3">
        <w:rPr>
          <w:rFonts w:ascii="Arial" w:hAnsi="Arial" w:cs="Arial"/>
        </w:rPr>
        <w:t xml:space="preserve"> el impacto que tienen en </w:t>
      </w:r>
      <w:r w:rsidR="009B67F3" w:rsidRPr="009B67F3">
        <w:rPr>
          <w:rFonts w:ascii="Arial" w:hAnsi="Arial" w:cs="Arial"/>
          <w:lang w:val="es-MX"/>
        </w:rPr>
        <w:t xml:space="preserve">la economía </w:t>
      </w:r>
      <w:r w:rsidR="009B67F3" w:rsidRPr="009B67F3">
        <w:rPr>
          <w:rFonts w:ascii="Arial" w:hAnsi="Arial" w:cs="Arial"/>
        </w:rPr>
        <w:t xml:space="preserve">el agotamiento </w:t>
      </w:r>
      <w:r w:rsidR="00B97069" w:rsidRPr="00216AEF">
        <w:rPr>
          <w:rFonts w:ascii="Arial" w:hAnsi="Arial" w:cs="Arial"/>
        </w:rPr>
        <w:t xml:space="preserve">de los recursos naturales </w:t>
      </w:r>
      <w:r w:rsidR="009B67F3" w:rsidRPr="00216AEF">
        <w:rPr>
          <w:rFonts w:ascii="Arial" w:hAnsi="Arial" w:cs="Arial"/>
        </w:rPr>
        <w:t xml:space="preserve">y la degradación del medio ambiente ocasionados por </w:t>
      </w:r>
      <w:r w:rsidR="003B1F98">
        <w:rPr>
          <w:rFonts w:ascii="Arial" w:hAnsi="Arial" w:cs="Arial"/>
          <w:lang w:val="es-MX"/>
        </w:rPr>
        <w:t>la</w:t>
      </w:r>
      <w:r w:rsidR="009B67F3" w:rsidRPr="00216AEF">
        <w:rPr>
          <w:rFonts w:ascii="Arial" w:hAnsi="Arial" w:cs="Arial"/>
        </w:rPr>
        <w:t xml:space="preserve"> producción, distribución y consumo</w:t>
      </w:r>
      <w:r w:rsidR="003B1F98">
        <w:rPr>
          <w:rFonts w:ascii="Arial" w:hAnsi="Arial" w:cs="Arial"/>
          <w:lang w:val="es-MX"/>
        </w:rPr>
        <w:t xml:space="preserve"> de bienes y servicios</w:t>
      </w:r>
      <w:r w:rsidRPr="00216AEF">
        <w:rPr>
          <w:rFonts w:ascii="Arial" w:hAnsi="Arial" w:cs="Arial"/>
        </w:rPr>
        <w:t xml:space="preserve">, en el marco del Manual sobre Contabilidad Económica y Ambiental de Naciones Unidas, proporcionando un indicador </w:t>
      </w:r>
      <w:r w:rsidR="00D32FED">
        <w:rPr>
          <w:rFonts w:ascii="Arial" w:hAnsi="Arial" w:cs="Arial"/>
        </w:rPr>
        <w:t>de síntesis como los</w:t>
      </w:r>
      <w:r w:rsidRPr="009B67F3">
        <w:rPr>
          <w:rFonts w:ascii="Arial" w:hAnsi="Arial" w:cs="Arial"/>
        </w:rPr>
        <w:t xml:space="preserve"> </w:t>
      </w:r>
      <w:r w:rsidR="00BE0317" w:rsidRPr="009B67F3">
        <w:rPr>
          <w:rFonts w:ascii="Arial" w:hAnsi="Arial" w:cs="Arial"/>
          <w:lang w:val="es-MX"/>
        </w:rPr>
        <w:t>Costos Totales por Agotamiento y Degradación Ambiental (CTADA)</w:t>
      </w:r>
      <w:r w:rsidR="00D32FED">
        <w:rPr>
          <w:rFonts w:ascii="Arial" w:hAnsi="Arial" w:cs="Arial"/>
          <w:lang w:val="es-MX"/>
        </w:rPr>
        <w:t xml:space="preserve">; así como </w:t>
      </w:r>
      <w:r w:rsidRPr="00216AEF">
        <w:rPr>
          <w:rFonts w:ascii="Arial" w:hAnsi="Arial" w:cs="Arial"/>
        </w:rPr>
        <w:t>cuantificar en unidades monetarias los esfuerzos realizados para la protección del medio ambiente.</w:t>
      </w:r>
    </w:p>
    <w:p w14:paraId="0C998F00" w14:textId="365F9BEE" w:rsidR="00ED71F9" w:rsidRDefault="00ED71F9" w:rsidP="00141A97">
      <w:pPr>
        <w:pStyle w:val="Textoindependiente"/>
        <w:spacing w:before="100" w:beforeAutospacing="1"/>
        <w:rPr>
          <w:rFonts w:ascii="Arial" w:hAnsi="Arial" w:cs="Arial"/>
          <w:b/>
          <w:iCs/>
          <w:smallCaps/>
        </w:rPr>
      </w:pPr>
      <w:r w:rsidRPr="006D3F7A">
        <w:rPr>
          <w:rFonts w:ascii="Arial" w:hAnsi="Arial" w:cs="Arial"/>
          <w:b/>
          <w:iCs/>
          <w:smallCaps/>
        </w:rPr>
        <w:t>Principales Resultados</w:t>
      </w:r>
    </w:p>
    <w:p w14:paraId="0CEDD361" w14:textId="02117E6D" w:rsidR="00D86B25" w:rsidRPr="00722A19" w:rsidRDefault="00D86B25" w:rsidP="00D86B25">
      <w:pPr>
        <w:pStyle w:val="n01"/>
        <w:keepLines w:val="0"/>
        <w:spacing w:before="360"/>
        <w:ind w:left="0" w:firstLine="0"/>
        <w:outlineLvl w:val="0"/>
        <w:rPr>
          <w:rFonts w:ascii="Arial" w:hAnsi="Arial" w:cs="Arial"/>
          <w:b/>
          <w:smallCaps/>
          <w:color w:val="auto"/>
          <w:lang w:val="es-MX"/>
        </w:rPr>
      </w:pPr>
      <w:r w:rsidRPr="00722A19">
        <w:rPr>
          <w:rFonts w:ascii="Arial" w:hAnsi="Arial" w:cs="Arial"/>
          <w:b/>
          <w:smallCaps/>
          <w:color w:val="auto"/>
          <w:lang w:val="es-MX"/>
        </w:rPr>
        <w:t>Producto Interno Neto Ajustado Ambientalmente</w:t>
      </w:r>
    </w:p>
    <w:p w14:paraId="498AD474" w14:textId="77777777" w:rsidR="0069043F" w:rsidRPr="00722A19" w:rsidRDefault="0069043F" w:rsidP="0069043F">
      <w:pPr>
        <w:ind w:right="-516"/>
        <w:jc w:val="both"/>
        <w:rPr>
          <w:rFonts w:ascii="Arial" w:hAnsi="Arial" w:cs="Arial"/>
          <w:lang w:val="x-none" w:eastAsia="x-none"/>
        </w:rPr>
      </w:pPr>
    </w:p>
    <w:p w14:paraId="3A8021CF" w14:textId="7BCED9EA" w:rsidR="0069043F" w:rsidRPr="00722A19" w:rsidRDefault="0069043F" w:rsidP="0069043F">
      <w:pPr>
        <w:ind w:right="-516"/>
        <w:jc w:val="both"/>
        <w:rPr>
          <w:rFonts w:ascii="Arial" w:hAnsi="Arial" w:cs="Arial"/>
          <w:lang w:val="x-none" w:eastAsia="x-none"/>
        </w:rPr>
      </w:pPr>
      <w:r w:rsidRPr="00722A19">
        <w:rPr>
          <w:rFonts w:ascii="Arial" w:hAnsi="Arial" w:cs="Arial"/>
          <w:lang w:val="x-none" w:eastAsia="x-none"/>
        </w:rPr>
        <w:t>El Producto Interno Neto Ajustado Ambientalmente es el indicador que muestra el impacto ambiental ocasionado por la producción de bienes y servicios, que se obtiene al deducir del Producto Interno Bruto (PIB) a precios de mercado</w:t>
      </w:r>
      <w:r w:rsidRPr="00722A19">
        <w:rPr>
          <w:rStyle w:val="Refdenotaalpie"/>
          <w:rFonts w:ascii="Arial" w:hAnsi="Arial" w:cs="Arial"/>
          <w:lang w:val="x-none" w:eastAsia="x-none"/>
        </w:rPr>
        <w:footnoteReference w:id="2"/>
      </w:r>
      <w:r w:rsidRPr="00722A19">
        <w:rPr>
          <w:rFonts w:ascii="Arial" w:hAnsi="Arial" w:cs="Arial"/>
          <w:lang w:val="x-none" w:eastAsia="x-none"/>
        </w:rPr>
        <w:t xml:space="preserve"> los costos por el consumo de capital fijo y los costos imputados por el agotamiento de los recursos naturales y por la degradación ambiental.</w:t>
      </w:r>
    </w:p>
    <w:p w14:paraId="609DCAE1" w14:textId="77777777" w:rsidR="0069043F" w:rsidRPr="00722A19" w:rsidRDefault="0069043F" w:rsidP="0069043F">
      <w:pPr>
        <w:ind w:right="-516"/>
        <w:jc w:val="both"/>
        <w:rPr>
          <w:rFonts w:ascii="Arial" w:hAnsi="Arial" w:cs="Arial"/>
          <w:lang w:val="x-none" w:eastAsia="x-none"/>
        </w:rPr>
      </w:pPr>
    </w:p>
    <w:p w14:paraId="207CFAEC" w14:textId="77777777" w:rsidR="0069043F" w:rsidRPr="00722A19" w:rsidRDefault="0069043F" w:rsidP="0069043F">
      <w:pPr>
        <w:ind w:right="-516"/>
        <w:jc w:val="both"/>
        <w:rPr>
          <w:rFonts w:ascii="Arial" w:hAnsi="Arial" w:cs="Arial"/>
          <w:lang w:val="x-none" w:eastAsia="x-none"/>
        </w:rPr>
      </w:pPr>
      <w:r w:rsidRPr="00722A19">
        <w:rPr>
          <w:rFonts w:ascii="Arial" w:hAnsi="Arial" w:cs="Arial"/>
          <w:lang w:val="x-none" w:eastAsia="x-none"/>
        </w:rPr>
        <w:t>Durante el periodo de 2003 a 20</w:t>
      </w:r>
      <w:r w:rsidRPr="00722A19">
        <w:rPr>
          <w:rFonts w:ascii="Arial" w:hAnsi="Arial" w:cs="Arial"/>
          <w:lang w:eastAsia="x-none"/>
        </w:rPr>
        <w:t>20</w:t>
      </w:r>
      <w:r w:rsidRPr="00722A19">
        <w:rPr>
          <w:rFonts w:ascii="Arial" w:hAnsi="Arial" w:cs="Arial"/>
          <w:lang w:val="x-none" w:eastAsia="x-none"/>
        </w:rPr>
        <w:t xml:space="preserve"> el Producto Interno Neto Ajustado Ambientalmente ha representado en promedio el 78.</w:t>
      </w:r>
      <w:r w:rsidRPr="00722A19">
        <w:rPr>
          <w:rFonts w:ascii="Arial" w:hAnsi="Arial" w:cs="Arial"/>
          <w:lang w:eastAsia="x-none"/>
        </w:rPr>
        <w:t>7</w:t>
      </w:r>
      <w:r w:rsidRPr="00722A19">
        <w:rPr>
          <w:rFonts w:ascii="Arial" w:hAnsi="Arial" w:cs="Arial"/>
          <w:lang w:val="x-none" w:eastAsia="x-none"/>
        </w:rPr>
        <w:t>% del Producto Interno Bruto del país, a precios de mercado, siendo 2007 el año en que registró el mayor porcentaje con 80.2% y en 20</w:t>
      </w:r>
      <w:r w:rsidRPr="00722A19">
        <w:rPr>
          <w:rFonts w:ascii="Arial" w:hAnsi="Arial" w:cs="Arial"/>
          <w:lang w:eastAsia="x-none"/>
        </w:rPr>
        <w:t>20</w:t>
      </w:r>
      <w:r w:rsidRPr="00722A19">
        <w:rPr>
          <w:rFonts w:ascii="Arial" w:hAnsi="Arial" w:cs="Arial"/>
          <w:lang w:val="x-none" w:eastAsia="x-none"/>
        </w:rPr>
        <w:t xml:space="preserve"> el menor con 7</w:t>
      </w:r>
      <w:r w:rsidRPr="00722A19">
        <w:rPr>
          <w:rFonts w:ascii="Arial" w:hAnsi="Arial" w:cs="Arial"/>
          <w:lang w:eastAsia="x-none"/>
        </w:rPr>
        <w:t>5</w:t>
      </w:r>
      <w:r w:rsidRPr="00722A19">
        <w:rPr>
          <w:rFonts w:ascii="Arial" w:hAnsi="Arial" w:cs="Arial"/>
          <w:lang w:val="x-none" w:eastAsia="x-none"/>
        </w:rPr>
        <w:t>.</w:t>
      </w:r>
      <w:r w:rsidRPr="00722A19">
        <w:rPr>
          <w:rFonts w:ascii="Arial" w:hAnsi="Arial" w:cs="Arial"/>
          <w:lang w:eastAsia="x-none"/>
        </w:rPr>
        <w:t>7</w:t>
      </w:r>
      <w:r w:rsidRPr="00722A19">
        <w:rPr>
          <w:rFonts w:ascii="Arial" w:hAnsi="Arial" w:cs="Arial"/>
          <w:lang w:val="x-none" w:eastAsia="x-none"/>
        </w:rPr>
        <w:t xml:space="preserve"> por ciento.</w:t>
      </w:r>
    </w:p>
    <w:p w14:paraId="6E24995C" w14:textId="77777777" w:rsidR="0069043F" w:rsidRPr="00722A19" w:rsidRDefault="0069043F" w:rsidP="0069043F">
      <w:pPr>
        <w:pStyle w:val="n01"/>
        <w:keepLines w:val="0"/>
        <w:spacing w:before="360"/>
        <w:ind w:left="0" w:firstLine="0"/>
        <w:outlineLvl w:val="0"/>
        <w:rPr>
          <w:rFonts w:ascii="Arial" w:hAnsi="Arial" w:cs="Arial"/>
          <w:b/>
          <w:smallCaps/>
          <w:color w:val="auto"/>
          <w:lang w:val="es-MX"/>
        </w:rPr>
      </w:pPr>
      <w:r w:rsidRPr="00722A19">
        <w:rPr>
          <w:rFonts w:ascii="Arial" w:hAnsi="Arial" w:cs="Arial"/>
          <w:b/>
          <w:smallCaps/>
          <w:color w:val="auto"/>
          <w:lang w:val="es-MX"/>
        </w:rPr>
        <w:t>Composición del Producto Interno Neto Ajustado Ambientalmente en 2020</w:t>
      </w:r>
    </w:p>
    <w:p w14:paraId="0D1C5171" w14:textId="77777777" w:rsidR="0069043F" w:rsidRPr="00D86B25" w:rsidRDefault="0069043F" w:rsidP="0069043F">
      <w:pPr>
        <w:ind w:right="-516"/>
        <w:jc w:val="both"/>
        <w:rPr>
          <w:rFonts w:ascii="Arial" w:hAnsi="Arial" w:cs="Arial"/>
          <w:color w:val="FF0000"/>
          <w:lang w:val="x-none" w:eastAsia="x-none"/>
        </w:rPr>
      </w:pPr>
    </w:p>
    <w:p w14:paraId="126D08A3" w14:textId="3C6DEF5A" w:rsidR="0069043F" w:rsidRPr="00722A19" w:rsidRDefault="0069043F" w:rsidP="0069043F">
      <w:pPr>
        <w:ind w:right="-516"/>
        <w:jc w:val="both"/>
        <w:rPr>
          <w:rFonts w:ascii="Arial" w:hAnsi="Arial" w:cs="Arial"/>
          <w:lang w:val="x-none" w:eastAsia="x-none"/>
        </w:rPr>
      </w:pPr>
      <w:r w:rsidRPr="00722A19">
        <w:rPr>
          <w:rFonts w:ascii="Arial" w:hAnsi="Arial" w:cs="Arial"/>
          <w:lang w:val="x-none" w:eastAsia="x-none"/>
        </w:rPr>
        <w:t>El Producto Interno Neto Ajustado Ambientalmente o Producto Interno Neto Ecológico (PINE) alcanzó</w:t>
      </w:r>
      <w:r w:rsidR="0003341F">
        <w:rPr>
          <w:rFonts w:ascii="Arial" w:hAnsi="Arial" w:cs="Arial"/>
          <w:lang w:eastAsia="x-none"/>
        </w:rPr>
        <w:t xml:space="preserve"> en 2020</w:t>
      </w:r>
      <w:r w:rsidRPr="00722A19">
        <w:rPr>
          <w:rFonts w:ascii="Arial" w:hAnsi="Arial" w:cs="Arial"/>
          <w:lang w:val="x-none" w:eastAsia="x-none"/>
        </w:rPr>
        <w:t xml:space="preserve"> un monto de 1</w:t>
      </w:r>
      <w:r w:rsidRPr="00722A19">
        <w:rPr>
          <w:rFonts w:ascii="Arial" w:hAnsi="Arial" w:cs="Arial"/>
          <w:lang w:eastAsia="x-none"/>
        </w:rPr>
        <w:t>7</w:t>
      </w:r>
      <w:r w:rsidR="0003341F">
        <w:rPr>
          <w:rFonts w:ascii="Arial" w:hAnsi="Arial" w:cs="Arial"/>
          <w:lang w:eastAsia="x-none"/>
        </w:rPr>
        <w:t xml:space="preserve"> </w:t>
      </w:r>
      <w:r w:rsidRPr="00722A19">
        <w:rPr>
          <w:rFonts w:ascii="Arial" w:hAnsi="Arial" w:cs="Arial"/>
          <w:lang w:eastAsia="x-none"/>
        </w:rPr>
        <w:t>683</w:t>
      </w:r>
      <w:r w:rsidR="0003341F">
        <w:rPr>
          <w:rFonts w:ascii="Arial" w:hAnsi="Arial" w:cs="Arial"/>
          <w:lang w:eastAsia="x-none"/>
        </w:rPr>
        <w:t xml:space="preserve"> </w:t>
      </w:r>
      <w:r w:rsidRPr="00722A19">
        <w:rPr>
          <w:rFonts w:ascii="Arial" w:hAnsi="Arial" w:cs="Arial"/>
          <w:lang w:eastAsia="x-none"/>
        </w:rPr>
        <w:t>309</w:t>
      </w:r>
      <w:r w:rsidRPr="00722A19">
        <w:rPr>
          <w:rFonts w:ascii="Arial" w:hAnsi="Arial" w:cs="Arial"/>
          <w:lang w:val="x-none" w:eastAsia="x-none"/>
        </w:rPr>
        <w:t xml:space="preserve"> millones de pesos y representó 7</w:t>
      </w:r>
      <w:r w:rsidRPr="00722A19">
        <w:rPr>
          <w:rFonts w:ascii="Arial" w:hAnsi="Arial" w:cs="Arial"/>
          <w:lang w:eastAsia="x-none"/>
        </w:rPr>
        <w:t>6</w:t>
      </w:r>
      <w:r w:rsidRPr="00722A19">
        <w:rPr>
          <w:rFonts w:ascii="Arial" w:hAnsi="Arial" w:cs="Arial"/>
          <w:lang w:val="x-none" w:eastAsia="x-none"/>
        </w:rPr>
        <w:t xml:space="preserve">% del PIB, a precios de mercado (véase gráfica siguiente). Los sectores que </w:t>
      </w:r>
      <w:r w:rsidRPr="00722A19">
        <w:rPr>
          <w:rFonts w:ascii="Arial" w:hAnsi="Arial" w:cs="Arial"/>
          <w:lang w:eastAsia="x-none"/>
        </w:rPr>
        <w:t xml:space="preserve">más contribuyeron al PINE </w:t>
      </w:r>
      <w:r w:rsidRPr="00722A19">
        <w:rPr>
          <w:rFonts w:ascii="Arial" w:hAnsi="Arial" w:cs="Arial"/>
          <w:lang w:val="x-none" w:eastAsia="x-none"/>
        </w:rPr>
        <w:t>fueron el Comercio y otros servicios y las Industrias Manufactureras con 3</w:t>
      </w:r>
      <w:r w:rsidRPr="00722A19">
        <w:rPr>
          <w:rFonts w:ascii="Arial" w:hAnsi="Arial" w:cs="Arial"/>
          <w:lang w:eastAsia="x-none"/>
        </w:rPr>
        <w:t>6</w:t>
      </w:r>
      <w:r w:rsidRPr="00722A19">
        <w:rPr>
          <w:rFonts w:ascii="Arial" w:hAnsi="Arial" w:cs="Arial"/>
          <w:lang w:val="x-none" w:eastAsia="x-none"/>
        </w:rPr>
        <w:t>.</w:t>
      </w:r>
      <w:r w:rsidRPr="00722A19">
        <w:rPr>
          <w:rFonts w:ascii="Arial" w:hAnsi="Arial" w:cs="Arial"/>
          <w:lang w:eastAsia="x-none"/>
        </w:rPr>
        <w:t>9</w:t>
      </w:r>
      <w:r w:rsidRPr="00722A19">
        <w:rPr>
          <w:rFonts w:ascii="Arial" w:hAnsi="Arial" w:cs="Arial"/>
          <w:lang w:val="x-none" w:eastAsia="x-none"/>
        </w:rPr>
        <w:t>% y 15.</w:t>
      </w:r>
      <w:r w:rsidRPr="00722A19">
        <w:rPr>
          <w:rFonts w:ascii="Arial" w:hAnsi="Arial" w:cs="Arial"/>
          <w:lang w:eastAsia="x-none"/>
        </w:rPr>
        <w:t>0</w:t>
      </w:r>
      <w:r w:rsidRPr="00722A19">
        <w:rPr>
          <w:rFonts w:ascii="Arial" w:hAnsi="Arial" w:cs="Arial"/>
          <w:lang w:val="x-none" w:eastAsia="x-none"/>
        </w:rPr>
        <w:t>%, respectivamente.</w:t>
      </w:r>
    </w:p>
    <w:p w14:paraId="7BF10B9C" w14:textId="77777777" w:rsidR="0069043F" w:rsidRPr="00722A19" w:rsidRDefault="0069043F" w:rsidP="0069043F">
      <w:pPr>
        <w:ind w:left="-567" w:right="-516"/>
        <w:jc w:val="both"/>
        <w:rPr>
          <w:rFonts w:ascii="Arial" w:hAnsi="Arial" w:cs="Arial"/>
          <w:lang w:val="x-none" w:eastAsia="x-none"/>
        </w:rPr>
      </w:pPr>
    </w:p>
    <w:p w14:paraId="69575AED" w14:textId="77777777" w:rsidR="0069043F" w:rsidRPr="00722A19" w:rsidRDefault="0069043F" w:rsidP="0069043F">
      <w:pPr>
        <w:pStyle w:val="Textoindependiente"/>
        <w:ind w:left="809" w:right="924"/>
        <w:jc w:val="center"/>
        <w:rPr>
          <w:rFonts w:ascii="Arial" w:hAnsi="Arial" w:cs="Arial"/>
          <w:lang w:val="es-MX"/>
        </w:rPr>
      </w:pPr>
      <w:r w:rsidRPr="00722A19">
        <w:rPr>
          <w:rFonts w:ascii="Arial" w:hAnsi="Arial" w:cs="Arial"/>
          <w:lang w:val="es-MX"/>
        </w:rPr>
        <w:t>Gráfica 1</w:t>
      </w:r>
    </w:p>
    <w:p w14:paraId="57482EA8" w14:textId="77777777" w:rsidR="0069043F" w:rsidRPr="00722A19" w:rsidRDefault="0069043F" w:rsidP="0069043F">
      <w:pPr>
        <w:spacing w:line="276" w:lineRule="exact"/>
        <w:ind w:right="49"/>
        <w:jc w:val="center"/>
        <w:rPr>
          <w:rFonts w:ascii="Arial" w:hAnsi="Arial" w:cs="Arial"/>
          <w:b/>
          <w:sz w:val="22"/>
          <w:szCs w:val="22"/>
        </w:rPr>
      </w:pPr>
      <w:r w:rsidRPr="00722A19">
        <w:rPr>
          <w:rFonts w:ascii="Arial" w:hAnsi="Arial" w:cs="Arial"/>
          <w:b/>
          <w:sz w:val="22"/>
          <w:szCs w:val="22"/>
        </w:rPr>
        <w:t>DIAGRAMA DEL PRODUCTO INTERNO NETO ECOLÓGICO, 2020</w:t>
      </w:r>
    </w:p>
    <w:p w14:paraId="0B935917" w14:textId="2AAF32AF" w:rsidR="0069043F" w:rsidRPr="00722A19" w:rsidRDefault="00722A19" w:rsidP="0069043F">
      <w:pPr>
        <w:ind w:left="816" w:right="924"/>
        <w:jc w:val="center"/>
        <w:rPr>
          <w:rFonts w:ascii="Arial" w:hAnsi="Arial" w:cs="Arial"/>
          <w:sz w:val="18"/>
          <w:szCs w:val="18"/>
        </w:rPr>
      </w:pPr>
      <w:r w:rsidRPr="00722A19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38304E" wp14:editId="60D159C1">
                <wp:simplePos x="0" y="0"/>
                <wp:positionH relativeFrom="column">
                  <wp:posOffset>158428</wp:posOffset>
                </wp:positionH>
                <wp:positionV relativeFrom="paragraph">
                  <wp:posOffset>129540</wp:posOffset>
                </wp:positionV>
                <wp:extent cx="5036024" cy="4353636"/>
                <wp:effectExtent l="0" t="0" r="12700" b="2794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6024" cy="435363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238B6DDE" id="Rectángulo 8" o:spid="_x0000_s1026" style="position:absolute;margin-left:12.45pt;margin-top:10.2pt;width:396.55pt;height:342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" filled="f" strokecolor="black [3213]" strokeweight="1pt"/>
            </w:pict>
          </mc:Fallback>
        </mc:AlternateContent>
      </w:r>
      <w:r w:rsidR="0069043F" w:rsidRPr="00722A19">
        <w:rPr>
          <w:rFonts w:ascii="Arial" w:hAnsi="Arial" w:cs="Arial"/>
          <w:sz w:val="18"/>
          <w:szCs w:val="18"/>
        </w:rPr>
        <w:t>(Porcentajes sobre el PIB a precios de mercado)</w:t>
      </w:r>
    </w:p>
    <w:p w14:paraId="63DBB82B" w14:textId="0B4052DF" w:rsidR="0069043F" w:rsidRDefault="0069043F" w:rsidP="0069043F">
      <w:pPr>
        <w:ind w:left="816" w:right="924"/>
        <w:jc w:val="center"/>
        <w:rPr>
          <w:rFonts w:ascii="Arial" w:hAnsi="Arial" w:cs="Arial"/>
          <w:color w:val="FF0000"/>
          <w:sz w:val="18"/>
          <w:szCs w:val="18"/>
        </w:rPr>
      </w:pPr>
    </w:p>
    <w:p w14:paraId="3DB7DED2" w14:textId="15ACD3C4" w:rsidR="0069043F" w:rsidRDefault="00722A19" w:rsidP="0069043F">
      <w:pPr>
        <w:ind w:left="816" w:right="924"/>
        <w:jc w:val="center"/>
        <w:rPr>
          <w:rFonts w:ascii="Arial" w:hAnsi="Arial" w:cs="Arial"/>
          <w:color w:val="FF0000"/>
          <w:sz w:val="18"/>
          <w:szCs w:val="18"/>
        </w:rPr>
      </w:pPr>
      <w:r w:rsidRPr="00722A19">
        <w:rPr>
          <w:rFonts w:ascii="Arial" w:hAnsi="Arial" w:cs="Arial"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B6CFA6" wp14:editId="7129BDDB">
                <wp:simplePos x="0" y="0"/>
                <wp:positionH relativeFrom="column">
                  <wp:posOffset>2256193</wp:posOffset>
                </wp:positionH>
                <wp:positionV relativeFrom="paragraph">
                  <wp:posOffset>869685</wp:posOffset>
                </wp:positionV>
                <wp:extent cx="163773" cy="163773"/>
                <wp:effectExtent l="0" t="0" r="0" b="0"/>
                <wp:wrapNone/>
                <wp:docPr id="12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73" cy="16377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2B43CB" w14:textId="77777777" w:rsidR="00722A19" w:rsidRPr="00722A19" w:rsidRDefault="00722A19" w:rsidP="00722A19">
                            <w:pP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722A1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6CFA6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left:0;text-align:left;margin-left:177.65pt;margin-top:68.5pt;width:12.9pt;height:1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" filled="f" stroked="f">
                <v:textbox>
                  <w:txbxContent>
                    <w:p w14:paraId="0B2B43CB" w14:textId="77777777" w:rsidR="00722A19" w:rsidRPr="00722A19" w:rsidRDefault="00722A19" w:rsidP="00722A19">
                      <w:pP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</w:rPr>
                      </w:pPr>
                      <w:r w:rsidRPr="00722A19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A11E2">
        <w:rPr>
          <w:rFonts w:ascii="Arial" w:hAnsi="Arial" w:cs="Arial"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5CEFE" wp14:editId="62ECAF3A">
                <wp:simplePos x="0" y="0"/>
                <wp:positionH relativeFrom="column">
                  <wp:posOffset>197617</wp:posOffset>
                </wp:positionH>
                <wp:positionV relativeFrom="paragraph">
                  <wp:posOffset>3695823</wp:posOffset>
                </wp:positionV>
                <wp:extent cx="3094330" cy="468173"/>
                <wp:effectExtent l="0" t="0" r="0" b="825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4330" cy="4681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B02721" w14:textId="77777777" w:rsidR="000A11E2" w:rsidRPr="000A11E2" w:rsidRDefault="000A11E2" w:rsidP="000A11E2">
                            <w:pPr>
                              <w:pStyle w:val="Default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0A11E2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CCF: Consumo de Capital Fijo</w:t>
                            </w:r>
                          </w:p>
                          <w:p w14:paraId="3C058394" w14:textId="77777777" w:rsidR="000A11E2" w:rsidRPr="000A11E2" w:rsidRDefault="000A11E2" w:rsidP="000A11E2">
                            <w:pPr>
                              <w:pStyle w:val="Default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0A11E2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PIN: Producto Interno Neto</w:t>
                            </w:r>
                          </w:p>
                          <w:p w14:paraId="1629920E" w14:textId="77777777" w:rsidR="000A11E2" w:rsidRPr="000A11E2" w:rsidRDefault="000A11E2" w:rsidP="000A11E2">
                            <w:pPr>
                              <w:pStyle w:val="Default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0A11E2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PINE: Producto Interno Neto Ecológico</w:t>
                            </w:r>
                          </w:p>
                          <w:p w14:paraId="2AA96794" w14:textId="3A958C06" w:rsidR="000A11E2" w:rsidRPr="000A11E2" w:rsidRDefault="000A11E2" w:rsidP="000A11E2">
                            <w:pPr>
                              <w:pStyle w:val="Default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0A11E2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CTADA: Costo Total por Agotamiento y Degradación Ambiental</w:t>
                            </w:r>
                          </w:p>
                          <w:p w14:paraId="25383FAC" w14:textId="7192E007" w:rsidR="000A11E2" w:rsidRPr="000A11E2" w:rsidRDefault="000A11E2" w:rsidP="000A11E2">
                            <w:pPr>
                              <w:pStyle w:val="Default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0A11E2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1/ Medido a precios de mercado, es decir, incluye los impuestos a los productos netos de subsidios.</w:t>
                            </w:r>
                          </w:p>
                          <w:p w14:paraId="230FC538" w14:textId="77777777" w:rsidR="000A11E2" w:rsidRPr="000A11E2" w:rsidRDefault="000A11E2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5CEFE" id="Cuadro de texto 7" o:spid="_x0000_s1027" type="#_x0000_t202" style="position:absolute;left:0;text-align:left;margin-left:15.55pt;margin-top:291pt;width:243.65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" fillcolor="white [3201]" stroked="f" strokeweight=".5pt">
                <v:textbox>
                  <w:txbxContent>
                    <w:p w14:paraId="0EB02721" w14:textId="77777777" w:rsidR="000A11E2" w:rsidRPr="000A11E2" w:rsidRDefault="000A11E2" w:rsidP="000A11E2">
                      <w:pPr>
                        <w:pStyle w:val="Default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0A11E2">
                        <w:rPr>
                          <w:rFonts w:ascii="Arial" w:hAnsi="Arial" w:cs="Arial"/>
                          <w:sz w:val="10"/>
                          <w:szCs w:val="10"/>
                        </w:rPr>
                        <w:t>CCF: Consumo de Capital Fijo</w:t>
                      </w:r>
                    </w:p>
                    <w:p w14:paraId="3C058394" w14:textId="77777777" w:rsidR="000A11E2" w:rsidRPr="000A11E2" w:rsidRDefault="000A11E2" w:rsidP="000A11E2">
                      <w:pPr>
                        <w:pStyle w:val="Default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0A11E2">
                        <w:rPr>
                          <w:rFonts w:ascii="Arial" w:hAnsi="Arial" w:cs="Arial"/>
                          <w:sz w:val="10"/>
                          <w:szCs w:val="10"/>
                        </w:rPr>
                        <w:t>PIN: Producto Interno Neto</w:t>
                      </w:r>
                    </w:p>
                    <w:p w14:paraId="1629920E" w14:textId="77777777" w:rsidR="000A11E2" w:rsidRPr="000A11E2" w:rsidRDefault="000A11E2" w:rsidP="000A11E2">
                      <w:pPr>
                        <w:pStyle w:val="Default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0A11E2">
                        <w:rPr>
                          <w:rFonts w:ascii="Arial" w:hAnsi="Arial" w:cs="Arial"/>
                          <w:sz w:val="10"/>
                          <w:szCs w:val="10"/>
                        </w:rPr>
                        <w:t>PINE: Producto Interno Neto Ecológico</w:t>
                      </w:r>
                    </w:p>
                    <w:p w14:paraId="2AA96794" w14:textId="3A958C06" w:rsidR="000A11E2" w:rsidRPr="000A11E2" w:rsidRDefault="000A11E2" w:rsidP="000A11E2">
                      <w:pPr>
                        <w:pStyle w:val="Default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0A11E2">
                        <w:rPr>
                          <w:rFonts w:ascii="Arial" w:hAnsi="Arial" w:cs="Arial"/>
                          <w:sz w:val="10"/>
                          <w:szCs w:val="10"/>
                        </w:rPr>
                        <w:t>CTADA: Costo Total por Agotamiento y Degradación Ambiental</w:t>
                      </w:r>
                    </w:p>
                    <w:p w14:paraId="25383FAC" w14:textId="7192E007" w:rsidR="000A11E2" w:rsidRPr="000A11E2" w:rsidRDefault="000A11E2" w:rsidP="000A11E2">
                      <w:pPr>
                        <w:pStyle w:val="Default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0A11E2">
                        <w:rPr>
                          <w:rFonts w:ascii="Arial" w:hAnsi="Arial" w:cs="Arial"/>
                          <w:sz w:val="10"/>
                          <w:szCs w:val="10"/>
                        </w:rPr>
                        <w:t>1/ Medido a precios de mercado, es decir, incluye los impuestos a los productos netos de subsidios.</w:t>
                      </w:r>
                    </w:p>
                    <w:p w14:paraId="230FC538" w14:textId="77777777" w:rsidR="000A11E2" w:rsidRPr="000A11E2" w:rsidRDefault="000A11E2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018D">
        <w:rPr>
          <w:rFonts w:ascii="Arial" w:hAnsi="Arial" w:cs="Arial"/>
          <w:noProof/>
          <w:color w:val="FF0000"/>
          <w:sz w:val="18"/>
          <w:szCs w:val="18"/>
        </w:rPr>
        <w:drawing>
          <wp:inline distT="0" distB="0" distL="0" distR="0" wp14:anchorId="2DB0E238" wp14:editId="35109F75">
            <wp:extent cx="3827145" cy="3944680"/>
            <wp:effectExtent l="0" t="0" r="190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33" r="22261" b="7213"/>
                    <a:stretch/>
                  </pic:blipFill>
                  <pic:spPr bwMode="auto">
                    <a:xfrm>
                      <a:off x="0" y="0"/>
                      <a:ext cx="3836500" cy="3954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A6041F" w14:textId="09F903E3" w:rsidR="0069043F" w:rsidRDefault="0069043F" w:rsidP="0069043F">
      <w:pPr>
        <w:ind w:left="816" w:right="924"/>
        <w:jc w:val="center"/>
        <w:rPr>
          <w:rFonts w:ascii="Arial" w:hAnsi="Arial" w:cs="Arial"/>
          <w:color w:val="FF0000"/>
          <w:sz w:val="18"/>
          <w:szCs w:val="18"/>
        </w:rPr>
      </w:pPr>
    </w:p>
    <w:p w14:paraId="3116E126" w14:textId="55C845CC" w:rsidR="0069043F" w:rsidRDefault="0069043F" w:rsidP="0069043F">
      <w:pPr>
        <w:ind w:left="816" w:right="924"/>
        <w:jc w:val="center"/>
        <w:rPr>
          <w:rFonts w:ascii="Arial" w:hAnsi="Arial" w:cs="Arial"/>
          <w:color w:val="FF0000"/>
          <w:sz w:val="18"/>
          <w:szCs w:val="18"/>
        </w:rPr>
      </w:pPr>
    </w:p>
    <w:p w14:paraId="7A0FACB1" w14:textId="7812FD7B" w:rsidR="00ED71F9" w:rsidRPr="00A0738B" w:rsidRDefault="00643A88" w:rsidP="00300627">
      <w:pPr>
        <w:pStyle w:val="n01"/>
        <w:keepLines w:val="0"/>
        <w:spacing w:before="360"/>
        <w:ind w:left="0" w:firstLine="0"/>
        <w:outlineLvl w:val="0"/>
        <w:rPr>
          <w:rFonts w:ascii="Arial" w:hAnsi="Arial" w:cs="Arial"/>
          <w:b/>
          <w:smallCaps/>
          <w:color w:val="auto"/>
          <w:lang w:val="es-MX"/>
        </w:rPr>
      </w:pPr>
      <w:r w:rsidRPr="00643A88">
        <w:rPr>
          <w:rFonts w:ascii="Arial" w:hAnsi="Arial" w:cs="Arial"/>
          <w:b/>
          <w:smallCaps/>
          <w:color w:val="auto"/>
          <w:lang w:val="es-MX"/>
        </w:rPr>
        <w:t>Costos Totales por Agotamiento y Degradación Ambiental</w:t>
      </w:r>
    </w:p>
    <w:p w14:paraId="4660FD42" w14:textId="64CB2191" w:rsidR="00307B36" w:rsidRDefault="00307B36" w:rsidP="00307B36">
      <w:pPr>
        <w:spacing w:before="360"/>
        <w:jc w:val="both"/>
        <w:rPr>
          <w:rFonts w:ascii="Arial" w:hAnsi="Arial" w:cs="Arial"/>
          <w:lang w:val="x-none" w:eastAsia="x-none"/>
        </w:rPr>
      </w:pPr>
      <w:r w:rsidRPr="00A0738B">
        <w:rPr>
          <w:rFonts w:ascii="Arial" w:hAnsi="Arial" w:cs="Arial"/>
          <w:lang w:val="x-none" w:eastAsia="x-none"/>
        </w:rPr>
        <w:t xml:space="preserve">Los Costos Totales por Agotamiento </w:t>
      </w:r>
      <w:r w:rsidR="00DE24C3">
        <w:rPr>
          <w:rFonts w:ascii="Arial" w:hAnsi="Arial" w:cs="Arial"/>
          <w:lang w:val="x-none" w:eastAsia="x-none"/>
        </w:rPr>
        <w:t>y Degradación Ambiental (CTADA</w:t>
      </w:r>
      <w:r w:rsidR="00DE24C3" w:rsidRPr="00DE24C3">
        <w:rPr>
          <w:rFonts w:ascii="Arial" w:hAnsi="Arial" w:cs="Arial"/>
          <w:lang w:eastAsia="x-none"/>
        </w:rPr>
        <w:t>) en 2020 ascendieron a 1</w:t>
      </w:r>
      <w:r w:rsidR="00183BB5">
        <w:rPr>
          <w:rFonts w:ascii="Arial" w:hAnsi="Arial" w:cs="Arial"/>
          <w:lang w:eastAsia="x-none"/>
        </w:rPr>
        <w:t xml:space="preserve"> </w:t>
      </w:r>
      <w:r w:rsidR="00DE24C3" w:rsidRPr="00DE24C3">
        <w:rPr>
          <w:rFonts w:ascii="Arial" w:hAnsi="Arial" w:cs="Arial"/>
          <w:lang w:eastAsia="x-none"/>
        </w:rPr>
        <w:t>066</w:t>
      </w:r>
      <w:r w:rsidR="00183BB5">
        <w:rPr>
          <w:rFonts w:ascii="Arial" w:hAnsi="Arial" w:cs="Arial"/>
          <w:lang w:eastAsia="x-none"/>
        </w:rPr>
        <w:t xml:space="preserve"> </w:t>
      </w:r>
      <w:r w:rsidR="00DE24C3" w:rsidRPr="00DE24C3">
        <w:rPr>
          <w:rFonts w:ascii="Arial" w:hAnsi="Arial" w:cs="Arial"/>
          <w:lang w:eastAsia="x-none"/>
        </w:rPr>
        <w:t>853 millones de pesos corrientes, monto equivalente a 4.6% del PIB Nacional a precios de mercado</w:t>
      </w:r>
      <w:r w:rsidR="00ED40FE">
        <w:rPr>
          <w:rFonts w:ascii="Arial" w:hAnsi="Arial" w:cs="Arial"/>
          <w:lang w:eastAsia="x-none"/>
        </w:rPr>
        <w:t>. Por sus componentes,</w:t>
      </w:r>
      <w:r w:rsidRPr="00A0738B">
        <w:rPr>
          <w:rFonts w:ascii="Arial" w:hAnsi="Arial" w:cs="Arial"/>
          <w:lang w:val="x-none" w:eastAsia="x-none"/>
        </w:rPr>
        <w:t xml:space="preserve"> los costos por agotamiento</w:t>
      </w:r>
      <w:r w:rsidR="00ED40FE">
        <w:rPr>
          <w:rFonts w:ascii="Arial" w:hAnsi="Arial" w:cs="Arial"/>
          <w:lang w:eastAsia="x-none"/>
        </w:rPr>
        <w:t xml:space="preserve"> representaron</w:t>
      </w:r>
      <w:r w:rsidRPr="00A0738B">
        <w:rPr>
          <w:rFonts w:ascii="Arial" w:hAnsi="Arial" w:cs="Arial"/>
          <w:lang w:val="x-none" w:eastAsia="x-none"/>
        </w:rPr>
        <w:t xml:space="preserve"> 0.7%</w:t>
      </w:r>
      <w:r w:rsidR="00961422">
        <w:rPr>
          <w:rFonts w:ascii="Arial" w:hAnsi="Arial" w:cs="Arial"/>
          <w:lang w:eastAsia="x-none"/>
        </w:rPr>
        <w:t>, mientras que</w:t>
      </w:r>
      <w:r w:rsidRPr="00A0738B">
        <w:rPr>
          <w:rFonts w:ascii="Arial" w:hAnsi="Arial" w:cs="Arial"/>
          <w:lang w:val="x-none" w:eastAsia="x-none"/>
        </w:rPr>
        <w:t xml:space="preserve"> los costos por degradación </w:t>
      </w:r>
      <w:r w:rsidR="00961422">
        <w:rPr>
          <w:rFonts w:ascii="Arial" w:hAnsi="Arial" w:cs="Arial"/>
          <w:lang w:eastAsia="x-none"/>
        </w:rPr>
        <w:t>fueron equivalentes a</w:t>
      </w:r>
      <w:r w:rsidR="00183BB5">
        <w:rPr>
          <w:rFonts w:ascii="Arial" w:hAnsi="Arial" w:cs="Arial"/>
          <w:lang w:eastAsia="x-none"/>
        </w:rPr>
        <w:t xml:space="preserve"> </w:t>
      </w:r>
      <w:r w:rsidRPr="00A0738B">
        <w:rPr>
          <w:rFonts w:ascii="Arial" w:hAnsi="Arial" w:cs="Arial"/>
          <w:lang w:val="x-none" w:eastAsia="x-none"/>
        </w:rPr>
        <w:t>3.9 por ciento.</w:t>
      </w:r>
    </w:p>
    <w:p w14:paraId="72D9ACAE" w14:textId="131515F1" w:rsidR="00F657A6" w:rsidRDefault="00F657A6" w:rsidP="00F657A6">
      <w:pPr>
        <w:pStyle w:val="Textoindependiente"/>
        <w:ind w:left="809" w:right="924"/>
        <w:jc w:val="center"/>
        <w:rPr>
          <w:lang w:val="es-MX"/>
        </w:rPr>
      </w:pPr>
    </w:p>
    <w:p w14:paraId="2AF78968" w14:textId="755F1FDD" w:rsidR="00572526" w:rsidRDefault="00572526" w:rsidP="00F657A6">
      <w:pPr>
        <w:pStyle w:val="Textoindependiente"/>
        <w:ind w:left="809" w:right="924"/>
        <w:jc w:val="center"/>
        <w:rPr>
          <w:lang w:val="es-MX"/>
        </w:rPr>
      </w:pPr>
    </w:p>
    <w:p w14:paraId="5D564D41" w14:textId="6084355F" w:rsidR="00572526" w:rsidRDefault="00572526" w:rsidP="00F657A6">
      <w:pPr>
        <w:pStyle w:val="Textoindependiente"/>
        <w:ind w:left="809" w:right="924"/>
        <w:jc w:val="center"/>
        <w:rPr>
          <w:lang w:val="es-MX"/>
        </w:rPr>
      </w:pPr>
    </w:p>
    <w:p w14:paraId="4B006A02" w14:textId="69EFA92A" w:rsidR="0003341F" w:rsidRDefault="0003341F" w:rsidP="00F657A6">
      <w:pPr>
        <w:pStyle w:val="Textoindependiente"/>
        <w:ind w:left="809" w:right="924"/>
        <w:jc w:val="center"/>
        <w:rPr>
          <w:lang w:val="es-MX"/>
        </w:rPr>
      </w:pPr>
    </w:p>
    <w:p w14:paraId="2A399351" w14:textId="7DD542D8" w:rsidR="0003341F" w:rsidRDefault="0003341F" w:rsidP="00F657A6">
      <w:pPr>
        <w:pStyle w:val="Textoindependiente"/>
        <w:ind w:left="809" w:right="924"/>
        <w:jc w:val="center"/>
        <w:rPr>
          <w:lang w:val="es-MX"/>
        </w:rPr>
      </w:pPr>
    </w:p>
    <w:p w14:paraId="7972500D" w14:textId="3175FF08" w:rsidR="0003341F" w:rsidRDefault="0003341F" w:rsidP="00F657A6">
      <w:pPr>
        <w:pStyle w:val="Textoindependiente"/>
        <w:ind w:left="809" w:right="924"/>
        <w:jc w:val="center"/>
        <w:rPr>
          <w:lang w:val="es-MX"/>
        </w:rPr>
      </w:pPr>
    </w:p>
    <w:p w14:paraId="16C59692" w14:textId="77777777" w:rsidR="0003341F" w:rsidRDefault="0003341F" w:rsidP="00F657A6">
      <w:pPr>
        <w:pStyle w:val="Textoindependiente"/>
        <w:ind w:left="809" w:right="924"/>
        <w:jc w:val="center"/>
        <w:rPr>
          <w:lang w:val="es-MX"/>
        </w:rPr>
      </w:pPr>
    </w:p>
    <w:p w14:paraId="41A88B1D" w14:textId="77777777" w:rsidR="0003341F" w:rsidRDefault="0003341F" w:rsidP="00F657A6">
      <w:pPr>
        <w:pStyle w:val="Textoindependiente"/>
        <w:ind w:left="809" w:right="924"/>
        <w:jc w:val="center"/>
        <w:rPr>
          <w:rFonts w:ascii="Arial" w:hAnsi="Arial" w:cs="Arial"/>
          <w:lang w:val="es-MX"/>
        </w:rPr>
      </w:pPr>
    </w:p>
    <w:p w14:paraId="73E12DAD" w14:textId="0CD42553" w:rsidR="00F657A6" w:rsidRPr="00141AFC" w:rsidRDefault="00F657A6" w:rsidP="00F657A6">
      <w:pPr>
        <w:pStyle w:val="Textoindependiente"/>
        <w:ind w:left="809" w:right="924"/>
        <w:jc w:val="center"/>
        <w:rPr>
          <w:rFonts w:ascii="Arial" w:hAnsi="Arial" w:cs="Arial"/>
          <w:lang w:val="es-MX"/>
        </w:rPr>
      </w:pPr>
      <w:r w:rsidRPr="00141AFC">
        <w:rPr>
          <w:rFonts w:ascii="Arial" w:hAnsi="Arial" w:cs="Arial"/>
          <w:lang w:val="es-MX"/>
        </w:rPr>
        <w:lastRenderedPageBreak/>
        <w:t xml:space="preserve">Gráfica </w:t>
      </w:r>
      <w:r w:rsidR="00572526">
        <w:rPr>
          <w:rFonts w:ascii="Arial" w:hAnsi="Arial" w:cs="Arial"/>
          <w:lang w:val="es-MX"/>
        </w:rPr>
        <w:t>2</w:t>
      </w:r>
    </w:p>
    <w:p w14:paraId="20A23E1C" w14:textId="77777777" w:rsidR="00F657A6" w:rsidRPr="00141AFC" w:rsidRDefault="00F657A6" w:rsidP="00141AFC">
      <w:pPr>
        <w:spacing w:line="276" w:lineRule="exact"/>
        <w:ind w:right="49"/>
        <w:jc w:val="center"/>
        <w:rPr>
          <w:rFonts w:ascii="Arial" w:hAnsi="Arial" w:cs="Arial"/>
          <w:b/>
          <w:sz w:val="22"/>
          <w:szCs w:val="22"/>
        </w:rPr>
      </w:pPr>
      <w:r w:rsidRPr="00141AFC">
        <w:rPr>
          <w:rFonts w:ascii="Arial" w:hAnsi="Arial" w:cs="Arial"/>
          <w:b/>
          <w:sz w:val="22"/>
          <w:szCs w:val="22"/>
        </w:rPr>
        <w:t>COSTOS TOTALES POR AGOTAMIENTO Y DEGRADACIÓN AMBIENTAL, 2003-2020</w:t>
      </w:r>
    </w:p>
    <w:p w14:paraId="0B35802E" w14:textId="77777777" w:rsidR="00F657A6" w:rsidRPr="00141AFC" w:rsidRDefault="00F657A6" w:rsidP="009457A5">
      <w:pPr>
        <w:ind w:left="816" w:right="924"/>
        <w:jc w:val="center"/>
        <w:rPr>
          <w:rFonts w:ascii="Arial" w:hAnsi="Arial" w:cs="Arial"/>
          <w:sz w:val="18"/>
          <w:szCs w:val="18"/>
          <w:lang w:val="x-none" w:eastAsia="x-none"/>
        </w:rPr>
      </w:pPr>
      <w:r w:rsidRPr="00141AFC">
        <w:rPr>
          <w:rFonts w:ascii="Arial" w:hAnsi="Arial" w:cs="Arial"/>
          <w:sz w:val="18"/>
          <w:szCs w:val="18"/>
        </w:rPr>
        <w:t>(Porcentaje respecto al PIB Nacional</w:t>
      </w:r>
      <w:r w:rsidR="000C714C">
        <w:rPr>
          <w:rFonts w:ascii="Arial" w:hAnsi="Arial" w:cs="Arial"/>
          <w:sz w:val="18"/>
          <w:szCs w:val="18"/>
        </w:rPr>
        <w:t>,</w:t>
      </w:r>
      <w:r w:rsidRPr="00141AFC">
        <w:rPr>
          <w:rFonts w:ascii="Arial" w:hAnsi="Arial" w:cs="Arial"/>
          <w:sz w:val="18"/>
          <w:szCs w:val="18"/>
        </w:rPr>
        <w:t xml:space="preserve"> a precios de mercado)</w:t>
      </w:r>
    </w:p>
    <w:p w14:paraId="1E832D8B" w14:textId="77777777" w:rsidR="00F657A6" w:rsidRPr="00A0738B" w:rsidRDefault="00F657A6" w:rsidP="00700244">
      <w:pPr>
        <w:jc w:val="center"/>
        <w:rPr>
          <w:rFonts w:ascii="Arial" w:hAnsi="Arial" w:cs="Arial"/>
          <w:lang w:val="x-none" w:eastAsia="x-none"/>
        </w:rPr>
      </w:pPr>
      <w:r w:rsidRPr="00B2154D">
        <w:rPr>
          <w:noProof/>
        </w:rPr>
        <w:drawing>
          <wp:inline distT="0" distB="0" distL="0" distR="0" wp14:anchorId="35D16983" wp14:editId="1899725B">
            <wp:extent cx="5524500" cy="1441321"/>
            <wp:effectExtent l="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339" b="1"/>
                    <a:stretch/>
                  </pic:blipFill>
                  <pic:spPr bwMode="auto">
                    <a:xfrm>
                      <a:off x="0" y="0"/>
                      <a:ext cx="5627343" cy="1468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76F641" w14:textId="77777777" w:rsidR="00F657A6" w:rsidRPr="00A0738B" w:rsidRDefault="00F657A6" w:rsidP="00700244">
      <w:pPr>
        <w:ind w:firstLine="708"/>
        <w:rPr>
          <w:rFonts w:ascii="Arial" w:hAnsi="Arial" w:cs="Arial"/>
        </w:rPr>
      </w:pPr>
      <w:r w:rsidRPr="00A0738B">
        <w:rPr>
          <w:rFonts w:ascii="Arial" w:hAnsi="Arial" w:cs="Arial"/>
          <w:sz w:val="16"/>
          <w:szCs w:val="16"/>
        </w:rPr>
        <w:t>Fuente: INEGI.</w:t>
      </w:r>
    </w:p>
    <w:p w14:paraId="221C4E40" w14:textId="06314610" w:rsidR="00700244" w:rsidRPr="00A0738B" w:rsidRDefault="00700244" w:rsidP="00700244">
      <w:pPr>
        <w:spacing w:before="360"/>
        <w:jc w:val="both"/>
        <w:rPr>
          <w:rFonts w:ascii="Arial" w:hAnsi="Arial" w:cs="Arial"/>
          <w:lang w:val="x-none" w:eastAsia="x-none"/>
        </w:rPr>
      </w:pPr>
      <w:r>
        <w:rPr>
          <w:rFonts w:ascii="Arial" w:hAnsi="Arial" w:cs="Arial"/>
          <w:lang w:eastAsia="x-none"/>
        </w:rPr>
        <w:t>En 2003, los CTADA representaron el equivalente a</w:t>
      </w:r>
      <w:r w:rsidR="00183BB5">
        <w:rPr>
          <w:rFonts w:ascii="Arial" w:hAnsi="Arial" w:cs="Arial"/>
          <w:lang w:eastAsia="x-none"/>
        </w:rPr>
        <w:t xml:space="preserve"> </w:t>
      </w:r>
      <w:r>
        <w:rPr>
          <w:rFonts w:ascii="Arial" w:hAnsi="Arial" w:cs="Arial"/>
          <w:lang w:eastAsia="x-none"/>
        </w:rPr>
        <w:t>6.8% respecto del PIB, en tanto que para el 2020 representan 4.6 por ciento</w:t>
      </w:r>
      <w:r w:rsidRPr="00A0738B">
        <w:rPr>
          <w:rFonts w:ascii="Arial" w:hAnsi="Arial" w:cs="Arial"/>
          <w:lang w:val="x-none" w:eastAsia="x-none"/>
        </w:rPr>
        <w:t>.</w:t>
      </w:r>
      <w:r>
        <w:rPr>
          <w:rFonts w:ascii="Arial" w:hAnsi="Arial" w:cs="Arial"/>
          <w:lang w:eastAsia="x-none"/>
        </w:rPr>
        <w:t xml:space="preserve"> En promedio, esta relación </w:t>
      </w:r>
      <w:r w:rsidRPr="00A0738B">
        <w:rPr>
          <w:rFonts w:ascii="Arial" w:hAnsi="Arial" w:cs="Arial"/>
          <w:lang w:val="x-none" w:eastAsia="x-none"/>
        </w:rPr>
        <w:t>e</w:t>
      </w:r>
      <w:r>
        <w:rPr>
          <w:rFonts w:ascii="Arial" w:hAnsi="Arial" w:cs="Arial"/>
          <w:lang w:eastAsia="x-none"/>
        </w:rPr>
        <w:t>n</w:t>
      </w:r>
      <w:r w:rsidRPr="00A0738B">
        <w:rPr>
          <w:rFonts w:ascii="Arial" w:hAnsi="Arial" w:cs="Arial"/>
          <w:lang w:val="x-none" w:eastAsia="x-none"/>
        </w:rPr>
        <w:t xml:space="preserve"> el </w:t>
      </w:r>
      <w:r>
        <w:rPr>
          <w:rFonts w:ascii="Arial" w:hAnsi="Arial" w:cs="Arial"/>
          <w:lang w:eastAsia="x-none"/>
        </w:rPr>
        <w:t>periodo 2003-2020 es de 5.4 por ciento.</w:t>
      </w:r>
    </w:p>
    <w:p w14:paraId="53D1DD66" w14:textId="32ECB6A8" w:rsidR="00307B36" w:rsidRPr="00DB1FCB" w:rsidRDefault="00D32FED" w:rsidP="00307B36">
      <w:pPr>
        <w:spacing w:before="360"/>
        <w:jc w:val="both"/>
        <w:rPr>
          <w:rFonts w:ascii="Arial" w:hAnsi="Arial" w:cs="Arial"/>
          <w:spacing w:val="-1"/>
          <w:lang w:eastAsia="x-none"/>
        </w:rPr>
      </w:pPr>
      <w:r>
        <w:rPr>
          <w:rFonts w:ascii="Arial" w:hAnsi="Arial" w:cs="Arial"/>
          <w:spacing w:val="-1"/>
          <w:lang w:eastAsia="x-none"/>
        </w:rPr>
        <w:t>Para el año 2020 s</w:t>
      </w:r>
      <w:r w:rsidR="009870E0">
        <w:rPr>
          <w:rFonts w:ascii="Arial" w:hAnsi="Arial" w:cs="Arial"/>
          <w:spacing w:val="-1"/>
          <w:lang w:eastAsia="x-none"/>
        </w:rPr>
        <w:t xml:space="preserve">e observa que </w:t>
      </w:r>
      <w:r w:rsidR="00572526">
        <w:rPr>
          <w:rFonts w:ascii="Arial" w:hAnsi="Arial" w:cs="Arial"/>
          <w:spacing w:val="-1"/>
          <w:lang w:eastAsia="x-none"/>
        </w:rPr>
        <w:t>las</w:t>
      </w:r>
      <w:r w:rsidR="00307B36" w:rsidRPr="000D5670">
        <w:rPr>
          <w:rFonts w:ascii="Arial" w:hAnsi="Arial" w:cs="Arial"/>
          <w:spacing w:val="-1"/>
          <w:lang w:val="x-none" w:eastAsia="x-none"/>
        </w:rPr>
        <w:t xml:space="preserve"> emisiones al aire representaron el mayor costo ambiental</w:t>
      </w:r>
      <w:r w:rsidR="009870E0">
        <w:rPr>
          <w:rFonts w:ascii="Arial" w:hAnsi="Arial" w:cs="Arial"/>
          <w:spacing w:val="-1"/>
          <w:lang w:eastAsia="x-none"/>
        </w:rPr>
        <w:t>,</w:t>
      </w:r>
      <w:r w:rsidR="00307B36" w:rsidRPr="000D5670">
        <w:rPr>
          <w:rFonts w:ascii="Arial" w:hAnsi="Arial" w:cs="Arial"/>
          <w:spacing w:val="-1"/>
          <w:lang w:val="x-none" w:eastAsia="x-none"/>
        </w:rPr>
        <w:t xml:space="preserve"> al ubicarse en 611</w:t>
      </w:r>
      <w:r w:rsidR="00183BB5">
        <w:rPr>
          <w:rFonts w:ascii="Arial" w:hAnsi="Arial" w:cs="Arial"/>
          <w:spacing w:val="-1"/>
          <w:lang w:eastAsia="x-none"/>
        </w:rPr>
        <w:t xml:space="preserve"> </w:t>
      </w:r>
      <w:r w:rsidR="00307B36" w:rsidRPr="000D5670">
        <w:rPr>
          <w:rFonts w:ascii="Arial" w:hAnsi="Arial" w:cs="Arial"/>
          <w:spacing w:val="-1"/>
          <w:lang w:val="x-none" w:eastAsia="x-none"/>
        </w:rPr>
        <w:t>235</w:t>
      </w:r>
      <w:r w:rsidR="006E784A">
        <w:rPr>
          <w:rFonts w:ascii="Arial" w:hAnsi="Arial" w:cs="Arial"/>
          <w:spacing w:val="-1"/>
          <w:lang w:eastAsia="x-none"/>
        </w:rPr>
        <w:t>.3</w:t>
      </w:r>
      <w:r w:rsidR="00307B36" w:rsidRPr="000D5670">
        <w:rPr>
          <w:rFonts w:ascii="Arial" w:hAnsi="Arial" w:cs="Arial"/>
          <w:spacing w:val="-1"/>
          <w:lang w:val="x-none" w:eastAsia="x-none"/>
        </w:rPr>
        <w:t xml:space="preserve"> millones de pesos</w:t>
      </w:r>
      <w:r w:rsidR="009870E0">
        <w:rPr>
          <w:rFonts w:ascii="Arial" w:hAnsi="Arial" w:cs="Arial"/>
          <w:spacing w:val="-1"/>
          <w:lang w:eastAsia="x-none"/>
        </w:rPr>
        <w:t>;</w:t>
      </w:r>
      <w:r w:rsidR="00307B36" w:rsidRPr="000D5670">
        <w:rPr>
          <w:rFonts w:ascii="Arial" w:hAnsi="Arial" w:cs="Arial"/>
          <w:spacing w:val="-1"/>
          <w:lang w:val="x-none" w:eastAsia="x-none"/>
        </w:rPr>
        <w:t xml:space="preserve"> le siguieron los costos por degradación del suelo</w:t>
      </w:r>
      <w:r w:rsidR="009870E0">
        <w:rPr>
          <w:rFonts w:ascii="Arial" w:hAnsi="Arial" w:cs="Arial"/>
          <w:spacing w:val="-1"/>
          <w:lang w:eastAsia="x-none"/>
        </w:rPr>
        <w:t xml:space="preserve"> con</w:t>
      </w:r>
      <w:r w:rsidR="00307B36" w:rsidRPr="000D5670">
        <w:rPr>
          <w:rFonts w:ascii="Arial" w:hAnsi="Arial" w:cs="Arial"/>
          <w:spacing w:val="-1"/>
          <w:lang w:val="x-none" w:eastAsia="x-none"/>
        </w:rPr>
        <w:t xml:space="preserve"> 163</w:t>
      </w:r>
      <w:r w:rsidR="00183BB5">
        <w:rPr>
          <w:rFonts w:ascii="Arial" w:hAnsi="Arial" w:cs="Arial"/>
          <w:spacing w:val="-1"/>
          <w:lang w:eastAsia="x-none"/>
        </w:rPr>
        <w:t xml:space="preserve"> </w:t>
      </w:r>
      <w:r w:rsidR="00307B36" w:rsidRPr="000D5670">
        <w:rPr>
          <w:rFonts w:ascii="Arial" w:hAnsi="Arial" w:cs="Arial"/>
          <w:spacing w:val="-1"/>
          <w:lang w:val="x-none" w:eastAsia="x-none"/>
        </w:rPr>
        <w:t>807</w:t>
      </w:r>
      <w:r w:rsidR="006E784A">
        <w:rPr>
          <w:rFonts w:ascii="Arial" w:hAnsi="Arial" w:cs="Arial"/>
          <w:spacing w:val="-1"/>
          <w:lang w:eastAsia="x-none"/>
        </w:rPr>
        <w:t>.4</w:t>
      </w:r>
      <w:r w:rsidR="00307B36" w:rsidRPr="000D5670">
        <w:rPr>
          <w:rFonts w:ascii="Arial" w:hAnsi="Arial" w:cs="Arial"/>
          <w:spacing w:val="-1"/>
          <w:lang w:val="x-none" w:eastAsia="x-none"/>
        </w:rPr>
        <w:t xml:space="preserve"> millones</w:t>
      </w:r>
      <w:r w:rsidR="009870E0">
        <w:rPr>
          <w:rFonts w:ascii="Arial" w:hAnsi="Arial" w:cs="Arial"/>
          <w:spacing w:val="-1"/>
          <w:lang w:eastAsia="x-none"/>
        </w:rPr>
        <w:t>; los</w:t>
      </w:r>
      <w:r w:rsidR="00307B36" w:rsidRPr="000D5670">
        <w:rPr>
          <w:rFonts w:ascii="Arial" w:hAnsi="Arial" w:cs="Arial"/>
          <w:spacing w:val="-1"/>
          <w:lang w:val="x-none" w:eastAsia="x-none"/>
        </w:rPr>
        <w:t xml:space="preserve"> residuos sólidos urbanos </w:t>
      </w:r>
      <w:r w:rsidR="009870E0">
        <w:rPr>
          <w:rFonts w:ascii="Arial" w:hAnsi="Arial" w:cs="Arial"/>
          <w:spacing w:val="-1"/>
          <w:lang w:eastAsia="x-none"/>
        </w:rPr>
        <w:t xml:space="preserve">con </w:t>
      </w:r>
      <w:r w:rsidR="00183BB5">
        <w:rPr>
          <w:rFonts w:ascii="Arial" w:hAnsi="Arial" w:cs="Arial"/>
          <w:spacing w:val="-1"/>
          <w:lang w:eastAsia="x-none"/>
        </w:rPr>
        <w:t xml:space="preserve">       </w:t>
      </w:r>
      <w:r w:rsidR="00307B36" w:rsidRPr="000D5670">
        <w:rPr>
          <w:rFonts w:ascii="Arial" w:hAnsi="Arial" w:cs="Arial"/>
          <w:spacing w:val="-1"/>
          <w:lang w:val="x-none" w:eastAsia="x-none"/>
        </w:rPr>
        <w:t>87</w:t>
      </w:r>
      <w:r w:rsidR="00183BB5">
        <w:rPr>
          <w:rFonts w:ascii="Arial" w:hAnsi="Arial" w:cs="Arial"/>
          <w:spacing w:val="-1"/>
          <w:lang w:eastAsia="x-none"/>
        </w:rPr>
        <w:t xml:space="preserve"> </w:t>
      </w:r>
      <w:r w:rsidR="00307B36" w:rsidRPr="000D5670">
        <w:rPr>
          <w:rFonts w:ascii="Arial" w:hAnsi="Arial" w:cs="Arial"/>
          <w:spacing w:val="-1"/>
          <w:lang w:val="x-none" w:eastAsia="x-none"/>
        </w:rPr>
        <w:t>019</w:t>
      </w:r>
      <w:r w:rsidR="006E784A">
        <w:rPr>
          <w:rFonts w:ascii="Arial" w:hAnsi="Arial" w:cs="Arial"/>
          <w:spacing w:val="-1"/>
          <w:lang w:eastAsia="x-none"/>
        </w:rPr>
        <w:t>.3</w:t>
      </w:r>
      <w:r w:rsidR="00307B36" w:rsidRPr="000D5670">
        <w:rPr>
          <w:rFonts w:ascii="Arial" w:hAnsi="Arial" w:cs="Arial"/>
          <w:spacing w:val="-1"/>
          <w:lang w:val="x-none" w:eastAsia="x-none"/>
        </w:rPr>
        <w:t xml:space="preserve"> millones</w:t>
      </w:r>
      <w:r w:rsidR="009870E0">
        <w:rPr>
          <w:rFonts w:ascii="Arial" w:hAnsi="Arial" w:cs="Arial"/>
          <w:spacing w:val="-1"/>
          <w:lang w:eastAsia="x-none"/>
        </w:rPr>
        <w:t>; el</w:t>
      </w:r>
      <w:r w:rsidR="00307B36" w:rsidRPr="000D5670">
        <w:rPr>
          <w:rFonts w:ascii="Arial" w:hAnsi="Arial" w:cs="Arial"/>
          <w:spacing w:val="-1"/>
          <w:lang w:val="x-none" w:eastAsia="x-none"/>
        </w:rPr>
        <w:t xml:space="preserve"> agotamiento por extracción de hidrocarburos con 61</w:t>
      </w:r>
      <w:r w:rsidR="00183BB5">
        <w:rPr>
          <w:rFonts w:ascii="Arial" w:hAnsi="Arial" w:cs="Arial"/>
          <w:spacing w:val="-1"/>
          <w:lang w:eastAsia="x-none"/>
        </w:rPr>
        <w:t xml:space="preserve"> </w:t>
      </w:r>
      <w:r w:rsidR="00307B36" w:rsidRPr="000D5670">
        <w:rPr>
          <w:rFonts w:ascii="Arial" w:hAnsi="Arial" w:cs="Arial"/>
          <w:spacing w:val="-1"/>
          <w:lang w:val="x-none" w:eastAsia="x-none"/>
        </w:rPr>
        <w:t>312</w:t>
      </w:r>
      <w:r w:rsidR="006E784A">
        <w:rPr>
          <w:rFonts w:ascii="Arial" w:hAnsi="Arial" w:cs="Arial"/>
          <w:spacing w:val="-1"/>
          <w:lang w:eastAsia="x-none"/>
        </w:rPr>
        <w:t>.2</w:t>
      </w:r>
      <w:r w:rsidR="00307B36" w:rsidRPr="000D5670">
        <w:rPr>
          <w:rFonts w:ascii="Arial" w:hAnsi="Arial" w:cs="Arial"/>
          <w:spacing w:val="-1"/>
          <w:lang w:val="x-none" w:eastAsia="x-none"/>
        </w:rPr>
        <w:t xml:space="preserve"> millones</w:t>
      </w:r>
      <w:r w:rsidR="009870E0">
        <w:rPr>
          <w:rFonts w:ascii="Arial" w:hAnsi="Arial" w:cs="Arial"/>
          <w:spacing w:val="-1"/>
          <w:lang w:eastAsia="x-none"/>
        </w:rPr>
        <w:t xml:space="preserve">; el </w:t>
      </w:r>
      <w:r w:rsidR="00307B36" w:rsidRPr="000D5670">
        <w:rPr>
          <w:rFonts w:ascii="Arial" w:hAnsi="Arial" w:cs="Arial"/>
          <w:spacing w:val="-1"/>
          <w:lang w:val="x-none" w:eastAsia="x-none"/>
        </w:rPr>
        <w:t xml:space="preserve">agotamiento de agua subterránea </w:t>
      </w:r>
      <w:r w:rsidR="009870E0">
        <w:rPr>
          <w:rFonts w:ascii="Arial" w:hAnsi="Arial" w:cs="Arial"/>
          <w:spacing w:val="-1"/>
          <w:lang w:eastAsia="x-none"/>
        </w:rPr>
        <w:t xml:space="preserve">con </w:t>
      </w:r>
      <w:r w:rsidR="00307B36" w:rsidRPr="000D5670">
        <w:rPr>
          <w:rFonts w:ascii="Arial" w:hAnsi="Arial" w:cs="Arial"/>
          <w:spacing w:val="-1"/>
          <w:lang w:val="x-none" w:eastAsia="x-none"/>
        </w:rPr>
        <w:t>58</w:t>
      </w:r>
      <w:r w:rsidR="00183BB5">
        <w:rPr>
          <w:rFonts w:ascii="Arial" w:hAnsi="Arial" w:cs="Arial"/>
          <w:spacing w:val="-1"/>
          <w:lang w:eastAsia="x-none"/>
        </w:rPr>
        <w:t xml:space="preserve"> </w:t>
      </w:r>
      <w:r w:rsidR="00307B36" w:rsidRPr="000D5670">
        <w:rPr>
          <w:rFonts w:ascii="Arial" w:hAnsi="Arial" w:cs="Arial"/>
          <w:spacing w:val="-1"/>
          <w:lang w:val="x-none" w:eastAsia="x-none"/>
        </w:rPr>
        <w:t>505</w:t>
      </w:r>
      <w:r w:rsidR="006E784A">
        <w:rPr>
          <w:rFonts w:ascii="Arial" w:hAnsi="Arial" w:cs="Arial"/>
          <w:spacing w:val="-1"/>
          <w:lang w:eastAsia="x-none"/>
        </w:rPr>
        <w:t>.1</w:t>
      </w:r>
      <w:r w:rsidR="00307B36" w:rsidRPr="000D5670">
        <w:rPr>
          <w:rFonts w:ascii="Arial" w:hAnsi="Arial" w:cs="Arial"/>
          <w:spacing w:val="-1"/>
          <w:lang w:val="x-none" w:eastAsia="x-none"/>
        </w:rPr>
        <w:t xml:space="preserve"> millones</w:t>
      </w:r>
      <w:r w:rsidR="009870E0">
        <w:rPr>
          <w:rFonts w:ascii="Arial" w:hAnsi="Arial" w:cs="Arial"/>
          <w:spacing w:val="-1"/>
          <w:lang w:eastAsia="x-none"/>
        </w:rPr>
        <w:t>;</w:t>
      </w:r>
      <w:r w:rsidR="00307B36" w:rsidRPr="000D5670">
        <w:rPr>
          <w:rFonts w:ascii="Arial" w:hAnsi="Arial" w:cs="Arial"/>
          <w:spacing w:val="-1"/>
          <w:lang w:val="x-none" w:eastAsia="x-none"/>
        </w:rPr>
        <w:t xml:space="preserve"> la contaminación del agua </w:t>
      </w:r>
      <w:r w:rsidR="009870E0">
        <w:rPr>
          <w:rFonts w:ascii="Arial" w:hAnsi="Arial" w:cs="Arial"/>
          <w:spacing w:val="-1"/>
          <w:lang w:eastAsia="x-none"/>
        </w:rPr>
        <w:t xml:space="preserve">con </w:t>
      </w:r>
      <w:r w:rsidR="00307B36" w:rsidRPr="000D5670">
        <w:rPr>
          <w:rFonts w:ascii="Arial" w:hAnsi="Arial" w:cs="Arial"/>
          <w:spacing w:val="-1"/>
          <w:lang w:val="x-none" w:eastAsia="x-none"/>
        </w:rPr>
        <w:t>47</w:t>
      </w:r>
      <w:r w:rsidR="00183BB5">
        <w:rPr>
          <w:rFonts w:ascii="Arial" w:hAnsi="Arial" w:cs="Arial"/>
          <w:spacing w:val="-1"/>
          <w:lang w:eastAsia="x-none"/>
        </w:rPr>
        <w:t xml:space="preserve"> </w:t>
      </w:r>
      <w:r w:rsidR="00307B36" w:rsidRPr="000D5670">
        <w:rPr>
          <w:rFonts w:ascii="Arial" w:hAnsi="Arial" w:cs="Arial"/>
          <w:spacing w:val="-1"/>
          <w:lang w:val="x-none" w:eastAsia="x-none"/>
        </w:rPr>
        <w:t>903</w:t>
      </w:r>
      <w:r w:rsidR="006E784A">
        <w:rPr>
          <w:rFonts w:ascii="Arial" w:hAnsi="Arial" w:cs="Arial"/>
          <w:spacing w:val="-1"/>
          <w:lang w:eastAsia="x-none"/>
        </w:rPr>
        <w:t>.3</w:t>
      </w:r>
      <w:r w:rsidR="00307B36" w:rsidRPr="000D5670">
        <w:rPr>
          <w:rFonts w:ascii="Arial" w:hAnsi="Arial" w:cs="Arial"/>
          <w:spacing w:val="-1"/>
          <w:lang w:val="x-none" w:eastAsia="x-none"/>
        </w:rPr>
        <w:t xml:space="preserve"> millones</w:t>
      </w:r>
      <w:r w:rsidR="009870E0">
        <w:rPr>
          <w:rFonts w:ascii="Arial" w:hAnsi="Arial" w:cs="Arial"/>
          <w:spacing w:val="-1"/>
          <w:lang w:eastAsia="x-none"/>
        </w:rPr>
        <w:t>;</w:t>
      </w:r>
      <w:r w:rsidR="00307B36" w:rsidRPr="000D5670">
        <w:rPr>
          <w:rFonts w:ascii="Arial" w:hAnsi="Arial" w:cs="Arial"/>
          <w:spacing w:val="-1"/>
          <w:lang w:val="x-none" w:eastAsia="x-none"/>
        </w:rPr>
        <w:t xml:space="preserve"> y por último</w:t>
      </w:r>
      <w:r w:rsidR="009870E0">
        <w:rPr>
          <w:rFonts w:ascii="Arial" w:hAnsi="Arial" w:cs="Arial"/>
          <w:spacing w:val="-1"/>
          <w:lang w:eastAsia="x-none"/>
        </w:rPr>
        <w:t>,</w:t>
      </w:r>
      <w:r w:rsidR="00307B36" w:rsidRPr="000D5670">
        <w:rPr>
          <w:rFonts w:ascii="Arial" w:hAnsi="Arial" w:cs="Arial"/>
          <w:spacing w:val="-1"/>
          <w:lang w:val="x-none" w:eastAsia="x-none"/>
        </w:rPr>
        <w:t xml:space="preserve"> los costos del agotamiento de recursos forestales con 37</w:t>
      </w:r>
      <w:r w:rsidR="00183BB5">
        <w:rPr>
          <w:rFonts w:ascii="Arial" w:hAnsi="Arial" w:cs="Arial"/>
          <w:spacing w:val="-1"/>
          <w:lang w:eastAsia="x-none"/>
        </w:rPr>
        <w:t xml:space="preserve"> </w:t>
      </w:r>
      <w:r w:rsidR="00307B36" w:rsidRPr="000D5670">
        <w:rPr>
          <w:rFonts w:ascii="Arial" w:hAnsi="Arial" w:cs="Arial"/>
          <w:spacing w:val="-1"/>
          <w:lang w:val="x-none" w:eastAsia="x-none"/>
        </w:rPr>
        <w:t>070</w:t>
      </w:r>
      <w:r w:rsidR="006E784A">
        <w:rPr>
          <w:rFonts w:ascii="Arial" w:hAnsi="Arial" w:cs="Arial"/>
          <w:spacing w:val="-1"/>
          <w:lang w:eastAsia="x-none"/>
        </w:rPr>
        <w:t>.3</w:t>
      </w:r>
      <w:r w:rsidR="00307B36" w:rsidRPr="000D5670">
        <w:rPr>
          <w:rFonts w:ascii="Arial" w:hAnsi="Arial" w:cs="Arial"/>
          <w:spacing w:val="-1"/>
          <w:lang w:val="x-none" w:eastAsia="x-none"/>
        </w:rPr>
        <w:t xml:space="preserve"> millones de pesos</w:t>
      </w:r>
      <w:r w:rsidR="00DB1FCB">
        <w:rPr>
          <w:rFonts w:ascii="Arial" w:hAnsi="Arial" w:cs="Arial"/>
          <w:spacing w:val="-1"/>
          <w:lang w:eastAsia="x-none"/>
        </w:rPr>
        <w:t>.</w:t>
      </w:r>
    </w:p>
    <w:p w14:paraId="35277E54" w14:textId="77777777" w:rsidR="00866B0A" w:rsidRPr="00141AFC" w:rsidRDefault="00866B0A" w:rsidP="00866B0A">
      <w:pPr>
        <w:pStyle w:val="Textoindependiente"/>
        <w:spacing w:before="93"/>
        <w:ind w:left="1163" w:right="1200"/>
        <w:jc w:val="center"/>
        <w:rPr>
          <w:rFonts w:ascii="Arial" w:hAnsi="Arial" w:cs="Arial"/>
          <w:lang w:val="es-MX"/>
        </w:rPr>
      </w:pPr>
      <w:r w:rsidRPr="00141AFC">
        <w:rPr>
          <w:rFonts w:ascii="Arial" w:hAnsi="Arial" w:cs="Arial"/>
          <w:lang w:val="es-MX"/>
        </w:rPr>
        <w:t>Cuadro 1</w:t>
      </w:r>
    </w:p>
    <w:p w14:paraId="4726220D" w14:textId="77777777" w:rsidR="00866B0A" w:rsidRPr="00141AFC" w:rsidRDefault="00866B0A" w:rsidP="00141AFC">
      <w:pPr>
        <w:ind w:right="49"/>
        <w:jc w:val="center"/>
        <w:rPr>
          <w:rFonts w:ascii="Arial" w:hAnsi="Arial" w:cs="Arial"/>
          <w:b/>
          <w:sz w:val="22"/>
          <w:szCs w:val="22"/>
        </w:rPr>
      </w:pPr>
      <w:r w:rsidRPr="00141AFC">
        <w:rPr>
          <w:rFonts w:ascii="Arial" w:hAnsi="Arial" w:cs="Arial"/>
          <w:b/>
          <w:sz w:val="22"/>
          <w:szCs w:val="22"/>
        </w:rPr>
        <w:t>COMPOSICIÓN DE LOS COSTOS TOTALES POR AGOTAMIENTO Y</w:t>
      </w:r>
    </w:p>
    <w:p w14:paraId="1CF515C8" w14:textId="77777777" w:rsidR="00866B0A" w:rsidRPr="00141AFC" w:rsidRDefault="00866B0A" w:rsidP="00141AFC">
      <w:pPr>
        <w:spacing w:line="276" w:lineRule="exact"/>
        <w:ind w:right="49"/>
        <w:jc w:val="center"/>
        <w:rPr>
          <w:rFonts w:ascii="Arial" w:hAnsi="Arial" w:cs="Arial"/>
          <w:b/>
          <w:sz w:val="22"/>
          <w:szCs w:val="22"/>
        </w:rPr>
      </w:pPr>
      <w:r w:rsidRPr="00141AFC">
        <w:rPr>
          <w:rFonts w:ascii="Arial" w:hAnsi="Arial" w:cs="Arial"/>
          <w:b/>
          <w:sz w:val="22"/>
          <w:szCs w:val="22"/>
        </w:rPr>
        <w:t xml:space="preserve">DEGRADACIÓN AMBIENTAL, </w:t>
      </w:r>
      <w:r w:rsidR="00141AFC">
        <w:rPr>
          <w:rFonts w:ascii="Arial" w:hAnsi="Arial" w:cs="Arial"/>
          <w:b/>
          <w:sz w:val="22"/>
          <w:szCs w:val="22"/>
        </w:rPr>
        <w:t xml:space="preserve">AÑO </w:t>
      </w:r>
      <w:r w:rsidRPr="00141AFC">
        <w:rPr>
          <w:rFonts w:ascii="Arial" w:hAnsi="Arial" w:cs="Arial"/>
          <w:b/>
          <w:sz w:val="22"/>
          <w:szCs w:val="22"/>
        </w:rPr>
        <w:t>2020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4"/>
        <w:gridCol w:w="2817"/>
        <w:gridCol w:w="2268"/>
      </w:tblGrid>
      <w:tr w:rsidR="00A0738B" w:rsidRPr="00A0738B" w14:paraId="64F927ED" w14:textId="77777777" w:rsidTr="0003341F">
        <w:trPr>
          <w:trHeight w:hRule="exact" w:val="790"/>
        </w:trPr>
        <w:tc>
          <w:tcPr>
            <w:tcW w:w="3704" w:type="dxa"/>
            <w:shd w:val="clear" w:color="auto" w:fill="B4C5E7"/>
          </w:tcPr>
          <w:p w14:paraId="015150F5" w14:textId="77777777" w:rsidR="00866B0A" w:rsidRPr="00A0738B" w:rsidRDefault="00866B0A" w:rsidP="00963FD6">
            <w:pPr>
              <w:pStyle w:val="TableParagraph"/>
              <w:spacing w:before="0"/>
              <w:rPr>
                <w:sz w:val="27"/>
                <w:lang w:val="es-MX"/>
              </w:rPr>
            </w:pPr>
          </w:p>
          <w:p w14:paraId="279B7C6E" w14:textId="77777777" w:rsidR="00866B0A" w:rsidRPr="00A0738B" w:rsidRDefault="00866B0A" w:rsidP="00963FD6">
            <w:pPr>
              <w:pStyle w:val="TableParagraph"/>
              <w:spacing w:before="0"/>
              <w:ind w:left="1404" w:right="1401"/>
              <w:jc w:val="center"/>
              <w:rPr>
                <w:b/>
                <w:sz w:val="18"/>
                <w:lang w:val="es-MX"/>
              </w:rPr>
            </w:pPr>
            <w:r w:rsidRPr="00A0738B">
              <w:rPr>
                <w:b/>
                <w:sz w:val="18"/>
                <w:lang w:val="es-MX"/>
              </w:rPr>
              <w:t>Concepto</w:t>
            </w:r>
          </w:p>
        </w:tc>
        <w:tc>
          <w:tcPr>
            <w:tcW w:w="2817" w:type="dxa"/>
            <w:shd w:val="clear" w:color="auto" w:fill="B4C5E7"/>
          </w:tcPr>
          <w:p w14:paraId="13014EFF" w14:textId="77777777" w:rsidR="00866B0A" w:rsidRPr="00A0738B" w:rsidRDefault="00866B0A" w:rsidP="00963FD6">
            <w:pPr>
              <w:pStyle w:val="TableParagraph"/>
              <w:spacing w:before="0"/>
              <w:ind w:left="304" w:right="307" w:firstLine="1"/>
              <w:jc w:val="center"/>
              <w:rPr>
                <w:b/>
                <w:sz w:val="18"/>
                <w:lang w:val="es-MX"/>
              </w:rPr>
            </w:pPr>
            <w:r w:rsidRPr="00A0738B">
              <w:rPr>
                <w:b/>
                <w:sz w:val="18"/>
                <w:lang w:val="es-MX"/>
              </w:rPr>
              <w:t>Costos por agotamiento y degradación ambiental</w:t>
            </w:r>
            <w:r w:rsidR="001448FC">
              <w:rPr>
                <w:b/>
                <w:sz w:val="18"/>
                <w:lang w:val="es-MX"/>
              </w:rPr>
              <w:t xml:space="preserve"> </w:t>
            </w:r>
            <w:r w:rsidR="001448FC" w:rsidRPr="001448FC">
              <w:rPr>
                <w:sz w:val="18"/>
                <w:lang w:val="es-MX"/>
              </w:rPr>
              <w:t>(Millones de pesos corrientes)</w:t>
            </w:r>
          </w:p>
        </w:tc>
        <w:tc>
          <w:tcPr>
            <w:tcW w:w="2268" w:type="dxa"/>
            <w:shd w:val="clear" w:color="auto" w:fill="B4C5E7"/>
          </w:tcPr>
          <w:p w14:paraId="3440531C" w14:textId="77777777" w:rsidR="00866B0A" w:rsidRPr="00A0738B" w:rsidRDefault="00866B0A" w:rsidP="00963FD6">
            <w:pPr>
              <w:pStyle w:val="TableParagraph"/>
              <w:spacing w:before="0"/>
              <w:rPr>
                <w:sz w:val="18"/>
                <w:lang w:val="es-MX"/>
              </w:rPr>
            </w:pPr>
          </w:p>
          <w:p w14:paraId="22C1196D" w14:textId="77777777" w:rsidR="00866B0A" w:rsidRPr="00A0738B" w:rsidRDefault="001448FC" w:rsidP="00963FD6">
            <w:pPr>
              <w:pStyle w:val="TableParagraph"/>
              <w:spacing w:before="1"/>
              <w:ind w:left="194" w:right="177" w:hanging="60"/>
              <w:jc w:val="center"/>
              <w:rPr>
                <w:b/>
                <w:sz w:val="18"/>
                <w:lang w:val="es-MX"/>
              </w:rPr>
            </w:pPr>
            <w:r>
              <w:rPr>
                <w:b/>
                <w:sz w:val="18"/>
                <w:lang w:val="es-MX"/>
              </w:rPr>
              <w:t>Porcentaje</w:t>
            </w:r>
            <w:r w:rsidR="00866B0A" w:rsidRPr="00A0738B">
              <w:rPr>
                <w:b/>
                <w:sz w:val="18"/>
                <w:lang w:val="es-MX"/>
              </w:rPr>
              <w:t xml:space="preserve"> respecto al PIB Nacional</w:t>
            </w:r>
          </w:p>
        </w:tc>
      </w:tr>
      <w:tr w:rsidR="00A0738B" w:rsidRPr="00A0738B" w14:paraId="0F2AED5E" w14:textId="77777777" w:rsidTr="0003341F">
        <w:trPr>
          <w:trHeight w:hRule="exact" w:val="509"/>
        </w:trPr>
        <w:tc>
          <w:tcPr>
            <w:tcW w:w="3704" w:type="dxa"/>
            <w:shd w:val="clear" w:color="auto" w:fill="ECECEC"/>
          </w:tcPr>
          <w:p w14:paraId="457D8F91" w14:textId="77777777" w:rsidR="00866B0A" w:rsidRPr="00A0738B" w:rsidRDefault="00866B0A" w:rsidP="00963FD6">
            <w:pPr>
              <w:pStyle w:val="TableParagraph"/>
              <w:spacing w:before="66"/>
              <w:ind w:left="136"/>
              <w:rPr>
                <w:b/>
                <w:sz w:val="18"/>
                <w:lang w:val="es-MX"/>
              </w:rPr>
            </w:pPr>
            <w:r w:rsidRPr="00A0738B">
              <w:rPr>
                <w:b/>
                <w:sz w:val="18"/>
                <w:lang w:val="es-MX"/>
              </w:rPr>
              <w:t>Costos Totales</w:t>
            </w:r>
            <w:r w:rsidR="00E64D12">
              <w:rPr>
                <w:b/>
                <w:sz w:val="18"/>
                <w:lang w:val="es-MX"/>
              </w:rPr>
              <w:t xml:space="preserve"> por Agotamiento y Degradación Ambiental</w:t>
            </w:r>
          </w:p>
        </w:tc>
        <w:tc>
          <w:tcPr>
            <w:tcW w:w="2817" w:type="dxa"/>
            <w:shd w:val="clear" w:color="auto" w:fill="ECECEC"/>
          </w:tcPr>
          <w:p w14:paraId="7CF99560" w14:textId="2D253AE7" w:rsidR="00866B0A" w:rsidRPr="00A0738B" w:rsidRDefault="00866B0A" w:rsidP="00963FD6">
            <w:pPr>
              <w:pStyle w:val="TableParagraph"/>
              <w:spacing w:before="66"/>
              <w:ind w:right="661"/>
              <w:jc w:val="right"/>
              <w:rPr>
                <w:b/>
                <w:sz w:val="18"/>
                <w:lang w:val="es-MX"/>
              </w:rPr>
            </w:pPr>
            <w:r w:rsidRPr="00A0738B">
              <w:rPr>
                <w:b/>
                <w:sz w:val="18"/>
                <w:lang w:val="es-MX"/>
              </w:rPr>
              <w:t>1</w:t>
            </w:r>
            <w:r w:rsidR="006273EB">
              <w:rPr>
                <w:b/>
                <w:sz w:val="18"/>
                <w:lang w:val="es-MX"/>
              </w:rPr>
              <w:t xml:space="preserve"> </w:t>
            </w:r>
            <w:r w:rsidRPr="00A0738B">
              <w:rPr>
                <w:b/>
                <w:sz w:val="18"/>
                <w:lang w:val="es-MX"/>
              </w:rPr>
              <w:t>066</w:t>
            </w:r>
            <w:r w:rsidR="006273EB">
              <w:rPr>
                <w:b/>
                <w:sz w:val="18"/>
                <w:lang w:val="es-MX"/>
              </w:rPr>
              <w:t xml:space="preserve"> </w:t>
            </w:r>
            <w:r w:rsidRPr="00A0738B">
              <w:rPr>
                <w:b/>
                <w:sz w:val="18"/>
                <w:lang w:val="es-MX"/>
              </w:rPr>
              <w:t>853</w:t>
            </w:r>
          </w:p>
        </w:tc>
        <w:tc>
          <w:tcPr>
            <w:tcW w:w="2268" w:type="dxa"/>
            <w:shd w:val="clear" w:color="auto" w:fill="ECECEC"/>
          </w:tcPr>
          <w:p w14:paraId="0DE46CB4" w14:textId="77777777" w:rsidR="00866B0A" w:rsidRPr="00A0738B" w:rsidRDefault="00866B0A" w:rsidP="00963FD6">
            <w:pPr>
              <w:pStyle w:val="TableParagraph"/>
              <w:spacing w:before="66"/>
              <w:ind w:left="700" w:right="700"/>
              <w:jc w:val="center"/>
              <w:rPr>
                <w:b/>
                <w:sz w:val="18"/>
                <w:lang w:val="es-MX"/>
              </w:rPr>
            </w:pPr>
            <w:r w:rsidRPr="00A0738B">
              <w:rPr>
                <w:b/>
                <w:sz w:val="18"/>
                <w:lang w:val="es-MX"/>
              </w:rPr>
              <w:t>4.</w:t>
            </w:r>
            <w:r w:rsidR="00BB750A">
              <w:rPr>
                <w:b/>
                <w:sz w:val="18"/>
                <w:lang w:val="es-MX"/>
              </w:rPr>
              <w:t>6</w:t>
            </w:r>
          </w:p>
        </w:tc>
      </w:tr>
      <w:tr w:rsidR="00A0738B" w:rsidRPr="00A0738B" w14:paraId="2E8317F4" w14:textId="77777777" w:rsidTr="0003341F">
        <w:trPr>
          <w:trHeight w:hRule="exact" w:val="382"/>
        </w:trPr>
        <w:tc>
          <w:tcPr>
            <w:tcW w:w="3704" w:type="dxa"/>
            <w:shd w:val="clear" w:color="auto" w:fill="ECECEC"/>
          </w:tcPr>
          <w:p w14:paraId="7CE0D68F" w14:textId="77777777" w:rsidR="00866B0A" w:rsidRPr="00A0738B" w:rsidRDefault="003A39F9" w:rsidP="00963FD6">
            <w:pPr>
              <w:pStyle w:val="TableParagraph"/>
              <w:spacing w:before="64"/>
              <w:ind w:left="136"/>
              <w:rPr>
                <w:b/>
                <w:sz w:val="18"/>
                <w:lang w:val="es-MX"/>
              </w:rPr>
            </w:pPr>
            <w:r>
              <w:rPr>
                <w:b/>
                <w:sz w:val="18"/>
                <w:lang w:val="es-MX"/>
              </w:rPr>
              <w:t xml:space="preserve">    </w:t>
            </w:r>
            <w:r w:rsidR="00866B0A" w:rsidRPr="00A0738B">
              <w:rPr>
                <w:b/>
                <w:sz w:val="18"/>
                <w:lang w:val="es-MX"/>
              </w:rPr>
              <w:t>Costos por Agotamiento</w:t>
            </w:r>
          </w:p>
        </w:tc>
        <w:tc>
          <w:tcPr>
            <w:tcW w:w="2817" w:type="dxa"/>
            <w:shd w:val="clear" w:color="auto" w:fill="ECECEC"/>
          </w:tcPr>
          <w:p w14:paraId="58941A9E" w14:textId="38922682" w:rsidR="00866B0A" w:rsidRPr="00A0738B" w:rsidRDefault="00866B0A" w:rsidP="00963FD6">
            <w:pPr>
              <w:pStyle w:val="TableParagraph"/>
              <w:spacing w:before="64"/>
              <w:ind w:right="661"/>
              <w:jc w:val="right"/>
              <w:rPr>
                <w:b/>
                <w:sz w:val="18"/>
                <w:lang w:val="es-MX"/>
              </w:rPr>
            </w:pPr>
            <w:r w:rsidRPr="00A0738B">
              <w:rPr>
                <w:b/>
                <w:sz w:val="18"/>
                <w:lang w:val="es-MX"/>
              </w:rPr>
              <w:t>156</w:t>
            </w:r>
            <w:r w:rsidR="006273EB">
              <w:rPr>
                <w:b/>
                <w:sz w:val="18"/>
                <w:lang w:val="es-MX"/>
              </w:rPr>
              <w:t xml:space="preserve"> </w:t>
            </w:r>
            <w:r w:rsidRPr="00A0738B">
              <w:rPr>
                <w:b/>
                <w:sz w:val="18"/>
                <w:lang w:val="es-MX"/>
              </w:rPr>
              <w:t>88</w:t>
            </w:r>
            <w:r w:rsidR="006E784A">
              <w:rPr>
                <w:b/>
                <w:sz w:val="18"/>
                <w:lang w:val="es-MX"/>
              </w:rPr>
              <w:t>7.6</w:t>
            </w:r>
          </w:p>
        </w:tc>
        <w:tc>
          <w:tcPr>
            <w:tcW w:w="2268" w:type="dxa"/>
            <w:shd w:val="clear" w:color="auto" w:fill="ECECEC"/>
          </w:tcPr>
          <w:p w14:paraId="44CE042D" w14:textId="77777777" w:rsidR="00866B0A" w:rsidRPr="00A0738B" w:rsidRDefault="00866B0A" w:rsidP="00963FD6">
            <w:pPr>
              <w:pStyle w:val="TableParagraph"/>
              <w:spacing w:before="64"/>
              <w:ind w:left="700" w:right="700"/>
              <w:jc w:val="center"/>
              <w:rPr>
                <w:b/>
                <w:sz w:val="18"/>
                <w:lang w:val="es-MX"/>
              </w:rPr>
            </w:pPr>
            <w:r w:rsidRPr="00A0738B">
              <w:rPr>
                <w:b/>
                <w:sz w:val="18"/>
                <w:lang w:val="es-MX"/>
              </w:rPr>
              <w:t>0.7</w:t>
            </w:r>
          </w:p>
        </w:tc>
      </w:tr>
      <w:tr w:rsidR="00A0738B" w:rsidRPr="00A0738B" w14:paraId="01E26690" w14:textId="77777777" w:rsidTr="0003341F">
        <w:trPr>
          <w:trHeight w:hRule="exact" w:val="326"/>
        </w:trPr>
        <w:tc>
          <w:tcPr>
            <w:tcW w:w="3704" w:type="dxa"/>
          </w:tcPr>
          <w:p w14:paraId="763AAACD" w14:textId="77777777" w:rsidR="00866B0A" w:rsidRPr="00A0738B" w:rsidRDefault="003A39F9" w:rsidP="00963FD6">
            <w:pPr>
              <w:pStyle w:val="TableParagraph"/>
              <w:spacing w:before="37"/>
              <w:ind w:left="420"/>
              <w:rPr>
                <w:sz w:val="18"/>
                <w:lang w:val="es-MX"/>
              </w:rPr>
            </w:pPr>
            <w:r>
              <w:rPr>
                <w:sz w:val="18"/>
                <w:lang w:val="es-MX"/>
              </w:rPr>
              <w:t xml:space="preserve">  </w:t>
            </w:r>
            <w:r w:rsidR="00E64D12">
              <w:rPr>
                <w:sz w:val="18"/>
                <w:lang w:val="es-MX"/>
              </w:rPr>
              <w:t>H</w:t>
            </w:r>
            <w:r w:rsidR="00866B0A" w:rsidRPr="00A0738B">
              <w:rPr>
                <w:sz w:val="18"/>
                <w:lang w:val="es-MX"/>
              </w:rPr>
              <w:t>idrocarburos</w:t>
            </w:r>
          </w:p>
        </w:tc>
        <w:tc>
          <w:tcPr>
            <w:tcW w:w="2817" w:type="dxa"/>
          </w:tcPr>
          <w:p w14:paraId="43B77F65" w14:textId="699F5E5C" w:rsidR="00866B0A" w:rsidRPr="00A0738B" w:rsidRDefault="00866B0A" w:rsidP="00963FD6">
            <w:pPr>
              <w:pStyle w:val="TableParagraph"/>
              <w:spacing w:before="37"/>
              <w:ind w:right="661"/>
              <w:jc w:val="right"/>
              <w:rPr>
                <w:sz w:val="18"/>
                <w:lang w:val="es-MX"/>
              </w:rPr>
            </w:pPr>
            <w:r w:rsidRPr="00A0738B">
              <w:rPr>
                <w:sz w:val="18"/>
                <w:lang w:val="es-MX"/>
              </w:rPr>
              <w:t>61</w:t>
            </w:r>
            <w:r w:rsidR="006273EB">
              <w:rPr>
                <w:sz w:val="18"/>
                <w:lang w:val="es-MX"/>
              </w:rPr>
              <w:t xml:space="preserve"> </w:t>
            </w:r>
            <w:r w:rsidRPr="00A0738B">
              <w:rPr>
                <w:sz w:val="18"/>
                <w:lang w:val="es-MX"/>
              </w:rPr>
              <w:t>312</w:t>
            </w:r>
            <w:r w:rsidR="006E784A">
              <w:rPr>
                <w:sz w:val="18"/>
                <w:lang w:val="es-MX"/>
              </w:rPr>
              <w:t>.2</w:t>
            </w:r>
          </w:p>
        </w:tc>
        <w:tc>
          <w:tcPr>
            <w:tcW w:w="2268" w:type="dxa"/>
          </w:tcPr>
          <w:p w14:paraId="719F2885" w14:textId="77777777" w:rsidR="00866B0A" w:rsidRPr="00A0738B" w:rsidRDefault="00866B0A" w:rsidP="00963FD6">
            <w:pPr>
              <w:pStyle w:val="TableParagraph"/>
              <w:spacing w:before="37"/>
              <w:ind w:left="699" w:right="700"/>
              <w:jc w:val="center"/>
              <w:rPr>
                <w:sz w:val="18"/>
                <w:lang w:val="es-MX"/>
              </w:rPr>
            </w:pPr>
            <w:r w:rsidRPr="00A0738B">
              <w:rPr>
                <w:sz w:val="18"/>
                <w:lang w:val="es-MX"/>
              </w:rPr>
              <w:t>0.</w:t>
            </w:r>
            <w:r w:rsidR="00BB750A">
              <w:rPr>
                <w:sz w:val="18"/>
                <w:lang w:val="es-MX"/>
              </w:rPr>
              <w:t>3</w:t>
            </w:r>
          </w:p>
        </w:tc>
      </w:tr>
      <w:tr w:rsidR="00A0738B" w:rsidRPr="00A0738B" w14:paraId="593E7B63" w14:textId="77777777" w:rsidTr="0003341F">
        <w:trPr>
          <w:trHeight w:hRule="exact" w:val="324"/>
        </w:trPr>
        <w:tc>
          <w:tcPr>
            <w:tcW w:w="3704" w:type="dxa"/>
          </w:tcPr>
          <w:p w14:paraId="658559AF" w14:textId="77777777" w:rsidR="00866B0A" w:rsidRPr="00A0738B" w:rsidRDefault="003A39F9" w:rsidP="00963FD6">
            <w:pPr>
              <w:pStyle w:val="TableParagraph"/>
              <w:spacing w:before="37"/>
              <w:ind w:left="420"/>
              <w:rPr>
                <w:sz w:val="18"/>
                <w:lang w:val="es-MX"/>
              </w:rPr>
            </w:pPr>
            <w:r>
              <w:rPr>
                <w:sz w:val="18"/>
                <w:lang w:val="es-MX"/>
              </w:rPr>
              <w:t xml:space="preserve">  </w:t>
            </w:r>
            <w:r w:rsidR="00E64D12">
              <w:rPr>
                <w:sz w:val="18"/>
                <w:lang w:val="es-MX"/>
              </w:rPr>
              <w:t>R</w:t>
            </w:r>
            <w:r w:rsidR="00866B0A" w:rsidRPr="00A0738B">
              <w:rPr>
                <w:sz w:val="18"/>
                <w:lang w:val="es-MX"/>
              </w:rPr>
              <w:t>ecursos forestales</w:t>
            </w:r>
          </w:p>
        </w:tc>
        <w:tc>
          <w:tcPr>
            <w:tcW w:w="2817" w:type="dxa"/>
          </w:tcPr>
          <w:p w14:paraId="47CE7155" w14:textId="2331A1D9" w:rsidR="00866B0A" w:rsidRPr="00A0738B" w:rsidRDefault="00866B0A" w:rsidP="00963FD6">
            <w:pPr>
              <w:pStyle w:val="TableParagraph"/>
              <w:spacing w:before="37"/>
              <w:ind w:right="661"/>
              <w:jc w:val="right"/>
              <w:rPr>
                <w:sz w:val="18"/>
                <w:lang w:val="es-MX"/>
              </w:rPr>
            </w:pPr>
            <w:r w:rsidRPr="00A0738B">
              <w:rPr>
                <w:sz w:val="18"/>
                <w:lang w:val="es-MX"/>
              </w:rPr>
              <w:t>37</w:t>
            </w:r>
            <w:r w:rsidR="006273EB">
              <w:rPr>
                <w:sz w:val="18"/>
                <w:lang w:val="es-MX"/>
              </w:rPr>
              <w:t xml:space="preserve"> </w:t>
            </w:r>
            <w:r w:rsidRPr="00A0738B">
              <w:rPr>
                <w:sz w:val="18"/>
                <w:lang w:val="es-MX"/>
              </w:rPr>
              <w:t>070</w:t>
            </w:r>
            <w:r w:rsidR="006E784A">
              <w:rPr>
                <w:sz w:val="18"/>
                <w:lang w:val="es-MX"/>
              </w:rPr>
              <w:t>.3</w:t>
            </w:r>
          </w:p>
        </w:tc>
        <w:tc>
          <w:tcPr>
            <w:tcW w:w="2268" w:type="dxa"/>
          </w:tcPr>
          <w:p w14:paraId="55DEA3CB" w14:textId="77777777" w:rsidR="00866B0A" w:rsidRPr="00A0738B" w:rsidRDefault="00866B0A" w:rsidP="00963FD6">
            <w:pPr>
              <w:pStyle w:val="TableParagraph"/>
              <w:spacing w:before="37"/>
              <w:ind w:left="700" w:right="700"/>
              <w:jc w:val="center"/>
              <w:rPr>
                <w:sz w:val="18"/>
                <w:lang w:val="es-MX"/>
              </w:rPr>
            </w:pPr>
            <w:r w:rsidRPr="00A0738B">
              <w:rPr>
                <w:sz w:val="18"/>
                <w:lang w:val="es-MX"/>
              </w:rPr>
              <w:t>0.</w:t>
            </w:r>
            <w:r w:rsidR="00BB750A">
              <w:rPr>
                <w:sz w:val="18"/>
                <w:lang w:val="es-MX"/>
              </w:rPr>
              <w:t>2</w:t>
            </w:r>
          </w:p>
        </w:tc>
      </w:tr>
      <w:tr w:rsidR="00A0738B" w:rsidRPr="00A0738B" w14:paraId="242AE942" w14:textId="77777777" w:rsidTr="0003341F">
        <w:trPr>
          <w:trHeight w:hRule="exact" w:val="326"/>
        </w:trPr>
        <w:tc>
          <w:tcPr>
            <w:tcW w:w="3704" w:type="dxa"/>
          </w:tcPr>
          <w:p w14:paraId="4D105A3C" w14:textId="77777777" w:rsidR="00866B0A" w:rsidRPr="00A0738B" w:rsidRDefault="003A39F9" w:rsidP="00963FD6">
            <w:pPr>
              <w:pStyle w:val="TableParagraph"/>
              <w:spacing w:before="37"/>
              <w:ind w:left="420"/>
              <w:rPr>
                <w:sz w:val="18"/>
                <w:lang w:val="es-MX"/>
              </w:rPr>
            </w:pPr>
            <w:r>
              <w:rPr>
                <w:sz w:val="18"/>
                <w:lang w:val="es-MX"/>
              </w:rPr>
              <w:t xml:space="preserve">  </w:t>
            </w:r>
            <w:r w:rsidR="00E64D12">
              <w:rPr>
                <w:sz w:val="18"/>
                <w:lang w:val="es-MX"/>
              </w:rPr>
              <w:t>A</w:t>
            </w:r>
            <w:r w:rsidR="00866B0A" w:rsidRPr="00A0738B">
              <w:rPr>
                <w:sz w:val="18"/>
                <w:lang w:val="es-MX"/>
              </w:rPr>
              <w:t>gua subterránea</w:t>
            </w:r>
          </w:p>
        </w:tc>
        <w:tc>
          <w:tcPr>
            <w:tcW w:w="2817" w:type="dxa"/>
          </w:tcPr>
          <w:p w14:paraId="07627E67" w14:textId="163D02C7" w:rsidR="00866B0A" w:rsidRPr="00A0738B" w:rsidRDefault="00866B0A" w:rsidP="00963FD6">
            <w:pPr>
              <w:pStyle w:val="TableParagraph"/>
              <w:spacing w:before="37"/>
              <w:ind w:right="662"/>
              <w:jc w:val="right"/>
              <w:rPr>
                <w:sz w:val="18"/>
                <w:lang w:val="es-MX"/>
              </w:rPr>
            </w:pPr>
            <w:r w:rsidRPr="00A0738B">
              <w:rPr>
                <w:sz w:val="18"/>
                <w:lang w:val="es-MX"/>
              </w:rPr>
              <w:t>58</w:t>
            </w:r>
            <w:r w:rsidR="006273EB">
              <w:rPr>
                <w:sz w:val="18"/>
                <w:lang w:val="es-MX"/>
              </w:rPr>
              <w:t xml:space="preserve"> </w:t>
            </w:r>
            <w:r w:rsidRPr="00A0738B">
              <w:rPr>
                <w:sz w:val="18"/>
                <w:lang w:val="es-MX"/>
              </w:rPr>
              <w:t>505</w:t>
            </w:r>
            <w:r w:rsidR="006E784A">
              <w:rPr>
                <w:sz w:val="18"/>
                <w:lang w:val="es-MX"/>
              </w:rPr>
              <w:t>.1</w:t>
            </w:r>
          </w:p>
        </w:tc>
        <w:tc>
          <w:tcPr>
            <w:tcW w:w="2268" w:type="dxa"/>
          </w:tcPr>
          <w:p w14:paraId="6897D749" w14:textId="77777777" w:rsidR="00866B0A" w:rsidRPr="00A0738B" w:rsidRDefault="00866B0A" w:rsidP="00963FD6">
            <w:pPr>
              <w:pStyle w:val="TableParagraph"/>
              <w:spacing w:before="37"/>
              <w:ind w:left="699" w:right="700"/>
              <w:jc w:val="center"/>
              <w:rPr>
                <w:sz w:val="18"/>
                <w:lang w:val="es-MX"/>
              </w:rPr>
            </w:pPr>
            <w:r w:rsidRPr="00A0738B">
              <w:rPr>
                <w:sz w:val="18"/>
                <w:lang w:val="es-MX"/>
              </w:rPr>
              <w:t>0.2</w:t>
            </w:r>
          </w:p>
        </w:tc>
      </w:tr>
      <w:tr w:rsidR="00A0738B" w:rsidRPr="00A0738B" w14:paraId="3BCD51FF" w14:textId="77777777" w:rsidTr="0003341F">
        <w:trPr>
          <w:trHeight w:hRule="exact" w:val="387"/>
        </w:trPr>
        <w:tc>
          <w:tcPr>
            <w:tcW w:w="3704" w:type="dxa"/>
            <w:shd w:val="clear" w:color="auto" w:fill="ECECEC"/>
          </w:tcPr>
          <w:p w14:paraId="1D43455F" w14:textId="77777777" w:rsidR="00866B0A" w:rsidRPr="00A0738B" w:rsidRDefault="003A39F9" w:rsidP="00963FD6">
            <w:pPr>
              <w:pStyle w:val="TableParagraph"/>
              <w:spacing w:before="66"/>
              <w:ind w:left="136"/>
              <w:rPr>
                <w:b/>
                <w:sz w:val="18"/>
                <w:lang w:val="es-MX"/>
              </w:rPr>
            </w:pPr>
            <w:r>
              <w:rPr>
                <w:b/>
                <w:sz w:val="18"/>
                <w:lang w:val="es-MX"/>
              </w:rPr>
              <w:t xml:space="preserve">    </w:t>
            </w:r>
            <w:r w:rsidR="00866B0A" w:rsidRPr="00A0738B">
              <w:rPr>
                <w:b/>
                <w:sz w:val="18"/>
                <w:lang w:val="es-MX"/>
              </w:rPr>
              <w:t>Costos por Degradación</w:t>
            </w:r>
          </w:p>
        </w:tc>
        <w:tc>
          <w:tcPr>
            <w:tcW w:w="2817" w:type="dxa"/>
            <w:shd w:val="clear" w:color="auto" w:fill="ECECEC"/>
          </w:tcPr>
          <w:p w14:paraId="38C9106C" w14:textId="4AA9787C" w:rsidR="00866B0A" w:rsidRPr="00A0738B" w:rsidRDefault="00866B0A" w:rsidP="00963FD6">
            <w:pPr>
              <w:pStyle w:val="TableParagraph"/>
              <w:spacing w:before="66"/>
              <w:ind w:right="661"/>
              <w:jc w:val="right"/>
              <w:rPr>
                <w:b/>
                <w:sz w:val="18"/>
                <w:lang w:val="es-MX"/>
              </w:rPr>
            </w:pPr>
            <w:r w:rsidRPr="00A0738B">
              <w:rPr>
                <w:b/>
                <w:sz w:val="18"/>
                <w:lang w:val="es-MX"/>
              </w:rPr>
              <w:t>909</w:t>
            </w:r>
            <w:r w:rsidR="006273EB">
              <w:rPr>
                <w:b/>
                <w:sz w:val="18"/>
                <w:lang w:val="es-MX"/>
              </w:rPr>
              <w:t xml:space="preserve"> </w:t>
            </w:r>
            <w:r w:rsidRPr="00A0738B">
              <w:rPr>
                <w:b/>
                <w:sz w:val="18"/>
                <w:lang w:val="es-MX"/>
              </w:rPr>
              <w:t>965</w:t>
            </w:r>
            <w:r w:rsidR="006E784A">
              <w:rPr>
                <w:b/>
                <w:sz w:val="18"/>
                <w:lang w:val="es-MX"/>
              </w:rPr>
              <w:t>.3</w:t>
            </w:r>
          </w:p>
        </w:tc>
        <w:tc>
          <w:tcPr>
            <w:tcW w:w="2268" w:type="dxa"/>
            <w:shd w:val="clear" w:color="auto" w:fill="ECECEC"/>
          </w:tcPr>
          <w:p w14:paraId="1487E0F2" w14:textId="77777777" w:rsidR="00866B0A" w:rsidRPr="00A0738B" w:rsidRDefault="00866B0A" w:rsidP="00963FD6">
            <w:pPr>
              <w:pStyle w:val="TableParagraph"/>
              <w:spacing w:before="66"/>
              <w:ind w:left="700" w:right="700"/>
              <w:jc w:val="center"/>
              <w:rPr>
                <w:b/>
                <w:sz w:val="18"/>
                <w:lang w:val="es-MX"/>
              </w:rPr>
            </w:pPr>
            <w:r w:rsidRPr="00A0738B">
              <w:rPr>
                <w:b/>
                <w:sz w:val="18"/>
                <w:lang w:val="es-MX"/>
              </w:rPr>
              <w:t>3.9</w:t>
            </w:r>
          </w:p>
        </w:tc>
      </w:tr>
      <w:tr w:rsidR="00A0738B" w:rsidRPr="00A0738B" w14:paraId="326550C6" w14:textId="77777777" w:rsidTr="0003341F">
        <w:trPr>
          <w:trHeight w:hRule="exact" w:val="324"/>
        </w:trPr>
        <w:tc>
          <w:tcPr>
            <w:tcW w:w="3704" w:type="dxa"/>
          </w:tcPr>
          <w:p w14:paraId="4ECF7250" w14:textId="77777777" w:rsidR="00866B0A" w:rsidRPr="00A0738B" w:rsidRDefault="003A39F9" w:rsidP="00963FD6">
            <w:pPr>
              <w:pStyle w:val="TableParagraph"/>
              <w:spacing w:before="38"/>
              <w:ind w:left="420"/>
              <w:rPr>
                <w:sz w:val="18"/>
                <w:lang w:val="es-MX"/>
              </w:rPr>
            </w:pPr>
            <w:r>
              <w:rPr>
                <w:sz w:val="18"/>
                <w:lang w:val="es-MX"/>
              </w:rPr>
              <w:t xml:space="preserve">  </w:t>
            </w:r>
            <w:r w:rsidR="00866B0A" w:rsidRPr="00A0738B">
              <w:rPr>
                <w:sz w:val="18"/>
                <w:lang w:val="es-MX"/>
              </w:rPr>
              <w:t>Degradación del suelo</w:t>
            </w:r>
          </w:p>
        </w:tc>
        <w:tc>
          <w:tcPr>
            <w:tcW w:w="2817" w:type="dxa"/>
          </w:tcPr>
          <w:p w14:paraId="07613644" w14:textId="644D275E" w:rsidR="00866B0A" w:rsidRPr="00A0738B" w:rsidRDefault="00866B0A" w:rsidP="00963FD6">
            <w:pPr>
              <w:pStyle w:val="TableParagraph"/>
              <w:spacing w:before="38"/>
              <w:ind w:right="661"/>
              <w:jc w:val="right"/>
              <w:rPr>
                <w:sz w:val="18"/>
                <w:lang w:val="es-MX"/>
              </w:rPr>
            </w:pPr>
            <w:r w:rsidRPr="00A0738B">
              <w:rPr>
                <w:sz w:val="18"/>
                <w:lang w:val="es-MX"/>
              </w:rPr>
              <w:t>163</w:t>
            </w:r>
            <w:r w:rsidR="006273EB">
              <w:rPr>
                <w:sz w:val="18"/>
                <w:lang w:val="es-MX"/>
              </w:rPr>
              <w:t xml:space="preserve"> </w:t>
            </w:r>
            <w:r w:rsidRPr="00A0738B">
              <w:rPr>
                <w:sz w:val="18"/>
                <w:lang w:val="es-MX"/>
              </w:rPr>
              <w:t>807</w:t>
            </w:r>
            <w:r w:rsidR="006E784A">
              <w:rPr>
                <w:sz w:val="18"/>
                <w:lang w:val="es-MX"/>
              </w:rPr>
              <w:t>.4</w:t>
            </w:r>
          </w:p>
        </w:tc>
        <w:tc>
          <w:tcPr>
            <w:tcW w:w="2268" w:type="dxa"/>
          </w:tcPr>
          <w:p w14:paraId="376B81F4" w14:textId="77777777" w:rsidR="00866B0A" w:rsidRPr="00A0738B" w:rsidRDefault="00866B0A" w:rsidP="00963FD6">
            <w:pPr>
              <w:pStyle w:val="TableParagraph"/>
              <w:spacing w:before="38"/>
              <w:ind w:left="700" w:right="700"/>
              <w:jc w:val="center"/>
              <w:rPr>
                <w:sz w:val="18"/>
                <w:lang w:val="es-MX"/>
              </w:rPr>
            </w:pPr>
            <w:r w:rsidRPr="00A0738B">
              <w:rPr>
                <w:sz w:val="18"/>
                <w:lang w:val="es-MX"/>
              </w:rPr>
              <w:t>0.7</w:t>
            </w:r>
          </w:p>
        </w:tc>
      </w:tr>
      <w:tr w:rsidR="00A0738B" w:rsidRPr="00A0738B" w14:paraId="6F9158BD" w14:textId="77777777" w:rsidTr="0003341F">
        <w:trPr>
          <w:trHeight w:hRule="exact" w:val="326"/>
        </w:trPr>
        <w:tc>
          <w:tcPr>
            <w:tcW w:w="3704" w:type="dxa"/>
          </w:tcPr>
          <w:p w14:paraId="73D87B51" w14:textId="77777777" w:rsidR="00866B0A" w:rsidRPr="00A0738B" w:rsidRDefault="003A39F9" w:rsidP="00963FD6">
            <w:pPr>
              <w:pStyle w:val="TableParagraph"/>
              <w:spacing w:before="37"/>
              <w:ind w:left="420"/>
              <w:rPr>
                <w:sz w:val="18"/>
                <w:lang w:val="es-MX"/>
              </w:rPr>
            </w:pPr>
            <w:r>
              <w:rPr>
                <w:sz w:val="18"/>
                <w:lang w:val="es-MX"/>
              </w:rPr>
              <w:t xml:space="preserve">  </w:t>
            </w:r>
            <w:r w:rsidR="00866B0A" w:rsidRPr="00A0738B">
              <w:rPr>
                <w:sz w:val="18"/>
                <w:lang w:val="es-MX"/>
              </w:rPr>
              <w:t>Residuos sólidos urbanos</w:t>
            </w:r>
          </w:p>
        </w:tc>
        <w:tc>
          <w:tcPr>
            <w:tcW w:w="2817" w:type="dxa"/>
          </w:tcPr>
          <w:p w14:paraId="52FFC5E4" w14:textId="46B3E0F7" w:rsidR="00866B0A" w:rsidRPr="00A0738B" w:rsidRDefault="00866B0A" w:rsidP="00963FD6">
            <w:pPr>
              <w:pStyle w:val="TableParagraph"/>
              <w:spacing w:before="37"/>
              <w:ind w:right="661"/>
              <w:jc w:val="right"/>
              <w:rPr>
                <w:sz w:val="18"/>
                <w:lang w:val="es-MX"/>
              </w:rPr>
            </w:pPr>
            <w:r w:rsidRPr="00A0738B">
              <w:rPr>
                <w:sz w:val="18"/>
                <w:lang w:val="es-MX"/>
              </w:rPr>
              <w:t>87</w:t>
            </w:r>
            <w:r w:rsidR="006273EB">
              <w:rPr>
                <w:sz w:val="18"/>
                <w:lang w:val="es-MX"/>
              </w:rPr>
              <w:t xml:space="preserve"> </w:t>
            </w:r>
            <w:r w:rsidRPr="00A0738B">
              <w:rPr>
                <w:sz w:val="18"/>
                <w:lang w:val="es-MX"/>
              </w:rPr>
              <w:t>019</w:t>
            </w:r>
            <w:r w:rsidR="006E784A">
              <w:rPr>
                <w:sz w:val="18"/>
                <w:lang w:val="es-MX"/>
              </w:rPr>
              <w:t>.3</w:t>
            </w:r>
          </w:p>
        </w:tc>
        <w:tc>
          <w:tcPr>
            <w:tcW w:w="2268" w:type="dxa"/>
          </w:tcPr>
          <w:p w14:paraId="39579239" w14:textId="77777777" w:rsidR="00866B0A" w:rsidRPr="00A0738B" w:rsidRDefault="00866B0A" w:rsidP="00963FD6">
            <w:pPr>
              <w:pStyle w:val="TableParagraph"/>
              <w:spacing w:before="37"/>
              <w:ind w:left="699" w:right="700"/>
              <w:jc w:val="center"/>
              <w:rPr>
                <w:sz w:val="18"/>
                <w:lang w:val="es-MX"/>
              </w:rPr>
            </w:pPr>
            <w:r w:rsidRPr="00A0738B">
              <w:rPr>
                <w:sz w:val="18"/>
                <w:lang w:val="es-MX"/>
              </w:rPr>
              <w:t>0.</w:t>
            </w:r>
            <w:r w:rsidR="00BB750A">
              <w:rPr>
                <w:sz w:val="18"/>
                <w:lang w:val="es-MX"/>
              </w:rPr>
              <w:t>4</w:t>
            </w:r>
          </w:p>
        </w:tc>
      </w:tr>
      <w:tr w:rsidR="00A0738B" w:rsidRPr="00A0738B" w14:paraId="567B7C82" w14:textId="77777777" w:rsidTr="0003341F">
        <w:trPr>
          <w:trHeight w:hRule="exact" w:val="324"/>
        </w:trPr>
        <w:tc>
          <w:tcPr>
            <w:tcW w:w="3704" w:type="dxa"/>
          </w:tcPr>
          <w:p w14:paraId="3606482A" w14:textId="77777777" w:rsidR="00866B0A" w:rsidRPr="00A0738B" w:rsidRDefault="003A39F9" w:rsidP="00963FD6">
            <w:pPr>
              <w:pStyle w:val="TableParagraph"/>
              <w:spacing w:before="37"/>
              <w:ind w:left="420"/>
              <w:rPr>
                <w:sz w:val="18"/>
                <w:lang w:val="es-MX"/>
              </w:rPr>
            </w:pPr>
            <w:r>
              <w:rPr>
                <w:sz w:val="18"/>
                <w:lang w:val="es-MX"/>
              </w:rPr>
              <w:t xml:space="preserve">  </w:t>
            </w:r>
            <w:r w:rsidR="00866B0A" w:rsidRPr="00A0738B">
              <w:rPr>
                <w:sz w:val="18"/>
                <w:lang w:val="es-MX"/>
              </w:rPr>
              <w:t>Contaminación del agua</w:t>
            </w:r>
          </w:p>
        </w:tc>
        <w:tc>
          <w:tcPr>
            <w:tcW w:w="2817" w:type="dxa"/>
          </w:tcPr>
          <w:p w14:paraId="2A0B56B0" w14:textId="5241605E" w:rsidR="00866B0A" w:rsidRPr="00A0738B" w:rsidRDefault="00866B0A" w:rsidP="00963FD6">
            <w:pPr>
              <w:pStyle w:val="TableParagraph"/>
              <w:spacing w:before="37"/>
              <w:ind w:right="661"/>
              <w:jc w:val="right"/>
              <w:rPr>
                <w:sz w:val="18"/>
                <w:lang w:val="es-MX"/>
              </w:rPr>
            </w:pPr>
            <w:r w:rsidRPr="00A0738B">
              <w:rPr>
                <w:sz w:val="18"/>
                <w:lang w:val="es-MX"/>
              </w:rPr>
              <w:t>47</w:t>
            </w:r>
            <w:r w:rsidR="006273EB">
              <w:rPr>
                <w:sz w:val="18"/>
                <w:lang w:val="es-MX"/>
              </w:rPr>
              <w:t xml:space="preserve"> </w:t>
            </w:r>
            <w:r w:rsidRPr="00A0738B">
              <w:rPr>
                <w:sz w:val="18"/>
                <w:lang w:val="es-MX"/>
              </w:rPr>
              <w:t>903</w:t>
            </w:r>
            <w:r w:rsidR="006E784A">
              <w:rPr>
                <w:sz w:val="18"/>
                <w:lang w:val="es-MX"/>
              </w:rPr>
              <w:t>.3</w:t>
            </w:r>
          </w:p>
        </w:tc>
        <w:tc>
          <w:tcPr>
            <w:tcW w:w="2268" w:type="dxa"/>
          </w:tcPr>
          <w:p w14:paraId="10097934" w14:textId="77777777" w:rsidR="00866B0A" w:rsidRPr="00A0738B" w:rsidRDefault="00866B0A" w:rsidP="00963FD6">
            <w:pPr>
              <w:pStyle w:val="TableParagraph"/>
              <w:spacing w:before="37"/>
              <w:ind w:left="699" w:right="700"/>
              <w:jc w:val="center"/>
              <w:rPr>
                <w:sz w:val="18"/>
                <w:lang w:val="es-MX"/>
              </w:rPr>
            </w:pPr>
            <w:r w:rsidRPr="00A0738B">
              <w:rPr>
                <w:sz w:val="18"/>
                <w:lang w:val="es-MX"/>
              </w:rPr>
              <w:t>0.2</w:t>
            </w:r>
          </w:p>
        </w:tc>
      </w:tr>
      <w:tr w:rsidR="00A0738B" w:rsidRPr="00A0738B" w14:paraId="79EEF374" w14:textId="77777777" w:rsidTr="0003341F">
        <w:trPr>
          <w:trHeight w:hRule="exact" w:val="326"/>
        </w:trPr>
        <w:tc>
          <w:tcPr>
            <w:tcW w:w="3704" w:type="dxa"/>
          </w:tcPr>
          <w:p w14:paraId="5A645F0B" w14:textId="77777777" w:rsidR="00866B0A" w:rsidRPr="00A0738B" w:rsidRDefault="003A39F9" w:rsidP="00963FD6">
            <w:pPr>
              <w:pStyle w:val="TableParagraph"/>
              <w:spacing w:before="37"/>
              <w:ind w:left="420"/>
              <w:rPr>
                <w:sz w:val="18"/>
                <w:lang w:val="es-MX"/>
              </w:rPr>
            </w:pPr>
            <w:r>
              <w:rPr>
                <w:sz w:val="18"/>
                <w:lang w:val="es-MX"/>
              </w:rPr>
              <w:t xml:space="preserve">  </w:t>
            </w:r>
            <w:r w:rsidR="00866B0A" w:rsidRPr="00A0738B">
              <w:rPr>
                <w:sz w:val="18"/>
                <w:lang w:val="es-MX"/>
              </w:rPr>
              <w:t>Emisiones al aire</w:t>
            </w:r>
          </w:p>
        </w:tc>
        <w:tc>
          <w:tcPr>
            <w:tcW w:w="2817" w:type="dxa"/>
          </w:tcPr>
          <w:p w14:paraId="579EFE57" w14:textId="6BDAF7E4" w:rsidR="00866B0A" w:rsidRPr="00A0738B" w:rsidRDefault="00866B0A" w:rsidP="00963FD6">
            <w:pPr>
              <w:pStyle w:val="TableParagraph"/>
              <w:spacing w:before="37"/>
              <w:ind w:right="661"/>
              <w:jc w:val="right"/>
              <w:rPr>
                <w:sz w:val="18"/>
                <w:lang w:val="es-MX"/>
              </w:rPr>
            </w:pPr>
            <w:r w:rsidRPr="00A0738B">
              <w:rPr>
                <w:sz w:val="18"/>
                <w:lang w:val="es-MX"/>
              </w:rPr>
              <w:t>611</w:t>
            </w:r>
            <w:r w:rsidR="006273EB">
              <w:rPr>
                <w:sz w:val="18"/>
                <w:lang w:val="es-MX"/>
              </w:rPr>
              <w:t xml:space="preserve"> </w:t>
            </w:r>
            <w:r w:rsidRPr="00A0738B">
              <w:rPr>
                <w:sz w:val="18"/>
                <w:lang w:val="es-MX"/>
              </w:rPr>
              <w:t>235</w:t>
            </w:r>
            <w:r w:rsidR="006E784A">
              <w:rPr>
                <w:sz w:val="18"/>
                <w:lang w:val="es-MX"/>
              </w:rPr>
              <w:t>.3</w:t>
            </w:r>
          </w:p>
        </w:tc>
        <w:tc>
          <w:tcPr>
            <w:tcW w:w="2268" w:type="dxa"/>
          </w:tcPr>
          <w:p w14:paraId="0990252D" w14:textId="77777777" w:rsidR="00866B0A" w:rsidRPr="00A0738B" w:rsidRDefault="00866B0A" w:rsidP="00963FD6">
            <w:pPr>
              <w:pStyle w:val="TableParagraph"/>
              <w:spacing w:before="37"/>
              <w:ind w:left="699" w:right="700"/>
              <w:jc w:val="center"/>
              <w:rPr>
                <w:sz w:val="18"/>
                <w:lang w:val="es-MX"/>
              </w:rPr>
            </w:pPr>
            <w:r w:rsidRPr="00A0738B">
              <w:rPr>
                <w:sz w:val="18"/>
                <w:lang w:val="es-MX"/>
              </w:rPr>
              <w:t>2.6</w:t>
            </w:r>
          </w:p>
        </w:tc>
      </w:tr>
    </w:tbl>
    <w:p w14:paraId="5EFEAD9D" w14:textId="77777777" w:rsidR="00866B0A" w:rsidRPr="00A0738B" w:rsidRDefault="00866B0A" w:rsidP="0003341F">
      <w:pPr>
        <w:ind w:left="709" w:right="1325" w:hanging="709"/>
        <w:rPr>
          <w:sz w:val="16"/>
        </w:rPr>
      </w:pPr>
      <w:r w:rsidRPr="00A0738B">
        <w:rPr>
          <w:sz w:val="16"/>
        </w:rPr>
        <w:t xml:space="preserve">NOTA: La suma de los parciales puede no coincidir con los totales debido al redondeo. </w:t>
      </w:r>
    </w:p>
    <w:p w14:paraId="6B573F44" w14:textId="77777777" w:rsidR="00866B0A" w:rsidRPr="00A0738B" w:rsidRDefault="00866B0A" w:rsidP="0003341F">
      <w:pPr>
        <w:ind w:left="709" w:right="1325" w:hanging="709"/>
        <w:rPr>
          <w:sz w:val="16"/>
        </w:rPr>
      </w:pPr>
      <w:r w:rsidRPr="00A0738B">
        <w:rPr>
          <w:sz w:val="16"/>
        </w:rPr>
        <w:t>Fuente: INEGI.</w:t>
      </w:r>
    </w:p>
    <w:p w14:paraId="1CED50F0" w14:textId="77777777" w:rsidR="00866B0A" w:rsidRPr="00A0738B" w:rsidRDefault="00866B0A" w:rsidP="00866B0A">
      <w:pPr>
        <w:pStyle w:val="n01"/>
        <w:keepLines w:val="0"/>
        <w:spacing w:before="480"/>
        <w:ind w:left="0" w:firstLine="0"/>
        <w:outlineLvl w:val="0"/>
        <w:rPr>
          <w:rFonts w:ascii="Arial" w:hAnsi="Arial" w:cs="Arial"/>
          <w:b/>
          <w:smallCaps/>
          <w:color w:val="auto"/>
          <w:lang w:val="es-MX"/>
        </w:rPr>
      </w:pPr>
      <w:r w:rsidRPr="00A0738B">
        <w:rPr>
          <w:rFonts w:ascii="Arial" w:hAnsi="Arial" w:cs="Arial"/>
          <w:b/>
          <w:smallCaps/>
          <w:color w:val="auto"/>
          <w:lang w:val="es-MX"/>
        </w:rPr>
        <w:lastRenderedPageBreak/>
        <w:t>Desacoplamiento entre la economía y el deterioro ambiental</w:t>
      </w:r>
    </w:p>
    <w:p w14:paraId="5746D0B1" w14:textId="257610F4" w:rsidR="00307B36" w:rsidRDefault="00307B36" w:rsidP="00346350">
      <w:pPr>
        <w:spacing w:before="120"/>
        <w:jc w:val="both"/>
        <w:rPr>
          <w:rFonts w:ascii="Arial" w:hAnsi="Arial" w:cs="Arial"/>
          <w:lang w:val="x-none" w:eastAsia="x-none"/>
        </w:rPr>
      </w:pPr>
      <w:r w:rsidRPr="00A0738B">
        <w:rPr>
          <w:rFonts w:ascii="Arial" w:hAnsi="Arial" w:cs="Arial"/>
          <w:lang w:val="x-none" w:eastAsia="x-none"/>
        </w:rPr>
        <w:t xml:space="preserve">Derivado de la actividad económica y su relación con el uso de recursos naturales, el impacto ambiental </w:t>
      </w:r>
      <w:r w:rsidR="00402042">
        <w:rPr>
          <w:rFonts w:ascii="Arial" w:hAnsi="Arial" w:cs="Arial"/>
          <w:lang w:eastAsia="x-none"/>
        </w:rPr>
        <w:t>mant</w:t>
      </w:r>
      <w:r w:rsidR="00556F84">
        <w:rPr>
          <w:rFonts w:ascii="Arial" w:hAnsi="Arial" w:cs="Arial"/>
          <w:lang w:eastAsia="x-none"/>
        </w:rPr>
        <w:t xml:space="preserve">iene </w:t>
      </w:r>
      <w:r w:rsidR="00402042">
        <w:rPr>
          <w:rFonts w:ascii="Arial" w:hAnsi="Arial" w:cs="Arial"/>
          <w:lang w:eastAsia="x-none"/>
        </w:rPr>
        <w:t>un vínculo con la producción y el consumo</w:t>
      </w:r>
      <w:r w:rsidRPr="00A0738B">
        <w:rPr>
          <w:rFonts w:ascii="Arial" w:hAnsi="Arial" w:cs="Arial"/>
          <w:lang w:val="x-none" w:eastAsia="x-none"/>
        </w:rPr>
        <w:t xml:space="preserve">. </w:t>
      </w:r>
      <w:r w:rsidR="00402042">
        <w:rPr>
          <w:rFonts w:ascii="Arial" w:hAnsi="Arial" w:cs="Arial"/>
          <w:lang w:eastAsia="x-none"/>
        </w:rPr>
        <w:t xml:space="preserve">Sin embargo, </w:t>
      </w:r>
      <w:r w:rsidR="00CA71BF">
        <w:rPr>
          <w:rFonts w:ascii="Arial" w:hAnsi="Arial" w:cs="Arial"/>
          <w:lang w:eastAsia="x-none"/>
        </w:rPr>
        <w:t>a lo largo del tiempo</w:t>
      </w:r>
      <w:r w:rsidR="00556F84">
        <w:rPr>
          <w:rFonts w:ascii="Arial" w:hAnsi="Arial" w:cs="Arial"/>
          <w:lang w:eastAsia="x-none"/>
        </w:rPr>
        <w:t>,</w:t>
      </w:r>
      <w:r w:rsidR="00CA71BF">
        <w:rPr>
          <w:rFonts w:ascii="Arial" w:hAnsi="Arial" w:cs="Arial"/>
          <w:lang w:eastAsia="x-none"/>
        </w:rPr>
        <w:t xml:space="preserve"> se observa </w:t>
      </w:r>
      <w:r w:rsidR="00402042">
        <w:rPr>
          <w:rFonts w:ascii="Arial" w:hAnsi="Arial" w:cs="Arial"/>
          <w:lang w:eastAsia="x-none"/>
        </w:rPr>
        <w:t xml:space="preserve">una </w:t>
      </w:r>
      <w:r w:rsidRPr="00A0738B">
        <w:rPr>
          <w:rFonts w:ascii="Arial" w:hAnsi="Arial" w:cs="Arial"/>
          <w:lang w:val="x-none" w:eastAsia="x-none"/>
        </w:rPr>
        <w:t xml:space="preserve">disociación </w:t>
      </w:r>
      <w:r w:rsidR="00AF149A">
        <w:rPr>
          <w:rFonts w:ascii="Arial" w:hAnsi="Arial" w:cs="Arial"/>
          <w:lang w:eastAsia="x-none"/>
        </w:rPr>
        <w:t xml:space="preserve">o desacoplamiento </w:t>
      </w:r>
      <w:r w:rsidRPr="00A0738B">
        <w:rPr>
          <w:rFonts w:ascii="Arial" w:hAnsi="Arial" w:cs="Arial"/>
          <w:lang w:val="x-none" w:eastAsia="x-none"/>
        </w:rPr>
        <w:t>entre la actividad humana (producción y consumo) y los requerimientos de recursos naturales, así como de los efectos ambientales (deter</w:t>
      </w:r>
      <w:r w:rsidR="00AF149A">
        <w:rPr>
          <w:rFonts w:ascii="Arial" w:hAnsi="Arial" w:cs="Arial"/>
          <w:lang w:val="x-none" w:eastAsia="x-none"/>
        </w:rPr>
        <w:t>ioro) que ésta puede ocasionar.</w:t>
      </w:r>
    </w:p>
    <w:p w14:paraId="4FE03A34" w14:textId="491EC616" w:rsidR="00307B36" w:rsidRDefault="00307B36" w:rsidP="00F00E3E">
      <w:pPr>
        <w:jc w:val="both"/>
        <w:rPr>
          <w:rFonts w:ascii="Arial" w:hAnsi="Arial" w:cs="Arial"/>
          <w:lang w:val="x-none" w:eastAsia="x-none"/>
        </w:rPr>
      </w:pPr>
      <w:r w:rsidRPr="00A0738B">
        <w:rPr>
          <w:rFonts w:ascii="Arial" w:hAnsi="Arial" w:cs="Arial"/>
          <w:lang w:val="x-none" w:eastAsia="x-none"/>
        </w:rPr>
        <w:t xml:space="preserve">Entre 2003 y 2020 </w:t>
      </w:r>
      <w:r w:rsidR="000944F5">
        <w:rPr>
          <w:rFonts w:ascii="Arial" w:hAnsi="Arial" w:cs="Arial"/>
          <w:lang w:eastAsia="x-none"/>
        </w:rPr>
        <w:t xml:space="preserve">se registra un </w:t>
      </w:r>
      <w:r w:rsidR="00AF149A">
        <w:rPr>
          <w:rFonts w:ascii="Arial" w:hAnsi="Arial" w:cs="Arial"/>
          <w:lang w:eastAsia="x-none"/>
        </w:rPr>
        <w:t>desacoplamiento</w:t>
      </w:r>
      <w:r w:rsidRPr="00A0738B">
        <w:rPr>
          <w:rFonts w:ascii="Arial" w:hAnsi="Arial" w:cs="Arial"/>
          <w:lang w:val="x-none" w:eastAsia="x-none"/>
        </w:rPr>
        <w:t xml:space="preserve"> entre el </w:t>
      </w:r>
      <w:r w:rsidR="00346350">
        <w:rPr>
          <w:rFonts w:ascii="Arial" w:hAnsi="Arial" w:cs="Arial"/>
          <w:lang w:eastAsia="x-none"/>
        </w:rPr>
        <w:t>comportamiento</w:t>
      </w:r>
      <w:r w:rsidR="00402042">
        <w:rPr>
          <w:rFonts w:ascii="Arial" w:hAnsi="Arial" w:cs="Arial"/>
          <w:lang w:eastAsia="x-none"/>
        </w:rPr>
        <w:t xml:space="preserve"> del </w:t>
      </w:r>
      <w:r w:rsidRPr="00A0738B">
        <w:rPr>
          <w:rFonts w:ascii="Arial" w:hAnsi="Arial" w:cs="Arial"/>
          <w:lang w:val="x-none" w:eastAsia="x-none"/>
        </w:rPr>
        <w:t>PIB y los CTADA</w:t>
      </w:r>
      <w:r w:rsidR="00195D6E">
        <w:rPr>
          <w:rFonts w:ascii="Arial" w:hAnsi="Arial" w:cs="Arial"/>
          <w:lang w:eastAsia="x-none"/>
        </w:rPr>
        <w:t>, el cual</w:t>
      </w:r>
      <w:r w:rsidRPr="00A0738B">
        <w:rPr>
          <w:rFonts w:ascii="Arial" w:hAnsi="Arial" w:cs="Arial"/>
          <w:lang w:val="x-none" w:eastAsia="x-none"/>
        </w:rPr>
        <w:t xml:space="preserve"> se ha </w:t>
      </w:r>
      <w:r w:rsidR="00AF149A">
        <w:rPr>
          <w:rFonts w:ascii="Arial" w:hAnsi="Arial" w:cs="Arial"/>
          <w:lang w:eastAsia="x-none"/>
        </w:rPr>
        <w:t xml:space="preserve">acentuado </w:t>
      </w:r>
      <w:r w:rsidRPr="00A0738B">
        <w:rPr>
          <w:rFonts w:ascii="Arial" w:hAnsi="Arial" w:cs="Arial"/>
          <w:lang w:val="x-none" w:eastAsia="x-none"/>
        </w:rPr>
        <w:t xml:space="preserve">paulatinamente. </w:t>
      </w:r>
      <w:r w:rsidR="00D5165A">
        <w:rPr>
          <w:rFonts w:ascii="Arial" w:hAnsi="Arial" w:cs="Arial"/>
          <w:lang w:eastAsia="x-none"/>
        </w:rPr>
        <w:t>De esta forma</w:t>
      </w:r>
      <w:r w:rsidR="000944F5">
        <w:rPr>
          <w:rFonts w:ascii="Arial" w:hAnsi="Arial" w:cs="Arial"/>
          <w:lang w:eastAsia="x-none"/>
        </w:rPr>
        <w:t xml:space="preserve">, se puede observar que </w:t>
      </w:r>
      <w:r w:rsidRPr="00A0738B">
        <w:rPr>
          <w:rFonts w:ascii="Arial" w:hAnsi="Arial" w:cs="Arial"/>
          <w:lang w:val="x-none" w:eastAsia="x-none"/>
        </w:rPr>
        <w:t xml:space="preserve">el índice </w:t>
      </w:r>
      <w:r w:rsidR="00BD04AE">
        <w:rPr>
          <w:rFonts w:ascii="Arial" w:hAnsi="Arial" w:cs="Arial"/>
          <w:lang w:eastAsia="x-none"/>
        </w:rPr>
        <w:t xml:space="preserve">base 2003 </w:t>
      </w:r>
      <w:r w:rsidRPr="00A0738B">
        <w:rPr>
          <w:rFonts w:ascii="Arial" w:hAnsi="Arial" w:cs="Arial"/>
          <w:lang w:val="x-none" w:eastAsia="x-none"/>
        </w:rPr>
        <w:t>de</w:t>
      </w:r>
      <w:r w:rsidR="00BD04AE">
        <w:rPr>
          <w:rFonts w:ascii="Arial" w:hAnsi="Arial" w:cs="Arial"/>
          <w:lang w:eastAsia="x-none"/>
        </w:rPr>
        <w:t>l</w:t>
      </w:r>
      <w:r w:rsidRPr="00A0738B">
        <w:rPr>
          <w:rFonts w:ascii="Arial" w:hAnsi="Arial" w:cs="Arial"/>
          <w:lang w:val="x-none" w:eastAsia="x-none"/>
        </w:rPr>
        <w:t xml:space="preserve"> PIB </w:t>
      </w:r>
      <w:r w:rsidR="000944F5">
        <w:rPr>
          <w:rFonts w:ascii="Arial" w:hAnsi="Arial" w:cs="Arial"/>
          <w:lang w:eastAsia="x-none"/>
        </w:rPr>
        <w:t xml:space="preserve">muestra una pendiente mayor de la que corresponde </w:t>
      </w:r>
      <w:r w:rsidRPr="00A0738B">
        <w:rPr>
          <w:rFonts w:ascii="Arial" w:hAnsi="Arial" w:cs="Arial"/>
          <w:lang w:val="x-none" w:eastAsia="x-none"/>
        </w:rPr>
        <w:t>al CTADA.</w:t>
      </w:r>
    </w:p>
    <w:p w14:paraId="6825CC88" w14:textId="77777777" w:rsidR="00C56C90" w:rsidRDefault="00C56C90" w:rsidP="00F00E3E">
      <w:pPr>
        <w:jc w:val="both"/>
        <w:rPr>
          <w:rFonts w:ascii="Arial" w:hAnsi="Arial" w:cs="Arial"/>
          <w:lang w:val="x-none" w:eastAsia="x-none"/>
        </w:rPr>
      </w:pPr>
    </w:p>
    <w:p w14:paraId="0D246FFA" w14:textId="2C86DAED" w:rsidR="00690365" w:rsidRPr="00C56C90" w:rsidRDefault="00690365" w:rsidP="00690365">
      <w:pPr>
        <w:pStyle w:val="Textoindependiente"/>
        <w:ind w:left="809" w:right="924"/>
        <w:jc w:val="center"/>
        <w:rPr>
          <w:rFonts w:ascii="Arial" w:hAnsi="Arial" w:cs="Arial"/>
          <w:lang w:val="es-MX"/>
        </w:rPr>
      </w:pPr>
      <w:r w:rsidRPr="00C56C90">
        <w:rPr>
          <w:rFonts w:ascii="Arial" w:hAnsi="Arial" w:cs="Arial"/>
          <w:lang w:val="es-MX"/>
        </w:rPr>
        <w:t xml:space="preserve">Gráfica </w:t>
      </w:r>
      <w:r w:rsidR="00572526">
        <w:rPr>
          <w:rFonts w:ascii="Arial" w:hAnsi="Arial" w:cs="Arial"/>
          <w:lang w:val="es-MX"/>
        </w:rPr>
        <w:t>3</w:t>
      </w:r>
    </w:p>
    <w:p w14:paraId="49E872E1" w14:textId="77777777" w:rsidR="00690365" w:rsidRPr="00C56C90" w:rsidRDefault="00C56C90" w:rsidP="00C56C90">
      <w:pPr>
        <w:spacing w:line="276" w:lineRule="exact"/>
        <w:ind w:right="49"/>
        <w:jc w:val="center"/>
        <w:rPr>
          <w:rFonts w:ascii="Arial" w:hAnsi="Arial" w:cs="Arial"/>
          <w:b/>
        </w:rPr>
      </w:pPr>
      <w:r w:rsidRPr="00C56C90">
        <w:rPr>
          <w:rFonts w:ascii="Arial" w:hAnsi="Arial" w:cs="Arial"/>
          <w:b/>
          <w:smallCaps/>
          <w:szCs w:val="20"/>
          <w:lang w:eastAsia="es-ES"/>
        </w:rPr>
        <w:t>C</w:t>
      </w:r>
      <w:r w:rsidR="00690365" w:rsidRPr="00C56C90">
        <w:rPr>
          <w:rFonts w:ascii="Arial" w:hAnsi="Arial" w:cs="Arial"/>
          <w:b/>
          <w:smallCaps/>
          <w:szCs w:val="20"/>
          <w:lang w:eastAsia="es-ES"/>
        </w:rPr>
        <w:t>omportamiento del PIB y de los</w:t>
      </w:r>
      <w:r w:rsidR="00690365" w:rsidRPr="00C56C90">
        <w:rPr>
          <w:rFonts w:ascii="Arial" w:hAnsi="Arial" w:cs="Arial"/>
          <w:b/>
        </w:rPr>
        <w:t xml:space="preserve"> C</w:t>
      </w:r>
      <w:r w:rsidR="00690365" w:rsidRPr="00C56C90">
        <w:rPr>
          <w:rFonts w:ascii="Arial" w:hAnsi="Arial" w:cs="Arial"/>
          <w:b/>
          <w:sz w:val="19"/>
        </w:rPr>
        <w:t xml:space="preserve">OSTOS POR </w:t>
      </w:r>
      <w:r w:rsidR="00690365" w:rsidRPr="00C56C90">
        <w:rPr>
          <w:rFonts w:ascii="Arial" w:hAnsi="Arial" w:cs="Arial"/>
          <w:b/>
        </w:rPr>
        <w:t>A</w:t>
      </w:r>
      <w:r w:rsidR="00690365" w:rsidRPr="00C56C90">
        <w:rPr>
          <w:rFonts w:ascii="Arial" w:hAnsi="Arial" w:cs="Arial"/>
          <w:b/>
          <w:sz w:val="19"/>
        </w:rPr>
        <w:t>GOTAMIENTO Y</w:t>
      </w:r>
      <w:r w:rsidRPr="00C56C90">
        <w:rPr>
          <w:rFonts w:ascii="Arial" w:hAnsi="Arial" w:cs="Arial"/>
          <w:b/>
          <w:sz w:val="19"/>
        </w:rPr>
        <w:t xml:space="preserve"> POR </w:t>
      </w:r>
      <w:r w:rsidR="00690365" w:rsidRPr="00C56C90">
        <w:rPr>
          <w:rFonts w:ascii="Arial" w:hAnsi="Arial" w:cs="Arial"/>
          <w:b/>
        </w:rPr>
        <w:t>D</w:t>
      </w:r>
      <w:r w:rsidR="00690365" w:rsidRPr="00C56C90">
        <w:rPr>
          <w:rFonts w:ascii="Arial" w:hAnsi="Arial" w:cs="Arial"/>
          <w:b/>
          <w:sz w:val="19"/>
        </w:rPr>
        <w:t xml:space="preserve">EGRADACIÓN </w:t>
      </w:r>
      <w:r w:rsidR="00690365" w:rsidRPr="00C56C90">
        <w:rPr>
          <w:rFonts w:ascii="Arial" w:hAnsi="Arial" w:cs="Arial"/>
          <w:b/>
        </w:rPr>
        <w:t>A</w:t>
      </w:r>
      <w:r w:rsidR="00690365" w:rsidRPr="00C56C90">
        <w:rPr>
          <w:rFonts w:ascii="Arial" w:hAnsi="Arial" w:cs="Arial"/>
          <w:b/>
          <w:sz w:val="19"/>
        </w:rPr>
        <w:t>MBIENTAL</w:t>
      </w:r>
      <w:r w:rsidR="00690365" w:rsidRPr="00C56C90">
        <w:rPr>
          <w:rFonts w:ascii="Arial" w:hAnsi="Arial" w:cs="Arial"/>
          <w:b/>
        </w:rPr>
        <w:t>, 2003-2020</w:t>
      </w:r>
    </w:p>
    <w:p w14:paraId="758C1041" w14:textId="77777777" w:rsidR="00690365" w:rsidRPr="00C56C90" w:rsidRDefault="00690365" w:rsidP="00690365">
      <w:pPr>
        <w:spacing w:line="276" w:lineRule="exact"/>
        <w:ind w:left="815" w:right="924"/>
        <w:jc w:val="center"/>
        <w:rPr>
          <w:rFonts w:ascii="Arial" w:hAnsi="Arial" w:cs="Arial"/>
          <w:sz w:val="22"/>
          <w:szCs w:val="22"/>
          <w:lang w:val="x-none" w:eastAsia="x-none"/>
        </w:rPr>
      </w:pPr>
      <w:r w:rsidRPr="00C56C90">
        <w:rPr>
          <w:rFonts w:ascii="Arial" w:hAnsi="Arial" w:cs="Arial"/>
          <w:sz w:val="18"/>
          <w:szCs w:val="22"/>
        </w:rPr>
        <w:t>(Índice 2003=100)</w:t>
      </w:r>
    </w:p>
    <w:p w14:paraId="19588ABF" w14:textId="77777777" w:rsidR="00690365" w:rsidRPr="00A0738B" w:rsidRDefault="00690365" w:rsidP="00690365">
      <w:pPr>
        <w:spacing w:before="360"/>
        <w:jc w:val="center"/>
        <w:rPr>
          <w:rFonts w:ascii="Arial" w:hAnsi="Arial" w:cs="Arial"/>
          <w:lang w:val="x-none" w:eastAsia="x-none"/>
        </w:rPr>
      </w:pPr>
      <w:r w:rsidRPr="00A0738B">
        <w:rPr>
          <w:noProof/>
        </w:rPr>
        <w:drawing>
          <wp:inline distT="0" distB="0" distL="0" distR="0" wp14:anchorId="7B8C8896" wp14:editId="26B630F2">
            <wp:extent cx="4057650" cy="2159000"/>
            <wp:effectExtent l="0" t="0" r="0" b="0"/>
            <wp:docPr id="20" name="Gráfico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74CF820C" w14:textId="36808C7B" w:rsidR="00690365" w:rsidRPr="00A0738B" w:rsidRDefault="00690365" w:rsidP="0093001A">
      <w:pPr>
        <w:ind w:left="709"/>
        <w:jc w:val="both"/>
        <w:rPr>
          <w:rFonts w:ascii="Arial" w:hAnsi="Arial" w:cs="Arial"/>
          <w:lang w:val="x-none" w:eastAsia="x-none"/>
        </w:rPr>
      </w:pPr>
      <w:r w:rsidRPr="00A0738B">
        <w:rPr>
          <w:rFonts w:ascii="Arial" w:hAnsi="Arial" w:cs="Arial"/>
          <w:sz w:val="16"/>
          <w:szCs w:val="16"/>
        </w:rPr>
        <w:t xml:space="preserve"> </w:t>
      </w:r>
      <w:r w:rsidR="006B61AF">
        <w:rPr>
          <w:rFonts w:ascii="Arial" w:hAnsi="Arial" w:cs="Arial"/>
          <w:sz w:val="16"/>
          <w:szCs w:val="16"/>
        </w:rPr>
        <w:tab/>
      </w:r>
      <w:r w:rsidRPr="00A0738B">
        <w:rPr>
          <w:rFonts w:ascii="Arial" w:hAnsi="Arial" w:cs="Arial"/>
          <w:sz w:val="16"/>
          <w:szCs w:val="16"/>
        </w:rPr>
        <w:t xml:space="preserve"> Fuente: INEGI</w:t>
      </w:r>
      <w:r w:rsidR="00307B36" w:rsidRPr="00A0738B">
        <w:rPr>
          <w:rFonts w:ascii="Arial" w:hAnsi="Arial" w:cs="Arial"/>
          <w:lang w:val="x-none" w:eastAsia="x-none"/>
        </w:rPr>
        <w:t xml:space="preserve">           </w:t>
      </w:r>
    </w:p>
    <w:p w14:paraId="57BCFD32" w14:textId="77777777" w:rsidR="00690365" w:rsidRPr="00A0738B" w:rsidRDefault="00690365" w:rsidP="00690365">
      <w:pPr>
        <w:pStyle w:val="n01"/>
        <w:keepLines w:val="0"/>
        <w:spacing w:before="480"/>
        <w:ind w:left="0" w:firstLine="0"/>
        <w:outlineLvl w:val="0"/>
        <w:rPr>
          <w:rFonts w:ascii="Arial" w:hAnsi="Arial" w:cs="Arial"/>
          <w:b/>
          <w:smallCaps/>
          <w:color w:val="auto"/>
          <w:lang w:val="es-MX"/>
        </w:rPr>
      </w:pPr>
      <w:bookmarkStart w:id="3" w:name="_Hlk85710718"/>
      <w:r w:rsidRPr="00A0738B">
        <w:rPr>
          <w:rFonts w:ascii="Arial" w:hAnsi="Arial" w:cs="Arial"/>
          <w:b/>
          <w:smallCaps/>
          <w:color w:val="auto"/>
          <w:lang w:val="es-MX"/>
        </w:rPr>
        <w:t>Gastos en protección ambiental</w:t>
      </w:r>
      <w:bookmarkEnd w:id="3"/>
    </w:p>
    <w:p w14:paraId="084A444E" w14:textId="3A49770A" w:rsidR="00307B36" w:rsidRPr="006B61AF" w:rsidRDefault="00307B36" w:rsidP="00307B36">
      <w:pPr>
        <w:spacing w:before="360"/>
        <w:jc w:val="both"/>
        <w:rPr>
          <w:rFonts w:ascii="Arial" w:hAnsi="Arial" w:cs="Arial"/>
          <w:spacing w:val="-6"/>
          <w:lang w:val="x-none" w:eastAsia="x-none"/>
        </w:rPr>
      </w:pPr>
      <w:r w:rsidRPr="006B61AF">
        <w:rPr>
          <w:rFonts w:ascii="Arial" w:hAnsi="Arial" w:cs="Arial"/>
          <w:spacing w:val="-6"/>
          <w:lang w:val="x-none" w:eastAsia="x-none"/>
        </w:rPr>
        <w:t xml:space="preserve">Durante </w:t>
      </w:r>
      <w:r w:rsidR="00402042" w:rsidRPr="006B61AF">
        <w:rPr>
          <w:rFonts w:ascii="Arial" w:hAnsi="Arial" w:cs="Arial"/>
          <w:spacing w:val="-6"/>
          <w:lang w:eastAsia="x-none"/>
        </w:rPr>
        <w:t xml:space="preserve">el año </w:t>
      </w:r>
      <w:r w:rsidRPr="006B61AF">
        <w:rPr>
          <w:rFonts w:ascii="Arial" w:hAnsi="Arial" w:cs="Arial"/>
          <w:spacing w:val="-6"/>
          <w:lang w:val="x-none" w:eastAsia="x-none"/>
        </w:rPr>
        <w:t xml:space="preserve">2020, el </w:t>
      </w:r>
      <w:r w:rsidR="00183BB5">
        <w:rPr>
          <w:rFonts w:ascii="Arial" w:hAnsi="Arial" w:cs="Arial"/>
          <w:spacing w:val="-6"/>
          <w:lang w:eastAsia="x-none"/>
        </w:rPr>
        <w:t>g</w:t>
      </w:r>
      <w:r w:rsidR="006B04FC" w:rsidRPr="006B61AF">
        <w:rPr>
          <w:rFonts w:ascii="Arial" w:hAnsi="Arial" w:cs="Arial"/>
          <w:spacing w:val="-6"/>
          <w:lang w:eastAsia="x-none"/>
        </w:rPr>
        <w:t xml:space="preserve">asto </w:t>
      </w:r>
      <w:r w:rsidRPr="006B61AF">
        <w:rPr>
          <w:rFonts w:ascii="Arial" w:hAnsi="Arial" w:cs="Arial"/>
          <w:spacing w:val="-6"/>
          <w:lang w:val="x-none" w:eastAsia="x-none"/>
        </w:rPr>
        <w:t xml:space="preserve">en </w:t>
      </w:r>
      <w:r w:rsidR="00183BB5">
        <w:rPr>
          <w:rFonts w:ascii="Arial" w:hAnsi="Arial" w:cs="Arial"/>
          <w:spacing w:val="-6"/>
          <w:lang w:eastAsia="x-none"/>
        </w:rPr>
        <w:t>p</w:t>
      </w:r>
      <w:r w:rsidR="006B04FC" w:rsidRPr="006B61AF">
        <w:rPr>
          <w:rFonts w:ascii="Arial" w:hAnsi="Arial" w:cs="Arial"/>
          <w:spacing w:val="-6"/>
          <w:lang w:eastAsia="x-none"/>
        </w:rPr>
        <w:t>rotección</w:t>
      </w:r>
      <w:r w:rsidRPr="006B61AF">
        <w:rPr>
          <w:rFonts w:ascii="Arial" w:hAnsi="Arial" w:cs="Arial"/>
          <w:spacing w:val="-6"/>
          <w:lang w:val="x-none" w:eastAsia="x-none"/>
        </w:rPr>
        <w:t xml:space="preserve"> </w:t>
      </w:r>
      <w:r w:rsidR="00183BB5">
        <w:rPr>
          <w:rFonts w:ascii="Arial" w:hAnsi="Arial" w:cs="Arial"/>
          <w:spacing w:val="-6"/>
          <w:lang w:eastAsia="x-none"/>
        </w:rPr>
        <w:t>a</w:t>
      </w:r>
      <w:r w:rsidR="006B04FC" w:rsidRPr="006B61AF">
        <w:rPr>
          <w:rFonts w:ascii="Arial" w:hAnsi="Arial" w:cs="Arial"/>
          <w:spacing w:val="-6"/>
          <w:lang w:eastAsia="x-none"/>
        </w:rPr>
        <w:t>mbiental</w:t>
      </w:r>
      <w:r w:rsidRPr="006B61AF">
        <w:rPr>
          <w:rFonts w:ascii="Arial" w:hAnsi="Arial" w:cs="Arial"/>
          <w:spacing w:val="-6"/>
          <w:lang w:val="x-none" w:eastAsia="x-none"/>
        </w:rPr>
        <w:t xml:space="preserve"> </w:t>
      </w:r>
      <w:r w:rsidR="002D63CE" w:rsidRPr="006B61AF">
        <w:rPr>
          <w:rFonts w:ascii="Arial" w:hAnsi="Arial" w:cs="Arial"/>
          <w:spacing w:val="-6"/>
          <w:lang w:eastAsia="x-none"/>
        </w:rPr>
        <w:t xml:space="preserve">del sector público </w:t>
      </w:r>
      <w:r w:rsidR="00F50078" w:rsidRPr="006B61AF">
        <w:rPr>
          <w:rFonts w:ascii="Arial" w:hAnsi="Arial" w:cs="Arial"/>
          <w:spacing w:val="-6"/>
          <w:lang w:val="x-none" w:eastAsia="x-none"/>
        </w:rPr>
        <w:t>ascendi</w:t>
      </w:r>
      <w:r w:rsidR="00F50078" w:rsidRPr="006B61AF">
        <w:rPr>
          <w:rFonts w:ascii="Arial" w:hAnsi="Arial" w:cs="Arial"/>
          <w:spacing w:val="-6"/>
          <w:lang w:eastAsia="x-none"/>
        </w:rPr>
        <w:t>ó</w:t>
      </w:r>
      <w:r w:rsidR="00F50078" w:rsidRPr="006B61AF">
        <w:rPr>
          <w:rFonts w:ascii="Arial" w:hAnsi="Arial" w:cs="Arial"/>
          <w:spacing w:val="-6"/>
          <w:lang w:val="x-none" w:eastAsia="x-none"/>
        </w:rPr>
        <w:t xml:space="preserve"> a </w:t>
      </w:r>
      <w:r w:rsidR="00183BB5">
        <w:rPr>
          <w:rFonts w:ascii="Arial" w:hAnsi="Arial" w:cs="Arial"/>
          <w:spacing w:val="-6"/>
          <w:lang w:eastAsia="x-none"/>
        </w:rPr>
        <w:t xml:space="preserve">     </w:t>
      </w:r>
      <w:r w:rsidR="00F50078" w:rsidRPr="006B61AF">
        <w:rPr>
          <w:rFonts w:ascii="Arial" w:hAnsi="Arial" w:cs="Arial"/>
          <w:spacing w:val="-6"/>
          <w:lang w:val="x-none" w:eastAsia="x-none"/>
        </w:rPr>
        <w:t>101</w:t>
      </w:r>
      <w:r w:rsidR="00183BB5">
        <w:rPr>
          <w:rFonts w:ascii="Arial" w:hAnsi="Arial" w:cs="Arial"/>
          <w:spacing w:val="-6"/>
          <w:lang w:eastAsia="x-none"/>
        </w:rPr>
        <w:t xml:space="preserve"> </w:t>
      </w:r>
      <w:r w:rsidR="00F50078" w:rsidRPr="006B61AF">
        <w:rPr>
          <w:rFonts w:ascii="Arial" w:hAnsi="Arial" w:cs="Arial"/>
          <w:spacing w:val="-6"/>
          <w:lang w:val="x-none" w:eastAsia="x-none"/>
        </w:rPr>
        <w:t>299 millones de pesos, equivalente a 0.46% del PIB Nacional a precios básicos, mientras que en el año 2019 alcanz</w:t>
      </w:r>
      <w:r w:rsidR="00F50078" w:rsidRPr="006B61AF">
        <w:rPr>
          <w:rFonts w:ascii="Arial" w:hAnsi="Arial" w:cs="Arial"/>
          <w:spacing w:val="-6"/>
          <w:lang w:eastAsia="x-none"/>
        </w:rPr>
        <w:t>ó</w:t>
      </w:r>
      <w:r w:rsidR="00F50078" w:rsidRPr="006B61AF">
        <w:rPr>
          <w:rFonts w:ascii="Arial" w:hAnsi="Arial" w:cs="Arial"/>
          <w:spacing w:val="-6"/>
          <w:lang w:val="x-none" w:eastAsia="x-none"/>
        </w:rPr>
        <w:t xml:space="preserve"> un monto equivalente a</w:t>
      </w:r>
      <w:r w:rsidR="00183BB5">
        <w:rPr>
          <w:rFonts w:ascii="Arial" w:hAnsi="Arial" w:cs="Arial"/>
          <w:spacing w:val="-6"/>
          <w:lang w:eastAsia="x-none"/>
        </w:rPr>
        <w:t xml:space="preserve"> </w:t>
      </w:r>
      <w:r w:rsidR="00F50078" w:rsidRPr="006B61AF">
        <w:rPr>
          <w:rFonts w:ascii="Arial" w:hAnsi="Arial" w:cs="Arial"/>
          <w:spacing w:val="-6"/>
          <w:lang w:val="x-none" w:eastAsia="x-none"/>
        </w:rPr>
        <w:t>0.47% del PIB</w:t>
      </w:r>
      <w:r w:rsidRPr="006B61AF">
        <w:rPr>
          <w:rFonts w:ascii="Arial" w:hAnsi="Arial" w:cs="Arial"/>
          <w:spacing w:val="-6"/>
          <w:lang w:val="x-none" w:eastAsia="x-none"/>
        </w:rPr>
        <w:t>.</w:t>
      </w:r>
    </w:p>
    <w:p w14:paraId="07A50F79" w14:textId="77777777" w:rsidR="006B61AF" w:rsidRDefault="006B61AF" w:rsidP="00690365">
      <w:pPr>
        <w:pStyle w:val="Textoindependiente"/>
        <w:jc w:val="center"/>
        <w:rPr>
          <w:rFonts w:ascii="Arial" w:hAnsi="Arial" w:cs="Arial"/>
        </w:rPr>
      </w:pPr>
    </w:p>
    <w:p w14:paraId="742D606C" w14:textId="77777777" w:rsidR="0003341F" w:rsidRDefault="0003341F" w:rsidP="00690365">
      <w:pPr>
        <w:pStyle w:val="Textoindependiente"/>
        <w:jc w:val="center"/>
        <w:rPr>
          <w:rFonts w:ascii="Arial" w:hAnsi="Arial" w:cs="Arial"/>
        </w:rPr>
      </w:pPr>
    </w:p>
    <w:p w14:paraId="2215234B" w14:textId="77777777" w:rsidR="0003341F" w:rsidRDefault="0003341F" w:rsidP="00690365">
      <w:pPr>
        <w:pStyle w:val="Textoindependiente"/>
        <w:jc w:val="center"/>
        <w:rPr>
          <w:rFonts w:ascii="Arial" w:hAnsi="Arial" w:cs="Arial"/>
        </w:rPr>
      </w:pPr>
    </w:p>
    <w:p w14:paraId="7FE39C95" w14:textId="77777777" w:rsidR="0003341F" w:rsidRDefault="0003341F" w:rsidP="00690365">
      <w:pPr>
        <w:pStyle w:val="Textoindependiente"/>
        <w:jc w:val="center"/>
        <w:rPr>
          <w:rFonts w:ascii="Arial" w:hAnsi="Arial" w:cs="Arial"/>
        </w:rPr>
      </w:pPr>
    </w:p>
    <w:p w14:paraId="0F95D40B" w14:textId="77777777" w:rsidR="0003341F" w:rsidRDefault="0003341F" w:rsidP="00690365">
      <w:pPr>
        <w:pStyle w:val="Textoindependiente"/>
        <w:jc w:val="center"/>
        <w:rPr>
          <w:rFonts w:ascii="Arial" w:hAnsi="Arial" w:cs="Arial"/>
        </w:rPr>
      </w:pPr>
    </w:p>
    <w:p w14:paraId="1681DED5" w14:textId="77777777" w:rsidR="0003341F" w:rsidRDefault="0003341F" w:rsidP="00690365">
      <w:pPr>
        <w:pStyle w:val="Textoindependiente"/>
        <w:jc w:val="center"/>
        <w:rPr>
          <w:rFonts w:ascii="Arial" w:hAnsi="Arial" w:cs="Arial"/>
        </w:rPr>
      </w:pPr>
    </w:p>
    <w:p w14:paraId="47A35A85" w14:textId="77777777" w:rsidR="0003341F" w:rsidRDefault="0003341F" w:rsidP="00690365">
      <w:pPr>
        <w:pStyle w:val="Textoindependiente"/>
        <w:jc w:val="center"/>
        <w:rPr>
          <w:rFonts w:ascii="Arial" w:hAnsi="Arial" w:cs="Arial"/>
        </w:rPr>
      </w:pPr>
    </w:p>
    <w:p w14:paraId="4BE86AF7" w14:textId="77777777" w:rsidR="0003341F" w:rsidRDefault="0003341F" w:rsidP="00690365">
      <w:pPr>
        <w:pStyle w:val="Textoindependiente"/>
        <w:jc w:val="center"/>
        <w:rPr>
          <w:rFonts w:ascii="Arial" w:hAnsi="Arial" w:cs="Arial"/>
        </w:rPr>
      </w:pPr>
    </w:p>
    <w:p w14:paraId="2370850A" w14:textId="07791A08" w:rsidR="00690365" w:rsidRPr="00A0738B" w:rsidRDefault="00690365" w:rsidP="00690365">
      <w:pPr>
        <w:pStyle w:val="Textoindependiente"/>
        <w:jc w:val="center"/>
        <w:rPr>
          <w:rFonts w:ascii="Arial" w:hAnsi="Arial" w:cs="Arial"/>
          <w:lang w:val="es-MX"/>
        </w:rPr>
      </w:pPr>
      <w:r w:rsidRPr="00A0738B">
        <w:rPr>
          <w:rFonts w:ascii="Arial" w:hAnsi="Arial" w:cs="Arial"/>
        </w:rPr>
        <w:t xml:space="preserve">Gráfica </w:t>
      </w:r>
      <w:r w:rsidR="00572526">
        <w:rPr>
          <w:rFonts w:ascii="Arial" w:hAnsi="Arial" w:cs="Arial"/>
          <w:lang w:val="es-MX"/>
        </w:rPr>
        <w:t>4</w:t>
      </w:r>
    </w:p>
    <w:p w14:paraId="2EAC98DD" w14:textId="5C2B42E2" w:rsidR="00690365" w:rsidRPr="00A0738B" w:rsidRDefault="00690365" w:rsidP="00690365">
      <w:pPr>
        <w:pStyle w:val="Textoindependiente"/>
        <w:jc w:val="center"/>
        <w:rPr>
          <w:rFonts w:ascii="Arial" w:hAnsi="Arial" w:cs="Arial"/>
          <w:b/>
          <w:iCs/>
          <w:smallCaps/>
          <w:sz w:val="22"/>
          <w:szCs w:val="22"/>
          <w:lang w:val="es-MX"/>
        </w:rPr>
      </w:pPr>
      <w:r w:rsidRPr="00A0738B">
        <w:rPr>
          <w:rFonts w:ascii="Arial" w:hAnsi="Arial" w:cs="Arial"/>
          <w:b/>
          <w:iCs/>
          <w:smallCaps/>
          <w:sz w:val="22"/>
          <w:szCs w:val="22"/>
          <w:lang w:val="es-MX"/>
        </w:rPr>
        <w:t xml:space="preserve">Gastos en Protección Ambiental </w:t>
      </w:r>
      <w:r w:rsidR="002D63CE">
        <w:rPr>
          <w:rFonts w:ascii="Arial" w:hAnsi="Arial" w:cs="Arial"/>
          <w:b/>
          <w:iCs/>
          <w:smallCaps/>
          <w:sz w:val="22"/>
          <w:szCs w:val="22"/>
          <w:lang w:val="es-MX"/>
        </w:rPr>
        <w:t xml:space="preserve">del Sector Público </w:t>
      </w:r>
      <w:r w:rsidRPr="00A0738B">
        <w:rPr>
          <w:rFonts w:ascii="Arial" w:hAnsi="Arial" w:cs="Arial"/>
          <w:b/>
          <w:iCs/>
          <w:smallCaps/>
          <w:sz w:val="22"/>
          <w:szCs w:val="22"/>
          <w:lang w:val="es-MX"/>
        </w:rPr>
        <w:t>como proporción del PIB, 2003 – 2020</w:t>
      </w:r>
    </w:p>
    <w:p w14:paraId="655E06E1" w14:textId="77777777" w:rsidR="006B61AF" w:rsidRDefault="00690365" w:rsidP="006B61AF">
      <w:pPr>
        <w:pStyle w:val="Textoindependiente"/>
        <w:jc w:val="center"/>
        <w:rPr>
          <w:rFonts w:ascii="Arial" w:hAnsi="Arial" w:cs="Arial"/>
          <w:noProof/>
          <w:sz w:val="16"/>
          <w:szCs w:val="16"/>
          <w:lang w:val="es-MX"/>
        </w:rPr>
      </w:pPr>
      <w:r w:rsidRPr="00A0738B">
        <w:rPr>
          <w:rFonts w:ascii="Arial" w:hAnsi="Arial" w:cs="Arial"/>
          <w:sz w:val="18"/>
          <w:szCs w:val="18"/>
        </w:rPr>
        <w:t>(</w:t>
      </w:r>
      <w:r w:rsidRPr="00A0738B">
        <w:rPr>
          <w:rFonts w:ascii="Arial" w:hAnsi="Arial" w:cs="Arial"/>
          <w:sz w:val="18"/>
          <w:szCs w:val="18"/>
          <w:lang w:val="es-MX"/>
        </w:rPr>
        <w:t>Porcentaje</w:t>
      </w:r>
      <w:r w:rsidRPr="00A0738B">
        <w:rPr>
          <w:rFonts w:ascii="Arial" w:hAnsi="Arial" w:cs="Arial"/>
          <w:sz w:val="18"/>
          <w:szCs w:val="18"/>
        </w:rPr>
        <w:t>)</w:t>
      </w:r>
      <w:r w:rsidR="006B61AF" w:rsidRPr="006B61AF">
        <w:rPr>
          <w:rFonts w:ascii="Arial" w:hAnsi="Arial" w:cs="Arial"/>
          <w:noProof/>
          <w:sz w:val="16"/>
          <w:szCs w:val="16"/>
          <w:lang w:val="es-MX"/>
        </w:rPr>
        <w:t xml:space="preserve"> </w:t>
      </w:r>
    </w:p>
    <w:p w14:paraId="2E713406" w14:textId="1233B972" w:rsidR="00307B36" w:rsidRPr="006B61AF" w:rsidRDefault="006B61AF" w:rsidP="006B61AF">
      <w:pPr>
        <w:pStyle w:val="Textoindependiente"/>
        <w:jc w:val="center"/>
        <w:rPr>
          <w:rFonts w:ascii="Arial" w:hAnsi="Arial" w:cs="Arial"/>
          <w:noProof/>
          <w:sz w:val="16"/>
          <w:szCs w:val="16"/>
          <w:lang w:val="es-MX"/>
        </w:rPr>
      </w:pPr>
      <w:r w:rsidRPr="00E426A2">
        <w:rPr>
          <w:rFonts w:ascii="Arial" w:hAnsi="Arial" w:cs="Arial"/>
          <w:noProof/>
          <w:sz w:val="16"/>
          <w:szCs w:val="16"/>
          <w:lang w:val="es-MX" w:eastAsia="es-MX"/>
        </w:rPr>
        <w:drawing>
          <wp:inline distT="0" distB="0" distL="0" distR="0" wp14:anchorId="06D964F3" wp14:editId="2B86D16B">
            <wp:extent cx="5612130" cy="1231900"/>
            <wp:effectExtent l="0" t="0" r="0" b="6350"/>
            <wp:docPr id="3" name="Imagen 1" descr="Gráfico, Gráfico de líneas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FB461F3F-C35B-4858-A441-70EF154C46D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Gráfico, Gráfico de líneas&#10;&#10;Descripción generada automáticamente">
                      <a:extLst>
                        <a:ext uri="{FF2B5EF4-FFF2-40B4-BE49-F238E27FC236}">
                          <a16:creationId xmlns:a16="http://schemas.microsoft.com/office/drawing/2014/main" id="{FB461F3F-C35B-4858-A441-70EF154C46D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87850" w14:textId="2882B3A6" w:rsidR="00690365" w:rsidRPr="00A0738B" w:rsidRDefault="00307B36" w:rsidP="006B61AF">
      <w:pPr>
        <w:jc w:val="both"/>
        <w:rPr>
          <w:rFonts w:ascii="Arial" w:hAnsi="Arial" w:cs="Arial"/>
        </w:rPr>
      </w:pPr>
      <w:r w:rsidRPr="00A0738B">
        <w:rPr>
          <w:rFonts w:ascii="Arial" w:hAnsi="Arial" w:cs="Arial"/>
          <w:lang w:val="x-none" w:eastAsia="x-none"/>
        </w:rPr>
        <w:t xml:space="preserve">  </w:t>
      </w:r>
      <w:r w:rsidR="00690365" w:rsidRPr="00A0738B">
        <w:rPr>
          <w:rFonts w:ascii="Arial" w:hAnsi="Arial" w:cs="Arial"/>
          <w:sz w:val="16"/>
          <w:szCs w:val="16"/>
        </w:rPr>
        <w:t>Fuente: INEGI.</w:t>
      </w:r>
    </w:p>
    <w:p w14:paraId="01DC76C6" w14:textId="0950E141" w:rsidR="00307B36" w:rsidRDefault="002D63CE" w:rsidP="00307B36">
      <w:pPr>
        <w:spacing w:before="360"/>
        <w:jc w:val="both"/>
        <w:rPr>
          <w:rFonts w:ascii="Arial" w:hAnsi="Arial" w:cs="Arial"/>
          <w:lang w:val="x-none" w:eastAsia="x-none"/>
        </w:rPr>
      </w:pPr>
      <w:r>
        <w:rPr>
          <w:rFonts w:ascii="Arial" w:hAnsi="Arial" w:cs="Arial"/>
          <w:lang w:eastAsia="x-none"/>
        </w:rPr>
        <w:t xml:space="preserve">Para el año 2020 los </w:t>
      </w:r>
      <w:r w:rsidR="00307B36" w:rsidRPr="00A0738B">
        <w:rPr>
          <w:rFonts w:ascii="Arial" w:hAnsi="Arial" w:cs="Arial"/>
          <w:lang w:val="x-none" w:eastAsia="x-none"/>
        </w:rPr>
        <w:t>Gastos en Protección Ambiental</w:t>
      </w:r>
      <w:r>
        <w:rPr>
          <w:rFonts w:ascii="Arial" w:hAnsi="Arial" w:cs="Arial"/>
          <w:lang w:eastAsia="x-none"/>
        </w:rPr>
        <w:t xml:space="preserve"> del sector público</w:t>
      </w:r>
      <w:r w:rsidR="00402042">
        <w:rPr>
          <w:rFonts w:ascii="Arial" w:hAnsi="Arial" w:cs="Arial"/>
          <w:lang w:eastAsia="x-none"/>
        </w:rPr>
        <w:t>,</w:t>
      </w:r>
      <w:r w:rsidR="00307B36" w:rsidRPr="00A0738B">
        <w:rPr>
          <w:rFonts w:ascii="Arial" w:hAnsi="Arial" w:cs="Arial"/>
          <w:lang w:val="x-none" w:eastAsia="x-none"/>
        </w:rPr>
        <w:t xml:space="preserve"> de acuerdo con la clasificación funcional de actividades ambientales</w:t>
      </w:r>
      <w:r>
        <w:rPr>
          <w:rFonts w:ascii="Arial" w:hAnsi="Arial" w:cs="Arial"/>
          <w:lang w:eastAsia="x-none"/>
        </w:rPr>
        <w:t xml:space="preserve"> se distribuyen de </w:t>
      </w:r>
      <w:r w:rsidR="00307B36" w:rsidRPr="00A0738B">
        <w:rPr>
          <w:rFonts w:ascii="Arial" w:hAnsi="Arial" w:cs="Arial"/>
          <w:lang w:val="x-none" w:eastAsia="x-none"/>
        </w:rPr>
        <w:t>la siguiente</w:t>
      </w:r>
      <w:r>
        <w:rPr>
          <w:rFonts w:ascii="Arial" w:hAnsi="Arial" w:cs="Arial"/>
          <w:lang w:eastAsia="x-none"/>
        </w:rPr>
        <w:t xml:space="preserve"> forma</w:t>
      </w:r>
      <w:r w:rsidR="00307B36" w:rsidRPr="00A0738B">
        <w:rPr>
          <w:rFonts w:ascii="Arial" w:hAnsi="Arial" w:cs="Arial"/>
          <w:lang w:val="x-none" w:eastAsia="x-none"/>
        </w:rPr>
        <w:t>: protección del aire-ambiente y clima 38.6%; gestión de aguas residuales 17.1%; gestión de los residuos 14.6%; gestión pública y educación 10.0%; investigación y desarrollo 9.7%; otras actividades de protección ambiental 4.3%; protección de la biodiversidad 4.0%; y agua y suelo</w:t>
      </w:r>
      <w:r w:rsidR="009D0D9B">
        <w:rPr>
          <w:rFonts w:ascii="Arial" w:hAnsi="Arial" w:cs="Arial"/>
          <w:lang w:eastAsia="x-none"/>
        </w:rPr>
        <w:t xml:space="preserve"> </w:t>
      </w:r>
      <w:r w:rsidR="00307B36" w:rsidRPr="00A0738B">
        <w:rPr>
          <w:rFonts w:ascii="Arial" w:hAnsi="Arial" w:cs="Arial"/>
          <w:lang w:val="x-none" w:eastAsia="x-none"/>
        </w:rPr>
        <w:t>1.7 por ciento.</w:t>
      </w:r>
    </w:p>
    <w:p w14:paraId="2E7F46BD" w14:textId="77777777" w:rsidR="002E3D2A" w:rsidRPr="00A0738B" w:rsidRDefault="002E3D2A" w:rsidP="00690365">
      <w:pPr>
        <w:pStyle w:val="Textoindependiente"/>
        <w:jc w:val="center"/>
        <w:rPr>
          <w:rFonts w:ascii="Arial" w:hAnsi="Arial" w:cs="Arial"/>
        </w:rPr>
      </w:pPr>
    </w:p>
    <w:p w14:paraId="060299C5" w14:textId="5BF74728" w:rsidR="00690365" w:rsidRPr="00A0738B" w:rsidRDefault="00690365" w:rsidP="00690365">
      <w:pPr>
        <w:pStyle w:val="Textoindependiente"/>
        <w:jc w:val="center"/>
        <w:rPr>
          <w:rFonts w:ascii="Arial" w:hAnsi="Arial" w:cs="Arial"/>
          <w:lang w:val="es-MX"/>
        </w:rPr>
      </w:pPr>
      <w:r w:rsidRPr="00A0738B">
        <w:rPr>
          <w:rFonts w:ascii="Arial" w:hAnsi="Arial" w:cs="Arial"/>
        </w:rPr>
        <w:t xml:space="preserve">Gráfica </w:t>
      </w:r>
      <w:r w:rsidR="00572526">
        <w:rPr>
          <w:rFonts w:ascii="Arial" w:hAnsi="Arial" w:cs="Arial"/>
          <w:lang w:val="es-MX"/>
        </w:rPr>
        <w:t>5</w:t>
      </w:r>
    </w:p>
    <w:p w14:paraId="2CD1DA67" w14:textId="77777777" w:rsidR="00690365" w:rsidRPr="00A0738B" w:rsidRDefault="00690365" w:rsidP="00690365">
      <w:pPr>
        <w:pStyle w:val="Textoindependiente"/>
        <w:jc w:val="center"/>
        <w:rPr>
          <w:rFonts w:ascii="Arial" w:hAnsi="Arial" w:cs="Arial"/>
          <w:b/>
          <w:iCs/>
          <w:smallCaps/>
          <w:sz w:val="22"/>
          <w:szCs w:val="22"/>
          <w:lang w:val="es-MX"/>
        </w:rPr>
      </w:pPr>
      <w:r w:rsidRPr="00A0738B">
        <w:rPr>
          <w:rFonts w:ascii="Arial" w:hAnsi="Arial" w:cs="Arial"/>
          <w:b/>
          <w:iCs/>
          <w:smallCaps/>
          <w:sz w:val="22"/>
          <w:szCs w:val="22"/>
          <w:lang w:val="es-MX"/>
        </w:rPr>
        <w:t>Gastos en Protección Ambiental del sector público por clasificación funcional, 2020</w:t>
      </w:r>
    </w:p>
    <w:p w14:paraId="09B46A57" w14:textId="77777777" w:rsidR="00307B36" w:rsidRPr="00A0738B" w:rsidRDefault="00690365" w:rsidP="00BE2A6D">
      <w:pPr>
        <w:pStyle w:val="Textoindependiente"/>
        <w:jc w:val="center"/>
        <w:rPr>
          <w:rFonts w:ascii="Arial" w:hAnsi="Arial" w:cs="Arial"/>
        </w:rPr>
      </w:pPr>
      <w:r w:rsidRPr="00A0738B">
        <w:rPr>
          <w:rFonts w:ascii="Arial" w:hAnsi="Arial" w:cs="Arial"/>
          <w:sz w:val="18"/>
          <w:szCs w:val="18"/>
        </w:rPr>
        <w:t>(</w:t>
      </w:r>
      <w:r w:rsidRPr="00A0738B">
        <w:rPr>
          <w:rFonts w:ascii="Arial" w:hAnsi="Arial" w:cs="Arial"/>
          <w:sz w:val="18"/>
          <w:szCs w:val="18"/>
          <w:lang w:val="es-MX"/>
        </w:rPr>
        <w:t>Participación porcentual</w:t>
      </w:r>
      <w:r w:rsidRPr="00A0738B">
        <w:rPr>
          <w:rFonts w:ascii="Arial" w:hAnsi="Arial" w:cs="Arial"/>
          <w:sz w:val="18"/>
          <w:szCs w:val="18"/>
        </w:rPr>
        <w:t>)</w:t>
      </w:r>
    </w:p>
    <w:p w14:paraId="69604BDB" w14:textId="0C6B705E" w:rsidR="00307B36" w:rsidRPr="00A0738B" w:rsidRDefault="00200258" w:rsidP="00BE2A6D">
      <w:pPr>
        <w:jc w:val="center"/>
        <w:rPr>
          <w:rFonts w:ascii="Arial" w:hAnsi="Arial" w:cs="Arial"/>
          <w:lang w:val="x-none" w:eastAsia="x-none"/>
        </w:rPr>
      </w:pPr>
      <w:r>
        <w:rPr>
          <w:rFonts w:ascii="Arial" w:hAnsi="Arial" w:cs="Arial"/>
          <w:noProof/>
        </w:rPr>
        <w:drawing>
          <wp:inline distT="0" distB="0" distL="0" distR="0" wp14:anchorId="7AFAB260" wp14:editId="44216678">
            <wp:extent cx="3831656" cy="231556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497" cy="23342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891BC3" w14:textId="6A1474B5" w:rsidR="00307B36" w:rsidRDefault="00690365" w:rsidP="00690365">
      <w:pPr>
        <w:jc w:val="both"/>
        <w:rPr>
          <w:rFonts w:ascii="Arial" w:hAnsi="Arial" w:cs="Arial"/>
          <w:lang w:val="x-none" w:eastAsia="x-none"/>
        </w:rPr>
      </w:pPr>
      <w:r w:rsidRPr="00A0738B">
        <w:rPr>
          <w:rFonts w:ascii="Arial" w:hAnsi="Arial" w:cs="Arial"/>
          <w:sz w:val="16"/>
          <w:szCs w:val="16"/>
        </w:rPr>
        <w:t xml:space="preserve">         </w:t>
      </w:r>
      <w:r w:rsidR="00FF77F8">
        <w:rPr>
          <w:rFonts w:ascii="Arial" w:hAnsi="Arial" w:cs="Arial"/>
          <w:sz w:val="16"/>
          <w:szCs w:val="16"/>
        </w:rPr>
        <w:tab/>
      </w:r>
      <w:r w:rsidR="00FF77F8">
        <w:rPr>
          <w:rFonts w:ascii="Arial" w:hAnsi="Arial" w:cs="Arial"/>
          <w:sz w:val="16"/>
          <w:szCs w:val="16"/>
        </w:rPr>
        <w:tab/>
      </w:r>
      <w:r w:rsidRPr="00A0738B">
        <w:rPr>
          <w:rFonts w:ascii="Arial" w:hAnsi="Arial" w:cs="Arial"/>
          <w:sz w:val="16"/>
          <w:szCs w:val="16"/>
        </w:rPr>
        <w:t>Fuente: INEGI.</w:t>
      </w:r>
    </w:p>
    <w:p w14:paraId="02FAB985" w14:textId="1DFD790E" w:rsidR="00307B36" w:rsidRPr="00DA506E" w:rsidRDefault="00307B36" w:rsidP="00307B36">
      <w:pPr>
        <w:spacing w:before="360"/>
        <w:jc w:val="both"/>
        <w:rPr>
          <w:rFonts w:ascii="Arial" w:hAnsi="Arial" w:cs="Arial"/>
          <w:lang w:eastAsia="x-none"/>
        </w:rPr>
      </w:pPr>
      <w:r w:rsidRPr="00A0738B">
        <w:rPr>
          <w:rFonts w:ascii="Arial" w:hAnsi="Arial" w:cs="Arial"/>
          <w:lang w:val="x-none" w:eastAsia="x-none"/>
        </w:rPr>
        <w:t>En el ámbito internacional, el gasto ambiental realizado por el sector público de nuestro país</w:t>
      </w:r>
      <w:r w:rsidR="00DA506E">
        <w:rPr>
          <w:rFonts w:ascii="Arial" w:hAnsi="Arial" w:cs="Arial"/>
          <w:lang w:eastAsia="x-none"/>
        </w:rPr>
        <w:t>,</w:t>
      </w:r>
      <w:r w:rsidRPr="00A0738B">
        <w:rPr>
          <w:rFonts w:ascii="Arial" w:hAnsi="Arial" w:cs="Arial"/>
          <w:lang w:val="x-none" w:eastAsia="x-none"/>
        </w:rPr>
        <w:t xml:space="preserve"> como proporción del PIB</w:t>
      </w:r>
      <w:r w:rsidR="00DA506E">
        <w:rPr>
          <w:rFonts w:ascii="Arial" w:hAnsi="Arial" w:cs="Arial"/>
          <w:lang w:eastAsia="x-none"/>
        </w:rPr>
        <w:t>,</w:t>
      </w:r>
      <w:r w:rsidRPr="00A0738B">
        <w:rPr>
          <w:rFonts w:ascii="Arial" w:hAnsi="Arial" w:cs="Arial"/>
          <w:lang w:val="x-none" w:eastAsia="x-none"/>
        </w:rPr>
        <w:t xml:space="preserve"> representa una cifra </w:t>
      </w:r>
      <w:r w:rsidR="00DA506E">
        <w:rPr>
          <w:rFonts w:ascii="Arial" w:hAnsi="Arial" w:cs="Arial"/>
          <w:lang w:eastAsia="x-none"/>
        </w:rPr>
        <w:t xml:space="preserve">similar a </w:t>
      </w:r>
      <w:r w:rsidRPr="00A0738B">
        <w:rPr>
          <w:rFonts w:ascii="Arial" w:hAnsi="Arial" w:cs="Arial"/>
          <w:lang w:val="x-none" w:eastAsia="x-none"/>
        </w:rPr>
        <w:t>l</w:t>
      </w:r>
      <w:r w:rsidR="00DA506E">
        <w:rPr>
          <w:rFonts w:ascii="Arial" w:hAnsi="Arial" w:cs="Arial"/>
          <w:lang w:eastAsia="x-none"/>
        </w:rPr>
        <w:t>a</w:t>
      </w:r>
      <w:r w:rsidR="00DA506E">
        <w:rPr>
          <w:rFonts w:ascii="Arial" w:hAnsi="Arial" w:cs="Arial"/>
          <w:lang w:val="x-none" w:eastAsia="x-none"/>
        </w:rPr>
        <w:t xml:space="preserve"> reportada</w:t>
      </w:r>
      <w:r w:rsidRPr="00A0738B">
        <w:rPr>
          <w:rFonts w:ascii="Arial" w:hAnsi="Arial" w:cs="Arial"/>
          <w:lang w:val="x-none" w:eastAsia="x-none"/>
        </w:rPr>
        <w:t xml:space="preserve"> por países como España, Noruega y Suiza.</w:t>
      </w:r>
    </w:p>
    <w:p w14:paraId="5444357C" w14:textId="77777777" w:rsidR="002E3D2A" w:rsidRDefault="002E3D2A" w:rsidP="00A0738B">
      <w:pPr>
        <w:pStyle w:val="Textoindependiente"/>
        <w:jc w:val="center"/>
        <w:rPr>
          <w:rFonts w:ascii="Arial" w:hAnsi="Arial" w:cs="Arial"/>
        </w:rPr>
      </w:pPr>
    </w:p>
    <w:p w14:paraId="002BF9ED" w14:textId="77777777" w:rsidR="0003341F" w:rsidRDefault="0003341F" w:rsidP="00A0738B">
      <w:pPr>
        <w:pStyle w:val="Textoindependiente"/>
        <w:jc w:val="center"/>
        <w:rPr>
          <w:rFonts w:ascii="Arial" w:hAnsi="Arial" w:cs="Arial"/>
        </w:rPr>
      </w:pPr>
    </w:p>
    <w:p w14:paraId="022CAC1A" w14:textId="77777777" w:rsidR="0003341F" w:rsidRDefault="0003341F" w:rsidP="00A0738B">
      <w:pPr>
        <w:pStyle w:val="Textoindependiente"/>
        <w:jc w:val="center"/>
        <w:rPr>
          <w:rFonts w:ascii="Arial" w:hAnsi="Arial" w:cs="Arial"/>
        </w:rPr>
      </w:pPr>
    </w:p>
    <w:p w14:paraId="67DF958C" w14:textId="77777777" w:rsidR="0003341F" w:rsidRDefault="0003341F" w:rsidP="00A0738B">
      <w:pPr>
        <w:pStyle w:val="Textoindependiente"/>
        <w:jc w:val="center"/>
        <w:rPr>
          <w:rFonts w:ascii="Arial" w:hAnsi="Arial" w:cs="Arial"/>
        </w:rPr>
      </w:pPr>
    </w:p>
    <w:p w14:paraId="48D17F19" w14:textId="06D30125" w:rsidR="00A0738B" w:rsidRPr="00A0738B" w:rsidRDefault="00A0738B" w:rsidP="00A0738B">
      <w:pPr>
        <w:pStyle w:val="Textoindependiente"/>
        <w:jc w:val="center"/>
        <w:rPr>
          <w:rFonts w:ascii="Arial" w:hAnsi="Arial" w:cs="Arial"/>
          <w:lang w:val="es-MX"/>
        </w:rPr>
      </w:pPr>
      <w:r w:rsidRPr="00A0738B">
        <w:rPr>
          <w:rFonts w:ascii="Arial" w:hAnsi="Arial" w:cs="Arial"/>
        </w:rPr>
        <w:t xml:space="preserve">Gráfica </w:t>
      </w:r>
      <w:r w:rsidR="00572526">
        <w:rPr>
          <w:rFonts w:ascii="Arial" w:hAnsi="Arial" w:cs="Arial"/>
          <w:lang w:val="es-MX"/>
        </w:rPr>
        <w:t>6</w:t>
      </w:r>
    </w:p>
    <w:p w14:paraId="2805BE52" w14:textId="77777777" w:rsidR="00A0738B" w:rsidRPr="00A0738B" w:rsidRDefault="00A0738B" w:rsidP="00A0738B">
      <w:pPr>
        <w:pStyle w:val="Textoindependiente"/>
        <w:jc w:val="center"/>
        <w:rPr>
          <w:rFonts w:ascii="Arial" w:hAnsi="Arial" w:cs="Arial"/>
          <w:b/>
          <w:iCs/>
          <w:smallCaps/>
          <w:sz w:val="22"/>
          <w:szCs w:val="22"/>
          <w:lang w:val="es-MX"/>
        </w:rPr>
      </w:pPr>
      <w:r w:rsidRPr="00A0738B">
        <w:rPr>
          <w:rFonts w:ascii="Arial" w:hAnsi="Arial" w:cs="Arial"/>
          <w:b/>
          <w:iCs/>
          <w:smallCaps/>
          <w:sz w:val="22"/>
          <w:szCs w:val="22"/>
          <w:lang w:val="es-MX"/>
        </w:rPr>
        <w:t>Gastos en Protección Ambiental como proporción del PIB. Comparativo internacional, países seleccionados</w:t>
      </w:r>
    </w:p>
    <w:p w14:paraId="5293FE5A" w14:textId="77777777" w:rsidR="00FF77F8" w:rsidRDefault="00A0738B" w:rsidP="00A0738B">
      <w:pPr>
        <w:pStyle w:val="Textoindependiente"/>
        <w:jc w:val="center"/>
        <w:rPr>
          <w:rFonts w:ascii="Arial" w:hAnsi="Arial" w:cs="Arial"/>
          <w:sz w:val="18"/>
          <w:szCs w:val="18"/>
        </w:rPr>
      </w:pPr>
      <w:r w:rsidRPr="00A0738B">
        <w:rPr>
          <w:rFonts w:ascii="Arial" w:hAnsi="Arial" w:cs="Arial"/>
          <w:sz w:val="18"/>
          <w:szCs w:val="18"/>
        </w:rPr>
        <w:t>(</w:t>
      </w:r>
      <w:r w:rsidRPr="00A0738B">
        <w:rPr>
          <w:rFonts w:ascii="Arial" w:hAnsi="Arial" w:cs="Arial"/>
          <w:sz w:val="18"/>
          <w:szCs w:val="18"/>
          <w:lang w:val="es-MX"/>
        </w:rPr>
        <w:t>Porcentaje</w:t>
      </w:r>
      <w:r w:rsidRPr="00A0738B">
        <w:rPr>
          <w:rFonts w:ascii="Arial" w:hAnsi="Arial" w:cs="Arial"/>
          <w:sz w:val="18"/>
          <w:szCs w:val="18"/>
        </w:rPr>
        <w:t>)</w:t>
      </w:r>
    </w:p>
    <w:p w14:paraId="7F631A44" w14:textId="67376113" w:rsidR="00A0738B" w:rsidRPr="00A0738B" w:rsidRDefault="00FF77F8" w:rsidP="00A0738B">
      <w:pPr>
        <w:pStyle w:val="Textoindependiente"/>
        <w:jc w:val="center"/>
        <w:rPr>
          <w:rFonts w:ascii="Arial" w:hAnsi="Arial" w:cs="Arial"/>
        </w:rPr>
      </w:pPr>
      <w:r w:rsidRPr="00FF77F8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  <w:lang w:val="es-MX" w:eastAsia="es-MX"/>
        </w:rPr>
        <w:drawing>
          <wp:inline distT="0" distB="0" distL="0" distR="0" wp14:anchorId="3160E351" wp14:editId="39C8E32D">
            <wp:extent cx="4742815" cy="1612732"/>
            <wp:effectExtent l="0" t="0" r="635" b="6985"/>
            <wp:docPr id="18" name="Imagen 18" descr="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n 18" descr="Map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670" cy="17330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C8C0CD" w14:textId="77777777" w:rsidR="00FF77F8" w:rsidRDefault="00A0738B" w:rsidP="00FF77F8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A0738B">
        <w:rPr>
          <w:rFonts w:ascii="Arial" w:hAnsi="Arial" w:cs="Arial"/>
          <w:sz w:val="16"/>
          <w:szCs w:val="16"/>
        </w:rPr>
        <w:t>Fuente</w:t>
      </w:r>
      <w:r w:rsidR="001605AB">
        <w:rPr>
          <w:rFonts w:ascii="Arial" w:hAnsi="Arial" w:cs="Arial"/>
          <w:sz w:val="16"/>
          <w:szCs w:val="16"/>
        </w:rPr>
        <w:t>s</w:t>
      </w:r>
      <w:r w:rsidRPr="00A0738B">
        <w:rPr>
          <w:rFonts w:ascii="Arial" w:hAnsi="Arial" w:cs="Arial"/>
          <w:sz w:val="16"/>
          <w:szCs w:val="16"/>
        </w:rPr>
        <w:t>: INEGI</w:t>
      </w:r>
      <w:r w:rsidR="001605AB">
        <w:rPr>
          <w:rFonts w:ascii="Arial" w:hAnsi="Arial" w:cs="Arial"/>
          <w:sz w:val="16"/>
          <w:szCs w:val="16"/>
        </w:rPr>
        <w:t>.</w:t>
      </w:r>
    </w:p>
    <w:p w14:paraId="033C7A0D" w14:textId="669784A6" w:rsidR="001605AB" w:rsidRPr="00FF77F8" w:rsidRDefault="001605AB" w:rsidP="00FF77F8">
      <w:pPr>
        <w:ind w:left="708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Eurostat. </w:t>
      </w:r>
      <w:r w:rsidR="00EF3A2E" w:rsidRPr="00EF3A2E">
        <w:rPr>
          <w:rFonts w:ascii="Arial" w:hAnsi="Arial" w:cs="Arial"/>
          <w:sz w:val="16"/>
          <w:szCs w:val="16"/>
        </w:rPr>
        <w:t>https://bit.ly/3Fnqd3D</w:t>
      </w:r>
    </w:p>
    <w:p w14:paraId="42230563" w14:textId="77777777" w:rsidR="00AF2E50" w:rsidRPr="00AF2E50" w:rsidRDefault="00634AD1" w:rsidP="00307B36">
      <w:pPr>
        <w:spacing w:before="360"/>
        <w:jc w:val="both"/>
        <w:rPr>
          <w:rFonts w:ascii="Arial" w:hAnsi="Arial" w:cs="Arial"/>
        </w:rPr>
      </w:pPr>
      <w:r>
        <w:rPr>
          <w:rFonts w:ascii="Arial" w:hAnsi="Arial" w:cs="Arial"/>
          <w:b/>
          <w:smallCaps/>
        </w:rPr>
        <w:t>Aspectos Metodológicos</w:t>
      </w:r>
    </w:p>
    <w:p w14:paraId="54927770" w14:textId="3649FC02" w:rsidR="00A0738B" w:rsidRPr="00A0738B" w:rsidRDefault="00A0738B" w:rsidP="00A0738B">
      <w:pPr>
        <w:spacing w:before="360"/>
        <w:jc w:val="both"/>
        <w:rPr>
          <w:rFonts w:ascii="Arial" w:hAnsi="Arial" w:cs="Arial"/>
        </w:rPr>
      </w:pPr>
      <w:r w:rsidRPr="00A0738B">
        <w:rPr>
          <w:rFonts w:ascii="Arial" w:hAnsi="Arial" w:cs="Arial"/>
        </w:rPr>
        <w:t xml:space="preserve">La actualización de las Cuentas Económicas y Ecológicas de México, 2020, toma como referencia el </w:t>
      </w:r>
      <w:r w:rsidR="006C09A8" w:rsidRPr="00A0738B">
        <w:rPr>
          <w:rFonts w:ascii="Arial" w:hAnsi="Arial" w:cs="Arial"/>
        </w:rPr>
        <w:t>Sistema de Cuentas Nacionales (SCN 2008)</w:t>
      </w:r>
      <w:r w:rsidR="006C09A8">
        <w:rPr>
          <w:rFonts w:ascii="Arial" w:hAnsi="Arial" w:cs="Arial"/>
        </w:rPr>
        <w:t>, así como los</w:t>
      </w:r>
      <w:r w:rsidR="006C09A8" w:rsidRPr="00A0738B">
        <w:rPr>
          <w:rFonts w:ascii="Arial" w:hAnsi="Arial" w:cs="Arial"/>
        </w:rPr>
        <w:t xml:space="preserve"> </w:t>
      </w:r>
      <w:r w:rsidR="006C09A8">
        <w:rPr>
          <w:rFonts w:ascii="Arial" w:hAnsi="Arial" w:cs="Arial"/>
        </w:rPr>
        <w:t xml:space="preserve">lineamientos incluidos en el </w:t>
      </w:r>
      <w:r w:rsidRPr="00A0738B">
        <w:rPr>
          <w:rFonts w:ascii="Arial" w:hAnsi="Arial" w:cs="Arial"/>
        </w:rPr>
        <w:t>“</w:t>
      </w:r>
      <w:r w:rsidR="007011A3" w:rsidRPr="00A0738B">
        <w:rPr>
          <w:rFonts w:ascii="Arial" w:hAnsi="Arial" w:cs="Arial"/>
        </w:rPr>
        <w:t>Marco Central</w:t>
      </w:r>
      <w:r w:rsidR="007011A3">
        <w:rPr>
          <w:rFonts w:ascii="Arial" w:hAnsi="Arial" w:cs="Arial"/>
        </w:rPr>
        <w:t xml:space="preserve"> del</w:t>
      </w:r>
      <w:r w:rsidR="007011A3" w:rsidRPr="00A0738B">
        <w:rPr>
          <w:rFonts w:ascii="Arial" w:hAnsi="Arial" w:cs="Arial"/>
        </w:rPr>
        <w:t xml:space="preserve"> </w:t>
      </w:r>
      <w:r w:rsidRPr="00A0738B">
        <w:rPr>
          <w:rFonts w:ascii="Arial" w:hAnsi="Arial" w:cs="Arial"/>
        </w:rPr>
        <w:t>Sistema de Contabilidad Ambiental y Económica 2012”, ambas referencias reconocidas como estándares estadísticos internacionales elaborados de manera conjunta por la Organización de las Naciones Unidas (ONU), la Oficina de Estadística de la Comisión Europea (</w:t>
      </w:r>
      <w:r w:rsidR="007011A3" w:rsidRPr="00A0738B">
        <w:rPr>
          <w:rFonts w:ascii="Arial" w:hAnsi="Arial" w:cs="Arial"/>
        </w:rPr>
        <w:t>Eurostat</w:t>
      </w:r>
      <w:r w:rsidRPr="00A0738B">
        <w:rPr>
          <w:rFonts w:ascii="Arial" w:hAnsi="Arial" w:cs="Arial"/>
        </w:rPr>
        <w:t xml:space="preserve">), </w:t>
      </w:r>
      <w:r w:rsidR="00DA506E">
        <w:rPr>
          <w:rFonts w:ascii="Arial" w:hAnsi="Arial" w:cs="Arial"/>
        </w:rPr>
        <w:t xml:space="preserve">el </w:t>
      </w:r>
      <w:r w:rsidRPr="00A0738B">
        <w:rPr>
          <w:rFonts w:ascii="Arial" w:hAnsi="Arial" w:cs="Arial"/>
        </w:rPr>
        <w:t xml:space="preserve">Fondo Monetario Internacional (FMI), </w:t>
      </w:r>
      <w:r w:rsidR="00DA506E">
        <w:rPr>
          <w:rFonts w:ascii="Arial" w:hAnsi="Arial" w:cs="Arial"/>
        </w:rPr>
        <w:t xml:space="preserve">la </w:t>
      </w:r>
      <w:r w:rsidRPr="00A0738B">
        <w:rPr>
          <w:rFonts w:ascii="Arial" w:hAnsi="Arial" w:cs="Arial"/>
        </w:rPr>
        <w:t>Organización para la Cooperación y el Desarrollo Económicos (OCDE) y Banco Mundial (BM).</w:t>
      </w:r>
    </w:p>
    <w:p w14:paraId="11FCF7AE" w14:textId="769023F0" w:rsidR="00F21941" w:rsidRPr="00A0738B" w:rsidRDefault="00A0738B" w:rsidP="00F21941">
      <w:pPr>
        <w:spacing w:before="360"/>
        <w:jc w:val="both"/>
        <w:rPr>
          <w:rFonts w:ascii="Arial" w:hAnsi="Arial" w:cs="Arial"/>
        </w:rPr>
      </w:pPr>
      <w:r w:rsidRPr="00F06EB2">
        <w:rPr>
          <w:rFonts w:ascii="Arial" w:hAnsi="Arial" w:cs="Arial"/>
          <w:spacing w:val="-2"/>
        </w:rPr>
        <w:t xml:space="preserve">Para la </w:t>
      </w:r>
      <w:r w:rsidR="00F70308">
        <w:rPr>
          <w:rFonts w:ascii="Arial" w:hAnsi="Arial" w:cs="Arial"/>
          <w:spacing w:val="-2"/>
        </w:rPr>
        <w:t>elaboración</w:t>
      </w:r>
      <w:r w:rsidRPr="00F06EB2">
        <w:rPr>
          <w:rFonts w:ascii="Arial" w:hAnsi="Arial" w:cs="Arial"/>
          <w:spacing w:val="-2"/>
        </w:rPr>
        <w:t xml:space="preserve"> de los resultados, se toma como año base el 2013, identificando variables económicas del Sistema de Cuentas Nacionales de México (SCNM) y en el contexto del Sistema de Clasificación Industrial de América del Norte (SCIAN) 2013</w:t>
      </w:r>
      <w:r w:rsidR="00F21941">
        <w:rPr>
          <w:rFonts w:ascii="Arial" w:hAnsi="Arial" w:cs="Arial"/>
        </w:rPr>
        <w:t xml:space="preserve">; además de la información proveniente de </w:t>
      </w:r>
      <w:r w:rsidR="00F21941" w:rsidRPr="00A0738B">
        <w:rPr>
          <w:rFonts w:ascii="Arial" w:hAnsi="Arial" w:cs="Arial"/>
        </w:rPr>
        <w:t>los Censos Económicos y de Población y Vivienda; y las Encuestas Anuale</w:t>
      </w:r>
      <w:r w:rsidR="00F70308">
        <w:rPr>
          <w:rFonts w:ascii="Arial" w:hAnsi="Arial" w:cs="Arial"/>
        </w:rPr>
        <w:t>s en Establecimientos y Hogares, entre otras.</w:t>
      </w:r>
    </w:p>
    <w:p w14:paraId="30B68895" w14:textId="57B766A9" w:rsidR="00F21941" w:rsidRPr="00F06EB2" w:rsidRDefault="00F21941" w:rsidP="00F21941">
      <w:pPr>
        <w:spacing w:before="360"/>
        <w:jc w:val="both"/>
        <w:rPr>
          <w:rFonts w:ascii="Arial" w:hAnsi="Arial" w:cs="Arial"/>
          <w:spacing w:val="-1"/>
        </w:rPr>
      </w:pPr>
      <w:r w:rsidRPr="00F06EB2">
        <w:rPr>
          <w:rFonts w:ascii="Arial" w:hAnsi="Arial" w:cs="Arial"/>
          <w:spacing w:val="-1"/>
        </w:rPr>
        <w:t>Ad</w:t>
      </w:r>
      <w:r>
        <w:rPr>
          <w:rFonts w:ascii="Arial" w:hAnsi="Arial" w:cs="Arial"/>
          <w:spacing w:val="-1"/>
        </w:rPr>
        <w:t>icionalmente</w:t>
      </w:r>
      <w:r w:rsidRPr="00F06EB2">
        <w:rPr>
          <w:rFonts w:ascii="Arial" w:hAnsi="Arial" w:cs="Arial"/>
          <w:spacing w:val="-1"/>
        </w:rPr>
        <w:t xml:space="preserve">, se aprovecha información de otras instituciones tales como: la Secretaría de Medio Ambiente y Recursos Naturales, el Instituto Nacional de Ecología y Cambio Climático, la Comisión Nacional del Agua, </w:t>
      </w:r>
      <w:r w:rsidR="00DA506E">
        <w:rPr>
          <w:rFonts w:ascii="Arial" w:hAnsi="Arial" w:cs="Arial"/>
          <w:spacing w:val="-1"/>
        </w:rPr>
        <w:t xml:space="preserve">la </w:t>
      </w:r>
      <w:r w:rsidRPr="00F06EB2">
        <w:rPr>
          <w:rFonts w:ascii="Arial" w:hAnsi="Arial" w:cs="Arial"/>
          <w:spacing w:val="-1"/>
        </w:rPr>
        <w:t>Comisión Nacional Forestal, la Secretaría de Agricultura</w:t>
      </w:r>
      <w:r w:rsidR="00DA506E">
        <w:rPr>
          <w:rFonts w:ascii="Arial" w:hAnsi="Arial" w:cs="Arial"/>
          <w:spacing w:val="-1"/>
        </w:rPr>
        <w:t xml:space="preserve"> y Desarrollo Rural</w:t>
      </w:r>
      <w:r w:rsidRPr="00F06EB2">
        <w:rPr>
          <w:rFonts w:ascii="Arial" w:hAnsi="Arial" w:cs="Arial"/>
          <w:spacing w:val="-1"/>
        </w:rPr>
        <w:t xml:space="preserve">, Petróleos Mexicanos, los Gobiernos Estatales, la Secretaría de Bienestar, el Consejo Nacional de Población, la Secretaría de Energía, la Secretaría de Hacienda y Crédito Público </w:t>
      </w:r>
      <w:r w:rsidR="00F70308">
        <w:rPr>
          <w:rFonts w:ascii="Arial" w:hAnsi="Arial" w:cs="Arial"/>
          <w:spacing w:val="-1"/>
        </w:rPr>
        <w:t>y el Banco de México, entre otra</w:t>
      </w:r>
      <w:r w:rsidRPr="00F06EB2">
        <w:rPr>
          <w:rFonts w:ascii="Arial" w:hAnsi="Arial" w:cs="Arial"/>
          <w:spacing w:val="-1"/>
        </w:rPr>
        <w:t>s.</w:t>
      </w:r>
    </w:p>
    <w:p w14:paraId="27D6E0B5" w14:textId="77777777" w:rsidR="0003341F" w:rsidRDefault="0003341F" w:rsidP="00F21941">
      <w:pPr>
        <w:spacing w:before="360"/>
        <w:jc w:val="both"/>
        <w:rPr>
          <w:rFonts w:ascii="Arial" w:hAnsi="Arial" w:cs="Arial"/>
          <w:spacing w:val="-2"/>
        </w:rPr>
      </w:pPr>
    </w:p>
    <w:p w14:paraId="65A282B6" w14:textId="797737CC" w:rsidR="00F21941" w:rsidRPr="00F06EB2" w:rsidRDefault="00F21941" w:rsidP="00F21941">
      <w:pPr>
        <w:spacing w:before="36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lastRenderedPageBreak/>
        <w:t>Por otra parte</w:t>
      </w:r>
      <w:r w:rsidRPr="00F06EB2">
        <w:rPr>
          <w:rFonts w:ascii="Arial" w:hAnsi="Arial" w:cs="Arial"/>
          <w:spacing w:val="-2"/>
        </w:rPr>
        <w:t>, se considera información de otros organismos como son: la Organización de las Naciones Unidas para la Alimentación y la Agricultura, la Organización para la Cooperación y el Desarrollo Económicos, la Asociación Mexicana de la Industria Automotriz y la Asociación Mexicana de Instituciones de Seguros, entre otras.</w:t>
      </w:r>
    </w:p>
    <w:p w14:paraId="267D5E01" w14:textId="77777777" w:rsidR="00A0738B" w:rsidRPr="00F06EB2" w:rsidRDefault="003F4893" w:rsidP="00A0738B">
      <w:pPr>
        <w:spacing w:before="360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Cabe mencionar que l</w:t>
      </w:r>
      <w:r w:rsidR="00A0738B" w:rsidRPr="00F06EB2">
        <w:rPr>
          <w:rFonts w:ascii="Arial" w:hAnsi="Arial" w:cs="Arial"/>
          <w:spacing w:val="-1"/>
        </w:rPr>
        <w:t>a contabilidad ambiental aprovecha la riqueza teórico-conceptual de la contabilidad satélite sin sobrecargar el marco central del sistema contable, con el propósito fundamental de generar y proveer información sobre el impacto ambiental, vinculado a las principales variables macroeconómicas del país, con el fin de obtener el Producto Interno Neto Ajustado Ambientalmente, también denominado Producto Interno Neto Ecológico (PINE), a través de la estimación del monto de los costos por el agotamiento de los recursos naturales y la degradación del medio ambiente.</w:t>
      </w:r>
    </w:p>
    <w:p w14:paraId="328C16B1" w14:textId="2F688B55" w:rsidR="00A0738B" w:rsidRPr="000A3537" w:rsidRDefault="00A0738B" w:rsidP="00A0738B">
      <w:pPr>
        <w:spacing w:before="360"/>
        <w:jc w:val="both"/>
        <w:rPr>
          <w:rFonts w:ascii="Arial" w:hAnsi="Arial" w:cs="Arial"/>
          <w:spacing w:val="-3"/>
        </w:rPr>
      </w:pPr>
      <w:r w:rsidRPr="000A3537">
        <w:rPr>
          <w:rFonts w:ascii="Arial" w:hAnsi="Arial" w:cs="Arial"/>
          <w:spacing w:val="-3"/>
        </w:rPr>
        <w:t>El PINE se obtiene, por el método de la producción, al deducir del Producto Interno Bruto el consumo de capital fijo y los costos imputados por los usos ambientales</w:t>
      </w:r>
      <w:r w:rsidR="00CB587D">
        <w:rPr>
          <w:rFonts w:ascii="Arial" w:hAnsi="Arial" w:cs="Arial"/>
          <w:spacing w:val="-3"/>
        </w:rPr>
        <w:t xml:space="preserve"> (CTADA)</w:t>
      </w:r>
      <w:r w:rsidRPr="000A3537">
        <w:rPr>
          <w:rFonts w:ascii="Arial" w:hAnsi="Arial" w:cs="Arial"/>
          <w:spacing w:val="-3"/>
        </w:rPr>
        <w:t xml:space="preserve">. Estos últimos comprenden tanto los originados por el agotamiento de los recursos naturales como los relativos a la degradación ambiental, constituyéndose en un indicador con una perspectiva de desarrollo sustentable al tomar en consideración los recursos naturales y el medio ambiente. Los resultados son expresados en </w:t>
      </w:r>
      <w:r w:rsidR="00CB587D">
        <w:rPr>
          <w:rFonts w:ascii="Arial" w:hAnsi="Arial" w:cs="Arial"/>
          <w:spacing w:val="-3"/>
        </w:rPr>
        <w:t>unidades</w:t>
      </w:r>
      <w:r w:rsidR="00CB587D" w:rsidRPr="000A3537">
        <w:rPr>
          <w:rFonts w:ascii="Arial" w:hAnsi="Arial" w:cs="Arial"/>
          <w:spacing w:val="-3"/>
        </w:rPr>
        <w:t xml:space="preserve"> </w:t>
      </w:r>
      <w:r w:rsidRPr="000A3537">
        <w:rPr>
          <w:rFonts w:ascii="Arial" w:hAnsi="Arial" w:cs="Arial"/>
          <w:spacing w:val="-3"/>
        </w:rPr>
        <w:t>físicas y en millones de pesos corrientes.</w:t>
      </w:r>
    </w:p>
    <w:p w14:paraId="434F6555" w14:textId="13995A7D" w:rsidR="00A0738B" w:rsidRPr="00A0738B" w:rsidRDefault="00A0738B" w:rsidP="00A0738B">
      <w:pPr>
        <w:spacing w:before="360"/>
        <w:jc w:val="both"/>
        <w:rPr>
          <w:rFonts w:ascii="Arial" w:hAnsi="Arial" w:cs="Arial"/>
        </w:rPr>
      </w:pPr>
      <w:r w:rsidRPr="00A0738B">
        <w:rPr>
          <w:rFonts w:ascii="Arial" w:hAnsi="Arial" w:cs="Arial"/>
        </w:rPr>
        <w:t>Por el método del gasto, los ajustes al P</w:t>
      </w:r>
      <w:r w:rsidR="00CB587D">
        <w:rPr>
          <w:rFonts w:ascii="Arial" w:hAnsi="Arial" w:cs="Arial"/>
        </w:rPr>
        <w:t xml:space="preserve">roducto </w:t>
      </w:r>
      <w:r w:rsidRPr="00A0738B">
        <w:rPr>
          <w:rFonts w:ascii="Arial" w:hAnsi="Arial" w:cs="Arial"/>
        </w:rPr>
        <w:t>I</w:t>
      </w:r>
      <w:r w:rsidR="00CB587D">
        <w:rPr>
          <w:rFonts w:ascii="Arial" w:hAnsi="Arial" w:cs="Arial"/>
        </w:rPr>
        <w:t xml:space="preserve">nterno </w:t>
      </w:r>
      <w:r w:rsidR="00200258">
        <w:rPr>
          <w:rFonts w:ascii="Arial" w:hAnsi="Arial" w:cs="Arial"/>
        </w:rPr>
        <w:t>N</w:t>
      </w:r>
      <w:r w:rsidR="00CB587D">
        <w:rPr>
          <w:rFonts w:ascii="Arial" w:hAnsi="Arial" w:cs="Arial"/>
        </w:rPr>
        <w:t>eto</w:t>
      </w:r>
      <w:r w:rsidRPr="00A0738B">
        <w:rPr>
          <w:rFonts w:ascii="Arial" w:hAnsi="Arial" w:cs="Arial"/>
        </w:rPr>
        <w:t xml:space="preserve"> provienen de la acumulación neta de activos económicos, que comprende cambios en los activos económicos no producidos (adiciones y disminuciones que presentan los hidrocarburos y los recursos forestales); asimismo, queda incluida la acumulación </w:t>
      </w:r>
      <w:r w:rsidR="00F70308">
        <w:rPr>
          <w:rFonts w:ascii="Arial" w:hAnsi="Arial" w:cs="Arial"/>
        </w:rPr>
        <w:t>neta de los activos ambientales</w:t>
      </w:r>
      <w:r w:rsidRPr="00A0738B">
        <w:rPr>
          <w:rFonts w:ascii="Arial" w:hAnsi="Arial" w:cs="Arial"/>
        </w:rPr>
        <w:t xml:space="preserve"> que reflejan tanto el agotamiento de los recursos forestales y del agua subterránea, como la degradación del aire, agua y suelo.</w:t>
      </w:r>
    </w:p>
    <w:p w14:paraId="57EF5055" w14:textId="6410AEE1" w:rsidR="00A0738B" w:rsidRPr="00A0738B" w:rsidRDefault="00A0738B" w:rsidP="00A0738B">
      <w:pPr>
        <w:spacing w:before="360"/>
        <w:jc w:val="both"/>
        <w:rPr>
          <w:rFonts w:ascii="Arial" w:hAnsi="Arial" w:cs="Arial"/>
        </w:rPr>
      </w:pPr>
      <w:r w:rsidRPr="00A0738B">
        <w:rPr>
          <w:rFonts w:ascii="Arial" w:hAnsi="Arial" w:cs="Arial"/>
        </w:rPr>
        <w:t xml:space="preserve">Los resultados que se presentan </w:t>
      </w:r>
      <w:r w:rsidR="00F70308">
        <w:rPr>
          <w:rFonts w:ascii="Arial" w:hAnsi="Arial" w:cs="Arial"/>
        </w:rPr>
        <w:t xml:space="preserve">por este medio corresponden a </w:t>
      </w:r>
      <w:r w:rsidRPr="00A0738B">
        <w:rPr>
          <w:rFonts w:ascii="Arial" w:hAnsi="Arial" w:cs="Arial"/>
        </w:rPr>
        <w:t xml:space="preserve">las variables macroeconómicas que </w:t>
      </w:r>
      <w:r w:rsidR="004F775F">
        <w:rPr>
          <w:rFonts w:ascii="Arial" w:hAnsi="Arial" w:cs="Arial"/>
        </w:rPr>
        <w:t xml:space="preserve">ayudan a </w:t>
      </w:r>
      <w:r w:rsidR="004F775F" w:rsidRPr="00A0738B">
        <w:rPr>
          <w:rFonts w:ascii="Arial" w:hAnsi="Arial" w:cs="Arial"/>
        </w:rPr>
        <w:t>explica</w:t>
      </w:r>
      <w:r w:rsidR="004F775F">
        <w:rPr>
          <w:rFonts w:ascii="Arial" w:hAnsi="Arial" w:cs="Arial"/>
        </w:rPr>
        <w:t>r</w:t>
      </w:r>
      <w:r w:rsidR="004F775F" w:rsidRPr="00A0738B">
        <w:rPr>
          <w:rFonts w:ascii="Arial" w:hAnsi="Arial" w:cs="Arial"/>
        </w:rPr>
        <w:t xml:space="preserve"> </w:t>
      </w:r>
      <w:r w:rsidRPr="00A0738B">
        <w:rPr>
          <w:rFonts w:ascii="Arial" w:hAnsi="Arial" w:cs="Arial"/>
        </w:rPr>
        <w:t xml:space="preserve">el </w:t>
      </w:r>
      <w:r w:rsidR="001744C8">
        <w:rPr>
          <w:rFonts w:ascii="Arial" w:hAnsi="Arial" w:cs="Arial"/>
        </w:rPr>
        <w:t xml:space="preserve">vínculo de la </w:t>
      </w:r>
      <w:r w:rsidR="00996EFE">
        <w:rPr>
          <w:rFonts w:ascii="Arial" w:hAnsi="Arial" w:cs="Arial"/>
        </w:rPr>
        <w:t>economía</w:t>
      </w:r>
      <w:r w:rsidR="001744C8">
        <w:rPr>
          <w:rFonts w:ascii="Arial" w:hAnsi="Arial" w:cs="Arial"/>
        </w:rPr>
        <w:t xml:space="preserve"> con el medio ambiente </w:t>
      </w:r>
      <w:r w:rsidRPr="00A0738B">
        <w:rPr>
          <w:rFonts w:ascii="Arial" w:hAnsi="Arial" w:cs="Arial"/>
        </w:rPr>
        <w:t xml:space="preserve">en el país, </w:t>
      </w:r>
      <w:r w:rsidR="004F775F">
        <w:rPr>
          <w:rFonts w:ascii="Arial" w:hAnsi="Arial" w:cs="Arial"/>
        </w:rPr>
        <w:t xml:space="preserve">y que </w:t>
      </w:r>
      <w:proofErr w:type="gramStart"/>
      <w:r w:rsidR="004F775F">
        <w:rPr>
          <w:rFonts w:ascii="Arial" w:hAnsi="Arial" w:cs="Arial"/>
        </w:rPr>
        <w:t>conjuntamente con</w:t>
      </w:r>
      <w:proofErr w:type="gramEnd"/>
      <w:r w:rsidR="004F775F">
        <w:rPr>
          <w:rFonts w:ascii="Arial" w:hAnsi="Arial" w:cs="Arial"/>
        </w:rPr>
        <w:t xml:space="preserve"> </w:t>
      </w:r>
      <w:r w:rsidR="00620962">
        <w:rPr>
          <w:rFonts w:ascii="Arial" w:hAnsi="Arial" w:cs="Arial"/>
        </w:rPr>
        <w:t xml:space="preserve">su metodología </w:t>
      </w:r>
      <w:r w:rsidRPr="00A0738B">
        <w:rPr>
          <w:rFonts w:ascii="Arial" w:hAnsi="Arial" w:cs="Arial"/>
        </w:rPr>
        <w:t xml:space="preserve">se incluyen en la publicación “Cuentas </w:t>
      </w:r>
      <w:r w:rsidR="000034BA">
        <w:rPr>
          <w:rFonts w:ascii="Arial" w:hAnsi="Arial" w:cs="Arial"/>
        </w:rPr>
        <w:t>E</w:t>
      </w:r>
      <w:r w:rsidRPr="00A0738B">
        <w:rPr>
          <w:rFonts w:ascii="Arial" w:hAnsi="Arial" w:cs="Arial"/>
        </w:rPr>
        <w:t xml:space="preserve">conómicas y </w:t>
      </w:r>
      <w:r w:rsidR="000034BA">
        <w:rPr>
          <w:rFonts w:ascii="Arial" w:hAnsi="Arial" w:cs="Arial"/>
        </w:rPr>
        <w:t>E</w:t>
      </w:r>
      <w:r w:rsidRPr="00A0738B">
        <w:rPr>
          <w:rFonts w:ascii="Arial" w:hAnsi="Arial" w:cs="Arial"/>
        </w:rPr>
        <w:t xml:space="preserve">cológicas de México, 2020. Año Base 2013”, la cual puede </w:t>
      </w:r>
      <w:r w:rsidR="00D05D01">
        <w:rPr>
          <w:rFonts w:ascii="Arial" w:hAnsi="Arial" w:cs="Arial"/>
        </w:rPr>
        <w:t>consultarse</w:t>
      </w:r>
      <w:r w:rsidRPr="00A0738B">
        <w:rPr>
          <w:rFonts w:ascii="Arial" w:hAnsi="Arial" w:cs="Arial"/>
        </w:rPr>
        <w:t xml:space="preserve"> en la página </w:t>
      </w:r>
      <w:r w:rsidR="00D05D01">
        <w:rPr>
          <w:rFonts w:ascii="Arial" w:hAnsi="Arial" w:cs="Arial"/>
        </w:rPr>
        <w:t xml:space="preserve">web </w:t>
      </w:r>
      <w:r w:rsidRPr="00A0738B">
        <w:rPr>
          <w:rFonts w:ascii="Arial" w:hAnsi="Arial" w:cs="Arial"/>
        </w:rPr>
        <w:t>del Instituto:</w:t>
      </w:r>
    </w:p>
    <w:p w14:paraId="12E9C0A5" w14:textId="77777777" w:rsidR="00CF05F9" w:rsidRDefault="00587E41" w:rsidP="000A3537">
      <w:pPr>
        <w:spacing w:before="360"/>
        <w:jc w:val="both"/>
        <w:rPr>
          <w:rFonts w:ascii="Arial" w:hAnsi="Arial" w:cs="Arial"/>
        </w:rPr>
      </w:pPr>
      <w:hyperlink r:id="rId27" w:history="1">
        <w:r w:rsidR="00A0738B" w:rsidRPr="00CA6711">
          <w:rPr>
            <w:rStyle w:val="Hipervnculo"/>
            <w:rFonts w:ascii="Arial" w:hAnsi="Arial" w:cs="Arial"/>
          </w:rPr>
          <w:t>https://www.inegi.org.mx/temas/ee/</w:t>
        </w:r>
      </w:hyperlink>
      <w:r w:rsidR="00A0738B">
        <w:rPr>
          <w:rFonts w:ascii="Arial" w:hAnsi="Arial" w:cs="Arial"/>
        </w:rPr>
        <w:t xml:space="preserve"> </w:t>
      </w:r>
    </w:p>
    <w:p w14:paraId="2C9045C5" w14:textId="77777777" w:rsidR="0030535A" w:rsidRPr="0030535A" w:rsidRDefault="00587E41" w:rsidP="000A3537">
      <w:pPr>
        <w:spacing w:before="360"/>
        <w:jc w:val="both"/>
        <w:rPr>
          <w:rStyle w:val="Hipervnculo"/>
        </w:rPr>
      </w:pPr>
      <w:hyperlink r:id="rId28" w:tgtFrame="_blank" w:tooltip="https://www.inegi.org.mx/programas/ee/2013/" w:history="1">
        <w:r w:rsidR="0030535A" w:rsidRPr="0030535A">
          <w:rPr>
            <w:rStyle w:val="Hipervnculo"/>
            <w:rFonts w:ascii="Arial" w:hAnsi="Arial" w:cs="Arial"/>
          </w:rPr>
          <w:t>https://www.inegi.org.mx/programas/ee/2013/</w:t>
        </w:r>
      </w:hyperlink>
    </w:p>
    <w:sectPr w:rsidR="0030535A" w:rsidRPr="0030535A" w:rsidSect="0003341F">
      <w:headerReference w:type="default" r:id="rId29"/>
      <w:type w:val="continuous"/>
      <w:pgSz w:w="12240" w:h="15840"/>
      <w:pgMar w:top="2127" w:right="1701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04F0B" w14:textId="77777777" w:rsidR="00587E41" w:rsidRDefault="00587E41" w:rsidP="00ED71F9">
      <w:r>
        <w:separator/>
      </w:r>
    </w:p>
  </w:endnote>
  <w:endnote w:type="continuationSeparator" w:id="0">
    <w:p w14:paraId="0A6AEF4D" w14:textId="77777777" w:rsidR="00587E41" w:rsidRDefault="00587E41" w:rsidP="00ED7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D144F" w14:textId="03A3FBF8" w:rsidR="001A16E8" w:rsidRPr="001A16E8" w:rsidRDefault="001A16E8" w:rsidP="001A16E8">
    <w:pPr>
      <w:pStyle w:val="Piedepgina"/>
      <w:tabs>
        <w:tab w:val="clear" w:pos="4419"/>
        <w:tab w:val="clear" w:pos="8838"/>
      </w:tabs>
      <w:ind w:left="-567" w:right="-518"/>
      <w:jc w:val="center"/>
      <w:rPr>
        <w:rFonts w:ascii="Arial" w:hAnsi="Arial" w:cs="Arial"/>
        <w:b/>
        <w:color w:val="002060"/>
        <w:sz w:val="20"/>
        <w:szCs w:val="20"/>
      </w:rPr>
    </w:pPr>
    <w:r w:rsidRPr="001A16E8">
      <w:rPr>
        <w:rFonts w:ascii="Arial" w:hAnsi="Arial" w:cs="Arial"/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AE9B6" w14:textId="77777777" w:rsidR="00587E41" w:rsidRDefault="00587E41" w:rsidP="00ED71F9">
      <w:r>
        <w:separator/>
      </w:r>
    </w:p>
  </w:footnote>
  <w:footnote w:type="continuationSeparator" w:id="0">
    <w:p w14:paraId="010D30C8" w14:textId="77777777" w:rsidR="00587E41" w:rsidRDefault="00587E41" w:rsidP="00ED71F9">
      <w:r>
        <w:continuationSeparator/>
      </w:r>
    </w:p>
  </w:footnote>
  <w:footnote w:id="1">
    <w:p w14:paraId="0DD4F06A" w14:textId="33E4A94E" w:rsidR="00887465" w:rsidRPr="00887465" w:rsidRDefault="00887465">
      <w:pPr>
        <w:pStyle w:val="Textonotapie"/>
        <w:rPr>
          <w:rFonts w:ascii="Arial" w:hAnsi="Arial" w:cs="Arial"/>
        </w:rPr>
      </w:pPr>
      <w:r w:rsidRPr="00887465">
        <w:rPr>
          <w:rStyle w:val="Refdenotaalpie"/>
          <w:rFonts w:ascii="Arial" w:hAnsi="Arial" w:cs="Arial"/>
        </w:rPr>
        <w:footnoteRef/>
      </w:r>
      <w:r w:rsidRPr="00887465">
        <w:rPr>
          <w:rFonts w:ascii="Arial" w:hAnsi="Arial" w:cs="Arial"/>
        </w:rPr>
        <w:t xml:space="preserve"> Son los precios de los bienes y servicios valorados en el establecimiento de venta. En éstos se incluyen los gastos de transportación y los impuestos a los productos netos de subsidios.</w:t>
      </w:r>
    </w:p>
  </w:footnote>
  <w:footnote w:id="2">
    <w:p w14:paraId="4202D77C" w14:textId="77777777" w:rsidR="0069043F" w:rsidRPr="00887465" w:rsidRDefault="0069043F" w:rsidP="0069043F">
      <w:pPr>
        <w:pStyle w:val="Textonotapie"/>
        <w:rPr>
          <w:rFonts w:ascii="Arial" w:hAnsi="Arial" w:cs="Arial"/>
        </w:rPr>
      </w:pPr>
      <w:r w:rsidRPr="00887465">
        <w:rPr>
          <w:rStyle w:val="Refdenotaalpie"/>
          <w:rFonts w:ascii="Arial" w:hAnsi="Arial" w:cs="Arial"/>
        </w:rPr>
        <w:footnoteRef/>
      </w:r>
      <w:r w:rsidRPr="00887465">
        <w:rPr>
          <w:rFonts w:ascii="Arial" w:hAnsi="Arial" w:cs="Arial"/>
        </w:rPr>
        <w:t xml:space="preserve"> Son los precios de los bienes y servicios valorados en el establecimiento de venta. En éstos se incluyen los gastos de transportación y los impuestos a los productos netos de subsidios.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E10C5" w14:textId="77777777" w:rsidR="00F6376F" w:rsidRPr="00ED71F9" w:rsidRDefault="00F6376F">
    <w:pPr>
      <w:pStyle w:val="Encabezado"/>
      <w:rPr>
        <w:sz w:val="32"/>
        <w:szCs w:val="32"/>
      </w:rPr>
    </w:pPr>
  </w:p>
  <w:p w14:paraId="60F70055" w14:textId="25A37C80" w:rsidR="00BA71AF" w:rsidRPr="009A0EF3" w:rsidRDefault="00BA71AF" w:rsidP="00BA71AF">
    <w:pPr>
      <w:pStyle w:val="Encabezado"/>
      <w:framePr w:w="5529" w:hSpace="141" w:wrap="auto" w:vAnchor="text" w:hAnchor="page" w:x="5570" w:y="42"/>
      <w:ind w:left="567" w:hanging="11"/>
      <w:jc w:val="right"/>
      <w:rPr>
        <w:rFonts w:ascii="Arial" w:hAnsi="Arial" w:cs="Arial"/>
        <w:b/>
        <w:color w:val="002060"/>
        <w:lang w:val="pt-BR"/>
      </w:rPr>
    </w:pPr>
    <w:r w:rsidRPr="009A0EF3">
      <w:rPr>
        <w:rFonts w:ascii="Arial" w:hAnsi="Arial" w:cs="Arial"/>
        <w:b/>
        <w:color w:val="002060"/>
      </w:rPr>
      <w:t xml:space="preserve">COMUNICADO DE PRENSA NÚM. </w:t>
    </w:r>
    <w:r>
      <w:rPr>
        <w:rFonts w:ascii="Arial" w:hAnsi="Arial" w:cs="Arial"/>
        <w:b/>
        <w:color w:val="002060"/>
      </w:rPr>
      <w:t>705</w:t>
    </w:r>
    <w:r w:rsidRPr="009A0EF3">
      <w:rPr>
        <w:rFonts w:ascii="Arial" w:hAnsi="Arial" w:cs="Arial"/>
        <w:b/>
        <w:color w:val="002060"/>
      </w:rPr>
      <w:t>/21</w:t>
    </w:r>
  </w:p>
  <w:p w14:paraId="7ED4A89F" w14:textId="733E2931" w:rsidR="00BA71AF" w:rsidRPr="009A0EF3" w:rsidRDefault="00BA71AF" w:rsidP="00BA71AF">
    <w:pPr>
      <w:pStyle w:val="Encabezado"/>
      <w:framePr w:w="5529" w:hSpace="141" w:wrap="auto" w:vAnchor="text" w:hAnchor="page" w:x="5570" w:y="42"/>
      <w:ind w:left="567" w:hanging="11"/>
      <w:jc w:val="right"/>
      <w:rPr>
        <w:rFonts w:ascii="Arial" w:hAnsi="Arial" w:cs="Arial"/>
        <w:b/>
        <w:color w:val="002060"/>
      </w:rPr>
    </w:pPr>
    <w:r>
      <w:rPr>
        <w:rFonts w:ascii="Arial" w:hAnsi="Arial" w:cs="Arial"/>
        <w:b/>
        <w:color w:val="002060"/>
        <w:lang w:val="pt-BR"/>
      </w:rPr>
      <w:t>2</w:t>
    </w:r>
    <w:r w:rsidRPr="009A0EF3">
      <w:rPr>
        <w:rFonts w:ascii="Arial" w:hAnsi="Arial" w:cs="Arial"/>
        <w:b/>
        <w:color w:val="002060"/>
        <w:lang w:val="pt-BR"/>
      </w:rPr>
      <w:t xml:space="preserve"> DE </w:t>
    </w:r>
    <w:r>
      <w:rPr>
        <w:rFonts w:ascii="Arial" w:hAnsi="Arial" w:cs="Arial"/>
        <w:b/>
        <w:color w:val="002060"/>
        <w:lang w:val="pt-BR"/>
      </w:rPr>
      <w:t>DICI</w:t>
    </w:r>
    <w:r w:rsidRPr="009A0EF3">
      <w:rPr>
        <w:rFonts w:ascii="Arial" w:hAnsi="Arial" w:cs="Arial"/>
        <w:b/>
        <w:color w:val="002060"/>
        <w:lang w:val="pt-BR"/>
      </w:rPr>
      <w:t>EMBRE DE 2021</w:t>
    </w:r>
  </w:p>
  <w:p w14:paraId="3F55E39B" w14:textId="0DD24B26" w:rsidR="00BA71AF" w:rsidRPr="009A0EF3" w:rsidRDefault="00BA71AF" w:rsidP="00BA71AF">
    <w:pPr>
      <w:pStyle w:val="Encabezado"/>
      <w:framePr w:w="5529" w:hSpace="141" w:wrap="auto" w:vAnchor="text" w:hAnchor="page" w:x="5570" w:y="42"/>
      <w:ind w:left="567" w:hanging="11"/>
      <w:jc w:val="right"/>
      <w:rPr>
        <w:rFonts w:ascii="Arial" w:hAnsi="Arial" w:cs="Arial"/>
        <w:b/>
        <w:color w:val="002060"/>
        <w:lang w:val="pt-BR"/>
      </w:rPr>
    </w:pPr>
    <w:r w:rsidRPr="009A0EF3">
      <w:rPr>
        <w:rFonts w:ascii="Arial" w:hAnsi="Arial" w:cs="Arial"/>
        <w:b/>
        <w:color w:val="002060"/>
        <w:lang w:val="pt-BR"/>
      </w:rPr>
      <w:t xml:space="preserve">PÁGINA </w:t>
    </w:r>
    <w:r w:rsidRPr="009A0EF3">
      <w:rPr>
        <w:rFonts w:ascii="Arial" w:hAnsi="Arial" w:cs="Arial"/>
        <w:b/>
        <w:color w:val="002060"/>
      </w:rPr>
      <w:fldChar w:fldCharType="begin"/>
    </w:r>
    <w:r w:rsidRPr="009A0EF3">
      <w:rPr>
        <w:rFonts w:ascii="Arial" w:hAnsi="Arial" w:cs="Arial"/>
        <w:b/>
        <w:color w:val="002060"/>
        <w:lang w:val="pt-BR"/>
      </w:rPr>
      <w:instrText xml:space="preserve">\PAGE </w:instrText>
    </w:r>
    <w:r w:rsidRPr="009A0EF3">
      <w:rPr>
        <w:rFonts w:ascii="Arial" w:hAnsi="Arial" w:cs="Arial"/>
        <w:color w:val="002060"/>
      </w:rPr>
      <w:fldChar w:fldCharType="separate"/>
    </w:r>
    <w:r w:rsidR="00620962">
      <w:rPr>
        <w:rFonts w:ascii="Arial" w:hAnsi="Arial" w:cs="Arial"/>
        <w:b/>
        <w:noProof/>
        <w:color w:val="002060"/>
        <w:lang w:val="pt-BR"/>
      </w:rPr>
      <w:t>2</w:t>
    </w:r>
    <w:r w:rsidRPr="009A0EF3">
      <w:rPr>
        <w:rFonts w:ascii="Arial" w:hAnsi="Arial" w:cs="Arial"/>
        <w:color w:val="002060"/>
      </w:rPr>
      <w:fldChar w:fldCharType="end"/>
    </w:r>
    <w:r w:rsidRPr="009A0EF3">
      <w:rPr>
        <w:rFonts w:ascii="Arial" w:hAnsi="Arial" w:cs="Arial"/>
        <w:b/>
        <w:color w:val="002060"/>
        <w:lang w:val="pt-BR"/>
      </w:rPr>
      <w:t>/</w:t>
    </w:r>
    <w:r>
      <w:rPr>
        <w:rFonts w:ascii="Arial" w:hAnsi="Arial" w:cs="Arial"/>
        <w:b/>
        <w:color w:val="002060"/>
        <w:lang w:val="pt-BR"/>
      </w:rPr>
      <w:t>2</w:t>
    </w:r>
  </w:p>
  <w:p w14:paraId="5D099749" w14:textId="77777777" w:rsidR="00BA71AF" w:rsidRDefault="00BA71AF" w:rsidP="00BA71AF">
    <w:pPr>
      <w:pStyle w:val="Encabezado"/>
      <w:ind w:left="1276" w:hanging="1843"/>
    </w:pPr>
    <w:r>
      <w:rPr>
        <w:noProof/>
      </w:rPr>
      <w:drawing>
        <wp:inline distT="0" distB="0" distL="0" distR="0" wp14:anchorId="53FDAD86" wp14:editId="45F6DDFF">
          <wp:extent cx="752873" cy="782035"/>
          <wp:effectExtent l="0" t="0" r="9525" b="0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734" cy="807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23CD9" w14:textId="77777777" w:rsidR="00BA71AF" w:rsidRPr="00ED71F9" w:rsidRDefault="00BA71AF">
    <w:pPr>
      <w:pStyle w:val="Encabezado"/>
      <w:rPr>
        <w:sz w:val="32"/>
        <w:szCs w:val="32"/>
      </w:rPr>
    </w:pPr>
  </w:p>
  <w:p w14:paraId="72F53742" w14:textId="77777777" w:rsidR="00BA71AF" w:rsidRDefault="00BA71AF" w:rsidP="00994BB9">
    <w:pPr>
      <w:pStyle w:val="Encabezado"/>
      <w:ind w:left="-284"/>
      <w:jc w:val="center"/>
    </w:pPr>
    <w:r w:rsidRPr="00F418AF">
      <w:rPr>
        <w:noProof/>
      </w:rPr>
      <w:drawing>
        <wp:inline distT="0" distB="0" distL="0" distR="0" wp14:anchorId="4455C46E" wp14:editId="295D87B4">
          <wp:extent cx="859891" cy="895350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537" cy="8970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B31324"/>
    <w:multiLevelType w:val="hybridMultilevel"/>
    <w:tmpl w:val="F138A736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1D9F1F00"/>
    <w:multiLevelType w:val="hybridMultilevel"/>
    <w:tmpl w:val="DDF48F9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294"/>
    <w:rsid w:val="00000486"/>
    <w:rsid w:val="00001B4D"/>
    <w:rsid w:val="000034BA"/>
    <w:rsid w:val="000052BF"/>
    <w:rsid w:val="00005C5E"/>
    <w:rsid w:val="000062F6"/>
    <w:rsid w:val="000217F0"/>
    <w:rsid w:val="00022BF9"/>
    <w:rsid w:val="0002598E"/>
    <w:rsid w:val="000269D4"/>
    <w:rsid w:val="00027C30"/>
    <w:rsid w:val="00030EED"/>
    <w:rsid w:val="0003341F"/>
    <w:rsid w:val="00033CE3"/>
    <w:rsid w:val="00042EAF"/>
    <w:rsid w:val="00043FC8"/>
    <w:rsid w:val="00046227"/>
    <w:rsid w:val="00047B93"/>
    <w:rsid w:val="00052788"/>
    <w:rsid w:val="0006168D"/>
    <w:rsid w:val="00066944"/>
    <w:rsid w:val="0007127C"/>
    <w:rsid w:val="0007202D"/>
    <w:rsid w:val="00075C50"/>
    <w:rsid w:val="000771A5"/>
    <w:rsid w:val="00081AD6"/>
    <w:rsid w:val="000825B0"/>
    <w:rsid w:val="00084437"/>
    <w:rsid w:val="000850BD"/>
    <w:rsid w:val="00093DC4"/>
    <w:rsid w:val="000944F5"/>
    <w:rsid w:val="000979E1"/>
    <w:rsid w:val="000A11E2"/>
    <w:rsid w:val="000A2285"/>
    <w:rsid w:val="000A3537"/>
    <w:rsid w:val="000B1696"/>
    <w:rsid w:val="000B2914"/>
    <w:rsid w:val="000B6345"/>
    <w:rsid w:val="000C1D0A"/>
    <w:rsid w:val="000C714C"/>
    <w:rsid w:val="000D18D6"/>
    <w:rsid w:val="000D54AB"/>
    <w:rsid w:val="000D5670"/>
    <w:rsid w:val="000E29B0"/>
    <w:rsid w:val="000E75B3"/>
    <w:rsid w:val="000E7DC1"/>
    <w:rsid w:val="000F0AC9"/>
    <w:rsid w:val="00125305"/>
    <w:rsid w:val="001339F1"/>
    <w:rsid w:val="00140BDE"/>
    <w:rsid w:val="00141A97"/>
    <w:rsid w:val="00141AFC"/>
    <w:rsid w:val="001448FC"/>
    <w:rsid w:val="00146E06"/>
    <w:rsid w:val="00147A7F"/>
    <w:rsid w:val="00151583"/>
    <w:rsid w:val="001573E0"/>
    <w:rsid w:val="001605AB"/>
    <w:rsid w:val="001650B4"/>
    <w:rsid w:val="00166DD8"/>
    <w:rsid w:val="001742D2"/>
    <w:rsid w:val="001744C8"/>
    <w:rsid w:val="001811D3"/>
    <w:rsid w:val="00182770"/>
    <w:rsid w:val="00183BB5"/>
    <w:rsid w:val="00195D6E"/>
    <w:rsid w:val="001970BD"/>
    <w:rsid w:val="001A0262"/>
    <w:rsid w:val="001A16E8"/>
    <w:rsid w:val="001A731D"/>
    <w:rsid w:val="001C0330"/>
    <w:rsid w:val="001C0FF0"/>
    <w:rsid w:val="001C1242"/>
    <w:rsid w:val="001C1A11"/>
    <w:rsid w:val="001D3128"/>
    <w:rsid w:val="001E5EC1"/>
    <w:rsid w:val="001E6B57"/>
    <w:rsid w:val="001F11C1"/>
    <w:rsid w:val="00200258"/>
    <w:rsid w:val="002042ED"/>
    <w:rsid w:val="00216AEF"/>
    <w:rsid w:val="00217264"/>
    <w:rsid w:val="00217F98"/>
    <w:rsid w:val="002209A6"/>
    <w:rsid w:val="0022125A"/>
    <w:rsid w:val="00225A19"/>
    <w:rsid w:val="00227EE5"/>
    <w:rsid w:val="002357DA"/>
    <w:rsid w:val="00243375"/>
    <w:rsid w:val="002531C2"/>
    <w:rsid w:val="00254DE5"/>
    <w:rsid w:val="00274756"/>
    <w:rsid w:val="00274D0F"/>
    <w:rsid w:val="00277390"/>
    <w:rsid w:val="00277477"/>
    <w:rsid w:val="002779E8"/>
    <w:rsid w:val="00286103"/>
    <w:rsid w:val="002902AA"/>
    <w:rsid w:val="00291CE7"/>
    <w:rsid w:val="00293C75"/>
    <w:rsid w:val="002A426A"/>
    <w:rsid w:val="002A47E3"/>
    <w:rsid w:val="002B2F15"/>
    <w:rsid w:val="002D2731"/>
    <w:rsid w:val="002D3890"/>
    <w:rsid w:val="002D61DC"/>
    <w:rsid w:val="002D63CE"/>
    <w:rsid w:val="002D6823"/>
    <w:rsid w:val="002E35B2"/>
    <w:rsid w:val="002E3D2A"/>
    <w:rsid w:val="002E61EA"/>
    <w:rsid w:val="002F00A2"/>
    <w:rsid w:val="002F1847"/>
    <w:rsid w:val="002F2271"/>
    <w:rsid w:val="002F68AE"/>
    <w:rsid w:val="00300627"/>
    <w:rsid w:val="0030535A"/>
    <w:rsid w:val="00306AE8"/>
    <w:rsid w:val="00307B36"/>
    <w:rsid w:val="0031702D"/>
    <w:rsid w:val="00323E72"/>
    <w:rsid w:val="00327575"/>
    <w:rsid w:val="0033250E"/>
    <w:rsid w:val="00337432"/>
    <w:rsid w:val="00340410"/>
    <w:rsid w:val="00341B85"/>
    <w:rsid w:val="00342E8D"/>
    <w:rsid w:val="00346350"/>
    <w:rsid w:val="00351AFD"/>
    <w:rsid w:val="00354C45"/>
    <w:rsid w:val="00355034"/>
    <w:rsid w:val="00357149"/>
    <w:rsid w:val="00357775"/>
    <w:rsid w:val="00364D3B"/>
    <w:rsid w:val="003758C4"/>
    <w:rsid w:val="003770BC"/>
    <w:rsid w:val="003801F8"/>
    <w:rsid w:val="003A2793"/>
    <w:rsid w:val="003A39F9"/>
    <w:rsid w:val="003B1F98"/>
    <w:rsid w:val="003B20B5"/>
    <w:rsid w:val="003B295A"/>
    <w:rsid w:val="003B3AEB"/>
    <w:rsid w:val="003C428D"/>
    <w:rsid w:val="003D4F03"/>
    <w:rsid w:val="003E0CE9"/>
    <w:rsid w:val="003E18A9"/>
    <w:rsid w:val="003F1C53"/>
    <w:rsid w:val="003F4893"/>
    <w:rsid w:val="003F5CD3"/>
    <w:rsid w:val="00401AF8"/>
    <w:rsid w:val="00402042"/>
    <w:rsid w:val="00405528"/>
    <w:rsid w:val="004139B0"/>
    <w:rsid w:val="00424788"/>
    <w:rsid w:val="004277E7"/>
    <w:rsid w:val="00431377"/>
    <w:rsid w:val="00435080"/>
    <w:rsid w:val="00444F0A"/>
    <w:rsid w:val="00452246"/>
    <w:rsid w:val="00454778"/>
    <w:rsid w:val="00456800"/>
    <w:rsid w:val="0046058A"/>
    <w:rsid w:val="00463C39"/>
    <w:rsid w:val="00471289"/>
    <w:rsid w:val="00473B52"/>
    <w:rsid w:val="00473CF4"/>
    <w:rsid w:val="00480DD5"/>
    <w:rsid w:val="0048613E"/>
    <w:rsid w:val="00491D5E"/>
    <w:rsid w:val="004A0C77"/>
    <w:rsid w:val="004A119F"/>
    <w:rsid w:val="004B0D3D"/>
    <w:rsid w:val="004B3AAF"/>
    <w:rsid w:val="004B5B7F"/>
    <w:rsid w:val="004B6E0C"/>
    <w:rsid w:val="004C1E9B"/>
    <w:rsid w:val="004C260D"/>
    <w:rsid w:val="004D6EE0"/>
    <w:rsid w:val="004E07E9"/>
    <w:rsid w:val="004F017B"/>
    <w:rsid w:val="004F775F"/>
    <w:rsid w:val="005013E5"/>
    <w:rsid w:val="00503A60"/>
    <w:rsid w:val="00503EDE"/>
    <w:rsid w:val="00510CE0"/>
    <w:rsid w:val="005127FA"/>
    <w:rsid w:val="005144D9"/>
    <w:rsid w:val="00514B7D"/>
    <w:rsid w:val="00514E65"/>
    <w:rsid w:val="0052375E"/>
    <w:rsid w:val="00524FB1"/>
    <w:rsid w:val="00526D2F"/>
    <w:rsid w:val="00540B60"/>
    <w:rsid w:val="0054251E"/>
    <w:rsid w:val="00544E03"/>
    <w:rsid w:val="005546F5"/>
    <w:rsid w:val="00555BE8"/>
    <w:rsid w:val="00556F84"/>
    <w:rsid w:val="00565024"/>
    <w:rsid w:val="00566298"/>
    <w:rsid w:val="00572392"/>
    <w:rsid w:val="00572526"/>
    <w:rsid w:val="00573734"/>
    <w:rsid w:val="005833AB"/>
    <w:rsid w:val="00585FDD"/>
    <w:rsid w:val="005872B5"/>
    <w:rsid w:val="00587E41"/>
    <w:rsid w:val="005953CD"/>
    <w:rsid w:val="005A220E"/>
    <w:rsid w:val="005B0DEE"/>
    <w:rsid w:val="005B3174"/>
    <w:rsid w:val="005B4D9D"/>
    <w:rsid w:val="005B77B7"/>
    <w:rsid w:val="005C270C"/>
    <w:rsid w:val="005C2F67"/>
    <w:rsid w:val="005C346C"/>
    <w:rsid w:val="005C3882"/>
    <w:rsid w:val="005C72E0"/>
    <w:rsid w:val="005E2898"/>
    <w:rsid w:val="005F0FE3"/>
    <w:rsid w:val="005F3DFE"/>
    <w:rsid w:val="005F758B"/>
    <w:rsid w:val="005F7E75"/>
    <w:rsid w:val="00600486"/>
    <w:rsid w:val="00600944"/>
    <w:rsid w:val="00615093"/>
    <w:rsid w:val="0062075C"/>
    <w:rsid w:val="00620962"/>
    <w:rsid w:val="006273EB"/>
    <w:rsid w:val="00630F49"/>
    <w:rsid w:val="00634AD1"/>
    <w:rsid w:val="00636D65"/>
    <w:rsid w:val="00643A88"/>
    <w:rsid w:val="00646988"/>
    <w:rsid w:val="0064746D"/>
    <w:rsid w:val="00654AA4"/>
    <w:rsid w:val="00655364"/>
    <w:rsid w:val="006575EF"/>
    <w:rsid w:val="00666272"/>
    <w:rsid w:val="00671C90"/>
    <w:rsid w:val="00671E0B"/>
    <w:rsid w:val="00673144"/>
    <w:rsid w:val="006770FE"/>
    <w:rsid w:val="0067746C"/>
    <w:rsid w:val="006821D6"/>
    <w:rsid w:val="00682C6D"/>
    <w:rsid w:val="00684A97"/>
    <w:rsid w:val="00690365"/>
    <w:rsid w:val="0069043F"/>
    <w:rsid w:val="00691419"/>
    <w:rsid w:val="006928BF"/>
    <w:rsid w:val="00694001"/>
    <w:rsid w:val="00696491"/>
    <w:rsid w:val="006A2A01"/>
    <w:rsid w:val="006A6393"/>
    <w:rsid w:val="006B04FC"/>
    <w:rsid w:val="006B0A79"/>
    <w:rsid w:val="006B61AF"/>
    <w:rsid w:val="006B7D6F"/>
    <w:rsid w:val="006C09A8"/>
    <w:rsid w:val="006C4671"/>
    <w:rsid w:val="006C6EF7"/>
    <w:rsid w:val="006D437B"/>
    <w:rsid w:val="006D7133"/>
    <w:rsid w:val="006E2D46"/>
    <w:rsid w:val="006E784A"/>
    <w:rsid w:val="006F69D3"/>
    <w:rsid w:val="006F7068"/>
    <w:rsid w:val="0070018D"/>
    <w:rsid w:val="00700244"/>
    <w:rsid w:val="007011A3"/>
    <w:rsid w:val="007108EB"/>
    <w:rsid w:val="007122BD"/>
    <w:rsid w:val="00713731"/>
    <w:rsid w:val="00713947"/>
    <w:rsid w:val="00716C27"/>
    <w:rsid w:val="00722A19"/>
    <w:rsid w:val="00724605"/>
    <w:rsid w:val="00735658"/>
    <w:rsid w:val="00735D49"/>
    <w:rsid w:val="007400A0"/>
    <w:rsid w:val="00744A09"/>
    <w:rsid w:val="00746769"/>
    <w:rsid w:val="00751527"/>
    <w:rsid w:val="00756125"/>
    <w:rsid w:val="007606B8"/>
    <w:rsid w:val="007716F9"/>
    <w:rsid w:val="00775199"/>
    <w:rsid w:val="007774F2"/>
    <w:rsid w:val="00777D18"/>
    <w:rsid w:val="00782122"/>
    <w:rsid w:val="00795273"/>
    <w:rsid w:val="007A0065"/>
    <w:rsid w:val="007A1EFB"/>
    <w:rsid w:val="007A23D0"/>
    <w:rsid w:val="007A25D7"/>
    <w:rsid w:val="007A5CD7"/>
    <w:rsid w:val="007A5EFC"/>
    <w:rsid w:val="007A63A7"/>
    <w:rsid w:val="007B32C1"/>
    <w:rsid w:val="007B5CCF"/>
    <w:rsid w:val="007C53D8"/>
    <w:rsid w:val="007C54B2"/>
    <w:rsid w:val="007D0EC2"/>
    <w:rsid w:val="007D7541"/>
    <w:rsid w:val="00800EF9"/>
    <w:rsid w:val="00801629"/>
    <w:rsid w:val="0080258B"/>
    <w:rsid w:val="008037AA"/>
    <w:rsid w:val="00803B96"/>
    <w:rsid w:val="00806BEB"/>
    <w:rsid w:val="008149FE"/>
    <w:rsid w:val="00815B1F"/>
    <w:rsid w:val="00816F9F"/>
    <w:rsid w:val="008274BF"/>
    <w:rsid w:val="00831A7E"/>
    <w:rsid w:val="00834F8F"/>
    <w:rsid w:val="008352F5"/>
    <w:rsid w:val="0083638E"/>
    <w:rsid w:val="00845188"/>
    <w:rsid w:val="0084672E"/>
    <w:rsid w:val="0085042C"/>
    <w:rsid w:val="008524FE"/>
    <w:rsid w:val="00860186"/>
    <w:rsid w:val="00863BCA"/>
    <w:rsid w:val="00865764"/>
    <w:rsid w:val="0086624E"/>
    <w:rsid w:val="00866368"/>
    <w:rsid w:val="00866B0A"/>
    <w:rsid w:val="008725A2"/>
    <w:rsid w:val="00875719"/>
    <w:rsid w:val="008824DF"/>
    <w:rsid w:val="0088456D"/>
    <w:rsid w:val="008849EF"/>
    <w:rsid w:val="00886176"/>
    <w:rsid w:val="00887465"/>
    <w:rsid w:val="008A1CAE"/>
    <w:rsid w:val="008A2EC3"/>
    <w:rsid w:val="008A3A3B"/>
    <w:rsid w:val="008A3E90"/>
    <w:rsid w:val="008A5DBC"/>
    <w:rsid w:val="008A777B"/>
    <w:rsid w:val="008B5E63"/>
    <w:rsid w:val="008C7264"/>
    <w:rsid w:val="008D3481"/>
    <w:rsid w:val="008D41C0"/>
    <w:rsid w:val="008D46A7"/>
    <w:rsid w:val="008E4269"/>
    <w:rsid w:val="008E5845"/>
    <w:rsid w:val="0090294C"/>
    <w:rsid w:val="00903295"/>
    <w:rsid w:val="00903752"/>
    <w:rsid w:val="00904A80"/>
    <w:rsid w:val="00910613"/>
    <w:rsid w:val="00910871"/>
    <w:rsid w:val="009207E2"/>
    <w:rsid w:val="00921EEF"/>
    <w:rsid w:val="00930014"/>
    <w:rsid w:val="0093001A"/>
    <w:rsid w:val="009337B1"/>
    <w:rsid w:val="00936545"/>
    <w:rsid w:val="009457A5"/>
    <w:rsid w:val="00961422"/>
    <w:rsid w:val="00966BF8"/>
    <w:rsid w:val="00971814"/>
    <w:rsid w:val="00977D98"/>
    <w:rsid w:val="00981BDF"/>
    <w:rsid w:val="009870E0"/>
    <w:rsid w:val="00991502"/>
    <w:rsid w:val="00991B7D"/>
    <w:rsid w:val="009931A8"/>
    <w:rsid w:val="00994BB9"/>
    <w:rsid w:val="00996EFE"/>
    <w:rsid w:val="009A09CB"/>
    <w:rsid w:val="009A2D59"/>
    <w:rsid w:val="009A417F"/>
    <w:rsid w:val="009A45F4"/>
    <w:rsid w:val="009B2985"/>
    <w:rsid w:val="009B609B"/>
    <w:rsid w:val="009B67F3"/>
    <w:rsid w:val="009C0C0B"/>
    <w:rsid w:val="009C5BC9"/>
    <w:rsid w:val="009C5F83"/>
    <w:rsid w:val="009C7F29"/>
    <w:rsid w:val="009D04C0"/>
    <w:rsid w:val="009D0C99"/>
    <w:rsid w:val="009D0D9B"/>
    <w:rsid w:val="009D70C4"/>
    <w:rsid w:val="009D7D2D"/>
    <w:rsid w:val="009F1F84"/>
    <w:rsid w:val="009F2B76"/>
    <w:rsid w:val="009F4B67"/>
    <w:rsid w:val="009F5CC3"/>
    <w:rsid w:val="00A00AB6"/>
    <w:rsid w:val="00A01EF2"/>
    <w:rsid w:val="00A0581B"/>
    <w:rsid w:val="00A0732E"/>
    <w:rsid w:val="00A0738B"/>
    <w:rsid w:val="00A13089"/>
    <w:rsid w:val="00A13F13"/>
    <w:rsid w:val="00A26573"/>
    <w:rsid w:val="00A314A9"/>
    <w:rsid w:val="00A334A5"/>
    <w:rsid w:val="00A37384"/>
    <w:rsid w:val="00A4041E"/>
    <w:rsid w:val="00A404AC"/>
    <w:rsid w:val="00A564B9"/>
    <w:rsid w:val="00A63879"/>
    <w:rsid w:val="00A72E80"/>
    <w:rsid w:val="00A81A2F"/>
    <w:rsid w:val="00A830B6"/>
    <w:rsid w:val="00A83369"/>
    <w:rsid w:val="00A9159B"/>
    <w:rsid w:val="00A915F4"/>
    <w:rsid w:val="00A964B2"/>
    <w:rsid w:val="00AA1552"/>
    <w:rsid w:val="00AA16B3"/>
    <w:rsid w:val="00AA4E4A"/>
    <w:rsid w:val="00AA653F"/>
    <w:rsid w:val="00AB002D"/>
    <w:rsid w:val="00AB07AB"/>
    <w:rsid w:val="00AB2B3C"/>
    <w:rsid w:val="00AB4D35"/>
    <w:rsid w:val="00AB561B"/>
    <w:rsid w:val="00AB5A7F"/>
    <w:rsid w:val="00AB5F83"/>
    <w:rsid w:val="00AC127B"/>
    <w:rsid w:val="00AC5066"/>
    <w:rsid w:val="00AD0359"/>
    <w:rsid w:val="00AD1872"/>
    <w:rsid w:val="00AD3025"/>
    <w:rsid w:val="00AD3A37"/>
    <w:rsid w:val="00AD6CB9"/>
    <w:rsid w:val="00AD704B"/>
    <w:rsid w:val="00AE2EA3"/>
    <w:rsid w:val="00AE4C7F"/>
    <w:rsid w:val="00AE7186"/>
    <w:rsid w:val="00AF149A"/>
    <w:rsid w:val="00AF1CA2"/>
    <w:rsid w:val="00AF2E50"/>
    <w:rsid w:val="00AF5EF7"/>
    <w:rsid w:val="00B013CB"/>
    <w:rsid w:val="00B16B4A"/>
    <w:rsid w:val="00B2154D"/>
    <w:rsid w:val="00B3675C"/>
    <w:rsid w:val="00B511F8"/>
    <w:rsid w:val="00B51BA1"/>
    <w:rsid w:val="00B55B80"/>
    <w:rsid w:val="00B6193A"/>
    <w:rsid w:val="00B64271"/>
    <w:rsid w:val="00B65AED"/>
    <w:rsid w:val="00B66CF2"/>
    <w:rsid w:val="00B66DDA"/>
    <w:rsid w:val="00B71136"/>
    <w:rsid w:val="00B729A2"/>
    <w:rsid w:val="00B734D6"/>
    <w:rsid w:val="00B74004"/>
    <w:rsid w:val="00B86AB6"/>
    <w:rsid w:val="00B946AB"/>
    <w:rsid w:val="00B94C95"/>
    <w:rsid w:val="00B96A3D"/>
    <w:rsid w:val="00B97069"/>
    <w:rsid w:val="00BA23C1"/>
    <w:rsid w:val="00BA32BD"/>
    <w:rsid w:val="00BA3ACE"/>
    <w:rsid w:val="00BA71AF"/>
    <w:rsid w:val="00BB1BF1"/>
    <w:rsid w:val="00BB750A"/>
    <w:rsid w:val="00BD04AE"/>
    <w:rsid w:val="00BD428D"/>
    <w:rsid w:val="00BE0317"/>
    <w:rsid w:val="00BE2A6D"/>
    <w:rsid w:val="00BE70F2"/>
    <w:rsid w:val="00BF1C41"/>
    <w:rsid w:val="00BF63AC"/>
    <w:rsid w:val="00BF7CA9"/>
    <w:rsid w:val="00C04AF5"/>
    <w:rsid w:val="00C1453E"/>
    <w:rsid w:val="00C14F3D"/>
    <w:rsid w:val="00C22EA8"/>
    <w:rsid w:val="00C268E1"/>
    <w:rsid w:val="00C276EA"/>
    <w:rsid w:val="00C316FE"/>
    <w:rsid w:val="00C33F02"/>
    <w:rsid w:val="00C37101"/>
    <w:rsid w:val="00C40BAE"/>
    <w:rsid w:val="00C41F82"/>
    <w:rsid w:val="00C5178F"/>
    <w:rsid w:val="00C56C90"/>
    <w:rsid w:val="00C62773"/>
    <w:rsid w:val="00C64E7A"/>
    <w:rsid w:val="00C65625"/>
    <w:rsid w:val="00C67178"/>
    <w:rsid w:val="00C74828"/>
    <w:rsid w:val="00C74C79"/>
    <w:rsid w:val="00C81259"/>
    <w:rsid w:val="00C83753"/>
    <w:rsid w:val="00C866AD"/>
    <w:rsid w:val="00C946ED"/>
    <w:rsid w:val="00C95294"/>
    <w:rsid w:val="00CA0BAE"/>
    <w:rsid w:val="00CA2CC8"/>
    <w:rsid w:val="00CA71BF"/>
    <w:rsid w:val="00CA7F6A"/>
    <w:rsid w:val="00CB18CA"/>
    <w:rsid w:val="00CB2951"/>
    <w:rsid w:val="00CB587D"/>
    <w:rsid w:val="00CD23F2"/>
    <w:rsid w:val="00CD5430"/>
    <w:rsid w:val="00CD7B00"/>
    <w:rsid w:val="00CE042F"/>
    <w:rsid w:val="00CE634C"/>
    <w:rsid w:val="00CF05F9"/>
    <w:rsid w:val="00CF29A6"/>
    <w:rsid w:val="00CF38C3"/>
    <w:rsid w:val="00CF6BEC"/>
    <w:rsid w:val="00CF6FB0"/>
    <w:rsid w:val="00D05D01"/>
    <w:rsid w:val="00D112B7"/>
    <w:rsid w:val="00D1734E"/>
    <w:rsid w:val="00D20DE5"/>
    <w:rsid w:val="00D21387"/>
    <w:rsid w:val="00D2511C"/>
    <w:rsid w:val="00D32303"/>
    <w:rsid w:val="00D32FED"/>
    <w:rsid w:val="00D34503"/>
    <w:rsid w:val="00D429A3"/>
    <w:rsid w:val="00D43002"/>
    <w:rsid w:val="00D433A4"/>
    <w:rsid w:val="00D43B51"/>
    <w:rsid w:val="00D474AA"/>
    <w:rsid w:val="00D5165A"/>
    <w:rsid w:val="00D61EAC"/>
    <w:rsid w:val="00D661D1"/>
    <w:rsid w:val="00D71921"/>
    <w:rsid w:val="00D76629"/>
    <w:rsid w:val="00D81DDC"/>
    <w:rsid w:val="00D8495B"/>
    <w:rsid w:val="00D86B25"/>
    <w:rsid w:val="00D92E38"/>
    <w:rsid w:val="00D92FDE"/>
    <w:rsid w:val="00D945B7"/>
    <w:rsid w:val="00D94F8B"/>
    <w:rsid w:val="00D955B4"/>
    <w:rsid w:val="00DA506E"/>
    <w:rsid w:val="00DB1FCB"/>
    <w:rsid w:val="00DB4B09"/>
    <w:rsid w:val="00DB7532"/>
    <w:rsid w:val="00DC31BC"/>
    <w:rsid w:val="00DC668B"/>
    <w:rsid w:val="00DD1448"/>
    <w:rsid w:val="00DD2FBC"/>
    <w:rsid w:val="00DD7B8C"/>
    <w:rsid w:val="00DE24C3"/>
    <w:rsid w:val="00DF409B"/>
    <w:rsid w:val="00E01EE3"/>
    <w:rsid w:val="00E02EDC"/>
    <w:rsid w:val="00E0427B"/>
    <w:rsid w:val="00E07958"/>
    <w:rsid w:val="00E212A5"/>
    <w:rsid w:val="00E30538"/>
    <w:rsid w:val="00E3076B"/>
    <w:rsid w:val="00E432AF"/>
    <w:rsid w:val="00E500BA"/>
    <w:rsid w:val="00E54442"/>
    <w:rsid w:val="00E62903"/>
    <w:rsid w:val="00E64D12"/>
    <w:rsid w:val="00E67E54"/>
    <w:rsid w:val="00E7232B"/>
    <w:rsid w:val="00E751B1"/>
    <w:rsid w:val="00E92592"/>
    <w:rsid w:val="00E97BD6"/>
    <w:rsid w:val="00E97CEE"/>
    <w:rsid w:val="00EA1A96"/>
    <w:rsid w:val="00EA5730"/>
    <w:rsid w:val="00EB1470"/>
    <w:rsid w:val="00EB3764"/>
    <w:rsid w:val="00ED40FE"/>
    <w:rsid w:val="00ED417B"/>
    <w:rsid w:val="00ED48AE"/>
    <w:rsid w:val="00ED61A6"/>
    <w:rsid w:val="00ED71F9"/>
    <w:rsid w:val="00EE638B"/>
    <w:rsid w:val="00EE7DA6"/>
    <w:rsid w:val="00EE7F94"/>
    <w:rsid w:val="00EF2E96"/>
    <w:rsid w:val="00EF3A2E"/>
    <w:rsid w:val="00F00E35"/>
    <w:rsid w:val="00F00E3E"/>
    <w:rsid w:val="00F0626E"/>
    <w:rsid w:val="00F06EB2"/>
    <w:rsid w:val="00F070BC"/>
    <w:rsid w:val="00F1338E"/>
    <w:rsid w:val="00F172DC"/>
    <w:rsid w:val="00F2064E"/>
    <w:rsid w:val="00F21941"/>
    <w:rsid w:val="00F22E86"/>
    <w:rsid w:val="00F31678"/>
    <w:rsid w:val="00F419B5"/>
    <w:rsid w:val="00F50078"/>
    <w:rsid w:val="00F50862"/>
    <w:rsid w:val="00F50CC3"/>
    <w:rsid w:val="00F54852"/>
    <w:rsid w:val="00F62081"/>
    <w:rsid w:val="00F6376F"/>
    <w:rsid w:val="00F63AED"/>
    <w:rsid w:val="00F657A6"/>
    <w:rsid w:val="00F65F10"/>
    <w:rsid w:val="00F67734"/>
    <w:rsid w:val="00F70308"/>
    <w:rsid w:val="00F74F89"/>
    <w:rsid w:val="00F75B4F"/>
    <w:rsid w:val="00F76C3D"/>
    <w:rsid w:val="00F8104D"/>
    <w:rsid w:val="00F811B6"/>
    <w:rsid w:val="00FA4582"/>
    <w:rsid w:val="00FA5325"/>
    <w:rsid w:val="00FA677F"/>
    <w:rsid w:val="00FB2A46"/>
    <w:rsid w:val="00FC146E"/>
    <w:rsid w:val="00FC28C9"/>
    <w:rsid w:val="00FD09B5"/>
    <w:rsid w:val="00FD4AFE"/>
    <w:rsid w:val="00FE00F8"/>
    <w:rsid w:val="00FE3D66"/>
    <w:rsid w:val="00FF5178"/>
    <w:rsid w:val="00FF7226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E5493E"/>
  <w15:docId w15:val="{25AB2F02-4A33-4A6E-8183-57FBC92EC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23C1"/>
    <w:pPr>
      <w:spacing w:after="0" w:line="240" w:lineRule="auto"/>
    </w:pPr>
    <w:rPr>
      <w:rFonts w:ascii="Univers (W1)" w:eastAsia="Univers (W1)" w:hAnsi="Univers (W1)" w:cs="Univers (W1)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C145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994BB9"/>
    <w:pPr>
      <w:keepNext/>
      <w:spacing w:before="240"/>
      <w:jc w:val="both"/>
      <w:outlineLvl w:val="1"/>
    </w:pPr>
    <w:rPr>
      <w:rFonts w:ascii="MS Sans Serif" w:hAnsi="MS Sans Serif" w:cs="MS Sans Serif"/>
      <w:b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D71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D71F9"/>
  </w:style>
  <w:style w:type="paragraph" w:styleId="Piedepgina">
    <w:name w:val="footer"/>
    <w:basedOn w:val="Normal"/>
    <w:link w:val="PiedepginaCar"/>
    <w:uiPriority w:val="99"/>
    <w:unhideWhenUsed/>
    <w:rsid w:val="00ED71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71F9"/>
  </w:style>
  <w:style w:type="paragraph" w:styleId="Textonotapie">
    <w:name w:val="footnote text"/>
    <w:basedOn w:val="Normal"/>
    <w:link w:val="TextonotapieCar"/>
    <w:rsid w:val="00ED71F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ED71F9"/>
    <w:rPr>
      <w:rFonts w:ascii="Univers (W1)" w:eastAsia="Univers (W1)" w:hAnsi="Univers (W1)" w:cs="Univers (W1)"/>
      <w:sz w:val="20"/>
      <w:szCs w:val="20"/>
      <w:lang w:eastAsia="es-MX"/>
    </w:rPr>
  </w:style>
  <w:style w:type="character" w:styleId="Refdenotaalpie">
    <w:name w:val="footnote reference"/>
    <w:rsid w:val="00ED71F9"/>
    <w:rPr>
      <w:vertAlign w:val="superscript"/>
    </w:rPr>
  </w:style>
  <w:style w:type="paragraph" w:styleId="Textoindependiente">
    <w:name w:val="Body Text"/>
    <w:basedOn w:val="Normal"/>
    <w:link w:val="TextoindependienteCar"/>
    <w:rsid w:val="00ED71F9"/>
    <w:pPr>
      <w:jc w:val="both"/>
    </w:pPr>
    <w:rPr>
      <w:rFonts w:ascii="MS Sans Serif" w:hAnsi="MS Sans Serif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ED71F9"/>
    <w:rPr>
      <w:rFonts w:ascii="MS Sans Serif" w:eastAsia="Univers (W1)" w:hAnsi="MS Sans Serif" w:cs="Univers (W1)"/>
      <w:sz w:val="24"/>
      <w:szCs w:val="24"/>
      <w:lang w:val="x-none" w:eastAsia="x-none"/>
    </w:rPr>
  </w:style>
  <w:style w:type="paragraph" w:customStyle="1" w:styleId="Profesin">
    <w:name w:val="Profesión"/>
    <w:basedOn w:val="Normal"/>
    <w:rsid w:val="00ED71F9"/>
    <w:pPr>
      <w:jc w:val="center"/>
    </w:pPr>
    <w:rPr>
      <w:rFonts w:ascii="MS Sans Serif" w:hAnsi="MS Sans Serif"/>
      <w:b/>
      <w:caps/>
      <w:sz w:val="28"/>
      <w:szCs w:val="20"/>
      <w:lang w:val="es-ES_tradnl" w:eastAsia="es-ES"/>
    </w:rPr>
  </w:style>
  <w:style w:type="paragraph" w:customStyle="1" w:styleId="n01">
    <w:name w:val="n01"/>
    <w:basedOn w:val="Normal"/>
    <w:rsid w:val="00ED71F9"/>
    <w:pPr>
      <w:keepLines/>
      <w:spacing w:before="240"/>
      <w:ind w:left="720" w:hanging="720"/>
      <w:jc w:val="both"/>
    </w:pPr>
    <w:rPr>
      <w:rFonts w:ascii="MT Extra" w:hAnsi="MT Extra"/>
      <w:color w:val="800080"/>
      <w:szCs w:val="20"/>
      <w:lang w:val="es-ES_tradnl" w:eastAsia="es-ES"/>
    </w:rPr>
  </w:style>
  <w:style w:type="paragraph" w:customStyle="1" w:styleId="Textodebloque1">
    <w:name w:val="Texto de bloque1"/>
    <w:basedOn w:val="Normal"/>
    <w:rsid w:val="00ED71F9"/>
    <w:pPr>
      <w:spacing w:before="240"/>
      <w:ind w:left="1843" w:right="1361" w:hanging="273"/>
      <w:jc w:val="both"/>
    </w:pPr>
    <w:rPr>
      <w:rFonts w:ascii="MS Sans Serif" w:hAnsi="MS Sans Serif"/>
      <w:b/>
      <w:sz w:val="22"/>
      <w:szCs w:val="20"/>
      <w:lang w:val="es-ES_tradnl" w:eastAsia="es-ES"/>
    </w:rPr>
  </w:style>
  <w:style w:type="character" w:styleId="Hipervnculo">
    <w:name w:val="Hyperlink"/>
    <w:rsid w:val="009D0C99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D0C99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B16B4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6B4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6B4A"/>
    <w:rPr>
      <w:rFonts w:ascii="Univers (W1)" w:eastAsia="Univers (W1)" w:hAnsi="Univers (W1)" w:cs="Univers (W1)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6B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6B4A"/>
    <w:rPr>
      <w:rFonts w:ascii="Univers (W1)" w:eastAsia="Univers (W1)" w:hAnsi="Univers (W1)" w:cs="Univers (W1)"/>
      <w:b/>
      <w:bCs/>
      <w:sz w:val="20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6B4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6B4A"/>
    <w:rPr>
      <w:rFonts w:ascii="Segoe UI" w:eastAsia="Univers (W1)" w:hAnsi="Segoe UI" w:cs="Segoe UI"/>
      <w:sz w:val="18"/>
      <w:szCs w:val="18"/>
      <w:lang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BA3ACE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rsid w:val="00994BB9"/>
    <w:rPr>
      <w:rFonts w:ascii="MS Sans Serif" w:eastAsia="Univers (W1)" w:hAnsi="MS Sans Serif" w:cs="MS Sans Serif"/>
      <w:b/>
      <w:i/>
      <w:sz w:val="24"/>
      <w:szCs w:val="24"/>
      <w:lang w:eastAsia="es-MX"/>
    </w:rPr>
  </w:style>
  <w:style w:type="paragraph" w:styleId="NormalWeb">
    <w:name w:val="Normal (Web)"/>
    <w:basedOn w:val="Normal"/>
    <w:uiPriority w:val="99"/>
    <w:rsid w:val="00994BB9"/>
    <w:pPr>
      <w:spacing w:before="100" w:beforeAutospacing="1" w:after="100" w:afterAutospacing="1"/>
    </w:pPr>
    <w:rPr>
      <w:lang w:val="es-ES" w:eastAsia="es-ES"/>
    </w:rPr>
  </w:style>
  <w:style w:type="table" w:styleId="Tabladelista3-nfasis2">
    <w:name w:val="List Table 3 Accent 2"/>
    <w:basedOn w:val="Tablanormal"/>
    <w:uiPriority w:val="48"/>
    <w:rsid w:val="002779E8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aconcuadrculaclara">
    <w:name w:val="Grid Table Light"/>
    <w:basedOn w:val="Tablanormal"/>
    <w:uiPriority w:val="40"/>
    <w:rsid w:val="004A119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rrafodelista">
    <w:name w:val="List Paragraph"/>
    <w:basedOn w:val="Normal"/>
    <w:uiPriority w:val="34"/>
    <w:qFormat/>
    <w:rsid w:val="000A2285"/>
    <w:pPr>
      <w:spacing w:before="120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145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table" w:customStyle="1" w:styleId="TableNormal">
    <w:name w:val="Table Normal"/>
    <w:uiPriority w:val="2"/>
    <w:semiHidden/>
    <w:unhideWhenUsed/>
    <w:qFormat/>
    <w:rsid w:val="00866B0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66B0A"/>
    <w:pPr>
      <w:widowControl w:val="0"/>
      <w:autoSpaceDE w:val="0"/>
      <w:autoSpaceDN w:val="0"/>
      <w:spacing w:before="59"/>
    </w:pPr>
    <w:rPr>
      <w:rFonts w:ascii="Arial" w:eastAsia="Times New Roman" w:hAnsi="Arial" w:cs="Arial"/>
      <w:sz w:val="22"/>
      <w:szCs w:val="22"/>
      <w:lang w:val="en-US" w:eastAsia="en-U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F3A2E"/>
    <w:rPr>
      <w:color w:val="605E5C"/>
      <w:shd w:val="clear" w:color="auto" w:fill="E1DFDD"/>
    </w:rPr>
  </w:style>
  <w:style w:type="paragraph" w:customStyle="1" w:styleId="Default">
    <w:name w:val="Default"/>
    <w:rsid w:val="000A11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nsocial@inegi.org.mx" TargetMode="External"/><Relationship Id="rId13" Type="http://schemas.openxmlformats.org/officeDocument/2006/relationships/hyperlink" Target="https://www.instagram.com/inegi_informa/" TargetMode="External"/><Relationship Id="rId18" Type="http://schemas.openxmlformats.org/officeDocument/2006/relationships/image" Target="media/image5.jpeg"/><Relationship Id="rId26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www.youtube.com/user/INEGIInforma" TargetMode="External"/><Relationship Id="rId25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6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INEGIInforma/" TargetMode="External"/><Relationship Id="rId24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hyperlink" Target="https://twitter.com/INEGI_INFORMA" TargetMode="External"/><Relationship Id="rId23" Type="http://schemas.openxmlformats.org/officeDocument/2006/relationships/chart" Target="charts/chart1.xml"/><Relationship Id="rId28" Type="http://schemas.openxmlformats.org/officeDocument/2006/relationships/hyperlink" Target="https://www.inegi.org.mx/programas/ee/2013/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inegi.org.mx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jpeg"/><Relationship Id="rId22" Type="http://schemas.openxmlformats.org/officeDocument/2006/relationships/image" Target="media/image8.emf"/><Relationship Id="rId27" Type="http://schemas.openxmlformats.org/officeDocument/2006/relationships/hyperlink" Target="https://www.inegi.org.mx/temas/ee/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cuments\CCC\SCEEM\2003-2020\PIBE_20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16885389326336"/>
          <c:y val="6.2689445748799019E-2"/>
          <c:w val="0.80966447944007358"/>
          <c:h val="0.68651380461971123"/>
        </c:manualLayout>
      </c:layout>
      <c:lineChart>
        <c:grouping val="standard"/>
        <c:varyColors val="0"/>
        <c:ser>
          <c:idx val="0"/>
          <c:order val="0"/>
          <c:tx>
            <c:strRef>
              <c:f>[PIBE_2020.xlsx]DESACOPLAMIENTO!$B$1</c:f>
              <c:strCache>
                <c:ptCount val="1"/>
                <c:pt idx="0">
                  <c:v>PIB</c:v>
                </c:pt>
              </c:strCache>
            </c:strRef>
          </c:tx>
          <c:spPr>
            <a:ln w="19050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6350" cap="flat" cmpd="sng" algn="ctr">
                <a:solidFill>
                  <a:schemeClr val="accent1"/>
                </a:solidFill>
                <a:prstDash val="solid"/>
                <a:round/>
              </a:ln>
              <a:effectLst/>
            </c:spPr>
          </c:marker>
          <c:cat>
            <c:numRef>
              <c:f>[PIBE_2020.xlsx]DESACOPLAMIENTO!$A$3:$A$20</c:f>
              <c:numCache>
                <c:formatCode>General</c:formatCode>
                <c:ptCount val="18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  <c:pt idx="4">
                  <c:v>2007</c:v>
                </c:pt>
                <c:pt idx="5">
                  <c:v>2008</c:v>
                </c:pt>
                <c:pt idx="6">
                  <c:v>2009</c:v>
                </c:pt>
                <c:pt idx="7">
                  <c:v>2010</c:v>
                </c:pt>
                <c:pt idx="8">
                  <c:v>2011</c:v>
                </c:pt>
                <c:pt idx="9">
                  <c:v>2012</c:v>
                </c:pt>
                <c:pt idx="10">
                  <c:v>2013</c:v>
                </c:pt>
                <c:pt idx="11">
                  <c:v>2014</c:v>
                </c:pt>
                <c:pt idx="12">
                  <c:v>2015</c:v>
                </c:pt>
                <c:pt idx="13">
                  <c:v>2016</c:v>
                </c:pt>
                <c:pt idx="14">
                  <c:v>2017</c:v>
                </c:pt>
                <c:pt idx="15">
                  <c:v>2018</c:v>
                </c:pt>
                <c:pt idx="16">
                  <c:v>2019</c:v>
                </c:pt>
                <c:pt idx="17">
                  <c:v>2020</c:v>
                </c:pt>
              </c:numCache>
            </c:numRef>
          </c:cat>
          <c:val>
            <c:numRef>
              <c:f>[PIBE_2020.xlsx]DESACOPLAMIENTO!$D$3:$D$20</c:f>
              <c:numCache>
                <c:formatCode>#,##0.0</c:formatCode>
                <c:ptCount val="18"/>
                <c:pt idx="0">
                  <c:v>100</c:v>
                </c:pt>
                <c:pt idx="1">
                  <c:v>112.19444789630431</c:v>
                </c:pt>
                <c:pt idx="2">
                  <c:v>121.52598240675707</c:v>
                </c:pt>
                <c:pt idx="3">
                  <c:v>135.10225853600605</c:v>
                </c:pt>
                <c:pt idx="4">
                  <c:v>146.19842346564414</c:v>
                </c:pt>
                <c:pt idx="5">
                  <c:v>156.99763983092041</c:v>
                </c:pt>
                <c:pt idx="6">
                  <c:v>154.56928731186437</c:v>
                </c:pt>
                <c:pt idx="7">
                  <c:v>169.86530276239867</c:v>
                </c:pt>
                <c:pt idx="8">
                  <c:v>186.37605057309739</c:v>
                </c:pt>
                <c:pt idx="9">
                  <c:v>201.018393919185</c:v>
                </c:pt>
                <c:pt idx="10">
                  <c:v>206.85704703317293</c:v>
                </c:pt>
                <c:pt idx="11">
                  <c:v>222.19759531902855</c:v>
                </c:pt>
                <c:pt idx="12">
                  <c:v>236.02184409100792</c:v>
                </c:pt>
                <c:pt idx="13">
                  <c:v>255.80816558618773</c:v>
                </c:pt>
                <c:pt idx="14">
                  <c:v>278.74823280781465</c:v>
                </c:pt>
                <c:pt idx="15">
                  <c:v>298.95742201603133</c:v>
                </c:pt>
                <c:pt idx="16">
                  <c:v>310.76233401375345</c:v>
                </c:pt>
                <c:pt idx="17">
                  <c:v>296.83496191739641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032-456B-AC33-79DF9878AE07}"/>
            </c:ext>
          </c:extLst>
        </c:ser>
        <c:ser>
          <c:idx val="1"/>
          <c:order val="1"/>
          <c:tx>
            <c:strRef>
              <c:f>[PIBE_2020.xlsx]DESACOPLAMIENTO!$C$1</c:f>
              <c:strCache>
                <c:ptCount val="1"/>
                <c:pt idx="0">
                  <c:v>CTADA</c:v>
                </c:pt>
              </c:strCache>
            </c:strRef>
          </c:tx>
          <c:spPr>
            <a:ln w="19050" cap="rnd" cmpd="sng" algn="ctr">
              <a:solidFill>
                <a:schemeClr val="accent2"/>
              </a:solidFill>
              <a:prstDash val="solid"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6350" cap="flat" cmpd="sng" algn="ctr">
                <a:solidFill>
                  <a:schemeClr val="accent2"/>
                </a:solidFill>
                <a:prstDash val="solid"/>
                <a:round/>
              </a:ln>
              <a:effectLst/>
            </c:spPr>
          </c:marker>
          <c:cat>
            <c:numRef>
              <c:f>[PIBE_2020.xlsx]DESACOPLAMIENTO!$A$3:$A$20</c:f>
              <c:numCache>
                <c:formatCode>General</c:formatCode>
                <c:ptCount val="18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  <c:pt idx="4">
                  <c:v>2007</c:v>
                </c:pt>
                <c:pt idx="5">
                  <c:v>2008</c:v>
                </c:pt>
                <c:pt idx="6">
                  <c:v>2009</c:v>
                </c:pt>
                <c:pt idx="7">
                  <c:v>2010</c:v>
                </c:pt>
                <c:pt idx="8">
                  <c:v>2011</c:v>
                </c:pt>
                <c:pt idx="9">
                  <c:v>2012</c:v>
                </c:pt>
                <c:pt idx="10">
                  <c:v>2013</c:v>
                </c:pt>
                <c:pt idx="11">
                  <c:v>2014</c:v>
                </c:pt>
                <c:pt idx="12">
                  <c:v>2015</c:v>
                </c:pt>
                <c:pt idx="13">
                  <c:v>2016</c:v>
                </c:pt>
                <c:pt idx="14">
                  <c:v>2017</c:v>
                </c:pt>
                <c:pt idx="15">
                  <c:v>2018</c:v>
                </c:pt>
                <c:pt idx="16">
                  <c:v>2019</c:v>
                </c:pt>
                <c:pt idx="17">
                  <c:v>2020</c:v>
                </c:pt>
              </c:numCache>
            </c:numRef>
          </c:cat>
          <c:val>
            <c:numRef>
              <c:f>[PIBE_2020.xlsx]DESACOPLAMIENTO!$E$3:$E$20</c:f>
              <c:numCache>
                <c:formatCode>#,##0.0</c:formatCode>
                <c:ptCount val="18"/>
                <c:pt idx="0">
                  <c:v>100</c:v>
                </c:pt>
                <c:pt idx="1">
                  <c:v>99.596355145726463</c:v>
                </c:pt>
                <c:pt idx="2">
                  <c:v>109.17460400495575</c:v>
                </c:pt>
                <c:pt idx="3">
                  <c:v>117.15606057149664</c:v>
                </c:pt>
                <c:pt idx="4">
                  <c:v>116.89194206534413</c:v>
                </c:pt>
                <c:pt idx="5">
                  <c:v>134.76533243484704</c:v>
                </c:pt>
                <c:pt idx="6">
                  <c:v>136.60610325666781</c:v>
                </c:pt>
                <c:pt idx="7">
                  <c:v>144.39005335924125</c:v>
                </c:pt>
                <c:pt idx="8">
                  <c:v>148.54282887271864</c:v>
                </c:pt>
                <c:pt idx="9">
                  <c:v>164.09355555408186</c:v>
                </c:pt>
                <c:pt idx="10">
                  <c:v>168.73177331705648</c:v>
                </c:pt>
                <c:pt idx="11">
                  <c:v>160.55957092735642</c:v>
                </c:pt>
                <c:pt idx="12">
                  <c:v>160.45728776189404</c:v>
                </c:pt>
                <c:pt idx="13">
                  <c:v>175.73472914402436</c:v>
                </c:pt>
                <c:pt idx="14">
                  <c:v>183.93855431421966</c:v>
                </c:pt>
                <c:pt idx="15">
                  <c:v>194.69340845525497</c:v>
                </c:pt>
                <c:pt idx="16">
                  <c:v>207.05729566969308</c:v>
                </c:pt>
                <c:pt idx="17">
                  <c:v>199.51892065477435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032-456B-AC33-79DF9878AE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>
          <c:spPr>
            <a:ln w="19050" cap="flat" cmpd="sng" algn="ctr">
              <a:solidFill>
                <a:schemeClr val="tx2">
                  <a:alpha val="60000"/>
                </a:schemeClr>
              </a:solidFill>
              <a:prstDash val="dash"/>
              <a:round/>
            </a:ln>
            <a:effectLst/>
          </c:spPr>
        </c:hiLowLines>
        <c:marker val="1"/>
        <c:smooth val="0"/>
        <c:axId val="236556288"/>
        <c:axId val="236557824"/>
      </c:lineChart>
      <c:catAx>
        <c:axId val="23655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36557824"/>
        <c:crosses val="autoZero"/>
        <c:auto val="1"/>
        <c:lblAlgn val="ctr"/>
        <c:lblOffset val="100"/>
        <c:noMultiLvlLbl val="0"/>
      </c:catAx>
      <c:valAx>
        <c:axId val="236557824"/>
        <c:scaling>
          <c:orientation val="minMax"/>
          <c:max val="320"/>
          <c:min val="8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  <a:alpha val="52000"/>
                </a:schemeClr>
              </a:solidFill>
              <a:prstDash val="dashDot"/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36556288"/>
        <c:crosses val="autoZero"/>
        <c:crossBetween val="between"/>
        <c:minorUnit val="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7918285214348204"/>
          <c:y val="0.86973610927976686"/>
          <c:w val="0.44171697287839018"/>
          <c:h val="0.1169410364402124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9525" cap="flat" cmpd="sng" algn="ctr">
      <a:noFill/>
      <a:prstDash val="solid"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9558C-AB90-4EB8-88F6-0CA9FB740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2304</Words>
  <Characters>12673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Comunicado. Cuentas Económicas y Ecológicas de México 2020</vt:lpstr>
    </vt:vector>
  </TitlesOfParts>
  <Company/>
  <LinksUpToDate>false</LinksUpToDate>
  <CharactersWithSpaces>14948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Cuentas Económicas y Ecológicas de México 2020</dc:title>
  <dc:subject/>
  <dc:creator>INEGI</dc:creator>
  <cp:keywords/>
  <dc:description/>
  <cp:lastModifiedBy>GUILLEN MEDINA MOISES</cp:lastModifiedBy>
  <cp:revision>3</cp:revision>
  <cp:lastPrinted>2020-09-29T00:33:00Z</cp:lastPrinted>
  <dcterms:created xsi:type="dcterms:W3CDTF">2021-12-02T02:54:00Z</dcterms:created>
  <dcterms:modified xsi:type="dcterms:W3CDTF">2021-12-02T03:24:00Z</dcterms:modified>
</cp:coreProperties>
</file>