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04BA3" w14:textId="77777777" w:rsidR="0087565B" w:rsidRDefault="0087565B" w:rsidP="0087565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9EE9AB8" wp14:editId="31B25A1D">
                <wp:simplePos x="0" y="0"/>
                <wp:positionH relativeFrom="column">
                  <wp:posOffset>3007995</wp:posOffset>
                </wp:positionH>
                <wp:positionV relativeFrom="paragraph">
                  <wp:posOffset>65405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1C91EF9" w14:textId="77777777" w:rsidR="0087565B" w:rsidRPr="00E70F77" w:rsidRDefault="0087565B" w:rsidP="0087565B">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21 de 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E9AB8" id="_x0000_t202" coordsize="21600,21600" o:spt="202" path="m,l,21600r21600,l21600,xe">
                <v:stroke joinstyle="miter"/>
                <v:path gradientshapeok="t" o:connecttype="rect"/>
              </v:shapetype>
              <v:shape id="Cuadro de texto 217" o:spid="_x0000_s1026" type="#_x0000_t202" style="position:absolute;left:0;text-align:left;margin-left:236.85pt;margin-top:5.1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" stroked="f">
                <v:textbox>
                  <w:txbxContent>
                    <w:p w14:paraId="11C91EF9" w14:textId="77777777" w:rsidR="0087565B" w:rsidRPr="00E70F77" w:rsidRDefault="0087565B" w:rsidP="0087565B">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21 de octubre</w:t>
                      </w:r>
                    </w:p>
                  </w:txbxContent>
                </v:textbox>
                <w10:wrap type="square"/>
              </v:shape>
            </w:pict>
          </mc:Fallback>
        </mc:AlternateContent>
      </w:r>
    </w:p>
    <w:p w14:paraId="20E2702D" w14:textId="77777777" w:rsidR="0087565B" w:rsidRDefault="0087565B" w:rsidP="0087565B">
      <w:pPr>
        <w:tabs>
          <w:tab w:val="left" w:pos="8789"/>
        </w:tabs>
        <w:ind w:right="51"/>
        <w:jc w:val="center"/>
        <w:rPr>
          <w:b/>
          <w:sz w:val="28"/>
        </w:rPr>
      </w:pPr>
    </w:p>
    <w:p w14:paraId="29F63E86" w14:textId="77777777" w:rsidR="0087565B" w:rsidRPr="00A410F9" w:rsidRDefault="0087565B" w:rsidP="0087565B">
      <w:pPr>
        <w:pStyle w:val="Profesin"/>
        <w:contextualSpacing/>
        <w:outlineLvl w:val="0"/>
      </w:pPr>
    </w:p>
    <w:p w14:paraId="66C95BCA" w14:textId="158C9CF5" w:rsidR="0087565B" w:rsidRPr="00706F61" w:rsidRDefault="0087565B" w:rsidP="0087565B">
      <w:pPr>
        <w:pStyle w:val="Profesin"/>
        <w:outlineLvl w:val="0"/>
        <w:rPr>
          <w:b w:val="0"/>
          <w:caps w:val="0"/>
          <w:sz w:val="24"/>
          <w:szCs w:val="24"/>
        </w:rPr>
      </w:pPr>
      <w:bookmarkStart w:id="0" w:name="_GoBack"/>
      <w:bookmarkEnd w:id="0"/>
      <w:r w:rsidRPr="00706F61">
        <w:rPr>
          <w:sz w:val="24"/>
          <w:szCs w:val="24"/>
        </w:rPr>
        <w:t>INDICADORES DE Empresas Comerciales</w:t>
      </w:r>
    </w:p>
    <w:p w14:paraId="55D34EAA" w14:textId="77777777" w:rsidR="0087565B" w:rsidRPr="00706F61" w:rsidRDefault="0087565B" w:rsidP="0087565B">
      <w:pPr>
        <w:jc w:val="center"/>
        <w:rPr>
          <w:b/>
          <w:spacing w:val="25"/>
        </w:rPr>
      </w:pPr>
      <w:r w:rsidRPr="00706F61">
        <w:rPr>
          <w:b/>
          <w:spacing w:val="25"/>
        </w:rPr>
        <w:t>CIFRAS DURANTE JULIO DE 2021</w:t>
      </w:r>
    </w:p>
    <w:p w14:paraId="267DBA62" w14:textId="539FDBE6" w:rsidR="0087565B" w:rsidRPr="00706F61" w:rsidRDefault="0087565B" w:rsidP="0087565B">
      <w:pPr>
        <w:jc w:val="center"/>
        <w:rPr>
          <w:b/>
          <w:i/>
          <w:spacing w:val="25"/>
        </w:rPr>
      </w:pPr>
      <w:r w:rsidRPr="00706F61">
        <w:rPr>
          <w:b/>
          <w:i/>
          <w:spacing w:val="25"/>
        </w:rPr>
        <w:t>(Cifras desestacionalizadas)</w:t>
      </w:r>
    </w:p>
    <w:p w14:paraId="40640749" w14:textId="77777777" w:rsidR="0087565B" w:rsidRPr="009D0C28" w:rsidRDefault="0087565B" w:rsidP="0087565B">
      <w:pPr>
        <w:spacing w:before="240"/>
        <w:ind w:left="-142" w:right="-547"/>
        <w:rPr>
          <w:snapToGrid w:val="0"/>
          <w:spacing w:val="6"/>
        </w:rPr>
      </w:pPr>
      <w:r w:rsidRPr="009D0C28">
        <w:rPr>
          <w:snapToGrid w:val="0"/>
          <w:spacing w:val="6"/>
        </w:rPr>
        <w:t>El Instituto Nacional de Estadística y Geografía (INEGI) informa que en julio del presente año en las Empresas Comerciales al por Mayor los Ingresos</w:t>
      </w:r>
      <w:r w:rsidRPr="009D0C28">
        <w:rPr>
          <w:snapToGrid w:val="0"/>
          <w:vertAlign w:val="superscript"/>
        </w:rPr>
        <w:footnoteReference w:id="1"/>
      </w:r>
      <w:r w:rsidRPr="009D0C28">
        <w:rPr>
          <w:snapToGrid w:val="0"/>
          <w:spacing w:val="6"/>
        </w:rPr>
        <w:t xml:space="preserve"> reales por suministro de bienes y servicios aumentaron 1% y las Remuneraciones medias reales pagadas fueron inferiores en 2.9%, en tanto que el Personal ocupado total no mostró variación respecto al mes inmediato anterior, con cifras desestacionalizadas</w:t>
      </w:r>
      <w:r w:rsidRPr="009D0C28">
        <w:rPr>
          <w:rStyle w:val="Refdenotaalpie"/>
          <w:snapToGrid w:val="0"/>
          <w:spacing w:val="6"/>
        </w:rPr>
        <w:footnoteReference w:id="2"/>
      </w:r>
      <w:r w:rsidRPr="009D0C28">
        <w:rPr>
          <w:snapToGrid w:val="0"/>
          <w:spacing w:val="6"/>
        </w:rPr>
        <w:t>.</w:t>
      </w:r>
    </w:p>
    <w:p w14:paraId="58785283" w14:textId="77777777" w:rsidR="0087565B" w:rsidRPr="007F014B" w:rsidRDefault="0087565B" w:rsidP="0087565B">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1B024103" w14:textId="77777777" w:rsidR="0087565B" w:rsidRPr="007F014B" w:rsidRDefault="0087565B" w:rsidP="0087565B">
      <w:pPr>
        <w:pStyle w:val="p0"/>
        <w:keepLines w:val="0"/>
        <w:spacing w:before="0"/>
        <w:jc w:val="center"/>
        <w:rPr>
          <w:rFonts w:ascii="Arial" w:hAnsi="Arial"/>
          <w:b/>
          <w:smallCaps/>
          <w:color w:val="auto"/>
          <w:sz w:val="22"/>
        </w:rPr>
      </w:pPr>
      <w:r w:rsidRPr="007F014B">
        <w:rPr>
          <w:rFonts w:ascii="Arial" w:hAnsi="Arial"/>
          <w:b/>
          <w:smallCaps/>
          <w:color w:val="auto"/>
          <w:sz w:val="22"/>
        </w:rPr>
        <w:t>Indicadores de las Empresas Comerciales al por Mayor a</w:t>
      </w:r>
      <w:r>
        <w:rPr>
          <w:rFonts w:ascii="Arial" w:hAnsi="Arial"/>
          <w:b/>
          <w:smallCaps/>
          <w:color w:val="auto"/>
          <w:sz w:val="22"/>
        </w:rPr>
        <w:t xml:space="preserve"> julio</w:t>
      </w:r>
      <w:r w:rsidRPr="007F014B">
        <w:rPr>
          <w:rFonts w:ascii="Arial" w:hAnsi="Arial"/>
          <w:b/>
          <w:smallCaps/>
          <w:color w:val="auto"/>
          <w:sz w:val="22"/>
        </w:rPr>
        <w:t xml:space="preserve"> de 2021</w:t>
      </w:r>
    </w:p>
    <w:p w14:paraId="4084C643" w14:textId="77777777" w:rsidR="0087565B" w:rsidRPr="007F014B" w:rsidRDefault="0087565B" w:rsidP="0087565B">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40B6DEB1" w14:textId="77777777" w:rsidR="0087565B" w:rsidRPr="007F014B" w:rsidRDefault="0087565B" w:rsidP="0087565B">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87565B" w:rsidRPr="007F014B" w14:paraId="44CC9CBB" w14:textId="77777777" w:rsidTr="003E7B9F">
        <w:trPr>
          <w:jc w:val="center"/>
        </w:trPr>
        <w:tc>
          <w:tcPr>
            <w:tcW w:w="6980" w:type="dxa"/>
          </w:tcPr>
          <w:p w14:paraId="428A0AC9" w14:textId="77777777" w:rsidR="0087565B" w:rsidRPr="007F014B" w:rsidRDefault="0087565B" w:rsidP="003E7B9F">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87565B" w:rsidRPr="007F014B" w14:paraId="03D2E6E1" w14:textId="77777777" w:rsidTr="003E7B9F">
        <w:tblPrEx>
          <w:tblCellMar>
            <w:left w:w="70" w:type="dxa"/>
            <w:right w:w="70" w:type="dxa"/>
          </w:tblCellMar>
        </w:tblPrEx>
        <w:trPr>
          <w:trHeight w:val="3969"/>
          <w:jc w:val="center"/>
        </w:trPr>
        <w:tc>
          <w:tcPr>
            <w:tcW w:w="6980" w:type="dxa"/>
          </w:tcPr>
          <w:p w14:paraId="78A5985C" w14:textId="77777777" w:rsidR="0087565B" w:rsidRPr="007F014B" w:rsidRDefault="0087565B" w:rsidP="003E7B9F">
            <w:pPr>
              <w:pStyle w:val="Textoindependiente"/>
              <w:widowControl w:val="0"/>
              <w:spacing w:before="20" w:after="20"/>
              <w:jc w:val="center"/>
              <w:rPr>
                <w:sz w:val="18"/>
                <w:szCs w:val="18"/>
              </w:rPr>
            </w:pPr>
            <w:r>
              <w:rPr>
                <w:noProof/>
                <w:lang w:val="es-MX" w:eastAsia="es-MX"/>
              </w:rPr>
              <w:drawing>
                <wp:inline distT="0" distB="0" distL="0" distR="0" wp14:anchorId="2237D923" wp14:editId="5391DBF2">
                  <wp:extent cx="4320000" cy="2520000"/>
                  <wp:effectExtent l="0" t="0" r="23495" b="139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18C4BFF" w14:textId="656FB5B1" w:rsidR="00392B6A" w:rsidRDefault="00392B6A" w:rsidP="0087565B">
      <w:pPr>
        <w:pStyle w:val="p0"/>
        <w:keepNext/>
        <w:spacing w:before="360"/>
        <w:jc w:val="center"/>
        <w:rPr>
          <w:rFonts w:ascii="Arial" w:hAnsi="Arial"/>
          <w:color w:val="auto"/>
          <w:sz w:val="20"/>
        </w:rPr>
      </w:pPr>
    </w:p>
    <w:p w14:paraId="099A3F6A" w14:textId="77777777" w:rsidR="00392B6A" w:rsidRDefault="00392B6A">
      <w:pPr>
        <w:jc w:val="left"/>
        <w:rPr>
          <w:snapToGrid w:val="0"/>
          <w:sz w:val="20"/>
        </w:rPr>
      </w:pPr>
      <w:r>
        <w:rPr>
          <w:sz w:val="20"/>
        </w:rPr>
        <w:br w:type="page"/>
      </w:r>
    </w:p>
    <w:p w14:paraId="680D6885" w14:textId="77777777" w:rsidR="0087565B" w:rsidRDefault="0087565B" w:rsidP="0087565B">
      <w:pPr>
        <w:pStyle w:val="p0"/>
        <w:keepNext/>
        <w:spacing w:before="360"/>
        <w:jc w:val="center"/>
        <w:rPr>
          <w:rFonts w:ascii="Arial" w:hAnsi="Arial"/>
          <w:color w:val="auto"/>
          <w:sz w:val="20"/>
        </w:rPr>
      </w:pPr>
    </w:p>
    <w:p w14:paraId="2E4C5745" w14:textId="77777777" w:rsidR="0087565B" w:rsidRPr="007F014B" w:rsidRDefault="0087565B" w:rsidP="0087565B">
      <w:pPr>
        <w:pStyle w:val="p0"/>
        <w:keepNext/>
        <w:spacing w:before="480"/>
        <w:jc w:val="center"/>
        <w:rPr>
          <w:rFonts w:ascii="Arial" w:hAnsi="Arial"/>
          <w:b/>
          <w:smallCaps/>
          <w:color w:val="auto"/>
          <w:sz w:val="22"/>
        </w:rPr>
      </w:pPr>
      <w:r w:rsidRPr="007F014B">
        <w:rPr>
          <w:rFonts w:ascii="Arial" w:hAnsi="Arial"/>
          <w:color w:val="auto"/>
          <w:sz w:val="20"/>
        </w:rPr>
        <w:t>Gráfica 2</w:t>
      </w:r>
    </w:p>
    <w:p w14:paraId="41BCBF9E" w14:textId="77777777" w:rsidR="0087565B" w:rsidRPr="007F014B" w:rsidRDefault="0087565B" w:rsidP="0087565B">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al por Menor a</w:t>
      </w:r>
      <w:r>
        <w:rPr>
          <w:rFonts w:ascii="Arial" w:hAnsi="Arial"/>
          <w:b/>
          <w:smallCaps/>
          <w:color w:val="auto"/>
          <w:sz w:val="22"/>
        </w:rPr>
        <w:t xml:space="preserve"> julio</w:t>
      </w:r>
      <w:r w:rsidRPr="007F014B">
        <w:rPr>
          <w:rFonts w:ascii="Arial" w:hAnsi="Arial"/>
          <w:b/>
          <w:smallCaps/>
          <w:color w:val="auto"/>
          <w:sz w:val="22"/>
        </w:rPr>
        <w:t xml:space="preserve"> de 2021</w:t>
      </w:r>
    </w:p>
    <w:p w14:paraId="010FEA2B" w14:textId="77777777" w:rsidR="0087565B" w:rsidRPr="007F014B" w:rsidRDefault="0087565B" w:rsidP="0087565B">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5A9717F6" w14:textId="77777777" w:rsidR="0087565B" w:rsidRPr="007F014B" w:rsidRDefault="0087565B" w:rsidP="0087565B">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87565B" w:rsidRPr="007F014B" w14:paraId="3377320E" w14:textId="77777777" w:rsidTr="003E7B9F">
        <w:trPr>
          <w:jc w:val="center"/>
        </w:trPr>
        <w:tc>
          <w:tcPr>
            <w:tcW w:w="0" w:type="auto"/>
          </w:tcPr>
          <w:p w14:paraId="717F15E0" w14:textId="77777777" w:rsidR="0087565B" w:rsidRPr="007F014B" w:rsidRDefault="0087565B" w:rsidP="003E7B9F">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87565B" w:rsidRPr="007F014B" w14:paraId="5B41A1D7" w14:textId="77777777" w:rsidTr="003E7B9F">
        <w:tblPrEx>
          <w:tblCellMar>
            <w:left w:w="70" w:type="dxa"/>
            <w:right w:w="70" w:type="dxa"/>
          </w:tblCellMar>
        </w:tblPrEx>
        <w:trPr>
          <w:trHeight w:val="3969"/>
          <w:jc w:val="center"/>
        </w:trPr>
        <w:tc>
          <w:tcPr>
            <w:tcW w:w="6980" w:type="dxa"/>
          </w:tcPr>
          <w:p w14:paraId="7EC80A57" w14:textId="77777777" w:rsidR="0087565B" w:rsidRPr="007F014B" w:rsidRDefault="0087565B" w:rsidP="003E7B9F">
            <w:pPr>
              <w:pStyle w:val="Textoindependiente"/>
              <w:widowControl w:val="0"/>
              <w:spacing w:before="20" w:after="20"/>
              <w:jc w:val="center"/>
              <w:rPr>
                <w:sz w:val="18"/>
                <w:szCs w:val="18"/>
              </w:rPr>
            </w:pPr>
            <w:r>
              <w:rPr>
                <w:noProof/>
                <w:lang w:val="es-MX" w:eastAsia="es-MX"/>
              </w:rPr>
              <w:drawing>
                <wp:inline distT="0" distB="0" distL="0" distR="0" wp14:anchorId="1DAFB0A7" wp14:editId="7818B30F">
                  <wp:extent cx="4320000" cy="2520000"/>
                  <wp:effectExtent l="0" t="0" r="23495" b="13970"/>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FEAA738" w14:textId="77777777" w:rsidR="0087565B" w:rsidRDefault="0087565B" w:rsidP="0087565B">
      <w:pPr>
        <w:pStyle w:val="p0"/>
        <w:keepNext/>
        <w:spacing w:before="360"/>
        <w:jc w:val="center"/>
        <w:rPr>
          <w:rFonts w:ascii="Arial" w:hAnsi="Arial"/>
          <w:color w:val="auto"/>
          <w:sz w:val="20"/>
        </w:rPr>
      </w:pPr>
    </w:p>
    <w:p w14:paraId="681E01AF" w14:textId="77777777" w:rsidR="0087565B" w:rsidRPr="0074170F" w:rsidRDefault="0087565B" w:rsidP="0087565B">
      <w:pPr>
        <w:spacing w:before="240"/>
        <w:ind w:left="-142" w:right="-547"/>
        <w:rPr>
          <w:snapToGrid w:val="0"/>
          <w:spacing w:val="6"/>
        </w:rPr>
      </w:pPr>
      <w:r w:rsidRPr="0074170F">
        <w:rPr>
          <w:snapToGrid w:val="0"/>
          <w:spacing w:val="6"/>
        </w:rPr>
        <w:t>En las Empresas Comerciales al por Menor los Ingresos reales por suministro de bienes y servicios descendieron 0.4%, mientras que las Remuneraciones medias reales crecieron 2.1% y el Personal ocupado total subió 0.2% en julio de 2021 con relación a junio pasado.</w:t>
      </w:r>
    </w:p>
    <w:p w14:paraId="6233779B" w14:textId="77777777" w:rsidR="0087565B" w:rsidRPr="0074170F" w:rsidRDefault="0087565B" w:rsidP="0087565B">
      <w:pPr>
        <w:spacing w:before="360"/>
        <w:ind w:left="-142" w:right="-547"/>
        <w:rPr>
          <w:snapToGrid w:val="0"/>
          <w:spacing w:val="2"/>
        </w:rPr>
      </w:pPr>
      <w:r w:rsidRPr="0074170F">
        <w:rPr>
          <w:snapToGrid w:val="0"/>
          <w:spacing w:val="2"/>
        </w:rPr>
        <w:t>A tasa anual, los datos desestacionalizados del Comercio al por Mayor reportaron el siguiente comportamiento: los Ingresos reales por suministro de bienes y servicios se incrementaron 16%, las Remuneraciones medias reales pagadas 4.7% y el Personal ocupado total ascendió 1.9% en el séptimo mes de 2021.</w:t>
      </w:r>
    </w:p>
    <w:p w14:paraId="6B8057C3" w14:textId="77777777" w:rsidR="0087565B" w:rsidRPr="00776BE0" w:rsidRDefault="0087565B" w:rsidP="0087565B">
      <w:pPr>
        <w:pStyle w:val="p01"/>
        <w:keepNext/>
        <w:widowControl w:val="0"/>
        <w:spacing w:before="120"/>
        <w:jc w:val="center"/>
        <w:outlineLvl w:val="0"/>
        <w:rPr>
          <w:rFonts w:ascii="Arial" w:hAnsi="Arial" w:cs="Arial"/>
          <w:smallCaps/>
          <w:color w:val="auto"/>
          <w:szCs w:val="24"/>
        </w:rPr>
      </w:pPr>
    </w:p>
    <w:p w14:paraId="185581A1" w14:textId="3C796585" w:rsidR="00392B6A" w:rsidRDefault="00392B6A">
      <w:pPr>
        <w:jc w:val="left"/>
        <w:rPr>
          <w:rFonts w:ascii="Helvetica" w:hAnsi="Helvetica"/>
          <w:snapToGrid w:val="0"/>
          <w:color w:val="0000FF"/>
        </w:rPr>
      </w:pPr>
      <w:r>
        <w:rPr>
          <w:rFonts w:ascii="Helvetica" w:hAnsi="Helvetica"/>
          <w:snapToGrid w:val="0"/>
        </w:rPr>
        <w:br w:type="page"/>
      </w:r>
    </w:p>
    <w:p w14:paraId="18386BF9" w14:textId="77777777" w:rsidR="0087565B" w:rsidRDefault="0087565B" w:rsidP="0087565B">
      <w:pPr>
        <w:pStyle w:val="p01"/>
        <w:keepNext/>
        <w:widowControl w:val="0"/>
        <w:spacing w:before="0"/>
        <w:jc w:val="center"/>
        <w:outlineLvl w:val="0"/>
        <w:rPr>
          <w:rFonts w:ascii="Arial" w:hAnsi="Arial" w:cs="Arial"/>
          <w:b/>
          <w:smallCaps/>
          <w:color w:val="auto"/>
          <w:sz w:val="22"/>
        </w:rPr>
      </w:pPr>
    </w:p>
    <w:p w14:paraId="235ACC3D" w14:textId="77777777" w:rsidR="0087565B" w:rsidRDefault="0087565B" w:rsidP="0087565B">
      <w:pPr>
        <w:pStyle w:val="p01"/>
        <w:keepNext/>
        <w:widowControl w:val="0"/>
        <w:spacing w:before="0"/>
        <w:jc w:val="center"/>
        <w:outlineLvl w:val="0"/>
        <w:rPr>
          <w:rFonts w:ascii="Arial" w:hAnsi="Arial" w:cs="Arial"/>
          <w:b/>
          <w:smallCaps/>
          <w:color w:val="auto"/>
          <w:sz w:val="22"/>
        </w:rPr>
      </w:pPr>
    </w:p>
    <w:p w14:paraId="6D5A1653" w14:textId="77777777" w:rsidR="0087565B" w:rsidRPr="007F014B" w:rsidRDefault="0087565B" w:rsidP="0087565B">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rPr>
        <w:t xml:space="preserve">Indicadores del </w:t>
      </w:r>
      <w:r w:rsidRPr="007F014B">
        <w:rPr>
          <w:rFonts w:ascii="Arial" w:hAnsi="Arial" w:cs="Arial"/>
          <w:b/>
          <w:smallCaps/>
          <w:color w:val="auto"/>
          <w:sz w:val="22"/>
          <w:lang w:val="es-MX"/>
        </w:rPr>
        <w:t xml:space="preserve">Comercio Interior </w:t>
      </w:r>
      <w:r w:rsidRPr="007F014B">
        <w:rPr>
          <w:rFonts w:ascii="Arial" w:hAnsi="Arial" w:cs="Arial"/>
          <w:b/>
          <w:smallCaps/>
          <w:color w:val="auto"/>
          <w:sz w:val="22"/>
          <w:szCs w:val="22"/>
        </w:rPr>
        <w:t xml:space="preserve">durante </w:t>
      </w:r>
      <w:r>
        <w:rPr>
          <w:rFonts w:ascii="Arial" w:hAnsi="Arial" w:cs="Arial"/>
          <w:b/>
          <w:smallCaps/>
          <w:color w:val="auto"/>
          <w:sz w:val="22"/>
          <w:szCs w:val="22"/>
        </w:rPr>
        <w:t>julio</w:t>
      </w:r>
      <w:r w:rsidRPr="007F014B">
        <w:rPr>
          <w:rFonts w:ascii="Arial" w:hAnsi="Arial" w:cs="Arial"/>
          <w:b/>
          <w:smallCaps/>
          <w:color w:val="auto"/>
          <w:sz w:val="22"/>
          <w:szCs w:val="22"/>
        </w:rPr>
        <w:t xml:space="preserve"> de 2021</w:t>
      </w:r>
    </w:p>
    <w:p w14:paraId="34176A03" w14:textId="77777777" w:rsidR="0087565B" w:rsidRPr="007F014B" w:rsidRDefault="0087565B" w:rsidP="0087565B">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87565B" w:rsidRPr="007F014B" w14:paraId="1897944C" w14:textId="77777777" w:rsidTr="003E7B9F">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014AB24F" w14:textId="77777777" w:rsidR="0087565B" w:rsidRPr="007F014B" w:rsidRDefault="0087565B" w:rsidP="003E7B9F">
            <w:pPr>
              <w:pStyle w:val="p0"/>
              <w:keepLines w:val="0"/>
              <w:widowControl/>
              <w:spacing w:before="40" w:after="40"/>
              <w:ind w:left="470"/>
              <w:jc w:val="left"/>
              <w:rPr>
                <w:rFonts w:ascii="Arial" w:hAnsi="Arial"/>
                <w:color w:val="000000" w:themeColor="text1"/>
                <w:sz w:val="18"/>
                <w:szCs w:val="18"/>
              </w:rPr>
            </w:pPr>
            <w:r w:rsidRPr="007F014B">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29A74389" w14:textId="77777777" w:rsidR="0087565B" w:rsidRPr="007F014B" w:rsidRDefault="0087565B" w:rsidP="003E7B9F">
            <w:pPr>
              <w:pStyle w:val="p0"/>
              <w:keepLines w:val="0"/>
              <w:widowControl/>
              <w:spacing w:before="40" w:after="40"/>
              <w:ind w:left="-105" w:right="-105"/>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10D6B983" w14:textId="77777777" w:rsidR="0087565B" w:rsidRPr="007F014B" w:rsidRDefault="0087565B" w:rsidP="003E7B9F">
            <w:pPr>
              <w:pStyle w:val="p0"/>
              <w:keepLines w:val="0"/>
              <w:widowControl/>
              <w:spacing w:before="40" w:after="40"/>
              <w:ind w:left="-110" w:right="-90"/>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Menor</w:t>
            </w:r>
          </w:p>
        </w:tc>
      </w:tr>
      <w:tr w:rsidR="0087565B" w:rsidRPr="007F014B" w14:paraId="1A31590E" w14:textId="77777777" w:rsidTr="003E7B9F">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0A20DE33" w14:textId="77777777" w:rsidR="0087565B" w:rsidRPr="007F014B" w:rsidRDefault="0087565B" w:rsidP="003E7B9F">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9F8F74C" w14:textId="77777777" w:rsidR="0087565B" w:rsidRPr="007F014B" w:rsidRDefault="0087565B" w:rsidP="003E7B9F">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4F33F99C" w14:textId="77777777" w:rsidR="0087565B" w:rsidRPr="007F014B" w:rsidRDefault="0087565B" w:rsidP="003E7B9F">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7FBB373" w14:textId="77777777" w:rsidR="0087565B" w:rsidRPr="007F014B" w:rsidRDefault="0087565B" w:rsidP="003E7B9F">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2E1FEF70" w14:textId="77777777" w:rsidR="0087565B" w:rsidRPr="007F014B" w:rsidRDefault="0087565B" w:rsidP="003E7B9F">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r>
      <w:tr w:rsidR="0087565B" w:rsidRPr="007F014B" w14:paraId="5DC747F0" w14:textId="77777777" w:rsidTr="003E7B9F">
        <w:trPr>
          <w:jc w:val="center"/>
        </w:trPr>
        <w:tc>
          <w:tcPr>
            <w:tcW w:w="3967" w:type="dxa"/>
            <w:tcBorders>
              <w:top w:val="single" w:sz="6" w:space="0" w:color="404040"/>
              <w:bottom w:val="nil"/>
              <w:right w:val="single" w:sz="6" w:space="0" w:color="404040"/>
            </w:tcBorders>
            <w:shd w:val="clear" w:color="auto" w:fill="auto"/>
            <w:vAlign w:val="center"/>
            <w:hideMark/>
          </w:tcPr>
          <w:p w14:paraId="72323EDB" w14:textId="77777777" w:rsidR="0087565B" w:rsidRPr="007F014B" w:rsidRDefault="0087565B" w:rsidP="003E7B9F">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0CA2506C" w14:textId="77777777" w:rsidR="0087565B" w:rsidRPr="007F014B" w:rsidRDefault="0087565B" w:rsidP="003E7B9F">
            <w:pPr>
              <w:tabs>
                <w:tab w:val="decimal" w:pos="453"/>
              </w:tabs>
              <w:jc w:val="left"/>
              <w:rPr>
                <w:color w:val="000000"/>
                <w:sz w:val="18"/>
                <w:szCs w:val="18"/>
              </w:rPr>
            </w:pPr>
            <w:r>
              <w:rPr>
                <w:color w:val="000000"/>
                <w:sz w:val="18"/>
                <w:szCs w:val="18"/>
              </w:rPr>
              <w:t>1.0</w:t>
            </w:r>
          </w:p>
        </w:tc>
        <w:tc>
          <w:tcPr>
            <w:tcW w:w="950" w:type="dxa"/>
            <w:tcBorders>
              <w:top w:val="single" w:sz="6" w:space="0" w:color="404040"/>
              <w:left w:val="nil"/>
              <w:bottom w:val="nil"/>
              <w:right w:val="single" w:sz="6" w:space="0" w:color="404040"/>
            </w:tcBorders>
            <w:shd w:val="clear" w:color="auto" w:fill="auto"/>
            <w:vAlign w:val="center"/>
          </w:tcPr>
          <w:p w14:paraId="49F3F243" w14:textId="77777777" w:rsidR="0087565B" w:rsidRPr="007F014B" w:rsidRDefault="0087565B" w:rsidP="003E7B9F">
            <w:pPr>
              <w:tabs>
                <w:tab w:val="decimal" w:pos="387"/>
              </w:tabs>
              <w:jc w:val="left"/>
              <w:rPr>
                <w:color w:val="000000"/>
                <w:sz w:val="18"/>
                <w:szCs w:val="18"/>
              </w:rPr>
            </w:pPr>
            <w:r>
              <w:rPr>
                <w:color w:val="000000"/>
                <w:sz w:val="18"/>
                <w:szCs w:val="18"/>
              </w:rPr>
              <w:t>16.0</w:t>
            </w:r>
          </w:p>
        </w:tc>
        <w:tc>
          <w:tcPr>
            <w:tcW w:w="951" w:type="dxa"/>
            <w:tcBorders>
              <w:top w:val="single" w:sz="6" w:space="0" w:color="404040"/>
              <w:left w:val="single" w:sz="6" w:space="0" w:color="404040"/>
              <w:bottom w:val="nil"/>
              <w:right w:val="nil"/>
            </w:tcBorders>
            <w:shd w:val="clear" w:color="auto" w:fill="auto"/>
            <w:vAlign w:val="center"/>
          </w:tcPr>
          <w:p w14:paraId="2EA1C291" w14:textId="77777777" w:rsidR="0087565B" w:rsidRPr="007F014B" w:rsidRDefault="0087565B" w:rsidP="003E7B9F">
            <w:pPr>
              <w:tabs>
                <w:tab w:val="left" w:pos="112"/>
                <w:tab w:val="decimal" w:pos="453"/>
              </w:tabs>
              <w:jc w:val="left"/>
              <w:rPr>
                <w:color w:val="000000"/>
                <w:sz w:val="18"/>
                <w:szCs w:val="18"/>
              </w:rPr>
            </w:pPr>
            <w:r>
              <w:rPr>
                <w:color w:val="000000"/>
                <w:sz w:val="18"/>
                <w:szCs w:val="18"/>
              </w:rPr>
              <w:tab/>
              <w:t>(-)</w:t>
            </w:r>
            <w:r>
              <w:rPr>
                <w:color w:val="000000"/>
                <w:sz w:val="18"/>
                <w:szCs w:val="18"/>
              </w:rPr>
              <w:tab/>
              <w:t>0.4</w:t>
            </w:r>
          </w:p>
        </w:tc>
        <w:tc>
          <w:tcPr>
            <w:tcW w:w="951" w:type="dxa"/>
            <w:tcBorders>
              <w:top w:val="single" w:sz="6" w:space="0" w:color="404040"/>
              <w:left w:val="nil"/>
              <w:bottom w:val="nil"/>
            </w:tcBorders>
            <w:shd w:val="clear" w:color="auto" w:fill="auto"/>
            <w:vAlign w:val="center"/>
          </w:tcPr>
          <w:p w14:paraId="0EB2006E" w14:textId="77777777" w:rsidR="0087565B" w:rsidRPr="007F014B" w:rsidRDefault="0087565B" w:rsidP="003E7B9F">
            <w:pPr>
              <w:tabs>
                <w:tab w:val="decimal" w:pos="359"/>
              </w:tabs>
              <w:jc w:val="left"/>
              <w:rPr>
                <w:color w:val="000000"/>
                <w:sz w:val="18"/>
                <w:szCs w:val="18"/>
              </w:rPr>
            </w:pPr>
            <w:r>
              <w:rPr>
                <w:color w:val="000000"/>
                <w:sz w:val="18"/>
                <w:szCs w:val="18"/>
              </w:rPr>
              <w:t>10.0</w:t>
            </w:r>
          </w:p>
        </w:tc>
      </w:tr>
      <w:tr w:rsidR="0087565B" w:rsidRPr="007F014B" w14:paraId="35C986BB" w14:textId="77777777" w:rsidTr="003E7B9F">
        <w:trPr>
          <w:jc w:val="center"/>
        </w:trPr>
        <w:tc>
          <w:tcPr>
            <w:tcW w:w="3967" w:type="dxa"/>
            <w:tcBorders>
              <w:top w:val="nil"/>
              <w:bottom w:val="nil"/>
              <w:right w:val="single" w:sz="6" w:space="0" w:color="404040"/>
            </w:tcBorders>
            <w:shd w:val="clear" w:color="auto" w:fill="auto"/>
            <w:vAlign w:val="center"/>
            <w:hideMark/>
          </w:tcPr>
          <w:p w14:paraId="411FA312" w14:textId="77777777" w:rsidR="0087565B" w:rsidRPr="007F014B" w:rsidRDefault="0087565B" w:rsidP="003E7B9F">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75BFBE0E" w14:textId="77777777" w:rsidR="0087565B" w:rsidRPr="007F014B" w:rsidRDefault="0087565B" w:rsidP="003E7B9F">
            <w:pPr>
              <w:tabs>
                <w:tab w:val="decimal" w:pos="453"/>
              </w:tabs>
              <w:jc w:val="left"/>
              <w:rPr>
                <w:color w:val="000000"/>
                <w:sz w:val="18"/>
                <w:szCs w:val="18"/>
              </w:rPr>
            </w:pPr>
            <w:r>
              <w:rPr>
                <w:color w:val="000000"/>
                <w:sz w:val="18"/>
                <w:szCs w:val="18"/>
              </w:rPr>
              <w:t>0.0</w:t>
            </w:r>
          </w:p>
        </w:tc>
        <w:tc>
          <w:tcPr>
            <w:tcW w:w="950" w:type="dxa"/>
            <w:tcBorders>
              <w:top w:val="nil"/>
              <w:left w:val="nil"/>
              <w:bottom w:val="nil"/>
              <w:right w:val="single" w:sz="6" w:space="0" w:color="404040"/>
            </w:tcBorders>
            <w:shd w:val="clear" w:color="auto" w:fill="auto"/>
            <w:vAlign w:val="center"/>
          </w:tcPr>
          <w:p w14:paraId="57EB1B17" w14:textId="77777777" w:rsidR="0087565B" w:rsidRPr="007F014B" w:rsidRDefault="0087565B" w:rsidP="003E7B9F">
            <w:pPr>
              <w:tabs>
                <w:tab w:val="decimal" w:pos="387"/>
              </w:tabs>
              <w:jc w:val="left"/>
              <w:rPr>
                <w:color w:val="000000"/>
                <w:sz w:val="18"/>
                <w:szCs w:val="18"/>
              </w:rPr>
            </w:pPr>
            <w:r>
              <w:rPr>
                <w:color w:val="000000"/>
                <w:sz w:val="18"/>
                <w:szCs w:val="18"/>
              </w:rPr>
              <w:t>1.9</w:t>
            </w:r>
          </w:p>
        </w:tc>
        <w:tc>
          <w:tcPr>
            <w:tcW w:w="951" w:type="dxa"/>
            <w:tcBorders>
              <w:top w:val="nil"/>
              <w:left w:val="single" w:sz="6" w:space="0" w:color="404040"/>
              <w:bottom w:val="nil"/>
              <w:right w:val="nil"/>
            </w:tcBorders>
            <w:shd w:val="clear" w:color="auto" w:fill="auto"/>
            <w:vAlign w:val="center"/>
          </w:tcPr>
          <w:p w14:paraId="717B32DE" w14:textId="77777777" w:rsidR="0087565B" w:rsidRPr="007F014B" w:rsidRDefault="0087565B" w:rsidP="003E7B9F">
            <w:pPr>
              <w:tabs>
                <w:tab w:val="decimal" w:pos="453"/>
              </w:tabs>
              <w:jc w:val="left"/>
              <w:rPr>
                <w:color w:val="000000"/>
                <w:sz w:val="18"/>
                <w:szCs w:val="18"/>
              </w:rPr>
            </w:pPr>
            <w:r>
              <w:rPr>
                <w:color w:val="000000"/>
                <w:sz w:val="18"/>
                <w:szCs w:val="18"/>
              </w:rPr>
              <w:t>0.2</w:t>
            </w:r>
          </w:p>
        </w:tc>
        <w:tc>
          <w:tcPr>
            <w:tcW w:w="951" w:type="dxa"/>
            <w:tcBorders>
              <w:top w:val="nil"/>
              <w:left w:val="nil"/>
              <w:bottom w:val="nil"/>
            </w:tcBorders>
            <w:shd w:val="clear" w:color="auto" w:fill="auto"/>
            <w:vAlign w:val="center"/>
          </w:tcPr>
          <w:p w14:paraId="1E5B75F9" w14:textId="77777777" w:rsidR="0087565B" w:rsidRPr="007F014B" w:rsidRDefault="0087565B" w:rsidP="003E7B9F">
            <w:pPr>
              <w:tabs>
                <w:tab w:val="decimal" w:pos="359"/>
              </w:tabs>
              <w:jc w:val="left"/>
              <w:rPr>
                <w:color w:val="000000"/>
                <w:sz w:val="18"/>
                <w:szCs w:val="18"/>
              </w:rPr>
            </w:pPr>
            <w:r>
              <w:rPr>
                <w:color w:val="000000"/>
                <w:sz w:val="18"/>
                <w:szCs w:val="18"/>
              </w:rPr>
              <w:t>2.4</w:t>
            </w:r>
          </w:p>
        </w:tc>
      </w:tr>
      <w:tr w:rsidR="0087565B" w:rsidRPr="007F014B" w14:paraId="36A0374B" w14:textId="77777777" w:rsidTr="003E7B9F">
        <w:trPr>
          <w:jc w:val="center"/>
        </w:trPr>
        <w:tc>
          <w:tcPr>
            <w:tcW w:w="3967" w:type="dxa"/>
            <w:tcBorders>
              <w:top w:val="nil"/>
              <w:right w:val="single" w:sz="6" w:space="0" w:color="404040"/>
            </w:tcBorders>
            <w:shd w:val="clear" w:color="auto" w:fill="auto"/>
            <w:vAlign w:val="center"/>
            <w:hideMark/>
          </w:tcPr>
          <w:p w14:paraId="0F429365" w14:textId="77777777" w:rsidR="0087565B" w:rsidRPr="007F014B" w:rsidRDefault="0087565B" w:rsidP="003E7B9F">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081D4CE8" w14:textId="77777777" w:rsidR="0087565B" w:rsidRPr="007F014B" w:rsidRDefault="0087565B" w:rsidP="003E7B9F">
            <w:pPr>
              <w:tabs>
                <w:tab w:val="left" w:pos="112"/>
                <w:tab w:val="decimal" w:pos="453"/>
              </w:tabs>
              <w:jc w:val="left"/>
              <w:rPr>
                <w:color w:val="000000"/>
                <w:sz w:val="18"/>
                <w:szCs w:val="18"/>
              </w:rPr>
            </w:pPr>
            <w:r>
              <w:rPr>
                <w:color w:val="000000"/>
                <w:sz w:val="18"/>
                <w:szCs w:val="18"/>
              </w:rPr>
              <w:tab/>
              <w:t>(-)</w:t>
            </w:r>
            <w:r>
              <w:rPr>
                <w:color w:val="000000"/>
                <w:sz w:val="18"/>
                <w:szCs w:val="18"/>
              </w:rPr>
              <w:tab/>
              <w:t>2.9</w:t>
            </w:r>
          </w:p>
        </w:tc>
        <w:tc>
          <w:tcPr>
            <w:tcW w:w="950" w:type="dxa"/>
            <w:tcBorders>
              <w:top w:val="nil"/>
              <w:left w:val="nil"/>
              <w:right w:val="single" w:sz="6" w:space="0" w:color="404040"/>
            </w:tcBorders>
            <w:shd w:val="clear" w:color="auto" w:fill="auto"/>
            <w:vAlign w:val="center"/>
          </w:tcPr>
          <w:p w14:paraId="671C1122" w14:textId="77777777" w:rsidR="0087565B" w:rsidRPr="007F014B" w:rsidRDefault="0087565B" w:rsidP="003E7B9F">
            <w:pPr>
              <w:tabs>
                <w:tab w:val="decimal" w:pos="387"/>
              </w:tabs>
              <w:jc w:val="left"/>
              <w:rPr>
                <w:color w:val="000000"/>
                <w:sz w:val="18"/>
                <w:szCs w:val="18"/>
              </w:rPr>
            </w:pPr>
            <w:r>
              <w:rPr>
                <w:color w:val="000000"/>
                <w:sz w:val="18"/>
                <w:szCs w:val="18"/>
              </w:rPr>
              <w:t>4.7</w:t>
            </w:r>
          </w:p>
        </w:tc>
        <w:tc>
          <w:tcPr>
            <w:tcW w:w="951" w:type="dxa"/>
            <w:tcBorders>
              <w:top w:val="nil"/>
              <w:left w:val="single" w:sz="6" w:space="0" w:color="404040"/>
              <w:right w:val="nil"/>
            </w:tcBorders>
            <w:shd w:val="clear" w:color="auto" w:fill="auto"/>
            <w:vAlign w:val="center"/>
          </w:tcPr>
          <w:p w14:paraId="3ACA2FAD" w14:textId="77777777" w:rsidR="0087565B" w:rsidRPr="007F014B" w:rsidRDefault="0087565B" w:rsidP="003E7B9F">
            <w:pPr>
              <w:tabs>
                <w:tab w:val="decimal" w:pos="453"/>
              </w:tabs>
              <w:jc w:val="left"/>
              <w:rPr>
                <w:color w:val="000000"/>
                <w:sz w:val="18"/>
                <w:szCs w:val="18"/>
              </w:rPr>
            </w:pPr>
            <w:r>
              <w:rPr>
                <w:color w:val="000000"/>
                <w:sz w:val="18"/>
                <w:szCs w:val="18"/>
              </w:rPr>
              <w:t>2.1</w:t>
            </w:r>
          </w:p>
        </w:tc>
        <w:tc>
          <w:tcPr>
            <w:tcW w:w="951" w:type="dxa"/>
            <w:tcBorders>
              <w:top w:val="nil"/>
              <w:left w:val="nil"/>
            </w:tcBorders>
            <w:shd w:val="clear" w:color="auto" w:fill="auto"/>
            <w:vAlign w:val="center"/>
          </w:tcPr>
          <w:p w14:paraId="7993D005" w14:textId="77777777" w:rsidR="0087565B" w:rsidRPr="007F014B" w:rsidRDefault="0087565B" w:rsidP="003E7B9F">
            <w:pPr>
              <w:tabs>
                <w:tab w:val="decimal" w:pos="359"/>
              </w:tabs>
              <w:jc w:val="left"/>
              <w:rPr>
                <w:color w:val="000000"/>
                <w:sz w:val="18"/>
                <w:szCs w:val="18"/>
              </w:rPr>
            </w:pPr>
            <w:r>
              <w:rPr>
                <w:color w:val="000000"/>
                <w:sz w:val="18"/>
                <w:szCs w:val="18"/>
              </w:rPr>
              <w:t>3.6</w:t>
            </w:r>
          </w:p>
        </w:tc>
      </w:tr>
    </w:tbl>
    <w:p w14:paraId="3B760C3E" w14:textId="77777777" w:rsidR="0087565B" w:rsidRPr="007F014B" w:rsidRDefault="0087565B" w:rsidP="0087565B">
      <w:pPr>
        <w:pStyle w:val="Prrafodelista"/>
        <w:tabs>
          <w:tab w:val="left" w:pos="851"/>
          <w:tab w:val="left" w:pos="7939"/>
        </w:tabs>
        <w:ind w:left="709"/>
        <w:rPr>
          <w:sz w:val="16"/>
          <w:szCs w:val="16"/>
        </w:rPr>
      </w:pPr>
      <w:r w:rsidRPr="007F014B">
        <w:rPr>
          <w:sz w:val="16"/>
          <w:szCs w:val="16"/>
        </w:rPr>
        <w:t>*</w:t>
      </w:r>
      <w:r w:rsidRPr="007F014B">
        <w:rPr>
          <w:sz w:val="16"/>
          <w:szCs w:val="16"/>
        </w:rPr>
        <w:tab/>
        <w:t>En términos reales.</w:t>
      </w:r>
    </w:p>
    <w:p w14:paraId="3AC071C1" w14:textId="77777777" w:rsidR="0087565B" w:rsidRPr="007F014B" w:rsidRDefault="0087565B" w:rsidP="0087565B">
      <w:pPr>
        <w:pStyle w:val="Prrafodelista"/>
        <w:tabs>
          <w:tab w:val="left" w:pos="1276"/>
          <w:tab w:val="left" w:pos="7939"/>
        </w:tabs>
        <w:ind w:left="709"/>
        <w:rPr>
          <w:sz w:val="16"/>
          <w:szCs w:val="16"/>
        </w:rPr>
      </w:pPr>
      <w:r w:rsidRPr="007F014B">
        <w:rPr>
          <w:sz w:val="16"/>
          <w:szCs w:val="16"/>
        </w:rPr>
        <w:t>Fuente:</w:t>
      </w:r>
      <w:r w:rsidRPr="007F014B">
        <w:rPr>
          <w:sz w:val="16"/>
          <w:szCs w:val="16"/>
        </w:rPr>
        <w:tab/>
        <w:t>INEGI.</w:t>
      </w:r>
    </w:p>
    <w:p w14:paraId="03D8BAAE" w14:textId="77777777" w:rsidR="0087565B" w:rsidRDefault="0087565B" w:rsidP="0087565B">
      <w:pPr>
        <w:pStyle w:val="p01"/>
        <w:keepNext/>
        <w:widowControl w:val="0"/>
        <w:spacing w:before="0"/>
        <w:jc w:val="center"/>
        <w:outlineLvl w:val="0"/>
        <w:rPr>
          <w:rFonts w:ascii="Arial" w:hAnsi="Arial" w:cs="Arial"/>
          <w:b/>
          <w:smallCaps/>
          <w:color w:val="auto"/>
          <w:sz w:val="22"/>
        </w:rPr>
      </w:pPr>
    </w:p>
    <w:p w14:paraId="2C7E5637" w14:textId="77777777" w:rsidR="0087565B" w:rsidRPr="007976D0" w:rsidRDefault="0087565B" w:rsidP="0087565B">
      <w:pPr>
        <w:spacing w:before="240"/>
        <w:ind w:left="-142" w:right="-547"/>
        <w:rPr>
          <w:snapToGrid w:val="0"/>
          <w:spacing w:val="6"/>
        </w:rPr>
      </w:pPr>
      <w:r w:rsidRPr="007976D0">
        <w:rPr>
          <w:snapToGrid w:val="0"/>
          <w:spacing w:val="6"/>
        </w:rPr>
        <w:t xml:space="preserve">En las Empresas Comerciales al por Menor los Ingresos reales registraron un alza de 10%, las Remuneraciones medias reales de 3.6% y el Personal ocupado total de 2.4% en el mes de referencia frente a julio de 2020, con series ajustadas por estacionalidad. </w:t>
      </w:r>
    </w:p>
    <w:p w14:paraId="05BE4DE2" w14:textId="77777777" w:rsidR="0087565B" w:rsidRPr="007F014B" w:rsidRDefault="0087565B" w:rsidP="0087565B">
      <w:pPr>
        <w:pStyle w:val="p0"/>
        <w:keepNext/>
        <w:spacing w:before="480"/>
        <w:ind w:left="-142" w:right="-547"/>
        <w:jc w:val="left"/>
        <w:rPr>
          <w:rFonts w:ascii="Arial" w:hAnsi="Arial"/>
          <w:b/>
          <w:i/>
          <w:color w:val="auto"/>
        </w:rPr>
      </w:pPr>
      <w:r w:rsidRPr="007F014B">
        <w:rPr>
          <w:rFonts w:ascii="Arial" w:hAnsi="Arial"/>
          <w:b/>
          <w:i/>
          <w:color w:val="auto"/>
        </w:rPr>
        <w:t>Nota al usuario</w:t>
      </w:r>
    </w:p>
    <w:p w14:paraId="70BE78AB" w14:textId="77777777" w:rsidR="0087565B" w:rsidRPr="0074170F" w:rsidRDefault="0087565B" w:rsidP="0087565B">
      <w:pPr>
        <w:pStyle w:val="p0"/>
        <w:keepNext/>
        <w:ind w:left="-142" w:right="-547"/>
        <w:rPr>
          <w:rFonts w:ascii="Arial" w:hAnsi="Arial"/>
          <w:color w:val="auto"/>
        </w:rPr>
      </w:pPr>
      <w:r w:rsidRPr="0074170F">
        <w:rPr>
          <w:rFonts w:ascii="Arial" w:hAnsi="Arial"/>
          <w:color w:val="auto"/>
          <w:lang w:val="es-MX"/>
        </w:rPr>
        <w:t>La Tasa de No Respuesta de la Encuesta Mensual sobre Empresas Comerciales (EMEC), correspondiente a julio de 2021 registró porcentajes apropiados conforme al diseño estadístico de la encuesta, lo que permitió la generación de estadísticas con niveles altos de precisión</w:t>
      </w:r>
      <w:r w:rsidRPr="0074170F">
        <w:rPr>
          <w:rFonts w:ascii="Arial" w:hAnsi="Arial"/>
          <w:color w:val="auto"/>
        </w:rPr>
        <w:t>.</w:t>
      </w:r>
      <w:r w:rsidRPr="0074170F">
        <w:rPr>
          <w:rFonts w:ascii="Arial" w:hAnsi="Arial"/>
        </w:rPr>
        <w:t xml:space="preserve"> </w:t>
      </w:r>
      <w:r w:rsidRPr="0074170F">
        <w:rPr>
          <w:rFonts w:ascii="Arial" w:hAnsi="Arial"/>
          <w:color w:val="auto"/>
        </w:rPr>
        <w:t>De los 40 dominios de estudio de la encuesta, sólo para los dominios Comercio al por mayor de electrodomésticos menores y aparatos de línea blanca e Intermediación de comercio al por mayor exclusivamente a través de Internet y otros medios electrónicos, que representan el 0.82% con relación a la variable de ingresos del total del comercio, se recomienda el uso con reserva de las estimaciones.</w:t>
      </w:r>
    </w:p>
    <w:p w14:paraId="56282058" w14:textId="77777777" w:rsidR="0087565B" w:rsidRPr="0074170F" w:rsidRDefault="0087565B" w:rsidP="0087565B">
      <w:pPr>
        <w:pStyle w:val="p0"/>
        <w:keepLines w:val="0"/>
        <w:spacing w:before="120"/>
        <w:ind w:left="-142" w:right="-547"/>
        <w:rPr>
          <w:rFonts w:ascii="Arial" w:hAnsi="Arial"/>
          <w:color w:val="auto"/>
        </w:rPr>
      </w:pPr>
      <w:r w:rsidRPr="0074170F">
        <w:rPr>
          <w:rFonts w:ascii="Arial" w:hAnsi="Arial"/>
          <w:color w:val="auto"/>
        </w:rPr>
        <w:t>En concordancia con los Lineamientos de Cambios a la Información Divulgada en las Publicaciones Estadísticas y Geográficas del INEGI</w:t>
      </w:r>
      <w:r w:rsidRPr="0074170F">
        <w:rPr>
          <w:rFonts w:ascii="Arial" w:hAnsi="Arial"/>
          <w:color w:val="auto"/>
          <w:lang w:val="es-MX"/>
        </w:rPr>
        <w:t xml:space="preserve">, </w:t>
      </w:r>
      <w:r w:rsidRPr="0074170F">
        <w:rPr>
          <w:rFonts w:ascii="Arial" w:hAnsi="Arial"/>
          <w:color w:val="auto"/>
        </w:rPr>
        <w:t xml:space="preserve">las series de la EMEC de 2020 fueron revisadas y actualizadas. De acuerdo con lo anterior, las cifras del periodo </w:t>
      </w:r>
      <w:r w:rsidRPr="0074170F">
        <w:rPr>
          <w:rFonts w:ascii="Arial" w:hAnsi="Arial"/>
          <w:color w:val="auto"/>
        </w:rPr>
        <w:br/>
        <w:t>2013-2020 tienen carácter definitivo y las de 2021 mantienen su carácter de preliminar.</w:t>
      </w:r>
    </w:p>
    <w:p w14:paraId="5C6DC348" w14:textId="77777777" w:rsidR="0087565B" w:rsidRPr="0074170F" w:rsidRDefault="0087565B" w:rsidP="0087565B">
      <w:pPr>
        <w:pStyle w:val="p0"/>
        <w:keepLines w:val="0"/>
        <w:spacing w:before="120"/>
        <w:ind w:left="-142" w:right="-547"/>
        <w:rPr>
          <w:rFonts w:ascii="Arial" w:hAnsi="Arial"/>
          <w:color w:val="auto"/>
          <w:highlight w:val="yellow"/>
        </w:rPr>
      </w:pPr>
      <w:r w:rsidRPr="0074170F">
        <w:rPr>
          <w:rFonts w:ascii="Arial" w:hAnsi="Arial"/>
          <w:color w:val="000000"/>
        </w:rPr>
        <w:t>Los resultados definitivos del año 2020 mantienen niveles adecuados de cobertura y precisión para todos los dominios de estudio durante los 12 meses del año.</w:t>
      </w:r>
    </w:p>
    <w:p w14:paraId="79E98FE6" w14:textId="77777777" w:rsidR="0087565B" w:rsidRDefault="0087565B" w:rsidP="0087565B">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1042563B" w14:textId="77777777" w:rsidR="0087565B" w:rsidRDefault="0087565B" w:rsidP="0087565B">
      <w:pPr>
        <w:pStyle w:val="p01"/>
        <w:keepLines w:val="0"/>
        <w:tabs>
          <w:tab w:val="left" w:pos="3261"/>
          <w:tab w:val="left" w:pos="9356"/>
        </w:tabs>
        <w:spacing w:before="12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5BF2C9A8" w14:textId="77777777" w:rsidR="0087565B" w:rsidRDefault="0087565B" w:rsidP="0087565B">
      <w:pPr>
        <w:pStyle w:val="p0"/>
      </w:pPr>
    </w:p>
    <w:p w14:paraId="0C2F2307" w14:textId="77777777" w:rsidR="0087565B" w:rsidRPr="007976D0" w:rsidRDefault="0087565B" w:rsidP="0087565B">
      <w:pPr>
        <w:pStyle w:val="NormalWeb"/>
        <w:spacing w:before="0" w:beforeAutospacing="0" w:after="0" w:afterAutospacing="0"/>
        <w:ind w:left="-426" w:right="-518"/>
        <w:contextualSpacing/>
        <w:jc w:val="center"/>
        <w:rPr>
          <w:rFonts w:ascii="Arial" w:hAnsi="Arial" w:cs="Arial"/>
          <w:sz w:val="20"/>
          <w:szCs w:val="20"/>
        </w:rPr>
      </w:pPr>
      <w:r w:rsidRPr="007976D0">
        <w:rPr>
          <w:rFonts w:ascii="Arial" w:hAnsi="Arial" w:cs="Arial"/>
          <w:sz w:val="20"/>
          <w:szCs w:val="20"/>
        </w:rPr>
        <w:t xml:space="preserve">Para consultas de medios y periodistas, contactar a: </w:t>
      </w:r>
      <w:hyperlink r:id="rId10" w:history="1">
        <w:r w:rsidRPr="007976D0">
          <w:rPr>
            <w:rStyle w:val="Hipervnculo"/>
            <w:rFonts w:ascii="Arial" w:hAnsi="Arial" w:cs="Arial"/>
            <w:sz w:val="20"/>
            <w:szCs w:val="20"/>
          </w:rPr>
          <w:t>comunicacionsocial@inegi.org.mx</w:t>
        </w:r>
      </w:hyperlink>
      <w:r w:rsidRPr="007976D0">
        <w:rPr>
          <w:rFonts w:ascii="Arial" w:hAnsi="Arial" w:cs="Arial"/>
          <w:sz w:val="20"/>
          <w:szCs w:val="20"/>
        </w:rPr>
        <w:t xml:space="preserve"> </w:t>
      </w:r>
    </w:p>
    <w:p w14:paraId="075F73BA" w14:textId="77777777" w:rsidR="0087565B" w:rsidRPr="007976D0" w:rsidRDefault="0087565B" w:rsidP="0087565B">
      <w:pPr>
        <w:pStyle w:val="NormalWeb"/>
        <w:spacing w:before="0" w:beforeAutospacing="0" w:after="0" w:afterAutospacing="0"/>
        <w:ind w:left="-426" w:right="-518"/>
        <w:contextualSpacing/>
        <w:jc w:val="center"/>
        <w:rPr>
          <w:rFonts w:ascii="Arial" w:hAnsi="Arial" w:cs="Arial"/>
          <w:sz w:val="20"/>
          <w:szCs w:val="20"/>
        </w:rPr>
      </w:pPr>
      <w:r w:rsidRPr="007976D0">
        <w:rPr>
          <w:rFonts w:ascii="Arial" w:hAnsi="Arial" w:cs="Arial"/>
          <w:sz w:val="20"/>
          <w:szCs w:val="20"/>
        </w:rPr>
        <w:t xml:space="preserve">o llamar al teléfono (55) 52-78-10-00, </w:t>
      </w:r>
      <w:proofErr w:type="spellStart"/>
      <w:r w:rsidRPr="007976D0">
        <w:rPr>
          <w:rFonts w:ascii="Arial" w:hAnsi="Arial" w:cs="Arial"/>
          <w:sz w:val="20"/>
          <w:szCs w:val="20"/>
        </w:rPr>
        <w:t>exts</w:t>
      </w:r>
      <w:proofErr w:type="spellEnd"/>
      <w:r w:rsidRPr="007976D0">
        <w:rPr>
          <w:rFonts w:ascii="Arial" w:hAnsi="Arial" w:cs="Arial"/>
          <w:sz w:val="20"/>
          <w:szCs w:val="20"/>
        </w:rPr>
        <w:t>. 1134, 1260 y 1241.</w:t>
      </w:r>
    </w:p>
    <w:p w14:paraId="73E7522D" w14:textId="77777777" w:rsidR="0087565B" w:rsidRPr="007976D0" w:rsidRDefault="0087565B" w:rsidP="0087565B">
      <w:pPr>
        <w:ind w:left="-426" w:right="-518"/>
        <w:contextualSpacing/>
        <w:jc w:val="center"/>
        <w:rPr>
          <w:sz w:val="20"/>
          <w:szCs w:val="20"/>
        </w:rPr>
      </w:pPr>
    </w:p>
    <w:p w14:paraId="0C487D9D" w14:textId="77777777" w:rsidR="0087565B" w:rsidRPr="007976D0" w:rsidRDefault="0087565B" w:rsidP="0087565B">
      <w:pPr>
        <w:ind w:left="-426" w:right="-518"/>
        <w:contextualSpacing/>
        <w:jc w:val="center"/>
        <w:rPr>
          <w:sz w:val="20"/>
          <w:szCs w:val="20"/>
        </w:rPr>
      </w:pPr>
      <w:r w:rsidRPr="007976D0">
        <w:rPr>
          <w:sz w:val="20"/>
          <w:szCs w:val="20"/>
        </w:rPr>
        <w:t xml:space="preserve">Dirección de Atención a Medios / Dirección General Adjunta de Comunicación </w:t>
      </w:r>
    </w:p>
    <w:p w14:paraId="5407ADDA" w14:textId="77777777" w:rsidR="0087565B" w:rsidRPr="001B5643" w:rsidRDefault="0087565B" w:rsidP="0087565B">
      <w:pPr>
        <w:ind w:left="-426" w:right="-518"/>
        <w:contextualSpacing/>
        <w:jc w:val="center"/>
        <w:rPr>
          <w:sz w:val="22"/>
          <w:szCs w:val="22"/>
        </w:rPr>
      </w:pPr>
    </w:p>
    <w:p w14:paraId="45A5586A" w14:textId="77777777" w:rsidR="0087565B" w:rsidRDefault="0087565B" w:rsidP="0087565B">
      <w:pPr>
        <w:ind w:left="-425" w:right="-516"/>
        <w:contextualSpacing/>
        <w:jc w:val="center"/>
      </w:pPr>
      <w:r w:rsidRPr="00FF1218">
        <w:rPr>
          <w:noProof/>
          <w:lang w:val="es-MX" w:eastAsia="es-MX"/>
        </w:rPr>
        <w:drawing>
          <wp:inline distT="0" distB="0" distL="0" distR="0" wp14:anchorId="669A2FB9" wp14:editId="4425ADFD">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909E52" wp14:editId="6B16A0B4">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200F67" wp14:editId="0EFBBF8F">
            <wp:extent cx="365760" cy="365760"/>
            <wp:effectExtent l="0" t="0" r="0"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F07BF5" wp14:editId="26D049E3">
            <wp:extent cx="365760" cy="365760"/>
            <wp:effectExtent l="0" t="0" r="0" b="0"/>
            <wp:docPr id="13" name="Imagen 1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FAF41E3" wp14:editId="217F72B0">
            <wp:extent cx="2286000" cy="274320"/>
            <wp:effectExtent l="0" t="0" r="0" b="0"/>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33DBAA3" w14:textId="77777777" w:rsidR="0087565B" w:rsidRPr="00157C43" w:rsidRDefault="0087565B" w:rsidP="0087565B">
      <w:pPr>
        <w:pStyle w:val="bullet"/>
        <w:tabs>
          <w:tab w:val="left" w:pos="8789"/>
        </w:tabs>
        <w:spacing w:before="0"/>
        <w:ind w:left="0" w:right="51" w:firstLine="0"/>
        <w:jc w:val="center"/>
        <w:rPr>
          <w:rFonts w:cs="Arial"/>
          <w:szCs w:val="24"/>
        </w:rPr>
        <w:sectPr w:rsidR="0087565B" w:rsidRPr="00157C43" w:rsidSect="00EC0FA7">
          <w:headerReference w:type="default" r:id="rId21"/>
          <w:footerReference w:type="default" r:id="rId22"/>
          <w:pgSz w:w="12240" w:h="15840" w:code="1"/>
          <w:pgMar w:top="1" w:right="1701" w:bottom="0" w:left="1588" w:header="510" w:footer="510" w:gutter="0"/>
          <w:cols w:space="720"/>
          <w:docGrid w:linePitch="272"/>
        </w:sectPr>
      </w:pPr>
      <w:r>
        <w:rPr>
          <w:rFonts w:cs="Arial"/>
          <w:szCs w:val="24"/>
        </w:rPr>
        <w:tab/>
      </w:r>
    </w:p>
    <w:p w14:paraId="222E0125" w14:textId="75075857" w:rsidR="0087565B" w:rsidRPr="00737D60" w:rsidRDefault="0087565B" w:rsidP="0087565B">
      <w:pPr>
        <w:pStyle w:val="p0"/>
        <w:keepLines w:val="0"/>
        <w:spacing w:before="0"/>
        <w:jc w:val="center"/>
        <w:rPr>
          <w:rStyle w:val="Hipervnculo"/>
          <w:rFonts w:ascii="Arial" w:hAnsi="Arial"/>
          <w:b/>
          <w:snapToGrid/>
          <w:color w:val="000000" w:themeColor="text1"/>
          <w:u w:val="none"/>
          <w:lang w:val="es-MX"/>
        </w:rPr>
      </w:pPr>
      <w:r w:rsidRPr="00737D60">
        <w:rPr>
          <w:rStyle w:val="Hipervnculo"/>
          <w:rFonts w:ascii="Arial" w:hAnsi="Arial"/>
          <w:b/>
          <w:snapToGrid/>
          <w:color w:val="000000" w:themeColor="text1"/>
          <w:u w:val="none"/>
          <w:lang w:val="es-MX"/>
        </w:rPr>
        <w:lastRenderedPageBreak/>
        <w:t>NOTA TÉCNICA</w:t>
      </w:r>
    </w:p>
    <w:p w14:paraId="79BF45BB" w14:textId="77777777" w:rsidR="0087565B" w:rsidRPr="0087565B" w:rsidRDefault="0087565B" w:rsidP="0087565B">
      <w:pPr>
        <w:pStyle w:val="p0"/>
        <w:keepLines w:val="0"/>
        <w:spacing w:before="0"/>
        <w:jc w:val="center"/>
        <w:rPr>
          <w:rStyle w:val="Hipervnculo"/>
          <w:rFonts w:ascii="Arial" w:hAnsi="Arial"/>
          <w:b/>
          <w:snapToGrid/>
          <w:color w:val="000000" w:themeColor="text1"/>
          <w:sz w:val="16"/>
          <w:szCs w:val="16"/>
          <w:u w:val="none"/>
          <w:lang w:val="es-MX"/>
        </w:rPr>
      </w:pPr>
    </w:p>
    <w:p w14:paraId="4A128E23" w14:textId="0D2B28EA" w:rsidR="00467BD1" w:rsidRPr="00737D60" w:rsidRDefault="00467BD1" w:rsidP="00974690">
      <w:pPr>
        <w:pStyle w:val="Profesin"/>
        <w:outlineLvl w:val="0"/>
        <w:rPr>
          <w:b w:val="0"/>
          <w:caps w:val="0"/>
          <w:sz w:val="24"/>
          <w:szCs w:val="24"/>
        </w:rPr>
      </w:pPr>
      <w:r w:rsidRPr="00737D60">
        <w:rPr>
          <w:sz w:val="24"/>
          <w:szCs w:val="24"/>
        </w:rPr>
        <w:t>INDICADORES DE Empresas Comerciales</w:t>
      </w:r>
    </w:p>
    <w:p w14:paraId="44E3C063" w14:textId="5AC925C8" w:rsidR="00ED4D0D" w:rsidRPr="00737D60" w:rsidRDefault="00ED4D0D" w:rsidP="0087565B">
      <w:pPr>
        <w:jc w:val="center"/>
        <w:rPr>
          <w:b/>
          <w:spacing w:val="25"/>
        </w:rPr>
      </w:pPr>
      <w:r w:rsidRPr="00737D60">
        <w:rPr>
          <w:b/>
          <w:spacing w:val="25"/>
        </w:rPr>
        <w:t xml:space="preserve">CIFRAS DURANTE </w:t>
      </w:r>
      <w:r w:rsidR="003F7A2D" w:rsidRPr="00737D60">
        <w:rPr>
          <w:b/>
          <w:spacing w:val="25"/>
        </w:rPr>
        <w:t>JU</w:t>
      </w:r>
      <w:r w:rsidR="00135F34" w:rsidRPr="00737D60">
        <w:rPr>
          <w:b/>
          <w:spacing w:val="25"/>
        </w:rPr>
        <w:t>L</w:t>
      </w:r>
      <w:r w:rsidR="003F7A2D" w:rsidRPr="00737D60">
        <w:rPr>
          <w:b/>
          <w:spacing w:val="25"/>
        </w:rPr>
        <w:t>I</w:t>
      </w:r>
      <w:r w:rsidR="00B66141" w:rsidRPr="00737D60">
        <w:rPr>
          <w:b/>
          <w:spacing w:val="25"/>
        </w:rPr>
        <w:t>O</w:t>
      </w:r>
      <w:r w:rsidR="00105AA0" w:rsidRPr="00737D60">
        <w:rPr>
          <w:b/>
          <w:spacing w:val="25"/>
        </w:rPr>
        <w:t xml:space="preserve"> D</w:t>
      </w:r>
      <w:r w:rsidRPr="00737D60">
        <w:rPr>
          <w:b/>
          <w:spacing w:val="25"/>
        </w:rPr>
        <w:t xml:space="preserve">E </w:t>
      </w:r>
      <w:r w:rsidR="00DF5A6D" w:rsidRPr="00737D60">
        <w:rPr>
          <w:b/>
          <w:spacing w:val="25"/>
        </w:rPr>
        <w:t>202</w:t>
      </w:r>
      <w:r w:rsidR="00E66265" w:rsidRPr="00737D60">
        <w:rPr>
          <w:b/>
          <w:spacing w:val="25"/>
        </w:rPr>
        <w:t>1</w:t>
      </w:r>
    </w:p>
    <w:p w14:paraId="7058707A" w14:textId="77777777" w:rsidR="00ED4D0D" w:rsidRPr="00737D60" w:rsidRDefault="00ED4D0D" w:rsidP="00ED4D0D">
      <w:pPr>
        <w:jc w:val="center"/>
        <w:rPr>
          <w:b/>
          <w:i/>
          <w:spacing w:val="25"/>
        </w:rPr>
      </w:pPr>
      <w:r w:rsidRPr="00737D60">
        <w:rPr>
          <w:b/>
          <w:i/>
          <w:spacing w:val="25"/>
        </w:rPr>
        <w:t>(Cifras desestacionalizadas)</w:t>
      </w:r>
    </w:p>
    <w:p w14:paraId="46D4AC28" w14:textId="77777777" w:rsidR="00467BD1" w:rsidRPr="007F014B" w:rsidRDefault="00467BD1" w:rsidP="0087565B">
      <w:pPr>
        <w:pStyle w:val="p01"/>
        <w:keepLines w:val="0"/>
        <w:spacing w:before="480"/>
        <w:outlineLvl w:val="0"/>
        <w:rPr>
          <w:rFonts w:ascii="Arial" w:hAnsi="Arial" w:cs="Arial"/>
          <w:b/>
          <w:i/>
          <w:color w:val="auto"/>
          <w:szCs w:val="24"/>
        </w:rPr>
      </w:pPr>
      <w:r w:rsidRPr="007F014B">
        <w:rPr>
          <w:rFonts w:ascii="Arial" w:hAnsi="Arial" w:cs="Arial"/>
          <w:b/>
          <w:i/>
          <w:color w:val="auto"/>
          <w:szCs w:val="24"/>
          <w:lang w:val="es-MX"/>
        </w:rPr>
        <w:t>Indicadores de las Empresas Comerciales al por Mayor</w:t>
      </w:r>
    </w:p>
    <w:p w14:paraId="67DD4409" w14:textId="039A92A1" w:rsidR="00ED4D0D" w:rsidRPr="007F014B" w:rsidRDefault="009E2BC4" w:rsidP="00BD60A9">
      <w:pPr>
        <w:pStyle w:val="Textoindependiente"/>
        <w:spacing w:before="360"/>
        <w:rPr>
          <w:color w:val="auto"/>
        </w:rPr>
      </w:pPr>
      <w:r w:rsidRPr="007F014B">
        <w:rPr>
          <w:color w:val="auto"/>
        </w:rPr>
        <w:t xml:space="preserve">Los resultados de la Encuesta Mensual sobre Empresas Comerciales (EMEC) que lleva a cabo el INEGI </w:t>
      </w:r>
      <w:r w:rsidRPr="007F014B">
        <w:rPr>
          <w:color w:val="auto"/>
          <w:shd w:val="clear" w:color="auto" w:fill="FFFFFF" w:themeFill="background1"/>
        </w:rPr>
        <w:t>muestran</w:t>
      </w:r>
      <w:r w:rsidRPr="007F014B">
        <w:rPr>
          <w:color w:val="auto"/>
        </w:rPr>
        <w:t xml:space="preserve"> que, </w:t>
      </w:r>
      <w:r w:rsidR="00EB4DDC" w:rsidRPr="007F014B">
        <w:rPr>
          <w:color w:val="auto"/>
        </w:rPr>
        <w:t xml:space="preserve">en su comparación mensual y </w:t>
      </w:r>
      <w:r w:rsidRPr="007F014B">
        <w:rPr>
          <w:color w:val="auto"/>
        </w:rPr>
        <w:t xml:space="preserve">con datos desestacionalizados, </w:t>
      </w:r>
      <w:r w:rsidR="005E6F81" w:rsidRPr="007F014B">
        <w:rPr>
          <w:color w:val="auto"/>
        </w:rPr>
        <w:t>e</w:t>
      </w:r>
      <w:r w:rsidR="005C5EAF">
        <w:rPr>
          <w:color w:val="auto"/>
        </w:rPr>
        <w:t>n</w:t>
      </w:r>
      <w:r w:rsidR="005E6F81" w:rsidRPr="007F014B">
        <w:rPr>
          <w:color w:val="auto"/>
        </w:rPr>
        <w:t xml:space="preserve"> </w:t>
      </w:r>
      <w:r w:rsidR="00786703">
        <w:rPr>
          <w:color w:val="auto"/>
        </w:rPr>
        <w:t>ju</w:t>
      </w:r>
      <w:r w:rsidR="00135F34">
        <w:rPr>
          <w:color w:val="auto"/>
        </w:rPr>
        <w:t>l</w:t>
      </w:r>
      <w:r w:rsidR="00786703">
        <w:rPr>
          <w:color w:val="auto"/>
        </w:rPr>
        <w:t>i</w:t>
      </w:r>
      <w:r w:rsidR="005C5EAF">
        <w:rPr>
          <w:color w:val="auto"/>
        </w:rPr>
        <w:t>o</w:t>
      </w:r>
      <w:r w:rsidR="00F26432" w:rsidRPr="007F014B">
        <w:rPr>
          <w:color w:val="auto"/>
        </w:rPr>
        <w:t xml:space="preserve"> </w:t>
      </w:r>
      <w:r w:rsidR="007320CE" w:rsidRPr="007F014B">
        <w:rPr>
          <w:color w:val="auto"/>
        </w:rPr>
        <w:t>de</w:t>
      </w:r>
      <w:r w:rsidR="00135F34">
        <w:rPr>
          <w:color w:val="auto"/>
        </w:rPr>
        <w:t xml:space="preserve"> 2021</w:t>
      </w:r>
      <w:r w:rsidR="00786703">
        <w:rPr>
          <w:color w:val="auto"/>
        </w:rPr>
        <w:t xml:space="preserve"> </w:t>
      </w:r>
      <w:r w:rsidRPr="007F014B">
        <w:rPr>
          <w:color w:val="auto"/>
        </w:rPr>
        <w:t xml:space="preserve">los Ingresos reales por suministro de bienes y servicios de las Empresas Comerciales al </w:t>
      </w:r>
      <w:r w:rsidR="00664719" w:rsidRPr="007F014B">
        <w:rPr>
          <w:color w:val="auto"/>
        </w:rPr>
        <w:t xml:space="preserve">por </w:t>
      </w:r>
      <w:r w:rsidRPr="007F014B">
        <w:rPr>
          <w:color w:val="auto"/>
        </w:rPr>
        <w:t xml:space="preserve">Mayor </w:t>
      </w:r>
      <w:r w:rsidR="005C5EAF">
        <w:rPr>
          <w:color w:val="auto"/>
        </w:rPr>
        <w:t>presentaron un</w:t>
      </w:r>
      <w:r w:rsidR="00A2626B">
        <w:rPr>
          <w:color w:val="auto"/>
        </w:rPr>
        <w:t xml:space="preserve"> </w:t>
      </w:r>
      <w:r w:rsidR="00786703">
        <w:rPr>
          <w:color w:val="auto"/>
        </w:rPr>
        <w:t>a</w:t>
      </w:r>
      <w:r w:rsidR="00A2626B">
        <w:rPr>
          <w:color w:val="auto"/>
        </w:rPr>
        <w:t>lza</w:t>
      </w:r>
      <w:r w:rsidR="005C5EAF">
        <w:rPr>
          <w:color w:val="auto"/>
        </w:rPr>
        <w:t xml:space="preserve"> de </w:t>
      </w:r>
      <w:r w:rsidR="00786703">
        <w:rPr>
          <w:color w:val="auto"/>
        </w:rPr>
        <w:t>1%</w:t>
      </w:r>
      <w:r w:rsidR="00A2626B">
        <w:rPr>
          <w:color w:val="auto"/>
        </w:rPr>
        <w:t xml:space="preserve"> y</w:t>
      </w:r>
      <w:r w:rsidR="005C5EAF">
        <w:rPr>
          <w:color w:val="auto"/>
        </w:rPr>
        <w:t xml:space="preserve"> </w:t>
      </w:r>
      <w:r w:rsidR="00786703" w:rsidRPr="007F014B">
        <w:rPr>
          <w:color w:val="auto"/>
        </w:rPr>
        <w:t xml:space="preserve">las Remuneraciones medias reales </w:t>
      </w:r>
      <w:r w:rsidR="00A2626B">
        <w:rPr>
          <w:color w:val="auto"/>
        </w:rPr>
        <w:t>descendie</w:t>
      </w:r>
      <w:r w:rsidR="00786703">
        <w:rPr>
          <w:color w:val="auto"/>
        </w:rPr>
        <w:t>ron 2</w:t>
      </w:r>
      <w:r w:rsidR="00786703" w:rsidRPr="007F014B">
        <w:rPr>
          <w:color w:val="auto"/>
        </w:rPr>
        <w:t>.</w:t>
      </w:r>
      <w:r w:rsidR="00A2626B">
        <w:rPr>
          <w:color w:val="auto"/>
        </w:rPr>
        <w:t>9</w:t>
      </w:r>
      <w:r w:rsidR="00786703" w:rsidRPr="007F014B">
        <w:rPr>
          <w:color w:val="auto"/>
        </w:rPr>
        <w:t>%</w:t>
      </w:r>
      <w:r w:rsidR="00A2626B">
        <w:rPr>
          <w:color w:val="auto"/>
        </w:rPr>
        <w:t xml:space="preserve">, mientras que </w:t>
      </w:r>
      <w:r w:rsidR="00406E64" w:rsidRPr="007F014B">
        <w:rPr>
          <w:color w:val="auto"/>
        </w:rPr>
        <w:t xml:space="preserve">el Personal ocupado total </w:t>
      </w:r>
      <w:r w:rsidR="00A2626B">
        <w:rPr>
          <w:color w:val="auto"/>
        </w:rPr>
        <w:t>se mantuvo sin cambio</w:t>
      </w:r>
      <w:r w:rsidR="004A1AA2">
        <w:rPr>
          <w:color w:val="auto"/>
        </w:rPr>
        <w:t xml:space="preserve"> </w:t>
      </w:r>
      <w:r w:rsidR="00786703">
        <w:rPr>
          <w:color w:val="auto"/>
        </w:rPr>
        <w:t>respecto</w:t>
      </w:r>
      <w:r w:rsidR="009F344F" w:rsidRPr="007F014B">
        <w:rPr>
          <w:color w:val="auto"/>
        </w:rPr>
        <w:t xml:space="preserve"> a</w:t>
      </w:r>
      <w:r w:rsidR="00135F34">
        <w:rPr>
          <w:color w:val="auto"/>
        </w:rPr>
        <w:t xml:space="preserve"> junio pasado</w:t>
      </w:r>
      <w:r w:rsidR="005C5EAF">
        <w:rPr>
          <w:color w:val="auto"/>
        </w:rPr>
        <w:t>.</w:t>
      </w:r>
    </w:p>
    <w:p w14:paraId="2E87EE61" w14:textId="5F8DBDA9" w:rsidR="00467BD1" w:rsidRPr="007F014B" w:rsidRDefault="00EB4DDC" w:rsidP="00BD60A9">
      <w:pPr>
        <w:pStyle w:val="Textoindependiente"/>
        <w:spacing w:before="360"/>
        <w:rPr>
          <w:color w:val="auto"/>
        </w:rPr>
      </w:pPr>
      <w:r w:rsidRPr="007F014B">
        <w:rPr>
          <w:color w:val="auto"/>
        </w:rPr>
        <w:t>A tasa</w:t>
      </w:r>
      <w:r w:rsidR="00BF47C5" w:rsidRPr="007F014B">
        <w:rPr>
          <w:color w:val="auto"/>
        </w:rPr>
        <w:t xml:space="preserve"> </w:t>
      </w:r>
      <w:r w:rsidR="009E2BC4" w:rsidRPr="007F014B">
        <w:rPr>
          <w:color w:val="auto"/>
        </w:rPr>
        <w:t xml:space="preserve">anual, las cifras desestacionalizadas indican que los Ingresos reales por suministro de bienes y servicios </w:t>
      </w:r>
      <w:r w:rsidR="00A2626B">
        <w:rPr>
          <w:color w:val="auto"/>
        </w:rPr>
        <w:t>subi</w:t>
      </w:r>
      <w:r w:rsidR="005C5EAF">
        <w:rPr>
          <w:color w:val="auto"/>
        </w:rPr>
        <w:t>e</w:t>
      </w:r>
      <w:r w:rsidR="005E6F81" w:rsidRPr="007F014B">
        <w:rPr>
          <w:color w:val="auto"/>
        </w:rPr>
        <w:t xml:space="preserve">ron </w:t>
      </w:r>
      <w:r w:rsidR="00A2626B">
        <w:rPr>
          <w:color w:val="auto"/>
        </w:rPr>
        <w:t>16</w:t>
      </w:r>
      <w:r w:rsidR="009E2BC4" w:rsidRPr="007F014B">
        <w:rPr>
          <w:color w:val="auto"/>
        </w:rPr>
        <w:t>%</w:t>
      </w:r>
      <w:r w:rsidR="00D56981">
        <w:rPr>
          <w:color w:val="auto"/>
        </w:rPr>
        <w:t xml:space="preserve">, </w:t>
      </w:r>
      <w:r w:rsidR="005C5EAF" w:rsidRPr="007F014B">
        <w:rPr>
          <w:color w:val="auto"/>
        </w:rPr>
        <w:t xml:space="preserve">las Remuneraciones medias reales </w:t>
      </w:r>
      <w:r w:rsidR="00A2626B">
        <w:rPr>
          <w:color w:val="auto"/>
        </w:rPr>
        <w:t>4.7</w:t>
      </w:r>
      <w:r w:rsidR="005C5EAF" w:rsidRPr="007F014B">
        <w:rPr>
          <w:color w:val="auto"/>
        </w:rPr>
        <w:t xml:space="preserve">% </w:t>
      </w:r>
      <w:r w:rsidR="005C5EAF">
        <w:rPr>
          <w:color w:val="auto"/>
        </w:rPr>
        <w:t xml:space="preserve">y </w:t>
      </w:r>
      <w:r w:rsidR="00D56981" w:rsidRPr="007F014B">
        <w:rPr>
          <w:color w:val="auto"/>
        </w:rPr>
        <w:t xml:space="preserve">el Personal ocupado total </w:t>
      </w:r>
      <w:r w:rsidR="00A2626B">
        <w:rPr>
          <w:color w:val="auto"/>
        </w:rPr>
        <w:t>crec</w:t>
      </w:r>
      <w:r w:rsidR="00D56981">
        <w:rPr>
          <w:color w:val="auto"/>
        </w:rPr>
        <w:t>ió</w:t>
      </w:r>
      <w:r w:rsidR="00D56981" w:rsidRPr="007F014B">
        <w:rPr>
          <w:color w:val="auto"/>
        </w:rPr>
        <w:t xml:space="preserve"> </w:t>
      </w:r>
      <w:r w:rsidR="00786703">
        <w:rPr>
          <w:color w:val="auto"/>
        </w:rPr>
        <w:t>1.</w:t>
      </w:r>
      <w:r w:rsidR="00A2626B">
        <w:rPr>
          <w:color w:val="auto"/>
        </w:rPr>
        <w:t>9</w:t>
      </w:r>
      <w:r w:rsidR="00D56981" w:rsidRPr="007F014B">
        <w:rPr>
          <w:color w:val="auto"/>
        </w:rPr>
        <w:t>%</w:t>
      </w:r>
      <w:r w:rsidR="004426A2" w:rsidRPr="007F014B">
        <w:rPr>
          <w:color w:val="auto"/>
        </w:rPr>
        <w:t xml:space="preserve"> </w:t>
      </w:r>
      <w:r w:rsidR="00C6455A" w:rsidRPr="007F014B">
        <w:rPr>
          <w:color w:val="auto"/>
        </w:rPr>
        <w:t>en</w:t>
      </w:r>
      <w:r w:rsidR="006212A7" w:rsidRPr="007F014B">
        <w:rPr>
          <w:color w:val="auto"/>
        </w:rPr>
        <w:t xml:space="preserve"> </w:t>
      </w:r>
      <w:r w:rsidR="009118F9" w:rsidRPr="007F014B">
        <w:rPr>
          <w:color w:val="auto"/>
        </w:rPr>
        <w:t xml:space="preserve">el </w:t>
      </w:r>
      <w:r w:rsidR="00786703">
        <w:rPr>
          <w:color w:val="auto"/>
        </w:rPr>
        <w:t>s</w:t>
      </w:r>
      <w:r w:rsidR="00135F34">
        <w:rPr>
          <w:color w:val="auto"/>
        </w:rPr>
        <w:t>éptimo</w:t>
      </w:r>
      <w:r w:rsidR="009118F9" w:rsidRPr="007F014B">
        <w:rPr>
          <w:color w:val="auto"/>
        </w:rPr>
        <w:t xml:space="preserve"> mes </w:t>
      </w:r>
      <w:r w:rsidR="000032AE" w:rsidRPr="007F014B">
        <w:rPr>
          <w:color w:val="auto"/>
        </w:rPr>
        <w:t>de</w:t>
      </w:r>
      <w:r w:rsidR="004E0A24" w:rsidRPr="007F014B">
        <w:rPr>
          <w:color w:val="auto"/>
        </w:rPr>
        <w:t xml:space="preserve"> </w:t>
      </w:r>
      <w:r w:rsidR="00135F34">
        <w:rPr>
          <w:color w:val="auto"/>
        </w:rPr>
        <w:t>este año</w:t>
      </w:r>
      <w:r w:rsidR="004E0A24" w:rsidRPr="007F014B">
        <w:rPr>
          <w:color w:val="auto"/>
        </w:rPr>
        <w:t>.</w:t>
      </w:r>
    </w:p>
    <w:p w14:paraId="76BACD40" w14:textId="77777777" w:rsidR="00467BD1" w:rsidRPr="007F014B" w:rsidRDefault="00467BD1" w:rsidP="000B6CEC">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776102D0" w14:textId="6847A6C5"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 xml:space="preserve">Indicadores de </w:t>
      </w:r>
      <w:r w:rsidR="00EA7C32" w:rsidRPr="007F014B">
        <w:rPr>
          <w:rFonts w:ascii="Arial" w:hAnsi="Arial"/>
          <w:b/>
          <w:smallCaps/>
          <w:color w:val="auto"/>
          <w:sz w:val="22"/>
        </w:rPr>
        <w:t xml:space="preserve">las </w:t>
      </w:r>
      <w:r w:rsidRPr="007F014B">
        <w:rPr>
          <w:rFonts w:ascii="Arial" w:hAnsi="Arial"/>
          <w:b/>
          <w:smallCaps/>
          <w:color w:val="auto"/>
          <w:sz w:val="22"/>
        </w:rPr>
        <w:t xml:space="preserve">Empresas Comerciales al por Mayor </w:t>
      </w:r>
      <w:r w:rsidR="00983FBC" w:rsidRPr="007F014B">
        <w:rPr>
          <w:rFonts w:ascii="Arial" w:hAnsi="Arial"/>
          <w:b/>
          <w:smallCaps/>
          <w:color w:val="auto"/>
          <w:sz w:val="22"/>
        </w:rPr>
        <w:t>a</w:t>
      </w:r>
      <w:r w:rsidR="005C5EAF">
        <w:rPr>
          <w:rFonts w:ascii="Arial" w:hAnsi="Arial"/>
          <w:b/>
          <w:smallCaps/>
          <w:color w:val="auto"/>
          <w:sz w:val="22"/>
        </w:rPr>
        <w:t xml:space="preserve"> </w:t>
      </w:r>
      <w:r w:rsidR="00135F34">
        <w:rPr>
          <w:rFonts w:ascii="Arial" w:hAnsi="Arial"/>
          <w:b/>
          <w:smallCaps/>
          <w:color w:val="auto"/>
          <w:sz w:val="22"/>
        </w:rPr>
        <w:t>jul</w:t>
      </w:r>
      <w:r w:rsidR="00786703">
        <w:rPr>
          <w:rFonts w:ascii="Arial" w:hAnsi="Arial"/>
          <w:b/>
          <w:smallCaps/>
          <w:color w:val="auto"/>
          <w:sz w:val="22"/>
        </w:rPr>
        <w:t>i</w:t>
      </w:r>
      <w:r w:rsidR="005C5EAF">
        <w:rPr>
          <w:rFonts w:ascii="Arial" w:hAnsi="Arial"/>
          <w:b/>
          <w:smallCaps/>
          <w:color w:val="auto"/>
          <w:sz w:val="22"/>
        </w:rPr>
        <w: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5E6F81" w:rsidRPr="007F014B">
        <w:rPr>
          <w:rFonts w:ascii="Arial" w:hAnsi="Arial"/>
          <w:b/>
          <w:smallCaps/>
          <w:color w:val="auto"/>
          <w:sz w:val="22"/>
        </w:rPr>
        <w:t>1</w:t>
      </w:r>
    </w:p>
    <w:p w14:paraId="5FB5DB6C" w14:textId="77777777"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5EAFB3CC" w14:textId="77777777" w:rsidR="00467BD1" w:rsidRPr="007F014B" w:rsidRDefault="00467BD1" w:rsidP="00467BD1">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w:t>
      </w:r>
      <w:r w:rsidR="006D01F3" w:rsidRPr="007F014B">
        <w:rPr>
          <w:color w:val="auto"/>
          <w:sz w:val="18"/>
          <w:szCs w:val="18"/>
        </w:rPr>
        <w:t>13</w:t>
      </w:r>
      <w:r w:rsidRPr="007F014B">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7F014B" w14:paraId="07EB0657" w14:textId="77777777" w:rsidTr="001E274D">
        <w:trPr>
          <w:jc w:val="center"/>
        </w:trPr>
        <w:tc>
          <w:tcPr>
            <w:tcW w:w="6980" w:type="dxa"/>
          </w:tcPr>
          <w:p w14:paraId="159172BA"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7C3661BC" w14:textId="77777777" w:rsidTr="00675880">
        <w:tblPrEx>
          <w:tblCellMar>
            <w:left w:w="70" w:type="dxa"/>
            <w:right w:w="70" w:type="dxa"/>
          </w:tblCellMar>
        </w:tblPrEx>
        <w:trPr>
          <w:trHeight w:val="3969"/>
          <w:jc w:val="center"/>
        </w:trPr>
        <w:tc>
          <w:tcPr>
            <w:tcW w:w="6980" w:type="dxa"/>
          </w:tcPr>
          <w:p w14:paraId="5E5EF6FE" w14:textId="734D11D4" w:rsidR="00467BD1" w:rsidRPr="007F014B" w:rsidRDefault="00675880" w:rsidP="00AA2115">
            <w:pPr>
              <w:pStyle w:val="Textoindependiente"/>
              <w:widowControl w:val="0"/>
              <w:spacing w:before="20" w:after="20"/>
              <w:jc w:val="center"/>
              <w:rPr>
                <w:sz w:val="18"/>
                <w:szCs w:val="18"/>
              </w:rPr>
            </w:pPr>
            <w:r>
              <w:rPr>
                <w:noProof/>
                <w:lang w:val="es-MX" w:eastAsia="es-MX"/>
              </w:rPr>
              <w:drawing>
                <wp:inline distT="0" distB="0" distL="0" distR="0" wp14:anchorId="11E78AC4" wp14:editId="369E5A7D">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67BD1" w:rsidRPr="007F014B" w14:paraId="20650B41" w14:textId="77777777" w:rsidTr="001E274D">
        <w:trPr>
          <w:jc w:val="center"/>
        </w:trPr>
        <w:tc>
          <w:tcPr>
            <w:tcW w:w="6980" w:type="dxa"/>
          </w:tcPr>
          <w:p w14:paraId="4D5065FA" w14:textId="77777777" w:rsidR="00467BD1" w:rsidRPr="007F014B" w:rsidRDefault="00467BD1" w:rsidP="00DE3FCE">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04A89193" w14:textId="77777777" w:rsidTr="00675880">
        <w:tblPrEx>
          <w:tblCellMar>
            <w:left w:w="70" w:type="dxa"/>
            <w:right w:w="70" w:type="dxa"/>
          </w:tblCellMar>
        </w:tblPrEx>
        <w:trPr>
          <w:trHeight w:val="3969"/>
          <w:jc w:val="center"/>
        </w:trPr>
        <w:tc>
          <w:tcPr>
            <w:tcW w:w="6980" w:type="dxa"/>
          </w:tcPr>
          <w:p w14:paraId="5F6D7183" w14:textId="131468E8" w:rsidR="00467BD1" w:rsidRPr="007F014B" w:rsidRDefault="00675880" w:rsidP="00DE3FCE">
            <w:pPr>
              <w:pStyle w:val="p0"/>
              <w:keepNext/>
              <w:spacing w:before="0"/>
              <w:jc w:val="center"/>
              <w:rPr>
                <w:rFonts w:ascii="Arial" w:hAnsi="Arial"/>
                <w:color w:val="auto"/>
                <w:sz w:val="20"/>
              </w:rPr>
            </w:pPr>
            <w:r>
              <w:rPr>
                <w:noProof/>
                <w:lang w:val="es-MX" w:eastAsia="es-MX"/>
              </w:rPr>
              <w:drawing>
                <wp:inline distT="0" distB="0" distL="0" distR="0" wp14:anchorId="1FA591AB" wp14:editId="3AE39FDA">
                  <wp:extent cx="4320000" cy="2520000"/>
                  <wp:effectExtent l="0" t="0" r="23495"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67BD1" w:rsidRPr="007F014B" w14:paraId="45160E7C" w14:textId="77777777" w:rsidTr="00AA2115">
        <w:trPr>
          <w:jc w:val="center"/>
        </w:trPr>
        <w:tc>
          <w:tcPr>
            <w:tcW w:w="0" w:type="auto"/>
          </w:tcPr>
          <w:p w14:paraId="688157E6" w14:textId="77777777" w:rsidR="00467BD1" w:rsidRPr="007F014B" w:rsidRDefault="00467BD1" w:rsidP="00DE3FCE">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1B12ED6E" w14:textId="77777777" w:rsidTr="00675880">
        <w:tblPrEx>
          <w:tblCellMar>
            <w:left w:w="70" w:type="dxa"/>
            <w:right w:w="70" w:type="dxa"/>
          </w:tblCellMar>
        </w:tblPrEx>
        <w:trPr>
          <w:trHeight w:val="3969"/>
          <w:jc w:val="center"/>
        </w:trPr>
        <w:tc>
          <w:tcPr>
            <w:tcW w:w="6980" w:type="dxa"/>
          </w:tcPr>
          <w:p w14:paraId="7A369584" w14:textId="68DEE52C" w:rsidR="00467BD1" w:rsidRPr="007F014B" w:rsidRDefault="00675880" w:rsidP="00AA2115">
            <w:pPr>
              <w:pStyle w:val="p0"/>
              <w:keepLines w:val="0"/>
              <w:spacing w:before="0"/>
              <w:jc w:val="center"/>
              <w:rPr>
                <w:rFonts w:ascii="Arial" w:hAnsi="Arial"/>
                <w:color w:val="auto"/>
                <w:sz w:val="20"/>
              </w:rPr>
            </w:pPr>
            <w:r>
              <w:rPr>
                <w:noProof/>
                <w:lang w:val="es-MX" w:eastAsia="es-MX"/>
              </w:rPr>
              <w:drawing>
                <wp:inline distT="0" distB="0" distL="0" distR="0" wp14:anchorId="6EFD7DBD" wp14:editId="5D2DCC83">
                  <wp:extent cx="4320000" cy="2520000"/>
                  <wp:effectExtent l="0" t="0" r="23495" b="1397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402B4DD5" w14:textId="77777777" w:rsidR="00467BD1" w:rsidRPr="007F014B" w:rsidRDefault="00467BD1" w:rsidP="00085572">
      <w:pPr>
        <w:pStyle w:val="Textoindependiente"/>
        <w:spacing w:before="0"/>
        <w:ind w:left="1134" w:firstLine="238"/>
        <w:rPr>
          <w:color w:val="auto"/>
          <w:sz w:val="16"/>
          <w:szCs w:val="16"/>
        </w:rPr>
      </w:pPr>
      <w:r w:rsidRPr="007F014B">
        <w:rPr>
          <w:color w:val="auto"/>
          <w:sz w:val="16"/>
          <w:szCs w:val="16"/>
        </w:rPr>
        <w:t>Fuente: INEGI.</w:t>
      </w:r>
    </w:p>
    <w:p w14:paraId="5855B90C" w14:textId="77777777" w:rsidR="00467BD1" w:rsidRPr="007F014B" w:rsidRDefault="00467BD1" w:rsidP="00A50405">
      <w:pPr>
        <w:pStyle w:val="p01"/>
        <w:keepNext/>
        <w:spacing w:before="840"/>
        <w:outlineLvl w:val="0"/>
        <w:rPr>
          <w:rFonts w:ascii="Arial" w:hAnsi="Arial" w:cs="Arial"/>
          <w:b/>
          <w:i/>
          <w:color w:val="auto"/>
          <w:szCs w:val="24"/>
          <w:lang w:val="es-MX"/>
        </w:rPr>
      </w:pPr>
      <w:r w:rsidRPr="007F014B">
        <w:rPr>
          <w:rFonts w:ascii="Arial" w:hAnsi="Arial" w:cs="Arial"/>
          <w:b/>
          <w:i/>
          <w:color w:val="auto"/>
          <w:szCs w:val="24"/>
          <w:lang w:val="es-MX"/>
        </w:rPr>
        <w:lastRenderedPageBreak/>
        <w:t xml:space="preserve">Indicadores de las Empresas Comerciales al por Menor </w:t>
      </w:r>
    </w:p>
    <w:p w14:paraId="6BA8E4F0" w14:textId="2D4FB7B5" w:rsidR="003012FA" w:rsidRPr="007F014B" w:rsidRDefault="009E2BC4" w:rsidP="003012FA">
      <w:pPr>
        <w:pStyle w:val="Textoindependiente"/>
        <w:keepNext/>
        <w:keepLines/>
        <w:spacing w:before="360"/>
        <w:outlineLvl w:val="0"/>
        <w:rPr>
          <w:color w:val="auto"/>
        </w:rPr>
      </w:pPr>
      <w:r w:rsidRPr="007F014B">
        <w:rPr>
          <w:color w:val="auto"/>
        </w:rPr>
        <w:t>Desde una perspectiva mensual y</w:t>
      </w:r>
      <w:r w:rsidR="000032AE" w:rsidRPr="007F014B">
        <w:rPr>
          <w:color w:val="auto"/>
        </w:rPr>
        <w:t xml:space="preserve"> con cifras desestacionalizadas</w:t>
      </w:r>
      <w:r w:rsidR="00131869" w:rsidRPr="007F014B">
        <w:rPr>
          <w:color w:val="auto"/>
        </w:rPr>
        <w:t>,</w:t>
      </w:r>
      <w:r w:rsidR="00CD7E7A" w:rsidRPr="007F014B">
        <w:rPr>
          <w:color w:val="auto"/>
        </w:rPr>
        <w:t xml:space="preserve"> </w:t>
      </w:r>
      <w:r w:rsidRPr="007F014B">
        <w:rPr>
          <w:color w:val="auto"/>
        </w:rPr>
        <w:t xml:space="preserve">los Ingresos reales por suministro de bienes y servicios </w:t>
      </w:r>
      <w:r w:rsidR="000032AE" w:rsidRPr="007F014B">
        <w:rPr>
          <w:color w:val="auto"/>
        </w:rPr>
        <w:t>de las Empresas Comerciales</w:t>
      </w:r>
      <w:r w:rsidR="000032AE" w:rsidRPr="007F014B">
        <w:rPr>
          <w:snapToGrid w:val="0"/>
          <w:color w:val="auto"/>
          <w:sz w:val="22"/>
          <w:szCs w:val="22"/>
        </w:rPr>
        <w:t xml:space="preserve"> </w:t>
      </w:r>
      <w:r w:rsidR="000032AE" w:rsidRPr="007F014B">
        <w:rPr>
          <w:color w:val="auto"/>
        </w:rPr>
        <w:t xml:space="preserve">al por Menor </w:t>
      </w:r>
      <w:r w:rsidR="00D23712">
        <w:rPr>
          <w:color w:val="auto"/>
        </w:rPr>
        <w:t>pre</w:t>
      </w:r>
      <w:r w:rsidR="00094D76">
        <w:rPr>
          <w:color w:val="auto"/>
        </w:rPr>
        <w:t>s</w:t>
      </w:r>
      <w:r w:rsidR="00D23712">
        <w:rPr>
          <w:color w:val="auto"/>
        </w:rPr>
        <w:t>en</w:t>
      </w:r>
      <w:r w:rsidR="00094D76">
        <w:rPr>
          <w:color w:val="auto"/>
        </w:rPr>
        <w:t>t</w:t>
      </w:r>
      <w:r w:rsidR="00E97ADD" w:rsidRPr="007F014B">
        <w:rPr>
          <w:color w:val="auto"/>
        </w:rPr>
        <w:t>a</w:t>
      </w:r>
      <w:r w:rsidR="009118F9" w:rsidRPr="007F014B">
        <w:rPr>
          <w:color w:val="auto"/>
        </w:rPr>
        <w:t xml:space="preserve">ron </w:t>
      </w:r>
      <w:r w:rsidR="00464C61" w:rsidRPr="007F014B">
        <w:rPr>
          <w:color w:val="auto"/>
        </w:rPr>
        <w:t>un</w:t>
      </w:r>
      <w:r w:rsidR="00936E7B">
        <w:rPr>
          <w:color w:val="auto"/>
        </w:rPr>
        <w:t xml:space="preserve">a </w:t>
      </w:r>
      <w:r w:rsidR="00A2626B">
        <w:rPr>
          <w:color w:val="auto"/>
        </w:rPr>
        <w:t>reducción</w:t>
      </w:r>
      <w:r w:rsidR="005C5EAF">
        <w:rPr>
          <w:color w:val="auto"/>
        </w:rPr>
        <w:t xml:space="preserve"> </w:t>
      </w:r>
      <w:r w:rsidR="00D23712">
        <w:rPr>
          <w:color w:val="auto"/>
        </w:rPr>
        <w:t xml:space="preserve">de </w:t>
      </w:r>
      <w:r w:rsidR="009657BA">
        <w:rPr>
          <w:color w:val="auto"/>
        </w:rPr>
        <w:t>0.</w:t>
      </w:r>
      <w:r w:rsidR="00A2626B">
        <w:rPr>
          <w:color w:val="auto"/>
        </w:rPr>
        <w:t>4</w:t>
      </w:r>
      <w:r w:rsidR="000032AE" w:rsidRPr="007F014B">
        <w:rPr>
          <w:color w:val="auto"/>
        </w:rPr>
        <w:t>%</w:t>
      </w:r>
      <w:r w:rsidR="00A2626B">
        <w:rPr>
          <w:color w:val="auto"/>
        </w:rPr>
        <w:t>, mientras que</w:t>
      </w:r>
      <w:r w:rsidR="00647401" w:rsidRPr="007F014B">
        <w:rPr>
          <w:color w:val="auto"/>
        </w:rPr>
        <w:t xml:space="preserve"> </w:t>
      </w:r>
      <w:r w:rsidR="005C5EAF" w:rsidRPr="007F014B">
        <w:rPr>
          <w:color w:val="auto"/>
        </w:rPr>
        <w:t xml:space="preserve">las Remuneraciones medias reales </w:t>
      </w:r>
      <w:r w:rsidR="00A2626B">
        <w:rPr>
          <w:color w:val="auto"/>
        </w:rPr>
        <w:t>aumentaron 2.1</w:t>
      </w:r>
      <w:r w:rsidR="00C74A66">
        <w:rPr>
          <w:color w:val="auto"/>
        </w:rPr>
        <w:t>%</w:t>
      </w:r>
      <w:r w:rsidR="00A2626B">
        <w:rPr>
          <w:color w:val="auto"/>
        </w:rPr>
        <w:t xml:space="preserve"> y</w:t>
      </w:r>
      <w:r w:rsidR="00C74A66">
        <w:rPr>
          <w:color w:val="auto"/>
        </w:rPr>
        <w:t xml:space="preserve"> </w:t>
      </w:r>
      <w:r w:rsidR="009657BA" w:rsidRPr="007F014B">
        <w:rPr>
          <w:color w:val="auto"/>
        </w:rPr>
        <w:t xml:space="preserve">el Personal ocupado total </w:t>
      </w:r>
      <w:r w:rsidR="00C74A66">
        <w:rPr>
          <w:color w:val="auto"/>
        </w:rPr>
        <w:t xml:space="preserve">se </w:t>
      </w:r>
      <w:r w:rsidR="004039FF">
        <w:rPr>
          <w:color w:val="auto"/>
        </w:rPr>
        <w:t xml:space="preserve">incrementó </w:t>
      </w:r>
      <w:r w:rsidR="00A2626B">
        <w:rPr>
          <w:color w:val="auto"/>
        </w:rPr>
        <w:t>0.2%</w:t>
      </w:r>
      <w:r w:rsidR="00D23712">
        <w:rPr>
          <w:color w:val="auto"/>
        </w:rPr>
        <w:t xml:space="preserve"> </w:t>
      </w:r>
      <w:r w:rsidR="00C74A66">
        <w:rPr>
          <w:color w:val="auto"/>
        </w:rPr>
        <w:t xml:space="preserve">en </w:t>
      </w:r>
      <w:r w:rsidR="00936E7B">
        <w:rPr>
          <w:color w:val="auto"/>
        </w:rPr>
        <w:t>ju</w:t>
      </w:r>
      <w:r w:rsidR="00135F34">
        <w:rPr>
          <w:color w:val="auto"/>
        </w:rPr>
        <w:t>li</w:t>
      </w:r>
      <w:r w:rsidR="00C74A66">
        <w:rPr>
          <w:color w:val="auto"/>
        </w:rPr>
        <w:t>o</w:t>
      </w:r>
      <w:r w:rsidR="00DB1379" w:rsidRPr="007F014B">
        <w:rPr>
          <w:color w:val="auto"/>
        </w:rPr>
        <w:t xml:space="preserve"> de</w:t>
      </w:r>
      <w:r w:rsidR="00135F34">
        <w:rPr>
          <w:color w:val="auto"/>
        </w:rPr>
        <w:t>l año en curso</w:t>
      </w:r>
      <w:r w:rsidR="00EA2AA3">
        <w:rPr>
          <w:color w:val="auto"/>
        </w:rPr>
        <w:t xml:space="preserve"> con relación al mes </w:t>
      </w:r>
      <w:r w:rsidR="00135F34">
        <w:rPr>
          <w:color w:val="auto"/>
        </w:rPr>
        <w:t>precedente</w:t>
      </w:r>
      <w:r w:rsidR="00EB4DDC" w:rsidRPr="007F014B">
        <w:rPr>
          <w:color w:val="auto"/>
        </w:rPr>
        <w:t>.</w:t>
      </w:r>
    </w:p>
    <w:p w14:paraId="4963B463" w14:textId="21334B01" w:rsidR="00085572" w:rsidRPr="007F014B" w:rsidRDefault="00EB4DDC" w:rsidP="00266227">
      <w:pPr>
        <w:pStyle w:val="Textoindependiente"/>
        <w:spacing w:before="360"/>
        <w:outlineLvl w:val="0"/>
        <w:rPr>
          <w:color w:val="auto"/>
        </w:rPr>
      </w:pPr>
      <w:r w:rsidRPr="007F014B">
        <w:rPr>
          <w:color w:val="auto"/>
        </w:rPr>
        <w:t>En su comparación anual</w:t>
      </w:r>
      <w:r w:rsidR="009E2BC4" w:rsidRPr="007F014B">
        <w:rPr>
          <w:color w:val="auto"/>
        </w:rPr>
        <w:t>, los Ingresos reales por suministro de bienes y servici</w:t>
      </w:r>
      <w:r w:rsidR="009740EA" w:rsidRPr="007F014B">
        <w:rPr>
          <w:color w:val="auto"/>
        </w:rPr>
        <w:t>o</w:t>
      </w:r>
      <w:r w:rsidR="00615CB8" w:rsidRPr="007F014B">
        <w:rPr>
          <w:color w:val="auto"/>
        </w:rPr>
        <w:t xml:space="preserve">s </w:t>
      </w:r>
      <w:r w:rsidR="00A2626B">
        <w:rPr>
          <w:color w:val="auto"/>
        </w:rPr>
        <w:t>crecie</w:t>
      </w:r>
      <w:r w:rsidR="009657BA">
        <w:rPr>
          <w:color w:val="auto"/>
        </w:rPr>
        <w:t>ron</w:t>
      </w:r>
      <w:r w:rsidR="003A4074" w:rsidRPr="007F014B">
        <w:rPr>
          <w:color w:val="auto"/>
        </w:rPr>
        <w:t xml:space="preserve"> </w:t>
      </w:r>
      <w:r w:rsidR="00936E7B">
        <w:rPr>
          <w:color w:val="auto"/>
        </w:rPr>
        <w:t>1</w:t>
      </w:r>
      <w:r w:rsidR="00A2626B">
        <w:rPr>
          <w:color w:val="auto"/>
        </w:rPr>
        <w:t>0</w:t>
      </w:r>
      <w:r w:rsidR="007B44D3" w:rsidRPr="007F014B">
        <w:rPr>
          <w:color w:val="auto"/>
        </w:rPr>
        <w:t>%</w:t>
      </w:r>
      <w:r w:rsidR="00C74A66">
        <w:rPr>
          <w:color w:val="auto"/>
        </w:rPr>
        <w:t xml:space="preserve">, </w:t>
      </w:r>
      <w:r w:rsidR="00675880" w:rsidRPr="007F014B">
        <w:rPr>
          <w:color w:val="auto"/>
        </w:rPr>
        <w:t xml:space="preserve">las Remuneraciones medias reales </w:t>
      </w:r>
      <w:r w:rsidR="00675880">
        <w:rPr>
          <w:color w:val="auto"/>
        </w:rPr>
        <w:t xml:space="preserve">3.6% y </w:t>
      </w:r>
      <w:r w:rsidR="00936E7B">
        <w:rPr>
          <w:color w:val="auto"/>
        </w:rPr>
        <w:t xml:space="preserve">el </w:t>
      </w:r>
      <w:r w:rsidR="00936E7B" w:rsidRPr="007F014B">
        <w:rPr>
          <w:color w:val="auto"/>
        </w:rPr>
        <w:t xml:space="preserve">Personal ocupado total </w:t>
      </w:r>
      <w:r w:rsidR="004039FF">
        <w:rPr>
          <w:color w:val="auto"/>
        </w:rPr>
        <w:t>ascendió</w:t>
      </w:r>
      <w:r w:rsidR="00936E7B">
        <w:rPr>
          <w:color w:val="auto"/>
        </w:rPr>
        <w:t xml:space="preserve"> </w:t>
      </w:r>
      <w:r w:rsidR="00675880">
        <w:rPr>
          <w:color w:val="auto"/>
        </w:rPr>
        <w:t>2.4</w:t>
      </w:r>
      <w:r w:rsidR="00936E7B" w:rsidRPr="007F014B">
        <w:rPr>
          <w:color w:val="auto"/>
        </w:rPr>
        <w:t>%</w:t>
      </w:r>
      <w:r w:rsidR="00936E7B">
        <w:rPr>
          <w:color w:val="auto"/>
        </w:rPr>
        <w:t xml:space="preserve"> </w:t>
      </w:r>
      <w:r w:rsidR="00F1163D" w:rsidRPr="007F014B">
        <w:rPr>
          <w:color w:val="auto"/>
        </w:rPr>
        <w:t>en</w:t>
      </w:r>
      <w:r w:rsidR="00815A37" w:rsidRPr="007F014B">
        <w:rPr>
          <w:color w:val="auto"/>
        </w:rPr>
        <w:t xml:space="preserve"> el </w:t>
      </w:r>
      <w:r w:rsidR="00936E7B">
        <w:rPr>
          <w:color w:val="auto"/>
        </w:rPr>
        <w:t>s</w:t>
      </w:r>
      <w:r w:rsidR="00135F34">
        <w:rPr>
          <w:color w:val="auto"/>
        </w:rPr>
        <w:t>éptimo</w:t>
      </w:r>
      <w:r w:rsidR="00815A37" w:rsidRPr="007F014B">
        <w:rPr>
          <w:color w:val="auto"/>
        </w:rPr>
        <w:t xml:space="preserve"> mes de </w:t>
      </w:r>
      <w:r w:rsidR="00135F34">
        <w:rPr>
          <w:color w:val="auto"/>
        </w:rPr>
        <w:t>2021</w:t>
      </w:r>
      <w:r w:rsidR="006867CC" w:rsidRPr="007F014B">
        <w:rPr>
          <w:color w:val="auto"/>
        </w:rPr>
        <w:t>,</w:t>
      </w:r>
      <w:r w:rsidR="009E2BC4" w:rsidRPr="007F014B">
        <w:rPr>
          <w:color w:val="auto"/>
        </w:rPr>
        <w:t xml:space="preserve"> con series ajustadas por estacionalidad</w:t>
      </w:r>
      <w:r w:rsidR="00467BD1" w:rsidRPr="007F014B">
        <w:rPr>
          <w:color w:val="auto"/>
        </w:rPr>
        <w:t xml:space="preserve">. </w:t>
      </w:r>
    </w:p>
    <w:p w14:paraId="178315F5" w14:textId="77777777" w:rsidR="00467BD1" w:rsidRPr="007F014B" w:rsidRDefault="00467BD1" w:rsidP="00467BD1">
      <w:pPr>
        <w:pStyle w:val="p0"/>
        <w:keepNext/>
        <w:spacing w:before="360"/>
        <w:jc w:val="center"/>
        <w:rPr>
          <w:rFonts w:ascii="Arial" w:hAnsi="Arial"/>
          <w:b/>
          <w:smallCaps/>
          <w:color w:val="auto"/>
          <w:sz w:val="22"/>
        </w:rPr>
      </w:pPr>
      <w:r w:rsidRPr="007F014B">
        <w:rPr>
          <w:rFonts w:ascii="Arial" w:hAnsi="Arial"/>
          <w:color w:val="auto"/>
          <w:sz w:val="20"/>
        </w:rPr>
        <w:t>Gráfica 2</w:t>
      </w:r>
    </w:p>
    <w:p w14:paraId="1AEE264E" w14:textId="1D3E087D" w:rsidR="00467BD1" w:rsidRPr="007F014B" w:rsidRDefault="00467BD1" w:rsidP="00467BD1">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 xml:space="preserve">al por Menor </w:t>
      </w:r>
      <w:r w:rsidR="00983FBC" w:rsidRPr="007F014B">
        <w:rPr>
          <w:rFonts w:ascii="Arial" w:hAnsi="Arial"/>
          <w:b/>
          <w:smallCaps/>
          <w:color w:val="auto"/>
          <w:sz w:val="22"/>
        </w:rPr>
        <w:t>a</w:t>
      </w:r>
      <w:r w:rsidR="00C74A66">
        <w:rPr>
          <w:rFonts w:ascii="Arial" w:hAnsi="Arial"/>
          <w:b/>
          <w:smallCaps/>
          <w:color w:val="auto"/>
          <w:sz w:val="22"/>
        </w:rPr>
        <w:t xml:space="preserve"> </w:t>
      </w:r>
      <w:r w:rsidR="00936E7B">
        <w:rPr>
          <w:rFonts w:ascii="Arial" w:hAnsi="Arial"/>
          <w:b/>
          <w:smallCaps/>
          <w:color w:val="auto"/>
          <w:sz w:val="22"/>
        </w:rPr>
        <w:t>ju</w:t>
      </w:r>
      <w:r w:rsidR="00135F34">
        <w:rPr>
          <w:rFonts w:ascii="Arial" w:hAnsi="Arial"/>
          <w:b/>
          <w:smallCaps/>
          <w:color w:val="auto"/>
          <w:sz w:val="22"/>
        </w:rPr>
        <w:t>l</w:t>
      </w:r>
      <w:r w:rsidR="00936E7B">
        <w:rPr>
          <w:rFonts w:ascii="Arial" w:hAnsi="Arial"/>
          <w:b/>
          <w:smallCaps/>
          <w:color w:val="auto"/>
          <w:sz w:val="22"/>
        </w:rPr>
        <w:t>i</w:t>
      </w:r>
      <w:r w:rsidR="00C74A66">
        <w:rPr>
          <w:rFonts w:ascii="Arial" w:hAnsi="Arial"/>
          <w:b/>
          <w:smallCaps/>
          <w:color w:val="auto"/>
          <w:sz w:val="22"/>
        </w:rPr>
        <w: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EE2B3E" w:rsidRPr="007F014B">
        <w:rPr>
          <w:rFonts w:ascii="Arial" w:hAnsi="Arial"/>
          <w:b/>
          <w:smallCaps/>
          <w:color w:val="auto"/>
          <w:sz w:val="22"/>
        </w:rPr>
        <w:t>1</w:t>
      </w:r>
    </w:p>
    <w:p w14:paraId="3D40510F" w14:textId="77777777" w:rsidR="00467BD1" w:rsidRPr="007F014B" w:rsidRDefault="00467BD1" w:rsidP="009E2FC7">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6772744E" w14:textId="77777777" w:rsidR="00467BD1" w:rsidRPr="007F014B" w:rsidRDefault="00467BD1" w:rsidP="00467BD1">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w:t>
      </w:r>
      <w:r w:rsidR="0073065B" w:rsidRPr="007F014B">
        <w:rPr>
          <w:rFonts w:ascii="Arial" w:hAnsi="Arial"/>
          <w:color w:val="auto"/>
          <w:sz w:val="18"/>
          <w:szCs w:val="18"/>
        </w:rPr>
        <w:t>13</w:t>
      </w:r>
      <w:r w:rsidRPr="007F014B">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7F014B" w14:paraId="5D175937" w14:textId="77777777" w:rsidTr="00AA2115">
        <w:trPr>
          <w:jc w:val="center"/>
        </w:trPr>
        <w:tc>
          <w:tcPr>
            <w:tcW w:w="0" w:type="auto"/>
          </w:tcPr>
          <w:p w14:paraId="2CE4B598"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5051CE8D" w14:textId="77777777" w:rsidTr="00675880">
        <w:tblPrEx>
          <w:tblCellMar>
            <w:left w:w="70" w:type="dxa"/>
            <w:right w:w="70" w:type="dxa"/>
          </w:tblCellMar>
        </w:tblPrEx>
        <w:trPr>
          <w:trHeight w:val="3969"/>
          <w:jc w:val="center"/>
        </w:trPr>
        <w:tc>
          <w:tcPr>
            <w:tcW w:w="6980" w:type="dxa"/>
          </w:tcPr>
          <w:p w14:paraId="63C67A61" w14:textId="3568E4BA" w:rsidR="00467BD1" w:rsidRPr="007F014B" w:rsidRDefault="00675880" w:rsidP="00AA2115">
            <w:pPr>
              <w:pStyle w:val="Textoindependiente"/>
              <w:widowControl w:val="0"/>
              <w:spacing w:before="20" w:after="20"/>
              <w:jc w:val="center"/>
              <w:rPr>
                <w:sz w:val="18"/>
                <w:szCs w:val="18"/>
              </w:rPr>
            </w:pPr>
            <w:r>
              <w:rPr>
                <w:noProof/>
                <w:lang w:val="es-MX" w:eastAsia="es-MX"/>
              </w:rPr>
              <w:drawing>
                <wp:inline distT="0" distB="0" distL="0" distR="0" wp14:anchorId="4C60AB8D" wp14:editId="1ABDCB74">
                  <wp:extent cx="4320000" cy="2520000"/>
                  <wp:effectExtent l="0" t="0" r="23495" b="1397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67BD1" w:rsidRPr="007F014B" w14:paraId="2C1C2067" w14:textId="77777777" w:rsidTr="00AA2115">
        <w:trPr>
          <w:jc w:val="center"/>
        </w:trPr>
        <w:tc>
          <w:tcPr>
            <w:tcW w:w="0" w:type="auto"/>
          </w:tcPr>
          <w:p w14:paraId="6D6DE5F7" w14:textId="77777777" w:rsidR="00467BD1" w:rsidRPr="007F014B" w:rsidRDefault="00467BD1" w:rsidP="00DE3FCE">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6D05195A" w14:textId="77777777" w:rsidTr="00675880">
        <w:tblPrEx>
          <w:tblCellMar>
            <w:left w:w="70" w:type="dxa"/>
            <w:right w:w="70" w:type="dxa"/>
          </w:tblCellMar>
        </w:tblPrEx>
        <w:trPr>
          <w:trHeight w:val="3969"/>
          <w:jc w:val="center"/>
        </w:trPr>
        <w:tc>
          <w:tcPr>
            <w:tcW w:w="6980" w:type="dxa"/>
          </w:tcPr>
          <w:p w14:paraId="4E13EA01" w14:textId="7F2D12A6" w:rsidR="00467BD1" w:rsidRPr="007F014B" w:rsidRDefault="00675880" w:rsidP="00DE3FCE">
            <w:pPr>
              <w:pStyle w:val="p0"/>
              <w:keepNext/>
              <w:spacing w:before="20" w:after="20"/>
              <w:jc w:val="center"/>
              <w:rPr>
                <w:rFonts w:ascii="Arial" w:hAnsi="Arial"/>
                <w:color w:val="auto"/>
                <w:sz w:val="20"/>
              </w:rPr>
            </w:pPr>
            <w:r>
              <w:rPr>
                <w:noProof/>
                <w:lang w:val="es-MX" w:eastAsia="es-MX"/>
              </w:rPr>
              <w:drawing>
                <wp:inline distT="0" distB="0" distL="0" distR="0" wp14:anchorId="6FD42F06" wp14:editId="3FE8CE64">
                  <wp:extent cx="4320000" cy="2520000"/>
                  <wp:effectExtent l="0" t="0" r="23495" b="1397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7F014B" w14:paraId="1CFA9538" w14:textId="77777777" w:rsidTr="00AA2115">
        <w:trPr>
          <w:jc w:val="center"/>
        </w:trPr>
        <w:tc>
          <w:tcPr>
            <w:tcW w:w="0" w:type="auto"/>
          </w:tcPr>
          <w:p w14:paraId="652D7BFD" w14:textId="77777777" w:rsidR="00467BD1" w:rsidRPr="007F014B" w:rsidRDefault="00467BD1" w:rsidP="00DE3FCE">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00F6AB55" w14:textId="77777777" w:rsidTr="00675880">
        <w:tblPrEx>
          <w:tblCellMar>
            <w:left w:w="70" w:type="dxa"/>
            <w:right w:w="70" w:type="dxa"/>
          </w:tblCellMar>
        </w:tblPrEx>
        <w:trPr>
          <w:trHeight w:val="3969"/>
          <w:jc w:val="center"/>
        </w:trPr>
        <w:tc>
          <w:tcPr>
            <w:tcW w:w="6980" w:type="dxa"/>
          </w:tcPr>
          <w:p w14:paraId="543B45EE" w14:textId="1C2BF4A2" w:rsidR="00467BD1" w:rsidRPr="007F014B" w:rsidRDefault="00675880" w:rsidP="00AA2115">
            <w:pPr>
              <w:pStyle w:val="p0"/>
              <w:keepLines w:val="0"/>
              <w:spacing w:before="20" w:after="20"/>
              <w:jc w:val="center"/>
              <w:rPr>
                <w:rFonts w:ascii="Arial" w:hAnsi="Arial"/>
                <w:color w:val="auto"/>
                <w:sz w:val="20"/>
              </w:rPr>
            </w:pPr>
            <w:r>
              <w:rPr>
                <w:noProof/>
                <w:lang w:val="es-MX" w:eastAsia="es-MX"/>
              </w:rPr>
              <w:drawing>
                <wp:inline distT="0" distB="0" distL="0" distR="0" wp14:anchorId="4A207DFC" wp14:editId="5DAF2CD9">
                  <wp:extent cx="4320000" cy="2520000"/>
                  <wp:effectExtent l="0" t="0" r="23495" b="1397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21796A0" w14:textId="77777777" w:rsidR="00467BD1" w:rsidRPr="007F014B" w:rsidRDefault="00467BD1" w:rsidP="00085572">
      <w:pPr>
        <w:pStyle w:val="Textoindependiente"/>
        <w:widowControl w:val="0"/>
        <w:spacing w:before="20"/>
        <w:ind w:firstLine="1372"/>
        <w:jc w:val="left"/>
        <w:rPr>
          <w:color w:val="auto"/>
          <w:sz w:val="16"/>
          <w:szCs w:val="16"/>
        </w:rPr>
      </w:pPr>
      <w:r w:rsidRPr="007F014B">
        <w:rPr>
          <w:color w:val="auto"/>
          <w:sz w:val="16"/>
          <w:szCs w:val="16"/>
        </w:rPr>
        <w:t>Fuente: INEGI.</w:t>
      </w:r>
    </w:p>
    <w:p w14:paraId="2DFA3B30" w14:textId="77777777" w:rsidR="00467BD1" w:rsidRPr="007F014B" w:rsidRDefault="00467BD1" w:rsidP="00467BD1">
      <w:pPr>
        <w:rPr>
          <w:b/>
          <w:i/>
        </w:rPr>
      </w:pPr>
      <w:r w:rsidRPr="007F014B">
        <w:rPr>
          <w:b/>
          <w:i/>
        </w:rPr>
        <w:br w:type="page"/>
      </w:r>
    </w:p>
    <w:p w14:paraId="73BD7537" w14:textId="77777777" w:rsidR="00467BD1" w:rsidRPr="007F014B" w:rsidRDefault="00467BD1" w:rsidP="00CA2057">
      <w:pPr>
        <w:pStyle w:val="p01"/>
        <w:keepLines w:val="0"/>
        <w:widowControl w:val="0"/>
        <w:spacing w:before="120"/>
        <w:outlineLvl w:val="0"/>
        <w:rPr>
          <w:rFonts w:ascii="Arial" w:hAnsi="Arial" w:cs="Arial"/>
          <w:b/>
          <w:i/>
          <w:color w:val="auto"/>
          <w:szCs w:val="24"/>
          <w:lang w:val="es-MX"/>
        </w:rPr>
      </w:pPr>
      <w:r w:rsidRPr="007F014B">
        <w:rPr>
          <w:rFonts w:ascii="Arial" w:hAnsi="Arial" w:cs="Arial"/>
          <w:b/>
          <w:i/>
          <w:color w:val="auto"/>
          <w:szCs w:val="24"/>
          <w:lang w:val="es-MX"/>
        </w:rPr>
        <w:lastRenderedPageBreak/>
        <w:t>Cifras originales</w:t>
      </w:r>
    </w:p>
    <w:p w14:paraId="4646C032" w14:textId="77777777" w:rsidR="00467BD1" w:rsidRPr="007F014B" w:rsidRDefault="00467BD1" w:rsidP="00CA2057">
      <w:pPr>
        <w:widowControl w:val="0"/>
        <w:spacing w:before="360"/>
        <w:jc w:val="center"/>
        <w:rPr>
          <w:sz w:val="20"/>
          <w:szCs w:val="20"/>
        </w:rPr>
      </w:pPr>
      <w:r w:rsidRPr="007F014B">
        <w:rPr>
          <w:sz w:val="20"/>
          <w:szCs w:val="20"/>
        </w:rPr>
        <w:t>Cuadro 2</w:t>
      </w:r>
    </w:p>
    <w:p w14:paraId="23480E1D" w14:textId="47761369" w:rsidR="00467BD1" w:rsidRPr="007F014B" w:rsidRDefault="00467BD1" w:rsidP="00CA2057">
      <w:pPr>
        <w:widowControl w:val="0"/>
        <w:jc w:val="center"/>
        <w:rPr>
          <w:b/>
          <w:smallCaps/>
          <w:sz w:val="22"/>
          <w:szCs w:val="22"/>
        </w:rPr>
      </w:pPr>
      <w:r w:rsidRPr="007F014B">
        <w:rPr>
          <w:b/>
          <w:smallCaps/>
          <w:sz w:val="22"/>
          <w:szCs w:val="22"/>
        </w:rPr>
        <w:t xml:space="preserve">Indicadores de las Empresas Comerciales </w:t>
      </w:r>
      <w:r w:rsidRPr="007F014B">
        <w:rPr>
          <w:b/>
          <w:smallCaps/>
          <w:sz w:val="22"/>
          <w:szCs w:val="22"/>
        </w:rPr>
        <w:br/>
        <w:t xml:space="preserve">por entidad federativa según sector de actividad </w:t>
      </w:r>
      <w:r w:rsidRPr="007F014B">
        <w:rPr>
          <w:b/>
          <w:smallCaps/>
          <w:sz w:val="22"/>
          <w:szCs w:val="22"/>
        </w:rPr>
        <w:br/>
        <w:t xml:space="preserve">durante </w:t>
      </w:r>
      <w:r w:rsidR="00457D38">
        <w:rPr>
          <w:b/>
          <w:smallCaps/>
          <w:sz w:val="22"/>
          <w:szCs w:val="22"/>
        </w:rPr>
        <w:t>ju</w:t>
      </w:r>
      <w:r w:rsidR="00135F34">
        <w:rPr>
          <w:b/>
          <w:smallCaps/>
          <w:sz w:val="22"/>
          <w:szCs w:val="22"/>
        </w:rPr>
        <w:t>l</w:t>
      </w:r>
      <w:r w:rsidR="00457D38">
        <w:rPr>
          <w:b/>
          <w:smallCaps/>
          <w:sz w:val="22"/>
          <w:szCs w:val="22"/>
        </w:rPr>
        <w:t>i</w:t>
      </w:r>
      <w:r w:rsidR="00775A59">
        <w:rPr>
          <w:b/>
          <w:smallCaps/>
          <w:sz w:val="22"/>
          <w:szCs w:val="22"/>
        </w:rPr>
        <w:t>o</w:t>
      </w:r>
      <w:r w:rsidRPr="007F014B">
        <w:rPr>
          <w:b/>
          <w:sz w:val="22"/>
          <w:szCs w:val="22"/>
          <w:vertAlign w:val="superscript"/>
        </w:rPr>
        <w:t>p</w:t>
      </w:r>
      <w:r w:rsidRPr="007F014B">
        <w:rPr>
          <w:b/>
          <w:smallCaps/>
          <w:sz w:val="22"/>
          <w:szCs w:val="22"/>
          <w:vertAlign w:val="superscript"/>
        </w:rPr>
        <w:t>/</w:t>
      </w:r>
      <w:r w:rsidRPr="007F014B">
        <w:rPr>
          <w:b/>
          <w:smallCaps/>
          <w:sz w:val="22"/>
          <w:szCs w:val="22"/>
        </w:rPr>
        <w:t xml:space="preserve"> de </w:t>
      </w:r>
      <w:r w:rsidR="00DF5A6D" w:rsidRPr="007F014B">
        <w:rPr>
          <w:b/>
          <w:smallCaps/>
          <w:sz w:val="22"/>
          <w:szCs w:val="22"/>
        </w:rPr>
        <w:t>202</w:t>
      </w:r>
      <w:r w:rsidR="00EE2B3E" w:rsidRPr="007F014B">
        <w:rPr>
          <w:b/>
          <w:smallCaps/>
          <w:sz w:val="22"/>
          <w:szCs w:val="22"/>
        </w:rPr>
        <w:t>1</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7F014B"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7F014B" w:rsidRDefault="00467BD1" w:rsidP="00AA2115">
            <w:pPr>
              <w:spacing w:before="20" w:after="20"/>
              <w:jc w:val="center"/>
              <w:rPr>
                <w:bCs/>
                <w:sz w:val="16"/>
                <w:szCs w:val="16"/>
              </w:rPr>
            </w:pPr>
            <w:r w:rsidRPr="007F014B">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Menor</w:t>
            </w:r>
          </w:p>
        </w:tc>
      </w:tr>
      <w:tr w:rsidR="00467BD1" w:rsidRPr="007F014B"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7F014B"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7F014B" w:rsidRDefault="00467BD1" w:rsidP="00457A06">
            <w:pPr>
              <w:spacing w:before="40" w:after="40"/>
              <w:ind w:left="-57" w:right="-40"/>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7F014B" w:rsidRDefault="00467BD1" w:rsidP="00770BFA">
            <w:pPr>
              <w:spacing w:before="40" w:after="40"/>
              <w:ind w:left="-39" w:right="-35"/>
              <w:jc w:val="center"/>
              <w:rPr>
                <w:bCs/>
                <w:sz w:val="16"/>
                <w:szCs w:val="16"/>
              </w:rPr>
            </w:pPr>
            <w:r w:rsidRPr="007F014B">
              <w:rPr>
                <w:bCs/>
                <w:color w:val="000000"/>
                <w:sz w:val="16"/>
                <w:szCs w:val="16"/>
              </w:rPr>
              <w:t>Personal ocupado</w:t>
            </w:r>
            <w:r w:rsidR="00770BFA" w:rsidRPr="007F014B">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r w:rsidRPr="007F014B">
              <w:rPr>
                <w:bCs/>
                <w:color w:val="000000"/>
                <w:sz w:val="16"/>
                <w:szCs w:val="16"/>
              </w:rPr>
              <w:t xml:space="preserve">ciones </w:t>
            </w:r>
            <w:r w:rsidR="00B6264B" w:rsidRPr="007F014B">
              <w:rPr>
                <w:bCs/>
                <w:color w:val="000000"/>
                <w:sz w:val="16"/>
                <w:szCs w:val="16"/>
              </w:rPr>
              <w:br/>
            </w:r>
            <w:r w:rsidRPr="007F014B">
              <w:rPr>
                <w:bCs/>
                <w:color w:val="000000"/>
                <w:sz w:val="16"/>
                <w:szCs w:val="16"/>
              </w:rPr>
              <w:t>medias</w:t>
            </w:r>
            <w:r w:rsidR="00876DC6" w:rsidRPr="007F014B">
              <w:rPr>
                <w:bCs/>
                <w:color w:val="000000"/>
                <w:sz w:val="16"/>
                <w:szCs w:val="16"/>
              </w:rPr>
              <w:t xml:space="preserve"> </w:t>
            </w:r>
            <w:r w:rsidR="00876DC6" w:rsidRPr="007F014B">
              <w:rPr>
                <w:bCs/>
                <w:color w:val="000000"/>
                <w:sz w:val="16"/>
                <w:szCs w:val="16"/>
              </w:rPr>
              <w:br/>
            </w:r>
            <w:r w:rsidRPr="007F014B">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7F014B" w:rsidRDefault="00467BD1" w:rsidP="00FB4F25">
            <w:pPr>
              <w:spacing w:before="40" w:after="40"/>
              <w:ind w:left="-56" w:right="-39"/>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7F014B" w:rsidRDefault="00770BFA" w:rsidP="00FB4F25">
            <w:pPr>
              <w:spacing w:before="40" w:after="40"/>
              <w:ind w:left="-39" w:right="-35"/>
              <w:jc w:val="center"/>
              <w:rPr>
                <w:bCs/>
                <w:sz w:val="16"/>
                <w:szCs w:val="16"/>
              </w:rPr>
            </w:pPr>
            <w:r w:rsidRPr="007F014B">
              <w:rPr>
                <w:bCs/>
                <w:color w:val="000000"/>
                <w:sz w:val="16"/>
                <w:szCs w:val="16"/>
              </w:rPr>
              <w:t>Personal ocupado</w:t>
            </w:r>
            <w:r w:rsidRPr="007F014B">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r w:rsidRPr="007F014B">
              <w:rPr>
                <w:bCs/>
                <w:color w:val="000000"/>
                <w:sz w:val="16"/>
                <w:szCs w:val="16"/>
              </w:rPr>
              <w:t xml:space="preserve">ciones </w:t>
            </w:r>
            <w:r w:rsidR="00B6264B" w:rsidRPr="007F014B">
              <w:rPr>
                <w:bCs/>
                <w:color w:val="000000"/>
                <w:sz w:val="16"/>
                <w:szCs w:val="16"/>
              </w:rPr>
              <w:br/>
            </w:r>
            <w:r w:rsidRPr="007F014B">
              <w:rPr>
                <w:bCs/>
                <w:color w:val="000000"/>
                <w:sz w:val="16"/>
                <w:szCs w:val="16"/>
              </w:rPr>
              <w:t xml:space="preserve">medias </w:t>
            </w:r>
            <w:r w:rsidR="00876DC6" w:rsidRPr="007F014B">
              <w:rPr>
                <w:bCs/>
                <w:color w:val="000000"/>
                <w:sz w:val="16"/>
                <w:szCs w:val="16"/>
              </w:rPr>
              <w:br/>
            </w:r>
            <w:r w:rsidRPr="007F014B">
              <w:rPr>
                <w:bCs/>
                <w:color w:val="000000"/>
                <w:sz w:val="16"/>
                <w:szCs w:val="16"/>
              </w:rPr>
              <w:t>reales</w:t>
            </w:r>
          </w:p>
        </w:tc>
      </w:tr>
      <w:tr w:rsidR="00467BD1" w:rsidRPr="007F014B"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7F014B"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7F014B" w:rsidRDefault="00467BD1" w:rsidP="00FB4F25">
            <w:pPr>
              <w:spacing w:before="40" w:after="40"/>
              <w:jc w:val="center"/>
              <w:rPr>
                <w:bCs/>
                <w:sz w:val="16"/>
                <w:szCs w:val="16"/>
              </w:rPr>
            </w:pPr>
            <w:r w:rsidRPr="007F014B">
              <w:rPr>
                <w:bCs/>
                <w:sz w:val="16"/>
                <w:szCs w:val="16"/>
              </w:rPr>
              <w:t>Variación porcentual anual respecto a igual mes de un año antes</w:t>
            </w:r>
          </w:p>
        </w:tc>
      </w:tr>
      <w:tr w:rsidR="00D93016" w:rsidRPr="007F014B" w14:paraId="6191BF9B" w14:textId="77777777" w:rsidTr="00D93016">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D93016" w:rsidRPr="007F014B" w:rsidRDefault="00D93016" w:rsidP="00D93016">
            <w:pPr>
              <w:ind w:left="97"/>
              <w:jc w:val="left"/>
              <w:rPr>
                <w:b/>
                <w:bCs/>
                <w:sz w:val="16"/>
                <w:szCs w:val="16"/>
              </w:rPr>
            </w:pPr>
            <w:r w:rsidRPr="007F014B">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79C8F756" w:rsidR="00D93016" w:rsidRPr="00110A4A" w:rsidRDefault="00D93016" w:rsidP="00D93016">
            <w:pPr>
              <w:tabs>
                <w:tab w:val="decimal" w:pos="547"/>
              </w:tabs>
              <w:jc w:val="left"/>
              <w:rPr>
                <w:b/>
                <w:color w:val="000000"/>
                <w:sz w:val="16"/>
                <w:szCs w:val="16"/>
              </w:rPr>
            </w:pPr>
            <w:r>
              <w:rPr>
                <w:b/>
                <w:bCs/>
                <w:color w:val="000000"/>
                <w:sz w:val="16"/>
                <w:szCs w:val="16"/>
              </w:rPr>
              <w:t>15.0</w:t>
            </w:r>
          </w:p>
        </w:tc>
        <w:tc>
          <w:tcPr>
            <w:tcW w:w="942" w:type="dxa"/>
            <w:tcBorders>
              <w:top w:val="single" w:sz="6" w:space="0" w:color="404040"/>
              <w:left w:val="nil"/>
              <w:bottom w:val="nil"/>
              <w:right w:val="nil"/>
            </w:tcBorders>
            <w:shd w:val="clear" w:color="auto" w:fill="auto"/>
            <w:noWrap/>
            <w:vAlign w:val="center"/>
          </w:tcPr>
          <w:p w14:paraId="0BF31045" w14:textId="1025DB22" w:rsidR="00D93016" w:rsidRPr="007F014B" w:rsidRDefault="00D93016" w:rsidP="00D93016">
            <w:pPr>
              <w:tabs>
                <w:tab w:val="decimal" w:pos="547"/>
              </w:tabs>
              <w:jc w:val="left"/>
              <w:rPr>
                <w:b/>
                <w:bCs/>
                <w:color w:val="000000"/>
                <w:sz w:val="16"/>
                <w:szCs w:val="16"/>
              </w:rPr>
            </w:pPr>
            <w:r>
              <w:rPr>
                <w:b/>
                <w:bCs/>
                <w:color w:val="000000"/>
                <w:sz w:val="16"/>
                <w:szCs w:val="16"/>
              </w:rPr>
              <w:t>1.9</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18DCF7D2" w:rsidR="00D93016" w:rsidRPr="007F014B" w:rsidRDefault="00D93016" w:rsidP="00D93016">
            <w:pPr>
              <w:tabs>
                <w:tab w:val="decimal" w:pos="508"/>
              </w:tabs>
              <w:jc w:val="left"/>
              <w:rPr>
                <w:b/>
                <w:bCs/>
                <w:color w:val="000000"/>
                <w:sz w:val="16"/>
                <w:szCs w:val="16"/>
              </w:rPr>
            </w:pPr>
            <w:r>
              <w:rPr>
                <w:b/>
                <w:bCs/>
                <w:color w:val="000000"/>
                <w:sz w:val="16"/>
                <w:szCs w:val="16"/>
              </w:rPr>
              <w:t>3.9</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5C88065C" w:rsidR="00D93016" w:rsidRPr="00A3306E" w:rsidRDefault="00D93016" w:rsidP="00D93016">
            <w:pPr>
              <w:tabs>
                <w:tab w:val="decimal" w:pos="508"/>
              </w:tabs>
              <w:jc w:val="left"/>
              <w:rPr>
                <w:b/>
                <w:color w:val="000000"/>
                <w:sz w:val="16"/>
                <w:szCs w:val="16"/>
              </w:rPr>
            </w:pPr>
            <w:r>
              <w:rPr>
                <w:b/>
                <w:bCs/>
                <w:color w:val="000000"/>
                <w:sz w:val="16"/>
                <w:szCs w:val="16"/>
              </w:rPr>
              <w:t>9.9</w:t>
            </w:r>
          </w:p>
        </w:tc>
        <w:tc>
          <w:tcPr>
            <w:tcW w:w="934" w:type="dxa"/>
            <w:tcBorders>
              <w:top w:val="single" w:sz="6" w:space="0" w:color="404040"/>
              <w:left w:val="nil"/>
              <w:bottom w:val="nil"/>
              <w:right w:val="nil"/>
            </w:tcBorders>
            <w:shd w:val="clear" w:color="auto" w:fill="auto"/>
            <w:noWrap/>
            <w:vAlign w:val="center"/>
          </w:tcPr>
          <w:p w14:paraId="2DF5B9B3" w14:textId="77DA0A5C" w:rsidR="00D93016" w:rsidRPr="007F014B" w:rsidRDefault="00D93016" w:rsidP="00D93016">
            <w:pPr>
              <w:tabs>
                <w:tab w:val="decimal" w:pos="547"/>
              </w:tabs>
              <w:jc w:val="left"/>
              <w:rPr>
                <w:b/>
                <w:bCs/>
                <w:color w:val="000000"/>
                <w:sz w:val="16"/>
                <w:szCs w:val="16"/>
              </w:rPr>
            </w:pPr>
            <w:r>
              <w:rPr>
                <w:b/>
                <w:bCs/>
                <w:color w:val="000000"/>
                <w:sz w:val="16"/>
                <w:szCs w:val="16"/>
              </w:rPr>
              <w:t>2.4</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7494EA1D" w:rsidR="00D93016" w:rsidRPr="007F014B" w:rsidRDefault="00D93016" w:rsidP="00D93016">
            <w:pPr>
              <w:tabs>
                <w:tab w:val="decimal" w:pos="547"/>
              </w:tabs>
              <w:jc w:val="left"/>
              <w:rPr>
                <w:b/>
                <w:bCs/>
                <w:color w:val="000000"/>
                <w:sz w:val="16"/>
                <w:szCs w:val="16"/>
              </w:rPr>
            </w:pPr>
            <w:r>
              <w:rPr>
                <w:b/>
                <w:bCs/>
                <w:color w:val="000000"/>
                <w:sz w:val="16"/>
                <w:szCs w:val="16"/>
              </w:rPr>
              <w:t>3.9</w:t>
            </w:r>
          </w:p>
        </w:tc>
      </w:tr>
      <w:tr w:rsidR="00D93016" w:rsidRPr="007F014B" w14:paraId="22FE8CEA"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D93016" w:rsidRPr="007F014B" w:rsidRDefault="00D93016" w:rsidP="00D93016">
            <w:pPr>
              <w:ind w:left="96"/>
              <w:jc w:val="left"/>
              <w:rPr>
                <w:bCs/>
                <w:sz w:val="16"/>
                <w:szCs w:val="16"/>
              </w:rPr>
            </w:pPr>
            <w:r w:rsidRPr="007F014B">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10126242" w:rsidR="00D93016" w:rsidRPr="00110A4A"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2.2</w:t>
            </w:r>
          </w:p>
        </w:tc>
        <w:tc>
          <w:tcPr>
            <w:tcW w:w="942" w:type="dxa"/>
            <w:tcBorders>
              <w:top w:val="nil"/>
              <w:left w:val="nil"/>
              <w:bottom w:val="nil"/>
              <w:right w:val="nil"/>
            </w:tcBorders>
            <w:shd w:val="clear" w:color="auto" w:fill="auto"/>
            <w:noWrap/>
            <w:vAlign w:val="center"/>
          </w:tcPr>
          <w:p w14:paraId="65AE1AE2" w14:textId="62860729" w:rsidR="00D93016" w:rsidRPr="007F014B" w:rsidRDefault="00D93016" w:rsidP="00D93016">
            <w:pPr>
              <w:tabs>
                <w:tab w:val="decimal" w:pos="547"/>
              </w:tabs>
              <w:jc w:val="left"/>
              <w:rPr>
                <w:bCs/>
                <w:color w:val="000000"/>
                <w:sz w:val="16"/>
                <w:szCs w:val="16"/>
              </w:rPr>
            </w:pPr>
            <w:r>
              <w:rPr>
                <w:color w:val="000000"/>
                <w:sz w:val="16"/>
                <w:szCs w:val="16"/>
              </w:rPr>
              <w:t>1.9</w:t>
            </w:r>
          </w:p>
        </w:tc>
        <w:tc>
          <w:tcPr>
            <w:tcW w:w="1042" w:type="dxa"/>
            <w:tcBorders>
              <w:top w:val="nil"/>
              <w:left w:val="nil"/>
              <w:bottom w:val="nil"/>
              <w:right w:val="single" w:sz="6" w:space="0" w:color="404040"/>
            </w:tcBorders>
            <w:shd w:val="clear" w:color="auto" w:fill="auto"/>
            <w:noWrap/>
            <w:vAlign w:val="center"/>
          </w:tcPr>
          <w:p w14:paraId="634A436A" w14:textId="4D4BBEE3" w:rsidR="00D93016" w:rsidRPr="007F014B" w:rsidRDefault="00D93016" w:rsidP="00D93016">
            <w:pPr>
              <w:tabs>
                <w:tab w:val="decimal" w:pos="508"/>
              </w:tabs>
              <w:jc w:val="left"/>
              <w:rPr>
                <w:color w:val="000000"/>
                <w:sz w:val="16"/>
                <w:szCs w:val="16"/>
              </w:rPr>
            </w:pPr>
            <w:r>
              <w:rPr>
                <w:color w:val="000000"/>
                <w:sz w:val="16"/>
                <w:szCs w:val="16"/>
              </w:rPr>
              <w:t>6.6</w:t>
            </w:r>
          </w:p>
        </w:tc>
        <w:tc>
          <w:tcPr>
            <w:tcW w:w="991" w:type="dxa"/>
            <w:tcBorders>
              <w:top w:val="nil"/>
              <w:left w:val="single" w:sz="6" w:space="0" w:color="404040"/>
              <w:bottom w:val="nil"/>
              <w:right w:val="nil"/>
            </w:tcBorders>
            <w:shd w:val="clear" w:color="auto" w:fill="auto"/>
            <w:noWrap/>
            <w:vAlign w:val="center"/>
          </w:tcPr>
          <w:p w14:paraId="33092841" w14:textId="0ED5BFB9" w:rsidR="00D93016" w:rsidRPr="00A3306E" w:rsidRDefault="00D93016" w:rsidP="00D93016">
            <w:pPr>
              <w:tabs>
                <w:tab w:val="decimal" w:pos="508"/>
              </w:tabs>
              <w:jc w:val="left"/>
              <w:rPr>
                <w:color w:val="000000"/>
                <w:sz w:val="16"/>
                <w:szCs w:val="16"/>
              </w:rPr>
            </w:pPr>
            <w:r>
              <w:rPr>
                <w:color w:val="000000"/>
                <w:sz w:val="16"/>
                <w:szCs w:val="16"/>
              </w:rPr>
              <w:t>4.7</w:t>
            </w:r>
          </w:p>
        </w:tc>
        <w:tc>
          <w:tcPr>
            <w:tcW w:w="934" w:type="dxa"/>
            <w:tcBorders>
              <w:top w:val="nil"/>
              <w:left w:val="nil"/>
              <w:bottom w:val="nil"/>
              <w:right w:val="nil"/>
            </w:tcBorders>
            <w:shd w:val="clear" w:color="auto" w:fill="auto"/>
            <w:noWrap/>
            <w:vAlign w:val="center"/>
          </w:tcPr>
          <w:p w14:paraId="015A0AED" w14:textId="1A04D225" w:rsidR="00D93016" w:rsidRPr="007F014B" w:rsidRDefault="00D93016" w:rsidP="00D93016">
            <w:pPr>
              <w:tabs>
                <w:tab w:val="left" w:pos="225"/>
                <w:tab w:val="decimal" w:pos="547"/>
              </w:tabs>
              <w:jc w:val="left"/>
              <w:rPr>
                <w:bCs/>
                <w:color w:val="000000"/>
                <w:sz w:val="16"/>
                <w:szCs w:val="16"/>
              </w:rPr>
            </w:pPr>
            <w:r>
              <w:rPr>
                <w:color w:val="000000"/>
                <w:sz w:val="16"/>
                <w:szCs w:val="16"/>
              </w:rPr>
              <w:tab/>
              <w:t>(-)</w:t>
            </w:r>
            <w:r>
              <w:rPr>
                <w:color w:val="000000"/>
                <w:sz w:val="16"/>
                <w:szCs w:val="16"/>
              </w:rPr>
              <w:tab/>
              <w:t>1.3</w:t>
            </w:r>
          </w:p>
        </w:tc>
        <w:tc>
          <w:tcPr>
            <w:tcW w:w="1050" w:type="dxa"/>
            <w:tcBorders>
              <w:top w:val="nil"/>
              <w:left w:val="nil"/>
              <w:bottom w:val="nil"/>
              <w:right w:val="single" w:sz="8" w:space="0" w:color="404040"/>
            </w:tcBorders>
            <w:shd w:val="clear" w:color="auto" w:fill="auto"/>
            <w:noWrap/>
            <w:vAlign w:val="center"/>
          </w:tcPr>
          <w:p w14:paraId="7661DA3F" w14:textId="5FD6352C" w:rsidR="00D93016" w:rsidRPr="007F014B" w:rsidRDefault="00D93016" w:rsidP="00D93016">
            <w:pPr>
              <w:tabs>
                <w:tab w:val="decimal" w:pos="547"/>
              </w:tabs>
              <w:jc w:val="left"/>
              <w:rPr>
                <w:bCs/>
                <w:color w:val="000000"/>
                <w:sz w:val="16"/>
                <w:szCs w:val="16"/>
              </w:rPr>
            </w:pPr>
            <w:r>
              <w:rPr>
                <w:color w:val="000000"/>
                <w:sz w:val="16"/>
                <w:szCs w:val="16"/>
              </w:rPr>
              <w:t>5.5</w:t>
            </w:r>
          </w:p>
        </w:tc>
      </w:tr>
      <w:tr w:rsidR="00D93016" w:rsidRPr="007F014B" w14:paraId="137E942F"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D93016" w:rsidRPr="007F014B" w:rsidRDefault="00D93016" w:rsidP="00D93016">
            <w:pPr>
              <w:spacing w:before="20" w:after="20"/>
              <w:ind w:left="97"/>
              <w:jc w:val="left"/>
              <w:rPr>
                <w:bCs/>
                <w:sz w:val="16"/>
                <w:szCs w:val="16"/>
              </w:rPr>
            </w:pPr>
            <w:r w:rsidRPr="007F014B">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DEB34D8" w:rsidR="00D93016" w:rsidRPr="00110A4A" w:rsidRDefault="00D93016" w:rsidP="00D93016">
            <w:pPr>
              <w:tabs>
                <w:tab w:val="decimal" w:pos="547"/>
              </w:tabs>
              <w:jc w:val="left"/>
              <w:rPr>
                <w:color w:val="000000"/>
                <w:sz w:val="16"/>
                <w:szCs w:val="16"/>
              </w:rPr>
            </w:pPr>
            <w:r>
              <w:rPr>
                <w:color w:val="000000"/>
                <w:sz w:val="16"/>
                <w:szCs w:val="16"/>
              </w:rPr>
              <w:t>18.2</w:t>
            </w:r>
          </w:p>
        </w:tc>
        <w:tc>
          <w:tcPr>
            <w:tcW w:w="942" w:type="dxa"/>
            <w:tcBorders>
              <w:top w:val="nil"/>
              <w:left w:val="nil"/>
              <w:bottom w:val="nil"/>
              <w:right w:val="nil"/>
            </w:tcBorders>
            <w:shd w:val="clear" w:color="auto" w:fill="auto"/>
            <w:noWrap/>
            <w:vAlign w:val="center"/>
          </w:tcPr>
          <w:p w14:paraId="68EAC415" w14:textId="500852D2" w:rsidR="00D93016" w:rsidRPr="007F014B" w:rsidRDefault="00D93016" w:rsidP="00D93016">
            <w:pPr>
              <w:tabs>
                <w:tab w:val="decimal" w:pos="547"/>
              </w:tabs>
              <w:jc w:val="left"/>
              <w:rPr>
                <w:bCs/>
                <w:color w:val="000000"/>
                <w:sz w:val="16"/>
                <w:szCs w:val="16"/>
              </w:rPr>
            </w:pPr>
            <w:r>
              <w:rPr>
                <w:color w:val="000000"/>
                <w:sz w:val="16"/>
                <w:szCs w:val="16"/>
              </w:rPr>
              <w:t>4.9</w:t>
            </w:r>
          </w:p>
        </w:tc>
        <w:tc>
          <w:tcPr>
            <w:tcW w:w="1042" w:type="dxa"/>
            <w:tcBorders>
              <w:top w:val="nil"/>
              <w:left w:val="nil"/>
              <w:bottom w:val="nil"/>
              <w:right w:val="single" w:sz="6" w:space="0" w:color="404040"/>
            </w:tcBorders>
            <w:shd w:val="clear" w:color="auto" w:fill="auto"/>
            <w:noWrap/>
            <w:vAlign w:val="center"/>
          </w:tcPr>
          <w:p w14:paraId="11713FC2" w14:textId="35AF4394" w:rsidR="00D93016" w:rsidRPr="007F014B" w:rsidRDefault="00D93016" w:rsidP="00D93016">
            <w:pPr>
              <w:tabs>
                <w:tab w:val="decimal" w:pos="508"/>
              </w:tabs>
              <w:jc w:val="left"/>
              <w:rPr>
                <w:color w:val="000000"/>
                <w:sz w:val="16"/>
                <w:szCs w:val="16"/>
              </w:rPr>
            </w:pPr>
            <w:r>
              <w:rPr>
                <w:color w:val="000000"/>
                <w:sz w:val="16"/>
                <w:szCs w:val="16"/>
              </w:rPr>
              <w:t>6.9</w:t>
            </w:r>
          </w:p>
        </w:tc>
        <w:tc>
          <w:tcPr>
            <w:tcW w:w="991" w:type="dxa"/>
            <w:tcBorders>
              <w:top w:val="nil"/>
              <w:left w:val="single" w:sz="6" w:space="0" w:color="404040"/>
              <w:bottom w:val="nil"/>
              <w:right w:val="nil"/>
            </w:tcBorders>
            <w:shd w:val="clear" w:color="auto" w:fill="auto"/>
            <w:noWrap/>
            <w:vAlign w:val="center"/>
          </w:tcPr>
          <w:p w14:paraId="40A7BF0E" w14:textId="4408322D" w:rsidR="00D93016" w:rsidRPr="007F014B" w:rsidRDefault="00D93016" w:rsidP="00D93016">
            <w:pPr>
              <w:tabs>
                <w:tab w:val="decimal" w:pos="508"/>
              </w:tabs>
              <w:jc w:val="left"/>
              <w:rPr>
                <w:color w:val="000000"/>
                <w:sz w:val="16"/>
                <w:szCs w:val="16"/>
              </w:rPr>
            </w:pPr>
            <w:r>
              <w:rPr>
                <w:color w:val="000000"/>
                <w:sz w:val="16"/>
                <w:szCs w:val="16"/>
              </w:rPr>
              <w:t>17.0</w:t>
            </w:r>
          </w:p>
        </w:tc>
        <w:tc>
          <w:tcPr>
            <w:tcW w:w="934" w:type="dxa"/>
            <w:tcBorders>
              <w:top w:val="nil"/>
              <w:left w:val="nil"/>
              <w:bottom w:val="nil"/>
              <w:right w:val="nil"/>
            </w:tcBorders>
            <w:shd w:val="clear" w:color="auto" w:fill="auto"/>
            <w:noWrap/>
            <w:vAlign w:val="center"/>
          </w:tcPr>
          <w:p w14:paraId="7E596428" w14:textId="20604E7F" w:rsidR="00D93016" w:rsidRPr="007F014B" w:rsidRDefault="00D93016" w:rsidP="00D93016">
            <w:pPr>
              <w:tabs>
                <w:tab w:val="decimal" w:pos="547"/>
              </w:tabs>
              <w:jc w:val="left"/>
              <w:rPr>
                <w:color w:val="000000"/>
                <w:sz w:val="16"/>
                <w:szCs w:val="16"/>
              </w:rPr>
            </w:pPr>
            <w:r>
              <w:rPr>
                <w:color w:val="000000"/>
                <w:sz w:val="16"/>
                <w:szCs w:val="16"/>
              </w:rPr>
              <w:t>5.7</w:t>
            </w:r>
          </w:p>
        </w:tc>
        <w:tc>
          <w:tcPr>
            <w:tcW w:w="1050" w:type="dxa"/>
            <w:tcBorders>
              <w:top w:val="nil"/>
              <w:left w:val="nil"/>
              <w:bottom w:val="nil"/>
              <w:right w:val="single" w:sz="8" w:space="0" w:color="404040"/>
            </w:tcBorders>
            <w:shd w:val="clear" w:color="auto" w:fill="auto"/>
            <w:noWrap/>
            <w:vAlign w:val="center"/>
          </w:tcPr>
          <w:p w14:paraId="46645E33" w14:textId="530AD7B2" w:rsidR="00D93016" w:rsidRPr="00457D38"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1.9</w:t>
            </w:r>
          </w:p>
        </w:tc>
      </w:tr>
      <w:tr w:rsidR="00D93016" w:rsidRPr="007F014B" w14:paraId="3A583C28"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D93016" w:rsidRPr="007F014B" w:rsidRDefault="00D93016" w:rsidP="00D93016">
            <w:pPr>
              <w:spacing w:before="20" w:after="20"/>
              <w:ind w:left="97"/>
              <w:jc w:val="left"/>
              <w:rPr>
                <w:bCs/>
                <w:sz w:val="16"/>
                <w:szCs w:val="16"/>
              </w:rPr>
            </w:pPr>
            <w:r w:rsidRPr="007F014B">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2F485105" w:rsidR="00D93016" w:rsidRPr="00110A4A" w:rsidRDefault="00D93016" w:rsidP="00D93016">
            <w:pPr>
              <w:tabs>
                <w:tab w:val="decimal" w:pos="547"/>
              </w:tabs>
              <w:jc w:val="left"/>
              <w:rPr>
                <w:color w:val="000000"/>
                <w:sz w:val="16"/>
                <w:szCs w:val="16"/>
              </w:rPr>
            </w:pPr>
            <w:r>
              <w:rPr>
                <w:color w:val="000000"/>
                <w:sz w:val="16"/>
                <w:szCs w:val="16"/>
              </w:rPr>
              <w:t>30.6</w:t>
            </w:r>
          </w:p>
        </w:tc>
        <w:tc>
          <w:tcPr>
            <w:tcW w:w="942" w:type="dxa"/>
            <w:tcBorders>
              <w:top w:val="nil"/>
              <w:left w:val="nil"/>
              <w:bottom w:val="nil"/>
              <w:right w:val="nil"/>
            </w:tcBorders>
            <w:shd w:val="clear" w:color="auto" w:fill="auto"/>
            <w:noWrap/>
            <w:vAlign w:val="center"/>
          </w:tcPr>
          <w:p w14:paraId="412635B7" w14:textId="733BE7EE" w:rsidR="00D93016" w:rsidRPr="00457D38"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0.2</w:t>
            </w:r>
          </w:p>
        </w:tc>
        <w:tc>
          <w:tcPr>
            <w:tcW w:w="1042" w:type="dxa"/>
            <w:tcBorders>
              <w:top w:val="nil"/>
              <w:left w:val="nil"/>
              <w:bottom w:val="nil"/>
              <w:right w:val="single" w:sz="6" w:space="0" w:color="404040"/>
            </w:tcBorders>
            <w:shd w:val="clear" w:color="auto" w:fill="auto"/>
            <w:noWrap/>
            <w:vAlign w:val="center"/>
          </w:tcPr>
          <w:p w14:paraId="71E7799B" w14:textId="5068A4F4" w:rsidR="00D93016" w:rsidRPr="007F014B" w:rsidRDefault="00D93016" w:rsidP="00D93016">
            <w:pPr>
              <w:tabs>
                <w:tab w:val="decimal" w:pos="508"/>
              </w:tabs>
              <w:jc w:val="left"/>
              <w:rPr>
                <w:color w:val="000000"/>
                <w:sz w:val="16"/>
                <w:szCs w:val="16"/>
              </w:rPr>
            </w:pPr>
            <w:r>
              <w:rPr>
                <w:color w:val="000000"/>
                <w:sz w:val="16"/>
                <w:szCs w:val="16"/>
              </w:rPr>
              <w:t>7.3</w:t>
            </w:r>
          </w:p>
        </w:tc>
        <w:tc>
          <w:tcPr>
            <w:tcW w:w="991" w:type="dxa"/>
            <w:tcBorders>
              <w:top w:val="nil"/>
              <w:left w:val="single" w:sz="6" w:space="0" w:color="404040"/>
              <w:bottom w:val="nil"/>
              <w:right w:val="nil"/>
            </w:tcBorders>
            <w:shd w:val="clear" w:color="auto" w:fill="auto"/>
            <w:noWrap/>
            <w:vAlign w:val="center"/>
          </w:tcPr>
          <w:p w14:paraId="58311E20" w14:textId="2F7383DF" w:rsidR="00D93016" w:rsidRPr="007F014B" w:rsidRDefault="00D93016" w:rsidP="00D93016">
            <w:pPr>
              <w:tabs>
                <w:tab w:val="decimal" w:pos="508"/>
              </w:tabs>
              <w:jc w:val="left"/>
              <w:rPr>
                <w:color w:val="000000"/>
                <w:sz w:val="16"/>
                <w:szCs w:val="16"/>
              </w:rPr>
            </w:pPr>
            <w:r>
              <w:rPr>
                <w:color w:val="000000"/>
                <w:sz w:val="16"/>
                <w:szCs w:val="16"/>
              </w:rPr>
              <w:t>20.8</w:t>
            </w:r>
          </w:p>
        </w:tc>
        <w:tc>
          <w:tcPr>
            <w:tcW w:w="934" w:type="dxa"/>
            <w:tcBorders>
              <w:top w:val="nil"/>
              <w:left w:val="nil"/>
              <w:bottom w:val="nil"/>
              <w:right w:val="nil"/>
            </w:tcBorders>
            <w:shd w:val="clear" w:color="auto" w:fill="auto"/>
            <w:noWrap/>
            <w:vAlign w:val="center"/>
          </w:tcPr>
          <w:p w14:paraId="6F5DA456" w14:textId="1DC53FA8" w:rsidR="00D93016" w:rsidRPr="007F014B" w:rsidRDefault="00D93016" w:rsidP="00D93016">
            <w:pPr>
              <w:tabs>
                <w:tab w:val="decimal" w:pos="547"/>
              </w:tabs>
              <w:jc w:val="left"/>
              <w:rPr>
                <w:color w:val="000000"/>
                <w:sz w:val="16"/>
                <w:szCs w:val="16"/>
              </w:rPr>
            </w:pPr>
            <w:r>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76767AF7" w14:textId="3F92844D" w:rsidR="00D93016" w:rsidRPr="00457D38"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0.4</w:t>
            </w:r>
          </w:p>
        </w:tc>
      </w:tr>
      <w:tr w:rsidR="00D93016" w:rsidRPr="007F014B" w14:paraId="0E0D3193"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D93016" w:rsidRPr="007F014B" w:rsidRDefault="00D93016" w:rsidP="00D93016">
            <w:pPr>
              <w:spacing w:before="20" w:after="20"/>
              <w:ind w:left="97"/>
              <w:jc w:val="left"/>
              <w:rPr>
                <w:bCs/>
                <w:sz w:val="16"/>
                <w:szCs w:val="16"/>
              </w:rPr>
            </w:pPr>
            <w:r w:rsidRPr="007F014B">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13B7A794" w:rsidR="00D93016" w:rsidRPr="00110A4A" w:rsidRDefault="00D93016" w:rsidP="00D93016">
            <w:pPr>
              <w:tabs>
                <w:tab w:val="decimal" w:pos="547"/>
              </w:tabs>
              <w:jc w:val="left"/>
              <w:rPr>
                <w:color w:val="000000"/>
                <w:sz w:val="16"/>
                <w:szCs w:val="16"/>
              </w:rPr>
            </w:pPr>
            <w:r>
              <w:rPr>
                <w:color w:val="000000"/>
                <w:sz w:val="16"/>
                <w:szCs w:val="16"/>
              </w:rPr>
              <w:t>11.8</w:t>
            </w:r>
          </w:p>
        </w:tc>
        <w:tc>
          <w:tcPr>
            <w:tcW w:w="942" w:type="dxa"/>
            <w:tcBorders>
              <w:top w:val="nil"/>
              <w:left w:val="nil"/>
              <w:bottom w:val="nil"/>
              <w:right w:val="nil"/>
            </w:tcBorders>
            <w:shd w:val="clear" w:color="auto" w:fill="auto"/>
            <w:noWrap/>
            <w:vAlign w:val="center"/>
          </w:tcPr>
          <w:p w14:paraId="04C14569" w14:textId="22D8BC81"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3.3</w:t>
            </w:r>
          </w:p>
        </w:tc>
        <w:tc>
          <w:tcPr>
            <w:tcW w:w="1042" w:type="dxa"/>
            <w:tcBorders>
              <w:top w:val="nil"/>
              <w:left w:val="nil"/>
              <w:bottom w:val="nil"/>
              <w:right w:val="single" w:sz="6" w:space="0" w:color="404040"/>
            </w:tcBorders>
            <w:shd w:val="clear" w:color="auto" w:fill="auto"/>
            <w:noWrap/>
            <w:vAlign w:val="center"/>
          </w:tcPr>
          <w:p w14:paraId="0590892A" w14:textId="5172149C" w:rsidR="00D93016" w:rsidRPr="007F014B" w:rsidRDefault="00D93016" w:rsidP="00D93016">
            <w:pPr>
              <w:tabs>
                <w:tab w:val="decimal" w:pos="508"/>
              </w:tabs>
              <w:jc w:val="left"/>
              <w:rPr>
                <w:color w:val="000000"/>
                <w:sz w:val="16"/>
                <w:szCs w:val="16"/>
              </w:rPr>
            </w:pPr>
            <w:r>
              <w:rPr>
                <w:color w:val="000000"/>
                <w:sz w:val="16"/>
                <w:szCs w:val="16"/>
              </w:rPr>
              <w:t>7.7</w:t>
            </w:r>
          </w:p>
        </w:tc>
        <w:tc>
          <w:tcPr>
            <w:tcW w:w="991" w:type="dxa"/>
            <w:tcBorders>
              <w:top w:val="nil"/>
              <w:left w:val="single" w:sz="6" w:space="0" w:color="404040"/>
              <w:bottom w:val="nil"/>
              <w:right w:val="nil"/>
            </w:tcBorders>
            <w:shd w:val="clear" w:color="auto" w:fill="auto"/>
            <w:noWrap/>
            <w:vAlign w:val="center"/>
          </w:tcPr>
          <w:p w14:paraId="14EAD6B2" w14:textId="71D3E957" w:rsidR="00D93016" w:rsidRPr="007F014B" w:rsidRDefault="00D93016" w:rsidP="00D93016">
            <w:pPr>
              <w:tabs>
                <w:tab w:val="decimal" w:pos="508"/>
              </w:tabs>
              <w:jc w:val="left"/>
              <w:rPr>
                <w:color w:val="000000"/>
                <w:sz w:val="16"/>
                <w:szCs w:val="16"/>
              </w:rPr>
            </w:pPr>
            <w:r>
              <w:rPr>
                <w:color w:val="000000"/>
                <w:sz w:val="16"/>
                <w:szCs w:val="16"/>
              </w:rPr>
              <w:t>15.8</w:t>
            </w:r>
          </w:p>
        </w:tc>
        <w:tc>
          <w:tcPr>
            <w:tcW w:w="934" w:type="dxa"/>
            <w:tcBorders>
              <w:top w:val="nil"/>
              <w:left w:val="nil"/>
              <w:bottom w:val="nil"/>
              <w:right w:val="nil"/>
            </w:tcBorders>
            <w:shd w:val="clear" w:color="auto" w:fill="auto"/>
            <w:noWrap/>
            <w:vAlign w:val="center"/>
          </w:tcPr>
          <w:p w14:paraId="103B1441" w14:textId="5CF7FBD7"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4584ADD2" w14:textId="3E280033" w:rsidR="00D93016" w:rsidRPr="00457D38" w:rsidRDefault="00D93016" w:rsidP="00D93016">
            <w:pPr>
              <w:tabs>
                <w:tab w:val="decimal" w:pos="547"/>
              </w:tabs>
              <w:jc w:val="left"/>
              <w:rPr>
                <w:color w:val="000000"/>
                <w:sz w:val="16"/>
                <w:szCs w:val="16"/>
              </w:rPr>
            </w:pPr>
            <w:r>
              <w:rPr>
                <w:color w:val="000000"/>
                <w:sz w:val="16"/>
                <w:szCs w:val="16"/>
              </w:rPr>
              <w:t>3.8</w:t>
            </w:r>
          </w:p>
        </w:tc>
      </w:tr>
      <w:tr w:rsidR="00D93016" w:rsidRPr="007F014B" w14:paraId="1AA69D88"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D93016" w:rsidRPr="007F014B" w:rsidRDefault="00D93016" w:rsidP="00D93016">
            <w:pPr>
              <w:spacing w:before="20" w:after="20"/>
              <w:ind w:left="97"/>
              <w:jc w:val="left"/>
              <w:rPr>
                <w:bCs/>
                <w:sz w:val="16"/>
                <w:szCs w:val="16"/>
              </w:rPr>
            </w:pPr>
            <w:r w:rsidRPr="007F014B">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6E1BC631" w:rsidR="00D93016" w:rsidRPr="00110A4A" w:rsidRDefault="00D93016" w:rsidP="00D93016">
            <w:pPr>
              <w:tabs>
                <w:tab w:val="decimal" w:pos="547"/>
              </w:tabs>
              <w:jc w:val="left"/>
              <w:rPr>
                <w:color w:val="000000"/>
                <w:sz w:val="16"/>
                <w:szCs w:val="16"/>
              </w:rPr>
            </w:pPr>
            <w:r>
              <w:rPr>
                <w:color w:val="000000"/>
                <w:sz w:val="16"/>
                <w:szCs w:val="16"/>
              </w:rPr>
              <w:t>20.1</w:t>
            </w:r>
          </w:p>
        </w:tc>
        <w:tc>
          <w:tcPr>
            <w:tcW w:w="942" w:type="dxa"/>
            <w:tcBorders>
              <w:top w:val="nil"/>
              <w:left w:val="nil"/>
              <w:bottom w:val="nil"/>
              <w:right w:val="nil"/>
            </w:tcBorders>
            <w:shd w:val="clear" w:color="auto" w:fill="auto"/>
            <w:noWrap/>
            <w:vAlign w:val="center"/>
          </w:tcPr>
          <w:p w14:paraId="19F6CCAF" w14:textId="23F0B7F6" w:rsidR="00D93016" w:rsidRPr="00775A59" w:rsidRDefault="00D93016" w:rsidP="00D93016">
            <w:pPr>
              <w:tabs>
                <w:tab w:val="decimal" w:pos="547"/>
              </w:tabs>
              <w:jc w:val="left"/>
              <w:rPr>
                <w:color w:val="000000"/>
                <w:sz w:val="16"/>
                <w:szCs w:val="16"/>
              </w:rPr>
            </w:pPr>
            <w:r>
              <w:rPr>
                <w:color w:val="000000"/>
                <w:sz w:val="16"/>
                <w:szCs w:val="16"/>
              </w:rPr>
              <w:t>0.8</w:t>
            </w:r>
          </w:p>
        </w:tc>
        <w:tc>
          <w:tcPr>
            <w:tcW w:w="1042" w:type="dxa"/>
            <w:tcBorders>
              <w:top w:val="nil"/>
              <w:left w:val="nil"/>
              <w:bottom w:val="nil"/>
              <w:right w:val="single" w:sz="6" w:space="0" w:color="404040"/>
            </w:tcBorders>
            <w:shd w:val="clear" w:color="auto" w:fill="auto"/>
            <w:noWrap/>
            <w:vAlign w:val="center"/>
          </w:tcPr>
          <w:p w14:paraId="2C172586" w14:textId="4FA08F87" w:rsidR="00D93016" w:rsidRPr="007F014B" w:rsidRDefault="00D93016" w:rsidP="00D93016">
            <w:pPr>
              <w:tabs>
                <w:tab w:val="decimal" w:pos="508"/>
              </w:tabs>
              <w:jc w:val="left"/>
              <w:rPr>
                <w:color w:val="000000"/>
                <w:sz w:val="16"/>
                <w:szCs w:val="16"/>
              </w:rPr>
            </w:pPr>
            <w:r>
              <w:rPr>
                <w:color w:val="000000"/>
                <w:sz w:val="16"/>
                <w:szCs w:val="16"/>
              </w:rPr>
              <w:t>7.1</w:t>
            </w:r>
          </w:p>
        </w:tc>
        <w:tc>
          <w:tcPr>
            <w:tcW w:w="991" w:type="dxa"/>
            <w:tcBorders>
              <w:top w:val="nil"/>
              <w:left w:val="single" w:sz="6" w:space="0" w:color="404040"/>
              <w:bottom w:val="nil"/>
              <w:right w:val="nil"/>
            </w:tcBorders>
            <w:shd w:val="clear" w:color="auto" w:fill="auto"/>
            <w:noWrap/>
            <w:vAlign w:val="center"/>
          </w:tcPr>
          <w:p w14:paraId="0F075841" w14:textId="4E83D208" w:rsidR="00D93016" w:rsidRPr="007F014B" w:rsidRDefault="00D93016" w:rsidP="00D93016">
            <w:pPr>
              <w:tabs>
                <w:tab w:val="decimal" w:pos="508"/>
              </w:tabs>
              <w:jc w:val="left"/>
              <w:rPr>
                <w:color w:val="000000"/>
                <w:sz w:val="16"/>
                <w:szCs w:val="16"/>
              </w:rPr>
            </w:pPr>
            <w:r>
              <w:rPr>
                <w:color w:val="000000"/>
                <w:sz w:val="16"/>
                <w:szCs w:val="16"/>
              </w:rPr>
              <w:t>11.2</w:t>
            </w:r>
          </w:p>
        </w:tc>
        <w:tc>
          <w:tcPr>
            <w:tcW w:w="934" w:type="dxa"/>
            <w:tcBorders>
              <w:top w:val="nil"/>
              <w:left w:val="nil"/>
              <w:bottom w:val="nil"/>
              <w:right w:val="nil"/>
            </w:tcBorders>
            <w:shd w:val="clear" w:color="auto" w:fill="auto"/>
            <w:noWrap/>
            <w:vAlign w:val="center"/>
          </w:tcPr>
          <w:p w14:paraId="27D16F89" w14:textId="0649B0DC"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0.9</w:t>
            </w:r>
          </w:p>
        </w:tc>
        <w:tc>
          <w:tcPr>
            <w:tcW w:w="1050" w:type="dxa"/>
            <w:tcBorders>
              <w:top w:val="nil"/>
              <w:left w:val="nil"/>
              <w:bottom w:val="nil"/>
              <w:right w:val="single" w:sz="8" w:space="0" w:color="404040"/>
            </w:tcBorders>
            <w:shd w:val="clear" w:color="auto" w:fill="auto"/>
            <w:noWrap/>
            <w:vAlign w:val="center"/>
          </w:tcPr>
          <w:p w14:paraId="28B09DE8" w14:textId="2014CC3A" w:rsidR="00D93016" w:rsidRPr="00457D38" w:rsidRDefault="00D93016" w:rsidP="00D93016">
            <w:pPr>
              <w:tabs>
                <w:tab w:val="decimal" w:pos="547"/>
              </w:tabs>
              <w:jc w:val="left"/>
              <w:rPr>
                <w:color w:val="000000"/>
                <w:sz w:val="16"/>
                <w:szCs w:val="16"/>
              </w:rPr>
            </w:pPr>
            <w:r>
              <w:rPr>
                <w:color w:val="000000"/>
                <w:sz w:val="16"/>
                <w:szCs w:val="16"/>
              </w:rPr>
              <w:t>6.7</w:t>
            </w:r>
          </w:p>
        </w:tc>
      </w:tr>
      <w:tr w:rsidR="00D93016" w:rsidRPr="007F014B" w14:paraId="56BCF494"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D93016" w:rsidRPr="007F014B" w:rsidRDefault="00D93016" w:rsidP="00D93016">
            <w:pPr>
              <w:spacing w:before="20" w:after="20"/>
              <w:ind w:left="97"/>
              <w:jc w:val="left"/>
              <w:rPr>
                <w:bCs/>
                <w:sz w:val="16"/>
                <w:szCs w:val="16"/>
              </w:rPr>
            </w:pPr>
            <w:r w:rsidRPr="007F014B">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20974636" w:rsidR="00D93016" w:rsidRPr="00110A4A" w:rsidRDefault="00D93016" w:rsidP="00D93016">
            <w:pPr>
              <w:tabs>
                <w:tab w:val="decimal" w:pos="547"/>
              </w:tabs>
              <w:jc w:val="left"/>
              <w:rPr>
                <w:color w:val="000000"/>
                <w:sz w:val="16"/>
                <w:szCs w:val="16"/>
              </w:rPr>
            </w:pPr>
            <w:r>
              <w:rPr>
                <w:color w:val="000000"/>
                <w:sz w:val="16"/>
                <w:szCs w:val="16"/>
              </w:rPr>
              <w:t>11.4</w:t>
            </w:r>
          </w:p>
        </w:tc>
        <w:tc>
          <w:tcPr>
            <w:tcW w:w="942" w:type="dxa"/>
            <w:tcBorders>
              <w:top w:val="nil"/>
              <w:left w:val="nil"/>
              <w:bottom w:val="nil"/>
              <w:right w:val="nil"/>
            </w:tcBorders>
            <w:shd w:val="clear" w:color="auto" w:fill="auto"/>
            <w:noWrap/>
            <w:vAlign w:val="center"/>
          </w:tcPr>
          <w:p w14:paraId="1A639D41" w14:textId="6BA389E9" w:rsidR="00D93016" w:rsidRPr="00775A59"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0.8</w:t>
            </w:r>
          </w:p>
        </w:tc>
        <w:tc>
          <w:tcPr>
            <w:tcW w:w="1042" w:type="dxa"/>
            <w:tcBorders>
              <w:top w:val="nil"/>
              <w:left w:val="nil"/>
              <w:bottom w:val="nil"/>
              <w:right w:val="single" w:sz="6" w:space="0" w:color="404040"/>
            </w:tcBorders>
            <w:shd w:val="clear" w:color="auto" w:fill="auto"/>
            <w:noWrap/>
            <w:vAlign w:val="center"/>
          </w:tcPr>
          <w:p w14:paraId="7A9488C6" w14:textId="574FC75B" w:rsidR="00D93016" w:rsidRPr="007F014B" w:rsidRDefault="00D93016" w:rsidP="00D93016">
            <w:pPr>
              <w:tabs>
                <w:tab w:val="decimal" w:pos="508"/>
              </w:tabs>
              <w:jc w:val="left"/>
              <w:rPr>
                <w:color w:val="000000"/>
                <w:sz w:val="16"/>
                <w:szCs w:val="16"/>
              </w:rPr>
            </w:pPr>
            <w:r>
              <w:rPr>
                <w:color w:val="000000"/>
                <w:sz w:val="16"/>
                <w:szCs w:val="16"/>
              </w:rPr>
              <w:t>0.3</w:t>
            </w:r>
          </w:p>
        </w:tc>
        <w:tc>
          <w:tcPr>
            <w:tcW w:w="991" w:type="dxa"/>
            <w:tcBorders>
              <w:top w:val="nil"/>
              <w:left w:val="single" w:sz="6" w:space="0" w:color="404040"/>
              <w:bottom w:val="nil"/>
              <w:right w:val="nil"/>
            </w:tcBorders>
            <w:shd w:val="clear" w:color="auto" w:fill="auto"/>
            <w:noWrap/>
            <w:vAlign w:val="center"/>
          </w:tcPr>
          <w:p w14:paraId="2F4FFCAE" w14:textId="60A62A63" w:rsidR="00D93016" w:rsidRPr="007F014B" w:rsidRDefault="00D93016" w:rsidP="00D93016">
            <w:pPr>
              <w:tabs>
                <w:tab w:val="decimal" w:pos="508"/>
              </w:tabs>
              <w:jc w:val="left"/>
              <w:rPr>
                <w:color w:val="000000"/>
                <w:sz w:val="16"/>
                <w:szCs w:val="16"/>
              </w:rPr>
            </w:pPr>
            <w:r>
              <w:rPr>
                <w:color w:val="000000"/>
                <w:sz w:val="16"/>
                <w:szCs w:val="16"/>
              </w:rPr>
              <w:t>12.0</w:t>
            </w:r>
          </w:p>
        </w:tc>
        <w:tc>
          <w:tcPr>
            <w:tcW w:w="934" w:type="dxa"/>
            <w:tcBorders>
              <w:top w:val="nil"/>
              <w:left w:val="nil"/>
              <w:bottom w:val="nil"/>
              <w:right w:val="nil"/>
            </w:tcBorders>
            <w:shd w:val="clear" w:color="auto" w:fill="auto"/>
            <w:noWrap/>
            <w:vAlign w:val="center"/>
          </w:tcPr>
          <w:p w14:paraId="2A9D76A7" w14:textId="0C59068D"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0.5</w:t>
            </w:r>
          </w:p>
        </w:tc>
        <w:tc>
          <w:tcPr>
            <w:tcW w:w="1050" w:type="dxa"/>
            <w:tcBorders>
              <w:top w:val="nil"/>
              <w:left w:val="nil"/>
              <w:bottom w:val="nil"/>
              <w:right w:val="single" w:sz="8" w:space="0" w:color="404040"/>
            </w:tcBorders>
            <w:shd w:val="clear" w:color="auto" w:fill="auto"/>
            <w:noWrap/>
            <w:vAlign w:val="center"/>
          </w:tcPr>
          <w:p w14:paraId="75DDBD88" w14:textId="3665C5FD" w:rsidR="00D93016" w:rsidRPr="00457D38" w:rsidRDefault="00D93016" w:rsidP="00D93016">
            <w:pPr>
              <w:tabs>
                <w:tab w:val="decimal" w:pos="547"/>
              </w:tabs>
              <w:jc w:val="left"/>
              <w:rPr>
                <w:color w:val="000000"/>
                <w:sz w:val="16"/>
                <w:szCs w:val="16"/>
              </w:rPr>
            </w:pPr>
            <w:r>
              <w:rPr>
                <w:color w:val="000000"/>
                <w:sz w:val="16"/>
                <w:szCs w:val="16"/>
              </w:rPr>
              <w:t>13.4</w:t>
            </w:r>
          </w:p>
        </w:tc>
      </w:tr>
      <w:tr w:rsidR="00D93016" w:rsidRPr="007F014B" w14:paraId="67167560" w14:textId="77777777" w:rsidTr="00D93016">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D93016" w:rsidRPr="007F014B" w:rsidRDefault="00D93016" w:rsidP="00D93016">
            <w:pPr>
              <w:spacing w:before="20" w:after="20"/>
              <w:ind w:left="97"/>
              <w:jc w:val="left"/>
              <w:rPr>
                <w:bCs/>
                <w:sz w:val="16"/>
                <w:szCs w:val="16"/>
              </w:rPr>
            </w:pPr>
            <w:r w:rsidRPr="007F014B">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4E76F7B8" w:rsidR="00D93016" w:rsidRPr="00110A4A" w:rsidRDefault="00D93016" w:rsidP="00D93016">
            <w:pPr>
              <w:tabs>
                <w:tab w:val="decimal" w:pos="547"/>
              </w:tabs>
              <w:jc w:val="left"/>
              <w:rPr>
                <w:color w:val="000000"/>
                <w:sz w:val="16"/>
                <w:szCs w:val="16"/>
              </w:rPr>
            </w:pPr>
            <w:r>
              <w:rPr>
                <w:color w:val="000000"/>
                <w:sz w:val="16"/>
                <w:szCs w:val="16"/>
              </w:rPr>
              <w:t>4.2</w:t>
            </w:r>
          </w:p>
        </w:tc>
        <w:tc>
          <w:tcPr>
            <w:tcW w:w="942" w:type="dxa"/>
            <w:tcBorders>
              <w:top w:val="nil"/>
              <w:left w:val="nil"/>
              <w:bottom w:val="nil"/>
              <w:right w:val="nil"/>
            </w:tcBorders>
            <w:shd w:val="clear" w:color="auto" w:fill="auto"/>
            <w:noWrap/>
            <w:vAlign w:val="center"/>
          </w:tcPr>
          <w:p w14:paraId="6B5E9EEC" w14:textId="30FD5D9E" w:rsidR="00D93016" w:rsidRPr="00A3306E" w:rsidRDefault="00D93016" w:rsidP="00135F34">
            <w:pPr>
              <w:tabs>
                <w:tab w:val="decimal" w:pos="547"/>
              </w:tabs>
              <w:jc w:val="left"/>
              <w:rPr>
                <w:color w:val="000000"/>
                <w:sz w:val="16"/>
                <w:szCs w:val="16"/>
              </w:rPr>
            </w:pPr>
            <w:r>
              <w:rPr>
                <w:color w:val="000000"/>
                <w:sz w:val="16"/>
                <w:szCs w:val="16"/>
              </w:rPr>
              <w:t>0.7</w:t>
            </w:r>
          </w:p>
        </w:tc>
        <w:tc>
          <w:tcPr>
            <w:tcW w:w="1042" w:type="dxa"/>
            <w:tcBorders>
              <w:top w:val="nil"/>
              <w:left w:val="nil"/>
              <w:bottom w:val="nil"/>
              <w:right w:val="single" w:sz="6" w:space="0" w:color="404040"/>
            </w:tcBorders>
            <w:shd w:val="clear" w:color="auto" w:fill="auto"/>
            <w:noWrap/>
            <w:vAlign w:val="center"/>
          </w:tcPr>
          <w:p w14:paraId="2803B5C7" w14:textId="4B9FDE76" w:rsidR="00D93016" w:rsidRPr="007F014B" w:rsidRDefault="00D93016" w:rsidP="00D93016">
            <w:pPr>
              <w:tabs>
                <w:tab w:val="decimal" w:pos="508"/>
              </w:tabs>
              <w:jc w:val="left"/>
              <w:rPr>
                <w:color w:val="000000"/>
                <w:sz w:val="16"/>
                <w:szCs w:val="16"/>
              </w:rPr>
            </w:pPr>
            <w:r>
              <w:rPr>
                <w:color w:val="000000"/>
                <w:sz w:val="16"/>
                <w:szCs w:val="16"/>
              </w:rPr>
              <w:t>9.3</w:t>
            </w:r>
          </w:p>
        </w:tc>
        <w:tc>
          <w:tcPr>
            <w:tcW w:w="991" w:type="dxa"/>
            <w:tcBorders>
              <w:top w:val="nil"/>
              <w:left w:val="single" w:sz="6" w:space="0" w:color="404040"/>
              <w:bottom w:val="nil"/>
              <w:right w:val="nil"/>
            </w:tcBorders>
            <w:shd w:val="clear" w:color="auto" w:fill="auto"/>
            <w:noWrap/>
            <w:vAlign w:val="center"/>
          </w:tcPr>
          <w:p w14:paraId="31615874" w14:textId="5A5DAA7B" w:rsidR="00D93016" w:rsidRPr="007F014B" w:rsidRDefault="00D93016" w:rsidP="00D93016">
            <w:pPr>
              <w:tabs>
                <w:tab w:val="decimal" w:pos="508"/>
              </w:tabs>
              <w:jc w:val="left"/>
              <w:rPr>
                <w:color w:val="000000"/>
                <w:sz w:val="16"/>
                <w:szCs w:val="16"/>
              </w:rPr>
            </w:pPr>
            <w:r>
              <w:rPr>
                <w:color w:val="000000"/>
                <w:sz w:val="16"/>
                <w:szCs w:val="16"/>
              </w:rPr>
              <w:t>8.0</w:t>
            </w:r>
          </w:p>
        </w:tc>
        <w:tc>
          <w:tcPr>
            <w:tcW w:w="934" w:type="dxa"/>
            <w:tcBorders>
              <w:top w:val="nil"/>
              <w:left w:val="nil"/>
              <w:bottom w:val="nil"/>
              <w:right w:val="nil"/>
            </w:tcBorders>
            <w:shd w:val="clear" w:color="auto" w:fill="auto"/>
            <w:noWrap/>
            <w:vAlign w:val="center"/>
          </w:tcPr>
          <w:p w14:paraId="7E8B26B7" w14:textId="09C1CDC9" w:rsidR="00D93016" w:rsidRPr="007F014B" w:rsidRDefault="00D93016" w:rsidP="00135F34">
            <w:pPr>
              <w:tabs>
                <w:tab w:val="decimal" w:pos="547"/>
              </w:tabs>
              <w:jc w:val="left"/>
              <w:rPr>
                <w:color w:val="000000"/>
                <w:sz w:val="16"/>
                <w:szCs w:val="16"/>
              </w:rPr>
            </w:pPr>
            <w:r>
              <w:rPr>
                <w:color w:val="000000"/>
                <w:sz w:val="16"/>
                <w:szCs w:val="16"/>
              </w:rPr>
              <w:t>0.3</w:t>
            </w:r>
          </w:p>
        </w:tc>
        <w:tc>
          <w:tcPr>
            <w:tcW w:w="1050" w:type="dxa"/>
            <w:tcBorders>
              <w:top w:val="nil"/>
              <w:left w:val="nil"/>
              <w:bottom w:val="nil"/>
              <w:right w:val="single" w:sz="8" w:space="0" w:color="404040"/>
            </w:tcBorders>
            <w:shd w:val="clear" w:color="auto" w:fill="auto"/>
            <w:noWrap/>
            <w:vAlign w:val="center"/>
          </w:tcPr>
          <w:p w14:paraId="3B592CBF" w14:textId="083CF7B4" w:rsidR="00D93016" w:rsidRPr="007F014B" w:rsidRDefault="00D93016" w:rsidP="00135F34">
            <w:pPr>
              <w:tabs>
                <w:tab w:val="decimal" w:pos="547"/>
              </w:tabs>
              <w:jc w:val="left"/>
              <w:rPr>
                <w:bCs/>
                <w:color w:val="000000"/>
                <w:sz w:val="16"/>
                <w:szCs w:val="16"/>
              </w:rPr>
            </w:pPr>
            <w:r>
              <w:rPr>
                <w:color w:val="000000"/>
                <w:sz w:val="16"/>
                <w:szCs w:val="16"/>
              </w:rPr>
              <w:t>0.2</w:t>
            </w:r>
          </w:p>
        </w:tc>
      </w:tr>
      <w:tr w:rsidR="00D93016" w:rsidRPr="007F014B" w14:paraId="2DF7397F"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D93016" w:rsidRPr="007F014B" w:rsidRDefault="00D93016" w:rsidP="00D93016">
            <w:pPr>
              <w:spacing w:before="20" w:after="20"/>
              <w:ind w:left="97"/>
              <w:jc w:val="left"/>
              <w:rPr>
                <w:bCs/>
                <w:sz w:val="16"/>
                <w:szCs w:val="16"/>
              </w:rPr>
            </w:pPr>
            <w:r w:rsidRPr="007F014B">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0614675B" w:rsidR="00D93016" w:rsidRPr="00110A4A" w:rsidRDefault="00D93016" w:rsidP="00D93016">
            <w:pPr>
              <w:tabs>
                <w:tab w:val="decimal" w:pos="547"/>
              </w:tabs>
              <w:jc w:val="left"/>
              <w:rPr>
                <w:color w:val="000000"/>
                <w:sz w:val="16"/>
                <w:szCs w:val="16"/>
              </w:rPr>
            </w:pPr>
            <w:r>
              <w:rPr>
                <w:color w:val="000000"/>
                <w:sz w:val="16"/>
                <w:szCs w:val="16"/>
              </w:rPr>
              <w:t>17.9</w:t>
            </w:r>
          </w:p>
        </w:tc>
        <w:tc>
          <w:tcPr>
            <w:tcW w:w="942" w:type="dxa"/>
            <w:tcBorders>
              <w:top w:val="nil"/>
              <w:left w:val="nil"/>
              <w:bottom w:val="nil"/>
              <w:right w:val="nil"/>
            </w:tcBorders>
            <w:shd w:val="clear" w:color="auto" w:fill="auto"/>
            <w:noWrap/>
            <w:vAlign w:val="center"/>
          </w:tcPr>
          <w:p w14:paraId="42997623" w14:textId="0C77EB95" w:rsidR="00D93016" w:rsidRPr="00A3306E" w:rsidRDefault="00D93016" w:rsidP="00D93016">
            <w:pPr>
              <w:tabs>
                <w:tab w:val="decimal" w:pos="547"/>
              </w:tabs>
              <w:jc w:val="left"/>
              <w:rPr>
                <w:color w:val="000000"/>
                <w:sz w:val="16"/>
                <w:szCs w:val="16"/>
              </w:rPr>
            </w:pPr>
            <w:r>
              <w:rPr>
                <w:color w:val="000000"/>
                <w:sz w:val="16"/>
                <w:szCs w:val="16"/>
              </w:rPr>
              <w:t>1.1</w:t>
            </w:r>
          </w:p>
        </w:tc>
        <w:tc>
          <w:tcPr>
            <w:tcW w:w="1042" w:type="dxa"/>
            <w:tcBorders>
              <w:top w:val="nil"/>
              <w:left w:val="nil"/>
              <w:bottom w:val="nil"/>
              <w:right w:val="single" w:sz="6" w:space="0" w:color="404040"/>
            </w:tcBorders>
            <w:shd w:val="clear" w:color="auto" w:fill="auto"/>
            <w:noWrap/>
            <w:vAlign w:val="center"/>
          </w:tcPr>
          <w:p w14:paraId="145607CA" w14:textId="515A5C4F" w:rsidR="00D93016" w:rsidRPr="007F014B" w:rsidRDefault="00D93016" w:rsidP="00D93016">
            <w:pPr>
              <w:tabs>
                <w:tab w:val="decimal" w:pos="508"/>
              </w:tabs>
              <w:jc w:val="left"/>
              <w:rPr>
                <w:color w:val="000000"/>
                <w:sz w:val="16"/>
                <w:szCs w:val="16"/>
              </w:rPr>
            </w:pPr>
            <w:r>
              <w:rPr>
                <w:color w:val="000000"/>
                <w:sz w:val="16"/>
                <w:szCs w:val="16"/>
              </w:rPr>
              <w:t>11.0</w:t>
            </w:r>
          </w:p>
        </w:tc>
        <w:tc>
          <w:tcPr>
            <w:tcW w:w="991" w:type="dxa"/>
            <w:tcBorders>
              <w:top w:val="nil"/>
              <w:left w:val="single" w:sz="6" w:space="0" w:color="404040"/>
              <w:bottom w:val="nil"/>
              <w:right w:val="nil"/>
            </w:tcBorders>
            <w:shd w:val="clear" w:color="auto" w:fill="auto"/>
            <w:noWrap/>
            <w:vAlign w:val="center"/>
          </w:tcPr>
          <w:p w14:paraId="43759983" w14:textId="222CE0BB" w:rsidR="00D93016" w:rsidRPr="007F014B" w:rsidRDefault="00D93016" w:rsidP="00D93016">
            <w:pPr>
              <w:tabs>
                <w:tab w:val="decimal" w:pos="508"/>
              </w:tabs>
              <w:jc w:val="left"/>
              <w:rPr>
                <w:color w:val="000000"/>
                <w:sz w:val="16"/>
                <w:szCs w:val="16"/>
              </w:rPr>
            </w:pPr>
            <w:r>
              <w:rPr>
                <w:color w:val="000000"/>
                <w:sz w:val="16"/>
                <w:szCs w:val="16"/>
              </w:rPr>
              <w:t>7.7</w:t>
            </w:r>
          </w:p>
        </w:tc>
        <w:tc>
          <w:tcPr>
            <w:tcW w:w="934" w:type="dxa"/>
            <w:tcBorders>
              <w:top w:val="nil"/>
              <w:left w:val="nil"/>
              <w:bottom w:val="nil"/>
              <w:right w:val="nil"/>
            </w:tcBorders>
            <w:shd w:val="clear" w:color="auto" w:fill="auto"/>
            <w:noWrap/>
            <w:vAlign w:val="center"/>
          </w:tcPr>
          <w:p w14:paraId="118F1B39" w14:textId="2040A609" w:rsidR="00D93016" w:rsidRPr="007F014B" w:rsidRDefault="00D93016" w:rsidP="00D93016">
            <w:pPr>
              <w:tabs>
                <w:tab w:val="decimal" w:pos="547"/>
              </w:tabs>
              <w:jc w:val="left"/>
              <w:rPr>
                <w:color w:val="000000"/>
                <w:sz w:val="16"/>
                <w:szCs w:val="16"/>
              </w:rPr>
            </w:pPr>
            <w:r>
              <w:rPr>
                <w:color w:val="000000"/>
                <w:sz w:val="16"/>
                <w:szCs w:val="16"/>
              </w:rPr>
              <w:t>5.0</w:t>
            </w:r>
          </w:p>
        </w:tc>
        <w:tc>
          <w:tcPr>
            <w:tcW w:w="1050" w:type="dxa"/>
            <w:tcBorders>
              <w:top w:val="nil"/>
              <w:left w:val="nil"/>
              <w:bottom w:val="nil"/>
              <w:right w:val="single" w:sz="8" w:space="0" w:color="404040"/>
            </w:tcBorders>
            <w:shd w:val="clear" w:color="auto" w:fill="auto"/>
            <w:noWrap/>
            <w:vAlign w:val="center"/>
          </w:tcPr>
          <w:p w14:paraId="3A140B03" w14:textId="62964F2E" w:rsidR="00D93016" w:rsidRPr="00457D38"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2.2</w:t>
            </w:r>
          </w:p>
        </w:tc>
      </w:tr>
      <w:tr w:rsidR="00D93016" w:rsidRPr="007F014B" w14:paraId="64F59367"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D93016" w:rsidRPr="007F014B" w:rsidRDefault="00D93016" w:rsidP="00D93016">
            <w:pPr>
              <w:spacing w:before="20" w:after="20"/>
              <w:ind w:left="97"/>
              <w:jc w:val="left"/>
              <w:rPr>
                <w:bCs/>
                <w:sz w:val="16"/>
                <w:szCs w:val="16"/>
              </w:rPr>
            </w:pPr>
            <w:r w:rsidRPr="007F014B">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56A4B0FA" w:rsidR="00D93016" w:rsidRPr="007F014B" w:rsidRDefault="00D93016" w:rsidP="00D93016">
            <w:pPr>
              <w:tabs>
                <w:tab w:val="decimal" w:pos="547"/>
              </w:tabs>
              <w:jc w:val="left"/>
              <w:rPr>
                <w:bCs/>
                <w:color w:val="000000"/>
                <w:sz w:val="16"/>
                <w:szCs w:val="16"/>
              </w:rPr>
            </w:pPr>
            <w:r>
              <w:rPr>
                <w:color w:val="000000"/>
                <w:sz w:val="16"/>
                <w:szCs w:val="16"/>
              </w:rPr>
              <w:t>18.9</w:t>
            </w:r>
          </w:p>
        </w:tc>
        <w:tc>
          <w:tcPr>
            <w:tcW w:w="942" w:type="dxa"/>
            <w:tcBorders>
              <w:top w:val="nil"/>
              <w:left w:val="nil"/>
              <w:bottom w:val="nil"/>
              <w:right w:val="nil"/>
            </w:tcBorders>
            <w:shd w:val="clear" w:color="auto" w:fill="auto"/>
            <w:noWrap/>
            <w:vAlign w:val="center"/>
          </w:tcPr>
          <w:p w14:paraId="01289560" w14:textId="3168B96E" w:rsidR="00D93016" w:rsidRPr="00A3306E"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0CF7279F" w14:textId="75414480" w:rsidR="00D93016" w:rsidRPr="007F014B" w:rsidRDefault="00D93016" w:rsidP="00D93016">
            <w:pPr>
              <w:tabs>
                <w:tab w:val="decimal" w:pos="508"/>
              </w:tabs>
              <w:jc w:val="left"/>
              <w:rPr>
                <w:color w:val="000000"/>
                <w:sz w:val="16"/>
                <w:szCs w:val="16"/>
              </w:rPr>
            </w:pPr>
            <w:r>
              <w:rPr>
                <w:color w:val="000000"/>
                <w:sz w:val="16"/>
                <w:szCs w:val="16"/>
              </w:rPr>
              <w:t>3.7</w:t>
            </w:r>
          </w:p>
        </w:tc>
        <w:tc>
          <w:tcPr>
            <w:tcW w:w="991" w:type="dxa"/>
            <w:tcBorders>
              <w:top w:val="nil"/>
              <w:left w:val="single" w:sz="6" w:space="0" w:color="404040"/>
              <w:bottom w:val="nil"/>
              <w:right w:val="nil"/>
            </w:tcBorders>
            <w:shd w:val="clear" w:color="auto" w:fill="auto"/>
            <w:noWrap/>
            <w:vAlign w:val="center"/>
          </w:tcPr>
          <w:p w14:paraId="00B7A488" w14:textId="30BD2D0E" w:rsidR="00D93016" w:rsidRPr="007F014B" w:rsidRDefault="00D93016" w:rsidP="00D93016">
            <w:pPr>
              <w:tabs>
                <w:tab w:val="decimal" w:pos="508"/>
              </w:tabs>
              <w:jc w:val="left"/>
              <w:rPr>
                <w:color w:val="000000"/>
                <w:sz w:val="16"/>
                <w:szCs w:val="16"/>
              </w:rPr>
            </w:pPr>
            <w:r>
              <w:rPr>
                <w:color w:val="000000"/>
                <w:sz w:val="16"/>
                <w:szCs w:val="16"/>
              </w:rPr>
              <w:t>11.5</w:t>
            </w:r>
          </w:p>
        </w:tc>
        <w:tc>
          <w:tcPr>
            <w:tcW w:w="934" w:type="dxa"/>
            <w:tcBorders>
              <w:top w:val="nil"/>
              <w:left w:val="nil"/>
              <w:bottom w:val="nil"/>
              <w:right w:val="nil"/>
            </w:tcBorders>
            <w:shd w:val="clear" w:color="auto" w:fill="auto"/>
            <w:noWrap/>
            <w:vAlign w:val="center"/>
          </w:tcPr>
          <w:p w14:paraId="202FA301" w14:textId="29E10E0C" w:rsidR="00D93016" w:rsidRPr="007F014B" w:rsidRDefault="00D93016" w:rsidP="00135F34">
            <w:pPr>
              <w:tabs>
                <w:tab w:val="decimal" w:pos="547"/>
              </w:tabs>
              <w:jc w:val="left"/>
              <w:rPr>
                <w:color w:val="000000"/>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5E8D11ED" w14:textId="13A529C7" w:rsidR="00D93016" w:rsidRPr="00457D38" w:rsidRDefault="00D93016" w:rsidP="00D93016">
            <w:pPr>
              <w:tabs>
                <w:tab w:val="decimal" w:pos="547"/>
              </w:tabs>
              <w:jc w:val="left"/>
              <w:rPr>
                <w:color w:val="000000"/>
                <w:sz w:val="16"/>
                <w:szCs w:val="16"/>
              </w:rPr>
            </w:pPr>
            <w:r>
              <w:rPr>
                <w:color w:val="000000"/>
                <w:sz w:val="16"/>
                <w:szCs w:val="16"/>
              </w:rPr>
              <w:t>9.4</w:t>
            </w:r>
          </w:p>
        </w:tc>
      </w:tr>
      <w:tr w:rsidR="00D93016" w:rsidRPr="007F014B" w14:paraId="3828D442"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D93016" w:rsidRPr="007F014B" w:rsidRDefault="00D93016" w:rsidP="00D93016">
            <w:pPr>
              <w:spacing w:before="20" w:after="20"/>
              <w:ind w:left="97"/>
              <w:jc w:val="left"/>
              <w:rPr>
                <w:bCs/>
                <w:sz w:val="16"/>
                <w:szCs w:val="16"/>
              </w:rPr>
            </w:pPr>
            <w:r w:rsidRPr="007F014B">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397215E1" w:rsidR="00D93016" w:rsidRPr="00110A4A" w:rsidRDefault="00D93016" w:rsidP="00D93016">
            <w:pPr>
              <w:tabs>
                <w:tab w:val="decimal" w:pos="547"/>
              </w:tabs>
              <w:jc w:val="left"/>
              <w:rPr>
                <w:color w:val="000000"/>
                <w:sz w:val="16"/>
                <w:szCs w:val="16"/>
              </w:rPr>
            </w:pPr>
            <w:r>
              <w:rPr>
                <w:color w:val="000000"/>
                <w:sz w:val="16"/>
                <w:szCs w:val="16"/>
              </w:rPr>
              <w:t>10.4</w:t>
            </w:r>
          </w:p>
        </w:tc>
        <w:tc>
          <w:tcPr>
            <w:tcW w:w="942" w:type="dxa"/>
            <w:tcBorders>
              <w:top w:val="nil"/>
              <w:left w:val="nil"/>
              <w:bottom w:val="nil"/>
              <w:right w:val="nil"/>
            </w:tcBorders>
            <w:shd w:val="clear" w:color="auto" w:fill="auto"/>
            <w:noWrap/>
            <w:vAlign w:val="center"/>
          </w:tcPr>
          <w:p w14:paraId="5C03D933" w14:textId="700C457D" w:rsidR="00D93016" w:rsidRPr="00775A59"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0.9</w:t>
            </w:r>
          </w:p>
        </w:tc>
        <w:tc>
          <w:tcPr>
            <w:tcW w:w="1042" w:type="dxa"/>
            <w:tcBorders>
              <w:top w:val="nil"/>
              <w:left w:val="nil"/>
              <w:bottom w:val="nil"/>
              <w:right w:val="single" w:sz="6" w:space="0" w:color="404040"/>
            </w:tcBorders>
            <w:shd w:val="clear" w:color="auto" w:fill="auto"/>
            <w:noWrap/>
            <w:vAlign w:val="center"/>
          </w:tcPr>
          <w:p w14:paraId="1AB05D56" w14:textId="432EB3F9" w:rsidR="00D93016" w:rsidRPr="007F014B" w:rsidRDefault="00D93016" w:rsidP="00D93016">
            <w:pPr>
              <w:tabs>
                <w:tab w:val="decimal" w:pos="508"/>
              </w:tabs>
              <w:jc w:val="left"/>
              <w:rPr>
                <w:color w:val="000000"/>
                <w:sz w:val="16"/>
                <w:szCs w:val="16"/>
              </w:rPr>
            </w:pPr>
            <w:r>
              <w:rPr>
                <w:color w:val="000000"/>
                <w:sz w:val="16"/>
                <w:szCs w:val="16"/>
              </w:rPr>
              <w:t>4.4</w:t>
            </w:r>
          </w:p>
        </w:tc>
        <w:tc>
          <w:tcPr>
            <w:tcW w:w="991" w:type="dxa"/>
            <w:tcBorders>
              <w:top w:val="nil"/>
              <w:left w:val="single" w:sz="6" w:space="0" w:color="404040"/>
              <w:bottom w:val="nil"/>
              <w:right w:val="nil"/>
            </w:tcBorders>
            <w:shd w:val="clear" w:color="auto" w:fill="auto"/>
            <w:noWrap/>
            <w:vAlign w:val="center"/>
          </w:tcPr>
          <w:p w14:paraId="7AF95D9E" w14:textId="3B7DE28D" w:rsidR="00D93016" w:rsidRPr="007F014B" w:rsidRDefault="00D93016" w:rsidP="00D93016">
            <w:pPr>
              <w:tabs>
                <w:tab w:val="decimal" w:pos="508"/>
              </w:tabs>
              <w:jc w:val="left"/>
              <w:rPr>
                <w:color w:val="000000"/>
                <w:sz w:val="16"/>
                <w:szCs w:val="16"/>
              </w:rPr>
            </w:pPr>
            <w:r>
              <w:rPr>
                <w:color w:val="000000"/>
                <w:sz w:val="16"/>
                <w:szCs w:val="16"/>
              </w:rPr>
              <w:t>8.0</w:t>
            </w:r>
          </w:p>
        </w:tc>
        <w:tc>
          <w:tcPr>
            <w:tcW w:w="934" w:type="dxa"/>
            <w:tcBorders>
              <w:top w:val="nil"/>
              <w:left w:val="nil"/>
              <w:bottom w:val="nil"/>
              <w:right w:val="nil"/>
            </w:tcBorders>
            <w:shd w:val="clear" w:color="auto" w:fill="auto"/>
            <w:noWrap/>
            <w:vAlign w:val="center"/>
          </w:tcPr>
          <w:p w14:paraId="4B896B23" w14:textId="2F3FB1F0"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71DFF78D" w14:textId="3B8AA81F" w:rsidR="00D93016" w:rsidRPr="00457D38" w:rsidRDefault="00D93016" w:rsidP="00D93016">
            <w:pPr>
              <w:tabs>
                <w:tab w:val="decimal" w:pos="547"/>
              </w:tabs>
              <w:jc w:val="left"/>
              <w:rPr>
                <w:color w:val="000000"/>
                <w:sz w:val="16"/>
                <w:szCs w:val="16"/>
              </w:rPr>
            </w:pPr>
            <w:r>
              <w:rPr>
                <w:color w:val="000000"/>
                <w:sz w:val="16"/>
                <w:szCs w:val="16"/>
              </w:rPr>
              <w:t>0.1</w:t>
            </w:r>
          </w:p>
        </w:tc>
      </w:tr>
      <w:tr w:rsidR="00D93016" w:rsidRPr="007F014B" w14:paraId="452FDEDC"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D93016" w:rsidRPr="007F014B" w:rsidRDefault="00D93016" w:rsidP="00D93016">
            <w:pPr>
              <w:spacing w:before="20" w:after="20"/>
              <w:ind w:left="97"/>
              <w:jc w:val="left"/>
              <w:rPr>
                <w:bCs/>
                <w:sz w:val="16"/>
                <w:szCs w:val="16"/>
              </w:rPr>
            </w:pPr>
            <w:r w:rsidRPr="007F014B">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37B7C741" w:rsidR="00D93016" w:rsidRPr="00110A4A" w:rsidRDefault="00D93016" w:rsidP="00D93016">
            <w:pPr>
              <w:tabs>
                <w:tab w:val="decimal" w:pos="547"/>
              </w:tabs>
              <w:jc w:val="left"/>
              <w:rPr>
                <w:color w:val="000000"/>
                <w:sz w:val="16"/>
                <w:szCs w:val="16"/>
              </w:rPr>
            </w:pPr>
            <w:r>
              <w:rPr>
                <w:color w:val="000000"/>
                <w:sz w:val="16"/>
                <w:szCs w:val="16"/>
              </w:rPr>
              <w:t>14.4</w:t>
            </w:r>
          </w:p>
        </w:tc>
        <w:tc>
          <w:tcPr>
            <w:tcW w:w="942" w:type="dxa"/>
            <w:tcBorders>
              <w:top w:val="nil"/>
              <w:left w:val="nil"/>
              <w:bottom w:val="nil"/>
              <w:right w:val="nil"/>
            </w:tcBorders>
            <w:shd w:val="clear" w:color="auto" w:fill="auto"/>
            <w:noWrap/>
            <w:vAlign w:val="center"/>
          </w:tcPr>
          <w:p w14:paraId="1A145F69" w14:textId="304CEC56" w:rsidR="00D93016" w:rsidRPr="00775A59" w:rsidRDefault="00D93016" w:rsidP="00D93016">
            <w:pPr>
              <w:tabs>
                <w:tab w:val="decimal" w:pos="547"/>
              </w:tabs>
              <w:jc w:val="left"/>
              <w:rPr>
                <w:color w:val="000000"/>
                <w:sz w:val="16"/>
                <w:szCs w:val="16"/>
              </w:rPr>
            </w:pPr>
            <w:r>
              <w:rPr>
                <w:color w:val="000000"/>
                <w:sz w:val="16"/>
                <w:szCs w:val="16"/>
              </w:rPr>
              <w:t>2.3</w:t>
            </w:r>
          </w:p>
        </w:tc>
        <w:tc>
          <w:tcPr>
            <w:tcW w:w="1042" w:type="dxa"/>
            <w:tcBorders>
              <w:top w:val="nil"/>
              <w:left w:val="nil"/>
              <w:bottom w:val="nil"/>
              <w:right w:val="single" w:sz="6" w:space="0" w:color="404040"/>
            </w:tcBorders>
            <w:shd w:val="clear" w:color="auto" w:fill="auto"/>
            <w:noWrap/>
            <w:vAlign w:val="center"/>
          </w:tcPr>
          <w:p w14:paraId="1A9D0BE0" w14:textId="0C4D5804" w:rsidR="00D93016" w:rsidRPr="007F014B" w:rsidRDefault="00D93016" w:rsidP="00D93016">
            <w:pPr>
              <w:tabs>
                <w:tab w:val="decimal" w:pos="508"/>
              </w:tabs>
              <w:jc w:val="left"/>
              <w:rPr>
                <w:color w:val="000000"/>
                <w:sz w:val="16"/>
                <w:szCs w:val="16"/>
              </w:rPr>
            </w:pPr>
            <w:r>
              <w:rPr>
                <w:color w:val="000000"/>
                <w:sz w:val="16"/>
                <w:szCs w:val="16"/>
              </w:rPr>
              <w:t>4.2</w:t>
            </w:r>
          </w:p>
        </w:tc>
        <w:tc>
          <w:tcPr>
            <w:tcW w:w="991" w:type="dxa"/>
            <w:tcBorders>
              <w:top w:val="nil"/>
              <w:left w:val="single" w:sz="6" w:space="0" w:color="404040"/>
              <w:bottom w:val="nil"/>
              <w:right w:val="nil"/>
            </w:tcBorders>
            <w:shd w:val="clear" w:color="auto" w:fill="auto"/>
            <w:noWrap/>
            <w:vAlign w:val="center"/>
          </w:tcPr>
          <w:p w14:paraId="15DD43DB" w14:textId="7D48D7D7" w:rsidR="00D93016" w:rsidRPr="007F014B" w:rsidRDefault="00D93016" w:rsidP="00D93016">
            <w:pPr>
              <w:tabs>
                <w:tab w:val="decimal" w:pos="508"/>
              </w:tabs>
              <w:jc w:val="left"/>
              <w:rPr>
                <w:color w:val="000000"/>
                <w:sz w:val="16"/>
                <w:szCs w:val="16"/>
              </w:rPr>
            </w:pPr>
            <w:r>
              <w:rPr>
                <w:color w:val="000000"/>
                <w:sz w:val="16"/>
                <w:szCs w:val="16"/>
              </w:rPr>
              <w:t>12.7</w:t>
            </w:r>
          </w:p>
        </w:tc>
        <w:tc>
          <w:tcPr>
            <w:tcW w:w="934" w:type="dxa"/>
            <w:tcBorders>
              <w:top w:val="nil"/>
              <w:left w:val="nil"/>
              <w:bottom w:val="nil"/>
              <w:right w:val="nil"/>
            </w:tcBorders>
            <w:shd w:val="clear" w:color="auto" w:fill="auto"/>
            <w:noWrap/>
            <w:vAlign w:val="center"/>
          </w:tcPr>
          <w:p w14:paraId="6480D3DE" w14:textId="3EF58D1E" w:rsidR="00D93016" w:rsidRPr="007F014B" w:rsidRDefault="00D93016" w:rsidP="00D93016">
            <w:pPr>
              <w:tabs>
                <w:tab w:val="decimal" w:pos="547"/>
              </w:tabs>
              <w:jc w:val="left"/>
              <w:rPr>
                <w:color w:val="000000"/>
                <w:sz w:val="16"/>
                <w:szCs w:val="16"/>
              </w:rPr>
            </w:pPr>
            <w:r>
              <w:rPr>
                <w:color w:val="000000"/>
                <w:sz w:val="16"/>
                <w:szCs w:val="16"/>
              </w:rPr>
              <w:t>3.5</w:t>
            </w:r>
          </w:p>
        </w:tc>
        <w:tc>
          <w:tcPr>
            <w:tcW w:w="1050" w:type="dxa"/>
            <w:tcBorders>
              <w:top w:val="nil"/>
              <w:left w:val="nil"/>
              <w:bottom w:val="nil"/>
              <w:right w:val="single" w:sz="8" w:space="0" w:color="404040"/>
            </w:tcBorders>
            <w:shd w:val="clear" w:color="auto" w:fill="auto"/>
            <w:noWrap/>
            <w:vAlign w:val="center"/>
          </w:tcPr>
          <w:p w14:paraId="3D4CC50A" w14:textId="67623104" w:rsidR="00D93016" w:rsidRPr="00457D38"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1.5</w:t>
            </w:r>
          </w:p>
        </w:tc>
      </w:tr>
      <w:tr w:rsidR="00D93016" w:rsidRPr="007F014B" w14:paraId="49D52FDC"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D93016" w:rsidRPr="007F014B" w:rsidRDefault="00D93016" w:rsidP="00D93016">
            <w:pPr>
              <w:spacing w:before="20" w:after="20"/>
              <w:ind w:left="97"/>
              <w:jc w:val="left"/>
              <w:rPr>
                <w:bCs/>
                <w:sz w:val="16"/>
                <w:szCs w:val="16"/>
              </w:rPr>
            </w:pPr>
            <w:r w:rsidRPr="007F014B">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54B41C79" w:rsidR="00D93016" w:rsidRPr="00110A4A" w:rsidRDefault="00D93016" w:rsidP="00D93016">
            <w:pPr>
              <w:tabs>
                <w:tab w:val="decimal" w:pos="547"/>
              </w:tabs>
              <w:jc w:val="left"/>
              <w:rPr>
                <w:color w:val="000000"/>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0DD1C88A" w14:textId="70902311" w:rsidR="00D93016" w:rsidRPr="00775A59" w:rsidRDefault="00D93016" w:rsidP="00D93016">
            <w:pPr>
              <w:tabs>
                <w:tab w:val="decimal" w:pos="547"/>
              </w:tabs>
              <w:jc w:val="left"/>
              <w:rPr>
                <w:color w:val="000000"/>
                <w:sz w:val="16"/>
                <w:szCs w:val="16"/>
              </w:rPr>
            </w:pPr>
            <w:r>
              <w:rPr>
                <w:color w:val="000000"/>
                <w:sz w:val="16"/>
                <w:szCs w:val="16"/>
              </w:rPr>
              <w:t>4.5</w:t>
            </w:r>
          </w:p>
        </w:tc>
        <w:tc>
          <w:tcPr>
            <w:tcW w:w="1042" w:type="dxa"/>
            <w:tcBorders>
              <w:top w:val="nil"/>
              <w:left w:val="nil"/>
              <w:bottom w:val="nil"/>
              <w:right w:val="single" w:sz="6" w:space="0" w:color="404040"/>
            </w:tcBorders>
            <w:shd w:val="clear" w:color="auto" w:fill="auto"/>
            <w:noWrap/>
            <w:vAlign w:val="center"/>
          </w:tcPr>
          <w:p w14:paraId="4407044A" w14:textId="2AE745AA" w:rsidR="00D93016" w:rsidRPr="007F014B" w:rsidRDefault="00D93016" w:rsidP="00135F34">
            <w:pPr>
              <w:tabs>
                <w:tab w:val="left" w:pos="87"/>
                <w:tab w:val="decimal" w:pos="508"/>
              </w:tabs>
              <w:jc w:val="left"/>
              <w:rPr>
                <w:color w:val="000000"/>
                <w:sz w:val="16"/>
                <w:szCs w:val="16"/>
              </w:rPr>
            </w:pPr>
            <w:r>
              <w:rPr>
                <w:color w:val="000000"/>
                <w:sz w:val="16"/>
                <w:szCs w:val="16"/>
              </w:rPr>
              <w:tab/>
              <w:t>(-)</w:t>
            </w:r>
            <w:r>
              <w:rPr>
                <w:color w:val="000000"/>
                <w:sz w:val="16"/>
                <w:szCs w:val="16"/>
              </w:rPr>
              <w:tab/>
              <w:t>4.7</w:t>
            </w:r>
          </w:p>
        </w:tc>
        <w:tc>
          <w:tcPr>
            <w:tcW w:w="991" w:type="dxa"/>
            <w:tcBorders>
              <w:top w:val="nil"/>
              <w:left w:val="single" w:sz="6" w:space="0" w:color="404040"/>
              <w:bottom w:val="nil"/>
              <w:right w:val="nil"/>
            </w:tcBorders>
            <w:shd w:val="clear" w:color="auto" w:fill="auto"/>
            <w:noWrap/>
            <w:vAlign w:val="center"/>
          </w:tcPr>
          <w:p w14:paraId="5C3C6086" w14:textId="4F2FF51A" w:rsidR="00D93016" w:rsidRPr="007F014B" w:rsidRDefault="00D93016" w:rsidP="00D93016">
            <w:pPr>
              <w:tabs>
                <w:tab w:val="decimal" w:pos="508"/>
              </w:tabs>
              <w:jc w:val="left"/>
              <w:rPr>
                <w:color w:val="000000"/>
                <w:sz w:val="16"/>
                <w:szCs w:val="16"/>
              </w:rPr>
            </w:pPr>
            <w:r>
              <w:rPr>
                <w:color w:val="000000"/>
                <w:sz w:val="16"/>
                <w:szCs w:val="16"/>
              </w:rPr>
              <w:t>3.2</w:t>
            </w:r>
          </w:p>
        </w:tc>
        <w:tc>
          <w:tcPr>
            <w:tcW w:w="934" w:type="dxa"/>
            <w:tcBorders>
              <w:top w:val="nil"/>
              <w:left w:val="nil"/>
              <w:bottom w:val="nil"/>
              <w:right w:val="nil"/>
            </w:tcBorders>
            <w:shd w:val="clear" w:color="auto" w:fill="auto"/>
            <w:noWrap/>
            <w:vAlign w:val="center"/>
          </w:tcPr>
          <w:p w14:paraId="134FE620" w14:textId="4F98F974" w:rsidR="00D93016" w:rsidRPr="007F014B" w:rsidRDefault="00D93016" w:rsidP="00D93016">
            <w:pPr>
              <w:tabs>
                <w:tab w:val="decimal" w:pos="547"/>
              </w:tabs>
              <w:jc w:val="left"/>
              <w:rPr>
                <w:color w:val="000000"/>
                <w:sz w:val="16"/>
                <w:szCs w:val="16"/>
              </w:rPr>
            </w:pPr>
            <w:r>
              <w:rPr>
                <w:color w:val="000000"/>
                <w:sz w:val="16"/>
                <w:szCs w:val="16"/>
              </w:rPr>
              <w:t>3.3</w:t>
            </w:r>
          </w:p>
        </w:tc>
        <w:tc>
          <w:tcPr>
            <w:tcW w:w="1050" w:type="dxa"/>
            <w:tcBorders>
              <w:top w:val="nil"/>
              <w:left w:val="nil"/>
              <w:bottom w:val="nil"/>
              <w:right w:val="single" w:sz="8" w:space="0" w:color="404040"/>
            </w:tcBorders>
            <w:shd w:val="clear" w:color="auto" w:fill="auto"/>
            <w:noWrap/>
            <w:vAlign w:val="center"/>
          </w:tcPr>
          <w:p w14:paraId="7B3C0D3F" w14:textId="28C094C5" w:rsidR="00D93016" w:rsidRPr="007F014B" w:rsidRDefault="00D93016" w:rsidP="00D93016">
            <w:pPr>
              <w:tabs>
                <w:tab w:val="decimal" w:pos="547"/>
              </w:tabs>
              <w:jc w:val="left"/>
              <w:rPr>
                <w:color w:val="000000"/>
                <w:sz w:val="16"/>
                <w:szCs w:val="16"/>
              </w:rPr>
            </w:pPr>
            <w:r>
              <w:rPr>
                <w:color w:val="000000"/>
                <w:sz w:val="16"/>
                <w:szCs w:val="16"/>
              </w:rPr>
              <w:t>1.7</w:t>
            </w:r>
          </w:p>
        </w:tc>
      </w:tr>
      <w:tr w:rsidR="00D93016" w:rsidRPr="007F014B" w14:paraId="7793830F"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D93016" w:rsidRPr="007F014B" w:rsidRDefault="00D93016" w:rsidP="00D93016">
            <w:pPr>
              <w:spacing w:before="20" w:after="20"/>
              <w:ind w:left="96"/>
              <w:jc w:val="left"/>
              <w:rPr>
                <w:bCs/>
                <w:sz w:val="16"/>
                <w:szCs w:val="16"/>
              </w:rPr>
            </w:pPr>
            <w:r w:rsidRPr="007F014B">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583E5D21" w:rsidR="00D93016" w:rsidRPr="00110A4A" w:rsidRDefault="00D93016" w:rsidP="00D93016">
            <w:pPr>
              <w:tabs>
                <w:tab w:val="decimal" w:pos="547"/>
              </w:tabs>
              <w:jc w:val="left"/>
              <w:rPr>
                <w:color w:val="000000"/>
                <w:sz w:val="16"/>
                <w:szCs w:val="16"/>
              </w:rPr>
            </w:pPr>
            <w:r>
              <w:rPr>
                <w:color w:val="000000"/>
                <w:sz w:val="16"/>
                <w:szCs w:val="16"/>
              </w:rPr>
              <w:t>8.2</w:t>
            </w:r>
          </w:p>
        </w:tc>
        <w:tc>
          <w:tcPr>
            <w:tcW w:w="942" w:type="dxa"/>
            <w:tcBorders>
              <w:top w:val="nil"/>
              <w:left w:val="nil"/>
              <w:bottom w:val="nil"/>
              <w:right w:val="nil"/>
            </w:tcBorders>
            <w:shd w:val="clear" w:color="auto" w:fill="auto"/>
            <w:noWrap/>
            <w:vAlign w:val="center"/>
          </w:tcPr>
          <w:p w14:paraId="132225AA" w14:textId="4F678C84" w:rsidR="00D93016" w:rsidRPr="00775A59" w:rsidRDefault="00D93016" w:rsidP="00D93016">
            <w:pPr>
              <w:tabs>
                <w:tab w:val="decimal" w:pos="547"/>
              </w:tabs>
              <w:jc w:val="left"/>
              <w:rPr>
                <w:color w:val="000000"/>
                <w:sz w:val="16"/>
                <w:szCs w:val="16"/>
              </w:rPr>
            </w:pPr>
            <w:r>
              <w:rPr>
                <w:color w:val="000000"/>
                <w:sz w:val="16"/>
                <w:szCs w:val="16"/>
              </w:rPr>
              <w:t>18.6</w:t>
            </w:r>
          </w:p>
        </w:tc>
        <w:tc>
          <w:tcPr>
            <w:tcW w:w="1042" w:type="dxa"/>
            <w:tcBorders>
              <w:top w:val="nil"/>
              <w:left w:val="nil"/>
              <w:bottom w:val="nil"/>
              <w:right w:val="single" w:sz="6" w:space="0" w:color="404040"/>
            </w:tcBorders>
            <w:shd w:val="clear" w:color="auto" w:fill="auto"/>
            <w:noWrap/>
            <w:vAlign w:val="center"/>
          </w:tcPr>
          <w:p w14:paraId="200BB3E4" w14:textId="0F4D05C0" w:rsidR="00D93016" w:rsidRPr="007F014B" w:rsidRDefault="00D93016" w:rsidP="00135F34">
            <w:pPr>
              <w:tabs>
                <w:tab w:val="left" w:pos="87"/>
                <w:tab w:val="decimal" w:pos="508"/>
              </w:tabs>
              <w:jc w:val="left"/>
              <w:rPr>
                <w:color w:val="000000"/>
                <w:sz w:val="16"/>
                <w:szCs w:val="16"/>
              </w:rPr>
            </w:pPr>
            <w:r>
              <w:rPr>
                <w:color w:val="000000"/>
                <w:sz w:val="16"/>
                <w:szCs w:val="16"/>
              </w:rPr>
              <w:tab/>
              <w:t>(-)</w:t>
            </w:r>
            <w:r>
              <w:rPr>
                <w:color w:val="000000"/>
                <w:sz w:val="16"/>
                <w:szCs w:val="16"/>
              </w:rPr>
              <w:tab/>
              <w:t>1.6</w:t>
            </w:r>
          </w:p>
        </w:tc>
        <w:tc>
          <w:tcPr>
            <w:tcW w:w="991" w:type="dxa"/>
            <w:tcBorders>
              <w:top w:val="nil"/>
              <w:left w:val="single" w:sz="6" w:space="0" w:color="404040"/>
              <w:bottom w:val="nil"/>
              <w:right w:val="nil"/>
            </w:tcBorders>
            <w:shd w:val="clear" w:color="auto" w:fill="auto"/>
            <w:noWrap/>
            <w:vAlign w:val="center"/>
          </w:tcPr>
          <w:p w14:paraId="7C00F017" w14:textId="59D43851" w:rsidR="00D93016" w:rsidRPr="007F014B" w:rsidRDefault="00D93016" w:rsidP="00D93016">
            <w:pPr>
              <w:tabs>
                <w:tab w:val="decimal" w:pos="508"/>
              </w:tabs>
              <w:jc w:val="left"/>
              <w:rPr>
                <w:color w:val="000000"/>
                <w:sz w:val="16"/>
                <w:szCs w:val="16"/>
              </w:rPr>
            </w:pPr>
            <w:r>
              <w:rPr>
                <w:color w:val="000000"/>
                <w:sz w:val="16"/>
                <w:szCs w:val="16"/>
              </w:rPr>
              <w:t>12.4</w:t>
            </w:r>
          </w:p>
        </w:tc>
        <w:tc>
          <w:tcPr>
            <w:tcW w:w="934" w:type="dxa"/>
            <w:tcBorders>
              <w:top w:val="nil"/>
              <w:left w:val="nil"/>
              <w:bottom w:val="nil"/>
              <w:right w:val="nil"/>
            </w:tcBorders>
            <w:shd w:val="clear" w:color="auto" w:fill="auto"/>
            <w:noWrap/>
            <w:vAlign w:val="center"/>
          </w:tcPr>
          <w:p w14:paraId="4B07A062" w14:textId="286E43D2" w:rsidR="00D93016" w:rsidRPr="007F014B" w:rsidRDefault="00D93016" w:rsidP="00D93016">
            <w:pPr>
              <w:tabs>
                <w:tab w:val="decimal" w:pos="547"/>
              </w:tabs>
              <w:jc w:val="left"/>
              <w:rPr>
                <w:color w:val="000000"/>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7EA0BD85" w14:textId="30197768" w:rsidR="00D93016" w:rsidRPr="007F014B" w:rsidRDefault="00D93016" w:rsidP="00D93016">
            <w:pPr>
              <w:tabs>
                <w:tab w:val="decimal" w:pos="547"/>
              </w:tabs>
              <w:jc w:val="left"/>
              <w:rPr>
                <w:color w:val="000000"/>
                <w:sz w:val="16"/>
                <w:szCs w:val="16"/>
              </w:rPr>
            </w:pPr>
            <w:r>
              <w:rPr>
                <w:color w:val="000000"/>
                <w:sz w:val="16"/>
                <w:szCs w:val="16"/>
              </w:rPr>
              <w:t>2.0</w:t>
            </w:r>
          </w:p>
        </w:tc>
      </w:tr>
      <w:tr w:rsidR="00D93016" w:rsidRPr="007F014B" w14:paraId="5719F551"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D93016" w:rsidRPr="007F014B" w:rsidRDefault="00D93016" w:rsidP="00D93016">
            <w:pPr>
              <w:spacing w:before="20" w:after="20"/>
              <w:ind w:left="97"/>
              <w:jc w:val="left"/>
              <w:rPr>
                <w:bCs/>
                <w:sz w:val="16"/>
                <w:szCs w:val="16"/>
              </w:rPr>
            </w:pPr>
            <w:r w:rsidRPr="007F014B">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712C0B12" w:rsidR="00D93016" w:rsidRPr="00110A4A" w:rsidRDefault="00D93016" w:rsidP="00D93016">
            <w:pPr>
              <w:tabs>
                <w:tab w:val="decimal" w:pos="547"/>
              </w:tabs>
              <w:jc w:val="left"/>
              <w:rPr>
                <w:color w:val="000000"/>
                <w:sz w:val="16"/>
                <w:szCs w:val="16"/>
              </w:rPr>
            </w:pPr>
            <w:r>
              <w:rPr>
                <w:color w:val="000000"/>
                <w:sz w:val="16"/>
                <w:szCs w:val="16"/>
              </w:rPr>
              <w:t>18.6</w:t>
            </w:r>
          </w:p>
        </w:tc>
        <w:tc>
          <w:tcPr>
            <w:tcW w:w="942" w:type="dxa"/>
            <w:tcBorders>
              <w:top w:val="nil"/>
              <w:left w:val="nil"/>
              <w:bottom w:val="nil"/>
              <w:right w:val="nil"/>
            </w:tcBorders>
            <w:shd w:val="clear" w:color="auto" w:fill="auto"/>
            <w:noWrap/>
            <w:vAlign w:val="center"/>
          </w:tcPr>
          <w:p w14:paraId="713C4591" w14:textId="563F3753" w:rsidR="00D93016" w:rsidRPr="00775A59" w:rsidRDefault="00D93016" w:rsidP="00135F34">
            <w:pPr>
              <w:tabs>
                <w:tab w:val="decimal" w:pos="547"/>
              </w:tabs>
              <w:jc w:val="left"/>
              <w:rPr>
                <w:color w:val="000000"/>
                <w:sz w:val="16"/>
                <w:szCs w:val="16"/>
              </w:rPr>
            </w:pPr>
            <w:r>
              <w:rPr>
                <w:color w:val="000000"/>
                <w:sz w:val="16"/>
                <w:szCs w:val="16"/>
              </w:rPr>
              <w:t>2.2</w:t>
            </w:r>
          </w:p>
        </w:tc>
        <w:tc>
          <w:tcPr>
            <w:tcW w:w="1042" w:type="dxa"/>
            <w:tcBorders>
              <w:top w:val="nil"/>
              <w:left w:val="nil"/>
              <w:bottom w:val="nil"/>
              <w:right w:val="single" w:sz="6" w:space="0" w:color="404040"/>
            </w:tcBorders>
            <w:shd w:val="clear" w:color="auto" w:fill="auto"/>
            <w:noWrap/>
            <w:vAlign w:val="center"/>
          </w:tcPr>
          <w:p w14:paraId="3045C3B6" w14:textId="22A61CBB" w:rsidR="00D93016" w:rsidRPr="007F014B" w:rsidRDefault="00D93016" w:rsidP="00D93016">
            <w:pPr>
              <w:tabs>
                <w:tab w:val="decimal" w:pos="508"/>
              </w:tabs>
              <w:jc w:val="left"/>
              <w:rPr>
                <w:color w:val="000000"/>
                <w:sz w:val="16"/>
                <w:szCs w:val="16"/>
              </w:rPr>
            </w:pPr>
            <w:r>
              <w:rPr>
                <w:color w:val="000000"/>
                <w:sz w:val="16"/>
                <w:szCs w:val="16"/>
              </w:rPr>
              <w:t>2.3</w:t>
            </w:r>
          </w:p>
        </w:tc>
        <w:tc>
          <w:tcPr>
            <w:tcW w:w="991" w:type="dxa"/>
            <w:tcBorders>
              <w:top w:val="nil"/>
              <w:left w:val="single" w:sz="6" w:space="0" w:color="404040"/>
              <w:bottom w:val="nil"/>
              <w:right w:val="nil"/>
            </w:tcBorders>
            <w:shd w:val="clear" w:color="auto" w:fill="auto"/>
            <w:noWrap/>
            <w:vAlign w:val="center"/>
          </w:tcPr>
          <w:p w14:paraId="7F71F6A7" w14:textId="02659A22" w:rsidR="00D93016" w:rsidRPr="007F014B" w:rsidRDefault="00D93016" w:rsidP="00D93016">
            <w:pPr>
              <w:tabs>
                <w:tab w:val="decimal" w:pos="508"/>
              </w:tabs>
              <w:jc w:val="left"/>
              <w:rPr>
                <w:color w:val="000000"/>
                <w:sz w:val="16"/>
                <w:szCs w:val="16"/>
              </w:rPr>
            </w:pPr>
            <w:r>
              <w:rPr>
                <w:color w:val="000000"/>
                <w:sz w:val="16"/>
                <w:szCs w:val="16"/>
              </w:rPr>
              <w:t>6.6</w:t>
            </w:r>
          </w:p>
        </w:tc>
        <w:tc>
          <w:tcPr>
            <w:tcW w:w="934" w:type="dxa"/>
            <w:tcBorders>
              <w:top w:val="nil"/>
              <w:left w:val="nil"/>
              <w:bottom w:val="nil"/>
              <w:right w:val="nil"/>
            </w:tcBorders>
            <w:shd w:val="clear" w:color="auto" w:fill="auto"/>
            <w:noWrap/>
            <w:vAlign w:val="center"/>
          </w:tcPr>
          <w:p w14:paraId="52106731" w14:textId="5FCCF939" w:rsidR="00D93016" w:rsidRPr="007F014B" w:rsidRDefault="00D93016" w:rsidP="00D93016">
            <w:pPr>
              <w:tabs>
                <w:tab w:val="decimal" w:pos="547"/>
              </w:tabs>
              <w:jc w:val="left"/>
              <w:rPr>
                <w:color w:val="000000"/>
                <w:sz w:val="16"/>
                <w:szCs w:val="16"/>
              </w:rPr>
            </w:pPr>
            <w:r>
              <w:rPr>
                <w:color w:val="000000"/>
                <w:sz w:val="16"/>
                <w:szCs w:val="16"/>
              </w:rPr>
              <w:t>4.1</w:t>
            </w:r>
          </w:p>
        </w:tc>
        <w:tc>
          <w:tcPr>
            <w:tcW w:w="1050" w:type="dxa"/>
            <w:tcBorders>
              <w:top w:val="nil"/>
              <w:left w:val="nil"/>
              <w:bottom w:val="nil"/>
              <w:right w:val="single" w:sz="8" w:space="0" w:color="404040"/>
            </w:tcBorders>
            <w:shd w:val="clear" w:color="auto" w:fill="auto"/>
            <w:noWrap/>
            <w:vAlign w:val="center"/>
          </w:tcPr>
          <w:p w14:paraId="5A53ACD3" w14:textId="3E48ED98" w:rsidR="00D93016" w:rsidRPr="00457D38"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1.0</w:t>
            </w:r>
          </w:p>
        </w:tc>
      </w:tr>
      <w:tr w:rsidR="00D93016" w:rsidRPr="007F014B" w14:paraId="70148ECF"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D93016" w:rsidRPr="007F014B" w:rsidRDefault="00D93016" w:rsidP="00D93016">
            <w:pPr>
              <w:spacing w:before="20" w:after="20"/>
              <w:ind w:left="97"/>
              <w:jc w:val="left"/>
              <w:rPr>
                <w:bCs/>
                <w:sz w:val="16"/>
                <w:szCs w:val="16"/>
              </w:rPr>
            </w:pPr>
            <w:r w:rsidRPr="007F014B">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3FB21C1A" w:rsidR="00D93016" w:rsidRPr="00110A4A" w:rsidRDefault="00D93016" w:rsidP="00D93016">
            <w:pPr>
              <w:tabs>
                <w:tab w:val="decimal" w:pos="547"/>
              </w:tabs>
              <w:jc w:val="left"/>
              <w:rPr>
                <w:color w:val="000000"/>
                <w:sz w:val="16"/>
                <w:szCs w:val="16"/>
              </w:rPr>
            </w:pPr>
            <w:r>
              <w:rPr>
                <w:color w:val="000000"/>
                <w:sz w:val="16"/>
                <w:szCs w:val="16"/>
              </w:rPr>
              <w:t>19.1</w:t>
            </w:r>
          </w:p>
        </w:tc>
        <w:tc>
          <w:tcPr>
            <w:tcW w:w="942" w:type="dxa"/>
            <w:tcBorders>
              <w:top w:val="nil"/>
              <w:left w:val="nil"/>
              <w:bottom w:val="nil"/>
              <w:right w:val="nil"/>
            </w:tcBorders>
            <w:shd w:val="clear" w:color="auto" w:fill="auto"/>
            <w:noWrap/>
            <w:vAlign w:val="center"/>
          </w:tcPr>
          <w:p w14:paraId="60D2E44A" w14:textId="508152E9" w:rsidR="00D93016" w:rsidRPr="00775A59" w:rsidRDefault="00D93016" w:rsidP="00D93016">
            <w:pPr>
              <w:tabs>
                <w:tab w:val="decimal" w:pos="547"/>
              </w:tabs>
              <w:jc w:val="left"/>
              <w:rPr>
                <w:color w:val="000000"/>
                <w:sz w:val="16"/>
                <w:szCs w:val="16"/>
              </w:rPr>
            </w:pPr>
            <w:r>
              <w:rPr>
                <w:color w:val="000000"/>
                <w:sz w:val="16"/>
                <w:szCs w:val="16"/>
              </w:rPr>
              <w:t>7.0</w:t>
            </w:r>
          </w:p>
        </w:tc>
        <w:tc>
          <w:tcPr>
            <w:tcW w:w="1042" w:type="dxa"/>
            <w:tcBorders>
              <w:top w:val="nil"/>
              <w:left w:val="nil"/>
              <w:bottom w:val="nil"/>
              <w:right w:val="single" w:sz="6" w:space="0" w:color="404040"/>
            </w:tcBorders>
            <w:shd w:val="clear" w:color="auto" w:fill="auto"/>
            <w:noWrap/>
            <w:vAlign w:val="center"/>
          </w:tcPr>
          <w:p w14:paraId="158CDCB4" w14:textId="6DF2F03F" w:rsidR="00D93016" w:rsidRPr="007F014B" w:rsidRDefault="00D93016" w:rsidP="00D93016">
            <w:pPr>
              <w:tabs>
                <w:tab w:val="decimal" w:pos="508"/>
              </w:tabs>
              <w:jc w:val="left"/>
              <w:rPr>
                <w:color w:val="000000"/>
                <w:sz w:val="16"/>
                <w:szCs w:val="16"/>
              </w:rPr>
            </w:pPr>
            <w:r>
              <w:rPr>
                <w:color w:val="000000"/>
                <w:sz w:val="16"/>
                <w:szCs w:val="16"/>
              </w:rPr>
              <w:t>0.5</w:t>
            </w:r>
          </w:p>
        </w:tc>
        <w:tc>
          <w:tcPr>
            <w:tcW w:w="991" w:type="dxa"/>
            <w:tcBorders>
              <w:top w:val="nil"/>
              <w:left w:val="single" w:sz="6" w:space="0" w:color="404040"/>
              <w:bottom w:val="nil"/>
              <w:right w:val="nil"/>
            </w:tcBorders>
            <w:shd w:val="clear" w:color="auto" w:fill="auto"/>
            <w:noWrap/>
            <w:vAlign w:val="center"/>
          </w:tcPr>
          <w:p w14:paraId="57FB957E" w14:textId="4026A1D8" w:rsidR="00D93016" w:rsidRPr="007F014B" w:rsidRDefault="00D93016" w:rsidP="00D93016">
            <w:pPr>
              <w:tabs>
                <w:tab w:val="decimal" w:pos="508"/>
              </w:tabs>
              <w:jc w:val="left"/>
              <w:rPr>
                <w:color w:val="000000"/>
                <w:sz w:val="16"/>
                <w:szCs w:val="16"/>
              </w:rPr>
            </w:pPr>
            <w:r>
              <w:rPr>
                <w:color w:val="000000"/>
                <w:sz w:val="16"/>
                <w:szCs w:val="16"/>
              </w:rPr>
              <w:t>6.1</w:t>
            </w:r>
          </w:p>
        </w:tc>
        <w:tc>
          <w:tcPr>
            <w:tcW w:w="934" w:type="dxa"/>
            <w:tcBorders>
              <w:top w:val="nil"/>
              <w:left w:val="nil"/>
              <w:bottom w:val="nil"/>
              <w:right w:val="nil"/>
            </w:tcBorders>
            <w:shd w:val="clear" w:color="auto" w:fill="auto"/>
            <w:noWrap/>
            <w:vAlign w:val="center"/>
          </w:tcPr>
          <w:p w14:paraId="69A2F423" w14:textId="2FD42E3B" w:rsidR="00D93016" w:rsidRPr="007F014B" w:rsidRDefault="00D93016" w:rsidP="00D93016">
            <w:pPr>
              <w:tabs>
                <w:tab w:val="decimal" w:pos="547"/>
              </w:tabs>
              <w:jc w:val="left"/>
              <w:rPr>
                <w:color w:val="000000"/>
                <w:sz w:val="16"/>
                <w:szCs w:val="16"/>
              </w:rPr>
            </w:pPr>
            <w:r>
              <w:rPr>
                <w:color w:val="000000"/>
                <w:sz w:val="16"/>
                <w:szCs w:val="16"/>
              </w:rPr>
              <w:t>1.7</w:t>
            </w:r>
          </w:p>
        </w:tc>
        <w:tc>
          <w:tcPr>
            <w:tcW w:w="1050" w:type="dxa"/>
            <w:tcBorders>
              <w:top w:val="nil"/>
              <w:left w:val="nil"/>
              <w:bottom w:val="nil"/>
              <w:right w:val="single" w:sz="8" w:space="0" w:color="404040"/>
            </w:tcBorders>
            <w:shd w:val="clear" w:color="auto" w:fill="auto"/>
            <w:noWrap/>
            <w:vAlign w:val="center"/>
          </w:tcPr>
          <w:p w14:paraId="2B7CDC1A" w14:textId="2D85345B" w:rsidR="00D93016" w:rsidRPr="007F014B" w:rsidRDefault="00D93016" w:rsidP="00135F34">
            <w:pPr>
              <w:tabs>
                <w:tab w:val="decimal" w:pos="547"/>
              </w:tabs>
              <w:jc w:val="left"/>
              <w:rPr>
                <w:color w:val="000000"/>
                <w:sz w:val="16"/>
                <w:szCs w:val="16"/>
              </w:rPr>
            </w:pPr>
            <w:r>
              <w:rPr>
                <w:color w:val="000000"/>
                <w:sz w:val="16"/>
                <w:szCs w:val="16"/>
              </w:rPr>
              <w:t>4.5</w:t>
            </w:r>
          </w:p>
        </w:tc>
      </w:tr>
      <w:tr w:rsidR="00D93016" w:rsidRPr="007F014B" w14:paraId="0B357A9F"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D93016" w:rsidRPr="007F014B" w:rsidRDefault="00D93016" w:rsidP="00D93016">
            <w:pPr>
              <w:spacing w:before="20" w:after="20"/>
              <w:ind w:left="97"/>
              <w:jc w:val="left"/>
              <w:rPr>
                <w:bCs/>
                <w:sz w:val="16"/>
                <w:szCs w:val="16"/>
              </w:rPr>
            </w:pPr>
            <w:r w:rsidRPr="007F014B">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015F958F" w:rsidR="00D93016" w:rsidRPr="00110A4A" w:rsidRDefault="00D93016" w:rsidP="00135F34">
            <w:pPr>
              <w:tabs>
                <w:tab w:val="decimal" w:pos="547"/>
              </w:tabs>
              <w:jc w:val="left"/>
              <w:rPr>
                <w:color w:val="000000"/>
                <w:sz w:val="16"/>
                <w:szCs w:val="16"/>
              </w:rPr>
            </w:pPr>
            <w:r>
              <w:rPr>
                <w:color w:val="000000"/>
                <w:sz w:val="16"/>
                <w:szCs w:val="16"/>
              </w:rPr>
              <w:t>3.3</w:t>
            </w:r>
          </w:p>
        </w:tc>
        <w:tc>
          <w:tcPr>
            <w:tcW w:w="942" w:type="dxa"/>
            <w:tcBorders>
              <w:top w:val="nil"/>
              <w:left w:val="nil"/>
              <w:bottom w:val="nil"/>
              <w:right w:val="nil"/>
            </w:tcBorders>
            <w:shd w:val="clear" w:color="auto" w:fill="auto"/>
            <w:noWrap/>
            <w:vAlign w:val="center"/>
          </w:tcPr>
          <w:p w14:paraId="604F4EB7" w14:textId="56A44AB6" w:rsidR="00D93016" w:rsidRPr="00775A59" w:rsidRDefault="00D93016" w:rsidP="00D93016">
            <w:pPr>
              <w:tabs>
                <w:tab w:val="decimal" w:pos="547"/>
              </w:tabs>
              <w:jc w:val="left"/>
              <w:rPr>
                <w:color w:val="000000"/>
                <w:sz w:val="16"/>
                <w:szCs w:val="16"/>
              </w:rPr>
            </w:pPr>
            <w:r>
              <w:rPr>
                <w:color w:val="000000"/>
                <w:sz w:val="16"/>
                <w:szCs w:val="16"/>
              </w:rPr>
              <w:t>3.2</w:t>
            </w:r>
          </w:p>
        </w:tc>
        <w:tc>
          <w:tcPr>
            <w:tcW w:w="1042" w:type="dxa"/>
            <w:tcBorders>
              <w:top w:val="nil"/>
              <w:left w:val="nil"/>
              <w:bottom w:val="nil"/>
              <w:right w:val="single" w:sz="6" w:space="0" w:color="404040"/>
            </w:tcBorders>
            <w:shd w:val="clear" w:color="auto" w:fill="auto"/>
            <w:noWrap/>
            <w:vAlign w:val="center"/>
          </w:tcPr>
          <w:p w14:paraId="5D8BA7DB" w14:textId="75BC9D23" w:rsidR="00D93016" w:rsidRPr="007F014B" w:rsidRDefault="00D93016" w:rsidP="00D93016">
            <w:pPr>
              <w:tabs>
                <w:tab w:val="decimal" w:pos="508"/>
              </w:tabs>
              <w:jc w:val="left"/>
              <w:rPr>
                <w:color w:val="000000"/>
                <w:sz w:val="16"/>
                <w:szCs w:val="16"/>
              </w:rPr>
            </w:pPr>
            <w:r>
              <w:rPr>
                <w:color w:val="000000"/>
                <w:sz w:val="16"/>
                <w:szCs w:val="16"/>
              </w:rPr>
              <w:t>0.9</w:t>
            </w:r>
          </w:p>
        </w:tc>
        <w:tc>
          <w:tcPr>
            <w:tcW w:w="991" w:type="dxa"/>
            <w:tcBorders>
              <w:top w:val="nil"/>
              <w:left w:val="single" w:sz="6" w:space="0" w:color="404040"/>
              <w:bottom w:val="nil"/>
              <w:right w:val="nil"/>
            </w:tcBorders>
            <w:shd w:val="clear" w:color="auto" w:fill="auto"/>
            <w:noWrap/>
            <w:vAlign w:val="center"/>
          </w:tcPr>
          <w:p w14:paraId="51B3738B" w14:textId="420536AD" w:rsidR="00D93016" w:rsidRPr="007F014B" w:rsidRDefault="00D93016" w:rsidP="00D93016">
            <w:pPr>
              <w:tabs>
                <w:tab w:val="decimal" w:pos="508"/>
              </w:tabs>
              <w:jc w:val="left"/>
              <w:rPr>
                <w:color w:val="000000"/>
                <w:sz w:val="16"/>
                <w:szCs w:val="16"/>
              </w:rPr>
            </w:pPr>
            <w:r>
              <w:rPr>
                <w:color w:val="000000"/>
                <w:sz w:val="16"/>
                <w:szCs w:val="16"/>
              </w:rPr>
              <w:t>7.2</w:t>
            </w:r>
          </w:p>
        </w:tc>
        <w:tc>
          <w:tcPr>
            <w:tcW w:w="934" w:type="dxa"/>
            <w:tcBorders>
              <w:top w:val="nil"/>
              <w:left w:val="nil"/>
              <w:bottom w:val="nil"/>
              <w:right w:val="nil"/>
            </w:tcBorders>
            <w:shd w:val="clear" w:color="auto" w:fill="auto"/>
            <w:noWrap/>
            <w:vAlign w:val="center"/>
          </w:tcPr>
          <w:p w14:paraId="6C64866B" w14:textId="33823B01" w:rsidR="00D93016" w:rsidRPr="007F014B" w:rsidRDefault="00D93016" w:rsidP="00D93016">
            <w:pPr>
              <w:tabs>
                <w:tab w:val="decimal" w:pos="547"/>
              </w:tabs>
              <w:jc w:val="left"/>
              <w:rPr>
                <w:color w:val="000000"/>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6785986D" w14:textId="79A563A9" w:rsidR="00D93016" w:rsidRPr="007F014B" w:rsidRDefault="00D93016" w:rsidP="00D93016">
            <w:pPr>
              <w:tabs>
                <w:tab w:val="decimal" w:pos="547"/>
              </w:tabs>
              <w:jc w:val="left"/>
              <w:rPr>
                <w:color w:val="000000"/>
                <w:sz w:val="16"/>
                <w:szCs w:val="16"/>
              </w:rPr>
            </w:pPr>
            <w:r>
              <w:rPr>
                <w:color w:val="000000"/>
                <w:sz w:val="16"/>
                <w:szCs w:val="16"/>
              </w:rPr>
              <w:t>3.8</w:t>
            </w:r>
          </w:p>
        </w:tc>
      </w:tr>
      <w:tr w:rsidR="00D93016" w:rsidRPr="007F014B" w14:paraId="6CBD1E1B"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D93016" w:rsidRPr="007F014B" w:rsidRDefault="00D93016" w:rsidP="00D93016">
            <w:pPr>
              <w:spacing w:before="20" w:after="20"/>
              <w:ind w:left="97"/>
              <w:jc w:val="left"/>
              <w:rPr>
                <w:bCs/>
                <w:sz w:val="16"/>
                <w:szCs w:val="16"/>
              </w:rPr>
            </w:pPr>
            <w:r w:rsidRPr="007F014B">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796F5AD7" w:rsidR="00D93016" w:rsidRPr="00110A4A" w:rsidRDefault="00D93016" w:rsidP="00D93016">
            <w:pPr>
              <w:tabs>
                <w:tab w:val="decimal" w:pos="547"/>
              </w:tabs>
              <w:jc w:val="left"/>
              <w:rPr>
                <w:color w:val="000000"/>
                <w:sz w:val="16"/>
                <w:szCs w:val="16"/>
              </w:rPr>
            </w:pPr>
            <w:r>
              <w:rPr>
                <w:color w:val="000000"/>
                <w:sz w:val="16"/>
                <w:szCs w:val="16"/>
              </w:rPr>
              <w:t>1.2</w:t>
            </w:r>
          </w:p>
        </w:tc>
        <w:tc>
          <w:tcPr>
            <w:tcW w:w="942" w:type="dxa"/>
            <w:tcBorders>
              <w:top w:val="nil"/>
              <w:left w:val="nil"/>
              <w:bottom w:val="nil"/>
              <w:right w:val="nil"/>
            </w:tcBorders>
            <w:shd w:val="clear" w:color="auto" w:fill="auto"/>
            <w:noWrap/>
            <w:vAlign w:val="center"/>
          </w:tcPr>
          <w:p w14:paraId="14A7F4B3" w14:textId="50C01307"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0.6</w:t>
            </w:r>
          </w:p>
        </w:tc>
        <w:tc>
          <w:tcPr>
            <w:tcW w:w="1042" w:type="dxa"/>
            <w:tcBorders>
              <w:top w:val="nil"/>
              <w:left w:val="nil"/>
              <w:bottom w:val="nil"/>
              <w:right w:val="single" w:sz="6" w:space="0" w:color="404040"/>
            </w:tcBorders>
            <w:shd w:val="clear" w:color="auto" w:fill="auto"/>
            <w:noWrap/>
            <w:vAlign w:val="center"/>
          </w:tcPr>
          <w:p w14:paraId="0A632F9A" w14:textId="40923194" w:rsidR="00D93016" w:rsidRPr="007F014B" w:rsidRDefault="00D93016" w:rsidP="00D93016">
            <w:pPr>
              <w:tabs>
                <w:tab w:val="decimal" w:pos="508"/>
              </w:tabs>
              <w:jc w:val="left"/>
              <w:rPr>
                <w:color w:val="000000"/>
                <w:sz w:val="16"/>
                <w:szCs w:val="16"/>
              </w:rPr>
            </w:pPr>
            <w:r>
              <w:rPr>
                <w:color w:val="000000"/>
                <w:sz w:val="16"/>
                <w:szCs w:val="16"/>
              </w:rPr>
              <w:t>1.6</w:t>
            </w:r>
          </w:p>
        </w:tc>
        <w:tc>
          <w:tcPr>
            <w:tcW w:w="991" w:type="dxa"/>
            <w:tcBorders>
              <w:top w:val="nil"/>
              <w:left w:val="single" w:sz="6" w:space="0" w:color="404040"/>
              <w:bottom w:val="nil"/>
              <w:right w:val="nil"/>
            </w:tcBorders>
            <w:shd w:val="clear" w:color="auto" w:fill="auto"/>
            <w:noWrap/>
            <w:vAlign w:val="center"/>
          </w:tcPr>
          <w:p w14:paraId="1A25DFBE" w14:textId="22EEDA59" w:rsidR="00D93016" w:rsidRPr="007F014B" w:rsidRDefault="00D93016" w:rsidP="00D93016">
            <w:pPr>
              <w:tabs>
                <w:tab w:val="decimal" w:pos="508"/>
              </w:tabs>
              <w:jc w:val="left"/>
              <w:rPr>
                <w:color w:val="000000"/>
                <w:sz w:val="16"/>
                <w:szCs w:val="16"/>
              </w:rPr>
            </w:pPr>
            <w:r>
              <w:rPr>
                <w:color w:val="000000"/>
                <w:sz w:val="16"/>
                <w:szCs w:val="16"/>
              </w:rPr>
              <w:t>4.6</w:t>
            </w:r>
          </w:p>
        </w:tc>
        <w:tc>
          <w:tcPr>
            <w:tcW w:w="934" w:type="dxa"/>
            <w:tcBorders>
              <w:top w:val="nil"/>
              <w:left w:val="nil"/>
              <w:bottom w:val="nil"/>
              <w:right w:val="nil"/>
            </w:tcBorders>
            <w:shd w:val="clear" w:color="auto" w:fill="auto"/>
            <w:noWrap/>
            <w:vAlign w:val="center"/>
          </w:tcPr>
          <w:p w14:paraId="3A0549BA" w14:textId="3D918D6E" w:rsidR="00D93016" w:rsidRPr="007F014B" w:rsidRDefault="00D93016" w:rsidP="00D93016">
            <w:pPr>
              <w:tabs>
                <w:tab w:val="decimal" w:pos="547"/>
              </w:tabs>
              <w:jc w:val="left"/>
              <w:rPr>
                <w:color w:val="000000"/>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7EA25E8" w14:textId="4D0354F7" w:rsidR="00D93016" w:rsidRPr="007F014B" w:rsidRDefault="00D93016" w:rsidP="00135F34">
            <w:pPr>
              <w:tabs>
                <w:tab w:val="decimal" w:pos="547"/>
              </w:tabs>
              <w:jc w:val="left"/>
              <w:rPr>
                <w:color w:val="000000"/>
                <w:sz w:val="16"/>
                <w:szCs w:val="16"/>
              </w:rPr>
            </w:pPr>
            <w:r>
              <w:rPr>
                <w:color w:val="000000"/>
                <w:sz w:val="16"/>
                <w:szCs w:val="16"/>
              </w:rPr>
              <w:t>3.6</w:t>
            </w:r>
          </w:p>
        </w:tc>
      </w:tr>
      <w:tr w:rsidR="00D93016" w:rsidRPr="007F014B" w14:paraId="273263B7"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D93016" w:rsidRPr="007F014B" w:rsidRDefault="00D93016" w:rsidP="00D93016">
            <w:pPr>
              <w:spacing w:before="20" w:after="20"/>
              <w:ind w:left="97"/>
              <w:jc w:val="left"/>
              <w:rPr>
                <w:bCs/>
                <w:sz w:val="16"/>
                <w:szCs w:val="16"/>
              </w:rPr>
            </w:pPr>
            <w:r w:rsidRPr="007F014B">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5A97E793" w:rsidR="00D93016" w:rsidRPr="00110A4A" w:rsidRDefault="00D93016" w:rsidP="00D93016">
            <w:pPr>
              <w:tabs>
                <w:tab w:val="decimal" w:pos="547"/>
              </w:tabs>
              <w:jc w:val="left"/>
              <w:rPr>
                <w:color w:val="000000"/>
                <w:sz w:val="16"/>
                <w:szCs w:val="16"/>
              </w:rPr>
            </w:pPr>
            <w:r>
              <w:rPr>
                <w:color w:val="000000"/>
                <w:sz w:val="16"/>
                <w:szCs w:val="16"/>
              </w:rPr>
              <w:t>5.3</w:t>
            </w:r>
          </w:p>
        </w:tc>
        <w:tc>
          <w:tcPr>
            <w:tcW w:w="942" w:type="dxa"/>
            <w:tcBorders>
              <w:top w:val="nil"/>
              <w:left w:val="nil"/>
              <w:bottom w:val="nil"/>
              <w:right w:val="nil"/>
            </w:tcBorders>
            <w:shd w:val="clear" w:color="auto" w:fill="auto"/>
            <w:noWrap/>
            <w:vAlign w:val="center"/>
          </w:tcPr>
          <w:p w14:paraId="1623B186" w14:textId="43FFD7CF" w:rsidR="00D93016" w:rsidRPr="00775A59" w:rsidRDefault="00D93016" w:rsidP="00D93016">
            <w:pPr>
              <w:tabs>
                <w:tab w:val="decimal" w:pos="547"/>
              </w:tabs>
              <w:jc w:val="left"/>
              <w:rPr>
                <w:color w:val="000000"/>
                <w:sz w:val="16"/>
                <w:szCs w:val="16"/>
              </w:rPr>
            </w:pPr>
            <w:r>
              <w:rPr>
                <w:color w:val="000000"/>
                <w:sz w:val="16"/>
                <w:szCs w:val="16"/>
              </w:rPr>
              <w:t>2.9</w:t>
            </w:r>
          </w:p>
        </w:tc>
        <w:tc>
          <w:tcPr>
            <w:tcW w:w="1042" w:type="dxa"/>
            <w:tcBorders>
              <w:top w:val="nil"/>
              <w:left w:val="nil"/>
              <w:bottom w:val="nil"/>
              <w:right w:val="single" w:sz="6" w:space="0" w:color="404040"/>
            </w:tcBorders>
            <w:shd w:val="clear" w:color="auto" w:fill="auto"/>
            <w:noWrap/>
            <w:vAlign w:val="center"/>
          </w:tcPr>
          <w:p w14:paraId="725E1BE5" w14:textId="29C7996C" w:rsidR="00D93016" w:rsidRPr="007F014B" w:rsidRDefault="00D93016" w:rsidP="00D93016">
            <w:pPr>
              <w:tabs>
                <w:tab w:val="decimal" w:pos="508"/>
              </w:tabs>
              <w:jc w:val="left"/>
              <w:rPr>
                <w:color w:val="000000"/>
                <w:sz w:val="16"/>
                <w:szCs w:val="16"/>
              </w:rPr>
            </w:pPr>
            <w:r>
              <w:rPr>
                <w:color w:val="000000"/>
                <w:sz w:val="16"/>
                <w:szCs w:val="16"/>
              </w:rPr>
              <w:t>10.1</w:t>
            </w:r>
          </w:p>
        </w:tc>
        <w:tc>
          <w:tcPr>
            <w:tcW w:w="991" w:type="dxa"/>
            <w:tcBorders>
              <w:top w:val="nil"/>
              <w:left w:val="single" w:sz="6" w:space="0" w:color="404040"/>
              <w:bottom w:val="nil"/>
              <w:right w:val="nil"/>
            </w:tcBorders>
            <w:shd w:val="clear" w:color="auto" w:fill="auto"/>
            <w:noWrap/>
            <w:vAlign w:val="center"/>
          </w:tcPr>
          <w:p w14:paraId="1F612591" w14:textId="7D4FBCF5" w:rsidR="00D93016" w:rsidRPr="007F014B" w:rsidRDefault="00D93016" w:rsidP="00D93016">
            <w:pPr>
              <w:tabs>
                <w:tab w:val="decimal" w:pos="508"/>
              </w:tabs>
              <w:jc w:val="left"/>
              <w:rPr>
                <w:color w:val="000000"/>
                <w:sz w:val="16"/>
                <w:szCs w:val="16"/>
              </w:rPr>
            </w:pPr>
            <w:r>
              <w:rPr>
                <w:color w:val="000000"/>
                <w:sz w:val="16"/>
                <w:szCs w:val="16"/>
              </w:rPr>
              <w:t>11.1</w:t>
            </w:r>
          </w:p>
        </w:tc>
        <w:tc>
          <w:tcPr>
            <w:tcW w:w="934" w:type="dxa"/>
            <w:tcBorders>
              <w:top w:val="nil"/>
              <w:left w:val="nil"/>
              <w:bottom w:val="nil"/>
              <w:right w:val="nil"/>
            </w:tcBorders>
            <w:shd w:val="clear" w:color="auto" w:fill="auto"/>
            <w:noWrap/>
            <w:vAlign w:val="center"/>
          </w:tcPr>
          <w:p w14:paraId="6CEAEB70" w14:textId="5F53A100" w:rsidR="00D93016" w:rsidRPr="007F014B" w:rsidRDefault="00D93016" w:rsidP="00D93016">
            <w:pPr>
              <w:tabs>
                <w:tab w:val="decimal" w:pos="547"/>
              </w:tabs>
              <w:jc w:val="left"/>
              <w:rPr>
                <w:color w:val="000000"/>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0B5717A2" w14:textId="10881A42" w:rsidR="00D93016" w:rsidRPr="007F014B" w:rsidRDefault="00D93016" w:rsidP="00D93016">
            <w:pPr>
              <w:tabs>
                <w:tab w:val="decimal" w:pos="547"/>
              </w:tabs>
              <w:jc w:val="left"/>
              <w:rPr>
                <w:color w:val="000000"/>
                <w:sz w:val="16"/>
                <w:szCs w:val="16"/>
              </w:rPr>
            </w:pPr>
            <w:r>
              <w:rPr>
                <w:color w:val="000000"/>
                <w:sz w:val="16"/>
                <w:szCs w:val="16"/>
              </w:rPr>
              <w:t>2.1</w:t>
            </w:r>
          </w:p>
        </w:tc>
      </w:tr>
      <w:tr w:rsidR="00D93016" w:rsidRPr="007F014B" w14:paraId="2891A770"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D93016" w:rsidRPr="007F014B" w:rsidRDefault="00D93016" w:rsidP="00D93016">
            <w:pPr>
              <w:spacing w:before="20" w:after="20"/>
              <w:ind w:left="97"/>
              <w:jc w:val="left"/>
              <w:rPr>
                <w:bCs/>
                <w:sz w:val="16"/>
                <w:szCs w:val="16"/>
              </w:rPr>
            </w:pPr>
            <w:r w:rsidRPr="007F014B">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10EC5B20" w:rsidR="00D93016" w:rsidRPr="00110A4A" w:rsidRDefault="00D93016" w:rsidP="00D93016">
            <w:pPr>
              <w:tabs>
                <w:tab w:val="decimal" w:pos="547"/>
              </w:tabs>
              <w:jc w:val="left"/>
              <w:rPr>
                <w:color w:val="000000"/>
                <w:sz w:val="16"/>
                <w:szCs w:val="16"/>
              </w:rPr>
            </w:pPr>
            <w:r>
              <w:rPr>
                <w:color w:val="000000"/>
                <w:sz w:val="16"/>
                <w:szCs w:val="16"/>
              </w:rPr>
              <w:t>21.0</w:t>
            </w:r>
          </w:p>
        </w:tc>
        <w:tc>
          <w:tcPr>
            <w:tcW w:w="942" w:type="dxa"/>
            <w:tcBorders>
              <w:top w:val="nil"/>
              <w:left w:val="nil"/>
              <w:bottom w:val="nil"/>
              <w:right w:val="nil"/>
            </w:tcBorders>
            <w:shd w:val="clear" w:color="auto" w:fill="auto"/>
            <w:noWrap/>
            <w:vAlign w:val="center"/>
          </w:tcPr>
          <w:p w14:paraId="2A4AAD2C" w14:textId="38EE1743" w:rsidR="00D93016" w:rsidRPr="00775A59" w:rsidRDefault="00D93016" w:rsidP="00135F34">
            <w:pPr>
              <w:tabs>
                <w:tab w:val="decimal" w:pos="547"/>
              </w:tabs>
              <w:jc w:val="left"/>
              <w:rPr>
                <w:color w:val="000000"/>
                <w:sz w:val="16"/>
                <w:szCs w:val="16"/>
              </w:rPr>
            </w:pPr>
            <w:r>
              <w:rPr>
                <w:color w:val="000000"/>
                <w:sz w:val="16"/>
                <w:szCs w:val="16"/>
              </w:rPr>
              <w:t>1.3</w:t>
            </w:r>
          </w:p>
        </w:tc>
        <w:tc>
          <w:tcPr>
            <w:tcW w:w="1042" w:type="dxa"/>
            <w:tcBorders>
              <w:top w:val="nil"/>
              <w:left w:val="nil"/>
              <w:bottom w:val="nil"/>
              <w:right w:val="single" w:sz="6" w:space="0" w:color="404040"/>
            </w:tcBorders>
            <w:shd w:val="clear" w:color="auto" w:fill="auto"/>
            <w:noWrap/>
            <w:vAlign w:val="center"/>
          </w:tcPr>
          <w:p w14:paraId="0DE24B20" w14:textId="7A33445F" w:rsidR="00D93016" w:rsidRPr="007F014B" w:rsidRDefault="00D93016" w:rsidP="00D93016">
            <w:pPr>
              <w:tabs>
                <w:tab w:val="decimal" w:pos="508"/>
              </w:tabs>
              <w:jc w:val="left"/>
              <w:rPr>
                <w:color w:val="000000"/>
                <w:sz w:val="16"/>
                <w:szCs w:val="16"/>
              </w:rPr>
            </w:pPr>
            <w:r>
              <w:rPr>
                <w:color w:val="000000"/>
                <w:sz w:val="16"/>
                <w:szCs w:val="16"/>
              </w:rPr>
              <w:t>3.7</w:t>
            </w:r>
          </w:p>
        </w:tc>
        <w:tc>
          <w:tcPr>
            <w:tcW w:w="991" w:type="dxa"/>
            <w:tcBorders>
              <w:top w:val="nil"/>
              <w:left w:val="single" w:sz="6" w:space="0" w:color="404040"/>
              <w:bottom w:val="nil"/>
              <w:right w:val="nil"/>
            </w:tcBorders>
            <w:shd w:val="clear" w:color="auto" w:fill="auto"/>
            <w:noWrap/>
            <w:vAlign w:val="center"/>
          </w:tcPr>
          <w:p w14:paraId="3D68D1CF" w14:textId="29CE2D2D" w:rsidR="00D93016" w:rsidRPr="007F014B" w:rsidRDefault="00D93016" w:rsidP="00D93016">
            <w:pPr>
              <w:tabs>
                <w:tab w:val="decimal" w:pos="508"/>
              </w:tabs>
              <w:jc w:val="left"/>
              <w:rPr>
                <w:color w:val="000000"/>
                <w:sz w:val="16"/>
                <w:szCs w:val="16"/>
              </w:rPr>
            </w:pPr>
            <w:r>
              <w:rPr>
                <w:color w:val="000000"/>
                <w:sz w:val="16"/>
                <w:szCs w:val="16"/>
              </w:rPr>
              <w:t>12.6</w:t>
            </w:r>
          </w:p>
        </w:tc>
        <w:tc>
          <w:tcPr>
            <w:tcW w:w="934" w:type="dxa"/>
            <w:tcBorders>
              <w:top w:val="nil"/>
              <w:left w:val="nil"/>
              <w:bottom w:val="nil"/>
              <w:right w:val="nil"/>
            </w:tcBorders>
            <w:shd w:val="clear" w:color="auto" w:fill="auto"/>
            <w:noWrap/>
            <w:vAlign w:val="center"/>
          </w:tcPr>
          <w:p w14:paraId="7945BB1A" w14:textId="72F43D1D" w:rsidR="00D93016" w:rsidRPr="007F014B" w:rsidRDefault="00D93016" w:rsidP="00D93016">
            <w:pPr>
              <w:tabs>
                <w:tab w:val="decimal" w:pos="547"/>
              </w:tabs>
              <w:jc w:val="left"/>
              <w:rPr>
                <w:color w:val="000000"/>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0327CA89" w14:textId="15B56B0E" w:rsidR="00D93016" w:rsidRPr="007F014B" w:rsidRDefault="00D93016" w:rsidP="00D93016">
            <w:pPr>
              <w:tabs>
                <w:tab w:val="decimal" w:pos="547"/>
              </w:tabs>
              <w:jc w:val="left"/>
              <w:rPr>
                <w:color w:val="000000"/>
                <w:sz w:val="16"/>
                <w:szCs w:val="16"/>
              </w:rPr>
            </w:pPr>
            <w:r>
              <w:rPr>
                <w:color w:val="000000"/>
                <w:sz w:val="16"/>
                <w:szCs w:val="16"/>
              </w:rPr>
              <w:t>6.7</w:t>
            </w:r>
          </w:p>
        </w:tc>
      </w:tr>
      <w:tr w:rsidR="00D93016" w:rsidRPr="007F014B" w14:paraId="256F54F8"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D93016" w:rsidRPr="007F014B" w:rsidRDefault="00D93016" w:rsidP="00D93016">
            <w:pPr>
              <w:spacing w:before="20" w:after="20"/>
              <w:ind w:left="97"/>
              <w:jc w:val="left"/>
              <w:rPr>
                <w:bCs/>
                <w:sz w:val="16"/>
                <w:szCs w:val="16"/>
              </w:rPr>
            </w:pPr>
            <w:r w:rsidRPr="007F014B">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0718C644" w:rsidR="00D93016" w:rsidRPr="00110A4A" w:rsidRDefault="00D93016" w:rsidP="00D93016">
            <w:pPr>
              <w:tabs>
                <w:tab w:val="decimal" w:pos="547"/>
              </w:tabs>
              <w:jc w:val="left"/>
              <w:rPr>
                <w:color w:val="000000"/>
                <w:sz w:val="16"/>
                <w:szCs w:val="16"/>
              </w:rPr>
            </w:pPr>
            <w:r>
              <w:rPr>
                <w:color w:val="000000"/>
                <w:sz w:val="16"/>
                <w:szCs w:val="16"/>
              </w:rPr>
              <w:t>4.3</w:t>
            </w:r>
          </w:p>
        </w:tc>
        <w:tc>
          <w:tcPr>
            <w:tcW w:w="942" w:type="dxa"/>
            <w:tcBorders>
              <w:top w:val="nil"/>
              <w:left w:val="nil"/>
              <w:bottom w:val="nil"/>
              <w:right w:val="nil"/>
            </w:tcBorders>
            <w:shd w:val="clear" w:color="auto" w:fill="auto"/>
            <w:noWrap/>
            <w:vAlign w:val="center"/>
          </w:tcPr>
          <w:p w14:paraId="36C899B4" w14:textId="624A0CF3" w:rsidR="00D93016" w:rsidRPr="00775A59"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0.6</w:t>
            </w:r>
          </w:p>
        </w:tc>
        <w:tc>
          <w:tcPr>
            <w:tcW w:w="1042" w:type="dxa"/>
            <w:tcBorders>
              <w:top w:val="nil"/>
              <w:left w:val="nil"/>
              <w:bottom w:val="nil"/>
              <w:right w:val="single" w:sz="6" w:space="0" w:color="404040"/>
            </w:tcBorders>
            <w:shd w:val="clear" w:color="auto" w:fill="auto"/>
            <w:noWrap/>
            <w:vAlign w:val="center"/>
          </w:tcPr>
          <w:p w14:paraId="48BD6EC0" w14:textId="5C2B23B7" w:rsidR="00D93016" w:rsidRPr="007F014B" w:rsidRDefault="00D93016" w:rsidP="00D93016">
            <w:pPr>
              <w:tabs>
                <w:tab w:val="decimal" w:pos="508"/>
              </w:tabs>
              <w:jc w:val="left"/>
              <w:rPr>
                <w:color w:val="000000"/>
                <w:sz w:val="16"/>
                <w:szCs w:val="16"/>
              </w:rPr>
            </w:pPr>
            <w:r>
              <w:rPr>
                <w:color w:val="000000"/>
                <w:sz w:val="16"/>
                <w:szCs w:val="16"/>
              </w:rPr>
              <w:t>2.4</w:t>
            </w:r>
          </w:p>
        </w:tc>
        <w:tc>
          <w:tcPr>
            <w:tcW w:w="991" w:type="dxa"/>
            <w:tcBorders>
              <w:top w:val="nil"/>
              <w:left w:val="single" w:sz="6" w:space="0" w:color="404040"/>
              <w:bottom w:val="nil"/>
              <w:right w:val="nil"/>
            </w:tcBorders>
            <w:shd w:val="clear" w:color="auto" w:fill="auto"/>
            <w:noWrap/>
            <w:vAlign w:val="center"/>
          </w:tcPr>
          <w:p w14:paraId="264E85DB" w14:textId="70D8F4E4" w:rsidR="00D93016" w:rsidRPr="007F014B" w:rsidRDefault="00D93016" w:rsidP="00D93016">
            <w:pPr>
              <w:tabs>
                <w:tab w:val="decimal" w:pos="508"/>
              </w:tabs>
              <w:jc w:val="left"/>
              <w:rPr>
                <w:color w:val="000000"/>
                <w:sz w:val="16"/>
                <w:szCs w:val="16"/>
              </w:rPr>
            </w:pPr>
            <w:r>
              <w:rPr>
                <w:color w:val="000000"/>
                <w:sz w:val="16"/>
                <w:szCs w:val="16"/>
              </w:rPr>
              <w:t>7.7</w:t>
            </w:r>
          </w:p>
        </w:tc>
        <w:tc>
          <w:tcPr>
            <w:tcW w:w="934" w:type="dxa"/>
            <w:tcBorders>
              <w:top w:val="nil"/>
              <w:left w:val="nil"/>
              <w:bottom w:val="nil"/>
              <w:right w:val="nil"/>
            </w:tcBorders>
            <w:shd w:val="clear" w:color="auto" w:fill="auto"/>
            <w:noWrap/>
            <w:vAlign w:val="center"/>
          </w:tcPr>
          <w:p w14:paraId="2D71EEB0" w14:textId="1C60F346"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0.4</w:t>
            </w:r>
          </w:p>
        </w:tc>
        <w:tc>
          <w:tcPr>
            <w:tcW w:w="1050" w:type="dxa"/>
            <w:tcBorders>
              <w:top w:val="nil"/>
              <w:left w:val="nil"/>
              <w:bottom w:val="nil"/>
              <w:right w:val="single" w:sz="8" w:space="0" w:color="404040"/>
            </w:tcBorders>
            <w:shd w:val="clear" w:color="auto" w:fill="auto"/>
            <w:noWrap/>
            <w:vAlign w:val="center"/>
          </w:tcPr>
          <w:p w14:paraId="06DE9E66" w14:textId="27411DEC" w:rsidR="00D93016" w:rsidRPr="007F014B" w:rsidRDefault="00D93016" w:rsidP="00D93016">
            <w:pPr>
              <w:tabs>
                <w:tab w:val="decimal" w:pos="547"/>
              </w:tabs>
              <w:jc w:val="left"/>
              <w:rPr>
                <w:color w:val="000000"/>
                <w:sz w:val="16"/>
                <w:szCs w:val="16"/>
              </w:rPr>
            </w:pPr>
            <w:r>
              <w:rPr>
                <w:color w:val="000000"/>
                <w:sz w:val="16"/>
                <w:szCs w:val="16"/>
              </w:rPr>
              <w:t>5.2</w:t>
            </w:r>
          </w:p>
        </w:tc>
      </w:tr>
      <w:tr w:rsidR="00D93016" w:rsidRPr="007F014B" w14:paraId="73D4028C"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D93016" w:rsidRPr="007F014B" w:rsidRDefault="00D93016" w:rsidP="00D93016">
            <w:pPr>
              <w:spacing w:before="20" w:after="20"/>
              <w:ind w:left="97"/>
              <w:jc w:val="left"/>
              <w:rPr>
                <w:bCs/>
                <w:sz w:val="16"/>
                <w:szCs w:val="16"/>
              </w:rPr>
            </w:pPr>
            <w:r w:rsidRPr="007F014B">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7C299BA" w:rsidR="00D93016" w:rsidRPr="007F014B" w:rsidRDefault="00D93016" w:rsidP="00D93016">
            <w:pPr>
              <w:tabs>
                <w:tab w:val="decimal" w:pos="547"/>
              </w:tabs>
              <w:jc w:val="left"/>
              <w:rPr>
                <w:bCs/>
                <w:color w:val="000000"/>
                <w:sz w:val="16"/>
                <w:szCs w:val="16"/>
              </w:rPr>
            </w:pPr>
            <w:r>
              <w:rPr>
                <w:color w:val="000000"/>
                <w:sz w:val="16"/>
                <w:szCs w:val="16"/>
              </w:rPr>
              <w:t>3.8</w:t>
            </w:r>
          </w:p>
        </w:tc>
        <w:tc>
          <w:tcPr>
            <w:tcW w:w="942" w:type="dxa"/>
            <w:tcBorders>
              <w:top w:val="nil"/>
              <w:left w:val="nil"/>
              <w:bottom w:val="nil"/>
              <w:right w:val="nil"/>
            </w:tcBorders>
            <w:shd w:val="clear" w:color="auto" w:fill="auto"/>
            <w:noWrap/>
            <w:vAlign w:val="center"/>
          </w:tcPr>
          <w:p w14:paraId="5777B38E" w14:textId="0CA94C4D"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1.5</w:t>
            </w:r>
          </w:p>
        </w:tc>
        <w:tc>
          <w:tcPr>
            <w:tcW w:w="1042" w:type="dxa"/>
            <w:tcBorders>
              <w:top w:val="nil"/>
              <w:left w:val="nil"/>
              <w:bottom w:val="nil"/>
              <w:right w:val="single" w:sz="6" w:space="0" w:color="404040"/>
            </w:tcBorders>
            <w:shd w:val="clear" w:color="auto" w:fill="auto"/>
            <w:noWrap/>
            <w:vAlign w:val="center"/>
          </w:tcPr>
          <w:p w14:paraId="263031F1" w14:textId="2EB51A6F" w:rsidR="00D93016" w:rsidRPr="007F014B" w:rsidRDefault="00D93016" w:rsidP="00135F34">
            <w:pPr>
              <w:tabs>
                <w:tab w:val="left" w:pos="87"/>
                <w:tab w:val="decimal" w:pos="508"/>
              </w:tabs>
              <w:jc w:val="left"/>
              <w:rPr>
                <w:color w:val="000000"/>
                <w:sz w:val="16"/>
                <w:szCs w:val="16"/>
              </w:rPr>
            </w:pPr>
            <w:r>
              <w:rPr>
                <w:color w:val="000000"/>
                <w:sz w:val="16"/>
                <w:szCs w:val="16"/>
              </w:rPr>
              <w:tab/>
              <w:t>(-)</w:t>
            </w:r>
            <w:r>
              <w:rPr>
                <w:color w:val="000000"/>
                <w:sz w:val="16"/>
                <w:szCs w:val="16"/>
              </w:rPr>
              <w:tab/>
              <w:t>1.6</w:t>
            </w:r>
          </w:p>
        </w:tc>
        <w:tc>
          <w:tcPr>
            <w:tcW w:w="991" w:type="dxa"/>
            <w:tcBorders>
              <w:top w:val="nil"/>
              <w:left w:val="single" w:sz="6" w:space="0" w:color="404040"/>
              <w:bottom w:val="nil"/>
              <w:right w:val="nil"/>
            </w:tcBorders>
            <w:shd w:val="clear" w:color="auto" w:fill="auto"/>
            <w:noWrap/>
            <w:vAlign w:val="center"/>
          </w:tcPr>
          <w:p w14:paraId="21F8BED9" w14:textId="2626B4F4" w:rsidR="00D93016" w:rsidRPr="007F014B" w:rsidRDefault="00D93016" w:rsidP="00D93016">
            <w:pPr>
              <w:tabs>
                <w:tab w:val="decimal" w:pos="508"/>
              </w:tabs>
              <w:jc w:val="left"/>
              <w:rPr>
                <w:color w:val="000000"/>
                <w:sz w:val="16"/>
                <w:szCs w:val="16"/>
              </w:rPr>
            </w:pPr>
            <w:r>
              <w:rPr>
                <w:color w:val="000000"/>
                <w:sz w:val="16"/>
                <w:szCs w:val="16"/>
              </w:rPr>
              <w:t>14.9</w:t>
            </w:r>
          </w:p>
        </w:tc>
        <w:tc>
          <w:tcPr>
            <w:tcW w:w="934" w:type="dxa"/>
            <w:tcBorders>
              <w:top w:val="nil"/>
              <w:left w:val="nil"/>
              <w:bottom w:val="nil"/>
              <w:right w:val="nil"/>
            </w:tcBorders>
            <w:shd w:val="clear" w:color="auto" w:fill="auto"/>
            <w:noWrap/>
            <w:vAlign w:val="center"/>
          </w:tcPr>
          <w:p w14:paraId="5EBE4B92" w14:textId="17B7BF6C"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0.5</w:t>
            </w:r>
          </w:p>
        </w:tc>
        <w:tc>
          <w:tcPr>
            <w:tcW w:w="1050" w:type="dxa"/>
            <w:tcBorders>
              <w:top w:val="nil"/>
              <w:left w:val="nil"/>
              <w:bottom w:val="nil"/>
              <w:right w:val="single" w:sz="8" w:space="0" w:color="404040"/>
            </w:tcBorders>
            <w:shd w:val="clear" w:color="auto" w:fill="auto"/>
            <w:noWrap/>
            <w:vAlign w:val="center"/>
          </w:tcPr>
          <w:p w14:paraId="4565F77B" w14:textId="67B22F69" w:rsidR="00D93016" w:rsidRPr="007F014B" w:rsidRDefault="00D93016" w:rsidP="00D93016">
            <w:pPr>
              <w:tabs>
                <w:tab w:val="decimal" w:pos="547"/>
              </w:tabs>
              <w:jc w:val="left"/>
              <w:rPr>
                <w:color w:val="000000"/>
                <w:sz w:val="16"/>
                <w:szCs w:val="16"/>
              </w:rPr>
            </w:pPr>
            <w:r>
              <w:rPr>
                <w:color w:val="000000"/>
                <w:sz w:val="16"/>
                <w:szCs w:val="16"/>
              </w:rPr>
              <w:t>2.7</w:t>
            </w:r>
          </w:p>
        </w:tc>
      </w:tr>
      <w:tr w:rsidR="00D93016" w:rsidRPr="007F014B" w14:paraId="5B4D207B"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D93016" w:rsidRPr="007F014B" w:rsidRDefault="00D93016" w:rsidP="00D93016">
            <w:pPr>
              <w:spacing w:before="20" w:after="20"/>
              <w:ind w:left="97"/>
              <w:jc w:val="left"/>
              <w:rPr>
                <w:bCs/>
                <w:sz w:val="16"/>
                <w:szCs w:val="16"/>
              </w:rPr>
            </w:pPr>
            <w:r w:rsidRPr="007F014B">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731596BB" w:rsidR="00D93016" w:rsidRPr="00110A4A" w:rsidRDefault="00D93016" w:rsidP="00D93016">
            <w:pPr>
              <w:tabs>
                <w:tab w:val="decimal" w:pos="547"/>
              </w:tabs>
              <w:jc w:val="left"/>
              <w:rPr>
                <w:color w:val="000000"/>
                <w:sz w:val="16"/>
                <w:szCs w:val="16"/>
              </w:rPr>
            </w:pPr>
            <w:r>
              <w:rPr>
                <w:color w:val="000000"/>
                <w:sz w:val="16"/>
                <w:szCs w:val="16"/>
              </w:rPr>
              <w:t>3.9</w:t>
            </w:r>
          </w:p>
        </w:tc>
        <w:tc>
          <w:tcPr>
            <w:tcW w:w="942" w:type="dxa"/>
            <w:tcBorders>
              <w:top w:val="nil"/>
              <w:left w:val="nil"/>
              <w:bottom w:val="nil"/>
              <w:right w:val="nil"/>
            </w:tcBorders>
            <w:shd w:val="clear" w:color="auto" w:fill="auto"/>
            <w:noWrap/>
            <w:vAlign w:val="center"/>
          </w:tcPr>
          <w:p w14:paraId="40A6CA74" w14:textId="411317FD" w:rsidR="00D93016" w:rsidRPr="00775A59" w:rsidRDefault="00D93016" w:rsidP="00D93016">
            <w:pPr>
              <w:tabs>
                <w:tab w:val="decimal" w:pos="547"/>
              </w:tabs>
              <w:jc w:val="left"/>
              <w:rPr>
                <w:color w:val="000000"/>
                <w:sz w:val="16"/>
                <w:szCs w:val="16"/>
              </w:rPr>
            </w:pPr>
            <w:r>
              <w:rPr>
                <w:color w:val="000000"/>
                <w:sz w:val="16"/>
                <w:szCs w:val="16"/>
              </w:rPr>
              <w:t>1.1</w:t>
            </w:r>
          </w:p>
        </w:tc>
        <w:tc>
          <w:tcPr>
            <w:tcW w:w="1042" w:type="dxa"/>
            <w:tcBorders>
              <w:top w:val="nil"/>
              <w:left w:val="nil"/>
              <w:bottom w:val="nil"/>
              <w:right w:val="single" w:sz="6" w:space="0" w:color="404040"/>
            </w:tcBorders>
            <w:shd w:val="clear" w:color="auto" w:fill="auto"/>
            <w:noWrap/>
            <w:vAlign w:val="center"/>
          </w:tcPr>
          <w:p w14:paraId="59B19330" w14:textId="5DA72761" w:rsidR="00D93016" w:rsidRPr="007F014B" w:rsidRDefault="00D93016" w:rsidP="00D93016">
            <w:pPr>
              <w:tabs>
                <w:tab w:val="decimal" w:pos="508"/>
              </w:tabs>
              <w:jc w:val="left"/>
              <w:rPr>
                <w:color w:val="000000"/>
                <w:sz w:val="16"/>
                <w:szCs w:val="16"/>
              </w:rPr>
            </w:pPr>
            <w:r>
              <w:rPr>
                <w:color w:val="000000"/>
                <w:sz w:val="16"/>
                <w:szCs w:val="16"/>
              </w:rPr>
              <w:t>3.9</w:t>
            </w:r>
          </w:p>
        </w:tc>
        <w:tc>
          <w:tcPr>
            <w:tcW w:w="991" w:type="dxa"/>
            <w:tcBorders>
              <w:top w:val="nil"/>
              <w:left w:val="single" w:sz="6" w:space="0" w:color="404040"/>
              <w:bottom w:val="nil"/>
              <w:right w:val="nil"/>
            </w:tcBorders>
            <w:shd w:val="clear" w:color="auto" w:fill="auto"/>
            <w:noWrap/>
            <w:vAlign w:val="center"/>
          </w:tcPr>
          <w:p w14:paraId="0C688A7B" w14:textId="3E9C9711" w:rsidR="00D93016" w:rsidRPr="007F014B" w:rsidRDefault="00D93016" w:rsidP="00D93016">
            <w:pPr>
              <w:tabs>
                <w:tab w:val="decimal" w:pos="508"/>
              </w:tabs>
              <w:jc w:val="left"/>
              <w:rPr>
                <w:color w:val="000000"/>
                <w:sz w:val="16"/>
                <w:szCs w:val="16"/>
              </w:rPr>
            </w:pPr>
            <w:r>
              <w:rPr>
                <w:color w:val="000000"/>
                <w:sz w:val="16"/>
                <w:szCs w:val="16"/>
              </w:rPr>
              <w:t>6.5</w:t>
            </w:r>
          </w:p>
        </w:tc>
        <w:tc>
          <w:tcPr>
            <w:tcW w:w="934" w:type="dxa"/>
            <w:tcBorders>
              <w:top w:val="nil"/>
              <w:left w:val="nil"/>
              <w:bottom w:val="nil"/>
              <w:right w:val="nil"/>
            </w:tcBorders>
            <w:shd w:val="clear" w:color="auto" w:fill="auto"/>
            <w:noWrap/>
            <w:vAlign w:val="center"/>
          </w:tcPr>
          <w:p w14:paraId="219555B2" w14:textId="27EED457" w:rsidR="00D93016" w:rsidRPr="007F014B" w:rsidRDefault="00D93016" w:rsidP="00D93016">
            <w:pPr>
              <w:tabs>
                <w:tab w:val="decimal" w:pos="547"/>
              </w:tabs>
              <w:jc w:val="left"/>
              <w:rPr>
                <w:color w:val="000000"/>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79054C4D" w14:textId="21AD8FB4" w:rsidR="00D93016" w:rsidRPr="007F014B" w:rsidRDefault="00D93016" w:rsidP="00135F34">
            <w:pPr>
              <w:tabs>
                <w:tab w:val="decimal" w:pos="547"/>
              </w:tabs>
              <w:jc w:val="left"/>
              <w:rPr>
                <w:color w:val="000000"/>
                <w:sz w:val="16"/>
                <w:szCs w:val="16"/>
              </w:rPr>
            </w:pPr>
            <w:r>
              <w:rPr>
                <w:color w:val="000000"/>
                <w:sz w:val="16"/>
                <w:szCs w:val="16"/>
              </w:rPr>
              <w:t>3.8</w:t>
            </w:r>
          </w:p>
        </w:tc>
      </w:tr>
      <w:tr w:rsidR="00D93016" w:rsidRPr="007F014B" w14:paraId="39EBF2C1"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D93016" w:rsidRPr="007F014B" w:rsidRDefault="00D93016" w:rsidP="00D93016">
            <w:pPr>
              <w:spacing w:before="20" w:after="20"/>
              <w:ind w:left="97"/>
              <w:jc w:val="left"/>
              <w:rPr>
                <w:bCs/>
                <w:sz w:val="16"/>
                <w:szCs w:val="16"/>
              </w:rPr>
            </w:pPr>
            <w:r w:rsidRPr="007F014B">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0F3BB5BE" w:rsidR="00D93016" w:rsidRPr="00110A4A" w:rsidRDefault="00D93016" w:rsidP="00D93016">
            <w:pPr>
              <w:tabs>
                <w:tab w:val="decimal" w:pos="547"/>
              </w:tabs>
              <w:jc w:val="left"/>
              <w:rPr>
                <w:color w:val="000000"/>
                <w:sz w:val="16"/>
                <w:szCs w:val="16"/>
              </w:rPr>
            </w:pPr>
            <w:r>
              <w:rPr>
                <w:color w:val="000000"/>
                <w:sz w:val="16"/>
                <w:szCs w:val="16"/>
              </w:rPr>
              <w:t>45.5</w:t>
            </w:r>
          </w:p>
        </w:tc>
        <w:tc>
          <w:tcPr>
            <w:tcW w:w="942" w:type="dxa"/>
            <w:tcBorders>
              <w:top w:val="nil"/>
              <w:left w:val="nil"/>
              <w:bottom w:val="nil"/>
              <w:right w:val="nil"/>
            </w:tcBorders>
            <w:shd w:val="clear" w:color="auto" w:fill="auto"/>
            <w:noWrap/>
            <w:vAlign w:val="center"/>
          </w:tcPr>
          <w:p w14:paraId="6B37BCF5" w14:textId="296A2CD5" w:rsidR="00D93016" w:rsidRPr="00775A59" w:rsidRDefault="00D93016" w:rsidP="00D93016">
            <w:pPr>
              <w:tabs>
                <w:tab w:val="decimal" w:pos="547"/>
              </w:tabs>
              <w:jc w:val="left"/>
              <w:rPr>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5458F498" w14:textId="56814BC8" w:rsidR="00D93016" w:rsidRPr="007F014B" w:rsidRDefault="00D93016" w:rsidP="00D93016">
            <w:pPr>
              <w:tabs>
                <w:tab w:val="decimal" w:pos="508"/>
              </w:tabs>
              <w:jc w:val="left"/>
              <w:rPr>
                <w:color w:val="000000"/>
                <w:sz w:val="16"/>
                <w:szCs w:val="16"/>
              </w:rPr>
            </w:pPr>
            <w:r>
              <w:rPr>
                <w:color w:val="000000"/>
                <w:sz w:val="16"/>
                <w:szCs w:val="16"/>
              </w:rPr>
              <w:t>5.5</w:t>
            </w:r>
          </w:p>
        </w:tc>
        <w:tc>
          <w:tcPr>
            <w:tcW w:w="991" w:type="dxa"/>
            <w:tcBorders>
              <w:top w:val="nil"/>
              <w:left w:val="single" w:sz="6" w:space="0" w:color="404040"/>
              <w:bottom w:val="nil"/>
              <w:right w:val="nil"/>
            </w:tcBorders>
            <w:shd w:val="clear" w:color="auto" w:fill="auto"/>
            <w:noWrap/>
            <w:vAlign w:val="center"/>
          </w:tcPr>
          <w:p w14:paraId="73AC5324" w14:textId="24591265" w:rsidR="00D93016" w:rsidRPr="007F014B" w:rsidRDefault="00D93016" w:rsidP="00D93016">
            <w:pPr>
              <w:tabs>
                <w:tab w:val="decimal" w:pos="508"/>
              </w:tabs>
              <w:jc w:val="left"/>
              <w:rPr>
                <w:color w:val="000000"/>
                <w:sz w:val="16"/>
                <w:szCs w:val="16"/>
              </w:rPr>
            </w:pPr>
            <w:r>
              <w:rPr>
                <w:color w:val="000000"/>
                <w:sz w:val="16"/>
                <w:szCs w:val="16"/>
              </w:rPr>
              <w:t>39.6</w:t>
            </w:r>
          </w:p>
        </w:tc>
        <w:tc>
          <w:tcPr>
            <w:tcW w:w="934" w:type="dxa"/>
            <w:tcBorders>
              <w:top w:val="nil"/>
              <w:left w:val="nil"/>
              <w:bottom w:val="nil"/>
              <w:right w:val="nil"/>
            </w:tcBorders>
            <w:shd w:val="clear" w:color="auto" w:fill="auto"/>
            <w:noWrap/>
            <w:vAlign w:val="center"/>
          </w:tcPr>
          <w:p w14:paraId="34FE89CF" w14:textId="53F017F8" w:rsidR="00D93016" w:rsidRPr="007F014B" w:rsidRDefault="00D93016" w:rsidP="00D93016">
            <w:pPr>
              <w:tabs>
                <w:tab w:val="decimal" w:pos="547"/>
              </w:tabs>
              <w:jc w:val="left"/>
              <w:rPr>
                <w:color w:val="000000"/>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23F99C3F" w14:textId="3A4DA85E" w:rsidR="00D93016" w:rsidRPr="007F014B" w:rsidRDefault="00D93016" w:rsidP="00D93016">
            <w:pPr>
              <w:tabs>
                <w:tab w:val="decimal" w:pos="547"/>
              </w:tabs>
              <w:jc w:val="left"/>
              <w:rPr>
                <w:color w:val="000000"/>
                <w:sz w:val="16"/>
                <w:szCs w:val="16"/>
              </w:rPr>
            </w:pPr>
            <w:r>
              <w:rPr>
                <w:color w:val="000000"/>
                <w:sz w:val="16"/>
                <w:szCs w:val="16"/>
              </w:rPr>
              <w:t>7.1</w:t>
            </w:r>
          </w:p>
        </w:tc>
      </w:tr>
      <w:tr w:rsidR="00D93016" w:rsidRPr="007F014B" w14:paraId="350C4C31"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D93016" w:rsidRPr="007F014B" w:rsidRDefault="00D93016" w:rsidP="00D93016">
            <w:pPr>
              <w:spacing w:before="20" w:after="20"/>
              <w:ind w:left="97"/>
              <w:jc w:val="left"/>
              <w:rPr>
                <w:bCs/>
                <w:sz w:val="16"/>
                <w:szCs w:val="16"/>
              </w:rPr>
            </w:pPr>
            <w:r w:rsidRPr="007F014B">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298C2902" w:rsidR="00D93016" w:rsidRPr="00110A4A" w:rsidRDefault="00D93016" w:rsidP="00D93016">
            <w:pPr>
              <w:tabs>
                <w:tab w:val="decimal" w:pos="547"/>
              </w:tabs>
              <w:jc w:val="left"/>
              <w:rPr>
                <w:color w:val="000000"/>
                <w:sz w:val="16"/>
                <w:szCs w:val="16"/>
              </w:rPr>
            </w:pPr>
            <w:r>
              <w:rPr>
                <w:color w:val="000000"/>
                <w:sz w:val="16"/>
                <w:szCs w:val="16"/>
              </w:rPr>
              <w:t>19.2</w:t>
            </w:r>
          </w:p>
        </w:tc>
        <w:tc>
          <w:tcPr>
            <w:tcW w:w="942" w:type="dxa"/>
            <w:tcBorders>
              <w:top w:val="nil"/>
              <w:left w:val="nil"/>
              <w:bottom w:val="nil"/>
              <w:right w:val="nil"/>
            </w:tcBorders>
            <w:shd w:val="clear" w:color="auto" w:fill="auto"/>
            <w:noWrap/>
            <w:vAlign w:val="center"/>
          </w:tcPr>
          <w:p w14:paraId="350BC27D" w14:textId="0629AC6A" w:rsidR="00D93016" w:rsidRPr="00775A59"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0.3</w:t>
            </w:r>
          </w:p>
        </w:tc>
        <w:tc>
          <w:tcPr>
            <w:tcW w:w="1042" w:type="dxa"/>
            <w:tcBorders>
              <w:top w:val="nil"/>
              <w:left w:val="nil"/>
              <w:bottom w:val="nil"/>
              <w:right w:val="single" w:sz="6" w:space="0" w:color="404040"/>
            </w:tcBorders>
            <w:shd w:val="clear" w:color="auto" w:fill="auto"/>
            <w:noWrap/>
            <w:vAlign w:val="center"/>
          </w:tcPr>
          <w:p w14:paraId="1F30FBFF" w14:textId="2166C239" w:rsidR="00D93016" w:rsidRPr="007F014B" w:rsidRDefault="00D93016" w:rsidP="00D93016">
            <w:pPr>
              <w:tabs>
                <w:tab w:val="left" w:pos="87"/>
                <w:tab w:val="decimal" w:pos="508"/>
              </w:tabs>
              <w:jc w:val="left"/>
              <w:rPr>
                <w:color w:val="000000"/>
                <w:sz w:val="16"/>
                <w:szCs w:val="16"/>
              </w:rPr>
            </w:pPr>
            <w:r>
              <w:rPr>
                <w:color w:val="000000"/>
                <w:sz w:val="16"/>
                <w:szCs w:val="16"/>
              </w:rPr>
              <w:tab/>
              <w:t>(-)</w:t>
            </w:r>
            <w:r>
              <w:rPr>
                <w:color w:val="000000"/>
                <w:sz w:val="16"/>
                <w:szCs w:val="16"/>
              </w:rPr>
              <w:tab/>
              <w:t>9.9</w:t>
            </w:r>
          </w:p>
        </w:tc>
        <w:tc>
          <w:tcPr>
            <w:tcW w:w="991" w:type="dxa"/>
            <w:tcBorders>
              <w:top w:val="nil"/>
              <w:left w:val="single" w:sz="6" w:space="0" w:color="404040"/>
              <w:bottom w:val="nil"/>
              <w:right w:val="nil"/>
            </w:tcBorders>
            <w:shd w:val="clear" w:color="auto" w:fill="auto"/>
            <w:noWrap/>
            <w:vAlign w:val="center"/>
          </w:tcPr>
          <w:p w14:paraId="35401D29" w14:textId="66C71E78" w:rsidR="00D93016" w:rsidRPr="007F014B" w:rsidRDefault="00D93016" w:rsidP="00D93016">
            <w:pPr>
              <w:tabs>
                <w:tab w:val="decimal" w:pos="508"/>
              </w:tabs>
              <w:jc w:val="left"/>
              <w:rPr>
                <w:color w:val="000000"/>
                <w:sz w:val="16"/>
                <w:szCs w:val="16"/>
              </w:rPr>
            </w:pPr>
            <w:r>
              <w:rPr>
                <w:color w:val="000000"/>
                <w:sz w:val="16"/>
                <w:szCs w:val="16"/>
              </w:rPr>
              <w:t>9.0</w:t>
            </w:r>
          </w:p>
        </w:tc>
        <w:tc>
          <w:tcPr>
            <w:tcW w:w="934" w:type="dxa"/>
            <w:tcBorders>
              <w:top w:val="nil"/>
              <w:left w:val="nil"/>
              <w:bottom w:val="nil"/>
              <w:right w:val="nil"/>
            </w:tcBorders>
            <w:shd w:val="clear" w:color="auto" w:fill="auto"/>
            <w:noWrap/>
            <w:vAlign w:val="center"/>
          </w:tcPr>
          <w:p w14:paraId="77AB7838" w14:textId="21879F2D" w:rsidR="00D93016" w:rsidRPr="007F014B" w:rsidRDefault="00D93016" w:rsidP="00D93016">
            <w:pPr>
              <w:tabs>
                <w:tab w:val="decimal" w:pos="547"/>
              </w:tabs>
              <w:jc w:val="left"/>
              <w:rPr>
                <w:color w:val="000000"/>
                <w:sz w:val="16"/>
                <w:szCs w:val="16"/>
              </w:rPr>
            </w:pPr>
            <w:r>
              <w:rPr>
                <w:color w:val="000000"/>
                <w:sz w:val="16"/>
                <w:szCs w:val="16"/>
              </w:rPr>
              <w:t>1.4</w:t>
            </w:r>
          </w:p>
        </w:tc>
        <w:tc>
          <w:tcPr>
            <w:tcW w:w="1050" w:type="dxa"/>
            <w:tcBorders>
              <w:top w:val="nil"/>
              <w:left w:val="nil"/>
              <w:bottom w:val="nil"/>
              <w:right w:val="single" w:sz="8" w:space="0" w:color="404040"/>
            </w:tcBorders>
            <w:shd w:val="clear" w:color="auto" w:fill="auto"/>
            <w:noWrap/>
            <w:vAlign w:val="center"/>
          </w:tcPr>
          <w:p w14:paraId="083003BE" w14:textId="6A3A44CE" w:rsidR="00D93016" w:rsidRPr="007F014B" w:rsidRDefault="00D93016" w:rsidP="00D93016">
            <w:pPr>
              <w:tabs>
                <w:tab w:val="decimal" w:pos="547"/>
              </w:tabs>
              <w:jc w:val="left"/>
              <w:rPr>
                <w:color w:val="000000"/>
                <w:sz w:val="16"/>
                <w:szCs w:val="16"/>
              </w:rPr>
            </w:pPr>
            <w:r>
              <w:rPr>
                <w:color w:val="000000"/>
                <w:sz w:val="16"/>
                <w:szCs w:val="16"/>
              </w:rPr>
              <w:t>8.8</w:t>
            </w:r>
          </w:p>
        </w:tc>
      </w:tr>
      <w:tr w:rsidR="00D93016" w:rsidRPr="007F014B" w14:paraId="254D5879"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D93016" w:rsidRPr="007F014B" w:rsidRDefault="00D93016" w:rsidP="00D93016">
            <w:pPr>
              <w:spacing w:before="20" w:after="20"/>
              <w:ind w:left="97"/>
              <w:jc w:val="left"/>
              <w:rPr>
                <w:bCs/>
                <w:sz w:val="16"/>
                <w:szCs w:val="16"/>
              </w:rPr>
            </w:pPr>
            <w:r w:rsidRPr="007F014B">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6DD67585" w:rsidR="00D93016" w:rsidRPr="00110A4A"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1.4</w:t>
            </w:r>
          </w:p>
        </w:tc>
        <w:tc>
          <w:tcPr>
            <w:tcW w:w="942" w:type="dxa"/>
            <w:tcBorders>
              <w:top w:val="nil"/>
              <w:left w:val="nil"/>
              <w:bottom w:val="nil"/>
              <w:right w:val="nil"/>
            </w:tcBorders>
            <w:shd w:val="clear" w:color="auto" w:fill="auto"/>
            <w:noWrap/>
            <w:vAlign w:val="center"/>
          </w:tcPr>
          <w:p w14:paraId="153AE4A0" w14:textId="3411AB61"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3.5</w:t>
            </w:r>
          </w:p>
        </w:tc>
        <w:tc>
          <w:tcPr>
            <w:tcW w:w="1042" w:type="dxa"/>
            <w:tcBorders>
              <w:top w:val="nil"/>
              <w:left w:val="nil"/>
              <w:bottom w:val="nil"/>
              <w:right w:val="single" w:sz="6" w:space="0" w:color="404040"/>
            </w:tcBorders>
            <w:shd w:val="clear" w:color="auto" w:fill="auto"/>
            <w:noWrap/>
            <w:vAlign w:val="center"/>
          </w:tcPr>
          <w:p w14:paraId="0F618101" w14:textId="3DF4D124" w:rsidR="00D93016" w:rsidRPr="007F014B" w:rsidRDefault="00D93016" w:rsidP="00D93016">
            <w:pPr>
              <w:tabs>
                <w:tab w:val="decimal" w:pos="508"/>
              </w:tabs>
              <w:jc w:val="left"/>
              <w:rPr>
                <w:color w:val="000000"/>
                <w:sz w:val="16"/>
                <w:szCs w:val="16"/>
              </w:rPr>
            </w:pPr>
            <w:r>
              <w:rPr>
                <w:color w:val="000000"/>
                <w:sz w:val="16"/>
                <w:szCs w:val="16"/>
              </w:rPr>
              <w:t>6.0</w:t>
            </w:r>
          </w:p>
        </w:tc>
        <w:tc>
          <w:tcPr>
            <w:tcW w:w="991" w:type="dxa"/>
            <w:tcBorders>
              <w:top w:val="nil"/>
              <w:left w:val="single" w:sz="6" w:space="0" w:color="404040"/>
              <w:bottom w:val="nil"/>
              <w:right w:val="nil"/>
            </w:tcBorders>
            <w:shd w:val="clear" w:color="auto" w:fill="auto"/>
            <w:noWrap/>
            <w:vAlign w:val="center"/>
          </w:tcPr>
          <w:p w14:paraId="2A9EC3A7" w14:textId="1FE173CC" w:rsidR="00D93016" w:rsidRPr="007F014B" w:rsidRDefault="00D93016" w:rsidP="00D93016">
            <w:pPr>
              <w:tabs>
                <w:tab w:val="decimal" w:pos="508"/>
              </w:tabs>
              <w:jc w:val="left"/>
              <w:rPr>
                <w:color w:val="000000"/>
                <w:sz w:val="16"/>
                <w:szCs w:val="16"/>
              </w:rPr>
            </w:pPr>
            <w:r>
              <w:rPr>
                <w:color w:val="000000"/>
                <w:sz w:val="16"/>
                <w:szCs w:val="16"/>
              </w:rPr>
              <w:t>4.6</w:t>
            </w:r>
          </w:p>
        </w:tc>
        <w:tc>
          <w:tcPr>
            <w:tcW w:w="934" w:type="dxa"/>
            <w:tcBorders>
              <w:top w:val="nil"/>
              <w:left w:val="nil"/>
              <w:bottom w:val="nil"/>
              <w:right w:val="nil"/>
            </w:tcBorders>
            <w:shd w:val="clear" w:color="auto" w:fill="auto"/>
            <w:noWrap/>
            <w:vAlign w:val="center"/>
          </w:tcPr>
          <w:p w14:paraId="27C4B1AA" w14:textId="2F53CD86" w:rsidR="00D93016" w:rsidRPr="007F014B" w:rsidRDefault="00D93016" w:rsidP="00D93016">
            <w:pPr>
              <w:tabs>
                <w:tab w:val="decimal" w:pos="547"/>
              </w:tabs>
              <w:jc w:val="left"/>
              <w:rPr>
                <w:color w:val="000000"/>
                <w:sz w:val="16"/>
                <w:szCs w:val="16"/>
              </w:rPr>
            </w:pPr>
            <w:r>
              <w:rPr>
                <w:color w:val="000000"/>
                <w:sz w:val="16"/>
                <w:szCs w:val="16"/>
              </w:rPr>
              <w:t>2.7</w:t>
            </w:r>
          </w:p>
        </w:tc>
        <w:tc>
          <w:tcPr>
            <w:tcW w:w="1050" w:type="dxa"/>
            <w:tcBorders>
              <w:top w:val="nil"/>
              <w:left w:val="nil"/>
              <w:bottom w:val="nil"/>
              <w:right w:val="single" w:sz="8" w:space="0" w:color="404040"/>
            </w:tcBorders>
            <w:shd w:val="clear" w:color="auto" w:fill="auto"/>
            <w:noWrap/>
            <w:vAlign w:val="center"/>
          </w:tcPr>
          <w:p w14:paraId="3FE091FC" w14:textId="032CD4F9" w:rsidR="00D93016" w:rsidRPr="007F014B"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3.0</w:t>
            </w:r>
          </w:p>
        </w:tc>
      </w:tr>
      <w:tr w:rsidR="00D93016" w:rsidRPr="007F014B" w14:paraId="580DD6AD"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D93016" w:rsidRPr="007F014B" w:rsidRDefault="00D93016" w:rsidP="00D93016">
            <w:pPr>
              <w:spacing w:before="20" w:after="20"/>
              <w:ind w:left="97"/>
              <w:jc w:val="left"/>
              <w:rPr>
                <w:bCs/>
                <w:sz w:val="16"/>
                <w:szCs w:val="16"/>
              </w:rPr>
            </w:pPr>
            <w:r w:rsidRPr="007F014B">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775EB57D" w:rsidR="00D93016" w:rsidRPr="00110A4A" w:rsidRDefault="00D93016" w:rsidP="00D93016">
            <w:pPr>
              <w:tabs>
                <w:tab w:val="decimal" w:pos="547"/>
              </w:tabs>
              <w:jc w:val="left"/>
              <w:rPr>
                <w:color w:val="000000"/>
                <w:sz w:val="16"/>
                <w:szCs w:val="16"/>
              </w:rPr>
            </w:pPr>
            <w:r>
              <w:rPr>
                <w:color w:val="000000"/>
                <w:sz w:val="16"/>
                <w:szCs w:val="16"/>
              </w:rPr>
              <w:t>21.9</w:t>
            </w:r>
          </w:p>
        </w:tc>
        <w:tc>
          <w:tcPr>
            <w:tcW w:w="942" w:type="dxa"/>
            <w:tcBorders>
              <w:top w:val="nil"/>
              <w:left w:val="nil"/>
              <w:bottom w:val="nil"/>
              <w:right w:val="nil"/>
            </w:tcBorders>
            <w:shd w:val="clear" w:color="auto" w:fill="auto"/>
            <w:noWrap/>
            <w:vAlign w:val="center"/>
          </w:tcPr>
          <w:p w14:paraId="5270EDA7" w14:textId="5C5BD9EB" w:rsidR="00D93016" w:rsidRPr="00775A59" w:rsidRDefault="00D93016" w:rsidP="00D93016">
            <w:pPr>
              <w:tabs>
                <w:tab w:val="decimal" w:pos="547"/>
              </w:tabs>
              <w:jc w:val="left"/>
              <w:rPr>
                <w:color w:val="000000"/>
                <w:sz w:val="16"/>
                <w:szCs w:val="16"/>
              </w:rPr>
            </w:pPr>
            <w:r>
              <w:rPr>
                <w:color w:val="000000"/>
                <w:sz w:val="16"/>
                <w:szCs w:val="16"/>
              </w:rPr>
              <w:t>4.4</w:t>
            </w:r>
          </w:p>
        </w:tc>
        <w:tc>
          <w:tcPr>
            <w:tcW w:w="1042" w:type="dxa"/>
            <w:tcBorders>
              <w:top w:val="nil"/>
              <w:left w:val="nil"/>
              <w:bottom w:val="nil"/>
              <w:right w:val="single" w:sz="6" w:space="0" w:color="404040"/>
            </w:tcBorders>
            <w:shd w:val="clear" w:color="auto" w:fill="auto"/>
            <w:noWrap/>
            <w:vAlign w:val="center"/>
          </w:tcPr>
          <w:p w14:paraId="515A07E4" w14:textId="593B0D97" w:rsidR="00D93016" w:rsidRPr="007F014B" w:rsidRDefault="00D93016" w:rsidP="00D93016">
            <w:pPr>
              <w:tabs>
                <w:tab w:val="decimal" w:pos="508"/>
              </w:tabs>
              <w:jc w:val="left"/>
              <w:rPr>
                <w:color w:val="000000"/>
                <w:sz w:val="16"/>
                <w:szCs w:val="16"/>
              </w:rPr>
            </w:pPr>
            <w:r>
              <w:rPr>
                <w:color w:val="000000"/>
                <w:sz w:val="16"/>
                <w:szCs w:val="16"/>
              </w:rPr>
              <w:t>0.5</w:t>
            </w:r>
          </w:p>
        </w:tc>
        <w:tc>
          <w:tcPr>
            <w:tcW w:w="991" w:type="dxa"/>
            <w:tcBorders>
              <w:top w:val="nil"/>
              <w:left w:val="single" w:sz="6" w:space="0" w:color="404040"/>
              <w:bottom w:val="nil"/>
              <w:right w:val="nil"/>
            </w:tcBorders>
            <w:shd w:val="clear" w:color="auto" w:fill="auto"/>
            <w:noWrap/>
            <w:vAlign w:val="center"/>
          </w:tcPr>
          <w:p w14:paraId="05EDA912" w14:textId="79379A98" w:rsidR="00D93016" w:rsidRPr="007F014B" w:rsidRDefault="00D93016" w:rsidP="00D93016">
            <w:pPr>
              <w:tabs>
                <w:tab w:val="decimal" w:pos="508"/>
              </w:tabs>
              <w:jc w:val="left"/>
              <w:rPr>
                <w:color w:val="000000"/>
                <w:sz w:val="16"/>
                <w:szCs w:val="16"/>
              </w:rPr>
            </w:pPr>
            <w:r>
              <w:rPr>
                <w:color w:val="000000"/>
                <w:sz w:val="16"/>
                <w:szCs w:val="16"/>
              </w:rPr>
              <w:t>11.2</w:t>
            </w:r>
          </w:p>
        </w:tc>
        <w:tc>
          <w:tcPr>
            <w:tcW w:w="934" w:type="dxa"/>
            <w:tcBorders>
              <w:top w:val="nil"/>
              <w:left w:val="nil"/>
              <w:bottom w:val="nil"/>
              <w:right w:val="nil"/>
            </w:tcBorders>
            <w:shd w:val="clear" w:color="auto" w:fill="auto"/>
            <w:noWrap/>
            <w:vAlign w:val="center"/>
          </w:tcPr>
          <w:p w14:paraId="097BD8F5" w14:textId="6764A5F1" w:rsidR="00D93016" w:rsidRPr="007F014B" w:rsidRDefault="00D93016" w:rsidP="00D93016">
            <w:pPr>
              <w:tabs>
                <w:tab w:val="decimal" w:pos="547"/>
              </w:tabs>
              <w:jc w:val="left"/>
              <w:rPr>
                <w:color w:val="000000"/>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6F3ED211" w14:textId="5C487DBE" w:rsidR="00D93016" w:rsidRPr="007F014B" w:rsidRDefault="00D93016" w:rsidP="00D93016">
            <w:pPr>
              <w:tabs>
                <w:tab w:val="decimal" w:pos="547"/>
              </w:tabs>
              <w:jc w:val="left"/>
              <w:rPr>
                <w:color w:val="000000"/>
                <w:sz w:val="16"/>
                <w:szCs w:val="16"/>
              </w:rPr>
            </w:pPr>
            <w:r>
              <w:rPr>
                <w:color w:val="000000"/>
                <w:sz w:val="16"/>
                <w:szCs w:val="16"/>
              </w:rPr>
              <w:t>3.3</w:t>
            </w:r>
          </w:p>
        </w:tc>
      </w:tr>
      <w:tr w:rsidR="00D93016" w:rsidRPr="007F014B" w14:paraId="6EDCB38A"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D93016" w:rsidRPr="007F014B" w:rsidRDefault="00D93016" w:rsidP="00D93016">
            <w:pPr>
              <w:spacing w:before="20" w:after="20"/>
              <w:ind w:left="97"/>
              <w:jc w:val="left"/>
              <w:rPr>
                <w:bCs/>
                <w:sz w:val="16"/>
                <w:szCs w:val="16"/>
              </w:rPr>
            </w:pPr>
            <w:r w:rsidRPr="007F014B">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15B869DD" w:rsidR="00D93016" w:rsidRPr="00110A4A" w:rsidRDefault="00D93016" w:rsidP="00D93016">
            <w:pPr>
              <w:tabs>
                <w:tab w:val="decimal" w:pos="547"/>
              </w:tabs>
              <w:jc w:val="left"/>
              <w:rPr>
                <w:color w:val="000000"/>
                <w:sz w:val="16"/>
                <w:szCs w:val="16"/>
              </w:rPr>
            </w:pPr>
            <w:r>
              <w:rPr>
                <w:color w:val="000000"/>
                <w:sz w:val="16"/>
                <w:szCs w:val="16"/>
              </w:rPr>
              <w:t>5.7</w:t>
            </w:r>
          </w:p>
        </w:tc>
        <w:tc>
          <w:tcPr>
            <w:tcW w:w="942" w:type="dxa"/>
            <w:tcBorders>
              <w:top w:val="nil"/>
              <w:left w:val="nil"/>
              <w:bottom w:val="nil"/>
              <w:right w:val="nil"/>
            </w:tcBorders>
            <w:shd w:val="clear" w:color="auto" w:fill="auto"/>
            <w:noWrap/>
            <w:vAlign w:val="center"/>
          </w:tcPr>
          <w:p w14:paraId="1758DE33" w14:textId="2AF19418"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5.8</w:t>
            </w:r>
          </w:p>
        </w:tc>
        <w:tc>
          <w:tcPr>
            <w:tcW w:w="1042" w:type="dxa"/>
            <w:tcBorders>
              <w:top w:val="nil"/>
              <w:left w:val="nil"/>
              <w:bottom w:val="nil"/>
              <w:right w:val="single" w:sz="6" w:space="0" w:color="404040"/>
            </w:tcBorders>
            <w:shd w:val="clear" w:color="auto" w:fill="auto"/>
            <w:noWrap/>
            <w:vAlign w:val="center"/>
          </w:tcPr>
          <w:p w14:paraId="47510891" w14:textId="2EA46312" w:rsidR="00D93016" w:rsidRPr="007F014B" w:rsidRDefault="00D93016" w:rsidP="00D93016">
            <w:pPr>
              <w:tabs>
                <w:tab w:val="decimal" w:pos="508"/>
              </w:tabs>
              <w:jc w:val="left"/>
              <w:rPr>
                <w:color w:val="000000"/>
                <w:sz w:val="16"/>
                <w:szCs w:val="16"/>
              </w:rPr>
            </w:pPr>
            <w:r>
              <w:rPr>
                <w:color w:val="000000"/>
                <w:sz w:val="16"/>
                <w:szCs w:val="16"/>
              </w:rPr>
              <w:t>19.7</w:t>
            </w:r>
          </w:p>
        </w:tc>
        <w:tc>
          <w:tcPr>
            <w:tcW w:w="991" w:type="dxa"/>
            <w:tcBorders>
              <w:top w:val="nil"/>
              <w:left w:val="single" w:sz="6" w:space="0" w:color="404040"/>
              <w:bottom w:val="nil"/>
              <w:right w:val="nil"/>
            </w:tcBorders>
            <w:shd w:val="clear" w:color="auto" w:fill="auto"/>
            <w:noWrap/>
            <w:vAlign w:val="center"/>
          </w:tcPr>
          <w:p w14:paraId="0AC28BCE" w14:textId="590E2DC1" w:rsidR="00D93016" w:rsidRPr="007F014B" w:rsidRDefault="00D93016" w:rsidP="00D93016">
            <w:pPr>
              <w:tabs>
                <w:tab w:val="decimal" w:pos="508"/>
              </w:tabs>
              <w:jc w:val="left"/>
              <w:rPr>
                <w:color w:val="000000"/>
                <w:sz w:val="16"/>
                <w:szCs w:val="16"/>
              </w:rPr>
            </w:pPr>
            <w:r>
              <w:rPr>
                <w:color w:val="000000"/>
                <w:sz w:val="16"/>
                <w:szCs w:val="16"/>
              </w:rPr>
              <w:t>11.0</w:t>
            </w:r>
          </w:p>
        </w:tc>
        <w:tc>
          <w:tcPr>
            <w:tcW w:w="934" w:type="dxa"/>
            <w:tcBorders>
              <w:top w:val="nil"/>
              <w:left w:val="nil"/>
              <w:bottom w:val="nil"/>
              <w:right w:val="nil"/>
            </w:tcBorders>
            <w:shd w:val="clear" w:color="auto" w:fill="auto"/>
            <w:noWrap/>
            <w:vAlign w:val="center"/>
          </w:tcPr>
          <w:p w14:paraId="647A0B3E" w14:textId="26FE39E3" w:rsidR="00D93016" w:rsidRPr="007F014B" w:rsidRDefault="00D93016" w:rsidP="00D93016">
            <w:pPr>
              <w:tabs>
                <w:tab w:val="decimal" w:pos="547"/>
              </w:tabs>
              <w:jc w:val="left"/>
              <w:rPr>
                <w:color w:val="000000"/>
                <w:sz w:val="16"/>
                <w:szCs w:val="16"/>
              </w:rPr>
            </w:pPr>
            <w:r>
              <w:rPr>
                <w:color w:val="000000"/>
                <w:sz w:val="16"/>
                <w:szCs w:val="16"/>
              </w:rPr>
              <w:t>0.8</w:t>
            </w:r>
          </w:p>
        </w:tc>
        <w:tc>
          <w:tcPr>
            <w:tcW w:w="1050" w:type="dxa"/>
            <w:tcBorders>
              <w:top w:val="nil"/>
              <w:left w:val="nil"/>
              <w:bottom w:val="nil"/>
              <w:right w:val="single" w:sz="8" w:space="0" w:color="404040"/>
            </w:tcBorders>
            <w:shd w:val="clear" w:color="auto" w:fill="auto"/>
            <w:noWrap/>
            <w:vAlign w:val="center"/>
          </w:tcPr>
          <w:p w14:paraId="390E2636" w14:textId="4172EF29" w:rsidR="00D93016" w:rsidRPr="007F014B" w:rsidRDefault="00D93016" w:rsidP="00D93016">
            <w:pPr>
              <w:tabs>
                <w:tab w:val="decimal" w:pos="547"/>
              </w:tabs>
              <w:jc w:val="left"/>
              <w:rPr>
                <w:color w:val="000000"/>
                <w:sz w:val="16"/>
                <w:szCs w:val="16"/>
              </w:rPr>
            </w:pPr>
            <w:r>
              <w:rPr>
                <w:color w:val="000000"/>
                <w:sz w:val="16"/>
                <w:szCs w:val="16"/>
              </w:rPr>
              <w:t>1.5</w:t>
            </w:r>
          </w:p>
        </w:tc>
      </w:tr>
      <w:tr w:rsidR="00D93016" w:rsidRPr="007F014B" w14:paraId="09BD79EB"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D93016" w:rsidRPr="007F014B" w:rsidRDefault="00D93016" w:rsidP="00D93016">
            <w:pPr>
              <w:spacing w:before="20" w:after="20"/>
              <w:ind w:left="97"/>
              <w:jc w:val="left"/>
              <w:rPr>
                <w:bCs/>
                <w:sz w:val="16"/>
                <w:szCs w:val="16"/>
              </w:rPr>
            </w:pPr>
            <w:r w:rsidRPr="007F014B">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14ACB4B4" w:rsidR="00D93016" w:rsidRPr="00110A4A" w:rsidRDefault="00D93016" w:rsidP="00D93016">
            <w:pPr>
              <w:tabs>
                <w:tab w:val="decimal" w:pos="547"/>
              </w:tabs>
              <w:jc w:val="left"/>
              <w:rPr>
                <w:color w:val="000000"/>
                <w:sz w:val="16"/>
                <w:szCs w:val="16"/>
              </w:rPr>
            </w:pPr>
            <w:r>
              <w:rPr>
                <w:color w:val="000000"/>
                <w:sz w:val="16"/>
                <w:szCs w:val="16"/>
              </w:rPr>
              <w:t>4.8</w:t>
            </w:r>
          </w:p>
        </w:tc>
        <w:tc>
          <w:tcPr>
            <w:tcW w:w="942" w:type="dxa"/>
            <w:tcBorders>
              <w:top w:val="nil"/>
              <w:left w:val="nil"/>
              <w:bottom w:val="nil"/>
              <w:right w:val="nil"/>
            </w:tcBorders>
            <w:shd w:val="clear" w:color="auto" w:fill="auto"/>
            <w:noWrap/>
            <w:vAlign w:val="center"/>
          </w:tcPr>
          <w:p w14:paraId="331C7084" w14:textId="63F62DD2" w:rsidR="00D93016" w:rsidRPr="00775A59" w:rsidRDefault="00D93016" w:rsidP="00D93016">
            <w:pPr>
              <w:tabs>
                <w:tab w:val="decimal" w:pos="547"/>
              </w:tabs>
              <w:jc w:val="left"/>
              <w:rPr>
                <w:color w:val="000000"/>
                <w:sz w:val="16"/>
                <w:szCs w:val="16"/>
              </w:rPr>
            </w:pPr>
            <w:r>
              <w:rPr>
                <w:color w:val="000000"/>
                <w:sz w:val="16"/>
                <w:szCs w:val="16"/>
              </w:rPr>
              <w:t>3.2</w:t>
            </w:r>
          </w:p>
        </w:tc>
        <w:tc>
          <w:tcPr>
            <w:tcW w:w="1042" w:type="dxa"/>
            <w:tcBorders>
              <w:top w:val="nil"/>
              <w:left w:val="nil"/>
              <w:bottom w:val="nil"/>
              <w:right w:val="single" w:sz="6" w:space="0" w:color="404040"/>
            </w:tcBorders>
            <w:shd w:val="clear" w:color="auto" w:fill="auto"/>
            <w:noWrap/>
            <w:vAlign w:val="center"/>
          </w:tcPr>
          <w:p w14:paraId="65155696" w14:textId="5E1BD42D" w:rsidR="00D93016" w:rsidRPr="007F014B" w:rsidRDefault="00D93016" w:rsidP="00D93016">
            <w:pPr>
              <w:tabs>
                <w:tab w:val="decimal" w:pos="508"/>
              </w:tabs>
              <w:jc w:val="left"/>
              <w:rPr>
                <w:color w:val="000000"/>
                <w:sz w:val="16"/>
                <w:szCs w:val="16"/>
              </w:rPr>
            </w:pPr>
            <w:r>
              <w:rPr>
                <w:color w:val="000000"/>
                <w:sz w:val="16"/>
                <w:szCs w:val="16"/>
              </w:rPr>
              <w:t>8.4</w:t>
            </w:r>
          </w:p>
        </w:tc>
        <w:tc>
          <w:tcPr>
            <w:tcW w:w="991" w:type="dxa"/>
            <w:tcBorders>
              <w:top w:val="nil"/>
              <w:left w:val="single" w:sz="6" w:space="0" w:color="404040"/>
              <w:bottom w:val="nil"/>
              <w:right w:val="nil"/>
            </w:tcBorders>
            <w:shd w:val="clear" w:color="auto" w:fill="auto"/>
            <w:noWrap/>
            <w:vAlign w:val="center"/>
          </w:tcPr>
          <w:p w14:paraId="7EA7A223" w14:textId="4F99B74F" w:rsidR="00D93016" w:rsidRPr="007F014B" w:rsidRDefault="00D93016" w:rsidP="00D93016">
            <w:pPr>
              <w:tabs>
                <w:tab w:val="decimal" w:pos="508"/>
              </w:tabs>
              <w:jc w:val="left"/>
              <w:rPr>
                <w:color w:val="000000"/>
                <w:sz w:val="16"/>
                <w:szCs w:val="16"/>
              </w:rPr>
            </w:pPr>
            <w:r>
              <w:rPr>
                <w:color w:val="000000"/>
                <w:sz w:val="16"/>
                <w:szCs w:val="16"/>
              </w:rPr>
              <w:t>7.1</w:t>
            </w:r>
          </w:p>
        </w:tc>
        <w:tc>
          <w:tcPr>
            <w:tcW w:w="934" w:type="dxa"/>
            <w:tcBorders>
              <w:top w:val="nil"/>
              <w:left w:val="nil"/>
              <w:bottom w:val="nil"/>
              <w:right w:val="nil"/>
            </w:tcBorders>
            <w:shd w:val="clear" w:color="auto" w:fill="auto"/>
            <w:noWrap/>
            <w:vAlign w:val="center"/>
          </w:tcPr>
          <w:p w14:paraId="00041D44" w14:textId="5F5A9939"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3.2</w:t>
            </w:r>
          </w:p>
        </w:tc>
        <w:tc>
          <w:tcPr>
            <w:tcW w:w="1050" w:type="dxa"/>
            <w:tcBorders>
              <w:top w:val="nil"/>
              <w:left w:val="nil"/>
              <w:bottom w:val="nil"/>
              <w:right w:val="single" w:sz="8" w:space="0" w:color="404040"/>
            </w:tcBorders>
            <w:shd w:val="clear" w:color="auto" w:fill="auto"/>
            <w:noWrap/>
            <w:vAlign w:val="center"/>
          </w:tcPr>
          <w:p w14:paraId="38E3799E" w14:textId="7B2E56C4" w:rsidR="00D93016" w:rsidRPr="007F014B" w:rsidRDefault="00D93016" w:rsidP="00D93016">
            <w:pPr>
              <w:tabs>
                <w:tab w:val="decimal" w:pos="547"/>
              </w:tabs>
              <w:jc w:val="left"/>
              <w:rPr>
                <w:color w:val="000000"/>
                <w:sz w:val="16"/>
                <w:szCs w:val="16"/>
              </w:rPr>
            </w:pPr>
            <w:r>
              <w:rPr>
                <w:color w:val="000000"/>
                <w:sz w:val="16"/>
                <w:szCs w:val="16"/>
              </w:rPr>
              <w:t>7.6</w:t>
            </w:r>
          </w:p>
        </w:tc>
      </w:tr>
      <w:tr w:rsidR="00D93016" w:rsidRPr="007F014B" w14:paraId="4E5561B3"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D93016" w:rsidRPr="007F014B" w:rsidRDefault="00D93016" w:rsidP="00D93016">
            <w:pPr>
              <w:spacing w:before="20" w:after="20"/>
              <w:ind w:left="97"/>
              <w:jc w:val="left"/>
              <w:rPr>
                <w:bCs/>
                <w:sz w:val="16"/>
                <w:szCs w:val="16"/>
              </w:rPr>
            </w:pPr>
            <w:r w:rsidRPr="007F014B">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74E631B1" w:rsidR="00D93016" w:rsidRPr="00110A4A" w:rsidRDefault="00D93016" w:rsidP="00D93016">
            <w:pPr>
              <w:tabs>
                <w:tab w:val="decimal" w:pos="547"/>
              </w:tabs>
              <w:jc w:val="left"/>
              <w:rPr>
                <w:color w:val="000000"/>
                <w:sz w:val="16"/>
                <w:szCs w:val="16"/>
              </w:rPr>
            </w:pPr>
            <w:r>
              <w:rPr>
                <w:color w:val="000000"/>
                <w:sz w:val="16"/>
                <w:szCs w:val="16"/>
              </w:rPr>
              <w:t>34.0</w:t>
            </w:r>
          </w:p>
        </w:tc>
        <w:tc>
          <w:tcPr>
            <w:tcW w:w="942" w:type="dxa"/>
            <w:tcBorders>
              <w:top w:val="nil"/>
              <w:left w:val="nil"/>
              <w:bottom w:val="nil"/>
              <w:right w:val="nil"/>
            </w:tcBorders>
            <w:shd w:val="clear" w:color="auto" w:fill="auto"/>
            <w:noWrap/>
            <w:vAlign w:val="center"/>
          </w:tcPr>
          <w:p w14:paraId="1CDC2048" w14:textId="08C4AB4A"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1.7</w:t>
            </w:r>
          </w:p>
        </w:tc>
        <w:tc>
          <w:tcPr>
            <w:tcW w:w="1042" w:type="dxa"/>
            <w:tcBorders>
              <w:top w:val="nil"/>
              <w:left w:val="nil"/>
              <w:bottom w:val="nil"/>
              <w:right w:val="single" w:sz="6" w:space="0" w:color="404040"/>
            </w:tcBorders>
            <w:shd w:val="clear" w:color="auto" w:fill="auto"/>
            <w:noWrap/>
            <w:vAlign w:val="center"/>
          </w:tcPr>
          <w:p w14:paraId="43CF2892" w14:textId="30BC9D9C" w:rsidR="00D93016" w:rsidRPr="007F014B" w:rsidRDefault="00D93016" w:rsidP="00D93016">
            <w:pPr>
              <w:tabs>
                <w:tab w:val="decimal" w:pos="508"/>
              </w:tabs>
              <w:jc w:val="left"/>
              <w:rPr>
                <w:color w:val="000000"/>
                <w:sz w:val="16"/>
                <w:szCs w:val="16"/>
              </w:rPr>
            </w:pPr>
            <w:r>
              <w:rPr>
                <w:color w:val="000000"/>
                <w:sz w:val="16"/>
                <w:szCs w:val="16"/>
              </w:rPr>
              <w:t>9.7</w:t>
            </w:r>
          </w:p>
        </w:tc>
        <w:tc>
          <w:tcPr>
            <w:tcW w:w="991" w:type="dxa"/>
            <w:tcBorders>
              <w:top w:val="nil"/>
              <w:left w:val="single" w:sz="6" w:space="0" w:color="404040"/>
              <w:bottom w:val="nil"/>
              <w:right w:val="nil"/>
            </w:tcBorders>
            <w:shd w:val="clear" w:color="auto" w:fill="auto"/>
            <w:noWrap/>
            <w:vAlign w:val="center"/>
          </w:tcPr>
          <w:p w14:paraId="7D544EA3" w14:textId="5BD36102" w:rsidR="00D93016" w:rsidRPr="007F014B" w:rsidRDefault="00D93016" w:rsidP="00D93016">
            <w:pPr>
              <w:tabs>
                <w:tab w:val="decimal" w:pos="508"/>
              </w:tabs>
              <w:jc w:val="left"/>
              <w:rPr>
                <w:color w:val="000000"/>
                <w:sz w:val="16"/>
                <w:szCs w:val="16"/>
              </w:rPr>
            </w:pPr>
            <w:r>
              <w:rPr>
                <w:color w:val="000000"/>
                <w:sz w:val="16"/>
                <w:szCs w:val="16"/>
              </w:rPr>
              <w:t>8.9</w:t>
            </w:r>
          </w:p>
        </w:tc>
        <w:tc>
          <w:tcPr>
            <w:tcW w:w="934" w:type="dxa"/>
            <w:tcBorders>
              <w:top w:val="nil"/>
              <w:left w:val="nil"/>
              <w:bottom w:val="nil"/>
              <w:right w:val="nil"/>
            </w:tcBorders>
            <w:shd w:val="clear" w:color="auto" w:fill="auto"/>
            <w:noWrap/>
            <w:vAlign w:val="center"/>
          </w:tcPr>
          <w:p w14:paraId="2659CF1C" w14:textId="6ABC90DA" w:rsidR="00D93016" w:rsidRPr="007F014B" w:rsidRDefault="00D93016" w:rsidP="00D93016">
            <w:pPr>
              <w:tabs>
                <w:tab w:val="decimal" w:pos="547"/>
              </w:tabs>
              <w:jc w:val="left"/>
              <w:rPr>
                <w:color w:val="000000"/>
                <w:sz w:val="16"/>
                <w:szCs w:val="16"/>
              </w:rPr>
            </w:pPr>
            <w:r>
              <w:rPr>
                <w:color w:val="000000"/>
                <w:sz w:val="16"/>
                <w:szCs w:val="16"/>
              </w:rPr>
              <w:t>3.0</w:t>
            </w:r>
          </w:p>
        </w:tc>
        <w:tc>
          <w:tcPr>
            <w:tcW w:w="1050" w:type="dxa"/>
            <w:tcBorders>
              <w:top w:val="nil"/>
              <w:left w:val="nil"/>
              <w:bottom w:val="nil"/>
              <w:right w:val="single" w:sz="8" w:space="0" w:color="404040"/>
            </w:tcBorders>
            <w:shd w:val="clear" w:color="auto" w:fill="auto"/>
            <w:noWrap/>
            <w:vAlign w:val="center"/>
          </w:tcPr>
          <w:p w14:paraId="5E6B1D71" w14:textId="27555E36" w:rsidR="00D93016" w:rsidRPr="007F014B"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0.7</w:t>
            </w:r>
          </w:p>
        </w:tc>
      </w:tr>
      <w:tr w:rsidR="00D93016" w:rsidRPr="007F014B" w14:paraId="4C801674"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D93016" w:rsidRPr="007F014B" w:rsidRDefault="00D93016" w:rsidP="00D93016">
            <w:pPr>
              <w:spacing w:before="20" w:after="20"/>
              <w:ind w:left="97"/>
              <w:jc w:val="left"/>
              <w:rPr>
                <w:bCs/>
                <w:sz w:val="16"/>
                <w:szCs w:val="16"/>
              </w:rPr>
            </w:pPr>
            <w:r w:rsidRPr="007F014B">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7F16A80F" w:rsidR="00D93016" w:rsidRPr="00110A4A" w:rsidRDefault="00D93016" w:rsidP="00D93016">
            <w:pPr>
              <w:tabs>
                <w:tab w:val="decimal" w:pos="547"/>
              </w:tabs>
              <w:jc w:val="left"/>
              <w:rPr>
                <w:color w:val="000000"/>
                <w:sz w:val="16"/>
                <w:szCs w:val="16"/>
              </w:rPr>
            </w:pPr>
            <w:r>
              <w:rPr>
                <w:color w:val="000000"/>
                <w:sz w:val="16"/>
                <w:szCs w:val="16"/>
              </w:rPr>
              <w:t>13.8</w:t>
            </w:r>
          </w:p>
        </w:tc>
        <w:tc>
          <w:tcPr>
            <w:tcW w:w="942" w:type="dxa"/>
            <w:tcBorders>
              <w:top w:val="nil"/>
              <w:left w:val="nil"/>
              <w:bottom w:val="nil"/>
              <w:right w:val="nil"/>
            </w:tcBorders>
            <w:shd w:val="clear" w:color="auto" w:fill="auto"/>
            <w:noWrap/>
            <w:vAlign w:val="center"/>
          </w:tcPr>
          <w:p w14:paraId="6CA40FD6" w14:textId="0ECA38C2" w:rsidR="00D93016" w:rsidRPr="00775A59" w:rsidRDefault="00D93016" w:rsidP="00135F34">
            <w:pPr>
              <w:tabs>
                <w:tab w:val="decimal" w:pos="547"/>
              </w:tabs>
              <w:jc w:val="left"/>
              <w:rPr>
                <w:color w:val="000000"/>
                <w:sz w:val="16"/>
                <w:szCs w:val="16"/>
              </w:rPr>
            </w:pPr>
            <w:r>
              <w:rPr>
                <w:color w:val="000000"/>
                <w:sz w:val="16"/>
                <w:szCs w:val="16"/>
              </w:rPr>
              <w:t>0.1</w:t>
            </w:r>
          </w:p>
        </w:tc>
        <w:tc>
          <w:tcPr>
            <w:tcW w:w="1042" w:type="dxa"/>
            <w:tcBorders>
              <w:top w:val="nil"/>
              <w:left w:val="nil"/>
              <w:bottom w:val="nil"/>
              <w:right w:val="single" w:sz="6" w:space="0" w:color="404040"/>
            </w:tcBorders>
            <w:shd w:val="clear" w:color="auto" w:fill="auto"/>
            <w:noWrap/>
            <w:vAlign w:val="center"/>
          </w:tcPr>
          <w:p w14:paraId="6D0068B2" w14:textId="5F3AEE79" w:rsidR="00D93016" w:rsidRPr="007F014B" w:rsidRDefault="00D93016" w:rsidP="00135F34">
            <w:pPr>
              <w:tabs>
                <w:tab w:val="decimal" w:pos="508"/>
              </w:tabs>
              <w:jc w:val="left"/>
              <w:rPr>
                <w:color w:val="000000"/>
                <w:sz w:val="16"/>
                <w:szCs w:val="16"/>
              </w:rPr>
            </w:pPr>
            <w:r>
              <w:rPr>
                <w:color w:val="000000"/>
                <w:sz w:val="16"/>
                <w:szCs w:val="16"/>
              </w:rPr>
              <w:t>12.8</w:t>
            </w:r>
          </w:p>
        </w:tc>
        <w:tc>
          <w:tcPr>
            <w:tcW w:w="991" w:type="dxa"/>
            <w:tcBorders>
              <w:top w:val="nil"/>
              <w:left w:val="single" w:sz="6" w:space="0" w:color="404040"/>
              <w:bottom w:val="nil"/>
              <w:right w:val="nil"/>
            </w:tcBorders>
            <w:shd w:val="clear" w:color="auto" w:fill="auto"/>
            <w:noWrap/>
            <w:vAlign w:val="center"/>
          </w:tcPr>
          <w:p w14:paraId="43BD5A7E" w14:textId="24FCFDDE" w:rsidR="00D93016" w:rsidRPr="007F014B" w:rsidRDefault="00D93016" w:rsidP="00D93016">
            <w:pPr>
              <w:tabs>
                <w:tab w:val="decimal" w:pos="508"/>
              </w:tabs>
              <w:jc w:val="left"/>
              <w:rPr>
                <w:color w:val="000000"/>
                <w:sz w:val="16"/>
                <w:szCs w:val="16"/>
              </w:rPr>
            </w:pPr>
            <w:r>
              <w:rPr>
                <w:color w:val="000000"/>
                <w:sz w:val="16"/>
                <w:szCs w:val="16"/>
              </w:rPr>
              <w:t>8.2</w:t>
            </w:r>
          </w:p>
        </w:tc>
        <w:tc>
          <w:tcPr>
            <w:tcW w:w="934" w:type="dxa"/>
            <w:tcBorders>
              <w:top w:val="nil"/>
              <w:left w:val="nil"/>
              <w:bottom w:val="nil"/>
              <w:right w:val="nil"/>
            </w:tcBorders>
            <w:shd w:val="clear" w:color="auto" w:fill="auto"/>
            <w:noWrap/>
            <w:vAlign w:val="center"/>
          </w:tcPr>
          <w:p w14:paraId="524567EB" w14:textId="1706BF86" w:rsidR="00D93016" w:rsidRPr="007F014B"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0.6</w:t>
            </w:r>
          </w:p>
        </w:tc>
        <w:tc>
          <w:tcPr>
            <w:tcW w:w="1050" w:type="dxa"/>
            <w:tcBorders>
              <w:top w:val="nil"/>
              <w:left w:val="nil"/>
              <w:bottom w:val="nil"/>
              <w:right w:val="single" w:sz="8" w:space="0" w:color="404040"/>
            </w:tcBorders>
            <w:shd w:val="clear" w:color="auto" w:fill="auto"/>
            <w:noWrap/>
            <w:vAlign w:val="center"/>
          </w:tcPr>
          <w:p w14:paraId="4BB07B89" w14:textId="7EF84275" w:rsidR="00D93016" w:rsidRPr="007F014B" w:rsidRDefault="00D93016" w:rsidP="00D93016">
            <w:pPr>
              <w:tabs>
                <w:tab w:val="decimal" w:pos="547"/>
              </w:tabs>
              <w:jc w:val="left"/>
              <w:rPr>
                <w:color w:val="000000"/>
                <w:sz w:val="16"/>
                <w:szCs w:val="16"/>
              </w:rPr>
            </w:pPr>
            <w:r>
              <w:rPr>
                <w:color w:val="000000"/>
                <w:sz w:val="16"/>
                <w:szCs w:val="16"/>
              </w:rPr>
              <w:t>3.3</w:t>
            </w:r>
          </w:p>
        </w:tc>
      </w:tr>
      <w:tr w:rsidR="00D93016" w:rsidRPr="007F014B" w14:paraId="3C648981" w14:textId="77777777" w:rsidTr="00D9301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D93016" w:rsidRPr="007F014B" w:rsidRDefault="00D93016" w:rsidP="00D93016">
            <w:pPr>
              <w:spacing w:before="20" w:after="20"/>
              <w:ind w:left="97"/>
              <w:jc w:val="left"/>
              <w:rPr>
                <w:bCs/>
                <w:sz w:val="16"/>
                <w:szCs w:val="16"/>
              </w:rPr>
            </w:pPr>
            <w:r w:rsidRPr="007F014B">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67DD2E74" w:rsidR="00D93016" w:rsidRPr="00110A4A" w:rsidRDefault="00D93016" w:rsidP="00D93016">
            <w:pPr>
              <w:tabs>
                <w:tab w:val="decimal" w:pos="547"/>
              </w:tabs>
              <w:jc w:val="left"/>
              <w:rPr>
                <w:color w:val="000000"/>
                <w:sz w:val="16"/>
                <w:szCs w:val="16"/>
              </w:rPr>
            </w:pPr>
            <w:r>
              <w:rPr>
                <w:color w:val="000000"/>
                <w:sz w:val="16"/>
                <w:szCs w:val="16"/>
              </w:rPr>
              <w:t>26.8</w:t>
            </w:r>
          </w:p>
        </w:tc>
        <w:tc>
          <w:tcPr>
            <w:tcW w:w="942" w:type="dxa"/>
            <w:tcBorders>
              <w:top w:val="nil"/>
              <w:left w:val="nil"/>
              <w:bottom w:val="nil"/>
              <w:right w:val="nil"/>
            </w:tcBorders>
            <w:shd w:val="clear" w:color="auto" w:fill="auto"/>
            <w:noWrap/>
            <w:vAlign w:val="center"/>
          </w:tcPr>
          <w:p w14:paraId="637BDE76" w14:textId="675308A9" w:rsidR="00D93016" w:rsidRPr="00775A59" w:rsidRDefault="00D93016" w:rsidP="00D93016">
            <w:pPr>
              <w:tabs>
                <w:tab w:val="left" w:pos="225"/>
                <w:tab w:val="decimal" w:pos="547"/>
              </w:tabs>
              <w:jc w:val="left"/>
              <w:rPr>
                <w:color w:val="000000"/>
                <w:sz w:val="16"/>
                <w:szCs w:val="16"/>
              </w:rPr>
            </w:pPr>
            <w:r>
              <w:rPr>
                <w:color w:val="000000"/>
                <w:sz w:val="16"/>
                <w:szCs w:val="16"/>
              </w:rPr>
              <w:tab/>
              <w:t>(-)</w:t>
            </w:r>
            <w:r>
              <w:rPr>
                <w:color w:val="000000"/>
                <w:sz w:val="16"/>
                <w:szCs w:val="16"/>
              </w:rPr>
              <w:tab/>
              <w:t>2.7</w:t>
            </w:r>
          </w:p>
        </w:tc>
        <w:tc>
          <w:tcPr>
            <w:tcW w:w="1042" w:type="dxa"/>
            <w:tcBorders>
              <w:top w:val="nil"/>
              <w:left w:val="nil"/>
              <w:bottom w:val="nil"/>
              <w:right w:val="single" w:sz="6" w:space="0" w:color="404040"/>
            </w:tcBorders>
            <w:shd w:val="clear" w:color="auto" w:fill="auto"/>
            <w:noWrap/>
            <w:vAlign w:val="center"/>
          </w:tcPr>
          <w:p w14:paraId="221240FE" w14:textId="15EED32F" w:rsidR="00D93016" w:rsidRPr="007F014B" w:rsidRDefault="00D93016" w:rsidP="00D93016">
            <w:pPr>
              <w:tabs>
                <w:tab w:val="decimal" w:pos="508"/>
              </w:tabs>
              <w:jc w:val="left"/>
              <w:rPr>
                <w:color w:val="000000"/>
                <w:sz w:val="16"/>
                <w:szCs w:val="16"/>
              </w:rPr>
            </w:pPr>
            <w:r>
              <w:rPr>
                <w:color w:val="000000"/>
                <w:sz w:val="16"/>
                <w:szCs w:val="16"/>
              </w:rPr>
              <w:t>6.5</w:t>
            </w:r>
          </w:p>
        </w:tc>
        <w:tc>
          <w:tcPr>
            <w:tcW w:w="991" w:type="dxa"/>
            <w:tcBorders>
              <w:top w:val="nil"/>
              <w:left w:val="single" w:sz="6" w:space="0" w:color="404040"/>
              <w:bottom w:val="nil"/>
              <w:right w:val="nil"/>
            </w:tcBorders>
            <w:shd w:val="clear" w:color="auto" w:fill="auto"/>
            <w:noWrap/>
            <w:vAlign w:val="center"/>
          </w:tcPr>
          <w:p w14:paraId="315407DF" w14:textId="341B16AE" w:rsidR="00D93016" w:rsidRPr="007F014B" w:rsidRDefault="00D93016" w:rsidP="00D93016">
            <w:pPr>
              <w:tabs>
                <w:tab w:val="decimal" w:pos="508"/>
              </w:tabs>
              <w:jc w:val="left"/>
              <w:rPr>
                <w:color w:val="000000"/>
                <w:sz w:val="16"/>
                <w:szCs w:val="16"/>
              </w:rPr>
            </w:pPr>
            <w:r>
              <w:rPr>
                <w:color w:val="000000"/>
                <w:sz w:val="16"/>
                <w:szCs w:val="16"/>
              </w:rPr>
              <w:t>17.1</w:t>
            </w:r>
          </w:p>
        </w:tc>
        <w:tc>
          <w:tcPr>
            <w:tcW w:w="934" w:type="dxa"/>
            <w:tcBorders>
              <w:top w:val="nil"/>
              <w:left w:val="nil"/>
              <w:bottom w:val="nil"/>
              <w:right w:val="nil"/>
            </w:tcBorders>
            <w:shd w:val="clear" w:color="auto" w:fill="auto"/>
            <w:noWrap/>
            <w:vAlign w:val="center"/>
          </w:tcPr>
          <w:p w14:paraId="7FBEC74E" w14:textId="0D58AFCF" w:rsidR="00D93016" w:rsidRPr="007F014B" w:rsidRDefault="00D93016" w:rsidP="00135F34">
            <w:pPr>
              <w:tabs>
                <w:tab w:val="left" w:pos="225"/>
                <w:tab w:val="decimal" w:pos="547"/>
              </w:tabs>
              <w:jc w:val="left"/>
              <w:rPr>
                <w:color w:val="000000"/>
                <w:sz w:val="16"/>
                <w:szCs w:val="16"/>
              </w:rPr>
            </w:pPr>
            <w:r>
              <w:rPr>
                <w:color w:val="000000"/>
                <w:sz w:val="16"/>
                <w:szCs w:val="16"/>
              </w:rPr>
              <w:tab/>
              <w:t>(-)</w:t>
            </w:r>
            <w:r>
              <w:rPr>
                <w:color w:val="000000"/>
                <w:sz w:val="16"/>
                <w:szCs w:val="16"/>
              </w:rPr>
              <w:tab/>
              <w:t>0.1</w:t>
            </w:r>
          </w:p>
        </w:tc>
        <w:tc>
          <w:tcPr>
            <w:tcW w:w="1050" w:type="dxa"/>
            <w:tcBorders>
              <w:top w:val="nil"/>
              <w:left w:val="nil"/>
              <w:bottom w:val="nil"/>
              <w:right w:val="single" w:sz="8" w:space="0" w:color="404040"/>
            </w:tcBorders>
            <w:shd w:val="clear" w:color="auto" w:fill="auto"/>
            <w:noWrap/>
            <w:vAlign w:val="center"/>
          </w:tcPr>
          <w:p w14:paraId="54F0FE9C" w14:textId="102925B7" w:rsidR="00D93016" w:rsidRPr="007F014B" w:rsidRDefault="00D93016" w:rsidP="00D93016">
            <w:pPr>
              <w:tabs>
                <w:tab w:val="decimal" w:pos="547"/>
              </w:tabs>
              <w:jc w:val="left"/>
              <w:rPr>
                <w:color w:val="000000"/>
                <w:sz w:val="16"/>
                <w:szCs w:val="16"/>
              </w:rPr>
            </w:pPr>
            <w:r>
              <w:rPr>
                <w:color w:val="000000"/>
                <w:sz w:val="16"/>
                <w:szCs w:val="16"/>
              </w:rPr>
              <w:t>3.2</w:t>
            </w:r>
          </w:p>
        </w:tc>
      </w:tr>
      <w:tr w:rsidR="00D93016" w:rsidRPr="007F014B" w14:paraId="742B1974" w14:textId="77777777" w:rsidTr="00D93016">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D93016" w:rsidRPr="007F014B" w:rsidRDefault="00D93016" w:rsidP="00D93016">
            <w:pPr>
              <w:spacing w:before="20" w:after="20"/>
              <w:ind w:left="97"/>
              <w:jc w:val="left"/>
              <w:rPr>
                <w:bCs/>
                <w:sz w:val="16"/>
                <w:szCs w:val="16"/>
              </w:rPr>
            </w:pPr>
            <w:r w:rsidRPr="007F014B">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57289FC1" w:rsidR="00D93016" w:rsidRPr="00110A4A" w:rsidRDefault="00D93016" w:rsidP="00D93016">
            <w:pPr>
              <w:tabs>
                <w:tab w:val="decimal" w:pos="547"/>
              </w:tabs>
              <w:jc w:val="left"/>
              <w:rPr>
                <w:color w:val="000000"/>
                <w:sz w:val="16"/>
                <w:szCs w:val="16"/>
              </w:rPr>
            </w:pPr>
            <w:r>
              <w:rPr>
                <w:color w:val="000000"/>
                <w:sz w:val="16"/>
                <w:szCs w:val="16"/>
              </w:rPr>
              <w:t>6.3</w:t>
            </w:r>
          </w:p>
        </w:tc>
        <w:tc>
          <w:tcPr>
            <w:tcW w:w="942" w:type="dxa"/>
            <w:tcBorders>
              <w:top w:val="nil"/>
              <w:left w:val="nil"/>
              <w:bottom w:val="single" w:sz="8" w:space="0" w:color="404040"/>
              <w:right w:val="nil"/>
            </w:tcBorders>
            <w:shd w:val="clear" w:color="auto" w:fill="auto"/>
            <w:noWrap/>
            <w:vAlign w:val="center"/>
          </w:tcPr>
          <w:p w14:paraId="2448AE91" w14:textId="3D0E65D8" w:rsidR="00D93016" w:rsidRPr="00775A59" w:rsidRDefault="00D93016" w:rsidP="00D93016">
            <w:pPr>
              <w:tabs>
                <w:tab w:val="decimal" w:pos="547"/>
              </w:tabs>
              <w:jc w:val="left"/>
              <w:rPr>
                <w:color w:val="000000"/>
                <w:sz w:val="16"/>
                <w:szCs w:val="16"/>
              </w:rPr>
            </w:pPr>
            <w:r>
              <w:rPr>
                <w:color w:val="000000"/>
                <w:sz w:val="16"/>
                <w:szCs w:val="16"/>
              </w:rPr>
              <w:t>7.0</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7DCAEAE5" w:rsidR="00D93016" w:rsidRPr="007F014B" w:rsidRDefault="00D93016" w:rsidP="00135F34">
            <w:pPr>
              <w:tabs>
                <w:tab w:val="left" w:pos="87"/>
                <w:tab w:val="decimal" w:pos="508"/>
              </w:tabs>
              <w:jc w:val="left"/>
              <w:rPr>
                <w:color w:val="000000"/>
                <w:sz w:val="16"/>
                <w:szCs w:val="16"/>
              </w:rPr>
            </w:pPr>
            <w:r>
              <w:rPr>
                <w:color w:val="000000"/>
                <w:sz w:val="16"/>
                <w:szCs w:val="16"/>
              </w:rPr>
              <w:tab/>
              <w:t>(-)</w:t>
            </w:r>
            <w:r>
              <w:rPr>
                <w:color w:val="000000"/>
                <w:sz w:val="16"/>
                <w:szCs w:val="16"/>
              </w:rPr>
              <w:tab/>
              <w:t>6.5</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18A1DCD1" w:rsidR="00D93016" w:rsidRPr="007F014B" w:rsidRDefault="00D93016" w:rsidP="00D93016">
            <w:pPr>
              <w:tabs>
                <w:tab w:val="decimal" w:pos="508"/>
              </w:tabs>
              <w:jc w:val="left"/>
              <w:rPr>
                <w:color w:val="000000"/>
                <w:sz w:val="16"/>
                <w:szCs w:val="16"/>
              </w:rPr>
            </w:pPr>
            <w:r>
              <w:rPr>
                <w:color w:val="000000"/>
                <w:sz w:val="16"/>
                <w:szCs w:val="16"/>
              </w:rPr>
              <w:t>10.7</w:t>
            </w:r>
          </w:p>
        </w:tc>
        <w:tc>
          <w:tcPr>
            <w:tcW w:w="934" w:type="dxa"/>
            <w:tcBorders>
              <w:top w:val="nil"/>
              <w:left w:val="nil"/>
              <w:bottom w:val="single" w:sz="8" w:space="0" w:color="404040"/>
              <w:right w:val="nil"/>
            </w:tcBorders>
            <w:shd w:val="clear" w:color="auto" w:fill="auto"/>
            <w:noWrap/>
            <w:vAlign w:val="center"/>
          </w:tcPr>
          <w:p w14:paraId="172367C7" w14:textId="7FCC71E5" w:rsidR="00D93016" w:rsidRPr="007F014B" w:rsidRDefault="00D93016" w:rsidP="00D93016">
            <w:pPr>
              <w:tabs>
                <w:tab w:val="decimal" w:pos="547"/>
              </w:tabs>
              <w:jc w:val="left"/>
              <w:rPr>
                <w:color w:val="000000"/>
                <w:sz w:val="16"/>
                <w:szCs w:val="16"/>
              </w:rPr>
            </w:pPr>
            <w:r>
              <w:rPr>
                <w:color w:val="000000"/>
                <w:sz w:val="16"/>
                <w:szCs w:val="16"/>
              </w:rPr>
              <w:t>1.8</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14CBB6E5" w:rsidR="00D93016" w:rsidRPr="007F014B" w:rsidRDefault="00D93016" w:rsidP="00D93016">
            <w:pPr>
              <w:tabs>
                <w:tab w:val="decimal" w:pos="547"/>
              </w:tabs>
              <w:jc w:val="left"/>
              <w:rPr>
                <w:color w:val="000000"/>
                <w:sz w:val="16"/>
                <w:szCs w:val="16"/>
              </w:rPr>
            </w:pPr>
            <w:r>
              <w:rPr>
                <w:color w:val="000000"/>
                <w:sz w:val="16"/>
                <w:szCs w:val="16"/>
              </w:rPr>
              <w:t>4.6</w:t>
            </w:r>
          </w:p>
        </w:tc>
      </w:tr>
    </w:tbl>
    <w:p w14:paraId="347C75D8" w14:textId="77777777" w:rsidR="00467BD1" w:rsidRPr="007F014B" w:rsidRDefault="00467BD1" w:rsidP="009D4C7B">
      <w:pPr>
        <w:pStyle w:val="Textoindependiente"/>
        <w:widowControl w:val="0"/>
        <w:tabs>
          <w:tab w:val="left" w:pos="798"/>
        </w:tabs>
        <w:spacing w:before="0"/>
        <w:ind w:left="350" w:firstLine="266"/>
        <w:rPr>
          <w:color w:val="auto"/>
          <w:sz w:val="16"/>
          <w:szCs w:val="16"/>
        </w:rPr>
      </w:pPr>
      <w:r w:rsidRPr="007F014B">
        <w:rPr>
          <w:color w:val="auto"/>
          <w:sz w:val="18"/>
          <w:szCs w:val="18"/>
          <w:vertAlign w:val="superscript"/>
        </w:rPr>
        <w:t>p/</w:t>
      </w:r>
      <w:r w:rsidR="009D4C7B" w:rsidRPr="007F014B">
        <w:rPr>
          <w:color w:val="auto"/>
          <w:sz w:val="18"/>
          <w:szCs w:val="18"/>
          <w:vertAlign w:val="superscript"/>
        </w:rPr>
        <w:tab/>
      </w:r>
      <w:r w:rsidRPr="007F014B">
        <w:rPr>
          <w:color w:val="auto"/>
          <w:sz w:val="16"/>
          <w:szCs w:val="16"/>
        </w:rPr>
        <w:t>Cifras preliminares.</w:t>
      </w:r>
    </w:p>
    <w:p w14:paraId="25C1BF4E" w14:textId="77777777" w:rsidR="00F00159" w:rsidRPr="007F014B" w:rsidRDefault="00F00159" w:rsidP="009D4C7B">
      <w:pPr>
        <w:pStyle w:val="Textoindependiente"/>
        <w:widowControl w:val="0"/>
        <w:tabs>
          <w:tab w:val="left" w:pos="798"/>
        </w:tabs>
        <w:spacing w:before="0"/>
        <w:ind w:left="350" w:firstLine="266"/>
        <w:rPr>
          <w:color w:val="auto"/>
          <w:sz w:val="16"/>
          <w:szCs w:val="16"/>
        </w:rPr>
      </w:pPr>
      <w:r w:rsidRPr="007F014B">
        <w:rPr>
          <w:color w:val="auto"/>
          <w:sz w:val="16"/>
          <w:szCs w:val="16"/>
        </w:rPr>
        <w:t>*</w:t>
      </w:r>
      <w:r w:rsidR="009D4C7B" w:rsidRPr="007F014B">
        <w:rPr>
          <w:color w:val="auto"/>
          <w:sz w:val="16"/>
          <w:szCs w:val="16"/>
        </w:rPr>
        <w:tab/>
      </w:r>
      <w:r w:rsidRPr="007F014B">
        <w:rPr>
          <w:color w:val="auto"/>
          <w:sz w:val="16"/>
          <w:szCs w:val="16"/>
        </w:rPr>
        <w:t>En términos reales</w:t>
      </w:r>
      <w:r w:rsidR="00A2246F" w:rsidRPr="007F014B">
        <w:rPr>
          <w:color w:val="auto"/>
          <w:sz w:val="16"/>
          <w:szCs w:val="16"/>
        </w:rPr>
        <w:t>.</w:t>
      </w:r>
    </w:p>
    <w:p w14:paraId="5EE5EFD1" w14:textId="6DE7DE0F" w:rsidR="002F1CE6" w:rsidRPr="007F014B" w:rsidRDefault="00467BD1" w:rsidP="00EA7C32">
      <w:pPr>
        <w:pStyle w:val="Textoindependiente"/>
        <w:widowControl w:val="0"/>
        <w:tabs>
          <w:tab w:val="left" w:pos="1232"/>
        </w:tabs>
        <w:spacing w:before="0"/>
        <w:ind w:left="350" w:firstLine="266"/>
        <w:rPr>
          <w:color w:val="auto"/>
          <w:sz w:val="16"/>
          <w:szCs w:val="16"/>
        </w:rPr>
      </w:pPr>
      <w:r w:rsidRPr="007F014B">
        <w:rPr>
          <w:color w:val="auto"/>
          <w:sz w:val="16"/>
          <w:szCs w:val="16"/>
        </w:rPr>
        <w:t>Fuente:</w:t>
      </w:r>
      <w:r w:rsidR="00A82501">
        <w:rPr>
          <w:color w:val="auto"/>
          <w:sz w:val="16"/>
          <w:szCs w:val="16"/>
        </w:rPr>
        <w:tab/>
      </w:r>
      <w:r w:rsidRPr="007F014B">
        <w:rPr>
          <w:color w:val="auto"/>
          <w:sz w:val="16"/>
          <w:szCs w:val="16"/>
        </w:rPr>
        <w:t>INEGI.</w:t>
      </w:r>
    </w:p>
    <w:p w14:paraId="5F99723E" w14:textId="77777777" w:rsidR="00901366" w:rsidRPr="007F014B" w:rsidRDefault="00901366" w:rsidP="003D3889">
      <w:pPr>
        <w:pStyle w:val="p0"/>
        <w:keepNext/>
        <w:spacing w:before="600"/>
        <w:jc w:val="left"/>
        <w:rPr>
          <w:rFonts w:ascii="Arial" w:hAnsi="Arial"/>
          <w:b/>
          <w:i/>
          <w:color w:val="auto"/>
        </w:rPr>
      </w:pPr>
      <w:r w:rsidRPr="007F014B">
        <w:rPr>
          <w:rFonts w:ascii="Arial" w:hAnsi="Arial"/>
          <w:b/>
          <w:i/>
          <w:color w:val="auto"/>
        </w:rPr>
        <w:lastRenderedPageBreak/>
        <w:t>Nota al usuario</w:t>
      </w:r>
    </w:p>
    <w:p w14:paraId="43601560" w14:textId="4A3D91AD" w:rsidR="0093485F" w:rsidRPr="0093485F" w:rsidRDefault="006C5B70" w:rsidP="0093485F">
      <w:pPr>
        <w:pStyle w:val="p0"/>
        <w:keepNext/>
        <w:rPr>
          <w:rFonts w:ascii="Arial" w:hAnsi="Arial"/>
          <w:color w:val="auto"/>
        </w:rPr>
      </w:pPr>
      <w:r w:rsidRPr="0093485F">
        <w:rPr>
          <w:rFonts w:ascii="Arial" w:hAnsi="Arial"/>
          <w:color w:val="auto"/>
          <w:lang w:val="es-MX"/>
        </w:rPr>
        <w:t xml:space="preserve">La </w:t>
      </w:r>
      <w:r w:rsidR="00A82501" w:rsidRPr="0093485F">
        <w:rPr>
          <w:rFonts w:ascii="Arial" w:hAnsi="Arial"/>
          <w:color w:val="auto"/>
          <w:lang w:val="es-MX"/>
        </w:rPr>
        <w:t>T</w:t>
      </w:r>
      <w:r w:rsidRPr="0093485F">
        <w:rPr>
          <w:rFonts w:ascii="Arial" w:hAnsi="Arial"/>
          <w:color w:val="auto"/>
          <w:lang w:val="es-MX"/>
        </w:rPr>
        <w:t xml:space="preserve">asa de </w:t>
      </w:r>
      <w:r w:rsidR="00A82501" w:rsidRPr="0093485F">
        <w:rPr>
          <w:rFonts w:ascii="Arial" w:hAnsi="Arial"/>
          <w:color w:val="auto"/>
          <w:lang w:val="es-MX"/>
        </w:rPr>
        <w:t>N</w:t>
      </w:r>
      <w:r w:rsidRPr="0093485F">
        <w:rPr>
          <w:rFonts w:ascii="Arial" w:hAnsi="Arial"/>
          <w:color w:val="auto"/>
          <w:lang w:val="es-MX"/>
        </w:rPr>
        <w:t xml:space="preserve">o </w:t>
      </w:r>
      <w:r w:rsidR="00A82501" w:rsidRPr="0093485F">
        <w:rPr>
          <w:rFonts w:ascii="Arial" w:hAnsi="Arial"/>
          <w:color w:val="auto"/>
          <w:lang w:val="es-MX"/>
        </w:rPr>
        <w:t>R</w:t>
      </w:r>
      <w:r w:rsidRPr="0093485F">
        <w:rPr>
          <w:rFonts w:ascii="Arial" w:hAnsi="Arial"/>
          <w:color w:val="auto"/>
          <w:lang w:val="es-MX"/>
        </w:rPr>
        <w:t>espuesta de la Encuesta Mensual sobre Empresas Comerciales</w:t>
      </w:r>
      <w:r w:rsidR="001E01B3">
        <w:rPr>
          <w:rFonts w:ascii="Arial" w:hAnsi="Arial"/>
          <w:color w:val="auto"/>
          <w:lang w:val="es-MX"/>
        </w:rPr>
        <w:t xml:space="preserve"> (EMEC)</w:t>
      </w:r>
      <w:r w:rsidRPr="0093485F">
        <w:rPr>
          <w:rFonts w:ascii="Arial" w:hAnsi="Arial"/>
          <w:color w:val="auto"/>
          <w:lang w:val="es-MX"/>
        </w:rPr>
        <w:t xml:space="preserve">, correspondiente a </w:t>
      </w:r>
      <w:r w:rsidR="00457D38" w:rsidRPr="0093485F">
        <w:rPr>
          <w:rFonts w:ascii="Arial" w:hAnsi="Arial"/>
          <w:color w:val="auto"/>
          <w:lang w:val="es-MX"/>
        </w:rPr>
        <w:t>ju</w:t>
      </w:r>
      <w:r w:rsidR="00135F34" w:rsidRPr="0093485F">
        <w:rPr>
          <w:rFonts w:ascii="Arial" w:hAnsi="Arial"/>
          <w:color w:val="auto"/>
          <w:lang w:val="es-MX"/>
        </w:rPr>
        <w:t>l</w:t>
      </w:r>
      <w:r w:rsidR="00457D38" w:rsidRPr="0093485F">
        <w:rPr>
          <w:rFonts w:ascii="Arial" w:hAnsi="Arial"/>
          <w:color w:val="auto"/>
          <w:lang w:val="es-MX"/>
        </w:rPr>
        <w:t>i</w:t>
      </w:r>
      <w:r w:rsidR="00775A59" w:rsidRPr="0093485F">
        <w:rPr>
          <w:rFonts w:ascii="Arial" w:hAnsi="Arial"/>
          <w:color w:val="auto"/>
          <w:lang w:val="es-MX"/>
        </w:rPr>
        <w:t>o</w:t>
      </w:r>
      <w:r w:rsidRPr="0093485F">
        <w:rPr>
          <w:rFonts w:ascii="Arial" w:hAnsi="Arial"/>
          <w:color w:val="auto"/>
          <w:lang w:val="es-MX"/>
        </w:rPr>
        <w:t xml:space="preserve"> de 2021</w:t>
      </w:r>
      <w:r w:rsidR="0093485F" w:rsidRPr="0093485F">
        <w:rPr>
          <w:rFonts w:ascii="Arial" w:hAnsi="Arial"/>
          <w:color w:val="auto"/>
          <w:lang w:val="es-MX"/>
        </w:rPr>
        <w:t xml:space="preserve"> </w:t>
      </w:r>
      <w:r w:rsidRPr="0093485F">
        <w:rPr>
          <w:rFonts w:ascii="Arial" w:hAnsi="Arial"/>
          <w:color w:val="auto"/>
          <w:lang w:val="es-MX"/>
        </w:rPr>
        <w:t xml:space="preserve">registró porcentajes apropiados conforme al diseño estadístico de la </w:t>
      </w:r>
      <w:r w:rsidR="002042DC" w:rsidRPr="0093485F">
        <w:rPr>
          <w:rFonts w:ascii="Arial" w:hAnsi="Arial"/>
          <w:color w:val="auto"/>
          <w:lang w:val="es-MX"/>
        </w:rPr>
        <w:t>e</w:t>
      </w:r>
      <w:r w:rsidRPr="0093485F">
        <w:rPr>
          <w:rFonts w:ascii="Arial" w:hAnsi="Arial"/>
          <w:color w:val="auto"/>
          <w:lang w:val="es-MX"/>
        </w:rPr>
        <w:t>ncuesta, lo que permitió la generación de estadísticas con niveles altos de precisión</w:t>
      </w:r>
      <w:r w:rsidR="0026680B" w:rsidRPr="0093485F">
        <w:rPr>
          <w:rFonts w:ascii="Arial" w:hAnsi="Arial"/>
          <w:color w:val="auto"/>
        </w:rPr>
        <w:t>.</w:t>
      </w:r>
      <w:r w:rsidR="0093485F" w:rsidRPr="0093485F">
        <w:t xml:space="preserve"> </w:t>
      </w:r>
      <w:r w:rsidR="002E6BE2">
        <w:rPr>
          <w:rFonts w:ascii="Arial" w:hAnsi="Arial"/>
          <w:color w:val="auto"/>
        </w:rPr>
        <w:t>D</w:t>
      </w:r>
      <w:r w:rsidR="0093485F" w:rsidRPr="0093485F">
        <w:rPr>
          <w:rFonts w:ascii="Arial" w:hAnsi="Arial"/>
          <w:color w:val="auto"/>
        </w:rPr>
        <w:t xml:space="preserve">e los 40 dominios de estudio de la encuesta, </w:t>
      </w:r>
      <w:r w:rsidR="002E6BE2">
        <w:rPr>
          <w:rFonts w:ascii="Arial" w:hAnsi="Arial"/>
          <w:color w:val="auto"/>
        </w:rPr>
        <w:t xml:space="preserve">sólo </w:t>
      </w:r>
      <w:r w:rsidR="00022F65">
        <w:rPr>
          <w:rFonts w:ascii="Arial" w:hAnsi="Arial"/>
          <w:color w:val="auto"/>
        </w:rPr>
        <w:t xml:space="preserve">para los </w:t>
      </w:r>
      <w:r w:rsidR="002E6BE2">
        <w:rPr>
          <w:rFonts w:ascii="Arial" w:hAnsi="Arial"/>
          <w:color w:val="auto"/>
        </w:rPr>
        <w:t xml:space="preserve">dominios </w:t>
      </w:r>
      <w:r w:rsidR="00022F65" w:rsidRPr="0093485F">
        <w:rPr>
          <w:rFonts w:ascii="Arial" w:hAnsi="Arial"/>
          <w:color w:val="auto"/>
        </w:rPr>
        <w:t xml:space="preserve">Comercio al por mayor de electrodomésticos menores y aparatos de línea blanca </w:t>
      </w:r>
      <w:r w:rsidR="00022F65">
        <w:rPr>
          <w:rFonts w:ascii="Arial" w:hAnsi="Arial"/>
          <w:color w:val="auto"/>
        </w:rPr>
        <w:t xml:space="preserve">e </w:t>
      </w:r>
      <w:r w:rsidR="00022F65" w:rsidRPr="0093485F">
        <w:rPr>
          <w:rFonts w:ascii="Arial" w:hAnsi="Arial"/>
          <w:color w:val="auto"/>
        </w:rPr>
        <w:t>Intermediación de comercio al por mayor exclusivamente a través de Internet y otros medios electrónicos</w:t>
      </w:r>
      <w:r w:rsidR="00022F65">
        <w:rPr>
          <w:rFonts w:ascii="Arial" w:hAnsi="Arial"/>
          <w:color w:val="auto"/>
        </w:rPr>
        <w:t xml:space="preserve">, </w:t>
      </w:r>
      <w:r w:rsidR="002E6BE2">
        <w:rPr>
          <w:rFonts w:ascii="Arial" w:hAnsi="Arial"/>
          <w:color w:val="auto"/>
        </w:rPr>
        <w:t xml:space="preserve">que </w:t>
      </w:r>
      <w:r w:rsidR="0093485F" w:rsidRPr="0093485F">
        <w:rPr>
          <w:rFonts w:ascii="Arial" w:hAnsi="Arial"/>
          <w:color w:val="auto"/>
        </w:rPr>
        <w:t>representa</w:t>
      </w:r>
      <w:r w:rsidR="00022F65">
        <w:rPr>
          <w:rFonts w:ascii="Arial" w:hAnsi="Arial"/>
          <w:color w:val="auto"/>
        </w:rPr>
        <w:t>n</w:t>
      </w:r>
      <w:r w:rsidR="0093485F" w:rsidRPr="0093485F">
        <w:rPr>
          <w:rFonts w:ascii="Arial" w:hAnsi="Arial"/>
          <w:color w:val="auto"/>
        </w:rPr>
        <w:t xml:space="preserve"> el 0.82% </w:t>
      </w:r>
      <w:r w:rsidR="0093485F">
        <w:rPr>
          <w:rFonts w:ascii="Arial" w:hAnsi="Arial"/>
          <w:color w:val="auto"/>
        </w:rPr>
        <w:t xml:space="preserve">con </w:t>
      </w:r>
      <w:r w:rsidR="0093485F" w:rsidRPr="0093485F">
        <w:rPr>
          <w:rFonts w:ascii="Arial" w:hAnsi="Arial"/>
          <w:color w:val="auto"/>
        </w:rPr>
        <w:t xml:space="preserve">relación </w:t>
      </w:r>
      <w:r w:rsidR="0093485F">
        <w:rPr>
          <w:rFonts w:ascii="Arial" w:hAnsi="Arial"/>
          <w:color w:val="auto"/>
        </w:rPr>
        <w:t xml:space="preserve">a </w:t>
      </w:r>
      <w:r w:rsidR="0093485F" w:rsidRPr="0093485F">
        <w:rPr>
          <w:rFonts w:ascii="Arial" w:hAnsi="Arial"/>
          <w:color w:val="auto"/>
        </w:rPr>
        <w:t>la variable de ingresos del total del comercio</w:t>
      </w:r>
      <w:r w:rsidR="002E6BE2">
        <w:rPr>
          <w:rFonts w:ascii="Arial" w:hAnsi="Arial"/>
          <w:color w:val="auto"/>
        </w:rPr>
        <w:t>,</w:t>
      </w:r>
      <w:r w:rsidR="0093485F" w:rsidRPr="0093485F">
        <w:rPr>
          <w:rFonts w:ascii="Arial" w:hAnsi="Arial"/>
          <w:color w:val="auto"/>
        </w:rPr>
        <w:t xml:space="preserve"> </w:t>
      </w:r>
      <w:r w:rsidR="002E6BE2" w:rsidRPr="0093485F">
        <w:rPr>
          <w:rFonts w:ascii="Arial" w:hAnsi="Arial"/>
          <w:color w:val="auto"/>
        </w:rPr>
        <w:t>se recomienda el uso con reserva de las estimaciones</w:t>
      </w:r>
      <w:r w:rsidR="0093485F" w:rsidRPr="0093485F">
        <w:rPr>
          <w:rFonts w:ascii="Arial" w:hAnsi="Arial"/>
          <w:color w:val="auto"/>
        </w:rPr>
        <w:t>.</w:t>
      </w:r>
    </w:p>
    <w:p w14:paraId="57E0F922" w14:textId="291E806D" w:rsidR="00CD76B9" w:rsidRPr="00022F65" w:rsidRDefault="0093485F" w:rsidP="00022F65">
      <w:pPr>
        <w:pStyle w:val="p0"/>
        <w:keepLines w:val="0"/>
        <w:rPr>
          <w:rFonts w:ascii="Arial" w:hAnsi="Arial"/>
          <w:color w:val="auto"/>
        </w:rPr>
      </w:pPr>
      <w:r w:rsidRPr="00022F65">
        <w:rPr>
          <w:rFonts w:ascii="Arial" w:hAnsi="Arial"/>
          <w:color w:val="auto"/>
        </w:rPr>
        <w:t>E</w:t>
      </w:r>
      <w:r w:rsidR="00CD76B9" w:rsidRPr="00022F65">
        <w:rPr>
          <w:rFonts w:ascii="Arial" w:hAnsi="Arial"/>
          <w:color w:val="auto"/>
        </w:rPr>
        <w:t xml:space="preserve">n </w:t>
      </w:r>
      <w:r w:rsidR="002E6BE2" w:rsidRPr="00022F65">
        <w:rPr>
          <w:rFonts w:ascii="Arial" w:hAnsi="Arial"/>
          <w:color w:val="auto"/>
        </w:rPr>
        <w:t xml:space="preserve">concordancia </w:t>
      </w:r>
      <w:r w:rsidR="00CD76B9" w:rsidRPr="00022F65">
        <w:rPr>
          <w:rFonts w:ascii="Arial" w:hAnsi="Arial"/>
          <w:color w:val="auto"/>
        </w:rPr>
        <w:t>con los Lineamientos de Cambios a la Información Divulgada en las Publicaciones Estadísticas y Geográficas del INEGI</w:t>
      </w:r>
      <w:r w:rsidR="00CD76B9" w:rsidRPr="00022F65">
        <w:rPr>
          <w:rFonts w:ascii="Arial" w:hAnsi="Arial"/>
          <w:color w:val="auto"/>
          <w:lang w:val="es-MX"/>
        </w:rPr>
        <w:t xml:space="preserve">, </w:t>
      </w:r>
      <w:r w:rsidR="00CD76B9" w:rsidRPr="00022F65">
        <w:rPr>
          <w:rFonts w:ascii="Arial" w:hAnsi="Arial"/>
          <w:color w:val="auto"/>
        </w:rPr>
        <w:t xml:space="preserve">las series de la EMEC de 2020 fueron revisadas y actualizadas. De acuerdo con lo anterior, las cifras del periodo </w:t>
      </w:r>
      <w:r w:rsidR="00022F65">
        <w:rPr>
          <w:rFonts w:ascii="Arial" w:hAnsi="Arial"/>
          <w:color w:val="auto"/>
        </w:rPr>
        <w:br/>
      </w:r>
      <w:r w:rsidR="00CD76B9" w:rsidRPr="00022F65">
        <w:rPr>
          <w:rFonts w:ascii="Arial" w:hAnsi="Arial"/>
          <w:color w:val="auto"/>
        </w:rPr>
        <w:t>20</w:t>
      </w:r>
      <w:r w:rsidR="002E6BE2" w:rsidRPr="00022F65">
        <w:rPr>
          <w:rFonts w:ascii="Arial" w:hAnsi="Arial"/>
          <w:color w:val="auto"/>
        </w:rPr>
        <w:t>13</w:t>
      </w:r>
      <w:r w:rsidR="00CD76B9" w:rsidRPr="00022F65">
        <w:rPr>
          <w:rFonts w:ascii="Arial" w:hAnsi="Arial"/>
          <w:color w:val="auto"/>
        </w:rPr>
        <w:t>-2020 tienen carácter definitivo y las de 2021 mantienen su carácter de preliminar.</w:t>
      </w:r>
    </w:p>
    <w:p w14:paraId="619377FE" w14:textId="716F33DF" w:rsidR="002E6BE2" w:rsidRPr="00CD76B9" w:rsidRDefault="002E6BE2" w:rsidP="00022F65">
      <w:pPr>
        <w:pStyle w:val="p0"/>
        <w:keepLines w:val="0"/>
        <w:rPr>
          <w:rFonts w:ascii="Arial" w:hAnsi="Arial"/>
          <w:color w:val="auto"/>
          <w:highlight w:val="yellow"/>
        </w:rPr>
      </w:pPr>
      <w:r w:rsidRPr="00022F65">
        <w:rPr>
          <w:rFonts w:cs="Helvetica"/>
          <w:color w:val="000000"/>
        </w:rPr>
        <w:t>Los resultados definitivos del año 2020 mantienen niveles adecuados de cobertura y</w:t>
      </w:r>
      <w:r>
        <w:rPr>
          <w:rFonts w:cs="Helvetica"/>
          <w:color w:val="000000"/>
        </w:rPr>
        <w:t xml:space="preserve"> precisión para todos los dominios de estudio durante los 12 meses del año.</w:t>
      </w:r>
    </w:p>
    <w:p w14:paraId="5FFF3AFA" w14:textId="451095C6" w:rsidR="00A45043" w:rsidRPr="007F014B" w:rsidRDefault="0026680B" w:rsidP="0026680B">
      <w:pPr>
        <w:pStyle w:val="p0"/>
        <w:keepLines w:val="0"/>
        <w:widowControl/>
        <w:rPr>
          <w:rFonts w:ascii="Arial" w:hAnsi="Arial"/>
          <w:b/>
          <w:i/>
          <w:color w:val="auto"/>
        </w:rPr>
      </w:pPr>
      <w:r w:rsidRPr="0026680B">
        <w:rPr>
          <w:rFonts w:ascii="Arial" w:hAnsi="Arial"/>
          <w:color w:val="auto"/>
          <w:lang w:val="es-MX"/>
        </w:rPr>
        <w:t>Por otra parte, se informa que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26680B">
        <w:rPr>
          <w:rFonts w:ascii="Arial" w:hAnsi="Arial"/>
          <w:i/>
          <w:color w:val="auto"/>
          <w:lang w:val="es-MX"/>
        </w:rPr>
        <w:t>outliers</w:t>
      </w:r>
      <w:proofErr w:type="spellEnd"/>
      <w:r w:rsidRPr="0026680B">
        <w:rPr>
          <w:rFonts w:ascii="Arial" w:hAnsi="Arial"/>
          <w:color w:val="auto"/>
          <w:lang w:val="es-MX"/>
        </w:rPr>
        <w:t>) en los modelos de ajuste estacional para los meses de la contingencia. Lo anterior con el objetivo de que los grandes cambios en las cifras originales no influyan de manera desproporcionada en los factores estacionales utilizados</w:t>
      </w:r>
      <w:r w:rsidR="00A45043" w:rsidRPr="007F014B">
        <w:rPr>
          <w:rFonts w:ascii="Arial" w:hAnsi="Arial"/>
          <w:color w:val="auto"/>
          <w:lang w:val="es-MX"/>
        </w:rPr>
        <w:t>.</w:t>
      </w:r>
    </w:p>
    <w:p w14:paraId="6B4487FE" w14:textId="54F95215" w:rsidR="008A48D7" w:rsidRPr="007F014B" w:rsidRDefault="00467BD1" w:rsidP="00EA274B">
      <w:pPr>
        <w:pStyle w:val="p0"/>
        <w:keepLines w:val="0"/>
        <w:widowControl/>
        <w:spacing w:before="360"/>
        <w:rPr>
          <w:rFonts w:ascii="Arial" w:hAnsi="Arial"/>
          <w:b/>
          <w:i/>
          <w:color w:val="auto"/>
        </w:rPr>
      </w:pPr>
      <w:r w:rsidRPr="007F014B">
        <w:rPr>
          <w:rFonts w:ascii="Arial" w:hAnsi="Arial"/>
          <w:b/>
          <w:i/>
          <w:color w:val="auto"/>
        </w:rPr>
        <w:t>Nota metodológica</w:t>
      </w:r>
    </w:p>
    <w:p w14:paraId="0A629C88" w14:textId="745843A3" w:rsidR="0026680B" w:rsidRPr="0026680B" w:rsidRDefault="0026680B" w:rsidP="0026680B">
      <w:pPr>
        <w:pStyle w:val="p0"/>
        <w:spacing w:before="280"/>
        <w:rPr>
          <w:rFonts w:ascii="Arial" w:hAnsi="Arial"/>
          <w:color w:val="auto"/>
        </w:rPr>
      </w:pPr>
      <w:r w:rsidRPr="0026680B">
        <w:rPr>
          <w:rFonts w:ascii="Arial" w:hAnsi="Arial"/>
          <w:color w:val="auto"/>
        </w:rPr>
        <w:t xml:space="preserve">Con las variables captadas por la Encuesta Mensual sobre Empresas Comerciales (EMEC), se generan índices y tasas de variación de: </w:t>
      </w:r>
      <w:r w:rsidR="00724F45" w:rsidRPr="0026680B">
        <w:rPr>
          <w:rFonts w:ascii="Arial" w:hAnsi="Arial"/>
          <w:color w:val="auto"/>
        </w:rPr>
        <w:t xml:space="preserve">ingresos totales por suministro de bienes y servicios, gastos totales por </w:t>
      </w:r>
      <w:r w:rsidR="008A1558">
        <w:rPr>
          <w:rFonts w:ascii="Arial" w:hAnsi="Arial"/>
          <w:color w:val="auto"/>
        </w:rPr>
        <w:t>consumo</w:t>
      </w:r>
      <w:r w:rsidR="00724F45" w:rsidRPr="0026680B">
        <w:rPr>
          <w:rFonts w:ascii="Arial" w:hAnsi="Arial"/>
          <w:color w:val="auto"/>
        </w:rPr>
        <w:t xml:space="preserve"> de bienes y servicios</w:t>
      </w:r>
      <w:r w:rsidR="00724F45">
        <w:rPr>
          <w:rFonts w:ascii="Arial" w:hAnsi="Arial"/>
          <w:color w:val="auto"/>
        </w:rPr>
        <w:t>,</w:t>
      </w:r>
      <w:r w:rsidR="00724F45" w:rsidRPr="0026680B">
        <w:rPr>
          <w:rFonts w:ascii="Arial" w:hAnsi="Arial"/>
          <w:color w:val="auto"/>
        </w:rPr>
        <w:t xml:space="preserve"> </w:t>
      </w:r>
      <w:r w:rsidRPr="0026680B">
        <w:rPr>
          <w:rFonts w:ascii="Arial" w:hAnsi="Arial"/>
          <w:color w:val="auto"/>
        </w:rPr>
        <w:t>personal ocupado total, remuneraciones totales, remuneraci</w:t>
      </w:r>
      <w:r w:rsidR="008A1558">
        <w:rPr>
          <w:rFonts w:ascii="Arial" w:hAnsi="Arial"/>
          <w:color w:val="auto"/>
        </w:rPr>
        <w:t>ones</w:t>
      </w:r>
      <w:r w:rsidRPr="0026680B">
        <w:rPr>
          <w:rFonts w:ascii="Arial" w:hAnsi="Arial"/>
          <w:color w:val="auto"/>
        </w:rPr>
        <w:t xml:space="preserve"> </w:t>
      </w:r>
      <w:r w:rsidR="008A1558">
        <w:rPr>
          <w:rFonts w:ascii="Arial" w:hAnsi="Arial"/>
          <w:color w:val="auto"/>
        </w:rPr>
        <w:t>medias por</w:t>
      </w:r>
      <w:r w:rsidR="004A32E9">
        <w:rPr>
          <w:rFonts w:ascii="Arial" w:hAnsi="Arial"/>
          <w:color w:val="auto"/>
        </w:rPr>
        <w:t xml:space="preserve"> persona ocupad</w:t>
      </w:r>
      <w:r w:rsidR="008A1558">
        <w:rPr>
          <w:rFonts w:ascii="Arial" w:hAnsi="Arial"/>
          <w:color w:val="auto"/>
        </w:rPr>
        <w:t>a</w:t>
      </w:r>
      <w:r w:rsidRPr="0026680B">
        <w:rPr>
          <w:rFonts w:ascii="Arial" w:hAnsi="Arial"/>
          <w:color w:val="auto"/>
        </w:rPr>
        <w:t xml:space="preserve"> (nacional) y, mercancías compradas para su reventa (entidad). El año base para la generación de cada uno de los índices que presenta la EMEC es 2013; la elección de este periodo se debe a que dicho año es el referente de la información de los Censos Económicos 2014, al igual que el del Sistema de Cuentas Nacionales de México</w:t>
      </w:r>
      <w:r w:rsidR="008A1558">
        <w:rPr>
          <w:rFonts w:ascii="Arial" w:hAnsi="Arial"/>
          <w:color w:val="auto"/>
        </w:rPr>
        <w:t xml:space="preserve"> (SCNM)</w:t>
      </w:r>
      <w:r w:rsidRPr="0026680B">
        <w:rPr>
          <w:rFonts w:ascii="Arial" w:hAnsi="Arial"/>
          <w:color w:val="auto"/>
        </w:rPr>
        <w:t>.</w:t>
      </w:r>
    </w:p>
    <w:p w14:paraId="041BC7B4" w14:textId="0246D94A" w:rsidR="0026680B" w:rsidRPr="0026680B" w:rsidRDefault="0026680B" w:rsidP="0026680B">
      <w:pPr>
        <w:pStyle w:val="p0"/>
        <w:rPr>
          <w:rFonts w:ascii="Arial" w:hAnsi="Arial"/>
          <w:color w:val="auto"/>
        </w:rPr>
      </w:pPr>
      <w:r w:rsidRPr="0026680B">
        <w:rPr>
          <w:rFonts w:ascii="Arial" w:hAnsi="Arial"/>
          <w:color w:val="auto"/>
        </w:rPr>
        <w:t xml:space="preserve">Para deflactar los ingresos por suministro de bienes y servicios, gastos por consumo de bienes y servicios, y </w:t>
      </w:r>
      <w:r w:rsidR="008A1558">
        <w:rPr>
          <w:rFonts w:ascii="Arial" w:hAnsi="Arial"/>
          <w:color w:val="auto"/>
        </w:rPr>
        <w:t xml:space="preserve">las </w:t>
      </w:r>
      <w:r w:rsidRPr="0026680B">
        <w:rPr>
          <w:rFonts w:ascii="Arial" w:hAnsi="Arial"/>
          <w:color w:val="auto"/>
        </w:rPr>
        <w:t>remuneraciones, la EMEC utiliza los índices de precios publicados por el INEGI, de acuerdo con las características de las variables y</w:t>
      </w:r>
      <w:r w:rsidR="008A1558">
        <w:rPr>
          <w:rFonts w:ascii="Arial" w:hAnsi="Arial"/>
          <w:color w:val="auto"/>
        </w:rPr>
        <w:t xml:space="preserve"> se</w:t>
      </w:r>
      <w:r w:rsidRPr="0026680B">
        <w:rPr>
          <w:rFonts w:ascii="Arial" w:hAnsi="Arial"/>
          <w:color w:val="auto"/>
        </w:rPr>
        <w:t xml:space="preserve"> utilizan los deflactores disponibles según el área geográfica correspondiente.</w:t>
      </w:r>
    </w:p>
    <w:p w14:paraId="72D55D50" w14:textId="0BAB939D" w:rsidR="00467BD1" w:rsidRPr="007F014B" w:rsidRDefault="0026680B" w:rsidP="004E26AB">
      <w:pPr>
        <w:pStyle w:val="p0"/>
        <w:keepLines w:val="0"/>
        <w:widowControl/>
        <w:spacing w:before="200"/>
        <w:rPr>
          <w:rFonts w:ascii="Arial" w:hAnsi="Arial"/>
          <w:color w:val="auto"/>
        </w:rPr>
      </w:pPr>
      <w:r w:rsidRPr="0026680B">
        <w:rPr>
          <w:rFonts w:ascii="Arial" w:hAnsi="Arial"/>
          <w:color w:val="auto"/>
        </w:rPr>
        <w:lastRenderedPageBreak/>
        <w:t xml:space="preserve">Es importante </w:t>
      </w:r>
      <w:r w:rsidR="008A1558">
        <w:rPr>
          <w:rFonts w:ascii="Arial" w:hAnsi="Arial"/>
          <w:color w:val="auto"/>
        </w:rPr>
        <w:t>destacar que la mayoría de</w:t>
      </w:r>
      <w:r w:rsidRPr="0026680B">
        <w:rPr>
          <w:rFonts w:ascii="Arial" w:hAnsi="Arial"/>
          <w:color w:val="auto"/>
        </w:rPr>
        <w:t xml:space="preserv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w:t>
      </w:r>
      <w:r w:rsidR="00452EA0">
        <w:rPr>
          <w:rFonts w:ascii="Arial" w:hAnsi="Arial"/>
          <w:color w:val="auto"/>
        </w:rPr>
        <w:t xml:space="preserve">por </w:t>
      </w:r>
      <w:r w:rsidRPr="0026680B">
        <w:rPr>
          <w:rFonts w:ascii="Arial" w:hAnsi="Arial"/>
          <w:color w:val="auto"/>
        </w:rPr>
        <w:t>ejemplo, la elevada adquisición de juguetes en los meses previos a la Navidad provocada por la expectativa de mayores ventas en diciembre</w:t>
      </w:r>
      <w:r w:rsidR="00467BD1" w:rsidRPr="007F014B">
        <w:rPr>
          <w:rFonts w:ascii="Arial" w:hAnsi="Arial"/>
          <w:color w:val="auto"/>
        </w:rPr>
        <w:t>.</w:t>
      </w:r>
    </w:p>
    <w:p w14:paraId="70F2C7EE" w14:textId="77777777" w:rsidR="00675B92" w:rsidRDefault="0026680B" w:rsidP="004E26AB">
      <w:pPr>
        <w:pStyle w:val="p0"/>
        <w:spacing w:before="200"/>
        <w:rPr>
          <w:rFonts w:ascii="Arial" w:hAnsi="Arial"/>
          <w:color w:val="auto"/>
        </w:rPr>
      </w:pPr>
      <w:r w:rsidRPr="0026680B">
        <w:rPr>
          <w:rFonts w:ascii="Arial" w:hAnsi="Arial"/>
          <w:color w:val="auto"/>
        </w:rPr>
        <w:t xml:space="preserve">En este sentido, la desestacionalización o ajuste estacional de series económicas consiste en remover estas influencias </w:t>
      </w:r>
      <w:proofErr w:type="spellStart"/>
      <w:r w:rsidRPr="0026680B">
        <w:rPr>
          <w:rFonts w:ascii="Arial" w:hAnsi="Arial"/>
          <w:color w:val="auto"/>
        </w:rPr>
        <w:t>intra-anuales</w:t>
      </w:r>
      <w:proofErr w:type="spellEnd"/>
      <w:r w:rsidRPr="0026680B">
        <w:rPr>
          <w:rFonts w:ascii="Arial" w:hAnsi="Arial"/>
          <w:color w:val="auto"/>
        </w:rPr>
        <w:t xml:space="preserve"> periódicas, debido a que su presencia dificulta diagnosticar o describir el comportamiento de una serie económica al no poder comparar adecuadamente un determinado mes con el inmediato anterior.  </w:t>
      </w:r>
    </w:p>
    <w:p w14:paraId="39E08AE8" w14:textId="0FD0348D" w:rsidR="0026680B" w:rsidRPr="0026680B" w:rsidRDefault="0026680B" w:rsidP="004E26AB">
      <w:pPr>
        <w:pStyle w:val="p0"/>
        <w:keepLines w:val="0"/>
        <w:spacing w:before="200"/>
        <w:rPr>
          <w:rFonts w:ascii="Arial" w:hAnsi="Arial"/>
          <w:color w:val="auto"/>
        </w:rPr>
      </w:pPr>
      <w:r w:rsidRPr="0026680B">
        <w:rPr>
          <w:rFonts w:ascii="Arial" w:hAnsi="Arial"/>
          <w:color w:val="auto"/>
        </w:rPr>
        <w:t xml:space="preserve">Analizar la serie desestacionalizada ayuda a realizar un mejor diagnóstico y pronóstico de </w:t>
      </w:r>
      <w:r w:rsidR="00675B92">
        <w:rPr>
          <w:rFonts w:ascii="Arial" w:hAnsi="Arial"/>
          <w:color w:val="auto"/>
        </w:rPr>
        <w:t xml:space="preserve">su </w:t>
      </w:r>
      <w:r w:rsidRPr="0026680B">
        <w:rPr>
          <w:rFonts w:ascii="Arial" w:hAnsi="Arial"/>
          <w:color w:val="auto"/>
        </w:rPr>
        <w:t xml:space="preserve">evolución ya que </w:t>
      </w:r>
      <w:r w:rsidR="00452EA0">
        <w:rPr>
          <w:rFonts w:ascii="Arial" w:hAnsi="Arial"/>
          <w:color w:val="auto"/>
        </w:rPr>
        <w:t xml:space="preserve">permite </w:t>
      </w:r>
      <w:r w:rsidRPr="0026680B">
        <w:rPr>
          <w:rFonts w:ascii="Arial" w:hAnsi="Arial"/>
          <w:color w:val="auto"/>
        </w:rPr>
        <w:t>identifica</w:t>
      </w:r>
      <w:r w:rsidR="00452EA0">
        <w:rPr>
          <w:rFonts w:ascii="Arial" w:hAnsi="Arial"/>
          <w:color w:val="auto"/>
        </w:rPr>
        <w:t>r</w:t>
      </w:r>
      <w:r w:rsidRPr="0026680B">
        <w:rPr>
          <w:rFonts w:ascii="Arial" w:hAnsi="Arial"/>
          <w:color w:val="auto"/>
        </w:rPr>
        <w:t xml:space="preserve"> de la posible dirección de los movimientos que pudiera tener la variable en cuestión, en el corto plazo. </w:t>
      </w:r>
    </w:p>
    <w:p w14:paraId="3BB9C6EF" w14:textId="189057A8" w:rsidR="00770BFA" w:rsidRPr="007F014B" w:rsidRDefault="0026680B" w:rsidP="004E26AB">
      <w:pPr>
        <w:pStyle w:val="p0"/>
        <w:keepLines w:val="0"/>
        <w:spacing w:before="200"/>
        <w:rPr>
          <w:rFonts w:ascii="Arial" w:hAnsi="Arial"/>
          <w:color w:val="auto"/>
        </w:rPr>
      </w:pPr>
      <w:r w:rsidRPr="0026680B">
        <w:rPr>
          <w:rFonts w:ascii="Arial" w:hAnsi="Arial"/>
          <w:color w:val="auto"/>
        </w:rPr>
        <w:t>Cabe señalar que, al agrega</w:t>
      </w:r>
      <w:r w:rsidR="00452EA0">
        <w:rPr>
          <w:rFonts w:ascii="Arial" w:hAnsi="Arial"/>
          <w:color w:val="auto"/>
        </w:rPr>
        <w:t>rse</w:t>
      </w:r>
      <w:r w:rsidRPr="0026680B">
        <w:rPr>
          <w:rFonts w:ascii="Arial" w:hAnsi="Arial"/>
          <w:color w:val="auto"/>
        </w:rPr>
        <w:t xml:space="preserve"> la información de noviembre de los últimos años, el efecto del “Buen Fin” se ha incorporado </w:t>
      </w:r>
      <w:r w:rsidR="00452EA0">
        <w:rPr>
          <w:rFonts w:ascii="Arial" w:hAnsi="Arial"/>
          <w:color w:val="auto"/>
        </w:rPr>
        <w:t xml:space="preserve">de forma </w:t>
      </w:r>
      <w:r w:rsidRPr="0026680B">
        <w:rPr>
          <w:rFonts w:ascii="Arial" w:hAnsi="Arial"/>
          <w:color w:val="auto"/>
        </w:rPr>
        <w:t>gradual en el ajuste estacional de las ventas al por menor</w:t>
      </w:r>
      <w:r w:rsidR="00770BFA" w:rsidRPr="007F014B">
        <w:rPr>
          <w:rFonts w:ascii="Arial" w:hAnsi="Arial"/>
          <w:color w:val="000000" w:themeColor="text1"/>
        </w:rPr>
        <w:t>.</w:t>
      </w:r>
    </w:p>
    <w:p w14:paraId="6A7A7ABB" w14:textId="4B82D1C5" w:rsidR="0026680B" w:rsidRPr="001B6595" w:rsidRDefault="0026680B" w:rsidP="004E26AB">
      <w:pPr>
        <w:spacing w:before="200"/>
        <w:rPr>
          <w:szCs w:val="20"/>
        </w:rPr>
      </w:pPr>
      <w:r w:rsidRPr="001B6595">
        <w:rPr>
          <w:szCs w:val="20"/>
        </w:rPr>
        <w:t xml:space="preserve">Las series originales se ajustan </w:t>
      </w:r>
      <w:r w:rsidR="00452EA0">
        <w:rPr>
          <w:szCs w:val="20"/>
        </w:rPr>
        <w:t xml:space="preserve">de manera </w:t>
      </w:r>
      <w:r w:rsidRPr="001B6595">
        <w:rPr>
          <w:szCs w:val="20"/>
        </w:rPr>
        <w:t>estacional mediante el paquete estadístico X</w:t>
      </w:r>
      <w:r w:rsidRPr="001B6595">
        <w:rPr>
          <w:szCs w:val="20"/>
        </w:rPr>
        <w:noBreakHyphen/>
        <w:t>13ARIMA</w:t>
      </w:r>
      <w:r w:rsidRPr="001B6595">
        <w:rPr>
          <w:szCs w:val="20"/>
        </w:rPr>
        <w:noBreakHyphen/>
        <w:t>SEATS. Para conocer la metodología se sugiere consultar la siguiente liga:</w:t>
      </w:r>
    </w:p>
    <w:p w14:paraId="77C3591B" w14:textId="77777777" w:rsidR="0026680B" w:rsidRPr="001B6595" w:rsidRDefault="006A3BD5" w:rsidP="0026680B">
      <w:pPr>
        <w:pStyle w:val="parrafo1"/>
        <w:widowControl w:val="0"/>
        <w:spacing w:before="120"/>
        <w:ind w:left="0" w:right="0"/>
        <w:rPr>
          <w:rStyle w:val="Hipervnculo"/>
          <w:rFonts w:cs="Arial"/>
          <w:lang w:eastAsia="en-US"/>
        </w:rPr>
      </w:pPr>
      <w:hyperlink r:id="rId29" w:history="1">
        <w:r w:rsidR="0026680B" w:rsidRPr="001B6595">
          <w:rPr>
            <w:rStyle w:val="Hipervnculo"/>
            <w:rFonts w:cs="Arial"/>
            <w:lang w:eastAsia="en-US"/>
          </w:rPr>
          <w:t>https://www.inegi.org.mx/app/biblioteca/ficha.html?upc=702825099060</w:t>
        </w:r>
      </w:hyperlink>
    </w:p>
    <w:p w14:paraId="00185C0C" w14:textId="1C3E66B5" w:rsidR="00770BFA" w:rsidRPr="007F014B" w:rsidRDefault="0026680B" w:rsidP="0026680B">
      <w:pPr>
        <w:pStyle w:val="p0"/>
        <w:rPr>
          <w:rFonts w:ascii="Arial" w:hAnsi="Arial"/>
          <w:color w:val="auto"/>
        </w:rPr>
      </w:pPr>
      <w:r w:rsidRPr="001B6595">
        <w:rPr>
          <w:rFonts w:ascii="Arial" w:hAnsi="Arial"/>
          <w:noProof/>
          <w:color w:val="auto"/>
          <w:lang w:val="es-MX" w:eastAsia="es-MX"/>
        </w:rPr>
        <w:drawing>
          <wp:anchor distT="0" distB="0" distL="114300" distR="114300" simplePos="0" relativeHeight="251659264" behindDoc="0" locked="0" layoutInCell="1" allowOverlap="1" wp14:anchorId="20F6F803" wp14:editId="3D953ECA">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1B6595">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1B6595">
        <w:rPr>
          <w:rFonts w:ascii="Arial" w:hAnsi="Arial"/>
          <w:color w:val="auto"/>
        </w:rPr>
        <w:noBreakHyphen/>
        <w:t>ciclo” de las Empresas Comerciales</w:t>
      </w:r>
      <w:r w:rsidR="00770BFA" w:rsidRPr="007F014B">
        <w:rPr>
          <w:rFonts w:ascii="Arial" w:hAnsi="Arial"/>
          <w:color w:val="auto"/>
        </w:rPr>
        <w:t>.</w:t>
      </w:r>
    </w:p>
    <w:p w14:paraId="2B3A25F7" w14:textId="213688FF" w:rsidR="0026680B" w:rsidRPr="001B6595" w:rsidRDefault="0026680B" w:rsidP="0026680B">
      <w:pPr>
        <w:pStyle w:val="p0"/>
        <w:rPr>
          <w:rFonts w:ascii="Arial" w:hAnsi="Arial"/>
          <w:color w:val="auto"/>
        </w:rPr>
      </w:pPr>
      <w:r w:rsidRPr="001B6595">
        <w:rPr>
          <w:rFonts w:ascii="Arial" w:hAnsi="Arial"/>
          <w:color w:val="auto"/>
        </w:rPr>
        <w:t xml:space="preserve">El objetivo de la EMEC es generar información estadística de coyuntura de forma oportuna, para conocer la dinámica y </w:t>
      </w:r>
      <w:r w:rsidR="00452EA0">
        <w:rPr>
          <w:rFonts w:ascii="Arial" w:hAnsi="Arial"/>
          <w:color w:val="auto"/>
        </w:rPr>
        <w:t xml:space="preserve">las </w:t>
      </w:r>
      <w:r w:rsidRPr="001B6595">
        <w:rPr>
          <w:rFonts w:ascii="Arial" w:hAnsi="Arial"/>
          <w:color w:val="auto"/>
        </w:rPr>
        <w:t>tendencias de la actividad comercial del país; los alcances a nivel nacional son por rama de actividad para los dos sectores comerciales; Comercio al por Mayor y Comercio al por Menor.</w:t>
      </w:r>
    </w:p>
    <w:p w14:paraId="46212767" w14:textId="3DEF9B83" w:rsidR="00770BFA" w:rsidRPr="007F014B" w:rsidRDefault="0026680B" w:rsidP="0026680B">
      <w:pPr>
        <w:pStyle w:val="p0"/>
        <w:rPr>
          <w:rFonts w:ascii="Arial" w:hAnsi="Arial"/>
          <w:color w:val="auto"/>
        </w:rPr>
      </w:pPr>
      <w:r w:rsidRPr="001B6595">
        <w:rPr>
          <w:rFonts w:ascii="Arial" w:hAnsi="Arial"/>
          <w:color w:val="auto"/>
        </w:rPr>
        <w:t>El diseño estadístico de la EMEC define un esquema de muestreo mixto</w:t>
      </w:r>
      <w:r w:rsidR="00452EA0">
        <w:rPr>
          <w:rFonts w:ascii="Arial" w:hAnsi="Arial"/>
          <w:color w:val="auto"/>
        </w:rPr>
        <w:t>,</w:t>
      </w:r>
      <w:r w:rsidRPr="001B6595">
        <w:rPr>
          <w:rFonts w:ascii="Arial" w:hAnsi="Arial"/>
          <w:color w:val="auto"/>
        </w:rPr>
        <w:t xml:space="preserve"> probabilístico para cada una de las 22 ramas de actividad del Comercio al por Menor y no probabilístico para las 18 ramas de actividad del Comercio al por Mayor; considera todas las unidades económicas comerciales, </w:t>
      </w:r>
      <w:r w:rsidR="00452EA0">
        <w:rPr>
          <w:rFonts w:ascii="Arial" w:hAnsi="Arial"/>
          <w:color w:val="auto"/>
        </w:rPr>
        <w:t>de todos los</w:t>
      </w:r>
      <w:r w:rsidRPr="001B6595">
        <w:rPr>
          <w:rFonts w:ascii="Arial" w:hAnsi="Arial"/>
          <w:color w:val="auto"/>
        </w:rPr>
        <w:t xml:space="preserve"> tamaño</w:t>
      </w:r>
      <w:r w:rsidR="00452EA0">
        <w:rPr>
          <w:rFonts w:ascii="Arial" w:hAnsi="Arial"/>
          <w:color w:val="auto"/>
        </w:rPr>
        <w:t>s</w:t>
      </w:r>
      <w:r w:rsidRPr="001B6595">
        <w:rPr>
          <w:rFonts w:ascii="Arial" w:hAnsi="Arial"/>
          <w:color w:val="auto"/>
        </w:rPr>
        <w:t xml:space="preserve">, </w:t>
      </w:r>
      <w:r w:rsidR="00452EA0">
        <w:rPr>
          <w:rFonts w:ascii="Arial" w:hAnsi="Arial"/>
          <w:color w:val="auto"/>
        </w:rPr>
        <w:t xml:space="preserve">para </w:t>
      </w:r>
      <w:r w:rsidRPr="001B6595">
        <w:rPr>
          <w:rFonts w:ascii="Arial" w:hAnsi="Arial"/>
          <w:color w:val="auto"/>
        </w:rPr>
        <w:t>obten</w:t>
      </w:r>
      <w:r w:rsidR="00452EA0">
        <w:rPr>
          <w:rFonts w:ascii="Arial" w:hAnsi="Arial"/>
          <w:color w:val="auto"/>
        </w:rPr>
        <w:t>er</w:t>
      </w:r>
      <w:r w:rsidRPr="001B6595">
        <w:rPr>
          <w:rFonts w:ascii="Arial" w:hAnsi="Arial"/>
          <w:color w:val="auto"/>
        </w:rPr>
        <w:t xml:space="preserve"> así una cobertura del 74% en el Comercio al por Mayor y una estimación del 100% en el Comercio al por Menor. En ambos sectores respecto al total de los ingresos por suministro de bienes y servicios a nivel nacional</w:t>
      </w:r>
      <w:r w:rsidR="00770BFA" w:rsidRPr="007F014B">
        <w:rPr>
          <w:rFonts w:ascii="Arial" w:hAnsi="Arial"/>
          <w:color w:val="auto"/>
        </w:rPr>
        <w:t>.</w:t>
      </w:r>
    </w:p>
    <w:p w14:paraId="00F176CF" w14:textId="29CF5028" w:rsidR="00906168" w:rsidRDefault="00770BFA" w:rsidP="003866DC">
      <w:pPr>
        <w:pStyle w:val="p0"/>
        <w:keepLines w:val="0"/>
        <w:spacing w:after="240"/>
        <w:rPr>
          <w:rFonts w:ascii="Arial" w:hAnsi="Arial"/>
          <w:color w:val="auto"/>
        </w:rPr>
      </w:pPr>
      <w:r w:rsidRPr="007F014B">
        <w:rPr>
          <w:rFonts w:ascii="Arial" w:hAnsi="Arial"/>
          <w:color w:val="auto"/>
        </w:rPr>
        <w:t>Los resultados se presentan según el Sistema de Clasificación Industrial de América del Norte 2013 (SCIAN)</w:t>
      </w:r>
      <w:r w:rsidR="00452EA0">
        <w:rPr>
          <w:rFonts w:ascii="Arial" w:hAnsi="Arial"/>
          <w:color w:val="auto"/>
        </w:rPr>
        <w:t>,</w:t>
      </w:r>
      <w:r w:rsidRPr="007F014B">
        <w:rPr>
          <w:rFonts w:ascii="Arial" w:hAnsi="Arial"/>
          <w:color w:val="auto"/>
        </w:rPr>
        <w:t xml:space="preserve"> a nivel de sector, subsector y por rama de actividad comercial.</w:t>
      </w:r>
      <w:r w:rsidR="00467BD1" w:rsidRPr="007F014B">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7F014B"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7777777" w:rsidR="0026680B" w:rsidRPr="007F014B" w:rsidRDefault="0026680B" w:rsidP="00D23712">
            <w:pPr>
              <w:widowControl w:val="0"/>
              <w:spacing w:before="60" w:after="60"/>
              <w:rPr>
                <w:snapToGrid w:val="0"/>
                <w:sz w:val="20"/>
                <w:szCs w:val="20"/>
              </w:rPr>
            </w:pPr>
            <w:r w:rsidRPr="007F014B">
              <w:rPr>
                <w:snapToGrid w:val="0"/>
                <w:sz w:val="20"/>
                <w:szCs w:val="20"/>
              </w:rPr>
              <w:lastRenderedPageBreak/>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77777777" w:rsidR="0026680B" w:rsidRPr="007F014B" w:rsidRDefault="0026680B" w:rsidP="00D23712">
            <w:pPr>
              <w:widowControl w:val="0"/>
              <w:spacing w:before="60" w:after="60"/>
              <w:ind w:hanging="15"/>
              <w:jc w:val="center"/>
              <w:rPr>
                <w:snapToGrid w:val="0"/>
                <w:sz w:val="20"/>
                <w:szCs w:val="20"/>
              </w:rPr>
            </w:pPr>
            <w:r w:rsidRPr="007F014B">
              <w:rPr>
                <w:snapToGrid w:val="0"/>
                <w:sz w:val="20"/>
                <w:szCs w:val="20"/>
              </w:rPr>
              <w:t>Subsectores del Comercio al por Menor</w:t>
            </w:r>
          </w:p>
        </w:tc>
      </w:tr>
      <w:tr w:rsidR="0026680B" w:rsidRPr="007F014B"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Abarrotes, alimentos, bebidas, hielo y tabaco.</w:t>
            </w:r>
          </w:p>
          <w:p w14:paraId="61D7686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Productos textiles y calzado.</w:t>
            </w:r>
          </w:p>
          <w:p w14:paraId="1FCC450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Productos farmacéuticos, de perfumería, artículos para el esparcimiento y electrodomésticos menores y aparatos de línea blanca.</w:t>
            </w:r>
          </w:p>
          <w:p w14:paraId="7A80033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Materias primas agropecuarias y forestales, para la industria, y materiales de desecho.</w:t>
            </w:r>
          </w:p>
          <w:p w14:paraId="1C0741C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Maquinaria, equipo y mobiliario para actividades agropecuarias, industriales, de servicios y comerciales, y de otra maquinaria y equipo de uso general.</w:t>
            </w:r>
          </w:p>
          <w:p w14:paraId="5D721939"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Camiones y de partes y refacciones nuevas para automóviles, camionetas y camiones.</w:t>
            </w:r>
          </w:p>
          <w:p w14:paraId="7D3E7B9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Abarrotes, alimentos, bebidas, hielo y tabaco.</w:t>
            </w:r>
          </w:p>
          <w:p w14:paraId="587F82EB" w14:textId="77777777" w:rsidR="0026680B" w:rsidRPr="007F014B"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7F014B">
              <w:rPr>
                <w:snapToGrid w:val="0"/>
                <w:sz w:val="20"/>
                <w:szCs w:val="20"/>
              </w:rPr>
              <w:t>Tiendas de autoservicio y departamentales.</w:t>
            </w:r>
          </w:p>
          <w:p w14:paraId="2ECE50AE"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Productos textiles, bisutería, accesorios de vestir y calzado.</w:t>
            </w:r>
          </w:p>
          <w:p w14:paraId="3BF9FED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para el cuidado de la salud.</w:t>
            </w:r>
          </w:p>
          <w:p w14:paraId="00B2AA4B"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papelería, para el esparcimiento y otros artículos de uso personal.</w:t>
            </w:r>
          </w:p>
          <w:p w14:paraId="613BC274"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Enseres domésticos, computadoras, artículos para la decoración de interiores y artículos usados.</w:t>
            </w:r>
          </w:p>
          <w:p w14:paraId="4C9FD9B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ferretería, tlapalería y vidrios.</w:t>
            </w:r>
          </w:p>
          <w:p w14:paraId="2B705DA2"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Vehículos de motor, refacciones, combustibles y lubricantes.</w:t>
            </w:r>
          </w:p>
          <w:p w14:paraId="10C4D803"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Comercio al por menor exclusivamente a través de Internet, y catálogos impresos, televisión y similares.</w:t>
            </w:r>
          </w:p>
        </w:tc>
      </w:tr>
    </w:tbl>
    <w:p w14:paraId="4BFEF9DB" w14:textId="4812C649" w:rsidR="0026680B" w:rsidRPr="007F014B" w:rsidRDefault="0026680B" w:rsidP="00B15975">
      <w:pPr>
        <w:pStyle w:val="p0"/>
        <w:keepLines w:val="0"/>
        <w:spacing w:before="200"/>
        <w:rPr>
          <w:rFonts w:ascii="Arial" w:hAnsi="Arial"/>
          <w:color w:val="auto"/>
        </w:rPr>
      </w:pPr>
      <w:r w:rsidRPr="007F014B">
        <w:rPr>
          <w:rFonts w:ascii="Arial" w:hAnsi="Arial"/>
          <w:color w:val="auto"/>
        </w:rPr>
        <w:t>La cobertura geográfica es a nivel nacional</w:t>
      </w:r>
      <w:r w:rsidR="00452EA0">
        <w:rPr>
          <w:rFonts w:ascii="Arial" w:hAnsi="Arial"/>
          <w:color w:val="auto"/>
        </w:rPr>
        <w:t>,</w:t>
      </w:r>
      <w:r w:rsidRPr="007F014B">
        <w:rPr>
          <w:rFonts w:ascii="Arial" w:hAnsi="Arial"/>
          <w:color w:val="auto"/>
        </w:rPr>
        <w:t xml:space="preserve"> por entidad federativa se dispone de información con datos indicativos (muestrales) por sector de actividad; 43 Comercio al por Mayor y 46 Comercio al por Menor.</w:t>
      </w:r>
    </w:p>
    <w:p w14:paraId="0FC4201A" w14:textId="1D5AD3E9" w:rsidR="0026680B" w:rsidRPr="007F014B" w:rsidRDefault="003866DC" w:rsidP="00B15975">
      <w:pPr>
        <w:pStyle w:val="p0"/>
        <w:keepLines w:val="0"/>
        <w:spacing w:before="200"/>
        <w:rPr>
          <w:rFonts w:ascii="Arial" w:hAnsi="Arial"/>
          <w:color w:val="auto"/>
        </w:rPr>
      </w:pPr>
      <w:r>
        <w:rPr>
          <w:rFonts w:ascii="Arial" w:hAnsi="Arial"/>
          <w:color w:val="auto"/>
        </w:rPr>
        <w:t>La</w:t>
      </w:r>
      <w:r w:rsidR="0026680B" w:rsidRPr="007F014B">
        <w:rPr>
          <w:rFonts w:ascii="Arial" w:hAnsi="Arial"/>
          <w:color w:val="auto"/>
        </w:rPr>
        <w:t xml:space="preserve"> información por entidad federativa deberá considerarse con reserva al tratarse de datos muestrales. Esto implica que, los resultados por entidad federativa no son aditivos en el caso del Comercio al por Menor. </w:t>
      </w:r>
    </w:p>
    <w:p w14:paraId="72103B3E" w14:textId="77777777" w:rsidR="0026680B" w:rsidRPr="007F014B" w:rsidRDefault="0026680B" w:rsidP="00B15975">
      <w:pPr>
        <w:pStyle w:val="p0"/>
        <w:keepLines w:val="0"/>
        <w:spacing w:before="200"/>
        <w:rPr>
          <w:rFonts w:ascii="Arial" w:hAnsi="Arial"/>
          <w:color w:val="auto"/>
        </w:rPr>
      </w:pPr>
      <w:r w:rsidRPr="007F014B">
        <w:rPr>
          <w:rFonts w:ascii="Arial" w:hAnsi="Arial"/>
          <w:color w:val="auto"/>
        </w:rPr>
        <w:t>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252778E2" w:rsidR="0026680B" w:rsidRPr="007F014B" w:rsidRDefault="0026680B" w:rsidP="00B15975">
      <w:pPr>
        <w:pStyle w:val="p0"/>
        <w:keepLines w:val="0"/>
        <w:spacing w:before="200"/>
        <w:rPr>
          <w:rFonts w:ascii="Arial" w:hAnsi="Arial"/>
          <w:color w:val="auto"/>
        </w:rPr>
      </w:pPr>
      <w:r w:rsidRPr="007F014B">
        <w:rPr>
          <w:rFonts w:ascii="Arial" w:hAnsi="Arial"/>
          <w:color w:val="auto"/>
        </w:rPr>
        <w:t>Es importante señalar que los resultados</w:t>
      </w:r>
      <w:r w:rsidR="003866DC">
        <w:rPr>
          <w:rFonts w:ascii="Arial" w:hAnsi="Arial"/>
          <w:color w:val="auto"/>
        </w:rPr>
        <w:t xml:space="preserve"> que se </w:t>
      </w:r>
      <w:r w:rsidRPr="007F014B">
        <w:rPr>
          <w:rFonts w:ascii="Arial" w:hAnsi="Arial"/>
          <w:color w:val="auto"/>
        </w:rPr>
        <w:t>presenta</w:t>
      </w:r>
      <w:r w:rsidR="003866DC">
        <w:rPr>
          <w:rFonts w:ascii="Arial" w:hAnsi="Arial"/>
          <w:color w:val="auto"/>
        </w:rPr>
        <w:t>n</w:t>
      </w:r>
      <w:r w:rsidRPr="007F014B">
        <w:rPr>
          <w:rFonts w:ascii="Arial" w:hAnsi="Arial"/>
          <w:color w:val="auto"/>
        </w:rPr>
        <w:t xml:space="preserve"> en las series se deberán considerar como preliminares y </w:t>
      </w:r>
      <w:r w:rsidR="003866DC">
        <w:rPr>
          <w:rFonts w:ascii="Arial" w:hAnsi="Arial"/>
          <w:color w:val="auto"/>
        </w:rPr>
        <w:t xml:space="preserve">se revisan </w:t>
      </w:r>
      <w:r w:rsidRPr="007F014B">
        <w:rPr>
          <w:rFonts w:ascii="Arial" w:hAnsi="Arial"/>
          <w:color w:val="auto"/>
        </w:rPr>
        <w:t>y actualiza</w:t>
      </w:r>
      <w:r w:rsidR="003866DC">
        <w:rPr>
          <w:rFonts w:ascii="Arial" w:hAnsi="Arial"/>
          <w:color w:val="auto"/>
        </w:rPr>
        <w:t>n de manera continua</w:t>
      </w:r>
      <w:r w:rsidRPr="007F014B">
        <w:rPr>
          <w:rFonts w:ascii="Arial" w:hAnsi="Arial"/>
          <w:color w:val="auto"/>
        </w:rPr>
        <w:t xml:space="preserve">, </w:t>
      </w:r>
      <w:r w:rsidR="003866DC">
        <w:rPr>
          <w:rFonts w:ascii="Arial" w:hAnsi="Arial"/>
          <w:color w:val="auto"/>
        </w:rPr>
        <w:t xml:space="preserve">con base en </w:t>
      </w:r>
      <w:r w:rsidRPr="007F014B">
        <w:rPr>
          <w:rFonts w:ascii="Arial" w:hAnsi="Arial"/>
          <w:color w:val="auto"/>
        </w:rPr>
        <w:t>la investigación constante de las categorías que componen las actividades en estudio.</w:t>
      </w:r>
    </w:p>
    <w:p w14:paraId="3BD1CEF6" w14:textId="1C3333DD" w:rsidR="00770BFA" w:rsidRPr="007F014B" w:rsidRDefault="0026680B" w:rsidP="00B15975">
      <w:pPr>
        <w:pStyle w:val="p0"/>
        <w:spacing w:before="200"/>
        <w:rPr>
          <w:rFonts w:ascii="Arial" w:hAnsi="Arial"/>
          <w:color w:val="auto"/>
        </w:rPr>
      </w:pPr>
      <w:r w:rsidRPr="007F014B">
        <w:rPr>
          <w:rFonts w:ascii="Arial" w:hAnsi="Arial"/>
          <w:color w:val="auto"/>
        </w:rPr>
        <w:t xml:space="preserve">La información contenida en este documento es generada por el INEGI a través de la </w:t>
      </w:r>
      <w:r w:rsidR="003866DC">
        <w:rPr>
          <w:rFonts w:ascii="Arial" w:hAnsi="Arial"/>
          <w:color w:val="auto"/>
        </w:rPr>
        <w:t>EMEC</w:t>
      </w:r>
      <w:r w:rsidRPr="007F014B">
        <w:rPr>
          <w:rFonts w:ascii="Arial" w:hAnsi="Arial"/>
          <w:color w:val="auto"/>
        </w:rPr>
        <w:t xml:space="preserve"> y se da a conocer en la fecha establecida en el Calendario de difusión de información estadística y geográfica y de Interés Nacional</w:t>
      </w:r>
      <w:r w:rsidR="00770BFA" w:rsidRPr="007F014B">
        <w:rPr>
          <w:rFonts w:ascii="Arial" w:hAnsi="Arial"/>
          <w:color w:val="auto"/>
        </w:rPr>
        <w:t>.</w:t>
      </w:r>
    </w:p>
    <w:p w14:paraId="28551BEB" w14:textId="21923981" w:rsidR="0026680B" w:rsidRPr="007F014B" w:rsidRDefault="0026680B" w:rsidP="00B15975">
      <w:pPr>
        <w:pStyle w:val="p0"/>
        <w:keepLines w:val="0"/>
        <w:spacing w:before="200"/>
        <w:rPr>
          <w:rFonts w:ascii="Arial" w:hAnsi="Arial"/>
          <w:color w:val="auto"/>
        </w:rPr>
      </w:pPr>
      <w:r w:rsidRPr="007F014B">
        <w:rPr>
          <w:rFonts w:ascii="Arial" w:hAnsi="Arial"/>
          <w:color w:val="auto"/>
        </w:rPr>
        <w:t>Las cifras aquí mencionadas podrán ser consultadas en la página del INEGI en Internet.</w:t>
      </w:r>
    </w:p>
    <w:p w14:paraId="641CC083" w14:textId="77777777" w:rsidR="0026680B" w:rsidRPr="007F014B" w:rsidRDefault="0026680B" w:rsidP="00B15975">
      <w:pPr>
        <w:pStyle w:val="Textocomentario"/>
        <w:spacing w:before="200"/>
        <w:rPr>
          <w:rFonts w:ascii="Arial" w:hAnsi="Arial" w:cs="Arial"/>
          <w:sz w:val="24"/>
          <w:szCs w:val="24"/>
        </w:rPr>
      </w:pPr>
      <w:r w:rsidRPr="007F014B">
        <w:rPr>
          <w:rFonts w:ascii="Arial" w:hAnsi="Arial" w:cs="Arial"/>
          <w:sz w:val="24"/>
          <w:szCs w:val="24"/>
        </w:rPr>
        <w:t xml:space="preserve">Tema: </w:t>
      </w:r>
      <w:hyperlink r:id="rId31" w:history="1">
        <w:r w:rsidRPr="007F014B">
          <w:rPr>
            <w:rStyle w:val="Hipervnculo"/>
            <w:rFonts w:ascii="Arial" w:hAnsi="Arial" w:cs="Arial"/>
            <w:sz w:val="24"/>
            <w:szCs w:val="24"/>
          </w:rPr>
          <w:t>https://www.inegi.org.mx/temas/comercioemp/</w:t>
        </w:r>
      </w:hyperlink>
    </w:p>
    <w:p w14:paraId="3E125FFF" w14:textId="77777777" w:rsidR="0026680B" w:rsidRPr="007F014B" w:rsidRDefault="0026680B" w:rsidP="0026680B">
      <w:pPr>
        <w:pStyle w:val="Textocomentario"/>
        <w:rPr>
          <w:rFonts w:ascii="Arial" w:hAnsi="Arial" w:cs="Arial"/>
          <w:sz w:val="24"/>
          <w:szCs w:val="24"/>
        </w:rPr>
      </w:pPr>
      <w:r w:rsidRPr="007F014B">
        <w:rPr>
          <w:rFonts w:ascii="Arial" w:hAnsi="Arial" w:cs="Arial"/>
          <w:sz w:val="24"/>
          <w:szCs w:val="24"/>
        </w:rPr>
        <w:t xml:space="preserve">Programa: </w:t>
      </w:r>
      <w:hyperlink r:id="rId32" w:history="1">
        <w:r w:rsidRPr="007F014B">
          <w:rPr>
            <w:rStyle w:val="Hipervnculo"/>
            <w:rFonts w:ascii="Arial" w:hAnsi="Arial" w:cs="Arial"/>
            <w:sz w:val="24"/>
            <w:szCs w:val="24"/>
          </w:rPr>
          <w:t>https://www.inegi.org.mx/programas/emec/2013/</w:t>
        </w:r>
      </w:hyperlink>
    </w:p>
    <w:p w14:paraId="61F97D85" w14:textId="77777777" w:rsidR="0026680B" w:rsidRPr="007F014B" w:rsidRDefault="0026680B" w:rsidP="0026680B">
      <w:pPr>
        <w:pStyle w:val="Textocomentario"/>
        <w:rPr>
          <w:rFonts w:ascii="Arial" w:hAnsi="Arial" w:cs="Arial"/>
          <w:snapToGrid w:val="0"/>
          <w:sz w:val="24"/>
          <w:szCs w:val="24"/>
        </w:rPr>
      </w:pPr>
      <w:r w:rsidRPr="007F014B">
        <w:rPr>
          <w:rFonts w:ascii="Arial" w:hAnsi="Arial" w:cs="Arial"/>
          <w:sz w:val="24"/>
          <w:szCs w:val="24"/>
        </w:rPr>
        <w:t xml:space="preserve">Banco de Información Económica: </w:t>
      </w:r>
      <w:hyperlink r:id="rId33" w:history="1">
        <w:r w:rsidRPr="007F014B">
          <w:rPr>
            <w:rStyle w:val="Hipervnculo"/>
            <w:rFonts w:ascii="Arial" w:hAnsi="Arial" w:cs="Arial"/>
            <w:sz w:val="24"/>
            <w:szCs w:val="24"/>
          </w:rPr>
          <w:t>https://www.inegi.org.mx/sistemas/bie/</w:t>
        </w:r>
      </w:hyperlink>
    </w:p>
    <w:sectPr w:rsidR="0026680B" w:rsidRPr="007F014B" w:rsidSect="005D0D51">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F5078" w14:textId="77777777" w:rsidR="006A3BD5" w:rsidRDefault="006A3BD5">
      <w:r>
        <w:separator/>
      </w:r>
    </w:p>
  </w:endnote>
  <w:endnote w:type="continuationSeparator" w:id="0">
    <w:p w14:paraId="1D8D6177" w14:textId="77777777" w:rsidR="006A3BD5" w:rsidRDefault="006A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5603" w14:textId="77777777" w:rsidR="0087565B" w:rsidRPr="007E58A5" w:rsidRDefault="0087565B" w:rsidP="00EC0FA7">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1C5154" w:rsidRPr="00737D60" w:rsidRDefault="001C5154" w:rsidP="003076C4">
    <w:pPr>
      <w:pStyle w:val="Piedepgina"/>
      <w:jc w:val="center"/>
      <w:rPr>
        <w:b/>
        <w:color w:val="002060"/>
        <w:sz w:val="20"/>
        <w:szCs w:val="20"/>
        <w:lang w:val="es-MX"/>
      </w:rPr>
    </w:pPr>
    <w:r w:rsidRPr="00737D6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B955A" w14:textId="77777777" w:rsidR="006A3BD5" w:rsidRDefault="006A3BD5">
      <w:r>
        <w:separator/>
      </w:r>
    </w:p>
  </w:footnote>
  <w:footnote w:type="continuationSeparator" w:id="0">
    <w:p w14:paraId="6740215F" w14:textId="77777777" w:rsidR="006A3BD5" w:rsidRDefault="006A3BD5">
      <w:r>
        <w:continuationSeparator/>
      </w:r>
    </w:p>
  </w:footnote>
  <w:footnote w:id="1">
    <w:p w14:paraId="315F9FE2" w14:textId="77777777" w:rsidR="0087565B" w:rsidRPr="00914A0F" w:rsidRDefault="0087565B" w:rsidP="0087565B">
      <w:pPr>
        <w:pStyle w:val="Textonotapie"/>
        <w:ind w:left="168" w:right="-405" w:hanging="168"/>
        <w:rPr>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footnote>
  <w:footnote w:id="2">
    <w:p w14:paraId="3C8561B1" w14:textId="77777777" w:rsidR="0087565B" w:rsidRDefault="0087565B" w:rsidP="0087565B">
      <w:pPr>
        <w:pStyle w:val="Textonotapie"/>
        <w:ind w:left="168" w:right="-405" w:hanging="168"/>
        <w:rPr>
          <w:sz w:val="16"/>
          <w:szCs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64018CCE" w14:textId="77777777" w:rsidR="0087565B" w:rsidRDefault="0087565B" w:rsidP="0087565B">
      <w:pPr>
        <w:pStyle w:val="Textonotapie"/>
        <w:ind w:left="168" w:right="-405" w:hanging="168"/>
      </w:pPr>
    </w:p>
    <w:p w14:paraId="2A839BF2" w14:textId="77777777" w:rsidR="0087565B" w:rsidRDefault="0087565B" w:rsidP="0087565B">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55FA" w14:textId="7ED7CC6D" w:rsidR="0087565B" w:rsidRPr="00265B8C" w:rsidRDefault="0087565B" w:rsidP="00717764">
    <w:pPr>
      <w:pStyle w:val="Encabezado"/>
      <w:framePr w:w="5563" w:hSpace="141" w:wrap="auto" w:vAnchor="text" w:hAnchor="page" w:x="5530" w:y="31"/>
      <w:ind w:left="567" w:hanging="11"/>
      <w:jc w:val="right"/>
      <w:rPr>
        <w:b/>
        <w:color w:val="002060"/>
      </w:rPr>
    </w:pPr>
    <w:r w:rsidRPr="00265B8C">
      <w:rPr>
        <w:b/>
        <w:color w:val="002060"/>
      </w:rPr>
      <w:t xml:space="preserve">COMUNICADO DE PRENSA NÚM. </w:t>
    </w:r>
    <w:r w:rsidR="00717764">
      <w:rPr>
        <w:b/>
        <w:color w:val="002060"/>
      </w:rPr>
      <w:t>538</w:t>
    </w:r>
    <w:r w:rsidRPr="00265B8C">
      <w:rPr>
        <w:b/>
        <w:color w:val="002060"/>
      </w:rPr>
      <w:t>/</w:t>
    </w:r>
    <w:r>
      <w:rPr>
        <w:b/>
        <w:color w:val="002060"/>
      </w:rPr>
      <w:t>21</w:t>
    </w:r>
  </w:p>
  <w:p w14:paraId="72A92119" w14:textId="77777777" w:rsidR="0087565B" w:rsidRPr="00265B8C" w:rsidRDefault="0087565B" w:rsidP="00717764">
    <w:pPr>
      <w:pStyle w:val="Encabezado"/>
      <w:framePr w:w="5563" w:hSpace="141" w:wrap="auto" w:vAnchor="text" w:hAnchor="page" w:x="5530" w:y="31"/>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SEPTIEMBRE DE</w:t>
    </w:r>
    <w:r w:rsidRPr="00265B8C">
      <w:rPr>
        <w:b/>
        <w:color w:val="002060"/>
        <w:lang w:val="pt-BR"/>
      </w:rPr>
      <w:t xml:space="preserve"> 20</w:t>
    </w:r>
    <w:r>
      <w:rPr>
        <w:b/>
        <w:color w:val="002060"/>
        <w:lang w:val="pt-BR"/>
      </w:rPr>
      <w:t>21</w:t>
    </w:r>
  </w:p>
  <w:p w14:paraId="5D67AEA5" w14:textId="77777777" w:rsidR="0087565B" w:rsidRPr="00265B8C" w:rsidRDefault="0087565B" w:rsidP="00717764">
    <w:pPr>
      <w:pStyle w:val="Encabezado"/>
      <w:framePr w:w="5563" w:hSpace="141" w:wrap="auto" w:vAnchor="text" w:hAnchor="page" w:x="553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6DA3E5CD" w14:textId="77777777" w:rsidR="0087565B" w:rsidRDefault="0087565B" w:rsidP="00660814">
    <w:pPr>
      <w:pStyle w:val="Encabezado"/>
    </w:pPr>
    <w:r>
      <w:rPr>
        <w:noProof/>
      </w:rPr>
      <w:drawing>
        <wp:inline distT="0" distB="0" distL="0" distR="0" wp14:anchorId="153626FD" wp14:editId="251739D5">
          <wp:extent cx="780383" cy="810610"/>
          <wp:effectExtent l="0" t="0" r="127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82" cy="8154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48941E29" w:rsidR="001C5154" w:rsidRDefault="001C5154" w:rsidP="0087565B">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2F65"/>
    <w:rsid w:val="000231F6"/>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14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37"/>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1869"/>
    <w:rsid w:val="0013222E"/>
    <w:rsid w:val="001323BB"/>
    <w:rsid w:val="00132A32"/>
    <w:rsid w:val="001345AB"/>
    <w:rsid w:val="00134904"/>
    <w:rsid w:val="001349AB"/>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2F7"/>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2954"/>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65A4"/>
    <w:rsid w:val="001F65E0"/>
    <w:rsid w:val="001F6EE3"/>
    <w:rsid w:val="001F702F"/>
    <w:rsid w:val="001F7362"/>
    <w:rsid w:val="001F7AE9"/>
    <w:rsid w:val="001F7CFD"/>
    <w:rsid w:val="002009DA"/>
    <w:rsid w:val="002011D5"/>
    <w:rsid w:val="00201C2D"/>
    <w:rsid w:val="00203367"/>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3F81"/>
    <w:rsid w:val="00294A06"/>
    <w:rsid w:val="00294FFB"/>
    <w:rsid w:val="00295357"/>
    <w:rsid w:val="002954FD"/>
    <w:rsid w:val="00296242"/>
    <w:rsid w:val="00296CE6"/>
    <w:rsid w:val="002973DF"/>
    <w:rsid w:val="002978A2"/>
    <w:rsid w:val="00297D6A"/>
    <w:rsid w:val="002A0190"/>
    <w:rsid w:val="002A0983"/>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6BE2"/>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B6A"/>
    <w:rsid w:val="0039304A"/>
    <w:rsid w:val="00393231"/>
    <w:rsid w:val="0039372B"/>
    <w:rsid w:val="0039383D"/>
    <w:rsid w:val="0039392C"/>
    <w:rsid w:val="00393AD3"/>
    <w:rsid w:val="00394D56"/>
    <w:rsid w:val="00394FE8"/>
    <w:rsid w:val="00395069"/>
    <w:rsid w:val="003955AD"/>
    <w:rsid w:val="00395A0A"/>
    <w:rsid w:val="003966D8"/>
    <w:rsid w:val="00396C46"/>
    <w:rsid w:val="003977F3"/>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A2D"/>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69EF"/>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AEB"/>
    <w:rsid w:val="00564775"/>
    <w:rsid w:val="00565300"/>
    <w:rsid w:val="00565664"/>
    <w:rsid w:val="00566C28"/>
    <w:rsid w:val="00566EBC"/>
    <w:rsid w:val="005672F8"/>
    <w:rsid w:val="00567500"/>
    <w:rsid w:val="0056753D"/>
    <w:rsid w:val="00567811"/>
    <w:rsid w:val="00567CDA"/>
    <w:rsid w:val="00570163"/>
    <w:rsid w:val="005701B3"/>
    <w:rsid w:val="005702BD"/>
    <w:rsid w:val="005704B1"/>
    <w:rsid w:val="00572356"/>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814"/>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BD5"/>
    <w:rsid w:val="006A3D6D"/>
    <w:rsid w:val="006A3D73"/>
    <w:rsid w:val="006A43EA"/>
    <w:rsid w:val="006A471A"/>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1C0D"/>
    <w:rsid w:val="006C215A"/>
    <w:rsid w:val="006C24C7"/>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A5F"/>
    <w:rsid w:val="006D2182"/>
    <w:rsid w:val="006D2453"/>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1B1"/>
    <w:rsid w:val="0070263D"/>
    <w:rsid w:val="00702723"/>
    <w:rsid w:val="0070303A"/>
    <w:rsid w:val="0070328F"/>
    <w:rsid w:val="00704346"/>
    <w:rsid w:val="007043D3"/>
    <w:rsid w:val="00704464"/>
    <w:rsid w:val="00704527"/>
    <w:rsid w:val="0070522E"/>
    <w:rsid w:val="007057D1"/>
    <w:rsid w:val="00705BD7"/>
    <w:rsid w:val="007061EC"/>
    <w:rsid w:val="00706461"/>
    <w:rsid w:val="00706717"/>
    <w:rsid w:val="007068C5"/>
    <w:rsid w:val="00706995"/>
    <w:rsid w:val="00706C3A"/>
    <w:rsid w:val="00706E1E"/>
    <w:rsid w:val="00706F61"/>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17764"/>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EBF"/>
    <w:rsid w:val="007361C8"/>
    <w:rsid w:val="007365ED"/>
    <w:rsid w:val="00736927"/>
    <w:rsid w:val="00737A4B"/>
    <w:rsid w:val="00737D60"/>
    <w:rsid w:val="00737EAA"/>
    <w:rsid w:val="00740008"/>
    <w:rsid w:val="0074056F"/>
    <w:rsid w:val="00741355"/>
    <w:rsid w:val="0074170F"/>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57F65"/>
    <w:rsid w:val="00760978"/>
    <w:rsid w:val="00760A52"/>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3D9F"/>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65B"/>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60E"/>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575"/>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874"/>
    <w:rsid w:val="00971B65"/>
    <w:rsid w:val="00971F83"/>
    <w:rsid w:val="00972061"/>
    <w:rsid w:val="0097245C"/>
    <w:rsid w:val="009725FE"/>
    <w:rsid w:val="0097282B"/>
    <w:rsid w:val="00972DAC"/>
    <w:rsid w:val="009738A3"/>
    <w:rsid w:val="00973A35"/>
    <w:rsid w:val="009740EA"/>
    <w:rsid w:val="00974690"/>
    <w:rsid w:val="00974A1E"/>
    <w:rsid w:val="00974B8A"/>
    <w:rsid w:val="00974B9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59BF"/>
    <w:rsid w:val="009F59D1"/>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1B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B57"/>
    <w:rsid w:val="00A313B3"/>
    <w:rsid w:val="00A31CFD"/>
    <w:rsid w:val="00A31D00"/>
    <w:rsid w:val="00A32051"/>
    <w:rsid w:val="00A32AE0"/>
    <w:rsid w:val="00A32B77"/>
    <w:rsid w:val="00A32BB4"/>
    <w:rsid w:val="00A32D36"/>
    <w:rsid w:val="00A3306E"/>
    <w:rsid w:val="00A33CCF"/>
    <w:rsid w:val="00A35D65"/>
    <w:rsid w:val="00A35FDD"/>
    <w:rsid w:val="00A36CF6"/>
    <w:rsid w:val="00A36EC5"/>
    <w:rsid w:val="00A374F3"/>
    <w:rsid w:val="00A3759D"/>
    <w:rsid w:val="00A37EDA"/>
    <w:rsid w:val="00A4035D"/>
    <w:rsid w:val="00A413A3"/>
    <w:rsid w:val="00A415C5"/>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128"/>
    <w:rsid w:val="00AA1A7C"/>
    <w:rsid w:val="00AA1ADA"/>
    <w:rsid w:val="00AA20B3"/>
    <w:rsid w:val="00AA2115"/>
    <w:rsid w:val="00AA2A7D"/>
    <w:rsid w:val="00AA2A95"/>
    <w:rsid w:val="00AA2E63"/>
    <w:rsid w:val="00AA2E95"/>
    <w:rsid w:val="00AA2ECC"/>
    <w:rsid w:val="00AA38B3"/>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38B2"/>
    <w:rsid w:val="00AB49C3"/>
    <w:rsid w:val="00AB55F8"/>
    <w:rsid w:val="00AB5964"/>
    <w:rsid w:val="00AB5DF2"/>
    <w:rsid w:val="00AB6164"/>
    <w:rsid w:val="00AB6C4D"/>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2A99"/>
    <w:rsid w:val="00AF3074"/>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5ACD"/>
    <w:rsid w:val="00B06495"/>
    <w:rsid w:val="00B064F1"/>
    <w:rsid w:val="00B06DA3"/>
    <w:rsid w:val="00B07372"/>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78C"/>
    <w:rsid w:val="00B36D9E"/>
    <w:rsid w:val="00B37311"/>
    <w:rsid w:val="00B373FB"/>
    <w:rsid w:val="00B37975"/>
    <w:rsid w:val="00B4106F"/>
    <w:rsid w:val="00B418AC"/>
    <w:rsid w:val="00B41BE7"/>
    <w:rsid w:val="00B424F7"/>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37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2F"/>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F34"/>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3FCE"/>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1266"/>
    <w:rsid w:val="00EA1514"/>
    <w:rsid w:val="00EA16E1"/>
    <w:rsid w:val="00EA1767"/>
    <w:rsid w:val="00EA1D3A"/>
    <w:rsid w:val="00EA1F8E"/>
    <w:rsid w:val="00EA2360"/>
    <w:rsid w:val="00EA272B"/>
    <w:rsid w:val="00EA274B"/>
    <w:rsid w:val="00EA2AA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D52"/>
    <w:rsid w:val="00F22EE2"/>
    <w:rsid w:val="00F2305F"/>
    <w:rsid w:val="00F232DA"/>
    <w:rsid w:val="00F23613"/>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1D9C"/>
    <w:rsid w:val="00FD2965"/>
    <w:rsid w:val="00FD2A64"/>
    <w:rsid w:val="00FD2CC3"/>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styleId="Mencinsinresolver">
    <w:name w:val="Unresolved Mention"/>
    <w:basedOn w:val="Fuentedeprrafopredeter"/>
    <w:uiPriority w:val="99"/>
    <w:semiHidden/>
    <w:unhideWhenUsed/>
    <w:rsid w:val="004039FF"/>
    <w:rPr>
      <w:color w:val="605E5C"/>
      <w:shd w:val="clear" w:color="auto" w:fill="E1DFDD"/>
    </w:rPr>
  </w:style>
  <w:style w:type="character" w:customStyle="1" w:styleId="PiedepginaCar">
    <w:name w:val="Pie de página Car"/>
    <w:basedOn w:val="Fuentedeprrafopredeter"/>
    <w:link w:val="Piedepgina"/>
    <w:uiPriority w:val="99"/>
    <w:rsid w:val="0087565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Datos!$C$102:$C$173</c:f>
              <c:numCache>
                <c:formatCode>0.0_)</c:formatCode>
                <c:ptCount val="67"/>
                <c:pt idx="0">
                  <c:v>104.45648264632101</c:v>
                </c:pt>
                <c:pt idx="1">
                  <c:v>104.20147622265</c:v>
                </c:pt>
                <c:pt idx="2">
                  <c:v>104.418248200356</c:v>
                </c:pt>
                <c:pt idx="3">
                  <c:v>105.334645538422</c:v>
                </c:pt>
                <c:pt idx="4">
                  <c:v>106.368683972057</c:v>
                </c:pt>
                <c:pt idx="5">
                  <c:v>106.11072844809701</c:v>
                </c:pt>
                <c:pt idx="6">
                  <c:v>105.956567192121</c:v>
                </c:pt>
                <c:pt idx="7">
                  <c:v>106.136191460891</c:v>
                </c:pt>
                <c:pt idx="8">
                  <c:v>106.81701550953601</c:v>
                </c:pt>
                <c:pt idx="9">
                  <c:v>106.190012932587</c:v>
                </c:pt>
                <c:pt idx="10">
                  <c:v>104.824505318723</c:v>
                </c:pt>
                <c:pt idx="11">
                  <c:v>107.266323456986</c:v>
                </c:pt>
                <c:pt idx="12">
                  <c:v>108.095051332531</c:v>
                </c:pt>
                <c:pt idx="13">
                  <c:v>107.52274367865</c:v>
                </c:pt>
                <c:pt idx="14">
                  <c:v>107.02727687867601</c:v>
                </c:pt>
                <c:pt idx="15">
                  <c:v>107.27018138102601</c:v>
                </c:pt>
                <c:pt idx="16">
                  <c:v>106.475723577023</c:v>
                </c:pt>
                <c:pt idx="17">
                  <c:v>106.78651511245199</c:v>
                </c:pt>
                <c:pt idx="18">
                  <c:v>107.597276485858</c:v>
                </c:pt>
                <c:pt idx="19">
                  <c:v>107.942979969476</c:v>
                </c:pt>
                <c:pt idx="20">
                  <c:v>107.29697429701299</c:v>
                </c:pt>
                <c:pt idx="21">
                  <c:v>107.61775492040201</c:v>
                </c:pt>
                <c:pt idx="22">
                  <c:v>107.728157953411</c:v>
                </c:pt>
                <c:pt idx="23">
                  <c:v>108.663594731066</c:v>
                </c:pt>
                <c:pt idx="24">
                  <c:v>108.40936382118301</c:v>
                </c:pt>
                <c:pt idx="25">
                  <c:v>109.142449582908</c:v>
                </c:pt>
                <c:pt idx="26">
                  <c:v>111.696044504344</c:v>
                </c:pt>
                <c:pt idx="27">
                  <c:v>110.25808323674499</c:v>
                </c:pt>
                <c:pt idx="28">
                  <c:v>111.445777883994</c:v>
                </c:pt>
                <c:pt idx="29">
                  <c:v>111.50211614011801</c:v>
                </c:pt>
                <c:pt idx="30">
                  <c:v>110.167362373766</c:v>
                </c:pt>
                <c:pt idx="31">
                  <c:v>110.015061578052</c:v>
                </c:pt>
                <c:pt idx="32">
                  <c:v>110.457837553223</c:v>
                </c:pt>
                <c:pt idx="33">
                  <c:v>112.617732669891</c:v>
                </c:pt>
                <c:pt idx="34">
                  <c:v>109.49132775899299</c:v>
                </c:pt>
                <c:pt idx="35">
                  <c:v>106.653058788602</c:v>
                </c:pt>
                <c:pt idx="36">
                  <c:v>108.451650506525</c:v>
                </c:pt>
                <c:pt idx="37">
                  <c:v>108.333915840979</c:v>
                </c:pt>
                <c:pt idx="38">
                  <c:v>108.13950287412899</c:v>
                </c:pt>
                <c:pt idx="39">
                  <c:v>108.262181025591</c:v>
                </c:pt>
                <c:pt idx="40">
                  <c:v>107.412698913035</c:v>
                </c:pt>
                <c:pt idx="41">
                  <c:v>108.11209368340501</c:v>
                </c:pt>
                <c:pt idx="42">
                  <c:v>107.897873337831</c:v>
                </c:pt>
                <c:pt idx="43">
                  <c:v>107.492651062966</c:v>
                </c:pt>
                <c:pt idx="44">
                  <c:v>107.056763419913</c:v>
                </c:pt>
                <c:pt idx="45">
                  <c:v>105.835782755986</c:v>
                </c:pt>
                <c:pt idx="46">
                  <c:v>105.885275820967</c:v>
                </c:pt>
                <c:pt idx="47">
                  <c:v>105.57819146584301</c:v>
                </c:pt>
                <c:pt idx="48">
                  <c:v>106.15048776084799</c:v>
                </c:pt>
                <c:pt idx="49">
                  <c:v>105.38947550884799</c:v>
                </c:pt>
                <c:pt idx="50">
                  <c:v>104.963771977894</c:v>
                </c:pt>
                <c:pt idx="51">
                  <c:v>85.723032837833401</c:v>
                </c:pt>
                <c:pt idx="52">
                  <c:v>81.934877407176998</c:v>
                </c:pt>
                <c:pt idx="53">
                  <c:v>91.159349309882202</c:v>
                </c:pt>
                <c:pt idx="54">
                  <c:v>95.813002120460794</c:v>
                </c:pt>
                <c:pt idx="55">
                  <c:v>97.254820264706296</c:v>
                </c:pt>
                <c:pt idx="56">
                  <c:v>98.7576361467233</c:v>
                </c:pt>
                <c:pt idx="57">
                  <c:v>100.400918065323</c:v>
                </c:pt>
                <c:pt idx="58">
                  <c:v>102.20166724681</c:v>
                </c:pt>
                <c:pt idx="59">
                  <c:v>103.43274237613301</c:v>
                </c:pt>
                <c:pt idx="60">
                  <c:v>104.422817037417</c:v>
                </c:pt>
                <c:pt idx="61">
                  <c:v>106.167686481703</c:v>
                </c:pt>
                <c:pt idx="62">
                  <c:v>108.88276503935801</c:v>
                </c:pt>
                <c:pt idx="63">
                  <c:v>108.74736424761601</c:v>
                </c:pt>
                <c:pt idx="64">
                  <c:v>110.174935823924</c:v>
                </c:pt>
                <c:pt idx="65">
                  <c:v>110.094900596594</c:v>
                </c:pt>
                <c:pt idx="66">
                  <c:v>111.158226261065</c:v>
                </c:pt>
              </c:numCache>
            </c:numRef>
          </c:val>
          <c:extLst>
            <c:ext xmlns:c16="http://schemas.microsoft.com/office/drawing/2014/chart" uri="{C3380CC4-5D6E-409C-BE32-E72D297353CC}">
              <c16:uniqueId val="{00000000-8FE6-4A3A-B22F-0F016A62AF00}"/>
            </c:ext>
          </c:extLst>
        </c:ser>
        <c:dLbls>
          <c:showLegendKey val="0"/>
          <c:showVal val="0"/>
          <c:showCatName val="0"/>
          <c:showSerName val="0"/>
          <c:showPercent val="0"/>
          <c:showBubbleSize val="0"/>
        </c:dLbls>
        <c:gapWidth val="55"/>
        <c:axId val="636298888"/>
        <c:axId val="63630084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Datos!$D$102:$D$173</c:f>
              <c:numCache>
                <c:formatCode>0.0_)</c:formatCode>
                <c:ptCount val="67"/>
                <c:pt idx="0">
                  <c:v>104.34734241744199</c:v>
                </c:pt>
                <c:pt idx="1">
                  <c:v>104.506661637901</c:v>
                </c:pt>
                <c:pt idx="2">
                  <c:v>104.818904563601</c:v>
                </c:pt>
                <c:pt idx="3">
                  <c:v>105.22671870979001</c:v>
                </c:pt>
                <c:pt idx="4">
                  <c:v>105.642323643194</c:v>
                </c:pt>
                <c:pt idx="5">
                  <c:v>105.967859537377</c:v>
                </c:pt>
                <c:pt idx="6">
                  <c:v>106.17158263795299</c:v>
                </c:pt>
                <c:pt idx="7">
                  <c:v>106.31080824503</c:v>
                </c:pt>
                <c:pt idx="8">
                  <c:v>106.474159869988</c:v>
                </c:pt>
                <c:pt idx="9">
                  <c:v>106.714674757574</c:v>
                </c:pt>
                <c:pt idx="10">
                  <c:v>107.021518642931</c:v>
                </c:pt>
                <c:pt idx="11">
                  <c:v>107.29678334938301</c:v>
                </c:pt>
                <c:pt idx="12">
                  <c:v>107.42944906779</c:v>
                </c:pt>
                <c:pt idx="13">
                  <c:v>107.393402738068</c:v>
                </c:pt>
                <c:pt idx="14">
                  <c:v>107.25829927361499</c:v>
                </c:pt>
                <c:pt idx="15">
                  <c:v>107.11204955425499</c:v>
                </c:pt>
                <c:pt idx="16">
                  <c:v>107.036559921031</c:v>
                </c:pt>
                <c:pt idx="17">
                  <c:v>107.07550621333201</c:v>
                </c:pt>
                <c:pt idx="18">
                  <c:v>107.213926006376</c:v>
                </c:pt>
                <c:pt idx="19">
                  <c:v>107.39814162719399</c:v>
                </c:pt>
                <c:pt idx="20">
                  <c:v>107.565801924664</c:v>
                </c:pt>
                <c:pt idx="21">
                  <c:v>107.740633310448</c:v>
                </c:pt>
                <c:pt idx="22">
                  <c:v>107.956347755568</c:v>
                </c:pt>
                <c:pt idx="23">
                  <c:v>108.26896942732699</c:v>
                </c:pt>
                <c:pt idx="24">
                  <c:v>108.759701146178</c:v>
                </c:pt>
                <c:pt idx="25">
                  <c:v>109.387772437387</c:v>
                </c:pt>
                <c:pt idx="26">
                  <c:v>110.00961605053899</c:v>
                </c:pt>
                <c:pt idx="27">
                  <c:v>110.50243039947</c:v>
                </c:pt>
                <c:pt idx="28">
                  <c:v>110.80318301629499</c:v>
                </c:pt>
                <c:pt idx="29">
                  <c:v>110.881008056456</c:v>
                </c:pt>
                <c:pt idx="30">
                  <c:v>110.76298068910999</c:v>
                </c:pt>
                <c:pt idx="31">
                  <c:v>110.49765697810101</c:v>
                </c:pt>
                <c:pt idx="32">
                  <c:v>110.164385160089</c:v>
                </c:pt>
                <c:pt idx="33">
                  <c:v>109.799029297945</c:v>
                </c:pt>
                <c:pt idx="34">
                  <c:v>109.436056266416</c:v>
                </c:pt>
                <c:pt idx="35">
                  <c:v>109.073088028996</c:v>
                </c:pt>
                <c:pt idx="36">
                  <c:v>108.699766334283</c:v>
                </c:pt>
                <c:pt idx="37">
                  <c:v>108.369767888349</c:v>
                </c:pt>
                <c:pt idx="38">
                  <c:v>108.149618173904</c:v>
                </c:pt>
                <c:pt idx="39">
                  <c:v>108.04012791342301</c:v>
                </c:pt>
                <c:pt idx="40">
                  <c:v>107.969840964285</c:v>
                </c:pt>
                <c:pt idx="41">
                  <c:v>107.86258150059599</c:v>
                </c:pt>
                <c:pt idx="42">
                  <c:v>107.639234457152</c:v>
                </c:pt>
                <c:pt idx="43">
                  <c:v>107.29652083131199</c:v>
                </c:pt>
                <c:pt idx="44">
                  <c:v>106.888182052156</c:v>
                </c:pt>
                <c:pt idx="45">
                  <c:v>106.469588816474</c:v>
                </c:pt>
                <c:pt idx="46">
                  <c:v>106.085242772406</c:v>
                </c:pt>
                <c:pt idx="47">
                  <c:v>105.763298182895</c:v>
                </c:pt>
                <c:pt idx="48">
                  <c:v>105.521772567848</c:v>
                </c:pt>
                <c:pt idx="49">
                  <c:v>105.310322972987</c:v>
                </c:pt>
                <c:pt idx="50">
                  <c:v>105.11773872816801</c:v>
                </c:pt>
                <c:pt idx="51">
                  <c:v>95.186063179752693</c:v>
                </c:pt>
                <c:pt idx="52">
                  <c:v>95.239683970906995</c:v>
                </c:pt>
                <c:pt idx="53">
                  <c:v>95.590086070190097</c:v>
                </c:pt>
                <c:pt idx="54">
                  <c:v>96.3182722545845</c:v>
                </c:pt>
                <c:pt idx="55">
                  <c:v>97.405576471486299</c:v>
                </c:pt>
                <c:pt idx="56">
                  <c:v>98.752024769518698</c:v>
                </c:pt>
                <c:pt idx="57">
                  <c:v>100.25941665790801</c:v>
                </c:pt>
                <c:pt idx="58">
                  <c:v>101.81504089641901</c:v>
                </c:pt>
                <c:pt idx="59">
                  <c:v>103.35503464240701</c:v>
                </c:pt>
                <c:pt idx="60">
                  <c:v>104.83151853482499</c:v>
                </c:pt>
                <c:pt idx="61">
                  <c:v>106.230434505785</c:v>
                </c:pt>
                <c:pt idx="62">
                  <c:v>107.54207347386</c:v>
                </c:pt>
                <c:pt idx="63">
                  <c:v>108.706502487145</c:v>
                </c:pt>
                <c:pt idx="64">
                  <c:v>109.687088007577</c:v>
                </c:pt>
                <c:pt idx="65">
                  <c:v>110.460849583415</c:v>
                </c:pt>
                <c:pt idx="66">
                  <c:v>111.030904394949</c:v>
                </c:pt>
              </c:numCache>
            </c:numRef>
          </c:val>
          <c:smooth val="0"/>
          <c:extLst>
            <c:ext xmlns:c16="http://schemas.microsoft.com/office/drawing/2014/chart" uri="{C3380CC4-5D6E-409C-BE32-E72D297353CC}">
              <c16:uniqueId val="{00000001-8FE6-4A3A-B22F-0F016A62AF00}"/>
            </c:ext>
          </c:extLst>
        </c:ser>
        <c:dLbls>
          <c:showLegendKey val="0"/>
          <c:showVal val="0"/>
          <c:showCatName val="0"/>
          <c:showSerName val="0"/>
          <c:showPercent val="0"/>
          <c:showBubbleSize val="0"/>
        </c:dLbls>
        <c:marker val="1"/>
        <c:smooth val="0"/>
        <c:axId val="636298888"/>
        <c:axId val="636300848"/>
      </c:lineChart>
      <c:catAx>
        <c:axId val="63629888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36300848"/>
        <c:crosses val="autoZero"/>
        <c:auto val="1"/>
        <c:lblAlgn val="ctr"/>
        <c:lblOffset val="100"/>
        <c:tickLblSkip val="1"/>
        <c:tickMarkSkip val="12"/>
        <c:noMultiLvlLbl val="1"/>
      </c:catAx>
      <c:valAx>
        <c:axId val="636300848"/>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36298888"/>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Datos!$E$102:$E$173</c:f>
              <c:numCache>
                <c:formatCode>0.0_)</c:formatCode>
                <c:ptCount val="67"/>
                <c:pt idx="0">
                  <c:v>109.341254587425</c:v>
                </c:pt>
                <c:pt idx="1">
                  <c:v>108.529847197642</c:v>
                </c:pt>
                <c:pt idx="2">
                  <c:v>109.30012628655901</c:v>
                </c:pt>
                <c:pt idx="3">
                  <c:v>110.04494742085799</c:v>
                </c:pt>
                <c:pt idx="4">
                  <c:v>110.298562974156</c:v>
                </c:pt>
                <c:pt idx="5">
                  <c:v>111.92742902678501</c:v>
                </c:pt>
                <c:pt idx="6">
                  <c:v>111.41075966120999</c:v>
                </c:pt>
                <c:pt idx="7">
                  <c:v>112.309803443812</c:v>
                </c:pt>
                <c:pt idx="8">
                  <c:v>112.787228293704</c:v>
                </c:pt>
                <c:pt idx="9">
                  <c:v>114.44833062321599</c:v>
                </c:pt>
                <c:pt idx="10">
                  <c:v>113.211934255887</c:v>
                </c:pt>
                <c:pt idx="11">
                  <c:v>113.407138246264</c:v>
                </c:pt>
                <c:pt idx="12">
                  <c:v>112.39585104314099</c:v>
                </c:pt>
                <c:pt idx="13">
                  <c:v>112.166163739014</c:v>
                </c:pt>
                <c:pt idx="14">
                  <c:v>111.273562621286</c:v>
                </c:pt>
                <c:pt idx="15">
                  <c:v>111.756590255877</c:v>
                </c:pt>
                <c:pt idx="16">
                  <c:v>111.425850476618</c:v>
                </c:pt>
                <c:pt idx="17">
                  <c:v>111.37158378449</c:v>
                </c:pt>
                <c:pt idx="18">
                  <c:v>111.62304926703</c:v>
                </c:pt>
                <c:pt idx="19">
                  <c:v>111.14461305215001</c:v>
                </c:pt>
                <c:pt idx="20">
                  <c:v>110.367882080736</c:v>
                </c:pt>
                <c:pt idx="21">
                  <c:v>111.87040784257699</c:v>
                </c:pt>
                <c:pt idx="22">
                  <c:v>110.834415549648</c:v>
                </c:pt>
                <c:pt idx="23">
                  <c:v>112.184072095744</c:v>
                </c:pt>
                <c:pt idx="24">
                  <c:v>111.765522110246</c:v>
                </c:pt>
                <c:pt idx="25">
                  <c:v>112.145249939769</c:v>
                </c:pt>
                <c:pt idx="26">
                  <c:v>113.512237135276</c:v>
                </c:pt>
                <c:pt idx="27">
                  <c:v>112.891198363665</c:v>
                </c:pt>
                <c:pt idx="28">
                  <c:v>113.104865384013</c:v>
                </c:pt>
                <c:pt idx="29">
                  <c:v>113.969399280364</c:v>
                </c:pt>
                <c:pt idx="30">
                  <c:v>114.229639832373</c:v>
                </c:pt>
                <c:pt idx="31">
                  <c:v>113.4919999263</c:v>
                </c:pt>
                <c:pt idx="32">
                  <c:v>113.866352795859</c:v>
                </c:pt>
                <c:pt idx="33">
                  <c:v>114.299446737816</c:v>
                </c:pt>
                <c:pt idx="34">
                  <c:v>114.242693519708</c:v>
                </c:pt>
                <c:pt idx="35">
                  <c:v>111.707155101072</c:v>
                </c:pt>
                <c:pt idx="36">
                  <c:v>114.381013009374</c:v>
                </c:pt>
                <c:pt idx="37">
                  <c:v>115.834120640764</c:v>
                </c:pt>
                <c:pt idx="38">
                  <c:v>114.85778980774001</c:v>
                </c:pt>
                <c:pt idx="39">
                  <c:v>115.229547143172</c:v>
                </c:pt>
                <c:pt idx="40">
                  <c:v>115.857262657305</c:v>
                </c:pt>
                <c:pt idx="41">
                  <c:v>116.178479908542</c:v>
                </c:pt>
                <c:pt idx="42">
                  <c:v>116.443095016814</c:v>
                </c:pt>
                <c:pt idx="43">
                  <c:v>116.30077501217001</c:v>
                </c:pt>
                <c:pt idx="44">
                  <c:v>116.19214272947499</c:v>
                </c:pt>
                <c:pt idx="45">
                  <c:v>114.977486660119</c:v>
                </c:pt>
                <c:pt idx="46">
                  <c:v>116.26611718952201</c:v>
                </c:pt>
                <c:pt idx="47">
                  <c:v>115.33387562705499</c:v>
                </c:pt>
                <c:pt idx="48">
                  <c:v>116.026803606049</c:v>
                </c:pt>
                <c:pt idx="49">
                  <c:v>114.476915550988</c:v>
                </c:pt>
                <c:pt idx="50">
                  <c:v>112.339497868678</c:v>
                </c:pt>
                <c:pt idx="51">
                  <c:v>87.587950362321806</c:v>
                </c:pt>
                <c:pt idx="52">
                  <c:v>88.623835379801207</c:v>
                </c:pt>
                <c:pt idx="53">
                  <c:v>96.742683751802304</c:v>
                </c:pt>
                <c:pt idx="54">
                  <c:v>102.762599394652</c:v>
                </c:pt>
                <c:pt idx="55">
                  <c:v>105.01852313982999</c:v>
                </c:pt>
                <c:pt idx="56">
                  <c:v>107.22502253859</c:v>
                </c:pt>
                <c:pt idx="57">
                  <c:v>106.90204171643801</c:v>
                </c:pt>
                <c:pt idx="58">
                  <c:v>110.836691328676</c:v>
                </c:pt>
                <c:pt idx="59">
                  <c:v>108.431898172191</c:v>
                </c:pt>
                <c:pt idx="60">
                  <c:v>107.910974090035</c:v>
                </c:pt>
                <c:pt idx="61">
                  <c:v>110.718489436056</c:v>
                </c:pt>
                <c:pt idx="62">
                  <c:v>114.432309390363</c:v>
                </c:pt>
                <c:pt idx="63">
                  <c:v>113.957745753201</c:v>
                </c:pt>
                <c:pt idx="64">
                  <c:v>114.433118869277</c:v>
                </c:pt>
                <c:pt idx="65">
                  <c:v>113.563550536683</c:v>
                </c:pt>
                <c:pt idx="66">
                  <c:v>113.077504294292</c:v>
                </c:pt>
              </c:numCache>
            </c:numRef>
          </c:val>
          <c:extLst>
            <c:ext xmlns:c16="http://schemas.microsoft.com/office/drawing/2014/chart" uri="{C3380CC4-5D6E-409C-BE32-E72D297353CC}">
              <c16:uniqueId val="{00000000-7ACE-4920-B122-8CB0AC2F68EA}"/>
            </c:ext>
          </c:extLst>
        </c:ser>
        <c:dLbls>
          <c:showLegendKey val="0"/>
          <c:showVal val="0"/>
          <c:showCatName val="0"/>
          <c:showSerName val="0"/>
          <c:showPercent val="0"/>
          <c:showBubbleSize val="0"/>
        </c:dLbls>
        <c:gapWidth val="55"/>
        <c:axId val="412408192"/>
        <c:axId val="412408584"/>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Datos!$F$102:$F$173</c:f>
              <c:numCache>
                <c:formatCode>0.0_)</c:formatCode>
                <c:ptCount val="67"/>
                <c:pt idx="0">
                  <c:v>108.243948447587</c:v>
                </c:pt>
                <c:pt idx="1">
                  <c:v>108.79369642229599</c:v>
                </c:pt>
                <c:pt idx="2">
                  <c:v>109.382491130856</c:v>
                </c:pt>
                <c:pt idx="3">
                  <c:v>109.97131576751499</c:v>
                </c:pt>
                <c:pt idx="4">
                  <c:v>110.569679343426</c:v>
                </c:pt>
                <c:pt idx="5">
                  <c:v>111.184238808015</c:v>
                </c:pt>
                <c:pt idx="6">
                  <c:v>111.814134059881</c:v>
                </c:pt>
                <c:pt idx="7">
                  <c:v>112.399505102501</c:v>
                </c:pt>
                <c:pt idx="8">
                  <c:v>112.868961066146</c:v>
                </c:pt>
                <c:pt idx="9">
                  <c:v>113.150893999136</c:v>
                </c:pt>
                <c:pt idx="10">
                  <c:v>113.188760022041</c:v>
                </c:pt>
                <c:pt idx="11">
                  <c:v>112.98918266971199</c:v>
                </c:pt>
                <c:pt idx="12">
                  <c:v>112.61687000255201</c:v>
                </c:pt>
                <c:pt idx="13">
                  <c:v>112.181409703298</c:v>
                </c:pt>
                <c:pt idx="14">
                  <c:v>111.83012317664701</c:v>
                </c:pt>
                <c:pt idx="15">
                  <c:v>111.5791888222</c:v>
                </c:pt>
                <c:pt idx="16">
                  <c:v>111.431082954544</c:v>
                </c:pt>
                <c:pt idx="17">
                  <c:v>111.321863997199</c:v>
                </c:pt>
                <c:pt idx="18">
                  <c:v>111.23423021113599</c:v>
                </c:pt>
                <c:pt idx="19">
                  <c:v>111.16667613915</c:v>
                </c:pt>
                <c:pt idx="20">
                  <c:v>111.136632302365</c:v>
                </c:pt>
                <c:pt idx="21">
                  <c:v>111.199122576327</c:v>
                </c:pt>
                <c:pt idx="22">
                  <c:v>111.397886953163</c:v>
                </c:pt>
                <c:pt idx="23">
                  <c:v>111.694627198712</c:v>
                </c:pt>
                <c:pt idx="24">
                  <c:v>112.048368359698</c:v>
                </c:pt>
                <c:pt idx="25">
                  <c:v>112.43326511778901</c:v>
                </c:pt>
                <c:pt idx="26">
                  <c:v>112.811290951031</c:v>
                </c:pt>
                <c:pt idx="27">
                  <c:v>113.155641432729</c:v>
                </c:pt>
                <c:pt idx="28">
                  <c:v>113.446936284401</c:v>
                </c:pt>
                <c:pt idx="29">
                  <c:v>113.659612579605</c:v>
                </c:pt>
                <c:pt idx="30">
                  <c:v>113.819609387527</c:v>
                </c:pt>
                <c:pt idx="31">
                  <c:v>113.907313581452</c:v>
                </c:pt>
                <c:pt idx="32">
                  <c:v>113.98266856840699</c:v>
                </c:pt>
                <c:pt idx="33">
                  <c:v>114.075047587284</c:v>
                </c:pt>
                <c:pt idx="34">
                  <c:v>114.188396630271</c:v>
                </c:pt>
                <c:pt idx="35">
                  <c:v>114.35759968557601</c:v>
                </c:pt>
                <c:pt idx="36">
                  <c:v>114.578470997653</c:v>
                </c:pt>
                <c:pt idx="37">
                  <c:v>114.83688358379401</c:v>
                </c:pt>
                <c:pt idx="38">
                  <c:v>115.136526282655</c:v>
                </c:pt>
                <c:pt idx="39">
                  <c:v>115.49376115174999</c:v>
                </c:pt>
                <c:pt idx="40">
                  <c:v>115.822107126597</c:v>
                </c:pt>
                <c:pt idx="41">
                  <c:v>116.062981965662</c:v>
                </c:pt>
                <c:pt idx="42">
                  <c:v>116.184771328998</c:v>
                </c:pt>
                <c:pt idx="43">
                  <c:v>116.200413557396</c:v>
                </c:pt>
                <c:pt idx="44">
                  <c:v>116.121772070123</c:v>
                </c:pt>
                <c:pt idx="45">
                  <c:v>115.956857681355</c:v>
                </c:pt>
                <c:pt idx="46">
                  <c:v>115.720194998007</c:v>
                </c:pt>
                <c:pt idx="47">
                  <c:v>115.397932520499</c:v>
                </c:pt>
                <c:pt idx="48">
                  <c:v>114.98349453975899</c:v>
                </c:pt>
                <c:pt idx="49">
                  <c:v>114.513203122235</c:v>
                </c:pt>
                <c:pt idx="50">
                  <c:v>114.059485250721</c:v>
                </c:pt>
                <c:pt idx="51">
                  <c:v>103.28831135724499</c:v>
                </c:pt>
                <c:pt idx="52">
                  <c:v>103.30372778274101</c:v>
                </c:pt>
                <c:pt idx="53">
                  <c:v>103.668944462624</c:v>
                </c:pt>
                <c:pt idx="54">
                  <c:v>104.31463020097</c:v>
                </c:pt>
                <c:pt idx="55">
                  <c:v>105.159934872619</c:v>
                </c:pt>
                <c:pt idx="56">
                  <c:v>106.082548956455</c:v>
                </c:pt>
                <c:pt idx="57">
                  <c:v>107.009136673646</c:v>
                </c:pt>
                <c:pt idx="58">
                  <c:v>107.94070581507</c:v>
                </c:pt>
                <c:pt idx="59">
                  <c:v>108.950647682637</c:v>
                </c:pt>
                <c:pt idx="60">
                  <c:v>110.071202218012</c:v>
                </c:pt>
                <c:pt idx="61">
                  <c:v>111.23106544037</c:v>
                </c:pt>
                <c:pt idx="62">
                  <c:v>112.282805687622</c:v>
                </c:pt>
                <c:pt idx="63">
                  <c:v>113.111079726406</c:v>
                </c:pt>
                <c:pt idx="64">
                  <c:v>113.6555109074</c:v>
                </c:pt>
                <c:pt idx="65">
                  <c:v>113.989260566681</c:v>
                </c:pt>
                <c:pt idx="66">
                  <c:v>114.24599904237699</c:v>
                </c:pt>
              </c:numCache>
            </c:numRef>
          </c:val>
          <c:smooth val="0"/>
          <c:extLst>
            <c:ext xmlns:c16="http://schemas.microsoft.com/office/drawing/2014/chart" uri="{C3380CC4-5D6E-409C-BE32-E72D297353CC}">
              <c16:uniqueId val="{00000001-7ACE-4920-B122-8CB0AC2F68EA}"/>
            </c:ext>
          </c:extLst>
        </c:ser>
        <c:dLbls>
          <c:showLegendKey val="0"/>
          <c:showVal val="0"/>
          <c:showCatName val="0"/>
          <c:showSerName val="0"/>
          <c:showPercent val="0"/>
          <c:showBubbleSize val="0"/>
        </c:dLbls>
        <c:marker val="1"/>
        <c:smooth val="0"/>
        <c:axId val="412408192"/>
        <c:axId val="412408584"/>
      </c:lineChart>
      <c:catAx>
        <c:axId val="4124081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12408584"/>
        <c:crosses val="autoZero"/>
        <c:auto val="1"/>
        <c:lblAlgn val="ctr"/>
        <c:lblOffset val="100"/>
        <c:tickLblSkip val="1"/>
        <c:tickMarkSkip val="12"/>
        <c:noMultiLvlLbl val="1"/>
      </c:catAx>
      <c:valAx>
        <c:axId val="41240858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12408192"/>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Datos!$C$102:$C$173</c:f>
              <c:numCache>
                <c:formatCode>0.0_)</c:formatCode>
                <c:ptCount val="67"/>
                <c:pt idx="0">
                  <c:v>104.45648264632101</c:v>
                </c:pt>
                <c:pt idx="1">
                  <c:v>104.20147622265</c:v>
                </c:pt>
                <c:pt idx="2">
                  <c:v>104.418248200356</c:v>
                </c:pt>
                <c:pt idx="3">
                  <c:v>105.334645538422</c:v>
                </c:pt>
                <c:pt idx="4">
                  <c:v>106.368683972057</c:v>
                </c:pt>
                <c:pt idx="5">
                  <c:v>106.11072844809701</c:v>
                </c:pt>
                <c:pt idx="6">
                  <c:v>105.956567192121</c:v>
                </c:pt>
                <c:pt idx="7">
                  <c:v>106.136191460891</c:v>
                </c:pt>
                <c:pt idx="8">
                  <c:v>106.81701550953601</c:v>
                </c:pt>
                <c:pt idx="9">
                  <c:v>106.190012932587</c:v>
                </c:pt>
                <c:pt idx="10">
                  <c:v>104.824505318723</c:v>
                </c:pt>
                <c:pt idx="11">
                  <c:v>107.266323456986</c:v>
                </c:pt>
                <c:pt idx="12">
                  <c:v>108.095051332531</c:v>
                </c:pt>
                <c:pt idx="13">
                  <c:v>107.52274367865</c:v>
                </c:pt>
                <c:pt idx="14">
                  <c:v>107.02727687867601</c:v>
                </c:pt>
                <c:pt idx="15">
                  <c:v>107.27018138102601</c:v>
                </c:pt>
                <c:pt idx="16">
                  <c:v>106.475723577023</c:v>
                </c:pt>
                <c:pt idx="17">
                  <c:v>106.78651511245199</c:v>
                </c:pt>
                <c:pt idx="18">
                  <c:v>107.597276485858</c:v>
                </c:pt>
                <c:pt idx="19">
                  <c:v>107.942979969476</c:v>
                </c:pt>
                <c:pt idx="20">
                  <c:v>107.29697429701299</c:v>
                </c:pt>
                <c:pt idx="21">
                  <c:v>107.61775492040201</c:v>
                </c:pt>
                <c:pt idx="22">
                  <c:v>107.728157953411</c:v>
                </c:pt>
                <c:pt idx="23">
                  <c:v>108.663594731066</c:v>
                </c:pt>
                <c:pt idx="24">
                  <c:v>108.40936382118301</c:v>
                </c:pt>
                <c:pt idx="25">
                  <c:v>109.142449582908</c:v>
                </c:pt>
                <c:pt idx="26">
                  <c:v>111.696044504344</c:v>
                </c:pt>
                <c:pt idx="27">
                  <c:v>110.25808323674499</c:v>
                </c:pt>
                <c:pt idx="28">
                  <c:v>111.445777883994</c:v>
                </c:pt>
                <c:pt idx="29">
                  <c:v>111.50211614011801</c:v>
                </c:pt>
                <c:pt idx="30">
                  <c:v>110.167362373766</c:v>
                </c:pt>
                <c:pt idx="31">
                  <c:v>110.015061578052</c:v>
                </c:pt>
                <c:pt idx="32">
                  <c:v>110.457837553223</c:v>
                </c:pt>
                <c:pt idx="33">
                  <c:v>112.617732669891</c:v>
                </c:pt>
                <c:pt idx="34">
                  <c:v>109.49132775899299</c:v>
                </c:pt>
                <c:pt idx="35">
                  <c:v>106.653058788602</c:v>
                </c:pt>
                <c:pt idx="36">
                  <c:v>108.451650506525</c:v>
                </c:pt>
                <c:pt idx="37">
                  <c:v>108.333915840979</c:v>
                </c:pt>
                <c:pt idx="38">
                  <c:v>108.13950287412899</c:v>
                </c:pt>
                <c:pt idx="39">
                  <c:v>108.262181025591</c:v>
                </c:pt>
                <c:pt idx="40">
                  <c:v>107.412698913035</c:v>
                </c:pt>
                <c:pt idx="41">
                  <c:v>108.11209368340501</c:v>
                </c:pt>
                <c:pt idx="42">
                  <c:v>107.897873337831</c:v>
                </c:pt>
                <c:pt idx="43">
                  <c:v>107.492651062966</c:v>
                </c:pt>
                <c:pt idx="44">
                  <c:v>107.056763419913</c:v>
                </c:pt>
                <c:pt idx="45">
                  <c:v>105.835782755986</c:v>
                </c:pt>
                <c:pt idx="46">
                  <c:v>105.885275820967</c:v>
                </c:pt>
                <c:pt idx="47">
                  <c:v>105.57819146584301</c:v>
                </c:pt>
                <c:pt idx="48">
                  <c:v>106.15048776084799</c:v>
                </c:pt>
                <c:pt idx="49">
                  <c:v>105.38947550884799</c:v>
                </c:pt>
                <c:pt idx="50">
                  <c:v>104.963771977894</c:v>
                </c:pt>
                <c:pt idx="51">
                  <c:v>85.723032837833401</c:v>
                </c:pt>
                <c:pt idx="52">
                  <c:v>81.934877407176998</c:v>
                </c:pt>
                <c:pt idx="53">
                  <c:v>91.159349309882202</c:v>
                </c:pt>
                <c:pt idx="54">
                  <c:v>95.813002120460794</c:v>
                </c:pt>
                <c:pt idx="55">
                  <c:v>97.254820264706296</c:v>
                </c:pt>
                <c:pt idx="56">
                  <c:v>98.7576361467233</c:v>
                </c:pt>
                <c:pt idx="57">
                  <c:v>100.400918065323</c:v>
                </c:pt>
                <c:pt idx="58">
                  <c:v>102.20166724681</c:v>
                </c:pt>
                <c:pt idx="59">
                  <c:v>103.43274237613301</c:v>
                </c:pt>
                <c:pt idx="60">
                  <c:v>104.422817037417</c:v>
                </c:pt>
                <c:pt idx="61">
                  <c:v>106.167686481703</c:v>
                </c:pt>
                <c:pt idx="62">
                  <c:v>108.88276503935801</c:v>
                </c:pt>
                <c:pt idx="63">
                  <c:v>108.74736424761601</c:v>
                </c:pt>
                <c:pt idx="64">
                  <c:v>110.174935823924</c:v>
                </c:pt>
                <c:pt idx="65">
                  <c:v>110.094900596594</c:v>
                </c:pt>
                <c:pt idx="66">
                  <c:v>111.158226261065</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636298888"/>
        <c:axId val="63630084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Datos!$D$102:$D$173</c:f>
              <c:numCache>
                <c:formatCode>0.0_)</c:formatCode>
                <c:ptCount val="67"/>
                <c:pt idx="0">
                  <c:v>104.34734241744199</c:v>
                </c:pt>
                <c:pt idx="1">
                  <c:v>104.506661637901</c:v>
                </c:pt>
                <c:pt idx="2">
                  <c:v>104.818904563601</c:v>
                </c:pt>
                <c:pt idx="3">
                  <c:v>105.22671870979001</c:v>
                </c:pt>
                <c:pt idx="4">
                  <c:v>105.642323643194</c:v>
                </c:pt>
                <c:pt idx="5">
                  <c:v>105.967859537377</c:v>
                </c:pt>
                <c:pt idx="6">
                  <c:v>106.17158263795299</c:v>
                </c:pt>
                <c:pt idx="7">
                  <c:v>106.31080824503</c:v>
                </c:pt>
                <c:pt idx="8">
                  <c:v>106.474159869988</c:v>
                </c:pt>
                <c:pt idx="9">
                  <c:v>106.714674757574</c:v>
                </c:pt>
                <c:pt idx="10">
                  <c:v>107.021518642931</c:v>
                </c:pt>
                <c:pt idx="11">
                  <c:v>107.29678334938301</c:v>
                </c:pt>
                <c:pt idx="12">
                  <c:v>107.42944906779</c:v>
                </c:pt>
                <c:pt idx="13">
                  <c:v>107.393402738068</c:v>
                </c:pt>
                <c:pt idx="14">
                  <c:v>107.25829927361499</c:v>
                </c:pt>
                <c:pt idx="15">
                  <c:v>107.11204955425499</c:v>
                </c:pt>
                <c:pt idx="16">
                  <c:v>107.036559921031</c:v>
                </c:pt>
                <c:pt idx="17">
                  <c:v>107.07550621333201</c:v>
                </c:pt>
                <c:pt idx="18">
                  <c:v>107.213926006376</c:v>
                </c:pt>
                <c:pt idx="19">
                  <c:v>107.39814162719399</c:v>
                </c:pt>
                <c:pt idx="20">
                  <c:v>107.565801924664</c:v>
                </c:pt>
                <c:pt idx="21">
                  <c:v>107.740633310448</c:v>
                </c:pt>
                <c:pt idx="22">
                  <c:v>107.956347755568</c:v>
                </c:pt>
                <c:pt idx="23">
                  <c:v>108.26896942732699</c:v>
                </c:pt>
                <c:pt idx="24">
                  <c:v>108.759701146178</c:v>
                </c:pt>
                <c:pt idx="25">
                  <c:v>109.387772437387</c:v>
                </c:pt>
                <c:pt idx="26">
                  <c:v>110.00961605053899</c:v>
                </c:pt>
                <c:pt idx="27">
                  <c:v>110.50243039947</c:v>
                </c:pt>
                <c:pt idx="28">
                  <c:v>110.80318301629499</c:v>
                </c:pt>
                <c:pt idx="29">
                  <c:v>110.881008056456</c:v>
                </c:pt>
                <c:pt idx="30">
                  <c:v>110.76298068910999</c:v>
                </c:pt>
                <c:pt idx="31">
                  <c:v>110.49765697810101</c:v>
                </c:pt>
                <c:pt idx="32">
                  <c:v>110.164385160089</c:v>
                </c:pt>
                <c:pt idx="33">
                  <c:v>109.799029297945</c:v>
                </c:pt>
                <c:pt idx="34">
                  <c:v>109.436056266416</c:v>
                </c:pt>
                <c:pt idx="35">
                  <c:v>109.073088028996</c:v>
                </c:pt>
                <c:pt idx="36">
                  <c:v>108.699766334283</c:v>
                </c:pt>
                <c:pt idx="37">
                  <c:v>108.369767888349</c:v>
                </c:pt>
                <c:pt idx="38">
                  <c:v>108.149618173904</c:v>
                </c:pt>
                <c:pt idx="39">
                  <c:v>108.04012791342301</c:v>
                </c:pt>
                <c:pt idx="40">
                  <c:v>107.969840964285</c:v>
                </c:pt>
                <c:pt idx="41">
                  <c:v>107.86258150059599</c:v>
                </c:pt>
                <c:pt idx="42">
                  <c:v>107.639234457152</c:v>
                </c:pt>
                <c:pt idx="43">
                  <c:v>107.29652083131199</c:v>
                </c:pt>
                <c:pt idx="44">
                  <c:v>106.888182052156</c:v>
                </c:pt>
                <c:pt idx="45">
                  <c:v>106.469588816474</c:v>
                </c:pt>
                <c:pt idx="46">
                  <c:v>106.085242772406</c:v>
                </c:pt>
                <c:pt idx="47">
                  <c:v>105.763298182895</c:v>
                </c:pt>
                <c:pt idx="48">
                  <c:v>105.521772567848</c:v>
                </c:pt>
                <c:pt idx="49">
                  <c:v>105.310322972987</c:v>
                </c:pt>
                <c:pt idx="50">
                  <c:v>105.11773872816801</c:v>
                </c:pt>
                <c:pt idx="51">
                  <c:v>95.186063179752693</c:v>
                </c:pt>
                <c:pt idx="52">
                  <c:v>95.239683970906995</c:v>
                </c:pt>
                <c:pt idx="53">
                  <c:v>95.590086070190097</c:v>
                </c:pt>
                <c:pt idx="54">
                  <c:v>96.3182722545845</c:v>
                </c:pt>
                <c:pt idx="55">
                  <c:v>97.405576471486299</c:v>
                </c:pt>
                <c:pt idx="56">
                  <c:v>98.752024769518698</c:v>
                </c:pt>
                <c:pt idx="57">
                  <c:v>100.25941665790801</c:v>
                </c:pt>
                <c:pt idx="58">
                  <c:v>101.81504089641901</c:v>
                </c:pt>
                <c:pt idx="59">
                  <c:v>103.35503464240701</c:v>
                </c:pt>
                <c:pt idx="60">
                  <c:v>104.83151853482499</c:v>
                </c:pt>
                <c:pt idx="61">
                  <c:v>106.230434505785</c:v>
                </c:pt>
                <c:pt idx="62">
                  <c:v>107.54207347386</c:v>
                </c:pt>
                <c:pt idx="63">
                  <c:v>108.706502487145</c:v>
                </c:pt>
                <c:pt idx="64">
                  <c:v>109.687088007577</c:v>
                </c:pt>
                <c:pt idx="65">
                  <c:v>110.460849583415</c:v>
                </c:pt>
                <c:pt idx="66">
                  <c:v>111.030904394949</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636298888"/>
        <c:axId val="636300848"/>
      </c:lineChart>
      <c:catAx>
        <c:axId val="63629888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36300848"/>
        <c:crosses val="autoZero"/>
        <c:auto val="1"/>
        <c:lblAlgn val="ctr"/>
        <c:lblOffset val="100"/>
        <c:tickLblSkip val="1"/>
        <c:tickMarkSkip val="12"/>
        <c:noMultiLvlLbl val="1"/>
      </c:catAx>
      <c:valAx>
        <c:axId val="636300848"/>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36298888"/>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Datos!$G$102:$G$173</c:f>
              <c:numCache>
                <c:formatCode>0.0_)</c:formatCode>
                <c:ptCount val="67"/>
                <c:pt idx="0">
                  <c:v>104.663724161125</c:v>
                </c:pt>
                <c:pt idx="1">
                  <c:v>104.915155201418</c:v>
                </c:pt>
                <c:pt idx="2">
                  <c:v>105.529823727905</c:v>
                </c:pt>
                <c:pt idx="3">
                  <c:v>105.941271330723</c:v>
                </c:pt>
                <c:pt idx="4">
                  <c:v>106.1133579143</c:v>
                </c:pt>
                <c:pt idx="5">
                  <c:v>106.44941789726199</c:v>
                </c:pt>
                <c:pt idx="6">
                  <c:v>106.43981592754101</c:v>
                </c:pt>
                <c:pt idx="7">
                  <c:v>107.035162611906</c:v>
                </c:pt>
                <c:pt idx="8">
                  <c:v>107.52813734224399</c:v>
                </c:pt>
                <c:pt idx="9">
                  <c:v>107.742386844273</c:v>
                </c:pt>
                <c:pt idx="10">
                  <c:v>108.29330092201199</c:v>
                </c:pt>
                <c:pt idx="11">
                  <c:v>108.267829586217</c:v>
                </c:pt>
                <c:pt idx="12">
                  <c:v>108.95034687970301</c:v>
                </c:pt>
                <c:pt idx="13">
                  <c:v>107.858061931008</c:v>
                </c:pt>
                <c:pt idx="14">
                  <c:v>108.03748567876499</c:v>
                </c:pt>
                <c:pt idx="15">
                  <c:v>108.008907189395</c:v>
                </c:pt>
                <c:pt idx="16">
                  <c:v>108.421390553715</c:v>
                </c:pt>
                <c:pt idx="17">
                  <c:v>108.76402131695301</c:v>
                </c:pt>
                <c:pt idx="18">
                  <c:v>110.951503967747</c:v>
                </c:pt>
                <c:pt idx="19">
                  <c:v>111.18140367955399</c:v>
                </c:pt>
                <c:pt idx="20">
                  <c:v>111.550499862672</c:v>
                </c:pt>
                <c:pt idx="21">
                  <c:v>111.571621620467</c:v>
                </c:pt>
                <c:pt idx="22">
                  <c:v>111.86121870551101</c:v>
                </c:pt>
                <c:pt idx="23">
                  <c:v>112.032507061622</c:v>
                </c:pt>
                <c:pt idx="24">
                  <c:v>112.408072094104</c:v>
                </c:pt>
                <c:pt idx="25">
                  <c:v>112.918165018783</c:v>
                </c:pt>
                <c:pt idx="26">
                  <c:v>113.16487121013</c:v>
                </c:pt>
                <c:pt idx="27">
                  <c:v>113.664377529752</c:v>
                </c:pt>
                <c:pt idx="28">
                  <c:v>114.630581998403</c:v>
                </c:pt>
                <c:pt idx="29">
                  <c:v>114.280527467729</c:v>
                </c:pt>
                <c:pt idx="30">
                  <c:v>114.799226314135</c:v>
                </c:pt>
                <c:pt idx="31">
                  <c:v>114.926986502943</c:v>
                </c:pt>
                <c:pt idx="32">
                  <c:v>114.77486320203499</c:v>
                </c:pt>
                <c:pt idx="33">
                  <c:v>115.300739823383</c:v>
                </c:pt>
                <c:pt idx="34">
                  <c:v>115.507241989844</c:v>
                </c:pt>
                <c:pt idx="35">
                  <c:v>115.856828222711</c:v>
                </c:pt>
                <c:pt idx="36">
                  <c:v>116.00431884175801</c:v>
                </c:pt>
                <c:pt idx="37">
                  <c:v>116.16282714962399</c:v>
                </c:pt>
                <c:pt idx="38">
                  <c:v>116.57179964648699</c:v>
                </c:pt>
                <c:pt idx="39">
                  <c:v>116.801791354767</c:v>
                </c:pt>
                <c:pt idx="40">
                  <c:v>117.204781840748</c:v>
                </c:pt>
                <c:pt idx="41">
                  <c:v>117.49819198866</c:v>
                </c:pt>
                <c:pt idx="42">
                  <c:v>117.447674615642</c:v>
                </c:pt>
                <c:pt idx="43">
                  <c:v>117.110564660075</c:v>
                </c:pt>
                <c:pt idx="44">
                  <c:v>117.11955343959001</c:v>
                </c:pt>
                <c:pt idx="45">
                  <c:v>117.225560161628</c:v>
                </c:pt>
                <c:pt idx="46">
                  <c:v>117.3493613018</c:v>
                </c:pt>
                <c:pt idx="47">
                  <c:v>117.41317331669801</c:v>
                </c:pt>
                <c:pt idx="48">
                  <c:v>117.57786088388499</c:v>
                </c:pt>
                <c:pt idx="49">
                  <c:v>117.490995002042</c:v>
                </c:pt>
                <c:pt idx="50">
                  <c:v>117.274766220258</c:v>
                </c:pt>
                <c:pt idx="51">
                  <c:v>115.334166811196</c:v>
                </c:pt>
                <c:pt idx="52">
                  <c:v>114.556583408653</c:v>
                </c:pt>
                <c:pt idx="53">
                  <c:v>114.20841916816499</c:v>
                </c:pt>
                <c:pt idx="54">
                  <c:v>114.21114406101201</c:v>
                </c:pt>
                <c:pt idx="55">
                  <c:v>114.261014627953</c:v>
                </c:pt>
                <c:pt idx="56">
                  <c:v>114.472315261472</c:v>
                </c:pt>
                <c:pt idx="57">
                  <c:v>114.680255652783</c:v>
                </c:pt>
                <c:pt idx="58">
                  <c:v>114.45531512445601</c:v>
                </c:pt>
                <c:pt idx="59">
                  <c:v>114.60733169367001</c:v>
                </c:pt>
                <c:pt idx="60">
                  <c:v>114.77766310302501</c:v>
                </c:pt>
                <c:pt idx="61">
                  <c:v>115.01368166080501</c:v>
                </c:pt>
                <c:pt idx="62">
                  <c:v>115.84235808780301</c:v>
                </c:pt>
                <c:pt idx="63">
                  <c:v>115.64500451455299</c:v>
                </c:pt>
                <c:pt idx="64">
                  <c:v>116.045523889858</c:v>
                </c:pt>
                <c:pt idx="65">
                  <c:v>116.32289844265399</c:v>
                </c:pt>
                <c:pt idx="66">
                  <c:v>116.34346230953</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636299280"/>
        <c:axId val="636299672"/>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Datos!$H$102:$H$173</c:f>
              <c:numCache>
                <c:formatCode>0.0_)</c:formatCode>
                <c:ptCount val="67"/>
                <c:pt idx="0">
                  <c:v>104.657080283133</c:v>
                </c:pt>
                <c:pt idx="1">
                  <c:v>105.04341854742199</c:v>
                </c:pt>
                <c:pt idx="2">
                  <c:v>105.464561840987</c:v>
                </c:pt>
                <c:pt idx="3">
                  <c:v>105.842494466038</c:v>
                </c:pt>
                <c:pt idx="4">
                  <c:v>106.13750476964999</c:v>
                </c:pt>
                <c:pt idx="5">
                  <c:v>106.389906794019</c:v>
                </c:pt>
                <c:pt idx="6">
                  <c:v>106.66382307942899</c:v>
                </c:pt>
                <c:pt idx="7">
                  <c:v>107.02847334278</c:v>
                </c:pt>
                <c:pt idx="8">
                  <c:v>107.45092843121</c:v>
                </c:pt>
                <c:pt idx="9">
                  <c:v>107.851503684929</c:v>
                </c:pt>
                <c:pt idx="10">
                  <c:v>108.149434922374</c:v>
                </c:pt>
                <c:pt idx="11">
                  <c:v>108.288214462261</c:v>
                </c:pt>
                <c:pt idx="12">
                  <c:v>108.272998963181</c:v>
                </c:pt>
                <c:pt idx="13">
                  <c:v>108.140178916346</c:v>
                </c:pt>
                <c:pt idx="14">
                  <c:v>108.033770368383</c:v>
                </c:pt>
                <c:pt idx="15">
                  <c:v>108.144414443607</c:v>
                </c:pt>
                <c:pt idx="16">
                  <c:v>108.58752166390801</c:v>
                </c:pt>
                <c:pt idx="17">
                  <c:v>109.354797850777</c:v>
                </c:pt>
                <c:pt idx="18">
                  <c:v>110.23293049072601</c:v>
                </c:pt>
                <c:pt idx="19">
                  <c:v>110.975030925094</c:v>
                </c:pt>
                <c:pt idx="20">
                  <c:v>111.446314024674</c:v>
                </c:pt>
                <c:pt idx="21">
                  <c:v>111.688870825138</c:v>
                </c:pt>
                <c:pt idx="22">
                  <c:v>111.86601452233801</c:v>
                </c:pt>
                <c:pt idx="23">
                  <c:v>112.099886642592</c:v>
                </c:pt>
                <c:pt idx="24">
                  <c:v>112.428299870766</c:v>
                </c:pt>
                <c:pt idx="25">
                  <c:v>112.828983113452</c:v>
                </c:pt>
                <c:pt idx="26">
                  <c:v>113.24700602485299</c:v>
                </c:pt>
                <c:pt idx="27">
                  <c:v>113.663758672193</c:v>
                </c:pt>
                <c:pt idx="28">
                  <c:v>114.0661222884</c:v>
                </c:pt>
                <c:pt idx="29">
                  <c:v>114.409373053321</c:v>
                </c:pt>
                <c:pt idx="30">
                  <c:v>114.666631570622</c:v>
                </c:pt>
                <c:pt idx="31">
                  <c:v>114.84996165072</c:v>
                </c:pt>
                <c:pt idx="32">
                  <c:v>115.032457396655</c:v>
                </c:pt>
                <c:pt idx="33">
                  <c:v>115.256131183614</c:v>
                </c:pt>
                <c:pt idx="34">
                  <c:v>115.508676629608</c:v>
                </c:pt>
                <c:pt idx="35">
                  <c:v>115.775801332143</c:v>
                </c:pt>
                <c:pt idx="36">
                  <c:v>116.013638384205</c:v>
                </c:pt>
                <c:pt idx="37">
                  <c:v>116.24594827347499</c:v>
                </c:pt>
                <c:pt idx="38">
                  <c:v>116.537447665081</c:v>
                </c:pt>
                <c:pt idx="39">
                  <c:v>116.882114610353</c:v>
                </c:pt>
                <c:pt idx="40">
                  <c:v>117.192933943459</c:v>
                </c:pt>
                <c:pt idx="41">
                  <c:v>117.356459090501</c:v>
                </c:pt>
                <c:pt idx="42">
                  <c:v>117.351875592117</c:v>
                </c:pt>
                <c:pt idx="43">
                  <c:v>117.25932867648601</c:v>
                </c:pt>
                <c:pt idx="44">
                  <c:v>117.182740168856</c:v>
                </c:pt>
                <c:pt idx="45">
                  <c:v>117.211323264407</c:v>
                </c:pt>
                <c:pt idx="46">
                  <c:v>117.333209128927</c:v>
                </c:pt>
                <c:pt idx="47">
                  <c:v>117.46375883088901</c:v>
                </c:pt>
                <c:pt idx="48">
                  <c:v>117.535397108441</c:v>
                </c:pt>
                <c:pt idx="49">
                  <c:v>117.474951238222</c:v>
                </c:pt>
                <c:pt idx="50">
                  <c:v>117.209252222099</c:v>
                </c:pt>
                <c:pt idx="51">
                  <c:v>115.182362721478</c:v>
                </c:pt>
                <c:pt idx="52">
                  <c:v>114.69877256232699</c:v>
                </c:pt>
                <c:pt idx="53">
                  <c:v>114.336339275798</c:v>
                </c:pt>
                <c:pt idx="54">
                  <c:v>114.209898163302</c:v>
                </c:pt>
                <c:pt idx="55">
                  <c:v>114.28483868701301</c:v>
                </c:pt>
                <c:pt idx="56">
                  <c:v>114.42387031981799</c:v>
                </c:pt>
                <c:pt idx="57">
                  <c:v>114.51586782278601</c:v>
                </c:pt>
                <c:pt idx="58">
                  <c:v>114.56497283502701</c:v>
                </c:pt>
                <c:pt idx="59">
                  <c:v>114.63461154511199</c:v>
                </c:pt>
                <c:pt idx="60">
                  <c:v>114.780723393814</c:v>
                </c:pt>
                <c:pt idx="61">
                  <c:v>115.028807239971</c:v>
                </c:pt>
                <c:pt idx="62">
                  <c:v>115.354925881478</c:v>
                </c:pt>
                <c:pt idx="63">
                  <c:v>115.68887367961599</c:v>
                </c:pt>
                <c:pt idx="64">
                  <c:v>115.99006062317</c:v>
                </c:pt>
                <c:pt idx="65">
                  <c:v>116.249838571128</c:v>
                </c:pt>
                <c:pt idx="66">
                  <c:v>116.461591960809</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636299280"/>
        <c:axId val="636299672"/>
      </c:lineChart>
      <c:catAx>
        <c:axId val="6362992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36299672"/>
        <c:crosses val="autoZero"/>
        <c:auto val="1"/>
        <c:lblAlgn val="ctr"/>
        <c:lblOffset val="100"/>
        <c:tickLblSkip val="1"/>
        <c:tickMarkSkip val="12"/>
        <c:noMultiLvlLbl val="1"/>
      </c:catAx>
      <c:valAx>
        <c:axId val="636299672"/>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3629928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Datos!$K$102:$K$173</c:f>
              <c:numCache>
                <c:formatCode>0.0</c:formatCode>
                <c:ptCount val="67"/>
                <c:pt idx="0">
                  <c:v>103.546046658725</c:v>
                </c:pt>
                <c:pt idx="1">
                  <c:v>104.30030703938399</c:v>
                </c:pt>
                <c:pt idx="2">
                  <c:v>105.326359328701</c:v>
                </c:pt>
                <c:pt idx="3">
                  <c:v>104.868126503708</c:v>
                </c:pt>
                <c:pt idx="4">
                  <c:v>105.63134390110299</c:v>
                </c:pt>
                <c:pt idx="5">
                  <c:v>105.697195043135</c:v>
                </c:pt>
                <c:pt idx="6">
                  <c:v>106.915782659618</c:v>
                </c:pt>
                <c:pt idx="7">
                  <c:v>106.655076590644</c:v>
                </c:pt>
                <c:pt idx="8">
                  <c:v>105.33604205894</c:v>
                </c:pt>
                <c:pt idx="9">
                  <c:v>105.740008941418</c:v>
                </c:pt>
                <c:pt idx="10">
                  <c:v>102.508539745343</c:v>
                </c:pt>
                <c:pt idx="11">
                  <c:v>105.263136765526</c:v>
                </c:pt>
                <c:pt idx="12">
                  <c:v>105.36894718323499</c:v>
                </c:pt>
                <c:pt idx="13">
                  <c:v>105.318086745052</c:v>
                </c:pt>
                <c:pt idx="14">
                  <c:v>105.66818258092</c:v>
                </c:pt>
                <c:pt idx="15">
                  <c:v>107.80866355665199</c:v>
                </c:pt>
                <c:pt idx="16">
                  <c:v>105.891803438693</c:v>
                </c:pt>
                <c:pt idx="17">
                  <c:v>106.246141309121</c:v>
                </c:pt>
                <c:pt idx="18">
                  <c:v>106.118041423188</c:v>
                </c:pt>
                <c:pt idx="19">
                  <c:v>104.343195257666</c:v>
                </c:pt>
                <c:pt idx="20">
                  <c:v>105.45648208290601</c:v>
                </c:pt>
                <c:pt idx="21">
                  <c:v>105.06842280949699</c:v>
                </c:pt>
                <c:pt idx="22">
                  <c:v>104.364739547984</c:v>
                </c:pt>
                <c:pt idx="23">
                  <c:v>106.364367193409</c:v>
                </c:pt>
                <c:pt idx="24">
                  <c:v>105.430490482971</c:v>
                </c:pt>
                <c:pt idx="25">
                  <c:v>104.106498868541</c:v>
                </c:pt>
                <c:pt idx="26">
                  <c:v>106.100936907522</c:v>
                </c:pt>
                <c:pt idx="27">
                  <c:v>106.76389666265599</c:v>
                </c:pt>
                <c:pt idx="28">
                  <c:v>106.759034802446</c:v>
                </c:pt>
                <c:pt idx="29">
                  <c:v>107.54434859859001</c:v>
                </c:pt>
                <c:pt idx="30">
                  <c:v>107.096280114832</c:v>
                </c:pt>
                <c:pt idx="31">
                  <c:v>107.127527051179</c:v>
                </c:pt>
                <c:pt idx="32">
                  <c:v>107.17538631746</c:v>
                </c:pt>
                <c:pt idx="33">
                  <c:v>106.79577365688201</c:v>
                </c:pt>
                <c:pt idx="34">
                  <c:v>110.559159186336</c:v>
                </c:pt>
                <c:pt idx="35">
                  <c:v>106.469729527269</c:v>
                </c:pt>
                <c:pt idx="36">
                  <c:v>105.803973609574</c:v>
                </c:pt>
                <c:pt idx="37">
                  <c:v>105.48743856447901</c:v>
                </c:pt>
                <c:pt idx="38">
                  <c:v>103.83002345537901</c:v>
                </c:pt>
                <c:pt idx="39">
                  <c:v>103.667472232965</c:v>
                </c:pt>
                <c:pt idx="40">
                  <c:v>104.983335880792</c:v>
                </c:pt>
                <c:pt idx="41">
                  <c:v>103.233212479166</c:v>
                </c:pt>
                <c:pt idx="42">
                  <c:v>104.20482320005701</c:v>
                </c:pt>
                <c:pt idx="43">
                  <c:v>105.373498106461</c:v>
                </c:pt>
                <c:pt idx="44">
                  <c:v>103.565781256989</c:v>
                </c:pt>
                <c:pt idx="45">
                  <c:v>106.41397860276101</c:v>
                </c:pt>
                <c:pt idx="46">
                  <c:v>104.804397944142</c:v>
                </c:pt>
                <c:pt idx="47">
                  <c:v>102.941411686447</c:v>
                </c:pt>
                <c:pt idx="48">
                  <c:v>102.601095080261</c:v>
                </c:pt>
                <c:pt idx="49">
                  <c:v>102.73260193318799</c:v>
                </c:pt>
                <c:pt idx="50">
                  <c:v>102.891722993578</c:v>
                </c:pt>
                <c:pt idx="51">
                  <c:v>105.519661270735</c:v>
                </c:pt>
                <c:pt idx="52">
                  <c:v>101.006281740071</c:v>
                </c:pt>
                <c:pt idx="53">
                  <c:v>101.538127254017</c:v>
                </c:pt>
                <c:pt idx="54">
                  <c:v>102.39878947013599</c:v>
                </c:pt>
                <c:pt idx="55">
                  <c:v>102.533889565816</c:v>
                </c:pt>
                <c:pt idx="56">
                  <c:v>103.95839646399</c:v>
                </c:pt>
                <c:pt idx="57">
                  <c:v>103.413387292525</c:v>
                </c:pt>
                <c:pt idx="58">
                  <c:v>104.793406774318</c:v>
                </c:pt>
                <c:pt idx="59">
                  <c:v>105.102274649812</c:v>
                </c:pt>
                <c:pt idx="60">
                  <c:v>105.49368518534899</c:v>
                </c:pt>
                <c:pt idx="61">
                  <c:v>105.43619913288499</c:v>
                </c:pt>
                <c:pt idx="62">
                  <c:v>106.215559124989</c:v>
                </c:pt>
                <c:pt idx="63">
                  <c:v>107.327425580667</c:v>
                </c:pt>
                <c:pt idx="64">
                  <c:v>108.16705911413599</c:v>
                </c:pt>
                <c:pt idx="65">
                  <c:v>110.46043590762901</c:v>
                </c:pt>
                <c:pt idx="66">
                  <c:v>107.232193889808</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407009760"/>
        <c:axId val="316001872"/>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Datos!$L$102:$L$173</c:f>
              <c:numCache>
                <c:formatCode>0.0</c:formatCode>
                <c:ptCount val="67"/>
                <c:pt idx="0">
                  <c:v>103.42957971287601</c:v>
                </c:pt>
                <c:pt idx="1">
                  <c:v>104.101586338072</c:v>
                </c:pt>
                <c:pt idx="2">
                  <c:v>104.766025872059</c:v>
                </c:pt>
                <c:pt idx="3">
                  <c:v>105.342957327166</c:v>
                </c:pt>
                <c:pt idx="4">
                  <c:v>105.772753542801</c:v>
                </c:pt>
                <c:pt idx="5">
                  <c:v>106.046811764753</c:v>
                </c:pt>
                <c:pt idx="6">
                  <c:v>106.179612890366</c:v>
                </c:pt>
                <c:pt idx="7">
                  <c:v>106.15588592811</c:v>
                </c:pt>
                <c:pt idx="8">
                  <c:v>105.99305400538201</c:v>
                </c:pt>
                <c:pt idx="9">
                  <c:v>105.736591074489</c:v>
                </c:pt>
                <c:pt idx="10">
                  <c:v>105.48992551800001</c:v>
                </c:pt>
                <c:pt idx="11">
                  <c:v>105.361940514054</c:v>
                </c:pt>
                <c:pt idx="12">
                  <c:v>105.38528818844</c:v>
                </c:pt>
                <c:pt idx="13">
                  <c:v>105.56539785701401</c:v>
                </c:pt>
                <c:pt idx="14">
                  <c:v>105.778621740075</c:v>
                </c:pt>
                <c:pt idx="15">
                  <c:v>105.936124349061</c:v>
                </c:pt>
                <c:pt idx="16">
                  <c:v>105.998053054236</c:v>
                </c:pt>
                <c:pt idx="17">
                  <c:v>105.892865888749</c:v>
                </c:pt>
                <c:pt idx="18">
                  <c:v>105.644372479786</c:v>
                </c:pt>
                <c:pt idx="19">
                  <c:v>105.34538128074701</c:v>
                </c:pt>
                <c:pt idx="20">
                  <c:v>105.090233901007</c:v>
                </c:pt>
                <c:pt idx="21">
                  <c:v>104.950340558452</c:v>
                </c:pt>
                <c:pt idx="22">
                  <c:v>104.962794143902</c:v>
                </c:pt>
                <c:pt idx="23">
                  <c:v>105.11180209633901</c:v>
                </c:pt>
                <c:pt idx="24">
                  <c:v>105.388119976699</c:v>
                </c:pt>
                <c:pt idx="25">
                  <c:v>105.746335221461</c:v>
                </c:pt>
                <c:pt idx="26">
                  <c:v>106.146812576832</c:v>
                </c:pt>
                <c:pt idx="27">
                  <c:v>106.560068209449</c:v>
                </c:pt>
                <c:pt idx="28">
                  <c:v>106.894536464786</c:v>
                </c:pt>
                <c:pt idx="29">
                  <c:v>107.122177292621</c:v>
                </c:pt>
                <c:pt idx="30">
                  <c:v>107.24087082908299</c:v>
                </c:pt>
                <c:pt idx="31">
                  <c:v>107.231742339091</c:v>
                </c:pt>
                <c:pt idx="32">
                  <c:v>107.14660334960099</c:v>
                </c:pt>
                <c:pt idx="33">
                  <c:v>106.98982818132799</c:v>
                </c:pt>
                <c:pt idx="34">
                  <c:v>106.687602200272</c:v>
                </c:pt>
                <c:pt idx="35">
                  <c:v>106.24769433961301</c:v>
                </c:pt>
                <c:pt idx="36">
                  <c:v>105.702582408173</c:v>
                </c:pt>
                <c:pt idx="37">
                  <c:v>105.092209776993</c:v>
                </c:pt>
                <c:pt idx="38">
                  <c:v>104.573181001756</c:v>
                </c:pt>
                <c:pt idx="39">
                  <c:v>104.23318187761301</c:v>
                </c:pt>
                <c:pt idx="40">
                  <c:v>104.086072860728</c:v>
                </c:pt>
                <c:pt idx="41">
                  <c:v>104.13355419850799</c:v>
                </c:pt>
                <c:pt idx="42">
                  <c:v>104.288581595053</c:v>
                </c:pt>
                <c:pt idx="43">
                  <c:v>104.41311708330601</c:v>
                </c:pt>
                <c:pt idx="44">
                  <c:v>104.38766090298201</c:v>
                </c:pt>
                <c:pt idx="45">
                  <c:v>104.18992400815701</c:v>
                </c:pt>
                <c:pt idx="46">
                  <c:v>103.895875367171</c:v>
                </c:pt>
                <c:pt idx="47">
                  <c:v>103.525763570775</c:v>
                </c:pt>
                <c:pt idx="48">
                  <c:v>103.080609608047</c:v>
                </c:pt>
                <c:pt idx="49">
                  <c:v>102.639046870917</c:v>
                </c:pt>
                <c:pt idx="50">
                  <c:v>102.218354342616</c:v>
                </c:pt>
                <c:pt idx="51">
                  <c:v>101.90350907918101</c:v>
                </c:pt>
                <c:pt idx="52">
                  <c:v>101.78527765353201</c:v>
                </c:pt>
                <c:pt idx="53">
                  <c:v>101.87036689075499</c:v>
                </c:pt>
                <c:pt idx="54">
                  <c:v>102.167021782994</c:v>
                </c:pt>
                <c:pt idx="55">
                  <c:v>102.688612561713</c:v>
                </c:pt>
                <c:pt idx="56">
                  <c:v>103.33317139440901</c:v>
                </c:pt>
                <c:pt idx="57">
                  <c:v>103.953525402095</c:v>
                </c:pt>
                <c:pt idx="58">
                  <c:v>104.46618148683601</c:v>
                </c:pt>
                <c:pt idx="59">
                  <c:v>104.909346915718</c:v>
                </c:pt>
                <c:pt idx="60">
                  <c:v>105.38084147317301</c:v>
                </c:pt>
                <c:pt idx="61">
                  <c:v>105.933441822544</c:v>
                </c:pt>
                <c:pt idx="62">
                  <c:v>106.55755432800601</c:v>
                </c:pt>
                <c:pt idx="63">
                  <c:v>107.199686592657</c:v>
                </c:pt>
                <c:pt idx="64">
                  <c:v>107.78138234764501</c:v>
                </c:pt>
                <c:pt idx="65">
                  <c:v>108.264004455495</c:v>
                </c:pt>
                <c:pt idx="66">
                  <c:v>108.605698022803</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407009760"/>
        <c:axId val="316001872"/>
      </c:lineChart>
      <c:catAx>
        <c:axId val="4070097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16001872"/>
        <c:crosses val="autoZero"/>
        <c:auto val="1"/>
        <c:lblAlgn val="ctr"/>
        <c:lblOffset val="100"/>
        <c:tickLblSkip val="1"/>
        <c:tickMarkSkip val="12"/>
        <c:noMultiLvlLbl val="1"/>
      </c:catAx>
      <c:valAx>
        <c:axId val="316001872"/>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07009760"/>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Datos!$E$102:$E$173</c:f>
              <c:numCache>
                <c:formatCode>0.0_)</c:formatCode>
                <c:ptCount val="67"/>
                <c:pt idx="0">
                  <c:v>109.341254587425</c:v>
                </c:pt>
                <c:pt idx="1">
                  <c:v>108.529847197642</c:v>
                </c:pt>
                <c:pt idx="2">
                  <c:v>109.30012628655901</c:v>
                </c:pt>
                <c:pt idx="3">
                  <c:v>110.04494742085799</c:v>
                </c:pt>
                <c:pt idx="4">
                  <c:v>110.298562974156</c:v>
                </c:pt>
                <c:pt idx="5">
                  <c:v>111.92742902678501</c:v>
                </c:pt>
                <c:pt idx="6">
                  <c:v>111.41075966120999</c:v>
                </c:pt>
                <c:pt idx="7">
                  <c:v>112.309803443812</c:v>
                </c:pt>
                <c:pt idx="8">
                  <c:v>112.787228293704</c:v>
                </c:pt>
                <c:pt idx="9">
                  <c:v>114.44833062321599</c:v>
                </c:pt>
                <c:pt idx="10">
                  <c:v>113.211934255887</c:v>
                </c:pt>
                <c:pt idx="11">
                  <c:v>113.407138246264</c:v>
                </c:pt>
                <c:pt idx="12">
                  <c:v>112.39585104314099</c:v>
                </c:pt>
                <c:pt idx="13">
                  <c:v>112.166163739014</c:v>
                </c:pt>
                <c:pt idx="14">
                  <c:v>111.273562621286</c:v>
                </c:pt>
                <c:pt idx="15">
                  <c:v>111.756590255877</c:v>
                </c:pt>
                <c:pt idx="16">
                  <c:v>111.425850476618</c:v>
                </c:pt>
                <c:pt idx="17">
                  <c:v>111.37158378449</c:v>
                </c:pt>
                <c:pt idx="18">
                  <c:v>111.62304926703</c:v>
                </c:pt>
                <c:pt idx="19">
                  <c:v>111.14461305215001</c:v>
                </c:pt>
                <c:pt idx="20">
                  <c:v>110.367882080736</c:v>
                </c:pt>
                <c:pt idx="21">
                  <c:v>111.87040784257699</c:v>
                </c:pt>
                <c:pt idx="22">
                  <c:v>110.834415549648</c:v>
                </c:pt>
                <c:pt idx="23">
                  <c:v>112.184072095744</c:v>
                </c:pt>
                <c:pt idx="24">
                  <c:v>111.765522110246</c:v>
                </c:pt>
                <c:pt idx="25">
                  <c:v>112.145249939769</c:v>
                </c:pt>
                <c:pt idx="26">
                  <c:v>113.512237135276</c:v>
                </c:pt>
                <c:pt idx="27">
                  <c:v>112.891198363665</c:v>
                </c:pt>
                <c:pt idx="28">
                  <c:v>113.104865384013</c:v>
                </c:pt>
                <c:pt idx="29">
                  <c:v>113.969399280364</c:v>
                </c:pt>
                <c:pt idx="30">
                  <c:v>114.229639832373</c:v>
                </c:pt>
                <c:pt idx="31">
                  <c:v>113.4919999263</c:v>
                </c:pt>
                <c:pt idx="32">
                  <c:v>113.866352795859</c:v>
                </c:pt>
                <c:pt idx="33">
                  <c:v>114.299446737816</c:v>
                </c:pt>
                <c:pt idx="34">
                  <c:v>114.242693519708</c:v>
                </c:pt>
                <c:pt idx="35">
                  <c:v>111.707155101072</c:v>
                </c:pt>
                <c:pt idx="36">
                  <c:v>114.381013009374</c:v>
                </c:pt>
                <c:pt idx="37">
                  <c:v>115.834120640764</c:v>
                </c:pt>
                <c:pt idx="38">
                  <c:v>114.85778980774001</c:v>
                </c:pt>
                <c:pt idx="39">
                  <c:v>115.229547143172</c:v>
                </c:pt>
                <c:pt idx="40">
                  <c:v>115.857262657305</c:v>
                </c:pt>
                <c:pt idx="41">
                  <c:v>116.178479908542</c:v>
                </c:pt>
                <c:pt idx="42">
                  <c:v>116.443095016814</c:v>
                </c:pt>
                <c:pt idx="43">
                  <c:v>116.30077501217001</c:v>
                </c:pt>
                <c:pt idx="44">
                  <c:v>116.19214272947499</c:v>
                </c:pt>
                <c:pt idx="45">
                  <c:v>114.977486660119</c:v>
                </c:pt>
                <c:pt idx="46">
                  <c:v>116.26611718952201</c:v>
                </c:pt>
                <c:pt idx="47">
                  <c:v>115.33387562705499</c:v>
                </c:pt>
                <c:pt idx="48">
                  <c:v>116.026803606049</c:v>
                </c:pt>
                <c:pt idx="49">
                  <c:v>114.476915550988</c:v>
                </c:pt>
                <c:pt idx="50">
                  <c:v>112.339497868678</c:v>
                </c:pt>
                <c:pt idx="51">
                  <c:v>87.587950362321806</c:v>
                </c:pt>
                <c:pt idx="52">
                  <c:v>88.623835379801207</c:v>
                </c:pt>
                <c:pt idx="53">
                  <c:v>96.742683751802304</c:v>
                </c:pt>
                <c:pt idx="54">
                  <c:v>102.762599394652</c:v>
                </c:pt>
                <c:pt idx="55">
                  <c:v>105.01852313982999</c:v>
                </c:pt>
                <c:pt idx="56">
                  <c:v>107.22502253859</c:v>
                </c:pt>
                <c:pt idx="57">
                  <c:v>106.90204171643801</c:v>
                </c:pt>
                <c:pt idx="58">
                  <c:v>110.836691328676</c:v>
                </c:pt>
                <c:pt idx="59">
                  <c:v>108.431898172191</c:v>
                </c:pt>
                <c:pt idx="60">
                  <c:v>107.910974090035</c:v>
                </c:pt>
                <c:pt idx="61">
                  <c:v>110.718489436056</c:v>
                </c:pt>
                <c:pt idx="62">
                  <c:v>114.432309390363</c:v>
                </c:pt>
                <c:pt idx="63">
                  <c:v>113.957745753201</c:v>
                </c:pt>
                <c:pt idx="64">
                  <c:v>114.433118869277</c:v>
                </c:pt>
                <c:pt idx="65">
                  <c:v>113.563550536683</c:v>
                </c:pt>
                <c:pt idx="66">
                  <c:v>113.077504294292</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412408192"/>
        <c:axId val="412408584"/>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Datos!$F$102:$F$173</c:f>
              <c:numCache>
                <c:formatCode>0.0_)</c:formatCode>
                <c:ptCount val="67"/>
                <c:pt idx="0">
                  <c:v>108.243948447587</c:v>
                </c:pt>
                <c:pt idx="1">
                  <c:v>108.79369642229599</c:v>
                </c:pt>
                <c:pt idx="2">
                  <c:v>109.382491130856</c:v>
                </c:pt>
                <c:pt idx="3">
                  <c:v>109.97131576751499</c:v>
                </c:pt>
                <c:pt idx="4">
                  <c:v>110.569679343426</c:v>
                </c:pt>
                <c:pt idx="5">
                  <c:v>111.184238808015</c:v>
                </c:pt>
                <c:pt idx="6">
                  <c:v>111.814134059881</c:v>
                </c:pt>
                <c:pt idx="7">
                  <c:v>112.399505102501</c:v>
                </c:pt>
                <c:pt idx="8">
                  <c:v>112.868961066146</c:v>
                </c:pt>
                <c:pt idx="9">
                  <c:v>113.150893999136</c:v>
                </c:pt>
                <c:pt idx="10">
                  <c:v>113.188760022041</c:v>
                </c:pt>
                <c:pt idx="11">
                  <c:v>112.98918266971199</c:v>
                </c:pt>
                <c:pt idx="12">
                  <c:v>112.61687000255201</c:v>
                </c:pt>
                <c:pt idx="13">
                  <c:v>112.181409703298</c:v>
                </c:pt>
                <c:pt idx="14">
                  <c:v>111.83012317664701</c:v>
                </c:pt>
                <c:pt idx="15">
                  <c:v>111.5791888222</c:v>
                </c:pt>
                <c:pt idx="16">
                  <c:v>111.431082954544</c:v>
                </c:pt>
                <c:pt idx="17">
                  <c:v>111.321863997199</c:v>
                </c:pt>
                <c:pt idx="18">
                  <c:v>111.23423021113599</c:v>
                </c:pt>
                <c:pt idx="19">
                  <c:v>111.16667613915</c:v>
                </c:pt>
                <c:pt idx="20">
                  <c:v>111.136632302365</c:v>
                </c:pt>
                <c:pt idx="21">
                  <c:v>111.199122576327</c:v>
                </c:pt>
                <c:pt idx="22">
                  <c:v>111.397886953163</c:v>
                </c:pt>
                <c:pt idx="23">
                  <c:v>111.694627198712</c:v>
                </c:pt>
                <c:pt idx="24">
                  <c:v>112.048368359698</c:v>
                </c:pt>
                <c:pt idx="25">
                  <c:v>112.43326511778901</c:v>
                </c:pt>
                <c:pt idx="26">
                  <c:v>112.811290951031</c:v>
                </c:pt>
                <c:pt idx="27">
                  <c:v>113.155641432729</c:v>
                </c:pt>
                <c:pt idx="28">
                  <c:v>113.446936284401</c:v>
                </c:pt>
                <c:pt idx="29">
                  <c:v>113.659612579605</c:v>
                </c:pt>
                <c:pt idx="30">
                  <c:v>113.819609387527</c:v>
                </c:pt>
                <c:pt idx="31">
                  <c:v>113.907313581452</c:v>
                </c:pt>
                <c:pt idx="32">
                  <c:v>113.98266856840699</c:v>
                </c:pt>
                <c:pt idx="33">
                  <c:v>114.075047587284</c:v>
                </c:pt>
                <c:pt idx="34">
                  <c:v>114.188396630271</c:v>
                </c:pt>
                <c:pt idx="35">
                  <c:v>114.35759968557601</c:v>
                </c:pt>
                <c:pt idx="36">
                  <c:v>114.578470997653</c:v>
                </c:pt>
                <c:pt idx="37">
                  <c:v>114.83688358379401</c:v>
                </c:pt>
                <c:pt idx="38">
                  <c:v>115.136526282655</c:v>
                </c:pt>
                <c:pt idx="39">
                  <c:v>115.49376115174999</c:v>
                </c:pt>
                <c:pt idx="40">
                  <c:v>115.822107126597</c:v>
                </c:pt>
                <c:pt idx="41">
                  <c:v>116.062981965662</c:v>
                </c:pt>
                <c:pt idx="42">
                  <c:v>116.184771328998</c:v>
                </c:pt>
                <c:pt idx="43">
                  <c:v>116.200413557396</c:v>
                </c:pt>
                <c:pt idx="44">
                  <c:v>116.121772070123</c:v>
                </c:pt>
                <c:pt idx="45">
                  <c:v>115.956857681355</c:v>
                </c:pt>
                <c:pt idx="46">
                  <c:v>115.720194998007</c:v>
                </c:pt>
                <c:pt idx="47">
                  <c:v>115.397932520499</c:v>
                </c:pt>
                <c:pt idx="48">
                  <c:v>114.98349453975899</c:v>
                </c:pt>
                <c:pt idx="49">
                  <c:v>114.513203122235</c:v>
                </c:pt>
                <c:pt idx="50">
                  <c:v>114.059485250721</c:v>
                </c:pt>
                <c:pt idx="51">
                  <c:v>103.28831135724499</c:v>
                </c:pt>
                <c:pt idx="52">
                  <c:v>103.30372778274101</c:v>
                </c:pt>
                <c:pt idx="53">
                  <c:v>103.668944462624</c:v>
                </c:pt>
                <c:pt idx="54">
                  <c:v>104.31463020097</c:v>
                </c:pt>
                <c:pt idx="55">
                  <c:v>105.159934872619</c:v>
                </c:pt>
                <c:pt idx="56">
                  <c:v>106.082548956455</c:v>
                </c:pt>
                <c:pt idx="57">
                  <c:v>107.009136673646</c:v>
                </c:pt>
                <c:pt idx="58">
                  <c:v>107.94070581507</c:v>
                </c:pt>
                <c:pt idx="59">
                  <c:v>108.950647682637</c:v>
                </c:pt>
                <c:pt idx="60">
                  <c:v>110.071202218012</c:v>
                </c:pt>
                <c:pt idx="61">
                  <c:v>111.23106544037</c:v>
                </c:pt>
                <c:pt idx="62">
                  <c:v>112.282805687622</c:v>
                </c:pt>
                <c:pt idx="63">
                  <c:v>113.111079726406</c:v>
                </c:pt>
                <c:pt idx="64">
                  <c:v>113.6555109074</c:v>
                </c:pt>
                <c:pt idx="65">
                  <c:v>113.989260566681</c:v>
                </c:pt>
                <c:pt idx="66">
                  <c:v>114.24599904237699</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412408192"/>
        <c:axId val="412408584"/>
      </c:lineChart>
      <c:catAx>
        <c:axId val="4124081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12408584"/>
        <c:crosses val="autoZero"/>
        <c:auto val="1"/>
        <c:lblAlgn val="ctr"/>
        <c:lblOffset val="100"/>
        <c:tickLblSkip val="1"/>
        <c:tickMarkSkip val="12"/>
        <c:noMultiLvlLbl val="1"/>
      </c:catAx>
      <c:valAx>
        <c:axId val="41240858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12408192"/>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Datos!$I$102:$I$173</c:f>
              <c:numCache>
                <c:formatCode>0.0_)</c:formatCode>
                <c:ptCount val="67"/>
                <c:pt idx="0">
                  <c:v>101.658634220976</c:v>
                </c:pt>
                <c:pt idx="1">
                  <c:v>101.753353865991</c:v>
                </c:pt>
                <c:pt idx="2">
                  <c:v>102.237332000629</c:v>
                </c:pt>
                <c:pt idx="3">
                  <c:v>102.294307847106</c:v>
                </c:pt>
                <c:pt idx="4">
                  <c:v>102.56862924794601</c:v>
                </c:pt>
                <c:pt idx="5">
                  <c:v>102.444917321283</c:v>
                </c:pt>
                <c:pt idx="6">
                  <c:v>102.536500137082</c:v>
                </c:pt>
                <c:pt idx="7">
                  <c:v>102.34892263035201</c:v>
                </c:pt>
                <c:pt idx="8">
                  <c:v>102.301707239368</c:v>
                </c:pt>
                <c:pt idx="9">
                  <c:v>103.110947972961</c:v>
                </c:pt>
                <c:pt idx="10">
                  <c:v>102.564665631591</c:v>
                </c:pt>
                <c:pt idx="11">
                  <c:v>102.685864164325</c:v>
                </c:pt>
                <c:pt idx="12">
                  <c:v>102.966268273669</c:v>
                </c:pt>
                <c:pt idx="13">
                  <c:v>102.83205009215</c:v>
                </c:pt>
                <c:pt idx="14">
                  <c:v>102.807546661125</c:v>
                </c:pt>
                <c:pt idx="15">
                  <c:v>102.89074320528501</c:v>
                </c:pt>
                <c:pt idx="16">
                  <c:v>103.093503293829</c:v>
                </c:pt>
                <c:pt idx="17">
                  <c:v>103.50644795881</c:v>
                </c:pt>
                <c:pt idx="18">
                  <c:v>103.688692348046</c:v>
                </c:pt>
                <c:pt idx="19">
                  <c:v>103.881855694145</c:v>
                </c:pt>
                <c:pt idx="20">
                  <c:v>104.23647132129101</c:v>
                </c:pt>
                <c:pt idx="21">
                  <c:v>104.452805380326</c:v>
                </c:pt>
                <c:pt idx="22">
                  <c:v>104.247066846607</c:v>
                </c:pt>
                <c:pt idx="23">
                  <c:v>103.448219389488</c:v>
                </c:pt>
                <c:pt idx="24">
                  <c:v>104.364760842076</c:v>
                </c:pt>
                <c:pt idx="25">
                  <c:v>104.171921458558</c:v>
                </c:pt>
                <c:pt idx="26">
                  <c:v>105.718907628845</c:v>
                </c:pt>
                <c:pt idx="27">
                  <c:v>105.69123060994499</c:v>
                </c:pt>
                <c:pt idx="28">
                  <c:v>105.26562184455101</c:v>
                </c:pt>
                <c:pt idx="29">
                  <c:v>105.197089509981</c:v>
                </c:pt>
                <c:pt idx="30">
                  <c:v>105.10773949835099</c:v>
                </c:pt>
                <c:pt idx="31">
                  <c:v>105.119841569679</c:v>
                </c:pt>
                <c:pt idx="32">
                  <c:v>104.393604547556</c:v>
                </c:pt>
                <c:pt idx="33">
                  <c:v>104.364796971103</c:v>
                </c:pt>
                <c:pt idx="34">
                  <c:v>104.687066072221</c:v>
                </c:pt>
                <c:pt idx="35">
                  <c:v>104.672398180879</c:v>
                </c:pt>
                <c:pt idx="36">
                  <c:v>104.261843962361</c:v>
                </c:pt>
                <c:pt idx="37">
                  <c:v>104.44947658040201</c:v>
                </c:pt>
                <c:pt idx="38">
                  <c:v>104.18740625391</c:v>
                </c:pt>
                <c:pt idx="39">
                  <c:v>104.56934057571399</c:v>
                </c:pt>
                <c:pt idx="40">
                  <c:v>105.01418776307401</c:v>
                </c:pt>
                <c:pt idx="41">
                  <c:v>105.179344585501</c:v>
                </c:pt>
                <c:pt idx="42">
                  <c:v>105.081724329784</c:v>
                </c:pt>
                <c:pt idx="43">
                  <c:v>105.20598330238801</c:v>
                </c:pt>
                <c:pt idx="44">
                  <c:v>105.077020692734</c:v>
                </c:pt>
                <c:pt idx="45">
                  <c:v>104.59086311259399</c:v>
                </c:pt>
                <c:pt idx="46">
                  <c:v>104.467303971145</c:v>
                </c:pt>
                <c:pt idx="47">
                  <c:v>104.682425358168</c:v>
                </c:pt>
                <c:pt idx="48">
                  <c:v>104.483451229755</c:v>
                </c:pt>
                <c:pt idx="49">
                  <c:v>104.39839702475599</c:v>
                </c:pt>
                <c:pt idx="50">
                  <c:v>104.156895752851</c:v>
                </c:pt>
                <c:pt idx="51">
                  <c:v>95.094400960769207</c:v>
                </c:pt>
                <c:pt idx="52">
                  <c:v>96.105505677847901</c:v>
                </c:pt>
                <c:pt idx="53">
                  <c:v>96.607572333691607</c:v>
                </c:pt>
                <c:pt idx="54">
                  <c:v>97.676201741849297</c:v>
                </c:pt>
                <c:pt idx="55">
                  <c:v>98.228860819398307</c:v>
                </c:pt>
                <c:pt idx="56">
                  <c:v>99.682719023671694</c:v>
                </c:pt>
                <c:pt idx="57">
                  <c:v>99.904073367655101</c:v>
                </c:pt>
                <c:pt idx="58">
                  <c:v>99.526611646683904</c:v>
                </c:pt>
                <c:pt idx="59">
                  <c:v>98.983344007604501</c:v>
                </c:pt>
                <c:pt idx="60">
                  <c:v>100.001342049329</c:v>
                </c:pt>
                <c:pt idx="61">
                  <c:v>100.14668698179401</c:v>
                </c:pt>
                <c:pt idx="62">
                  <c:v>100.13432765561799</c:v>
                </c:pt>
                <c:pt idx="63">
                  <c:v>99.851059197074903</c:v>
                </c:pt>
                <c:pt idx="64">
                  <c:v>99.857026925227103</c:v>
                </c:pt>
                <c:pt idx="65">
                  <c:v>99.850991036888999</c:v>
                </c:pt>
                <c:pt idx="66">
                  <c:v>100.00965435896801</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389932120"/>
        <c:axId val="405545792"/>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Datos!$J$102:$J$173</c:f>
              <c:numCache>
                <c:formatCode>0.0_)</c:formatCode>
                <c:ptCount val="67"/>
                <c:pt idx="0">
                  <c:v>101.62125289374001</c:v>
                </c:pt>
                <c:pt idx="1">
                  <c:v>101.860973558297</c:v>
                </c:pt>
                <c:pt idx="2">
                  <c:v>102.10502417850699</c:v>
                </c:pt>
                <c:pt idx="3">
                  <c:v>102.300346878517</c:v>
                </c:pt>
                <c:pt idx="4">
                  <c:v>102.41724083302201</c:v>
                </c:pt>
                <c:pt idx="5">
                  <c:v>102.46893422129</c:v>
                </c:pt>
                <c:pt idx="6">
                  <c:v>102.475272537723</c:v>
                </c:pt>
                <c:pt idx="7">
                  <c:v>102.477899859773</c:v>
                </c:pt>
                <c:pt idx="8">
                  <c:v>102.50583914200401</c:v>
                </c:pt>
                <c:pt idx="9">
                  <c:v>102.570097152125</c:v>
                </c:pt>
                <c:pt idx="10">
                  <c:v>102.651275026486</c:v>
                </c:pt>
                <c:pt idx="11">
                  <c:v>102.72442154307301</c:v>
                </c:pt>
                <c:pt idx="12">
                  <c:v>102.77622874706201</c:v>
                </c:pt>
                <c:pt idx="13">
                  <c:v>102.822227841878</c:v>
                </c:pt>
                <c:pt idx="14">
                  <c:v>102.88605754835601</c:v>
                </c:pt>
                <c:pt idx="15">
                  <c:v>102.998553554699</c:v>
                </c:pt>
                <c:pt idx="16">
                  <c:v>103.180023278267</c:v>
                </c:pt>
                <c:pt idx="17">
                  <c:v>103.417899977411</c:v>
                </c:pt>
                <c:pt idx="18">
                  <c:v>103.688602361143</c:v>
                </c:pt>
                <c:pt idx="19">
                  <c:v>103.936558745092</c:v>
                </c:pt>
                <c:pt idx="20">
                  <c:v>104.11908346046501</c:v>
                </c:pt>
                <c:pt idx="21">
                  <c:v>104.23394448684</c:v>
                </c:pt>
                <c:pt idx="22">
                  <c:v>104.32500990806</c:v>
                </c:pt>
                <c:pt idx="23">
                  <c:v>104.443234032606</c:v>
                </c:pt>
                <c:pt idx="24">
                  <c:v>104.61447234822801</c:v>
                </c:pt>
                <c:pt idx="25">
                  <c:v>104.825188845971</c:v>
                </c:pt>
                <c:pt idx="26">
                  <c:v>105.051418376301</c:v>
                </c:pt>
                <c:pt idx="27">
                  <c:v>105.23535236380999</c:v>
                </c:pt>
                <c:pt idx="28">
                  <c:v>105.30552744210399</c:v>
                </c:pt>
                <c:pt idx="29">
                  <c:v>105.23823478945199</c:v>
                </c:pt>
                <c:pt idx="30">
                  <c:v>105.079268430646</c:v>
                </c:pt>
                <c:pt idx="31">
                  <c:v>104.886660160384</c:v>
                </c:pt>
                <c:pt idx="32">
                  <c:v>104.71639057090201</c:v>
                </c:pt>
                <c:pt idx="33">
                  <c:v>104.587613887635</c:v>
                </c:pt>
                <c:pt idx="34">
                  <c:v>104.493272837275</c:v>
                </c:pt>
                <c:pt idx="35">
                  <c:v>104.426835544651</c:v>
                </c:pt>
                <c:pt idx="36">
                  <c:v>104.407407906445</c:v>
                </c:pt>
                <c:pt idx="37">
                  <c:v>104.44226918763</c:v>
                </c:pt>
                <c:pt idx="38">
                  <c:v>104.533809212029</c:v>
                </c:pt>
                <c:pt idx="39">
                  <c:v>104.684378561413</c:v>
                </c:pt>
                <c:pt idx="40">
                  <c:v>104.87665175716</c:v>
                </c:pt>
                <c:pt idx="41">
                  <c:v>105.03932761345099</c:v>
                </c:pt>
                <c:pt idx="42">
                  <c:v>105.109115672461</c:v>
                </c:pt>
                <c:pt idx="43">
                  <c:v>105.07110835592501</c:v>
                </c:pt>
                <c:pt idx="44">
                  <c:v>104.95754999391301</c:v>
                </c:pt>
                <c:pt idx="45">
                  <c:v>104.805397017065</c:v>
                </c:pt>
                <c:pt idx="46">
                  <c:v>104.656078201527</c:v>
                </c:pt>
                <c:pt idx="47">
                  <c:v>104.52782138716</c:v>
                </c:pt>
                <c:pt idx="48">
                  <c:v>104.41838842708</c:v>
                </c:pt>
                <c:pt idx="49">
                  <c:v>104.32983273747</c:v>
                </c:pt>
                <c:pt idx="50">
                  <c:v>104.26162705601701</c:v>
                </c:pt>
                <c:pt idx="51">
                  <c:v>97.696832217137199</c:v>
                </c:pt>
                <c:pt idx="52">
                  <c:v>97.723404624017903</c:v>
                </c:pt>
                <c:pt idx="53">
                  <c:v>97.849673216454093</c:v>
                </c:pt>
                <c:pt idx="54">
                  <c:v>98.079483631953593</c:v>
                </c:pt>
                <c:pt idx="55">
                  <c:v>98.3892954569274</c:v>
                </c:pt>
                <c:pt idx="56">
                  <c:v>98.750522973478596</c:v>
                </c:pt>
                <c:pt idx="57">
                  <c:v>99.129670965910506</c:v>
                </c:pt>
                <c:pt idx="58">
                  <c:v>99.483850895719897</c:v>
                </c:pt>
                <c:pt idx="59">
                  <c:v>99.766120295295494</c:v>
                </c:pt>
                <c:pt idx="60">
                  <c:v>99.946347608106507</c:v>
                </c:pt>
                <c:pt idx="61">
                  <c:v>100.022664492373</c:v>
                </c:pt>
                <c:pt idx="62">
                  <c:v>100.01505240230701</c:v>
                </c:pt>
                <c:pt idx="63">
                  <c:v>99.967454639091798</c:v>
                </c:pt>
                <c:pt idx="64">
                  <c:v>99.931320860754894</c:v>
                </c:pt>
                <c:pt idx="65">
                  <c:v>99.955093988707105</c:v>
                </c:pt>
                <c:pt idx="66">
                  <c:v>100.04454555269299</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389932120"/>
        <c:axId val="405545792"/>
      </c:lineChart>
      <c:catAx>
        <c:axId val="3899321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05545792"/>
        <c:crosses val="autoZero"/>
        <c:auto val="1"/>
        <c:lblAlgn val="ctr"/>
        <c:lblOffset val="100"/>
        <c:tickLblSkip val="1"/>
        <c:tickMarkSkip val="12"/>
        <c:noMultiLvlLbl val="1"/>
      </c:catAx>
      <c:valAx>
        <c:axId val="405545792"/>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89932120"/>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Datos!$M$102:$M$173</c:f>
              <c:numCache>
                <c:formatCode>0.0</c:formatCode>
                <c:ptCount val="67"/>
                <c:pt idx="0">
                  <c:v>106.06257571004301</c:v>
                </c:pt>
                <c:pt idx="1">
                  <c:v>106.300821936652</c:v>
                </c:pt>
                <c:pt idx="2">
                  <c:v>106.58299207098599</c:v>
                </c:pt>
                <c:pt idx="3">
                  <c:v>106.468113291214</c:v>
                </c:pt>
                <c:pt idx="4">
                  <c:v>107.63216441829699</c:v>
                </c:pt>
                <c:pt idx="5">
                  <c:v>107.57985115894</c:v>
                </c:pt>
                <c:pt idx="6">
                  <c:v>109.53921007317101</c:v>
                </c:pt>
                <c:pt idx="7">
                  <c:v>109.143915346744</c:v>
                </c:pt>
                <c:pt idx="8">
                  <c:v>109.264907241751</c:v>
                </c:pt>
                <c:pt idx="9">
                  <c:v>108.853376343978</c:v>
                </c:pt>
                <c:pt idx="10">
                  <c:v>109.41509098641799</c:v>
                </c:pt>
                <c:pt idx="11">
                  <c:v>108.878551609643</c:v>
                </c:pt>
                <c:pt idx="12">
                  <c:v>108.290609998363</c:v>
                </c:pt>
                <c:pt idx="13">
                  <c:v>107.126566642751</c:v>
                </c:pt>
                <c:pt idx="14">
                  <c:v>109.346072061523</c:v>
                </c:pt>
                <c:pt idx="15">
                  <c:v>108.109610360771</c:v>
                </c:pt>
                <c:pt idx="16">
                  <c:v>108.261564981517</c:v>
                </c:pt>
                <c:pt idx="17">
                  <c:v>108.831648915667</c:v>
                </c:pt>
                <c:pt idx="18">
                  <c:v>108.075193663394</c:v>
                </c:pt>
                <c:pt idx="19">
                  <c:v>108.648469198474</c:v>
                </c:pt>
                <c:pt idx="20">
                  <c:v>108.065989280764</c:v>
                </c:pt>
                <c:pt idx="21">
                  <c:v>108.710564940113</c:v>
                </c:pt>
                <c:pt idx="22">
                  <c:v>108.098008341322</c:v>
                </c:pt>
                <c:pt idx="23">
                  <c:v>109.142460058645</c:v>
                </c:pt>
                <c:pt idx="24">
                  <c:v>108.8795190794</c:v>
                </c:pt>
                <c:pt idx="25">
                  <c:v>109.231182637423</c:v>
                </c:pt>
                <c:pt idx="26">
                  <c:v>109.238912887312</c:v>
                </c:pt>
                <c:pt idx="27">
                  <c:v>109.92472411127299</c:v>
                </c:pt>
                <c:pt idx="28">
                  <c:v>109.15829528073699</c:v>
                </c:pt>
                <c:pt idx="29">
                  <c:v>109.879045038313</c:v>
                </c:pt>
                <c:pt idx="30">
                  <c:v>110.004161972638</c:v>
                </c:pt>
                <c:pt idx="31">
                  <c:v>109.582060293466</c:v>
                </c:pt>
                <c:pt idx="32">
                  <c:v>110.539978979491</c:v>
                </c:pt>
                <c:pt idx="33">
                  <c:v>110.072118527036</c:v>
                </c:pt>
                <c:pt idx="34">
                  <c:v>110.407602998369</c:v>
                </c:pt>
                <c:pt idx="35">
                  <c:v>108.831692771465</c:v>
                </c:pt>
                <c:pt idx="36">
                  <c:v>112.014832587943</c:v>
                </c:pt>
                <c:pt idx="37">
                  <c:v>113.131624709066</c:v>
                </c:pt>
                <c:pt idx="38">
                  <c:v>113.410613636307</c:v>
                </c:pt>
                <c:pt idx="39">
                  <c:v>113.747312762197</c:v>
                </c:pt>
                <c:pt idx="40">
                  <c:v>113.658139440836</c:v>
                </c:pt>
                <c:pt idx="41">
                  <c:v>113.790060027311</c:v>
                </c:pt>
                <c:pt idx="42">
                  <c:v>113.67807740376</c:v>
                </c:pt>
                <c:pt idx="43">
                  <c:v>114.45849733934701</c:v>
                </c:pt>
                <c:pt idx="44">
                  <c:v>115.069703818931</c:v>
                </c:pt>
                <c:pt idx="45">
                  <c:v>115.272948519886</c:v>
                </c:pt>
                <c:pt idx="46">
                  <c:v>115.916302821923</c:v>
                </c:pt>
                <c:pt idx="47">
                  <c:v>113.417965872202</c:v>
                </c:pt>
                <c:pt idx="48">
                  <c:v>116.044142508504</c:v>
                </c:pt>
                <c:pt idx="49">
                  <c:v>115.575497724889</c:v>
                </c:pt>
                <c:pt idx="50">
                  <c:v>115.703678322458</c:v>
                </c:pt>
                <c:pt idx="51">
                  <c:v>114.84100153084199</c:v>
                </c:pt>
                <c:pt idx="52">
                  <c:v>113.674494482542</c:v>
                </c:pt>
                <c:pt idx="53">
                  <c:v>113.473100280553</c:v>
                </c:pt>
                <c:pt idx="54">
                  <c:v>113.65171246428901</c:v>
                </c:pt>
                <c:pt idx="55">
                  <c:v>113.597660942082</c:v>
                </c:pt>
                <c:pt idx="56">
                  <c:v>113.249098535282</c:v>
                </c:pt>
                <c:pt idx="57">
                  <c:v>113.96949390637999</c:v>
                </c:pt>
                <c:pt idx="58">
                  <c:v>114.932594410929</c:v>
                </c:pt>
                <c:pt idx="59">
                  <c:v>115.004872546085</c:v>
                </c:pt>
                <c:pt idx="60">
                  <c:v>113.317345492268</c:v>
                </c:pt>
                <c:pt idx="61">
                  <c:v>112.85488126440001</c:v>
                </c:pt>
                <c:pt idx="62">
                  <c:v>113.778037144381</c:v>
                </c:pt>
                <c:pt idx="63">
                  <c:v>114.562804197394</c:v>
                </c:pt>
                <c:pt idx="64">
                  <c:v>122.13839435577</c:v>
                </c:pt>
                <c:pt idx="65">
                  <c:v>115.342008423582</c:v>
                </c:pt>
                <c:pt idx="66">
                  <c:v>117.738883520207</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405546184"/>
        <c:axId val="405546576"/>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Datos!$A$102:$B$173</c:f>
              <c:multiLvlStrCache>
                <c:ptCount val="67"/>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Datos!$N$102:$N$173</c:f>
              <c:numCache>
                <c:formatCode>0.0</c:formatCode>
                <c:ptCount val="67"/>
                <c:pt idx="0">
                  <c:v>105.966450972486</c:v>
                </c:pt>
                <c:pt idx="1">
                  <c:v>106.212548107412</c:v>
                </c:pt>
                <c:pt idx="2">
                  <c:v>106.51004632166899</c:v>
                </c:pt>
                <c:pt idx="3">
                  <c:v>106.910592290103</c:v>
                </c:pt>
                <c:pt idx="4">
                  <c:v>107.39055830009001</c:v>
                </c:pt>
                <c:pt idx="5">
                  <c:v>107.909246035747</c:v>
                </c:pt>
                <c:pt idx="6">
                  <c:v>108.423620961452</c:v>
                </c:pt>
                <c:pt idx="7">
                  <c:v>108.844222703182</c:v>
                </c:pt>
                <c:pt idx="8">
                  <c:v>109.086827864932</c:v>
                </c:pt>
                <c:pt idx="9">
                  <c:v>109.146150106524</c:v>
                </c:pt>
                <c:pt idx="10">
                  <c:v>109.061959005584</c:v>
                </c:pt>
                <c:pt idx="11">
                  <c:v>108.889154775582</c:v>
                </c:pt>
                <c:pt idx="12">
                  <c:v>108.699584514127</c:v>
                </c:pt>
                <c:pt idx="13">
                  <c:v>108.55017342794</c:v>
                </c:pt>
                <c:pt idx="14">
                  <c:v>108.460153025075</c:v>
                </c:pt>
                <c:pt idx="15">
                  <c:v>108.41060195060101</c:v>
                </c:pt>
                <c:pt idx="16">
                  <c:v>108.398843326666</c:v>
                </c:pt>
                <c:pt idx="17">
                  <c:v>108.390413634216</c:v>
                </c:pt>
                <c:pt idx="18">
                  <c:v>108.36740049053</c:v>
                </c:pt>
                <c:pt idx="19">
                  <c:v>108.355375260405</c:v>
                </c:pt>
                <c:pt idx="20">
                  <c:v>108.385100144291</c:v>
                </c:pt>
                <c:pt idx="21">
                  <c:v>108.450984809506</c:v>
                </c:pt>
                <c:pt idx="22">
                  <c:v>108.578850480876</c:v>
                </c:pt>
                <c:pt idx="23">
                  <c:v>108.768544114637</c:v>
                </c:pt>
                <c:pt idx="24">
                  <c:v>108.978826231653</c:v>
                </c:pt>
                <c:pt idx="25">
                  <c:v>109.183016516289</c:v>
                </c:pt>
                <c:pt idx="26">
                  <c:v>109.35769938741601</c:v>
                </c:pt>
                <c:pt idx="27">
                  <c:v>109.495674534613</c:v>
                </c:pt>
                <c:pt idx="28">
                  <c:v>109.61742358593099</c:v>
                </c:pt>
                <c:pt idx="29">
                  <c:v>109.719393226368</c:v>
                </c:pt>
                <c:pt idx="30">
                  <c:v>109.814195968709</c:v>
                </c:pt>
                <c:pt idx="31">
                  <c:v>109.900019480361</c:v>
                </c:pt>
                <c:pt idx="32">
                  <c:v>110.04409701910301</c:v>
                </c:pt>
                <c:pt idx="33">
                  <c:v>110.311025871293</c:v>
                </c:pt>
                <c:pt idx="34">
                  <c:v>110.748469858916</c:v>
                </c:pt>
                <c:pt idx="35">
                  <c:v>111.341893816395</c:v>
                </c:pt>
                <c:pt idx="36">
                  <c:v>112.038980518892</c:v>
                </c:pt>
                <c:pt idx="37">
                  <c:v>112.69999303481799</c:v>
                </c:pt>
                <c:pt idx="38">
                  <c:v>113.214799940516</c:v>
                </c:pt>
                <c:pt idx="39">
                  <c:v>113.551412268847</c:v>
                </c:pt>
                <c:pt idx="40">
                  <c:v>113.735316315703</c:v>
                </c:pt>
                <c:pt idx="41">
                  <c:v>113.896346027688</c:v>
                </c:pt>
                <c:pt idx="42">
                  <c:v>114.128864643664</c:v>
                </c:pt>
                <c:pt idx="43">
                  <c:v>114.47587911708</c:v>
                </c:pt>
                <c:pt idx="44">
                  <c:v>114.894697884793</c:v>
                </c:pt>
                <c:pt idx="45">
                  <c:v>115.31066608398601</c:v>
                </c:pt>
                <c:pt idx="46">
                  <c:v>115.660683514846</c:v>
                </c:pt>
                <c:pt idx="47">
                  <c:v>115.86382621334501</c:v>
                </c:pt>
                <c:pt idx="48">
                  <c:v>115.855583154789</c:v>
                </c:pt>
                <c:pt idx="49">
                  <c:v>115.622478484604</c:v>
                </c:pt>
                <c:pt idx="50">
                  <c:v>115.219264531595</c:v>
                </c:pt>
                <c:pt idx="51">
                  <c:v>114.706350272695</c:v>
                </c:pt>
                <c:pt idx="52">
                  <c:v>114.16828151143</c:v>
                </c:pt>
                <c:pt idx="53">
                  <c:v>113.738376294132</c:v>
                </c:pt>
                <c:pt idx="54">
                  <c:v>113.533342138278</c:v>
                </c:pt>
                <c:pt idx="55">
                  <c:v>113.57018203769201</c:v>
                </c:pt>
                <c:pt idx="56">
                  <c:v>113.747848267796</c:v>
                </c:pt>
                <c:pt idx="57">
                  <c:v>113.923864633945</c:v>
                </c:pt>
                <c:pt idx="58">
                  <c:v>113.96570264551799</c:v>
                </c:pt>
                <c:pt idx="59">
                  <c:v>113.886115861856</c:v>
                </c:pt>
                <c:pt idx="60">
                  <c:v>113.810123704446</c:v>
                </c:pt>
                <c:pt idx="61">
                  <c:v>113.900940832709</c:v>
                </c:pt>
                <c:pt idx="62">
                  <c:v>114.28113072479999</c:v>
                </c:pt>
                <c:pt idx="63">
                  <c:v>114.965471377889</c:v>
                </c:pt>
                <c:pt idx="64">
                  <c:v>115.849034757954</c:v>
                </c:pt>
                <c:pt idx="65">
                  <c:v>116.702875903943</c:v>
                </c:pt>
                <c:pt idx="66">
                  <c:v>117.31103253323199</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405546184"/>
        <c:axId val="405546576"/>
      </c:lineChart>
      <c:catAx>
        <c:axId val="4055461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05546576"/>
        <c:crosses val="autoZero"/>
        <c:auto val="1"/>
        <c:lblAlgn val="ctr"/>
        <c:lblOffset val="100"/>
        <c:tickLblSkip val="1"/>
        <c:tickMarkSkip val="12"/>
        <c:noMultiLvlLbl val="1"/>
      </c:catAx>
      <c:valAx>
        <c:axId val="405546576"/>
        <c:scaling>
          <c:orientation val="minMax"/>
          <c:max val="124"/>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05546184"/>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2EFD-4D73-407F-872E-A60B6912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13</TotalTime>
  <Pages>11</Pages>
  <Words>2528</Words>
  <Characters>13908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19</cp:revision>
  <cp:lastPrinted>2021-06-21T19:49:00Z</cp:lastPrinted>
  <dcterms:created xsi:type="dcterms:W3CDTF">2021-09-22T21:41:00Z</dcterms:created>
  <dcterms:modified xsi:type="dcterms:W3CDTF">2021-09-23T23:27:00Z</dcterms:modified>
  <cp:category>Encuesta Nacional de Ocupación y Empleo</cp:category>
  <cp:version>1</cp:version>
</cp:coreProperties>
</file>