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BE440" w14:textId="77777777" w:rsidR="00565A40" w:rsidRDefault="00565A40" w:rsidP="00565A4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1D9E2167" wp14:editId="567429C8">
                <wp:simplePos x="0" y="0"/>
                <wp:positionH relativeFrom="column">
                  <wp:posOffset>3028950</wp:posOffset>
                </wp:positionH>
                <wp:positionV relativeFrom="paragraph">
                  <wp:posOffset>635</wp:posOffset>
                </wp:positionV>
                <wp:extent cx="311277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9834D80" w14:textId="77777777" w:rsidR="00565A40" w:rsidRPr="00265B8C" w:rsidRDefault="00565A40" w:rsidP="00565A4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de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E216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9834D80" w14:textId="77777777" w:rsidR="00565A40" w:rsidRPr="00265B8C" w:rsidRDefault="00565A40" w:rsidP="00565A4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de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69403281" w14:textId="77777777" w:rsidR="00565A40" w:rsidRDefault="00565A40" w:rsidP="00565A40">
      <w:pPr>
        <w:pStyle w:val="Ttulo"/>
        <w:widowControl w:val="0"/>
        <w:contextualSpacing/>
        <w:rPr>
          <w:caps/>
          <w:snapToGrid w:val="0"/>
          <w:spacing w:val="25"/>
          <w:sz w:val="28"/>
          <w:szCs w:val="28"/>
          <w:lang w:val="es-MX"/>
        </w:rPr>
      </w:pPr>
    </w:p>
    <w:p w14:paraId="5EDE7519" w14:textId="77777777" w:rsidR="00565A40" w:rsidRDefault="00565A40" w:rsidP="00565A40">
      <w:pPr>
        <w:pStyle w:val="Ttulo"/>
        <w:widowControl w:val="0"/>
        <w:rPr>
          <w:caps/>
          <w:snapToGrid w:val="0"/>
          <w:spacing w:val="25"/>
          <w:sz w:val="28"/>
          <w:lang w:val="es-MX"/>
        </w:rPr>
      </w:pPr>
    </w:p>
    <w:p w14:paraId="173F320D" w14:textId="7E5150D9" w:rsidR="00565A40" w:rsidRPr="004C5CB6" w:rsidRDefault="00565A40" w:rsidP="00565A40">
      <w:pPr>
        <w:pStyle w:val="Ttulo"/>
        <w:widowControl w:val="0"/>
        <w:spacing w:before="120"/>
        <w:rPr>
          <w:caps/>
          <w:snapToGrid w:val="0"/>
          <w:spacing w:val="25"/>
          <w:szCs w:val="24"/>
          <w:lang w:val="es-MX"/>
        </w:rPr>
      </w:pPr>
      <w:bookmarkStart w:id="0" w:name="_GoBack"/>
      <w:bookmarkEnd w:id="0"/>
      <w:r w:rsidRPr="004C5CB6">
        <w:rPr>
          <w:caps/>
          <w:snapToGrid w:val="0"/>
          <w:spacing w:val="25"/>
          <w:szCs w:val="24"/>
          <w:lang w:val="es-MX"/>
        </w:rPr>
        <w:t>indicadores DEL SECTOR MANUFACTURERO</w:t>
      </w:r>
    </w:p>
    <w:p w14:paraId="6E6FDAC3" w14:textId="77777777" w:rsidR="00565A40" w:rsidRPr="004C5CB6" w:rsidRDefault="00565A40" w:rsidP="00565A40">
      <w:pPr>
        <w:pStyle w:val="Ttulo"/>
        <w:widowControl w:val="0"/>
        <w:spacing w:before="60"/>
        <w:rPr>
          <w:caps/>
          <w:snapToGrid w:val="0"/>
          <w:spacing w:val="25"/>
          <w:szCs w:val="24"/>
          <w:lang w:val="es-MX"/>
        </w:rPr>
      </w:pPr>
      <w:r w:rsidRPr="004C5CB6">
        <w:rPr>
          <w:caps/>
          <w:snapToGrid w:val="0"/>
          <w:spacing w:val="25"/>
          <w:szCs w:val="24"/>
          <w:lang w:val="es-MX"/>
        </w:rPr>
        <w:t>CIFRAS DURANTE AGOSTO DE 2021</w:t>
      </w:r>
    </w:p>
    <w:p w14:paraId="542853F7" w14:textId="77777777" w:rsidR="00565A40" w:rsidRPr="004C5CB6" w:rsidRDefault="00565A40" w:rsidP="00565A40">
      <w:pPr>
        <w:pStyle w:val="Ttulo"/>
        <w:widowControl w:val="0"/>
        <w:rPr>
          <w:i/>
          <w:caps/>
          <w:snapToGrid w:val="0"/>
          <w:spacing w:val="25"/>
          <w:szCs w:val="24"/>
          <w:lang w:val="es-MX"/>
        </w:rPr>
      </w:pPr>
      <w:r w:rsidRPr="004C5CB6">
        <w:rPr>
          <w:i/>
          <w:snapToGrid w:val="0"/>
          <w:spacing w:val="25"/>
          <w:szCs w:val="24"/>
          <w:lang w:val="es-MX"/>
        </w:rPr>
        <w:t>(Cifras desestacionalizadas)</w:t>
      </w:r>
    </w:p>
    <w:p w14:paraId="2A29FE94" w14:textId="77777777" w:rsidR="00565A40" w:rsidRPr="00E11410" w:rsidRDefault="00565A40" w:rsidP="00565A40">
      <w:pPr>
        <w:pStyle w:val="bulnot"/>
        <w:widowControl w:val="0"/>
        <w:tabs>
          <w:tab w:val="clear" w:pos="851"/>
        </w:tabs>
        <w:spacing w:before="200"/>
        <w:ind w:left="-284" w:right="-547" w:firstLine="0"/>
        <w:rPr>
          <w:b w:val="0"/>
          <w:color w:val="auto"/>
          <w:sz w:val="24"/>
          <w:szCs w:val="24"/>
        </w:rPr>
      </w:pPr>
      <w:r w:rsidRPr="00E11410">
        <w:rPr>
          <w:b w:val="0"/>
          <w:color w:val="auto"/>
          <w:sz w:val="24"/>
          <w:szCs w:val="24"/>
        </w:rPr>
        <w:t>El Instituto Nacional de Estadística y Geografía (INEGI) informa que con base en los resultados de la Encuesta Mensual de la Industria Manufacturera (EMIM), durante agosto del año en curso el personal ocupado total del sector manufacturero reportó un crecimiento de 0.2% respecto al mes inmediato anterior, con datos ajustados por estacionalidad</w:t>
      </w:r>
      <w:r w:rsidRPr="00E11410">
        <w:rPr>
          <w:b w:val="0"/>
          <w:color w:val="auto"/>
          <w:sz w:val="24"/>
          <w:szCs w:val="24"/>
          <w:vertAlign w:val="superscript"/>
        </w:rPr>
        <w:footnoteReference w:id="1"/>
      </w:r>
      <w:r w:rsidRPr="00E11410">
        <w:rPr>
          <w:b w:val="0"/>
          <w:color w:val="auto"/>
          <w:sz w:val="24"/>
          <w:szCs w:val="24"/>
        </w:rPr>
        <w:t>.</w:t>
      </w:r>
    </w:p>
    <w:p w14:paraId="2818310F" w14:textId="77777777" w:rsidR="00565A40" w:rsidRDefault="00565A40" w:rsidP="00565A40">
      <w:pPr>
        <w:pStyle w:val="p0"/>
        <w:keepLines w:val="0"/>
        <w:spacing w:before="0"/>
        <w:ind w:hanging="11"/>
        <w:jc w:val="center"/>
        <w:rPr>
          <w:rFonts w:ascii="Arial" w:hAnsi="Arial"/>
          <w:b/>
          <w:smallCaps/>
          <w:color w:val="auto"/>
          <w:sz w:val="16"/>
          <w:szCs w:val="16"/>
        </w:rPr>
      </w:pPr>
    </w:p>
    <w:p w14:paraId="431ED641" w14:textId="77777777" w:rsidR="00565A40" w:rsidRPr="004867D2" w:rsidRDefault="00565A40" w:rsidP="00565A40">
      <w:pPr>
        <w:pStyle w:val="p0"/>
        <w:keepLines w:val="0"/>
        <w:spacing w:before="12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Pr>
          <w:rFonts w:ascii="Arial" w:hAnsi="Arial"/>
          <w:b/>
          <w:smallCaps/>
          <w:color w:val="auto"/>
          <w:sz w:val="22"/>
          <w:szCs w:val="22"/>
        </w:rPr>
        <w:t xml:space="preserve">total al mes de agosto </w:t>
      </w:r>
      <w:r w:rsidRPr="004867D2">
        <w:rPr>
          <w:rFonts w:ascii="Arial" w:hAnsi="Arial"/>
          <w:b/>
          <w:smallCaps/>
          <w:color w:val="auto"/>
          <w:sz w:val="22"/>
          <w:szCs w:val="22"/>
        </w:rPr>
        <w:t>de 20</w:t>
      </w:r>
      <w:r>
        <w:rPr>
          <w:rFonts w:ascii="Arial" w:hAnsi="Arial"/>
          <w:b/>
          <w:smallCaps/>
          <w:color w:val="auto"/>
          <w:sz w:val="22"/>
          <w:szCs w:val="22"/>
        </w:rPr>
        <w:t>21</w:t>
      </w:r>
      <w:r w:rsidRPr="004867D2">
        <w:rPr>
          <w:rFonts w:ascii="Arial" w:hAnsi="Arial"/>
          <w:b/>
          <w:smallCaps/>
          <w:color w:val="auto"/>
          <w:sz w:val="22"/>
          <w:szCs w:val="22"/>
        </w:rPr>
        <w:br/>
        <w:t>Series desestacionalizada y de tendencia-ciclo</w:t>
      </w:r>
    </w:p>
    <w:p w14:paraId="110E523C" w14:textId="77777777" w:rsidR="00565A40" w:rsidRPr="004867D2" w:rsidRDefault="00565A40" w:rsidP="00565A40">
      <w:pPr>
        <w:widowControl w:val="0"/>
        <w:jc w:val="center"/>
        <w:rPr>
          <w:sz w:val="18"/>
        </w:rPr>
      </w:pPr>
      <w:r w:rsidRPr="004867D2">
        <w:rPr>
          <w:sz w:val="18"/>
        </w:rPr>
        <w:t xml:space="preserve">(Índice </w:t>
      </w:r>
      <w:r>
        <w:rPr>
          <w:sz w:val="18"/>
        </w:rPr>
        <w:t xml:space="preserve">base </w:t>
      </w:r>
      <w:r w:rsidRPr="004867D2">
        <w:rPr>
          <w:sz w:val="18"/>
        </w:rPr>
        <w:t>20</w:t>
      </w:r>
      <w:r>
        <w:rPr>
          <w:sz w:val="18"/>
        </w:rPr>
        <w:t>13</w:t>
      </w:r>
      <w:r w:rsidRPr="004867D2">
        <w:rPr>
          <w:sz w:val="18"/>
        </w:rPr>
        <w:t>=100)</w:t>
      </w:r>
    </w:p>
    <w:p w14:paraId="6D757A5F" w14:textId="77777777" w:rsidR="00565A40" w:rsidRPr="004867D2" w:rsidRDefault="00565A40" w:rsidP="00565A40">
      <w:pPr>
        <w:widowControl w:val="0"/>
        <w:jc w:val="center"/>
        <w:rPr>
          <w:sz w:val="18"/>
        </w:rPr>
      </w:pPr>
      <w:r>
        <w:rPr>
          <w:noProof/>
          <w:lang w:val="es-MX" w:eastAsia="es-MX"/>
        </w:rPr>
        <w:drawing>
          <wp:inline distT="0" distB="0" distL="0" distR="0" wp14:anchorId="4173D4CB" wp14:editId="13B7423F">
            <wp:extent cx="5040000" cy="2880000"/>
            <wp:effectExtent l="0" t="0" r="27305" b="3492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E47FA7" w14:textId="77777777" w:rsidR="00565A40" w:rsidRPr="004867D2" w:rsidRDefault="00565A40" w:rsidP="00565A40">
      <w:pPr>
        <w:pStyle w:val="p0"/>
        <w:keepLines w:val="0"/>
        <w:spacing w:before="0"/>
        <w:ind w:left="567"/>
        <w:jc w:val="left"/>
        <w:rPr>
          <w:rFonts w:ascii="Arial" w:hAnsi="Arial"/>
          <w:color w:val="auto"/>
          <w:sz w:val="16"/>
        </w:rPr>
      </w:pPr>
      <w:r w:rsidRPr="004867D2">
        <w:rPr>
          <w:rFonts w:ascii="Arial" w:hAnsi="Arial"/>
          <w:color w:val="auto"/>
          <w:sz w:val="16"/>
        </w:rPr>
        <w:t>Fuente: INEGI.</w:t>
      </w:r>
    </w:p>
    <w:p w14:paraId="2F020E4C" w14:textId="77777777" w:rsidR="00565A40" w:rsidRDefault="00565A40" w:rsidP="00565A40">
      <w:pPr>
        <w:pStyle w:val="p0"/>
        <w:keepLines w:val="0"/>
        <w:spacing w:before="120"/>
        <w:ind w:hanging="11"/>
        <w:jc w:val="center"/>
        <w:rPr>
          <w:rFonts w:ascii="Arial" w:hAnsi="Arial"/>
          <w:b/>
          <w:smallCaps/>
          <w:color w:val="auto"/>
          <w:sz w:val="22"/>
          <w:szCs w:val="22"/>
        </w:rPr>
      </w:pPr>
    </w:p>
    <w:p w14:paraId="7CEB5146" w14:textId="77777777" w:rsidR="00565A40" w:rsidRDefault="00565A40" w:rsidP="00565A40">
      <w:pPr>
        <w:pStyle w:val="p0"/>
        <w:keepLines w:val="0"/>
        <w:spacing w:before="120"/>
        <w:ind w:hanging="11"/>
        <w:jc w:val="center"/>
        <w:rPr>
          <w:rFonts w:ascii="Arial" w:hAnsi="Arial"/>
          <w:b/>
          <w:smallCaps/>
          <w:color w:val="auto"/>
          <w:sz w:val="22"/>
          <w:szCs w:val="22"/>
        </w:rPr>
      </w:pPr>
    </w:p>
    <w:p w14:paraId="6A99D833" w14:textId="77777777" w:rsidR="00565A40" w:rsidRDefault="00565A40" w:rsidP="00565A40">
      <w:pPr>
        <w:pStyle w:val="p0"/>
        <w:keepLines w:val="0"/>
        <w:spacing w:before="120"/>
        <w:ind w:hanging="11"/>
        <w:jc w:val="center"/>
        <w:rPr>
          <w:rFonts w:ascii="Arial" w:hAnsi="Arial"/>
          <w:b/>
          <w:smallCaps/>
          <w:color w:val="auto"/>
          <w:sz w:val="22"/>
          <w:szCs w:val="22"/>
        </w:rPr>
      </w:pPr>
    </w:p>
    <w:p w14:paraId="2B07FA6A" w14:textId="77777777" w:rsidR="00565A40" w:rsidRDefault="00565A40" w:rsidP="00565A40">
      <w:pPr>
        <w:pStyle w:val="p0"/>
        <w:keepLines w:val="0"/>
        <w:spacing w:before="120"/>
        <w:ind w:hanging="11"/>
        <w:jc w:val="center"/>
        <w:rPr>
          <w:rFonts w:ascii="Arial" w:hAnsi="Arial"/>
          <w:b/>
          <w:smallCaps/>
          <w:color w:val="auto"/>
          <w:sz w:val="22"/>
          <w:szCs w:val="22"/>
        </w:rPr>
      </w:pPr>
    </w:p>
    <w:p w14:paraId="6C1E7ED6" w14:textId="77777777" w:rsidR="00565A40" w:rsidRPr="004867D2" w:rsidRDefault="00565A40" w:rsidP="00565A40">
      <w:pPr>
        <w:widowControl w:val="0"/>
        <w:jc w:val="left"/>
        <w:rPr>
          <w:b/>
          <w:i/>
          <w:szCs w:val="20"/>
          <w:lang w:val="es-MX"/>
        </w:rPr>
      </w:pPr>
      <w:r w:rsidRPr="004867D2">
        <w:rPr>
          <w:b/>
          <w:i/>
        </w:rPr>
        <w:br w:type="page"/>
      </w:r>
    </w:p>
    <w:p w14:paraId="68F4B8C6" w14:textId="77777777" w:rsidR="00565A40" w:rsidRDefault="00565A40" w:rsidP="00565A40">
      <w:pPr>
        <w:pStyle w:val="bulnot"/>
        <w:widowControl w:val="0"/>
        <w:tabs>
          <w:tab w:val="clear" w:pos="851"/>
        </w:tabs>
        <w:spacing w:before="120"/>
        <w:ind w:left="-284" w:right="-547" w:firstLine="0"/>
        <w:rPr>
          <w:b w:val="0"/>
          <w:color w:val="auto"/>
          <w:sz w:val="24"/>
          <w:szCs w:val="24"/>
        </w:rPr>
      </w:pPr>
    </w:p>
    <w:p w14:paraId="0F616677" w14:textId="77777777" w:rsidR="00565A40" w:rsidRPr="00B07E53" w:rsidRDefault="00565A40" w:rsidP="00565A40">
      <w:pPr>
        <w:pStyle w:val="bulnot"/>
        <w:widowControl w:val="0"/>
        <w:tabs>
          <w:tab w:val="clear" w:pos="851"/>
        </w:tabs>
        <w:spacing w:before="240"/>
        <w:ind w:left="-284" w:right="-547" w:firstLine="0"/>
        <w:rPr>
          <w:b w:val="0"/>
          <w:color w:val="auto"/>
          <w:sz w:val="24"/>
          <w:szCs w:val="24"/>
        </w:rPr>
      </w:pPr>
      <w:r w:rsidRPr="00B07E53">
        <w:rPr>
          <w:b w:val="0"/>
          <w:color w:val="auto"/>
          <w:sz w:val="24"/>
          <w:szCs w:val="24"/>
        </w:rPr>
        <w:t>Las horas trabajadas no mostraron variación y las remuneraciones medias reales pagadas</w:t>
      </w:r>
      <w:r w:rsidRPr="00B07E53">
        <w:rPr>
          <w:b w:val="0"/>
          <w:color w:val="auto"/>
          <w:sz w:val="24"/>
          <w:szCs w:val="24"/>
          <w:vertAlign w:val="superscript"/>
        </w:rPr>
        <w:footnoteReference w:id="2"/>
      </w:r>
      <w:r w:rsidRPr="00B07E53">
        <w:rPr>
          <w:b w:val="0"/>
          <w:color w:val="auto"/>
          <w:sz w:val="24"/>
          <w:szCs w:val="24"/>
        </w:rPr>
        <w:t>, que incluyen sueldos, salarios y prestaciones sociales, registraron una caída de 1.4% en el octavo mes de 2021 frente al mes precedente, con cifras desestacionalizadas.</w:t>
      </w:r>
    </w:p>
    <w:p w14:paraId="26A4913D" w14:textId="77777777" w:rsidR="00565A40" w:rsidRDefault="00565A40" w:rsidP="00565A4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126498DF" w14:textId="77777777" w:rsidR="00565A40" w:rsidRDefault="00565A40" w:rsidP="00565A4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38494FF8" w14:textId="77777777" w:rsidR="00565A40" w:rsidRPr="004867D2" w:rsidRDefault="00565A40" w:rsidP="00565A4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r>
        <w:rPr>
          <w:rFonts w:ascii="Arial" w:eastAsia="Times New Roman" w:hAnsi="Arial" w:cs="Arial"/>
          <w:b/>
          <w:i w:val="0"/>
          <w:iCs w:val="0"/>
          <w:smallCaps/>
          <w:snapToGrid w:val="0"/>
          <w:color w:val="auto"/>
          <w:sz w:val="22"/>
          <w:szCs w:val="22"/>
          <w:lang w:val="es-MX"/>
        </w:rPr>
        <w:t xml:space="preserve"> </w:t>
      </w:r>
      <w:r>
        <w:rPr>
          <w:rFonts w:ascii="Arial" w:eastAsia="Times New Roman" w:hAnsi="Arial" w:cs="Arial"/>
          <w:b/>
          <w:i w:val="0"/>
          <w:iCs w:val="0"/>
          <w:smallCaps/>
          <w:snapToGrid w:val="0"/>
          <w:color w:val="auto"/>
          <w:sz w:val="22"/>
          <w:szCs w:val="22"/>
          <w:lang w:val="es-MX"/>
        </w:rPr>
        <w:br/>
      </w:r>
      <w:r w:rsidRPr="004867D2">
        <w:rPr>
          <w:rFonts w:ascii="Arial" w:eastAsia="Times New Roman" w:hAnsi="Arial" w:cs="Arial"/>
          <w:b/>
          <w:i w:val="0"/>
          <w:iCs w:val="0"/>
          <w:smallCaps/>
          <w:snapToGrid w:val="0"/>
          <w:color w:val="auto"/>
          <w:sz w:val="22"/>
          <w:szCs w:val="22"/>
          <w:lang w:val="es-MX"/>
        </w:rPr>
        <w:t xml:space="preserve">durante </w:t>
      </w:r>
      <w:r>
        <w:rPr>
          <w:rFonts w:ascii="Arial" w:eastAsia="Times New Roman" w:hAnsi="Arial" w:cs="Arial"/>
          <w:b/>
          <w:i w:val="0"/>
          <w:iCs w:val="0"/>
          <w:smallCaps/>
          <w:snapToGrid w:val="0"/>
          <w:color w:val="auto"/>
          <w:sz w:val="22"/>
          <w:szCs w:val="22"/>
          <w:lang w:val="es-MX"/>
        </w:rPr>
        <w:t>agosto</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21</w:t>
      </w:r>
    </w:p>
    <w:p w14:paraId="6F8DB655" w14:textId="77777777" w:rsidR="00565A40" w:rsidRPr="004867D2" w:rsidRDefault="00565A40" w:rsidP="00565A4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3995"/>
        <w:gridCol w:w="1681"/>
        <w:gridCol w:w="1682"/>
      </w:tblGrid>
      <w:tr w:rsidR="00565A40" w:rsidRPr="004867D2" w14:paraId="1B7CC464" w14:textId="77777777" w:rsidTr="00AB2851">
        <w:trPr>
          <w:trHeight w:val="23"/>
          <w:jc w:val="center"/>
        </w:trPr>
        <w:tc>
          <w:tcPr>
            <w:tcW w:w="39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A98C188" w14:textId="77777777" w:rsidR="00565A40" w:rsidRPr="004867D2" w:rsidRDefault="00565A40" w:rsidP="00AB2851">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145528D" w14:textId="77777777" w:rsidR="00565A40" w:rsidRPr="004867D2" w:rsidRDefault="00565A40" w:rsidP="00AB2851">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565A40" w:rsidRPr="004867D2" w14:paraId="32D30E84" w14:textId="77777777" w:rsidTr="00AB2851">
        <w:trPr>
          <w:trHeight w:val="23"/>
          <w:jc w:val="center"/>
        </w:trPr>
        <w:tc>
          <w:tcPr>
            <w:tcW w:w="3995"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1C86E9A7" w14:textId="77777777" w:rsidR="00565A40" w:rsidRPr="004867D2" w:rsidRDefault="00565A40" w:rsidP="00AB2851">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7EBE5D6B" w14:textId="77777777" w:rsidR="00565A40" w:rsidRPr="004867D2" w:rsidRDefault="00565A40" w:rsidP="00AB2851">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6812C316" w14:textId="77777777" w:rsidR="00565A40" w:rsidRPr="004867D2" w:rsidRDefault="00565A40" w:rsidP="00AB2851">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565A40" w:rsidRPr="004867D2" w14:paraId="1BB4F6AE" w14:textId="77777777" w:rsidTr="00AB2851">
        <w:trPr>
          <w:trHeight w:hRule="exact" w:val="255"/>
          <w:jc w:val="center"/>
        </w:trPr>
        <w:tc>
          <w:tcPr>
            <w:tcW w:w="3995"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E0AA87" w14:textId="77777777" w:rsidR="00565A40" w:rsidRPr="004867D2" w:rsidRDefault="00565A40" w:rsidP="00AB2851">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76FAEF4E" w14:textId="77777777" w:rsidR="00565A40" w:rsidRPr="00FE3FA8" w:rsidRDefault="00565A40" w:rsidP="00AB2851">
            <w:pPr>
              <w:tabs>
                <w:tab w:val="decimal" w:pos="773"/>
              </w:tabs>
              <w:jc w:val="left"/>
              <w:rPr>
                <w:b/>
                <w:bCs/>
                <w:sz w:val="18"/>
                <w:szCs w:val="18"/>
                <w:lang w:val="es-MX" w:eastAsia="es-MX"/>
              </w:rPr>
            </w:pPr>
            <w:r w:rsidRPr="00FE3FA8">
              <w:rPr>
                <w:b/>
                <w:bCs/>
                <w:sz w:val="18"/>
                <w:szCs w:val="18"/>
              </w:rPr>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13BB839E" w14:textId="77777777" w:rsidR="00565A40" w:rsidRPr="00FE3FA8" w:rsidRDefault="00565A40" w:rsidP="00AB2851">
            <w:pPr>
              <w:tabs>
                <w:tab w:val="decimal" w:pos="743"/>
              </w:tabs>
              <w:jc w:val="left"/>
              <w:rPr>
                <w:b/>
                <w:bCs/>
                <w:sz w:val="18"/>
                <w:szCs w:val="18"/>
              </w:rPr>
            </w:pPr>
            <w:r w:rsidRPr="00FE3FA8">
              <w:rPr>
                <w:b/>
                <w:bCs/>
                <w:sz w:val="18"/>
                <w:szCs w:val="18"/>
              </w:rPr>
              <w:t>4.0</w:t>
            </w:r>
          </w:p>
        </w:tc>
      </w:tr>
      <w:tr w:rsidR="00565A40" w:rsidRPr="004867D2" w14:paraId="10C056AC"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68201F"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DA4ED80" w14:textId="77777777" w:rsidR="00565A40" w:rsidRPr="00FE3FA8" w:rsidRDefault="00565A40" w:rsidP="00AB2851">
            <w:pPr>
              <w:tabs>
                <w:tab w:val="decimal" w:pos="773"/>
              </w:tabs>
              <w:jc w:val="left"/>
              <w:rPr>
                <w:sz w:val="18"/>
                <w:szCs w:val="18"/>
              </w:rPr>
            </w:pPr>
            <w:r w:rsidRPr="00FE3FA8">
              <w:rPr>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B380FBB" w14:textId="77777777" w:rsidR="00565A40" w:rsidRPr="00FE3FA8" w:rsidRDefault="00565A40" w:rsidP="00AB2851">
            <w:pPr>
              <w:tabs>
                <w:tab w:val="decimal" w:pos="743"/>
              </w:tabs>
              <w:jc w:val="left"/>
              <w:rPr>
                <w:sz w:val="18"/>
                <w:szCs w:val="18"/>
              </w:rPr>
            </w:pPr>
            <w:r w:rsidRPr="00FE3FA8">
              <w:rPr>
                <w:sz w:val="18"/>
                <w:szCs w:val="18"/>
              </w:rPr>
              <w:t>4.3</w:t>
            </w:r>
          </w:p>
        </w:tc>
      </w:tr>
      <w:tr w:rsidR="00565A40" w:rsidRPr="004867D2" w14:paraId="53114B88"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C9C0E1"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FF93AA5" w14:textId="77777777" w:rsidR="00565A40" w:rsidRPr="00FE3FA8" w:rsidRDefault="00565A40" w:rsidP="00AB2851">
            <w:pPr>
              <w:tabs>
                <w:tab w:val="decimal" w:pos="773"/>
              </w:tabs>
              <w:jc w:val="left"/>
              <w:rPr>
                <w:sz w:val="18"/>
                <w:szCs w:val="18"/>
              </w:rPr>
            </w:pPr>
            <w:r w:rsidRPr="00FE3FA8">
              <w:rPr>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74BD404" w14:textId="77777777" w:rsidR="00565A40" w:rsidRPr="00FE3FA8" w:rsidRDefault="00565A40" w:rsidP="00AB2851">
            <w:pPr>
              <w:tabs>
                <w:tab w:val="decimal" w:pos="743"/>
              </w:tabs>
              <w:jc w:val="left"/>
              <w:rPr>
                <w:sz w:val="18"/>
                <w:szCs w:val="18"/>
              </w:rPr>
            </w:pPr>
            <w:r w:rsidRPr="00FE3FA8">
              <w:rPr>
                <w:sz w:val="18"/>
                <w:szCs w:val="18"/>
              </w:rPr>
              <w:t>2.1</w:t>
            </w:r>
          </w:p>
        </w:tc>
      </w:tr>
      <w:tr w:rsidR="00565A40" w:rsidRPr="004867D2" w14:paraId="708A906F"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98B9571" w14:textId="77777777" w:rsidR="00565A40" w:rsidRPr="004867D2" w:rsidRDefault="00565A40" w:rsidP="00AB2851">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AF1059D" w14:textId="77777777" w:rsidR="00565A40" w:rsidRPr="00FE3FA8" w:rsidRDefault="00565A40" w:rsidP="00AB2851">
            <w:pPr>
              <w:tabs>
                <w:tab w:val="decimal" w:pos="773"/>
              </w:tabs>
              <w:jc w:val="left"/>
              <w:rPr>
                <w:b/>
                <w:bCs/>
                <w:sz w:val="18"/>
                <w:szCs w:val="18"/>
              </w:rPr>
            </w:pPr>
            <w:r w:rsidRPr="00FE3FA8">
              <w:rPr>
                <w:b/>
                <w:bCs/>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B7131A6" w14:textId="77777777" w:rsidR="00565A40" w:rsidRPr="00FE3FA8" w:rsidRDefault="00565A40" w:rsidP="00AB2851">
            <w:pPr>
              <w:tabs>
                <w:tab w:val="decimal" w:pos="743"/>
              </w:tabs>
              <w:jc w:val="left"/>
              <w:rPr>
                <w:b/>
                <w:bCs/>
                <w:sz w:val="18"/>
                <w:szCs w:val="18"/>
              </w:rPr>
            </w:pPr>
            <w:r w:rsidRPr="00FE3FA8">
              <w:rPr>
                <w:b/>
                <w:bCs/>
                <w:sz w:val="18"/>
                <w:szCs w:val="18"/>
              </w:rPr>
              <w:t>4.9</w:t>
            </w:r>
          </w:p>
        </w:tc>
      </w:tr>
      <w:tr w:rsidR="00565A40" w:rsidRPr="004867D2" w14:paraId="546792E7"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ED3D828"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018244F" w14:textId="77777777" w:rsidR="00565A40" w:rsidRPr="00FE3FA8" w:rsidRDefault="00565A40" w:rsidP="00AB2851">
            <w:pPr>
              <w:tabs>
                <w:tab w:val="left" w:pos="372"/>
                <w:tab w:val="decimal" w:pos="773"/>
              </w:tabs>
              <w:jc w:val="left"/>
              <w:rPr>
                <w:sz w:val="18"/>
                <w:szCs w:val="18"/>
              </w:rPr>
            </w:pPr>
            <w:r>
              <w:rPr>
                <w:sz w:val="18"/>
                <w:szCs w:val="18"/>
              </w:rPr>
              <w:tab/>
              <w:t>(-)</w:t>
            </w:r>
            <w:r>
              <w:rPr>
                <w:sz w:val="18"/>
                <w:szCs w:val="18"/>
              </w:rPr>
              <w:tab/>
            </w:r>
            <w:r w:rsidRPr="00FE3FA8">
              <w:rPr>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935EA3A" w14:textId="77777777" w:rsidR="00565A40" w:rsidRPr="00FE3FA8" w:rsidRDefault="00565A40" w:rsidP="00AB2851">
            <w:pPr>
              <w:tabs>
                <w:tab w:val="decimal" w:pos="743"/>
              </w:tabs>
              <w:jc w:val="left"/>
              <w:rPr>
                <w:sz w:val="18"/>
                <w:szCs w:val="18"/>
              </w:rPr>
            </w:pPr>
            <w:r w:rsidRPr="00FE3FA8">
              <w:rPr>
                <w:sz w:val="18"/>
                <w:szCs w:val="18"/>
              </w:rPr>
              <w:t>5.4</w:t>
            </w:r>
          </w:p>
        </w:tc>
      </w:tr>
      <w:tr w:rsidR="00565A40" w:rsidRPr="004867D2" w14:paraId="2E736571"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7B8DF9"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3024C12" w14:textId="77777777" w:rsidR="00565A40" w:rsidRPr="00FE3FA8" w:rsidRDefault="00565A40" w:rsidP="00AB2851">
            <w:pPr>
              <w:tabs>
                <w:tab w:val="decimal" w:pos="773"/>
              </w:tabs>
              <w:jc w:val="left"/>
              <w:rPr>
                <w:sz w:val="18"/>
                <w:szCs w:val="18"/>
              </w:rPr>
            </w:pPr>
            <w:r w:rsidRPr="00FE3FA8">
              <w:rPr>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A2D145E" w14:textId="77777777" w:rsidR="00565A40" w:rsidRPr="00FE3FA8" w:rsidRDefault="00565A40" w:rsidP="00AB2851">
            <w:pPr>
              <w:tabs>
                <w:tab w:val="decimal" w:pos="743"/>
              </w:tabs>
              <w:jc w:val="left"/>
              <w:rPr>
                <w:sz w:val="18"/>
                <w:szCs w:val="18"/>
              </w:rPr>
            </w:pPr>
            <w:r w:rsidRPr="00FE3FA8">
              <w:rPr>
                <w:sz w:val="18"/>
                <w:szCs w:val="18"/>
              </w:rPr>
              <w:t>3.8</w:t>
            </w:r>
          </w:p>
        </w:tc>
      </w:tr>
      <w:tr w:rsidR="00565A40" w:rsidRPr="004867D2" w14:paraId="36641AFD"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C076D4E" w14:textId="77777777" w:rsidR="00565A40" w:rsidRPr="004867D2" w:rsidRDefault="00565A40" w:rsidP="00AB2851">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63F9073A" w14:textId="77777777" w:rsidR="00565A40" w:rsidRPr="00FE3FA8" w:rsidRDefault="00565A40" w:rsidP="00AB2851">
            <w:pPr>
              <w:tabs>
                <w:tab w:val="left" w:pos="372"/>
                <w:tab w:val="decimal" w:pos="773"/>
              </w:tabs>
              <w:jc w:val="left"/>
              <w:rPr>
                <w:b/>
                <w:sz w:val="18"/>
                <w:szCs w:val="18"/>
              </w:rPr>
            </w:pPr>
            <w:r w:rsidRPr="00FE3FA8">
              <w:rPr>
                <w:b/>
                <w:sz w:val="18"/>
                <w:szCs w:val="18"/>
              </w:rPr>
              <w:tab/>
              <w:t>(-)</w:t>
            </w:r>
            <w:r w:rsidRPr="00FE3FA8">
              <w:rPr>
                <w:b/>
                <w:sz w:val="18"/>
                <w:szCs w:val="18"/>
              </w:rPr>
              <w:tab/>
              <w:t>1.4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3971742" w14:textId="77777777" w:rsidR="00565A40" w:rsidRPr="00FE3FA8" w:rsidRDefault="00565A40" w:rsidP="00AB2851">
            <w:pPr>
              <w:tabs>
                <w:tab w:val="left" w:pos="380"/>
                <w:tab w:val="decimal" w:pos="773"/>
              </w:tabs>
              <w:jc w:val="left"/>
              <w:rPr>
                <w:b/>
                <w:sz w:val="18"/>
                <w:szCs w:val="18"/>
              </w:rPr>
            </w:pPr>
            <w:r w:rsidRPr="00FE3FA8">
              <w:rPr>
                <w:b/>
                <w:sz w:val="18"/>
                <w:szCs w:val="18"/>
              </w:rPr>
              <w:tab/>
              <w:t>(-)</w:t>
            </w:r>
            <w:r w:rsidRPr="00FE3FA8">
              <w:rPr>
                <w:b/>
                <w:sz w:val="18"/>
                <w:szCs w:val="18"/>
              </w:rPr>
              <w:tab/>
              <w:t>2.9</w:t>
            </w:r>
          </w:p>
        </w:tc>
      </w:tr>
      <w:tr w:rsidR="00565A40" w:rsidRPr="004867D2" w14:paraId="28E10E08"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96C37D9"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7A754CE" w14:textId="77777777" w:rsidR="00565A40" w:rsidRPr="00FE3FA8" w:rsidRDefault="00565A40" w:rsidP="00AB2851">
            <w:pPr>
              <w:tabs>
                <w:tab w:val="left" w:pos="372"/>
                <w:tab w:val="decimal" w:pos="773"/>
              </w:tabs>
              <w:jc w:val="left"/>
              <w:rPr>
                <w:sz w:val="18"/>
                <w:szCs w:val="18"/>
              </w:rPr>
            </w:pPr>
            <w:r>
              <w:rPr>
                <w:sz w:val="18"/>
                <w:szCs w:val="18"/>
              </w:rPr>
              <w:tab/>
              <w:t>(-)</w:t>
            </w:r>
            <w:r>
              <w:rPr>
                <w:sz w:val="18"/>
                <w:szCs w:val="18"/>
              </w:rPr>
              <w:tab/>
            </w:r>
            <w:r w:rsidRPr="00FE3FA8">
              <w:rPr>
                <w:sz w:val="18"/>
                <w:szCs w:val="18"/>
              </w:rPr>
              <w:t>1.5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96D1590" w14:textId="77777777" w:rsidR="00565A40" w:rsidRPr="00FE3FA8" w:rsidRDefault="00565A40" w:rsidP="00AB2851">
            <w:pPr>
              <w:tabs>
                <w:tab w:val="left" w:pos="372"/>
                <w:tab w:val="decimal" w:pos="773"/>
              </w:tabs>
              <w:jc w:val="left"/>
              <w:rPr>
                <w:sz w:val="18"/>
                <w:szCs w:val="18"/>
              </w:rPr>
            </w:pPr>
            <w:r>
              <w:rPr>
                <w:sz w:val="18"/>
                <w:szCs w:val="18"/>
              </w:rPr>
              <w:tab/>
              <w:t>(-)</w:t>
            </w:r>
            <w:r>
              <w:rPr>
                <w:sz w:val="18"/>
                <w:szCs w:val="18"/>
              </w:rPr>
              <w:tab/>
            </w:r>
            <w:r w:rsidRPr="00FE3FA8">
              <w:rPr>
                <w:sz w:val="18"/>
                <w:szCs w:val="18"/>
              </w:rPr>
              <w:t>0.6</w:t>
            </w:r>
          </w:p>
        </w:tc>
      </w:tr>
      <w:tr w:rsidR="00565A40" w:rsidRPr="004867D2" w14:paraId="4A1DC001"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CE3FEC7"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1B20923" w14:textId="77777777" w:rsidR="00565A40" w:rsidRPr="00FE3FA8" w:rsidRDefault="00565A40" w:rsidP="00AB2851">
            <w:pPr>
              <w:tabs>
                <w:tab w:val="left" w:pos="372"/>
                <w:tab w:val="decimal" w:pos="773"/>
              </w:tabs>
              <w:jc w:val="left"/>
              <w:rPr>
                <w:sz w:val="18"/>
                <w:szCs w:val="18"/>
              </w:rPr>
            </w:pPr>
            <w:r>
              <w:rPr>
                <w:sz w:val="18"/>
                <w:szCs w:val="18"/>
              </w:rPr>
              <w:tab/>
              <w:t>(-)</w:t>
            </w:r>
            <w:r>
              <w:rPr>
                <w:sz w:val="18"/>
                <w:szCs w:val="18"/>
              </w:rPr>
              <w:tab/>
            </w:r>
            <w:r w:rsidRPr="00FE3FA8">
              <w:rPr>
                <w:sz w:val="18"/>
                <w:szCs w:val="18"/>
              </w:rPr>
              <w:t>1.2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6154C53" w14:textId="77777777" w:rsidR="00565A40" w:rsidRPr="00FE3FA8" w:rsidRDefault="00565A40" w:rsidP="00AB2851">
            <w:pPr>
              <w:tabs>
                <w:tab w:val="left" w:pos="372"/>
                <w:tab w:val="decimal" w:pos="773"/>
              </w:tabs>
              <w:jc w:val="left"/>
              <w:rPr>
                <w:sz w:val="18"/>
                <w:szCs w:val="18"/>
              </w:rPr>
            </w:pPr>
            <w:r>
              <w:rPr>
                <w:sz w:val="18"/>
                <w:szCs w:val="18"/>
              </w:rPr>
              <w:tab/>
              <w:t>(-)</w:t>
            </w:r>
            <w:r>
              <w:rPr>
                <w:sz w:val="18"/>
                <w:szCs w:val="18"/>
              </w:rPr>
              <w:tab/>
            </w:r>
            <w:r w:rsidRPr="00FE3FA8">
              <w:rPr>
                <w:sz w:val="18"/>
                <w:szCs w:val="18"/>
              </w:rPr>
              <w:t>1.8</w:t>
            </w:r>
          </w:p>
        </w:tc>
      </w:tr>
      <w:tr w:rsidR="00565A40" w:rsidRPr="004867D2" w14:paraId="18817CBA" w14:textId="77777777" w:rsidTr="00AB2851">
        <w:trPr>
          <w:trHeight w:hRule="exact" w:val="255"/>
          <w:jc w:val="center"/>
        </w:trPr>
        <w:tc>
          <w:tcPr>
            <w:tcW w:w="39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25BB483" w14:textId="77777777" w:rsidR="00565A40" w:rsidRPr="004867D2" w:rsidRDefault="00565A40" w:rsidP="00AB2851">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4328F0BD" w14:textId="77777777" w:rsidR="00565A40" w:rsidRPr="00FE3FA8" w:rsidRDefault="00565A40" w:rsidP="00AB2851">
            <w:pPr>
              <w:tabs>
                <w:tab w:val="left" w:pos="372"/>
                <w:tab w:val="decimal" w:pos="773"/>
              </w:tabs>
              <w:jc w:val="left"/>
              <w:rPr>
                <w:sz w:val="18"/>
                <w:szCs w:val="18"/>
              </w:rPr>
            </w:pPr>
            <w:r>
              <w:rPr>
                <w:sz w:val="18"/>
                <w:szCs w:val="18"/>
              </w:rPr>
              <w:tab/>
              <w:t>(-)</w:t>
            </w:r>
            <w:r>
              <w:rPr>
                <w:sz w:val="18"/>
                <w:szCs w:val="18"/>
              </w:rPr>
              <w:tab/>
            </w:r>
            <w:r w:rsidRPr="00FE3FA8">
              <w:rPr>
                <w:sz w:val="18"/>
                <w:szCs w:val="18"/>
              </w:rPr>
              <w:t>1.2</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14A852E9" w14:textId="77777777" w:rsidR="00565A40" w:rsidRPr="00FE3FA8" w:rsidRDefault="00565A40" w:rsidP="00AB2851">
            <w:pPr>
              <w:tabs>
                <w:tab w:val="left" w:pos="380"/>
                <w:tab w:val="decimal" w:pos="773"/>
              </w:tabs>
              <w:jc w:val="left"/>
              <w:rPr>
                <w:sz w:val="18"/>
                <w:szCs w:val="18"/>
              </w:rPr>
            </w:pPr>
            <w:r>
              <w:rPr>
                <w:sz w:val="18"/>
                <w:szCs w:val="18"/>
              </w:rPr>
              <w:tab/>
              <w:t>(-)</w:t>
            </w:r>
            <w:r>
              <w:rPr>
                <w:sz w:val="18"/>
                <w:szCs w:val="18"/>
              </w:rPr>
              <w:tab/>
            </w:r>
            <w:r w:rsidRPr="00FE3FA8">
              <w:rPr>
                <w:sz w:val="18"/>
                <w:szCs w:val="18"/>
              </w:rPr>
              <w:t>3.6</w:t>
            </w:r>
          </w:p>
        </w:tc>
      </w:tr>
    </w:tbl>
    <w:p w14:paraId="3A9ABB5F" w14:textId="77777777" w:rsidR="00565A40" w:rsidRPr="004867D2" w:rsidRDefault="00565A40" w:rsidP="00565A40">
      <w:pPr>
        <w:pStyle w:val="bulnot"/>
        <w:widowControl w:val="0"/>
        <w:tabs>
          <w:tab w:val="clear" w:pos="851"/>
        </w:tabs>
        <w:spacing w:before="0"/>
        <w:ind w:left="1560" w:right="871" w:hanging="709"/>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5D12F025" w14:textId="77777777" w:rsidR="00565A40" w:rsidRPr="004867D2" w:rsidRDefault="00565A40" w:rsidP="00565A40">
      <w:pPr>
        <w:pStyle w:val="bulnot"/>
        <w:widowControl w:val="0"/>
        <w:tabs>
          <w:tab w:val="clear" w:pos="851"/>
        </w:tabs>
        <w:spacing w:before="0"/>
        <w:ind w:left="1560" w:right="871" w:hanging="709"/>
        <w:rPr>
          <w:rFonts w:cs="Arial"/>
          <w:b w:val="0"/>
          <w:color w:val="auto"/>
          <w:spacing w:val="0"/>
          <w:sz w:val="16"/>
          <w:szCs w:val="16"/>
        </w:rPr>
      </w:pPr>
      <w:r w:rsidRPr="004867D2">
        <w:rPr>
          <w:rFonts w:cs="Arial"/>
          <w:b w:val="0"/>
          <w:color w:val="auto"/>
          <w:spacing w:val="0"/>
          <w:sz w:val="16"/>
          <w:szCs w:val="16"/>
        </w:rPr>
        <w:t>Fuente:</w:t>
      </w:r>
      <w:r w:rsidRPr="004867D2">
        <w:rPr>
          <w:rFonts w:cs="Arial"/>
          <w:b w:val="0"/>
          <w:color w:val="auto"/>
          <w:spacing w:val="0"/>
          <w:sz w:val="16"/>
          <w:szCs w:val="16"/>
        </w:rPr>
        <w:tab/>
        <w:t>INEGI.</w:t>
      </w:r>
    </w:p>
    <w:p w14:paraId="3A93A3F8" w14:textId="77777777" w:rsidR="00565A40" w:rsidRPr="001D54E4" w:rsidRDefault="00565A40" w:rsidP="00565A40">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4D06237B" w14:textId="77777777" w:rsidR="00565A40" w:rsidRDefault="00565A40" w:rsidP="00565A40">
      <w:pPr>
        <w:pStyle w:val="bulnot"/>
        <w:widowControl w:val="0"/>
        <w:tabs>
          <w:tab w:val="clear" w:pos="851"/>
        </w:tabs>
        <w:spacing w:before="200"/>
        <w:ind w:left="1134" w:right="1134" w:firstLine="0"/>
        <w:rPr>
          <w:color w:val="auto"/>
        </w:rPr>
      </w:pPr>
    </w:p>
    <w:p w14:paraId="7F8BFCF9" w14:textId="77777777" w:rsidR="00565A40" w:rsidRPr="00B07E53" w:rsidRDefault="00565A40" w:rsidP="00565A40">
      <w:pPr>
        <w:pStyle w:val="bulnot"/>
        <w:widowControl w:val="0"/>
        <w:tabs>
          <w:tab w:val="clear" w:pos="851"/>
        </w:tabs>
        <w:spacing w:before="200"/>
        <w:ind w:left="-284" w:right="-547" w:firstLine="0"/>
        <w:rPr>
          <w:b w:val="0"/>
          <w:color w:val="auto"/>
          <w:sz w:val="24"/>
          <w:szCs w:val="24"/>
        </w:rPr>
      </w:pPr>
      <w:r w:rsidRPr="00B07E53">
        <w:rPr>
          <w:b w:val="0"/>
          <w:color w:val="auto"/>
          <w:sz w:val="24"/>
          <w:szCs w:val="24"/>
        </w:rPr>
        <w:t>A tasa anual</w:t>
      </w:r>
      <w:r w:rsidRPr="00B07E53">
        <w:rPr>
          <w:b w:val="0"/>
          <w:color w:val="auto"/>
          <w:sz w:val="24"/>
          <w:szCs w:val="24"/>
          <w:vertAlign w:val="superscript"/>
        </w:rPr>
        <w:footnoteReference w:id="3"/>
      </w:r>
      <w:r w:rsidRPr="00B07E53">
        <w:rPr>
          <w:b w:val="0"/>
          <w:color w:val="auto"/>
          <w:sz w:val="24"/>
          <w:szCs w:val="24"/>
        </w:rPr>
        <w:t>,</w:t>
      </w:r>
      <w:r w:rsidRPr="00B07E53">
        <w:rPr>
          <w:rFonts w:cs="Arial"/>
          <w:b w:val="0"/>
          <w:color w:val="auto"/>
          <w:sz w:val="24"/>
          <w:szCs w:val="24"/>
        </w:rPr>
        <w:t xml:space="preserve"> el personal ocupado total observó un alza de 4% y l</w:t>
      </w:r>
      <w:r w:rsidRPr="00B07E53">
        <w:rPr>
          <w:b w:val="0"/>
          <w:color w:val="auto"/>
          <w:sz w:val="24"/>
          <w:szCs w:val="24"/>
        </w:rPr>
        <w:t xml:space="preserve">as </w:t>
      </w:r>
      <w:r w:rsidRPr="00B07E53">
        <w:rPr>
          <w:rFonts w:cs="Arial"/>
          <w:b w:val="0"/>
          <w:color w:val="auto"/>
          <w:sz w:val="24"/>
          <w:szCs w:val="24"/>
        </w:rPr>
        <w:t xml:space="preserve">horas trabajadas fueron mayores en 4.9%, mientras que las </w:t>
      </w:r>
      <w:r w:rsidRPr="00B07E53">
        <w:rPr>
          <w:b w:val="0"/>
          <w:color w:val="auto"/>
          <w:sz w:val="24"/>
          <w:szCs w:val="24"/>
        </w:rPr>
        <w:t>remuneraciones medias reales presentaron una reducción de 2.9%</w:t>
      </w:r>
      <w:r w:rsidRPr="00B07E53">
        <w:rPr>
          <w:rFonts w:cs="Arial"/>
          <w:b w:val="0"/>
          <w:color w:val="auto"/>
          <w:sz w:val="24"/>
          <w:szCs w:val="24"/>
        </w:rPr>
        <w:t xml:space="preserve"> en el mes de referencia</w:t>
      </w:r>
      <w:r w:rsidRPr="00B07E53">
        <w:rPr>
          <w:b w:val="0"/>
          <w:color w:val="auto"/>
          <w:sz w:val="24"/>
          <w:szCs w:val="24"/>
        </w:rPr>
        <w:t>.</w:t>
      </w:r>
    </w:p>
    <w:p w14:paraId="6C852B02" w14:textId="7424BB9B" w:rsidR="00CD6087" w:rsidRDefault="00CD6087">
      <w:pPr>
        <w:jc w:val="left"/>
        <w:rPr>
          <w:rFonts w:cs="Times New Roman"/>
          <w:spacing w:val="10"/>
          <w:lang w:val="es-MX"/>
        </w:rPr>
      </w:pPr>
      <w:r>
        <w:rPr>
          <w:rFonts w:cs="Times New Roman"/>
          <w:spacing w:val="10"/>
          <w:lang w:val="es-MX"/>
        </w:rPr>
        <w:br w:type="page"/>
      </w:r>
    </w:p>
    <w:p w14:paraId="403E0EE9" w14:textId="77777777" w:rsidR="00565A40" w:rsidRDefault="00565A40" w:rsidP="00565A40">
      <w:pPr>
        <w:pStyle w:val="p0"/>
        <w:keepLines w:val="0"/>
        <w:spacing w:before="360"/>
        <w:jc w:val="left"/>
        <w:rPr>
          <w:b/>
          <w:i/>
          <w:color w:val="auto"/>
        </w:rPr>
      </w:pPr>
    </w:p>
    <w:p w14:paraId="4BCFE629" w14:textId="77777777" w:rsidR="00565A40" w:rsidRPr="00BB4693" w:rsidRDefault="00565A40" w:rsidP="00565A40">
      <w:pPr>
        <w:pStyle w:val="p0"/>
        <w:keepLines w:val="0"/>
        <w:spacing w:before="480"/>
        <w:ind w:left="-284" w:right="-547"/>
        <w:jc w:val="left"/>
        <w:rPr>
          <w:rFonts w:ascii="Arial" w:hAnsi="Arial"/>
          <w:b/>
          <w:i/>
          <w:color w:val="auto"/>
        </w:rPr>
      </w:pPr>
      <w:r w:rsidRPr="00BB4693">
        <w:rPr>
          <w:rFonts w:ascii="Arial" w:hAnsi="Arial"/>
          <w:b/>
          <w:i/>
          <w:color w:val="auto"/>
        </w:rPr>
        <w:t>Nota al usuario</w:t>
      </w:r>
    </w:p>
    <w:p w14:paraId="01BD853F" w14:textId="77777777" w:rsidR="00565A40" w:rsidRPr="00BB4693" w:rsidRDefault="00565A40" w:rsidP="00565A40">
      <w:pPr>
        <w:pStyle w:val="p0"/>
        <w:keepLines w:val="0"/>
        <w:widowControl/>
        <w:ind w:left="-284" w:right="-547"/>
        <w:rPr>
          <w:rFonts w:ascii="Arial" w:hAnsi="Arial"/>
          <w:color w:val="auto"/>
          <w:lang w:val="es-MX"/>
        </w:rPr>
      </w:pPr>
      <w:r w:rsidRPr="00BB4693">
        <w:rPr>
          <w:rFonts w:ascii="Arial" w:hAnsi="Arial"/>
          <w:color w:val="auto"/>
          <w:lang w:val="es-MX"/>
        </w:rPr>
        <w:t>La Tasa de No Respuesta de la Encuesta Mensual de la Industria Manufacturera (EMIM), correspondiente al mes de agosto de 2021, registró porcentajes apropiados conforme al diseño estadístico de la encuesta, lo que permitió la generación de estadísticas con niveles altos de precisión. De las 223 clases de actividad que estudia la encuesta s</w:t>
      </w:r>
      <w:r>
        <w:rPr>
          <w:rFonts w:ascii="Arial" w:hAnsi="Arial"/>
          <w:color w:val="auto"/>
          <w:lang w:val="es-MX"/>
        </w:rPr>
        <w:t>ó</w:t>
      </w:r>
      <w:r w:rsidRPr="00BB4693">
        <w:rPr>
          <w:rFonts w:ascii="Arial" w:hAnsi="Arial"/>
          <w:color w:val="auto"/>
          <w:lang w:val="es-MX"/>
        </w:rPr>
        <w:t>lo para 6 clases se recomienda usar las estimaciones con reserva, las cuales representan 1.4% con relación a la variable de ingresos del total de las Industrias Manufactureras, entre las que se encuentran la Elaboración de leche líquida, Fabricación de equipo de refrigeración industrial y comercial, Elaboración de café tostado y molido, Fabricación de cal, Fabricación de velas y veladoras y</w:t>
      </w:r>
      <w:r>
        <w:rPr>
          <w:rFonts w:ascii="Arial" w:hAnsi="Arial"/>
          <w:color w:val="auto"/>
          <w:lang w:val="es-MX"/>
        </w:rPr>
        <w:t>,</w:t>
      </w:r>
      <w:r w:rsidRPr="00BB4693">
        <w:rPr>
          <w:rFonts w:ascii="Arial" w:hAnsi="Arial"/>
          <w:color w:val="auto"/>
          <w:lang w:val="es-MX"/>
        </w:rPr>
        <w:t xml:space="preserve"> Orfebrería y joyería de metales y piedras precios</w:t>
      </w:r>
      <w:r>
        <w:rPr>
          <w:rFonts w:ascii="Arial" w:hAnsi="Arial"/>
          <w:color w:val="auto"/>
          <w:lang w:val="es-MX"/>
        </w:rPr>
        <w:t>a</w:t>
      </w:r>
      <w:r w:rsidRPr="00BB4693">
        <w:rPr>
          <w:rFonts w:ascii="Arial" w:hAnsi="Arial"/>
          <w:color w:val="auto"/>
          <w:lang w:val="es-MX"/>
        </w:rPr>
        <w:t>s.</w:t>
      </w:r>
    </w:p>
    <w:p w14:paraId="5EAD66E6" w14:textId="77777777" w:rsidR="00565A40" w:rsidRPr="00D47260" w:rsidRDefault="00565A40" w:rsidP="00565A40">
      <w:pPr>
        <w:pStyle w:val="p0"/>
        <w:keepLines w:val="0"/>
        <w:widowControl/>
        <w:ind w:left="-284" w:right="-547"/>
        <w:rPr>
          <w:rFonts w:ascii="Arial" w:hAnsi="Arial"/>
          <w:color w:val="auto"/>
          <w:lang w:val="es-MX"/>
        </w:rPr>
      </w:pPr>
      <w:r w:rsidRPr="00D47260">
        <w:rPr>
          <w:rFonts w:ascii="Arial" w:hAnsi="Arial"/>
          <w:color w:val="auto"/>
          <w:lang w:val="es-MX"/>
        </w:rPr>
        <w:t xml:space="preserve">En concordancia con los Lineamientos de Cambios a la Información Divulgada en las Publicaciones Estadísticas y Geográficas del INEGI las series de </w:t>
      </w:r>
      <w:r>
        <w:rPr>
          <w:rFonts w:ascii="Arial" w:hAnsi="Arial"/>
          <w:color w:val="auto"/>
          <w:lang w:val="es-MX"/>
        </w:rPr>
        <w:t xml:space="preserve">la </w:t>
      </w:r>
      <w:r w:rsidRPr="00D47260">
        <w:rPr>
          <w:rFonts w:ascii="Arial" w:hAnsi="Arial"/>
          <w:color w:val="auto"/>
          <w:lang w:val="es-MX"/>
        </w:rPr>
        <w:t>EMIM del año 2020 y del periodo enero-julio de 2021, fueron revisadas y actualizadas. De acuerdo con lo anterior, las cifras de la EMIM del periodo 2007-2020 tienen carácter definitivo, enero-julio de 2021 revisadas y a partir de agosto del presente año preliminar.</w:t>
      </w:r>
    </w:p>
    <w:p w14:paraId="3D517B6B" w14:textId="77777777" w:rsidR="00565A40" w:rsidRPr="00D47260" w:rsidRDefault="00565A40" w:rsidP="00565A40">
      <w:pPr>
        <w:pStyle w:val="p0"/>
        <w:keepLines w:val="0"/>
        <w:widowControl/>
        <w:ind w:left="-284" w:right="-547"/>
        <w:rPr>
          <w:rFonts w:ascii="Arial" w:hAnsi="Arial"/>
          <w:color w:val="auto"/>
          <w:lang w:val="es-MX"/>
        </w:rPr>
      </w:pPr>
      <w:r w:rsidRPr="00D47260">
        <w:rPr>
          <w:rFonts w:ascii="Arial" w:hAnsi="Arial"/>
          <w:color w:val="auto"/>
          <w:lang w:val="es-MX"/>
        </w:rPr>
        <w:t>Los resultados definitivos del año 2020 y revisados del periodo enero-julio de 2021 mantienen niveles adecuados de cobertura y precisión para todos los dominios de estudio.</w:t>
      </w:r>
    </w:p>
    <w:p w14:paraId="79F89DFF" w14:textId="77777777" w:rsidR="00565A40" w:rsidRDefault="00565A40" w:rsidP="00565A40">
      <w:pPr>
        <w:pStyle w:val="p0"/>
        <w:keepLines w:val="0"/>
        <w:spacing w:before="360"/>
        <w:ind w:left="-284" w:right="-547"/>
        <w:jc w:val="left"/>
        <w:rPr>
          <w:b/>
          <w:i/>
          <w:color w:val="auto"/>
        </w:rPr>
      </w:pPr>
    </w:p>
    <w:p w14:paraId="51D22F94" w14:textId="77777777" w:rsidR="00565A40" w:rsidRPr="00406172" w:rsidRDefault="00565A40" w:rsidP="00565A40">
      <w:pPr>
        <w:spacing w:before="360"/>
        <w:ind w:left="-284" w:right="-547"/>
        <w:jc w:val="center"/>
        <w:rPr>
          <w:b/>
          <w:color w:val="000000"/>
        </w:rPr>
      </w:pPr>
      <w:r w:rsidRPr="00406172">
        <w:rPr>
          <w:b/>
          <w:color w:val="000000"/>
        </w:rPr>
        <w:t>Se anexa Nota Técnica</w:t>
      </w:r>
    </w:p>
    <w:p w14:paraId="077828FF" w14:textId="77777777" w:rsidR="00565A40" w:rsidRDefault="00565A40" w:rsidP="00565A40">
      <w:pPr>
        <w:pStyle w:val="NormalWeb"/>
        <w:spacing w:before="0" w:beforeAutospacing="0" w:after="0" w:afterAutospacing="0"/>
        <w:ind w:left="-426" w:right="-518"/>
        <w:contextualSpacing/>
        <w:jc w:val="center"/>
        <w:rPr>
          <w:rFonts w:ascii="Arial" w:hAnsi="Arial" w:cs="Arial"/>
          <w:sz w:val="22"/>
          <w:szCs w:val="22"/>
        </w:rPr>
      </w:pPr>
    </w:p>
    <w:p w14:paraId="27C96527"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743A4A94"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7B4BFF8E"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2D97EB17"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3822989D"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22458EE9"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61884C3F" w14:textId="77777777" w:rsidR="00565A40" w:rsidRDefault="00565A40" w:rsidP="00565A40">
      <w:pPr>
        <w:pStyle w:val="NormalWeb"/>
        <w:spacing w:before="0" w:beforeAutospacing="0" w:after="0" w:afterAutospacing="0"/>
        <w:ind w:left="-426" w:right="-518"/>
        <w:contextualSpacing/>
        <w:rPr>
          <w:rFonts w:ascii="Arial" w:hAnsi="Arial" w:cs="Arial"/>
          <w:sz w:val="22"/>
          <w:szCs w:val="22"/>
        </w:rPr>
      </w:pPr>
    </w:p>
    <w:p w14:paraId="44E1F14A" w14:textId="77777777" w:rsidR="00565A40" w:rsidRDefault="00565A40" w:rsidP="00565A40">
      <w:pPr>
        <w:pStyle w:val="NormalWeb"/>
        <w:spacing w:before="240" w:beforeAutospacing="0" w:after="0" w:afterAutospacing="0"/>
        <w:ind w:left="-426" w:right="-518"/>
        <w:contextualSpacing/>
        <w:jc w:val="center"/>
        <w:rPr>
          <w:rFonts w:ascii="Arial" w:hAnsi="Arial" w:cs="Arial"/>
          <w:sz w:val="16"/>
          <w:szCs w:val="16"/>
        </w:rPr>
      </w:pPr>
    </w:p>
    <w:p w14:paraId="2AF28D02" w14:textId="77777777" w:rsidR="00565A40" w:rsidRPr="0066275E" w:rsidRDefault="00565A40" w:rsidP="00565A40">
      <w:pPr>
        <w:pStyle w:val="NormalWeb"/>
        <w:spacing w:before="240" w:beforeAutospacing="0" w:after="0" w:afterAutospacing="0"/>
        <w:ind w:left="-426" w:right="-518"/>
        <w:contextualSpacing/>
        <w:jc w:val="center"/>
        <w:rPr>
          <w:rFonts w:ascii="Arial" w:hAnsi="Arial" w:cs="Arial"/>
          <w:sz w:val="22"/>
          <w:szCs w:val="22"/>
        </w:rPr>
      </w:pPr>
    </w:p>
    <w:p w14:paraId="3618597F" w14:textId="77777777" w:rsidR="00565A40" w:rsidRPr="0066275E" w:rsidRDefault="00565A40" w:rsidP="00565A40">
      <w:pPr>
        <w:pStyle w:val="NormalWeb"/>
        <w:spacing w:after="0" w:afterAutospacing="0"/>
        <w:ind w:left="-426" w:right="-518"/>
        <w:contextualSpacing/>
        <w:jc w:val="center"/>
        <w:rPr>
          <w:rFonts w:ascii="Arial" w:hAnsi="Arial" w:cs="Arial"/>
          <w:sz w:val="22"/>
          <w:szCs w:val="22"/>
        </w:rPr>
      </w:pPr>
      <w:r w:rsidRPr="0066275E">
        <w:rPr>
          <w:rFonts w:ascii="Arial" w:hAnsi="Arial" w:cs="Arial"/>
          <w:sz w:val="22"/>
          <w:szCs w:val="22"/>
        </w:rPr>
        <w:t xml:space="preserve">Para consultas de medios y periodistas, contactar a: </w:t>
      </w:r>
      <w:hyperlink r:id="rId9" w:history="1">
        <w:r w:rsidRPr="0066275E">
          <w:rPr>
            <w:rStyle w:val="Hipervnculo"/>
            <w:rFonts w:ascii="Arial" w:hAnsi="Arial" w:cs="Arial"/>
            <w:sz w:val="22"/>
            <w:szCs w:val="22"/>
          </w:rPr>
          <w:t>comunicacionsocial@inegi.org.mx</w:t>
        </w:r>
      </w:hyperlink>
      <w:r w:rsidRPr="0066275E">
        <w:rPr>
          <w:rFonts w:ascii="Arial" w:hAnsi="Arial" w:cs="Arial"/>
          <w:sz w:val="22"/>
          <w:szCs w:val="22"/>
        </w:rPr>
        <w:t xml:space="preserve"> </w:t>
      </w:r>
    </w:p>
    <w:p w14:paraId="5F2E39D2" w14:textId="77777777" w:rsidR="00565A40" w:rsidRPr="0066275E" w:rsidRDefault="00565A40" w:rsidP="00565A40">
      <w:pPr>
        <w:pStyle w:val="NormalWeb"/>
        <w:spacing w:before="0" w:beforeAutospacing="0" w:after="0" w:afterAutospacing="0"/>
        <w:ind w:left="-426" w:right="-518"/>
        <w:contextualSpacing/>
        <w:jc w:val="center"/>
        <w:rPr>
          <w:rFonts w:ascii="Arial" w:hAnsi="Arial" w:cs="Arial"/>
          <w:sz w:val="22"/>
          <w:szCs w:val="22"/>
        </w:rPr>
      </w:pPr>
      <w:r w:rsidRPr="0066275E">
        <w:rPr>
          <w:rFonts w:ascii="Arial" w:hAnsi="Arial" w:cs="Arial"/>
          <w:sz w:val="22"/>
          <w:szCs w:val="22"/>
        </w:rPr>
        <w:t xml:space="preserve">o llamar al teléfono (55) 52-78-10-00, </w:t>
      </w:r>
      <w:proofErr w:type="spellStart"/>
      <w:r w:rsidRPr="0066275E">
        <w:rPr>
          <w:rFonts w:ascii="Arial" w:hAnsi="Arial" w:cs="Arial"/>
          <w:sz w:val="22"/>
          <w:szCs w:val="22"/>
        </w:rPr>
        <w:t>exts</w:t>
      </w:r>
      <w:proofErr w:type="spellEnd"/>
      <w:r w:rsidRPr="0066275E">
        <w:rPr>
          <w:rFonts w:ascii="Arial" w:hAnsi="Arial" w:cs="Arial"/>
          <w:sz w:val="22"/>
          <w:szCs w:val="22"/>
        </w:rPr>
        <w:t>. 1134, 1260 y 1241.</w:t>
      </w:r>
    </w:p>
    <w:p w14:paraId="0B6D2195" w14:textId="77777777" w:rsidR="00565A40" w:rsidRPr="0066275E" w:rsidRDefault="00565A40" w:rsidP="00565A40">
      <w:pPr>
        <w:ind w:left="-426" w:right="-518"/>
        <w:contextualSpacing/>
        <w:jc w:val="center"/>
        <w:rPr>
          <w:sz w:val="22"/>
          <w:szCs w:val="22"/>
        </w:rPr>
      </w:pPr>
    </w:p>
    <w:p w14:paraId="74AE0101" w14:textId="77777777" w:rsidR="00565A40" w:rsidRPr="0066275E" w:rsidRDefault="00565A40" w:rsidP="00565A40">
      <w:pPr>
        <w:ind w:left="-426" w:right="-518"/>
        <w:contextualSpacing/>
        <w:jc w:val="center"/>
        <w:rPr>
          <w:sz w:val="22"/>
          <w:szCs w:val="22"/>
        </w:rPr>
      </w:pPr>
      <w:r w:rsidRPr="0066275E">
        <w:rPr>
          <w:sz w:val="22"/>
          <w:szCs w:val="22"/>
        </w:rPr>
        <w:t>Dirección de Atención a Medios / Dirección General Adjunta de Comunicación</w:t>
      </w:r>
    </w:p>
    <w:p w14:paraId="52698630" w14:textId="77777777" w:rsidR="00565A40" w:rsidRDefault="00565A40" w:rsidP="00565A40">
      <w:pPr>
        <w:ind w:left="-425" w:right="-516"/>
        <w:contextualSpacing/>
        <w:jc w:val="center"/>
        <w:rPr>
          <w:noProof/>
          <w:sz w:val="20"/>
          <w:lang w:eastAsia="es-MX"/>
        </w:rPr>
      </w:pPr>
    </w:p>
    <w:p w14:paraId="354DBEF9" w14:textId="77777777" w:rsidR="00565A40" w:rsidRPr="005167F5" w:rsidRDefault="00565A40" w:rsidP="00565A40">
      <w:pPr>
        <w:ind w:left="-425" w:right="-516"/>
        <w:contextualSpacing/>
        <w:jc w:val="center"/>
        <w:rPr>
          <w:sz w:val="18"/>
          <w:szCs w:val="18"/>
        </w:rPr>
      </w:pPr>
      <w:r w:rsidRPr="008F0992">
        <w:rPr>
          <w:noProof/>
          <w:sz w:val="20"/>
          <w:lang w:val="es-MX" w:eastAsia="es-MX"/>
        </w:rPr>
        <w:drawing>
          <wp:inline distT="0" distB="0" distL="0" distR="0" wp14:anchorId="78751DD6" wp14:editId="4006885D">
            <wp:extent cx="318472" cy="322419"/>
            <wp:effectExtent l="0" t="0" r="5715" b="1905"/>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55AA27BC" wp14:editId="7BC329DD">
            <wp:extent cx="327704" cy="325467"/>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092A09EF" wp14:editId="2CCBD909">
            <wp:extent cx="321276" cy="324093"/>
            <wp:effectExtent l="0" t="0" r="3175"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352057D" wp14:editId="1CA9505F">
            <wp:extent cx="321276" cy="326574"/>
            <wp:effectExtent l="0" t="0" r="3175"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267D1CB0" wp14:editId="28C24D0D">
            <wp:extent cx="2323070" cy="319707"/>
            <wp:effectExtent l="0" t="0" r="1270" b="4445"/>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tab/>
      </w:r>
    </w:p>
    <w:p w14:paraId="02A420A4" w14:textId="77777777" w:rsidR="00565A40" w:rsidRPr="00157C43" w:rsidRDefault="00565A40" w:rsidP="00565A40">
      <w:pPr>
        <w:pStyle w:val="bullet"/>
        <w:tabs>
          <w:tab w:val="left" w:pos="8789"/>
        </w:tabs>
        <w:spacing w:before="0"/>
        <w:ind w:left="0" w:right="51" w:firstLine="0"/>
        <w:jc w:val="center"/>
        <w:rPr>
          <w:rFonts w:cs="Arial"/>
          <w:szCs w:val="24"/>
        </w:rPr>
        <w:sectPr w:rsidR="00565A40" w:rsidRPr="00157C43" w:rsidSect="007C6606">
          <w:headerReference w:type="default" r:id="rId20"/>
          <w:footerReference w:type="default" r:id="rId21"/>
          <w:pgSz w:w="12240" w:h="15840" w:code="1"/>
          <w:pgMar w:top="1" w:right="1701" w:bottom="0" w:left="1588" w:header="510" w:footer="510" w:gutter="0"/>
          <w:cols w:space="720"/>
          <w:docGrid w:linePitch="272"/>
        </w:sectPr>
      </w:pPr>
    </w:p>
    <w:p w14:paraId="6D84E04F" w14:textId="5E575E37" w:rsidR="00565A40" w:rsidRPr="00BB7E73" w:rsidRDefault="00565A40" w:rsidP="00565A40">
      <w:pPr>
        <w:pStyle w:val="Ttulo"/>
        <w:widowControl w:val="0"/>
        <w:tabs>
          <w:tab w:val="left" w:pos="1134"/>
        </w:tabs>
        <w:rPr>
          <w:rFonts w:cs="Arial"/>
          <w:szCs w:val="24"/>
        </w:rPr>
      </w:pPr>
      <w:r w:rsidRPr="00BB7E73">
        <w:rPr>
          <w:rFonts w:cs="Arial"/>
          <w:szCs w:val="24"/>
        </w:rPr>
        <w:lastRenderedPageBreak/>
        <w:t>NOTA TÉCNICA</w:t>
      </w:r>
    </w:p>
    <w:p w14:paraId="58C65CEA" w14:textId="77777777" w:rsidR="00565A40" w:rsidRPr="00565A40" w:rsidRDefault="00565A40" w:rsidP="00565A40">
      <w:pPr>
        <w:pStyle w:val="Ttulo"/>
        <w:widowControl w:val="0"/>
        <w:tabs>
          <w:tab w:val="left" w:pos="1134"/>
        </w:tabs>
        <w:rPr>
          <w:rFonts w:cs="Arial"/>
          <w:sz w:val="16"/>
          <w:szCs w:val="16"/>
        </w:rPr>
      </w:pPr>
    </w:p>
    <w:p w14:paraId="4CFE09C1" w14:textId="77777777" w:rsidR="00095006" w:rsidRPr="00BB7E73" w:rsidRDefault="00095006" w:rsidP="001A0462">
      <w:pPr>
        <w:pStyle w:val="Ttulo"/>
        <w:widowControl w:val="0"/>
        <w:rPr>
          <w:caps/>
          <w:snapToGrid w:val="0"/>
          <w:spacing w:val="25"/>
          <w:szCs w:val="24"/>
          <w:lang w:val="es-MX"/>
        </w:rPr>
      </w:pPr>
      <w:r w:rsidRPr="00BB7E73">
        <w:rPr>
          <w:caps/>
          <w:snapToGrid w:val="0"/>
          <w:spacing w:val="25"/>
          <w:szCs w:val="24"/>
          <w:lang w:val="es-MX"/>
        </w:rPr>
        <w:t>indicadores DEL SECTOR MANUFACTURERO</w:t>
      </w:r>
    </w:p>
    <w:p w14:paraId="48C8FE84" w14:textId="32F5B937" w:rsidR="00095006" w:rsidRPr="00BB7E73" w:rsidRDefault="00095006" w:rsidP="00205C32">
      <w:pPr>
        <w:pStyle w:val="Ttulo"/>
        <w:widowControl w:val="0"/>
        <w:spacing w:before="60"/>
        <w:rPr>
          <w:caps/>
          <w:snapToGrid w:val="0"/>
          <w:spacing w:val="25"/>
          <w:szCs w:val="24"/>
          <w:lang w:val="es-MX"/>
        </w:rPr>
      </w:pPr>
      <w:r w:rsidRPr="00BB7E73">
        <w:rPr>
          <w:caps/>
          <w:snapToGrid w:val="0"/>
          <w:spacing w:val="25"/>
          <w:szCs w:val="24"/>
          <w:lang w:val="es-MX"/>
        </w:rPr>
        <w:t xml:space="preserve">CIFRAS DURANTE </w:t>
      </w:r>
      <w:r w:rsidR="00FB4ED0" w:rsidRPr="00BB7E73">
        <w:rPr>
          <w:caps/>
          <w:snapToGrid w:val="0"/>
          <w:spacing w:val="25"/>
          <w:szCs w:val="24"/>
          <w:lang w:val="es-MX"/>
        </w:rPr>
        <w:t>AGOST</w:t>
      </w:r>
      <w:r w:rsidR="003B3DCE" w:rsidRPr="00BB7E73">
        <w:rPr>
          <w:caps/>
          <w:snapToGrid w:val="0"/>
          <w:spacing w:val="25"/>
          <w:szCs w:val="24"/>
          <w:lang w:val="es-MX"/>
        </w:rPr>
        <w:t>O</w:t>
      </w:r>
      <w:r w:rsidRPr="00BB7E73">
        <w:rPr>
          <w:caps/>
          <w:snapToGrid w:val="0"/>
          <w:spacing w:val="25"/>
          <w:szCs w:val="24"/>
          <w:lang w:val="es-MX"/>
        </w:rPr>
        <w:t xml:space="preserve"> DE 20</w:t>
      </w:r>
      <w:r w:rsidR="00ED61FC" w:rsidRPr="00BB7E73">
        <w:rPr>
          <w:caps/>
          <w:snapToGrid w:val="0"/>
          <w:spacing w:val="25"/>
          <w:szCs w:val="24"/>
          <w:lang w:val="es-MX"/>
        </w:rPr>
        <w:t>2</w:t>
      </w:r>
      <w:r w:rsidR="00471629" w:rsidRPr="00BB7E73">
        <w:rPr>
          <w:caps/>
          <w:snapToGrid w:val="0"/>
          <w:spacing w:val="25"/>
          <w:szCs w:val="24"/>
          <w:lang w:val="es-MX"/>
        </w:rPr>
        <w:t>1</w:t>
      </w:r>
    </w:p>
    <w:p w14:paraId="61D8D9C7" w14:textId="77777777" w:rsidR="00095006" w:rsidRPr="00BB7E73" w:rsidRDefault="00205C32" w:rsidP="00095006">
      <w:pPr>
        <w:pStyle w:val="Ttulo"/>
        <w:widowControl w:val="0"/>
        <w:rPr>
          <w:i/>
          <w:caps/>
          <w:snapToGrid w:val="0"/>
          <w:spacing w:val="25"/>
          <w:szCs w:val="24"/>
          <w:lang w:val="es-MX"/>
        </w:rPr>
      </w:pPr>
      <w:r w:rsidRPr="00BB7E73">
        <w:rPr>
          <w:i/>
          <w:snapToGrid w:val="0"/>
          <w:spacing w:val="25"/>
          <w:szCs w:val="24"/>
          <w:lang w:val="es-MX"/>
        </w:rPr>
        <w:t>(Cifras desestacionalizadas)</w:t>
      </w:r>
    </w:p>
    <w:p w14:paraId="44E58246" w14:textId="6C2B22F4" w:rsidR="00095006" w:rsidRPr="004867D2" w:rsidRDefault="0067454C" w:rsidP="00565A40">
      <w:pPr>
        <w:pStyle w:val="texto0"/>
        <w:keepLines w:val="0"/>
        <w:spacing w:before="360"/>
        <w:rPr>
          <w:rFonts w:cs="Arial"/>
          <w:smallCaps/>
          <w:color w:val="auto"/>
          <w:sz w:val="22"/>
          <w:szCs w:val="22"/>
        </w:rPr>
      </w:pPr>
      <w:r>
        <w:rPr>
          <w:rFonts w:cs="Arial"/>
          <w:color w:val="auto"/>
        </w:rPr>
        <w:t xml:space="preserve">A </w:t>
      </w:r>
      <w:proofErr w:type="gramStart"/>
      <w:r w:rsidRPr="004867D2">
        <w:rPr>
          <w:rFonts w:cs="Arial"/>
          <w:color w:val="auto"/>
        </w:rPr>
        <w:t>continuación</w:t>
      </w:r>
      <w:proofErr w:type="gramEnd"/>
      <w:r w:rsidRPr="004867D2">
        <w:rPr>
          <w:rFonts w:cs="Arial"/>
          <w:color w:val="auto"/>
        </w:rPr>
        <w:t xml:space="preserve"> se presentan los resultados </w:t>
      </w:r>
      <w:r>
        <w:rPr>
          <w:rFonts w:cs="Arial"/>
          <w:color w:val="auto"/>
        </w:rPr>
        <w:t xml:space="preserve">para </w:t>
      </w:r>
      <w:r w:rsidR="00FB4ED0">
        <w:rPr>
          <w:rFonts w:cs="Arial"/>
          <w:color w:val="auto"/>
        </w:rPr>
        <w:t>agost</w:t>
      </w:r>
      <w:r w:rsidR="003B3DCE">
        <w:rPr>
          <w:rFonts w:cs="Arial"/>
          <w:color w:val="auto"/>
        </w:rPr>
        <w:t>o</w:t>
      </w:r>
      <w:r>
        <w:rPr>
          <w:rFonts w:cs="Arial"/>
          <w:color w:val="auto"/>
        </w:rPr>
        <w:t xml:space="preserve"> de 2021, c</w:t>
      </w:r>
      <w:r w:rsidR="00095006" w:rsidRPr="004867D2">
        <w:rPr>
          <w:rFonts w:cs="Arial"/>
          <w:color w:val="auto"/>
        </w:rPr>
        <w:t>on base en la Encuesta Mensual de la Industria Manufacturera (EMIM) que lleva a cabo el INEGI en e</w:t>
      </w:r>
      <w:r w:rsidR="00E51CC4">
        <w:rPr>
          <w:rFonts w:cs="Arial"/>
          <w:color w:val="auto"/>
        </w:rPr>
        <w:t>stablecimiento</w:t>
      </w:r>
      <w:r w:rsidR="00095006" w:rsidRPr="004867D2">
        <w:rPr>
          <w:rFonts w:cs="Arial"/>
          <w:color w:val="auto"/>
        </w:rPr>
        <w:t>s del sector manufacturero.</w:t>
      </w:r>
    </w:p>
    <w:p w14:paraId="25CA20D2" w14:textId="77777777" w:rsidR="00095006" w:rsidRPr="004867D2" w:rsidRDefault="00095006" w:rsidP="001A0462">
      <w:pPr>
        <w:pStyle w:val="texto0"/>
        <w:keepLines w:val="0"/>
        <w:spacing w:before="600"/>
        <w:rPr>
          <w:rFonts w:cs="Arial"/>
          <w:b/>
          <w:i/>
          <w:color w:val="auto"/>
          <w:sz w:val="20"/>
        </w:rPr>
      </w:pPr>
      <w:r w:rsidRPr="004867D2">
        <w:rPr>
          <w:rFonts w:cs="Arial"/>
          <w:b/>
          <w:i/>
          <w:color w:val="auto"/>
        </w:rPr>
        <w:t>Personal ocupado</w:t>
      </w:r>
      <w:r w:rsidR="00BA2F7D">
        <w:rPr>
          <w:rFonts w:cs="Arial"/>
          <w:b/>
          <w:i/>
          <w:color w:val="auto"/>
        </w:rPr>
        <w:t xml:space="preserve"> total</w:t>
      </w:r>
    </w:p>
    <w:p w14:paraId="5659D5A8" w14:textId="68B342A8" w:rsidR="00095006" w:rsidRPr="00FB5BBC" w:rsidRDefault="004916C9" w:rsidP="00565A40">
      <w:pPr>
        <w:pStyle w:val="texto0"/>
        <w:keepLines w:val="0"/>
        <w:widowControl w:val="0"/>
        <w:spacing w:before="480"/>
        <w:rPr>
          <w:rFonts w:cs="Arial"/>
          <w:color w:val="auto"/>
        </w:rPr>
      </w:pPr>
      <w:r w:rsidRPr="00FB5BBC">
        <w:rPr>
          <w:rFonts w:cs="Arial"/>
          <w:color w:val="auto"/>
        </w:rPr>
        <w:t xml:space="preserve">El personal ocupado </w:t>
      </w:r>
      <w:r w:rsidR="00BA2F7D">
        <w:rPr>
          <w:rFonts w:cs="Arial"/>
          <w:color w:val="auto"/>
        </w:rPr>
        <w:t xml:space="preserve">total </w:t>
      </w:r>
      <w:r w:rsidRPr="00FB5BBC">
        <w:rPr>
          <w:rFonts w:cs="Arial"/>
          <w:color w:val="auto"/>
        </w:rPr>
        <w:t xml:space="preserve">en la industria manufacturera </w:t>
      </w:r>
      <w:r w:rsidR="00107D32">
        <w:rPr>
          <w:rFonts w:cs="Arial"/>
          <w:color w:val="auto"/>
        </w:rPr>
        <w:t>presentó</w:t>
      </w:r>
      <w:r w:rsidR="002D28A4">
        <w:rPr>
          <w:rFonts w:cs="Arial"/>
          <w:color w:val="auto"/>
        </w:rPr>
        <w:t xml:space="preserve"> </w:t>
      </w:r>
      <w:r w:rsidR="00BE3FFA">
        <w:rPr>
          <w:rFonts w:cs="Arial"/>
          <w:color w:val="auto"/>
        </w:rPr>
        <w:t>un</w:t>
      </w:r>
      <w:r w:rsidR="00D11379">
        <w:rPr>
          <w:rFonts w:cs="Arial"/>
          <w:color w:val="auto"/>
        </w:rPr>
        <w:t xml:space="preserve"> </w:t>
      </w:r>
      <w:r w:rsidR="00107D32">
        <w:rPr>
          <w:rFonts w:cs="Arial"/>
          <w:color w:val="auto"/>
        </w:rPr>
        <w:t>ascenso</w:t>
      </w:r>
      <w:r w:rsidR="002D28A4">
        <w:rPr>
          <w:rFonts w:cs="Arial"/>
          <w:color w:val="auto"/>
        </w:rPr>
        <w:t xml:space="preserve"> </w:t>
      </w:r>
      <w:r w:rsidR="0091341D">
        <w:rPr>
          <w:rFonts w:cs="Arial"/>
          <w:color w:val="auto"/>
        </w:rPr>
        <w:t>de</w:t>
      </w:r>
      <w:r w:rsidR="00D36177">
        <w:rPr>
          <w:rFonts w:cs="Arial"/>
          <w:color w:val="auto"/>
        </w:rPr>
        <w:t xml:space="preserve"> </w:t>
      </w:r>
      <w:r w:rsidR="003F777D">
        <w:rPr>
          <w:rFonts w:cs="Arial"/>
          <w:color w:val="auto"/>
        </w:rPr>
        <w:t>0.</w:t>
      </w:r>
      <w:r w:rsidR="00107D32">
        <w:rPr>
          <w:rFonts w:cs="Arial"/>
          <w:color w:val="auto"/>
        </w:rPr>
        <w:t>2</w:t>
      </w:r>
      <w:r w:rsidR="003F777D">
        <w:rPr>
          <w:rFonts w:cs="Arial"/>
          <w:color w:val="auto"/>
        </w:rPr>
        <w:t>%</w:t>
      </w:r>
      <w:r w:rsidR="00F37DBE">
        <w:rPr>
          <w:rFonts w:cs="Arial"/>
          <w:color w:val="auto"/>
        </w:rPr>
        <w:t xml:space="preserve"> </w:t>
      </w:r>
      <w:r w:rsidR="00237F57">
        <w:rPr>
          <w:rFonts w:cs="Arial"/>
          <w:color w:val="auto"/>
        </w:rPr>
        <w:t>e</w:t>
      </w:r>
      <w:r w:rsidR="00D3544F">
        <w:rPr>
          <w:rFonts w:cs="Arial"/>
          <w:color w:val="auto"/>
        </w:rPr>
        <w:t>n</w:t>
      </w:r>
      <w:r w:rsidR="00237F57">
        <w:rPr>
          <w:rFonts w:cs="Arial"/>
          <w:color w:val="auto"/>
        </w:rPr>
        <w:t xml:space="preserve"> </w:t>
      </w:r>
      <w:r w:rsidR="00FB4ED0">
        <w:rPr>
          <w:rFonts w:cs="Arial"/>
          <w:color w:val="auto"/>
        </w:rPr>
        <w:t xml:space="preserve">el octavo mes de este </w:t>
      </w:r>
      <w:r w:rsidR="002D28A4">
        <w:rPr>
          <w:rFonts w:cs="Arial"/>
          <w:color w:val="auto"/>
        </w:rPr>
        <w:t>año</w:t>
      </w:r>
      <w:r w:rsidR="00FB4ED0">
        <w:rPr>
          <w:rFonts w:cs="Arial"/>
          <w:color w:val="auto"/>
        </w:rPr>
        <w:t xml:space="preserve"> en comparación</w:t>
      </w:r>
      <w:r w:rsidR="00E668DF">
        <w:rPr>
          <w:rFonts w:cs="Arial"/>
          <w:color w:val="auto"/>
        </w:rPr>
        <w:t xml:space="preserve"> </w:t>
      </w:r>
      <w:r w:rsidR="00F40EA2">
        <w:rPr>
          <w:rFonts w:cs="Arial"/>
          <w:color w:val="auto"/>
        </w:rPr>
        <w:t>con el</w:t>
      </w:r>
      <w:r w:rsidR="00E668DF">
        <w:rPr>
          <w:rFonts w:cs="Arial"/>
          <w:color w:val="auto"/>
        </w:rPr>
        <w:t xml:space="preserve"> mes </w:t>
      </w:r>
      <w:r w:rsidR="00FB4ED0">
        <w:rPr>
          <w:rFonts w:cs="Arial"/>
          <w:color w:val="auto"/>
        </w:rPr>
        <w:t>precedente</w:t>
      </w:r>
      <w:r w:rsidRPr="00FB5BBC">
        <w:rPr>
          <w:rFonts w:cs="Arial"/>
          <w:color w:val="auto"/>
        </w:rPr>
        <w:t xml:space="preserve">, </w:t>
      </w:r>
      <w:r w:rsidR="0089744F" w:rsidRPr="00FB5BBC">
        <w:rPr>
          <w:rFonts w:cs="Arial"/>
          <w:color w:val="auto"/>
        </w:rPr>
        <w:t xml:space="preserve">con </w:t>
      </w:r>
      <w:r w:rsidRPr="00FB5BBC">
        <w:rPr>
          <w:rFonts w:cs="Arial"/>
          <w:color w:val="auto"/>
        </w:rPr>
        <w:t xml:space="preserve">datos ajustados por estacionalidad. Por tipo de contratación, </w:t>
      </w:r>
      <w:r w:rsidR="002F078B" w:rsidRPr="00FB5BBC">
        <w:rPr>
          <w:rFonts w:cs="Arial"/>
          <w:color w:val="auto"/>
        </w:rPr>
        <w:t xml:space="preserve">el número </w:t>
      </w:r>
      <w:r w:rsidR="00DE70F4" w:rsidRPr="00FB5BBC">
        <w:rPr>
          <w:rFonts w:cs="Arial"/>
          <w:color w:val="auto"/>
        </w:rPr>
        <w:t xml:space="preserve">de </w:t>
      </w:r>
      <w:r w:rsidR="00107D32">
        <w:rPr>
          <w:rFonts w:cs="Arial"/>
          <w:color w:val="auto"/>
        </w:rPr>
        <w:t>empleados creció</w:t>
      </w:r>
      <w:r w:rsidR="002D28A4">
        <w:rPr>
          <w:rFonts w:cs="Arial"/>
          <w:color w:val="auto"/>
        </w:rPr>
        <w:t xml:space="preserve"> </w:t>
      </w:r>
      <w:r w:rsidR="006523F4">
        <w:rPr>
          <w:rFonts w:cs="Arial"/>
          <w:color w:val="auto"/>
        </w:rPr>
        <w:t>0</w:t>
      </w:r>
      <w:r w:rsidR="003F777D">
        <w:rPr>
          <w:rFonts w:cs="Arial"/>
          <w:color w:val="auto"/>
        </w:rPr>
        <w:t>.</w:t>
      </w:r>
      <w:r w:rsidR="00107D32">
        <w:rPr>
          <w:rFonts w:cs="Arial"/>
          <w:color w:val="auto"/>
        </w:rPr>
        <w:t>5</w:t>
      </w:r>
      <w:r w:rsidR="00F80A1E">
        <w:rPr>
          <w:rFonts w:cs="Arial"/>
          <w:color w:val="auto"/>
        </w:rPr>
        <w:t>%</w:t>
      </w:r>
      <w:r w:rsidR="00107D32">
        <w:rPr>
          <w:rFonts w:cs="Arial"/>
          <w:color w:val="auto"/>
        </w:rPr>
        <w:t>,</w:t>
      </w:r>
      <w:r w:rsidR="003E33E0">
        <w:rPr>
          <w:rFonts w:cs="Arial"/>
          <w:color w:val="auto"/>
        </w:rPr>
        <w:t xml:space="preserve"> </w:t>
      </w:r>
      <w:r w:rsidR="00107D32">
        <w:rPr>
          <w:rFonts w:cs="Arial"/>
          <w:color w:val="auto"/>
        </w:rPr>
        <w:t>mientras que el de los</w:t>
      </w:r>
      <w:r w:rsidR="003E33E0">
        <w:rPr>
          <w:rFonts w:cs="Arial"/>
          <w:color w:val="auto"/>
        </w:rPr>
        <w:t xml:space="preserve"> </w:t>
      </w:r>
      <w:r w:rsidR="00107D32">
        <w:rPr>
          <w:rFonts w:cs="Arial"/>
          <w:color w:val="auto"/>
        </w:rPr>
        <w:t xml:space="preserve">obreros se mantuvo sin cambio </w:t>
      </w:r>
      <w:r w:rsidR="00305E82" w:rsidRPr="00FB5BBC">
        <w:rPr>
          <w:rFonts w:cs="Arial"/>
          <w:color w:val="auto"/>
        </w:rPr>
        <w:t>a tasa</w:t>
      </w:r>
      <w:r w:rsidR="0006135D" w:rsidRPr="00FB5BBC">
        <w:rPr>
          <w:rFonts w:cs="Arial"/>
          <w:color w:val="auto"/>
        </w:rPr>
        <w:t xml:space="preserve"> mensual</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254FD755" w14:textId="6213FA9A" w:rsidR="00095006" w:rsidRPr="004867D2" w:rsidRDefault="00095006" w:rsidP="002A6A17">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Personal ocupado </w:t>
      </w:r>
      <w:r w:rsidR="00BA2F7D">
        <w:rPr>
          <w:rFonts w:ascii="Arial" w:hAnsi="Arial"/>
          <w:b/>
          <w:smallCaps/>
          <w:color w:val="auto"/>
          <w:sz w:val="22"/>
          <w:szCs w:val="22"/>
        </w:rPr>
        <w:t xml:space="preserve">total </w:t>
      </w:r>
      <w:r w:rsidR="00EA3A9E">
        <w:rPr>
          <w:rFonts w:ascii="Arial" w:hAnsi="Arial"/>
          <w:b/>
          <w:smallCaps/>
          <w:color w:val="auto"/>
          <w:sz w:val="22"/>
          <w:szCs w:val="22"/>
        </w:rPr>
        <w:t>a</w:t>
      </w:r>
      <w:r w:rsidR="00FB4ED0">
        <w:rPr>
          <w:rFonts w:ascii="Arial" w:hAnsi="Arial"/>
          <w:b/>
          <w:smallCaps/>
          <w:color w:val="auto"/>
          <w:sz w:val="22"/>
          <w:szCs w:val="22"/>
        </w:rPr>
        <w:t>l mes de agosto</w:t>
      </w:r>
      <w:r w:rsidR="00E668DF">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D36177">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0304B133" w14:textId="77777777" w:rsidR="00095006" w:rsidRPr="004867D2" w:rsidRDefault="00095006" w:rsidP="002A6A17">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660E926B" w14:textId="4EE00566" w:rsidR="00095006" w:rsidRPr="004867D2" w:rsidRDefault="00C57B20" w:rsidP="002A6A17">
      <w:pPr>
        <w:widowControl w:val="0"/>
        <w:jc w:val="center"/>
        <w:rPr>
          <w:sz w:val="18"/>
        </w:rPr>
      </w:pPr>
      <w:r>
        <w:rPr>
          <w:noProof/>
          <w:lang w:val="es-MX" w:eastAsia="es-MX"/>
        </w:rPr>
        <w:drawing>
          <wp:inline distT="0" distB="0" distL="0" distR="0" wp14:anchorId="033C0522" wp14:editId="427B86D2">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4867D2" w:rsidRDefault="00095006" w:rsidP="00F76B64">
      <w:pPr>
        <w:pStyle w:val="texto0"/>
        <w:keepLines w:val="0"/>
        <w:spacing w:before="480"/>
        <w:rPr>
          <w:rFonts w:cs="Arial"/>
          <w:b/>
          <w:i/>
          <w:color w:val="auto"/>
        </w:rPr>
      </w:pPr>
      <w:r w:rsidRPr="004867D2">
        <w:rPr>
          <w:rFonts w:cs="Arial"/>
          <w:b/>
          <w:i/>
          <w:color w:val="auto"/>
        </w:rPr>
        <w:t>Horas trabajadas</w:t>
      </w:r>
    </w:p>
    <w:p w14:paraId="5338D062" w14:textId="09B85589" w:rsidR="00095006" w:rsidRPr="001C753D" w:rsidRDefault="00D307EE" w:rsidP="008969B9">
      <w:pPr>
        <w:pStyle w:val="texto0"/>
        <w:keepLines w:val="0"/>
        <w:spacing w:before="600"/>
        <w:rPr>
          <w:rFonts w:cs="Arial"/>
          <w:color w:val="auto"/>
          <w:spacing w:val="6"/>
        </w:rPr>
      </w:pPr>
      <w:r>
        <w:rPr>
          <w:rFonts w:cs="Arial"/>
          <w:color w:val="auto"/>
        </w:rPr>
        <w:t>En</w:t>
      </w:r>
      <w:r w:rsidR="00D36177">
        <w:rPr>
          <w:rFonts w:cs="Arial"/>
          <w:color w:val="auto"/>
        </w:rPr>
        <w:t xml:space="preserve"> </w:t>
      </w:r>
      <w:r w:rsidR="002D28A4">
        <w:rPr>
          <w:rFonts w:cs="Arial"/>
          <w:color w:val="auto"/>
        </w:rPr>
        <w:t xml:space="preserve">el mes </w:t>
      </w:r>
      <w:r w:rsidR="009D785A">
        <w:rPr>
          <w:rFonts w:cs="Arial"/>
          <w:color w:val="auto"/>
        </w:rPr>
        <w:t>de</w:t>
      </w:r>
      <w:r w:rsidR="00723AE1">
        <w:rPr>
          <w:rFonts w:cs="Arial"/>
          <w:color w:val="auto"/>
        </w:rPr>
        <w:t xml:space="preserve"> </w:t>
      </w:r>
      <w:r w:rsidR="00FB4ED0">
        <w:rPr>
          <w:rFonts w:cs="Arial"/>
          <w:color w:val="auto"/>
        </w:rPr>
        <w:t>referencia</w:t>
      </w:r>
      <w:r w:rsidR="009B6D1E" w:rsidRPr="00EF4780">
        <w:rPr>
          <w:rFonts w:cs="Arial"/>
          <w:color w:val="auto"/>
        </w:rPr>
        <w:t xml:space="preserve">, </w:t>
      </w:r>
      <w:r w:rsidR="004916C9" w:rsidRPr="00EF4780">
        <w:rPr>
          <w:rFonts w:cs="Arial"/>
          <w:color w:val="auto"/>
        </w:rPr>
        <w:t xml:space="preserve">las horas trabajadas en las industrias manufactureras </w:t>
      </w:r>
      <w:r w:rsidR="00FC6280">
        <w:rPr>
          <w:rFonts w:cs="Arial"/>
          <w:color w:val="auto"/>
        </w:rPr>
        <w:t>no registraron variación</w:t>
      </w:r>
      <w:r w:rsidR="00A62498" w:rsidRPr="00EF4780">
        <w:rPr>
          <w:rFonts w:cs="Arial"/>
          <w:color w:val="auto"/>
        </w:rPr>
        <w:t xml:space="preserve"> </w:t>
      </w:r>
      <w:r w:rsidR="00FC6280">
        <w:rPr>
          <w:rFonts w:cs="Arial"/>
          <w:color w:val="auto"/>
        </w:rPr>
        <w:t>frente</w:t>
      </w:r>
      <w:r w:rsidR="00FB4ED0">
        <w:rPr>
          <w:rFonts w:cs="Arial"/>
          <w:color w:val="auto"/>
        </w:rPr>
        <w:t xml:space="preserve"> a </w:t>
      </w:r>
      <w:r w:rsidR="00A62C90">
        <w:rPr>
          <w:rFonts w:cs="Arial"/>
          <w:color w:val="auto"/>
        </w:rPr>
        <w:t>las de</w:t>
      </w:r>
      <w:r w:rsidR="005F64FF">
        <w:rPr>
          <w:rFonts w:cs="Arial"/>
          <w:color w:val="auto"/>
        </w:rPr>
        <w:t xml:space="preserve">l </w:t>
      </w:r>
      <w:r w:rsidR="00AC529F">
        <w:rPr>
          <w:rFonts w:cs="Arial"/>
          <w:color w:val="auto"/>
        </w:rPr>
        <w:t xml:space="preserve">mes </w:t>
      </w:r>
      <w:r w:rsidR="00FB4ED0">
        <w:rPr>
          <w:rFonts w:cs="Arial"/>
          <w:color w:val="auto"/>
        </w:rPr>
        <w:t>inmediato anterior</w:t>
      </w:r>
      <w:r w:rsidR="003C093F" w:rsidRPr="00EF4780">
        <w:rPr>
          <w:rFonts w:cs="Arial"/>
          <w:color w:val="auto"/>
        </w:rPr>
        <w:t>,</w:t>
      </w:r>
      <w:r w:rsidR="004916C9" w:rsidRPr="00EF4780">
        <w:rPr>
          <w:rFonts w:cs="Arial"/>
          <w:color w:val="auto"/>
        </w:rPr>
        <w:t xml:space="preserve"> con </w:t>
      </w:r>
      <w:r w:rsidR="00B507E4" w:rsidRPr="00EF4780">
        <w:rPr>
          <w:rFonts w:cs="Arial"/>
          <w:color w:val="auto"/>
        </w:rPr>
        <w:t>cifras</w:t>
      </w:r>
      <w:r w:rsidR="004916C9" w:rsidRPr="00EF4780">
        <w:rPr>
          <w:rFonts w:cs="Arial"/>
          <w:color w:val="auto"/>
        </w:rPr>
        <w:t xml:space="preserve"> desestacionalizad</w:t>
      </w:r>
      <w:r w:rsidR="00B507E4" w:rsidRPr="00EF4780">
        <w:rPr>
          <w:rFonts w:cs="Arial"/>
          <w:color w:val="auto"/>
        </w:rPr>
        <w:t>a</w:t>
      </w:r>
      <w:r w:rsidR="004916C9" w:rsidRPr="00EF4780">
        <w:rPr>
          <w:rFonts w:cs="Arial"/>
          <w:color w:val="auto"/>
        </w:rPr>
        <w:t>s</w:t>
      </w:r>
      <w:r w:rsidR="003C6D44">
        <w:rPr>
          <w:rFonts w:cs="Arial"/>
          <w:color w:val="auto"/>
        </w:rPr>
        <w:t>:</w:t>
      </w:r>
      <w:r w:rsidR="004916C9" w:rsidRPr="00EF4780">
        <w:rPr>
          <w:rFonts w:cs="Arial"/>
          <w:color w:val="auto"/>
        </w:rPr>
        <w:t xml:space="preserve"> </w:t>
      </w:r>
      <w:r w:rsidR="00C80B4E" w:rsidRPr="00EF4780">
        <w:rPr>
          <w:rFonts w:cs="Arial"/>
          <w:color w:val="auto"/>
        </w:rPr>
        <w:t>las correspondientes</w:t>
      </w:r>
      <w:r w:rsidR="00A159A5" w:rsidRPr="00EF4780">
        <w:rPr>
          <w:rFonts w:cs="Arial"/>
          <w:color w:val="auto"/>
        </w:rPr>
        <w:t xml:space="preserve"> </w:t>
      </w:r>
      <w:r w:rsidR="00C80B4E" w:rsidRPr="00EF4780">
        <w:rPr>
          <w:rFonts w:cs="Arial"/>
          <w:color w:val="auto"/>
        </w:rPr>
        <w:t xml:space="preserve">a </w:t>
      </w:r>
      <w:r w:rsidR="005232F3">
        <w:rPr>
          <w:rFonts w:cs="Arial"/>
          <w:color w:val="auto"/>
        </w:rPr>
        <w:t xml:space="preserve">los </w:t>
      </w:r>
      <w:r w:rsidR="00B42377">
        <w:rPr>
          <w:rFonts w:cs="Arial"/>
          <w:color w:val="auto"/>
        </w:rPr>
        <w:t>empleados subieron</w:t>
      </w:r>
      <w:r w:rsidR="005232F3">
        <w:rPr>
          <w:rFonts w:cs="Arial"/>
          <w:color w:val="auto"/>
        </w:rPr>
        <w:t xml:space="preserve"> 0.</w:t>
      </w:r>
      <w:r w:rsidR="00B42377">
        <w:rPr>
          <w:rFonts w:cs="Arial"/>
          <w:color w:val="auto"/>
        </w:rPr>
        <w:t>1</w:t>
      </w:r>
      <w:r w:rsidR="005232F3">
        <w:rPr>
          <w:rFonts w:cs="Arial"/>
          <w:color w:val="auto"/>
        </w:rPr>
        <w:t>%</w:t>
      </w:r>
      <w:r w:rsidR="00B42377">
        <w:rPr>
          <w:rFonts w:cs="Arial"/>
          <w:color w:val="auto"/>
        </w:rPr>
        <w:t xml:space="preserve">, </w:t>
      </w:r>
      <w:r w:rsidR="006E0836">
        <w:rPr>
          <w:rFonts w:cs="Arial"/>
          <w:color w:val="auto"/>
        </w:rPr>
        <w:t>en tanto que</w:t>
      </w:r>
      <w:r w:rsidR="00664178">
        <w:rPr>
          <w:rFonts w:cs="Arial"/>
          <w:color w:val="auto"/>
        </w:rPr>
        <w:t xml:space="preserve"> </w:t>
      </w:r>
      <w:r w:rsidR="005232F3">
        <w:rPr>
          <w:rFonts w:cs="Arial"/>
          <w:color w:val="auto"/>
        </w:rPr>
        <w:t xml:space="preserve">las de </w:t>
      </w:r>
      <w:r w:rsidR="00A36CCB" w:rsidRPr="00EF4780">
        <w:rPr>
          <w:rFonts w:cs="Arial"/>
          <w:color w:val="auto"/>
        </w:rPr>
        <w:t xml:space="preserve">los </w:t>
      </w:r>
      <w:r w:rsidR="002D28A4">
        <w:rPr>
          <w:rFonts w:cs="Arial"/>
          <w:color w:val="auto"/>
        </w:rPr>
        <w:t xml:space="preserve">obreros </w:t>
      </w:r>
      <w:r w:rsidR="00B42377">
        <w:rPr>
          <w:rFonts w:cs="Arial"/>
          <w:color w:val="auto"/>
        </w:rPr>
        <w:t xml:space="preserve">retrocedieron </w:t>
      </w:r>
      <w:r w:rsidR="003E33E0">
        <w:rPr>
          <w:rFonts w:cs="Arial"/>
          <w:color w:val="auto"/>
        </w:rPr>
        <w:t>0.</w:t>
      </w:r>
      <w:r w:rsidR="00B42377">
        <w:rPr>
          <w:rFonts w:cs="Arial"/>
          <w:color w:val="auto"/>
        </w:rPr>
        <w:t>1</w:t>
      </w:r>
      <w:r w:rsidR="00844FF9">
        <w:rPr>
          <w:rFonts w:cs="Arial"/>
          <w:color w:val="auto"/>
        </w:rPr>
        <w:t>%</w:t>
      </w:r>
      <w:r w:rsidR="004535ED">
        <w:rPr>
          <w:rFonts w:cs="Arial"/>
          <w:color w:val="auto"/>
        </w:rPr>
        <w:t xml:space="preserve"> durante el mismo periodo</w:t>
      </w:r>
      <w:r w:rsidR="00CF17FD">
        <w:rPr>
          <w:rFonts w:cs="Arial"/>
          <w:color w:val="auto"/>
        </w:rPr>
        <w:t>.</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0301BCD7" w14:textId="4071930C"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 xml:space="preserve">Horas trabajadas </w:t>
      </w:r>
      <w:r w:rsidR="00EA3A9E">
        <w:rPr>
          <w:rFonts w:ascii="Arial" w:hAnsi="Arial"/>
          <w:b/>
          <w:smallCaps/>
          <w:color w:val="auto"/>
          <w:sz w:val="22"/>
          <w:szCs w:val="22"/>
        </w:rPr>
        <w:t>a</w:t>
      </w:r>
      <w:r w:rsidR="00FB4ED0">
        <w:rPr>
          <w:rFonts w:ascii="Arial" w:hAnsi="Arial"/>
          <w:b/>
          <w:smallCaps/>
          <w:color w:val="auto"/>
          <w:sz w:val="22"/>
          <w:szCs w:val="22"/>
        </w:rPr>
        <w:t>l mes de agosto</w:t>
      </w:r>
      <w:r w:rsidR="00CA74B8">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59642A">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74B6339B" w14:textId="77777777" w:rsidR="00095006" w:rsidRPr="004867D2" w:rsidRDefault="00095006" w:rsidP="00205C32">
      <w:pPr>
        <w:widowControl w:val="0"/>
        <w:jc w:val="center"/>
        <w:rPr>
          <w:sz w:val="18"/>
        </w:rPr>
      </w:pPr>
      <w:r w:rsidRPr="004867D2">
        <w:rPr>
          <w:sz w:val="18"/>
        </w:rPr>
        <w:t xml:space="preserve">(Índice </w:t>
      </w:r>
      <w:r w:rsidR="00BA2F7D">
        <w:rPr>
          <w:sz w:val="18"/>
        </w:rPr>
        <w:t xml:space="preserve">base </w:t>
      </w:r>
      <w:r w:rsidRPr="004867D2">
        <w:rPr>
          <w:sz w:val="18"/>
        </w:rPr>
        <w:t>20</w:t>
      </w:r>
      <w:r w:rsidR="00745A07">
        <w:rPr>
          <w:sz w:val="18"/>
        </w:rPr>
        <w:t>13</w:t>
      </w:r>
      <w:r w:rsidRPr="004867D2">
        <w:rPr>
          <w:sz w:val="18"/>
        </w:rPr>
        <w:t>=100)</w:t>
      </w:r>
    </w:p>
    <w:p w14:paraId="0CE6C7A9" w14:textId="6BC11CF2" w:rsidR="00095006" w:rsidRPr="004867D2" w:rsidRDefault="000228C6" w:rsidP="00205C32">
      <w:pPr>
        <w:widowControl w:val="0"/>
        <w:jc w:val="center"/>
        <w:rPr>
          <w:sz w:val="18"/>
        </w:rPr>
      </w:pPr>
      <w:r>
        <w:rPr>
          <w:noProof/>
          <w:lang w:val="es-MX" w:eastAsia="es-MX"/>
        </w:rPr>
        <w:drawing>
          <wp:inline distT="0" distB="0" distL="0" distR="0" wp14:anchorId="6A8065B3" wp14:editId="09B6F8E7">
            <wp:extent cx="5040000" cy="2880000"/>
            <wp:effectExtent l="0" t="0" r="27305" b="3492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4867D2" w:rsidRDefault="00095006" w:rsidP="00B957F0">
      <w:pPr>
        <w:pStyle w:val="texto0"/>
        <w:keepLines w:val="0"/>
        <w:spacing w:before="480"/>
        <w:rPr>
          <w:rFonts w:cs="Arial"/>
          <w:b/>
          <w:i/>
          <w:color w:val="auto"/>
        </w:rPr>
      </w:pPr>
      <w:r w:rsidRPr="004867D2">
        <w:rPr>
          <w:rFonts w:cs="Arial"/>
          <w:b/>
          <w:i/>
          <w:color w:val="auto"/>
        </w:rPr>
        <w:t>Remuneraciones medias reales pagadas</w:t>
      </w:r>
    </w:p>
    <w:p w14:paraId="32C703E5" w14:textId="1AA81EF0" w:rsidR="00095006" w:rsidRPr="00FB5BBC" w:rsidRDefault="00E561E4" w:rsidP="008969B9">
      <w:pPr>
        <w:pStyle w:val="texto0"/>
        <w:keepLines w:val="0"/>
        <w:spacing w:before="600"/>
        <w:rPr>
          <w:rFonts w:cs="Arial"/>
          <w:color w:val="auto"/>
        </w:rPr>
      </w:pPr>
      <w:r>
        <w:rPr>
          <w:rFonts w:cs="Arial"/>
          <w:color w:val="auto"/>
        </w:rPr>
        <w:t>Al e</w:t>
      </w:r>
      <w:r w:rsidR="004916C9" w:rsidRPr="00FB5BBC">
        <w:rPr>
          <w:rFonts w:cs="Arial"/>
          <w:color w:val="auto"/>
        </w:rPr>
        <w:t>limina</w:t>
      </w:r>
      <w:r>
        <w:rPr>
          <w:rFonts w:cs="Arial"/>
          <w:color w:val="auto"/>
        </w:rPr>
        <w:t>r</w:t>
      </w:r>
      <w:r w:rsidR="004916C9" w:rsidRPr="00FB5BBC">
        <w:rPr>
          <w:rFonts w:cs="Arial"/>
          <w:color w:val="auto"/>
        </w:rPr>
        <w:t xml:space="preserve"> el factor estacional, las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664178">
        <w:rPr>
          <w:rFonts w:cs="Arial"/>
          <w:color w:val="auto"/>
        </w:rPr>
        <w:t>mostraron una caída</w:t>
      </w:r>
      <w:r w:rsidR="002D28A4">
        <w:rPr>
          <w:rFonts w:cs="Arial"/>
          <w:color w:val="auto"/>
        </w:rPr>
        <w:t xml:space="preserve"> de </w:t>
      </w:r>
      <w:r w:rsidR="00664178">
        <w:rPr>
          <w:rFonts w:cs="Arial"/>
          <w:color w:val="auto"/>
        </w:rPr>
        <w:t>1.4</w:t>
      </w:r>
      <w:r w:rsidR="0088515B">
        <w:rPr>
          <w:rFonts w:cs="Arial"/>
          <w:color w:val="auto"/>
        </w:rPr>
        <w:t xml:space="preserve">% </w:t>
      </w:r>
      <w:r w:rsidR="00D10328">
        <w:rPr>
          <w:rFonts w:cs="Arial"/>
          <w:color w:val="auto"/>
        </w:rPr>
        <w:t>en</w:t>
      </w:r>
      <w:r w:rsidR="00985D7A">
        <w:rPr>
          <w:rFonts w:cs="Arial"/>
          <w:color w:val="auto"/>
        </w:rPr>
        <w:t xml:space="preserve"> </w:t>
      </w:r>
      <w:r w:rsidR="00FB4ED0">
        <w:rPr>
          <w:rFonts w:cs="Arial"/>
          <w:color w:val="auto"/>
        </w:rPr>
        <w:t>agost</w:t>
      </w:r>
      <w:r w:rsidR="003B3DCE">
        <w:rPr>
          <w:rFonts w:cs="Arial"/>
          <w:color w:val="auto"/>
        </w:rPr>
        <w:t>o</w:t>
      </w:r>
      <w:r w:rsidR="0059642A">
        <w:rPr>
          <w:rFonts w:cs="Arial"/>
          <w:color w:val="auto"/>
        </w:rPr>
        <w:t xml:space="preserve"> </w:t>
      </w:r>
      <w:r w:rsidR="00223E3F">
        <w:rPr>
          <w:rFonts w:cs="Arial"/>
          <w:color w:val="auto"/>
        </w:rPr>
        <w:t>de</w:t>
      </w:r>
      <w:r w:rsidR="00305A2B">
        <w:rPr>
          <w:rFonts w:cs="Arial"/>
          <w:color w:val="auto"/>
        </w:rPr>
        <w:t xml:space="preserve"> 2021</w:t>
      </w:r>
      <w:r w:rsidR="003E2696">
        <w:rPr>
          <w:rFonts w:cs="Arial"/>
          <w:color w:val="auto"/>
        </w:rPr>
        <w:t xml:space="preserve"> </w:t>
      </w:r>
      <w:r w:rsidR="00FC6280">
        <w:rPr>
          <w:rFonts w:cs="Arial"/>
          <w:color w:val="auto"/>
        </w:rPr>
        <w:t>respecto</w:t>
      </w:r>
      <w:r w:rsidR="003A3C97">
        <w:rPr>
          <w:rFonts w:cs="Arial"/>
          <w:color w:val="auto"/>
        </w:rPr>
        <w:t xml:space="preserve"> </w:t>
      </w:r>
      <w:r w:rsidR="0059642A">
        <w:rPr>
          <w:rFonts w:cs="Arial"/>
          <w:color w:val="auto"/>
        </w:rPr>
        <w:t>a</w:t>
      </w:r>
      <w:r w:rsidR="005F64FF">
        <w:rPr>
          <w:rFonts w:cs="Arial"/>
          <w:color w:val="auto"/>
        </w:rPr>
        <w:t xml:space="preserve"> </w:t>
      </w:r>
      <w:r w:rsidR="00305A2B">
        <w:rPr>
          <w:rFonts w:cs="Arial"/>
          <w:color w:val="auto"/>
        </w:rPr>
        <w:t>ju</w:t>
      </w:r>
      <w:r w:rsidR="00FB487A">
        <w:rPr>
          <w:rFonts w:cs="Arial"/>
          <w:color w:val="auto"/>
        </w:rPr>
        <w:t>l</w:t>
      </w:r>
      <w:r w:rsidR="00305A2B">
        <w:rPr>
          <w:rFonts w:cs="Arial"/>
          <w:color w:val="auto"/>
        </w:rPr>
        <w:t xml:space="preserve">io </w:t>
      </w:r>
      <w:r w:rsidR="005F64FF">
        <w:rPr>
          <w:rFonts w:cs="Arial"/>
          <w:color w:val="auto"/>
        </w:rPr>
        <w:t>pasado</w:t>
      </w:r>
      <w:r w:rsidR="004916C9" w:rsidRPr="00FB5BBC">
        <w:rPr>
          <w:rFonts w:cs="Arial"/>
          <w:color w:val="auto"/>
        </w:rPr>
        <w:t xml:space="preserve">.  De manera desagregada, </w:t>
      </w:r>
      <w:r w:rsidR="00FB32DD">
        <w:rPr>
          <w:rFonts w:cs="Arial"/>
          <w:color w:val="auto"/>
        </w:rPr>
        <w:t xml:space="preserve">los </w:t>
      </w:r>
      <w:r w:rsidR="004535ED">
        <w:rPr>
          <w:rFonts w:cs="Arial"/>
          <w:color w:val="auto"/>
        </w:rPr>
        <w:t>s</w:t>
      </w:r>
      <w:r w:rsidR="00681A6C">
        <w:rPr>
          <w:rFonts w:cs="Arial"/>
          <w:color w:val="auto"/>
        </w:rPr>
        <w:t>alarios</w:t>
      </w:r>
      <w:r w:rsidR="004535ED" w:rsidRPr="00FB5BBC">
        <w:rPr>
          <w:rFonts w:cs="Arial"/>
          <w:color w:val="auto"/>
        </w:rPr>
        <w:t xml:space="preserve"> pagados a </w:t>
      </w:r>
      <w:r w:rsidR="00681A6C">
        <w:rPr>
          <w:rFonts w:cs="Arial"/>
          <w:color w:val="auto"/>
        </w:rPr>
        <w:t>obreros</w:t>
      </w:r>
      <w:r w:rsidR="004535ED">
        <w:rPr>
          <w:rFonts w:cs="Arial"/>
          <w:color w:val="auto"/>
        </w:rPr>
        <w:t xml:space="preserve"> </w:t>
      </w:r>
      <w:r w:rsidR="00664178">
        <w:rPr>
          <w:rFonts w:cs="Arial"/>
          <w:color w:val="auto"/>
        </w:rPr>
        <w:t>fueron menores en 1.5</w:t>
      </w:r>
      <w:r w:rsidR="00FB32DD">
        <w:rPr>
          <w:rFonts w:cs="Arial"/>
          <w:color w:val="auto"/>
        </w:rPr>
        <w:t xml:space="preserve">% y </w:t>
      </w:r>
      <w:r w:rsidR="00664178">
        <w:rPr>
          <w:rFonts w:cs="Arial"/>
          <w:color w:val="auto"/>
        </w:rPr>
        <w:t xml:space="preserve">tanto </w:t>
      </w:r>
      <w:r w:rsidR="00083A1D">
        <w:rPr>
          <w:rFonts w:cs="Arial"/>
          <w:color w:val="auto"/>
        </w:rPr>
        <w:t xml:space="preserve">los sueldos pagados a empleados </w:t>
      </w:r>
      <w:r w:rsidR="00664178">
        <w:rPr>
          <w:rFonts w:cs="Arial"/>
          <w:color w:val="auto"/>
        </w:rPr>
        <w:t xml:space="preserve">como </w:t>
      </w:r>
      <w:r w:rsidR="00083A1D">
        <w:rPr>
          <w:rFonts w:cs="Arial"/>
          <w:color w:val="auto"/>
        </w:rPr>
        <w:t xml:space="preserve">las </w:t>
      </w:r>
      <w:r w:rsidR="00083A1D" w:rsidRPr="00FB5BBC">
        <w:rPr>
          <w:rFonts w:cs="Arial"/>
          <w:color w:val="auto"/>
        </w:rPr>
        <w:t>prestaciones sociales</w:t>
      </w:r>
      <w:r w:rsidR="00083A1D">
        <w:rPr>
          <w:rFonts w:cs="Arial"/>
          <w:color w:val="auto"/>
        </w:rPr>
        <w:t xml:space="preserve"> disminuyeron 1.2</w:t>
      </w:r>
      <w:r w:rsidR="004535ED">
        <w:rPr>
          <w:rFonts w:cs="Arial"/>
          <w:color w:val="auto"/>
        </w:rPr>
        <w:t>%</w:t>
      </w:r>
      <w:r w:rsidR="00315270" w:rsidRPr="00FB5BBC">
        <w:rPr>
          <w:rFonts w:cs="Arial"/>
          <w:color w:val="auto"/>
        </w:rPr>
        <w:t xml:space="preserve"> </w:t>
      </w:r>
      <w:r w:rsidR="00CF7B46">
        <w:rPr>
          <w:rFonts w:cs="Arial"/>
          <w:color w:val="auto"/>
        </w:rPr>
        <w:br/>
      </w:r>
      <w:r w:rsidR="00315270">
        <w:rPr>
          <w:rFonts w:cs="Arial"/>
          <w:color w:val="auto"/>
        </w:rPr>
        <w:t>a tasa</w:t>
      </w:r>
      <w:r w:rsidR="00745D7D">
        <w:rPr>
          <w:rFonts w:cs="Arial"/>
          <w:color w:val="auto"/>
        </w:rPr>
        <w:t xml:space="preserve"> mensual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7FFD4D43" w14:textId="355647C6" w:rsidR="00095006" w:rsidRPr="004867D2" w:rsidRDefault="00095006" w:rsidP="00205C32">
      <w:pPr>
        <w:pStyle w:val="p0"/>
        <w:keepLines w:val="0"/>
        <w:spacing w:before="0"/>
        <w:ind w:hanging="11"/>
        <w:jc w:val="center"/>
        <w:rPr>
          <w:rFonts w:ascii="Arial" w:hAnsi="Arial"/>
          <w:b/>
          <w:smallCaps/>
          <w:color w:val="auto"/>
          <w:sz w:val="22"/>
          <w:szCs w:val="22"/>
        </w:rPr>
      </w:pPr>
      <w:r w:rsidRPr="004867D2">
        <w:rPr>
          <w:rFonts w:ascii="Arial" w:hAnsi="Arial"/>
          <w:b/>
          <w:smallCaps/>
          <w:color w:val="auto"/>
          <w:sz w:val="22"/>
          <w:szCs w:val="22"/>
        </w:rPr>
        <w:t>Remuneraciones medias reales a</w:t>
      </w:r>
      <w:r w:rsidR="00FB487A">
        <w:rPr>
          <w:rFonts w:ascii="Arial" w:hAnsi="Arial"/>
          <w:b/>
          <w:smallCaps/>
          <w:color w:val="auto"/>
          <w:sz w:val="22"/>
          <w:szCs w:val="22"/>
        </w:rPr>
        <w:t>l mes de agosto</w:t>
      </w:r>
      <w:r w:rsidR="00C715E0">
        <w:rPr>
          <w:rFonts w:ascii="Arial" w:hAnsi="Arial"/>
          <w:b/>
          <w:smallCaps/>
          <w:color w:val="auto"/>
          <w:sz w:val="22"/>
          <w:szCs w:val="22"/>
        </w:rPr>
        <w:t xml:space="preserve"> </w:t>
      </w:r>
      <w:r w:rsidRPr="004867D2">
        <w:rPr>
          <w:rFonts w:ascii="Arial" w:hAnsi="Arial"/>
          <w:b/>
          <w:smallCaps/>
          <w:color w:val="auto"/>
          <w:sz w:val="22"/>
          <w:szCs w:val="22"/>
        </w:rPr>
        <w:t>de 20</w:t>
      </w:r>
      <w:r w:rsidR="00ED61FC">
        <w:rPr>
          <w:rFonts w:ascii="Arial" w:hAnsi="Arial"/>
          <w:b/>
          <w:smallCaps/>
          <w:color w:val="auto"/>
          <w:sz w:val="22"/>
          <w:szCs w:val="22"/>
        </w:rPr>
        <w:t>2</w:t>
      </w:r>
      <w:r w:rsidR="0059642A">
        <w:rPr>
          <w:rFonts w:ascii="Arial" w:hAnsi="Arial"/>
          <w:b/>
          <w:smallCaps/>
          <w:color w:val="auto"/>
          <w:sz w:val="22"/>
          <w:szCs w:val="22"/>
        </w:rPr>
        <w:t>1</w:t>
      </w:r>
      <w:r w:rsidRPr="004867D2">
        <w:rPr>
          <w:rFonts w:ascii="Arial" w:hAnsi="Arial"/>
          <w:b/>
          <w:smallCaps/>
          <w:color w:val="auto"/>
          <w:sz w:val="22"/>
          <w:szCs w:val="22"/>
        </w:rPr>
        <w:br/>
        <w:t>Series desestacionalizada y de tendencia-ciclo</w:t>
      </w:r>
    </w:p>
    <w:p w14:paraId="3389FAA0" w14:textId="10DFD8D5" w:rsidR="00095006" w:rsidRDefault="005F4BF2" w:rsidP="00205C32">
      <w:pPr>
        <w:widowControl w:val="0"/>
        <w:jc w:val="center"/>
        <w:rPr>
          <w:noProof/>
          <w:lang w:val="es-MX" w:eastAsia="es-MX"/>
        </w:rPr>
      </w:pPr>
      <w:r w:rsidRPr="004867D2">
        <w:rPr>
          <w:sz w:val="18"/>
        </w:rPr>
        <w:t xml:space="preserve">(Índice </w:t>
      </w:r>
      <w:r>
        <w:rPr>
          <w:sz w:val="18"/>
        </w:rPr>
        <w:t xml:space="preserve">base </w:t>
      </w:r>
      <w:r w:rsidRPr="004867D2">
        <w:rPr>
          <w:sz w:val="18"/>
        </w:rPr>
        <w:t>20</w:t>
      </w:r>
      <w:r>
        <w:rPr>
          <w:sz w:val="18"/>
        </w:rPr>
        <w:t>13</w:t>
      </w:r>
      <w:r w:rsidRPr="004867D2">
        <w:rPr>
          <w:sz w:val="18"/>
        </w:rPr>
        <w:t>=100)</w:t>
      </w:r>
      <w:r w:rsidR="0066308D" w:rsidRPr="0066308D">
        <w:rPr>
          <w:noProof/>
          <w:lang w:val="es-MX" w:eastAsia="es-MX"/>
        </w:rPr>
        <w:t xml:space="preserve"> </w:t>
      </w:r>
    </w:p>
    <w:p w14:paraId="768E10A2" w14:textId="3151BCE6" w:rsidR="00851B11" w:rsidRPr="004867D2" w:rsidRDefault="00083A1D" w:rsidP="00205C32">
      <w:pPr>
        <w:widowControl w:val="0"/>
        <w:jc w:val="center"/>
        <w:rPr>
          <w:sz w:val="18"/>
        </w:rPr>
      </w:pPr>
      <w:r>
        <w:rPr>
          <w:noProof/>
          <w:lang w:val="es-MX" w:eastAsia="es-MX"/>
        </w:rPr>
        <w:drawing>
          <wp:inline distT="0" distB="0" distL="0" distR="0" wp14:anchorId="27C88A97" wp14:editId="29DD479D">
            <wp:extent cx="5040000" cy="2880000"/>
            <wp:effectExtent l="0" t="0" r="27305" b="3492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4AC8BB05" w14:textId="77777777" w:rsidR="00095006" w:rsidRPr="004867D2" w:rsidRDefault="00095006" w:rsidP="00AA05CA">
      <w:pPr>
        <w:pStyle w:val="texto0"/>
        <w:keepLines w:val="0"/>
        <w:pageBreakBefore/>
        <w:widowControl w:val="0"/>
        <w:spacing w:before="480"/>
        <w:rPr>
          <w:rFonts w:cs="Arial"/>
          <w:b/>
          <w:i/>
          <w:color w:val="auto"/>
        </w:rPr>
      </w:pPr>
      <w:r w:rsidRPr="004867D2">
        <w:rPr>
          <w:rFonts w:cs="Arial"/>
          <w:b/>
          <w:i/>
          <w:color w:val="auto"/>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658A0344" w14:textId="54A61132" w:rsidR="00095006" w:rsidRPr="004867D2"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r w:rsidRPr="004867D2">
        <w:rPr>
          <w:rFonts w:ascii="Arial" w:hAnsi="Arial" w:cs="Arial"/>
          <w:b/>
          <w:i w:val="0"/>
          <w:smallCaps/>
          <w:color w:val="auto"/>
          <w:sz w:val="22"/>
          <w:szCs w:val="22"/>
        </w:rPr>
        <w:br/>
        <w:t xml:space="preserve">durante </w:t>
      </w:r>
      <w:r w:rsidR="00FB487A">
        <w:rPr>
          <w:rFonts w:ascii="Arial" w:hAnsi="Arial" w:cs="Arial"/>
          <w:b/>
          <w:i w:val="0"/>
          <w:smallCaps/>
          <w:color w:val="auto"/>
          <w:sz w:val="22"/>
          <w:szCs w:val="22"/>
        </w:rPr>
        <w:t>agost</w:t>
      </w:r>
      <w:r w:rsidR="003B3DCE">
        <w:rPr>
          <w:rFonts w:ascii="Arial" w:hAnsi="Arial" w:cs="Arial"/>
          <w:b/>
          <w:i w:val="0"/>
          <w:smallCaps/>
          <w:color w:val="auto"/>
          <w:sz w:val="22"/>
          <w:szCs w:val="22"/>
        </w:rPr>
        <w:t>o</w:t>
      </w:r>
      <w:r w:rsidR="004867D2">
        <w:rPr>
          <w:rFonts w:ascii="Arial" w:hAnsi="Arial" w:cs="Arial"/>
          <w:b/>
          <w:i w:val="0"/>
          <w:color w:val="auto"/>
          <w:position w:val="2"/>
          <w:sz w:val="22"/>
          <w:szCs w:val="22"/>
          <w:vertAlign w:val="superscript"/>
        </w:rPr>
        <w:t>p</w:t>
      </w:r>
      <w:r w:rsidRPr="004867D2">
        <w:rPr>
          <w:rFonts w:ascii="Arial" w:hAnsi="Arial" w:cs="Arial"/>
          <w:b/>
          <w:i w:val="0"/>
          <w:smallCaps/>
          <w:color w:val="auto"/>
          <w:position w:val="2"/>
          <w:sz w:val="22"/>
          <w:szCs w:val="22"/>
          <w:vertAlign w:val="superscript"/>
        </w:rPr>
        <w:t>/</w:t>
      </w:r>
      <w:r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w:t>
      </w:r>
      <w:r w:rsidR="000B01F4">
        <w:rPr>
          <w:rFonts w:ascii="Arial" w:hAnsi="Arial" w:cs="Arial"/>
          <w:b/>
          <w:i w:val="0"/>
          <w:smallCaps/>
          <w:color w:val="auto"/>
          <w:sz w:val="22"/>
          <w:szCs w:val="22"/>
        </w:rPr>
        <w:t>1</w:t>
      </w:r>
    </w:p>
    <w:p w14:paraId="7AAC36D2" w14:textId="77777777"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 respecto al mismo mes del año anterior)</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FB487A" w:rsidRPr="002F45F6" w14:paraId="40EB1C7F" w14:textId="77777777" w:rsidTr="00FB487A">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FB487A" w:rsidRPr="006908C7" w:rsidRDefault="00FB487A" w:rsidP="00FB487A">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FB487A" w:rsidRPr="006908C7" w:rsidRDefault="00FB487A" w:rsidP="00FB487A">
            <w:pPr>
              <w:snapToGrid w:val="0"/>
              <w:spacing w:before="20" w:after="20"/>
              <w:ind w:left="-106"/>
              <w:jc w:val="left"/>
              <w:rPr>
                <w:b/>
                <w:sz w:val="16"/>
                <w:szCs w:val="16"/>
                <w:lang w:val="es-MX" w:eastAsia="es-MX"/>
              </w:rPr>
            </w:pPr>
            <w:r w:rsidRPr="006908C7">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10DBED52" w:rsidR="00FB487A" w:rsidRPr="003B3DCE" w:rsidRDefault="00FB487A" w:rsidP="00FB487A">
            <w:pPr>
              <w:tabs>
                <w:tab w:val="decimal" w:pos="486"/>
              </w:tabs>
              <w:jc w:val="left"/>
              <w:rPr>
                <w:b/>
                <w:bCs/>
                <w:color w:val="000000"/>
                <w:sz w:val="16"/>
                <w:szCs w:val="16"/>
                <w:lang w:val="es-MX" w:eastAsia="es-MX"/>
              </w:rPr>
            </w:pPr>
            <w:r>
              <w:rPr>
                <w:b/>
                <w:bCs/>
                <w:color w:val="000000"/>
                <w:sz w:val="16"/>
                <w:szCs w:val="16"/>
              </w:rPr>
              <w:t>3.9</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178FB2AB" w:rsidR="00FB487A" w:rsidRPr="003B3DCE" w:rsidRDefault="00FB487A" w:rsidP="00FB487A">
            <w:pPr>
              <w:tabs>
                <w:tab w:val="decimal" w:pos="473"/>
              </w:tabs>
              <w:jc w:val="left"/>
              <w:rPr>
                <w:b/>
                <w:bCs/>
                <w:color w:val="000000"/>
                <w:sz w:val="16"/>
                <w:szCs w:val="16"/>
              </w:rPr>
            </w:pPr>
            <w:r>
              <w:rPr>
                <w:b/>
                <w:bCs/>
                <w:color w:val="000000"/>
                <w:sz w:val="16"/>
                <w:szCs w:val="16"/>
              </w:rPr>
              <w:t>5.4</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6264B26F" w:rsidR="00FB487A" w:rsidRPr="003B3DCE" w:rsidRDefault="00FB487A" w:rsidP="00FB487A">
            <w:pPr>
              <w:tabs>
                <w:tab w:val="left" w:pos="54"/>
                <w:tab w:val="decimal" w:pos="463"/>
              </w:tabs>
              <w:jc w:val="left"/>
              <w:rPr>
                <w:b/>
                <w:bCs/>
                <w:color w:val="000000"/>
                <w:sz w:val="16"/>
                <w:szCs w:val="16"/>
              </w:rPr>
            </w:pPr>
            <w:r>
              <w:rPr>
                <w:b/>
                <w:bCs/>
                <w:color w:val="000000"/>
                <w:sz w:val="16"/>
                <w:szCs w:val="16"/>
              </w:rPr>
              <w:tab/>
              <w:t>(-)</w:t>
            </w:r>
            <w:r>
              <w:rPr>
                <w:b/>
                <w:bCs/>
                <w:color w:val="000000"/>
                <w:sz w:val="16"/>
                <w:szCs w:val="16"/>
              </w:rPr>
              <w:tab/>
              <w:t>2.3</w:t>
            </w:r>
          </w:p>
        </w:tc>
      </w:tr>
      <w:tr w:rsidR="00FB487A" w:rsidRPr="002F45F6" w14:paraId="137F3214"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FB487A" w:rsidRPr="004867D2" w:rsidRDefault="00FB487A" w:rsidP="00FB487A">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271BF5C9" w:rsidR="00FB487A" w:rsidRPr="003B3DCE" w:rsidRDefault="00FB487A" w:rsidP="00FB487A">
            <w:pPr>
              <w:tabs>
                <w:tab w:val="decimal" w:pos="486"/>
              </w:tabs>
              <w:jc w:val="left"/>
              <w:rPr>
                <w:color w:val="000000"/>
                <w:sz w:val="16"/>
                <w:szCs w:val="16"/>
              </w:rPr>
            </w:pPr>
            <w:r>
              <w:rPr>
                <w:color w:val="000000"/>
                <w:sz w:val="16"/>
                <w:szCs w:val="16"/>
              </w:rPr>
              <w:t>4.3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7983373C" w:rsidR="00FB487A" w:rsidRPr="003B3DCE" w:rsidRDefault="00FB487A" w:rsidP="00FB487A">
            <w:pPr>
              <w:tabs>
                <w:tab w:val="decimal" w:pos="473"/>
              </w:tabs>
              <w:jc w:val="left"/>
              <w:rPr>
                <w:color w:val="000000"/>
                <w:sz w:val="16"/>
                <w:szCs w:val="16"/>
              </w:rPr>
            </w:pPr>
            <w:r>
              <w:rPr>
                <w:color w:val="000000"/>
                <w:sz w:val="16"/>
                <w:szCs w:val="16"/>
              </w:rPr>
              <w:t>6.0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0698C42A" w:rsidR="00FB487A" w:rsidRPr="003B3DCE" w:rsidRDefault="00FB487A" w:rsidP="00FB487A">
            <w:pPr>
              <w:tabs>
                <w:tab w:val="decimal" w:pos="463"/>
              </w:tabs>
              <w:jc w:val="left"/>
              <w:rPr>
                <w:color w:val="000000"/>
                <w:sz w:val="16"/>
                <w:szCs w:val="16"/>
              </w:rPr>
            </w:pPr>
            <w:r>
              <w:rPr>
                <w:color w:val="000000"/>
                <w:sz w:val="16"/>
                <w:szCs w:val="16"/>
              </w:rPr>
              <w:t>0.0</w:t>
            </w:r>
          </w:p>
        </w:tc>
      </w:tr>
      <w:tr w:rsidR="00FB487A" w:rsidRPr="002F45F6" w14:paraId="448ECA6E"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FB487A" w:rsidRPr="004867D2" w:rsidRDefault="00FB487A" w:rsidP="00FB487A">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7588C68B" w:rsidR="00FB487A" w:rsidRPr="003B3DCE" w:rsidRDefault="00FB487A" w:rsidP="00FB487A">
            <w:pPr>
              <w:tabs>
                <w:tab w:val="decimal" w:pos="486"/>
              </w:tabs>
              <w:jc w:val="left"/>
              <w:rPr>
                <w:color w:val="000000"/>
                <w:sz w:val="16"/>
                <w:szCs w:val="16"/>
              </w:rPr>
            </w:pPr>
            <w:r>
              <w:rPr>
                <w:color w:val="000000"/>
                <w:sz w:val="16"/>
                <w:szCs w:val="16"/>
              </w:rPr>
              <w:t>2.1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775E8B80" w:rsidR="00FB487A" w:rsidRPr="003B3DCE" w:rsidRDefault="00FB487A" w:rsidP="00FB487A">
            <w:pPr>
              <w:tabs>
                <w:tab w:val="decimal" w:pos="473"/>
              </w:tabs>
              <w:jc w:val="left"/>
              <w:rPr>
                <w:color w:val="000000"/>
                <w:sz w:val="16"/>
                <w:szCs w:val="16"/>
              </w:rPr>
            </w:pPr>
            <w:r>
              <w:rPr>
                <w:color w:val="000000"/>
                <w:sz w:val="16"/>
                <w:szCs w:val="16"/>
              </w:rPr>
              <w:t>4.6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3BC1E9E5"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1.7</w:t>
            </w:r>
          </w:p>
        </w:tc>
      </w:tr>
      <w:tr w:rsidR="00FB487A" w:rsidRPr="002F45F6" w14:paraId="0561811F"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FB487A" w:rsidRPr="004867D2" w:rsidRDefault="00FB487A" w:rsidP="00FB487A">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2EC7A84E" w:rsidR="00FB487A" w:rsidRPr="003B3DCE" w:rsidRDefault="00FB487A" w:rsidP="00FB487A">
            <w:pPr>
              <w:tabs>
                <w:tab w:val="decimal" w:pos="486"/>
              </w:tabs>
              <w:jc w:val="left"/>
              <w:rPr>
                <w:color w:val="000000"/>
                <w:sz w:val="16"/>
                <w:szCs w:val="16"/>
              </w:rPr>
            </w:pPr>
            <w:r>
              <w:rPr>
                <w:color w:val="000000"/>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3C9078ED" w:rsidR="00FB487A" w:rsidRPr="003B3DCE" w:rsidRDefault="00FB487A" w:rsidP="00FB487A">
            <w:pPr>
              <w:tabs>
                <w:tab w:val="decimal" w:pos="591"/>
              </w:tabs>
              <w:jc w:val="left"/>
              <w:rPr>
                <w:color w:val="000000"/>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67954C0A"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3.1</w:t>
            </w:r>
          </w:p>
        </w:tc>
      </w:tr>
      <w:tr w:rsidR="00FB487A" w:rsidRPr="002F45F6" w14:paraId="3DBCB6E7"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FB487A" w:rsidRPr="006908C7" w:rsidRDefault="00FB487A" w:rsidP="00FB487A">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FB487A" w:rsidRPr="006908C7" w:rsidRDefault="00FB487A" w:rsidP="00FB487A">
            <w:pPr>
              <w:snapToGrid w:val="0"/>
              <w:spacing w:before="20" w:after="20"/>
              <w:ind w:left="-96"/>
              <w:jc w:val="left"/>
              <w:rPr>
                <w:b/>
                <w:sz w:val="16"/>
                <w:szCs w:val="16"/>
                <w:lang w:val="es-MX" w:eastAsia="es-MX"/>
              </w:rPr>
            </w:pPr>
            <w:r w:rsidRPr="006908C7">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17903D16" w:rsidR="00FB487A" w:rsidRPr="003B3DCE" w:rsidRDefault="00FB487A" w:rsidP="00FB487A">
            <w:pPr>
              <w:tabs>
                <w:tab w:val="decimal" w:pos="486"/>
              </w:tabs>
              <w:jc w:val="left"/>
              <w:rPr>
                <w:b/>
                <w:bCs/>
                <w:color w:val="000000"/>
                <w:sz w:val="16"/>
                <w:szCs w:val="16"/>
              </w:rPr>
            </w:pPr>
            <w:r>
              <w:rPr>
                <w:b/>
                <w:bCs/>
                <w:color w:val="000000"/>
                <w:sz w:val="16"/>
                <w:szCs w:val="16"/>
              </w:rPr>
              <w:t>3.9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53C5EA96" w:rsidR="00FB487A" w:rsidRPr="003B3DCE" w:rsidRDefault="00FB487A" w:rsidP="00FB487A">
            <w:pPr>
              <w:tabs>
                <w:tab w:val="decimal" w:pos="473"/>
              </w:tabs>
              <w:jc w:val="left"/>
              <w:rPr>
                <w:b/>
                <w:bCs/>
                <w:color w:val="000000"/>
                <w:sz w:val="16"/>
                <w:szCs w:val="16"/>
              </w:rPr>
            </w:pPr>
            <w:r>
              <w:rPr>
                <w:b/>
                <w:bCs/>
                <w:color w:val="000000"/>
                <w:sz w:val="16"/>
                <w:szCs w:val="16"/>
              </w:rPr>
              <w:t>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570A3923" w:rsidR="00FB487A" w:rsidRPr="003B3DCE" w:rsidRDefault="00FB487A" w:rsidP="00FB487A">
            <w:pPr>
              <w:tabs>
                <w:tab w:val="left" w:pos="54"/>
                <w:tab w:val="decimal" w:pos="463"/>
              </w:tabs>
              <w:jc w:val="left"/>
              <w:rPr>
                <w:b/>
                <w:bCs/>
                <w:color w:val="000000"/>
                <w:sz w:val="16"/>
                <w:szCs w:val="16"/>
              </w:rPr>
            </w:pPr>
            <w:r>
              <w:rPr>
                <w:b/>
                <w:bCs/>
                <w:color w:val="000000"/>
                <w:sz w:val="16"/>
                <w:szCs w:val="16"/>
              </w:rPr>
              <w:tab/>
              <w:t>(-)</w:t>
            </w:r>
            <w:r>
              <w:rPr>
                <w:b/>
                <w:bCs/>
                <w:color w:val="000000"/>
                <w:sz w:val="16"/>
                <w:szCs w:val="16"/>
              </w:rPr>
              <w:tab/>
              <w:t>2.3</w:t>
            </w:r>
          </w:p>
        </w:tc>
      </w:tr>
      <w:tr w:rsidR="00FB487A" w:rsidRPr="002F45F6" w14:paraId="02A68EE1"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49D58AF7" w:rsidR="00FB487A" w:rsidRPr="003B3DCE" w:rsidRDefault="00FB487A" w:rsidP="00FB487A">
            <w:pPr>
              <w:tabs>
                <w:tab w:val="decimal" w:pos="486"/>
              </w:tabs>
              <w:jc w:val="left"/>
              <w:rPr>
                <w:color w:val="000000"/>
                <w:sz w:val="16"/>
                <w:szCs w:val="16"/>
              </w:rPr>
            </w:pPr>
            <w:r>
              <w:rPr>
                <w:color w:val="000000"/>
                <w:sz w:val="16"/>
                <w:szCs w:val="16"/>
              </w:rPr>
              <w:t>1.8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79121047" w:rsidR="00FB487A" w:rsidRPr="003B3DCE" w:rsidRDefault="00FB487A" w:rsidP="00FB487A">
            <w:pPr>
              <w:tabs>
                <w:tab w:val="decimal" w:pos="473"/>
              </w:tabs>
              <w:jc w:val="left"/>
              <w:rPr>
                <w:color w:val="000000"/>
                <w:sz w:val="16"/>
                <w:szCs w:val="16"/>
              </w:rPr>
            </w:pPr>
            <w:r>
              <w:rPr>
                <w:color w:val="000000"/>
                <w:sz w:val="16"/>
                <w:szCs w:val="16"/>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0DADAC3D"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1.5</w:t>
            </w:r>
          </w:p>
        </w:tc>
      </w:tr>
      <w:tr w:rsidR="00FB487A" w:rsidRPr="002F45F6" w14:paraId="0AA1E476"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0B812B22" w:rsidR="00FB487A" w:rsidRPr="003B3DCE" w:rsidRDefault="00FB487A" w:rsidP="00FB487A">
            <w:pPr>
              <w:tabs>
                <w:tab w:val="decimal" w:pos="486"/>
              </w:tabs>
              <w:jc w:val="left"/>
              <w:rPr>
                <w:color w:val="000000"/>
                <w:sz w:val="16"/>
                <w:szCs w:val="16"/>
              </w:rPr>
            </w:pPr>
            <w:r>
              <w:rPr>
                <w:color w:val="000000"/>
                <w:sz w:val="16"/>
                <w:szCs w:val="16"/>
              </w:rPr>
              <w:t>2.5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10566886" w:rsidR="00FB487A" w:rsidRPr="003B3DCE" w:rsidRDefault="00FB487A" w:rsidP="00FB487A">
            <w:pPr>
              <w:tabs>
                <w:tab w:val="decimal" w:pos="473"/>
              </w:tabs>
              <w:jc w:val="left"/>
              <w:rPr>
                <w:color w:val="000000"/>
                <w:sz w:val="16"/>
                <w:szCs w:val="16"/>
              </w:rPr>
            </w:pPr>
            <w:r>
              <w:rPr>
                <w:color w:val="000000"/>
                <w:sz w:val="16"/>
                <w:szCs w:val="16"/>
              </w:rPr>
              <w:t>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7BAC4AFC"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1.1</w:t>
            </w:r>
          </w:p>
        </w:tc>
      </w:tr>
      <w:tr w:rsidR="00FB487A" w:rsidRPr="002F45F6" w14:paraId="765BCA39"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236586C8" w:rsidR="00FB487A" w:rsidRPr="003B3DCE" w:rsidRDefault="00FB487A" w:rsidP="00FB487A">
            <w:pPr>
              <w:tabs>
                <w:tab w:val="decimal" w:pos="486"/>
              </w:tabs>
              <w:jc w:val="left"/>
              <w:rPr>
                <w:color w:val="000000"/>
                <w:sz w:val="16"/>
                <w:szCs w:val="16"/>
              </w:rPr>
            </w:pPr>
            <w:r>
              <w:rPr>
                <w:color w:val="000000"/>
                <w:sz w:val="16"/>
                <w:szCs w:val="16"/>
              </w:rPr>
              <w:t>9.2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08DE0F18" w:rsidR="00FB487A" w:rsidRPr="003B3DCE" w:rsidRDefault="00FB487A" w:rsidP="00FB487A">
            <w:pPr>
              <w:tabs>
                <w:tab w:val="decimal" w:pos="473"/>
              </w:tabs>
              <w:jc w:val="left"/>
              <w:rPr>
                <w:color w:val="000000"/>
                <w:sz w:val="16"/>
                <w:szCs w:val="16"/>
              </w:rPr>
            </w:pPr>
            <w:r>
              <w:rPr>
                <w:color w:val="000000"/>
                <w:sz w:val="16"/>
                <w:szCs w:val="16"/>
              </w:rPr>
              <w:t>26.5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751EE28A" w:rsidR="00FB487A" w:rsidRPr="003B3DCE" w:rsidRDefault="00FB487A" w:rsidP="00FB487A">
            <w:pPr>
              <w:tabs>
                <w:tab w:val="decimal" w:pos="463"/>
              </w:tabs>
              <w:jc w:val="left"/>
              <w:rPr>
                <w:color w:val="000000"/>
                <w:sz w:val="16"/>
                <w:szCs w:val="16"/>
              </w:rPr>
            </w:pPr>
            <w:r>
              <w:rPr>
                <w:color w:val="000000"/>
                <w:sz w:val="16"/>
                <w:szCs w:val="16"/>
              </w:rPr>
              <w:t>0.9</w:t>
            </w:r>
          </w:p>
        </w:tc>
      </w:tr>
      <w:tr w:rsidR="00FB487A" w:rsidRPr="002F45F6" w14:paraId="2E6362A4"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531E8133" w:rsidR="00FB487A" w:rsidRPr="003B3DCE" w:rsidRDefault="00FB487A" w:rsidP="00FB487A">
            <w:pPr>
              <w:tabs>
                <w:tab w:val="decimal" w:pos="486"/>
              </w:tabs>
              <w:jc w:val="left"/>
              <w:rPr>
                <w:color w:val="000000"/>
                <w:sz w:val="16"/>
                <w:szCs w:val="16"/>
              </w:rPr>
            </w:pPr>
            <w:r>
              <w:rPr>
                <w:color w:val="000000"/>
                <w:sz w:val="16"/>
                <w:szCs w:val="16"/>
              </w:rPr>
              <w:t>15.7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04DE0666" w:rsidR="00FB487A" w:rsidRPr="003B3DCE" w:rsidRDefault="00FB487A" w:rsidP="00FB487A">
            <w:pPr>
              <w:tabs>
                <w:tab w:val="decimal" w:pos="473"/>
              </w:tabs>
              <w:jc w:val="left"/>
              <w:rPr>
                <w:color w:val="000000"/>
                <w:sz w:val="16"/>
                <w:szCs w:val="16"/>
              </w:rPr>
            </w:pPr>
            <w:r>
              <w:rPr>
                <w:color w:val="000000"/>
                <w:sz w:val="16"/>
                <w:szCs w:val="16"/>
              </w:rPr>
              <w:t>19.3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54713E30" w:rsidR="00FB487A" w:rsidRPr="003B3DCE" w:rsidRDefault="00FB487A" w:rsidP="00FB487A">
            <w:pPr>
              <w:tabs>
                <w:tab w:val="decimal" w:pos="463"/>
              </w:tabs>
              <w:jc w:val="left"/>
              <w:rPr>
                <w:color w:val="000000"/>
                <w:sz w:val="16"/>
                <w:szCs w:val="16"/>
              </w:rPr>
            </w:pPr>
            <w:r>
              <w:rPr>
                <w:color w:val="000000"/>
                <w:sz w:val="16"/>
                <w:szCs w:val="16"/>
              </w:rPr>
              <w:t>2.5</w:t>
            </w:r>
          </w:p>
        </w:tc>
      </w:tr>
      <w:tr w:rsidR="00FB487A" w:rsidRPr="002F45F6" w14:paraId="233A0BC9"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0669600A" w:rsidR="00FB487A" w:rsidRPr="003B3DCE" w:rsidRDefault="00FB487A" w:rsidP="00FB487A">
            <w:pPr>
              <w:tabs>
                <w:tab w:val="left" w:pos="66"/>
                <w:tab w:val="decimal" w:pos="486"/>
              </w:tabs>
              <w:jc w:val="left"/>
              <w:rPr>
                <w:color w:val="000000"/>
                <w:sz w:val="16"/>
                <w:szCs w:val="16"/>
              </w:rPr>
            </w:pPr>
            <w:r>
              <w:rPr>
                <w:color w:val="000000"/>
                <w:sz w:val="16"/>
                <w:szCs w:val="16"/>
              </w:rPr>
              <w:tab/>
              <w:t>(-)</w:t>
            </w:r>
            <w:r>
              <w:rPr>
                <w:color w:val="000000"/>
                <w:sz w:val="16"/>
                <w:szCs w:val="16"/>
              </w:rPr>
              <w:tab/>
              <w:t>0.5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3B6B775A" w:rsidR="00FB487A" w:rsidRPr="003B3DCE" w:rsidRDefault="00FB487A" w:rsidP="00FB487A">
            <w:pPr>
              <w:tabs>
                <w:tab w:val="decimal" w:pos="473"/>
              </w:tabs>
              <w:jc w:val="left"/>
              <w:rPr>
                <w:color w:val="000000"/>
                <w:sz w:val="16"/>
                <w:szCs w:val="16"/>
              </w:rPr>
            </w:pPr>
            <w:r>
              <w:rPr>
                <w:color w:val="000000"/>
                <w:sz w:val="16"/>
                <w:szCs w:val="16"/>
              </w:rPr>
              <w:t>10.9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22B231F4" w:rsidR="00FB487A" w:rsidRPr="003B3DCE" w:rsidRDefault="00FB487A" w:rsidP="00FB487A">
            <w:pPr>
              <w:tabs>
                <w:tab w:val="decimal" w:pos="463"/>
              </w:tabs>
              <w:jc w:val="left"/>
              <w:rPr>
                <w:color w:val="000000"/>
                <w:sz w:val="16"/>
                <w:szCs w:val="16"/>
              </w:rPr>
            </w:pPr>
            <w:r>
              <w:rPr>
                <w:color w:val="000000"/>
                <w:sz w:val="16"/>
                <w:szCs w:val="16"/>
              </w:rPr>
              <w:t>8.6</w:t>
            </w:r>
          </w:p>
        </w:tc>
      </w:tr>
      <w:tr w:rsidR="00FB487A" w:rsidRPr="002F45F6" w14:paraId="5208CE1B"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FB487A" w:rsidRPr="004867D2" w:rsidRDefault="00FB487A" w:rsidP="00FB487A">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2A4C393B" w:rsidR="00FB487A" w:rsidRPr="003B3DCE" w:rsidRDefault="00FB487A" w:rsidP="00FB487A">
            <w:pPr>
              <w:tabs>
                <w:tab w:val="decimal" w:pos="486"/>
              </w:tabs>
              <w:jc w:val="left"/>
              <w:rPr>
                <w:color w:val="000000"/>
                <w:sz w:val="16"/>
                <w:szCs w:val="16"/>
              </w:rPr>
            </w:pPr>
            <w:r>
              <w:rPr>
                <w:color w:val="000000"/>
                <w:sz w:val="16"/>
                <w:szCs w:val="16"/>
              </w:rPr>
              <w:t>3.5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2C0A0A2A" w:rsidR="00FB487A" w:rsidRPr="003B3DCE" w:rsidRDefault="00FB487A" w:rsidP="00FB487A">
            <w:pPr>
              <w:tabs>
                <w:tab w:val="decimal" w:pos="473"/>
              </w:tabs>
              <w:jc w:val="left"/>
              <w:rPr>
                <w:color w:val="000000"/>
                <w:sz w:val="16"/>
                <w:szCs w:val="16"/>
              </w:rPr>
            </w:pPr>
            <w:r>
              <w:rPr>
                <w:color w:val="000000"/>
                <w:sz w:val="16"/>
                <w:szCs w:val="16"/>
              </w:rPr>
              <w:t>13.5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3AD8467D" w:rsidR="00FB487A" w:rsidRPr="003B3DCE" w:rsidRDefault="00FB487A" w:rsidP="00FB487A">
            <w:pPr>
              <w:tabs>
                <w:tab w:val="decimal" w:pos="463"/>
              </w:tabs>
              <w:jc w:val="left"/>
              <w:rPr>
                <w:color w:val="000000"/>
                <w:sz w:val="16"/>
                <w:szCs w:val="16"/>
              </w:rPr>
            </w:pPr>
            <w:r>
              <w:rPr>
                <w:color w:val="000000"/>
                <w:sz w:val="16"/>
                <w:szCs w:val="16"/>
              </w:rPr>
              <w:t>2.5</w:t>
            </w:r>
          </w:p>
        </w:tc>
      </w:tr>
      <w:tr w:rsidR="00FB487A" w:rsidRPr="002F45F6" w14:paraId="6E73DB34"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FB487A" w:rsidRPr="004867D2" w:rsidRDefault="00FB487A" w:rsidP="00FB487A">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3E9DA642" w:rsidR="00FB487A" w:rsidRPr="003B3DCE" w:rsidRDefault="00FB487A" w:rsidP="00FB487A">
            <w:pPr>
              <w:tabs>
                <w:tab w:val="decimal" w:pos="486"/>
              </w:tabs>
              <w:jc w:val="left"/>
              <w:rPr>
                <w:color w:val="000000"/>
                <w:sz w:val="16"/>
                <w:szCs w:val="16"/>
              </w:rPr>
            </w:pPr>
            <w:r>
              <w:rPr>
                <w:color w:val="000000"/>
                <w:sz w:val="16"/>
                <w:szCs w:val="16"/>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3B44F1EA" w:rsidR="00FB487A" w:rsidRPr="003B3DCE" w:rsidRDefault="00FB487A" w:rsidP="00FB487A">
            <w:pPr>
              <w:tabs>
                <w:tab w:val="decimal" w:pos="473"/>
              </w:tabs>
              <w:jc w:val="left"/>
              <w:rPr>
                <w:color w:val="000000"/>
                <w:sz w:val="16"/>
                <w:szCs w:val="16"/>
              </w:rPr>
            </w:pPr>
            <w:r>
              <w:rPr>
                <w:color w:val="000000"/>
                <w:sz w:val="16"/>
                <w:szCs w:val="16"/>
              </w:rPr>
              <w:t>4.7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572028D7" w:rsidR="00FB487A" w:rsidRPr="003B3DCE" w:rsidRDefault="00FB487A" w:rsidP="00FB487A">
            <w:pPr>
              <w:tabs>
                <w:tab w:val="decimal" w:pos="463"/>
              </w:tabs>
              <w:jc w:val="left"/>
              <w:rPr>
                <w:color w:val="000000"/>
                <w:sz w:val="16"/>
                <w:szCs w:val="16"/>
              </w:rPr>
            </w:pPr>
            <w:r>
              <w:rPr>
                <w:color w:val="000000"/>
                <w:sz w:val="16"/>
                <w:szCs w:val="16"/>
              </w:rPr>
              <w:t>1.8</w:t>
            </w:r>
          </w:p>
        </w:tc>
      </w:tr>
      <w:tr w:rsidR="00FB487A" w:rsidRPr="002F45F6" w14:paraId="4CF12556"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FB487A" w:rsidRPr="004867D2" w:rsidRDefault="00FB487A" w:rsidP="00FB487A">
            <w:pPr>
              <w:snapToGrid w:val="0"/>
              <w:spacing w:before="20" w:after="20"/>
              <w:ind w:left="-94"/>
              <w:jc w:val="left"/>
              <w:rPr>
                <w:sz w:val="16"/>
                <w:szCs w:val="16"/>
                <w:lang w:val="es-MX" w:eastAsia="es-MX"/>
              </w:rPr>
            </w:pPr>
            <w:r w:rsidRPr="004867D2">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27AA186D" w:rsidR="00FB487A" w:rsidRPr="003B3DCE" w:rsidRDefault="00FB487A" w:rsidP="00FB487A">
            <w:pPr>
              <w:tabs>
                <w:tab w:val="decimal" w:pos="486"/>
              </w:tabs>
              <w:jc w:val="left"/>
              <w:rPr>
                <w:color w:val="000000"/>
                <w:sz w:val="16"/>
                <w:szCs w:val="16"/>
              </w:rPr>
            </w:pPr>
            <w:r>
              <w:rPr>
                <w:color w:val="000000"/>
                <w:sz w:val="16"/>
                <w:szCs w:val="16"/>
              </w:rPr>
              <w:t>3.9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66FCC7A1" w:rsidR="00FB487A" w:rsidRPr="003B3DCE" w:rsidRDefault="00FB487A" w:rsidP="00FB487A">
            <w:pPr>
              <w:tabs>
                <w:tab w:val="decimal" w:pos="473"/>
              </w:tabs>
              <w:jc w:val="left"/>
              <w:rPr>
                <w:color w:val="000000"/>
                <w:sz w:val="16"/>
                <w:szCs w:val="16"/>
              </w:rPr>
            </w:pPr>
            <w:r>
              <w:rPr>
                <w:color w:val="000000"/>
                <w:sz w:val="16"/>
                <w:szCs w:val="16"/>
              </w:rPr>
              <w:t>9.7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7DCCDD55"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2.8</w:t>
            </w:r>
          </w:p>
        </w:tc>
      </w:tr>
      <w:tr w:rsidR="00FB487A" w:rsidRPr="002F45F6" w14:paraId="0419FE7E"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FB487A" w:rsidRPr="004867D2" w:rsidRDefault="00FB487A" w:rsidP="00FB487A">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2D9835A3" w:rsidR="00FB487A" w:rsidRPr="003B3DCE" w:rsidRDefault="00FB487A" w:rsidP="00FB487A">
            <w:pPr>
              <w:tabs>
                <w:tab w:val="decimal" w:pos="486"/>
              </w:tabs>
              <w:jc w:val="left"/>
              <w:rPr>
                <w:color w:val="000000"/>
                <w:sz w:val="16"/>
                <w:szCs w:val="16"/>
              </w:rPr>
            </w:pPr>
            <w:r>
              <w:rPr>
                <w:color w:val="000000"/>
                <w:sz w:val="16"/>
                <w:szCs w:val="16"/>
              </w:rPr>
              <w:t>13.4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34848CC1" w:rsidR="00FB487A" w:rsidRPr="003B3DCE" w:rsidRDefault="00FB487A" w:rsidP="00FB487A">
            <w:pPr>
              <w:tabs>
                <w:tab w:val="decimal" w:pos="473"/>
              </w:tabs>
              <w:jc w:val="left"/>
              <w:rPr>
                <w:color w:val="000000"/>
                <w:sz w:val="16"/>
                <w:szCs w:val="16"/>
              </w:rPr>
            </w:pPr>
            <w:r>
              <w:rPr>
                <w:color w:val="000000"/>
                <w:sz w:val="16"/>
                <w:szCs w:val="16"/>
              </w:rPr>
              <w:t>17.1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2F7CAE4D"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0.1</w:t>
            </w:r>
          </w:p>
        </w:tc>
      </w:tr>
      <w:tr w:rsidR="00FB487A" w:rsidRPr="002F45F6" w14:paraId="54B678E0"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FB487A" w:rsidRPr="004867D2" w:rsidRDefault="00FB487A" w:rsidP="00FB487A">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39C9AA16" w:rsidR="00FB487A" w:rsidRPr="003B3DCE" w:rsidRDefault="00FB487A" w:rsidP="00FB487A">
            <w:pPr>
              <w:tabs>
                <w:tab w:val="left" w:pos="66"/>
                <w:tab w:val="decimal" w:pos="486"/>
              </w:tabs>
              <w:jc w:val="left"/>
              <w:rPr>
                <w:color w:val="000000"/>
                <w:sz w:val="16"/>
                <w:szCs w:val="16"/>
              </w:rPr>
            </w:pPr>
            <w:r>
              <w:rPr>
                <w:color w:val="000000"/>
                <w:sz w:val="16"/>
                <w:szCs w:val="16"/>
              </w:rPr>
              <w:tab/>
              <w:t>(-)</w:t>
            </w:r>
            <w:r>
              <w:rPr>
                <w:color w:val="000000"/>
                <w:sz w:val="16"/>
                <w:szCs w:val="16"/>
              </w:rPr>
              <w:tab/>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6EA5796F" w:rsidR="00FB487A" w:rsidRPr="003B3DCE" w:rsidRDefault="00FB487A" w:rsidP="00FB487A">
            <w:pPr>
              <w:tabs>
                <w:tab w:val="left" w:pos="66"/>
                <w:tab w:val="decimal" w:pos="473"/>
              </w:tabs>
              <w:jc w:val="left"/>
              <w:rPr>
                <w:color w:val="000000"/>
                <w:sz w:val="16"/>
                <w:szCs w:val="16"/>
              </w:rPr>
            </w:pPr>
            <w:r>
              <w:rPr>
                <w:color w:val="000000"/>
                <w:sz w:val="16"/>
                <w:szCs w:val="16"/>
              </w:rPr>
              <w:tab/>
              <w:t>(-)</w:t>
            </w:r>
            <w:r>
              <w:rPr>
                <w:color w:val="000000"/>
                <w:sz w:val="16"/>
                <w:szCs w:val="16"/>
              </w:rPr>
              <w:tab/>
              <w:t>2.8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2B5491D3"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6.0</w:t>
            </w:r>
          </w:p>
        </w:tc>
      </w:tr>
      <w:tr w:rsidR="00FB487A" w:rsidRPr="002F45F6" w14:paraId="1D900A95"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45BE6262" w:rsidR="00FB487A" w:rsidRPr="003B3DCE" w:rsidRDefault="00FB487A" w:rsidP="00FB487A">
            <w:pPr>
              <w:tabs>
                <w:tab w:val="decimal" w:pos="486"/>
              </w:tabs>
              <w:jc w:val="left"/>
              <w:rPr>
                <w:color w:val="000000"/>
                <w:sz w:val="16"/>
                <w:szCs w:val="16"/>
              </w:rPr>
            </w:pPr>
            <w:r>
              <w:rPr>
                <w:color w:val="000000"/>
                <w:sz w:val="16"/>
                <w:szCs w:val="16"/>
              </w:rPr>
              <w:t>0.0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7BC4BB23" w:rsidR="00FB487A" w:rsidRPr="003B3DCE" w:rsidRDefault="00FB487A" w:rsidP="00FB487A">
            <w:pPr>
              <w:tabs>
                <w:tab w:val="decimal" w:pos="473"/>
              </w:tabs>
              <w:jc w:val="left"/>
              <w:rPr>
                <w:color w:val="000000"/>
                <w:sz w:val="16"/>
                <w:szCs w:val="16"/>
              </w:rPr>
            </w:pPr>
            <w:r>
              <w:rPr>
                <w:color w:val="000000"/>
                <w:sz w:val="16"/>
                <w:szCs w:val="16"/>
              </w:rPr>
              <w:t>3.0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355F5D68"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2.4</w:t>
            </w:r>
          </w:p>
        </w:tc>
      </w:tr>
      <w:tr w:rsidR="00FB487A" w:rsidRPr="002F45F6" w14:paraId="69CF12C9"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10A356BA" w:rsidR="00FB487A" w:rsidRPr="003B3DCE" w:rsidRDefault="00FB487A" w:rsidP="00FB487A">
            <w:pPr>
              <w:tabs>
                <w:tab w:val="decimal" w:pos="486"/>
              </w:tabs>
              <w:jc w:val="left"/>
              <w:rPr>
                <w:color w:val="000000"/>
                <w:sz w:val="16"/>
                <w:szCs w:val="16"/>
              </w:rPr>
            </w:pPr>
            <w:r>
              <w:rPr>
                <w:color w:val="000000"/>
                <w:sz w:val="16"/>
                <w:szCs w:val="16"/>
              </w:rPr>
              <w:t>6.6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4F51EB6B" w:rsidR="00FB487A" w:rsidRPr="003B3DCE" w:rsidRDefault="00FB487A" w:rsidP="00FB487A">
            <w:pPr>
              <w:tabs>
                <w:tab w:val="decimal" w:pos="473"/>
              </w:tabs>
              <w:jc w:val="left"/>
              <w:rPr>
                <w:color w:val="000000"/>
                <w:sz w:val="16"/>
                <w:szCs w:val="16"/>
              </w:rPr>
            </w:pPr>
            <w:r>
              <w:rPr>
                <w:color w:val="000000"/>
                <w:sz w:val="16"/>
                <w:szCs w:val="16"/>
              </w:rPr>
              <w:t>7.0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5DE0EFED"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3.3</w:t>
            </w:r>
          </w:p>
        </w:tc>
      </w:tr>
      <w:tr w:rsidR="00FB487A" w:rsidRPr="002F45F6" w14:paraId="7469AF34"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76B18464" w:rsidR="00FB487A" w:rsidRPr="003B3DCE" w:rsidRDefault="00FB487A" w:rsidP="00FB487A">
            <w:pPr>
              <w:tabs>
                <w:tab w:val="decimal" w:pos="486"/>
              </w:tabs>
              <w:jc w:val="left"/>
              <w:rPr>
                <w:color w:val="000000"/>
                <w:sz w:val="16"/>
                <w:szCs w:val="16"/>
              </w:rPr>
            </w:pPr>
            <w:r>
              <w:rPr>
                <w:color w:val="000000"/>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57BF00C5" w:rsidR="00FB487A" w:rsidRPr="003B3DCE" w:rsidRDefault="00FB487A" w:rsidP="00FB487A">
            <w:pPr>
              <w:tabs>
                <w:tab w:val="decimal" w:pos="473"/>
              </w:tabs>
              <w:jc w:val="left"/>
              <w:rPr>
                <w:color w:val="000000"/>
                <w:sz w:val="16"/>
                <w:szCs w:val="16"/>
              </w:rPr>
            </w:pPr>
            <w:r>
              <w:rPr>
                <w:color w:val="000000"/>
                <w:sz w:val="16"/>
                <w:szCs w:val="16"/>
              </w:rPr>
              <w:t>4.3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2D5AF5E4" w:rsidR="00FB487A" w:rsidRPr="003B3DCE" w:rsidRDefault="00FB487A" w:rsidP="00FB487A">
            <w:pPr>
              <w:tabs>
                <w:tab w:val="decimal" w:pos="463"/>
              </w:tabs>
              <w:jc w:val="left"/>
              <w:rPr>
                <w:color w:val="000000"/>
                <w:sz w:val="16"/>
                <w:szCs w:val="16"/>
              </w:rPr>
            </w:pPr>
            <w:r>
              <w:rPr>
                <w:color w:val="000000"/>
                <w:sz w:val="16"/>
                <w:szCs w:val="16"/>
              </w:rPr>
              <w:t>0.6</w:t>
            </w:r>
          </w:p>
        </w:tc>
      </w:tr>
      <w:tr w:rsidR="00FB487A" w:rsidRPr="002F45F6" w14:paraId="13A108B6"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039728E0" w:rsidR="00FB487A" w:rsidRPr="003B3DCE" w:rsidRDefault="00FB487A" w:rsidP="00FB487A">
            <w:pPr>
              <w:tabs>
                <w:tab w:val="decimal" w:pos="486"/>
              </w:tabs>
              <w:jc w:val="left"/>
              <w:rPr>
                <w:color w:val="000000"/>
                <w:sz w:val="16"/>
                <w:szCs w:val="16"/>
              </w:rPr>
            </w:pPr>
            <w:r>
              <w:rPr>
                <w:color w:val="000000"/>
                <w:sz w:val="16"/>
                <w:szCs w:val="16"/>
              </w:rPr>
              <w:t>6.7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1B81366A" w:rsidR="00FB487A" w:rsidRPr="003B3DCE" w:rsidRDefault="00FB487A" w:rsidP="00FB487A">
            <w:pPr>
              <w:tabs>
                <w:tab w:val="decimal" w:pos="473"/>
              </w:tabs>
              <w:jc w:val="left"/>
              <w:rPr>
                <w:color w:val="000000"/>
                <w:sz w:val="16"/>
                <w:szCs w:val="16"/>
              </w:rPr>
            </w:pPr>
            <w:r>
              <w:rPr>
                <w:color w:val="000000"/>
                <w:sz w:val="16"/>
                <w:szCs w:val="16"/>
              </w:rPr>
              <w:t>6.7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42A1C1B6"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2.1</w:t>
            </w:r>
          </w:p>
        </w:tc>
      </w:tr>
      <w:tr w:rsidR="00FB487A" w:rsidRPr="002F45F6" w14:paraId="697656C5"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79C7AA32" w:rsidR="00FB487A" w:rsidRPr="003B3DCE" w:rsidRDefault="00FB487A" w:rsidP="00FB487A">
            <w:pPr>
              <w:tabs>
                <w:tab w:val="decimal" w:pos="486"/>
              </w:tabs>
              <w:jc w:val="left"/>
              <w:rPr>
                <w:color w:val="000000"/>
                <w:sz w:val="16"/>
                <w:szCs w:val="16"/>
              </w:rPr>
            </w:pPr>
            <w:r>
              <w:rPr>
                <w:color w:val="000000"/>
                <w:sz w:val="16"/>
                <w:szCs w:val="16"/>
              </w:rPr>
              <w:t>4.9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5581EAC2" w:rsidR="00FB487A" w:rsidRPr="003B3DCE" w:rsidRDefault="00FB487A" w:rsidP="00FB487A">
            <w:pPr>
              <w:tabs>
                <w:tab w:val="decimal" w:pos="473"/>
              </w:tabs>
              <w:jc w:val="left"/>
              <w:rPr>
                <w:color w:val="000000"/>
                <w:sz w:val="16"/>
                <w:szCs w:val="16"/>
              </w:rPr>
            </w:pPr>
            <w:r>
              <w:rPr>
                <w:color w:val="000000"/>
                <w:sz w:val="16"/>
                <w:szCs w:val="16"/>
              </w:rPr>
              <w:t>7.4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277AC496"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3.0</w:t>
            </w:r>
          </w:p>
        </w:tc>
      </w:tr>
      <w:tr w:rsidR="00FB487A" w:rsidRPr="002F45F6" w14:paraId="7E94879D"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2BC504E1" w:rsidR="00FB487A" w:rsidRPr="003B3DCE" w:rsidRDefault="00FB487A" w:rsidP="00FB487A">
            <w:pPr>
              <w:tabs>
                <w:tab w:val="decimal" w:pos="486"/>
              </w:tabs>
              <w:jc w:val="left"/>
              <w:rPr>
                <w:color w:val="000000"/>
                <w:sz w:val="16"/>
                <w:szCs w:val="16"/>
              </w:rPr>
            </w:pPr>
            <w:r>
              <w:rPr>
                <w:color w:val="000000"/>
                <w:sz w:val="16"/>
                <w:szCs w:val="16"/>
              </w:rPr>
              <w:t>10.9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304F266D" w:rsidR="00FB487A" w:rsidRPr="003B3DCE" w:rsidRDefault="00FB487A" w:rsidP="00FB487A">
            <w:pPr>
              <w:tabs>
                <w:tab w:val="decimal" w:pos="473"/>
              </w:tabs>
              <w:jc w:val="left"/>
              <w:rPr>
                <w:color w:val="000000"/>
                <w:sz w:val="16"/>
                <w:szCs w:val="16"/>
              </w:rPr>
            </w:pPr>
            <w:r>
              <w:rPr>
                <w:color w:val="000000"/>
                <w:sz w:val="16"/>
                <w:szCs w:val="16"/>
              </w:rPr>
              <w:t>12.8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0EE74B73"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5.4</w:t>
            </w:r>
          </w:p>
        </w:tc>
      </w:tr>
      <w:tr w:rsidR="00FB487A" w:rsidRPr="002F45F6" w14:paraId="7FB23894"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FB487A" w:rsidRPr="004867D2" w:rsidRDefault="00FB487A" w:rsidP="00FB487A">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1A8E6101" w:rsidR="00FB487A" w:rsidRPr="003B3DCE" w:rsidRDefault="00FB487A" w:rsidP="00FB487A">
            <w:pPr>
              <w:tabs>
                <w:tab w:val="decimal" w:pos="486"/>
              </w:tabs>
              <w:jc w:val="left"/>
              <w:rPr>
                <w:color w:val="000000"/>
                <w:sz w:val="16"/>
                <w:szCs w:val="16"/>
              </w:rPr>
            </w:pPr>
            <w:r>
              <w:rPr>
                <w:color w:val="000000"/>
                <w:sz w:val="16"/>
                <w:szCs w:val="16"/>
              </w:rPr>
              <w:t>7.1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2DD6C362" w:rsidR="00FB487A" w:rsidRPr="003B3DCE" w:rsidRDefault="00FB487A" w:rsidP="00FB487A">
            <w:pPr>
              <w:tabs>
                <w:tab w:val="decimal" w:pos="473"/>
              </w:tabs>
              <w:jc w:val="left"/>
              <w:rPr>
                <w:color w:val="000000"/>
                <w:sz w:val="16"/>
                <w:szCs w:val="16"/>
              </w:rPr>
            </w:pPr>
            <w:r>
              <w:rPr>
                <w:color w:val="000000"/>
                <w:sz w:val="16"/>
                <w:szCs w:val="16"/>
              </w:rPr>
              <w:t>9.0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50F92A54"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2.0</w:t>
            </w:r>
          </w:p>
        </w:tc>
      </w:tr>
      <w:tr w:rsidR="00FB487A" w:rsidRPr="002F45F6" w14:paraId="55D44C97"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48A9E0DE" w:rsidR="00FB487A" w:rsidRPr="003B3DCE" w:rsidRDefault="00FB487A" w:rsidP="00FB487A">
            <w:pPr>
              <w:tabs>
                <w:tab w:val="decimal" w:pos="486"/>
              </w:tabs>
              <w:jc w:val="left"/>
              <w:rPr>
                <w:color w:val="000000"/>
                <w:sz w:val="16"/>
                <w:szCs w:val="16"/>
              </w:rPr>
            </w:pPr>
            <w:r>
              <w:rPr>
                <w:color w:val="000000"/>
                <w:sz w:val="16"/>
                <w:szCs w:val="16"/>
              </w:rPr>
              <w:t>8.8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6A2F5D6D" w:rsidR="00FB487A" w:rsidRPr="003B3DCE" w:rsidRDefault="00FB487A" w:rsidP="00FB487A">
            <w:pPr>
              <w:tabs>
                <w:tab w:val="decimal" w:pos="473"/>
              </w:tabs>
              <w:jc w:val="left"/>
              <w:rPr>
                <w:color w:val="000000"/>
                <w:sz w:val="16"/>
                <w:szCs w:val="16"/>
              </w:rPr>
            </w:pPr>
            <w:r>
              <w:rPr>
                <w:color w:val="000000"/>
                <w:sz w:val="16"/>
                <w:szCs w:val="16"/>
              </w:rPr>
              <w:t>8.9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18A1B2F7"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3.8</w:t>
            </w:r>
          </w:p>
        </w:tc>
      </w:tr>
      <w:tr w:rsidR="00FB487A" w:rsidRPr="002F45F6" w14:paraId="042ADE4D"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3A09F236" w:rsidR="00FB487A" w:rsidRPr="003B3DCE" w:rsidRDefault="00FB487A" w:rsidP="00FB487A">
            <w:pPr>
              <w:tabs>
                <w:tab w:val="decimal" w:pos="486"/>
              </w:tabs>
              <w:jc w:val="left"/>
              <w:rPr>
                <w:color w:val="000000"/>
                <w:sz w:val="16"/>
                <w:szCs w:val="16"/>
              </w:rPr>
            </w:pPr>
            <w:r>
              <w:rPr>
                <w:color w:val="000000"/>
                <w:sz w:val="16"/>
                <w:szCs w:val="16"/>
              </w:rPr>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069116D1" w:rsidR="00FB487A" w:rsidRPr="003B3DCE" w:rsidRDefault="00FB487A" w:rsidP="00FB487A">
            <w:pPr>
              <w:tabs>
                <w:tab w:val="decimal" w:pos="473"/>
              </w:tabs>
              <w:jc w:val="left"/>
              <w:rPr>
                <w:color w:val="000000"/>
                <w:sz w:val="16"/>
                <w:szCs w:val="16"/>
              </w:rPr>
            </w:pPr>
            <w:r>
              <w:rPr>
                <w:color w:val="000000"/>
                <w:sz w:val="16"/>
                <w:szCs w:val="16"/>
              </w:rPr>
              <w:t>0.9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63E668D5"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2.5</w:t>
            </w:r>
          </w:p>
        </w:tc>
      </w:tr>
      <w:tr w:rsidR="00FB487A" w:rsidRPr="002F45F6" w14:paraId="32764628" w14:textId="77777777" w:rsidTr="00FB48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45E92909" w:rsidR="00FB487A" w:rsidRPr="003B3DCE" w:rsidRDefault="00FB487A" w:rsidP="00FB487A">
            <w:pPr>
              <w:tabs>
                <w:tab w:val="decimal" w:pos="486"/>
              </w:tabs>
              <w:jc w:val="left"/>
              <w:rPr>
                <w:color w:val="000000"/>
                <w:sz w:val="16"/>
                <w:szCs w:val="16"/>
              </w:rPr>
            </w:pPr>
            <w:r>
              <w:rPr>
                <w:color w:val="000000"/>
                <w:sz w:val="16"/>
                <w:szCs w:val="16"/>
              </w:rPr>
              <w:t>8.2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29CE3416" w:rsidR="00FB487A" w:rsidRPr="003B3DCE" w:rsidRDefault="00FB487A" w:rsidP="00FB487A">
            <w:pPr>
              <w:tabs>
                <w:tab w:val="decimal" w:pos="473"/>
              </w:tabs>
              <w:jc w:val="left"/>
              <w:rPr>
                <w:color w:val="000000"/>
                <w:sz w:val="16"/>
                <w:szCs w:val="16"/>
              </w:rPr>
            </w:pPr>
            <w:r>
              <w:rPr>
                <w:color w:val="000000"/>
                <w:sz w:val="16"/>
                <w:szCs w:val="16"/>
              </w:rPr>
              <w:t>8.2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4285AC2C"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0.9</w:t>
            </w:r>
          </w:p>
        </w:tc>
      </w:tr>
      <w:tr w:rsidR="00FB487A" w:rsidRPr="002F45F6" w14:paraId="4C1EF3DA" w14:textId="77777777" w:rsidTr="00FB487A">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FB487A" w:rsidRPr="004867D2" w:rsidRDefault="00FB487A" w:rsidP="00FB487A">
            <w:pPr>
              <w:snapToGrid w:val="0"/>
              <w:spacing w:before="20" w:after="20"/>
              <w:ind w:left="-113" w:right="57"/>
              <w:jc w:val="right"/>
              <w:rPr>
                <w:sz w:val="16"/>
                <w:szCs w:val="16"/>
                <w:lang w:val="es-MX" w:eastAsia="es-MX"/>
              </w:rPr>
            </w:pPr>
            <w:r w:rsidRPr="004867D2">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FB487A" w:rsidRPr="004867D2" w:rsidRDefault="00FB487A" w:rsidP="00FB487A">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3A1E8550" w:rsidR="00FB487A" w:rsidRPr="003B3DCE" w:rsidRDefault="00FB487A" w:rsidP="00FB487A">
            <w:pPr>
              <w:tabs>
                <w:tab w:val="decimal" w:pos="486"/>
              </w:tabs>
              <w:jc w:val="left"/>
              <w:rPr>
                <w:color w:val="000000"/>
                <w:sz w:val="16"/>
                <w:szCs w:val="16"/>
              </w:rPr>
            </w:pPr>
            <w:r>
              <w:rPr>
                <w:color w:val="000000"/>
                <w:sz w:val="16"/>
                <w:szCs w:val="16"/>
              </w:rPr>
              <w:t>4.7</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08C75318" w:rsidR="00FB487A" w:rsidRPr="003B3DCE" w:rsidRDefault="00FB487A" w:rsidP="00FB487A">
            <w:pPr>
              <w:tabs>
                <w:tab w:val="decimal" w:pos="473"/>
              </w:tabs>
              <w:jc w:val="left"/>
              <w:rPr>
                <w:color w:val="000000"/>
                <w:sz w:val="16"/>
                <w:szCs w:val="16"/>
              </w:rPr>
            </w:pPr>
            <w:r>
              <w:rPr>
                <w:color w:val="000000"/>
                <w:sz w:val="16"/>
                <w:szCs w:val="16"/>
              </w:rPr>
              <w:t>6.8</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10CAA228" w:rsidR="00FB487A" w:rsidRPr="003B3DCE" w:rsidRDefault="00FB487A" w:rsidP="00FB487A">
            <w:pPr>
              <w:tabs>
                <w:tab w:val="left" w:pos="54"/>
                <w:tab w:val="decimal" w:pos="463"/>
              </w:tabs>
              <w:jc w:val="left"/>
              <w:rPr>
                <w:color w:val="000000"/>
                <w:sz w:val="16"/>
                <w:szCs w:val="16"/>
              </w:rPr>
            </w:pPr>
            <w:r>
              <w:rPr>
                <w:color w:val="000000"/>
                <w:sz w:val="16"/>
                <w:szCs w:val="16"/>
              </w:rPr>
              <w:tab/>
              <w:t>(-)</w:t>
            </w:r>
            <w:r>
              <w:rPr>
                <w:color w:val="000000"/>
                <w:sz w:val="16"/>
                <w:szCs w:val="16"/>
              </w:rPr>
              <w:tab/>
              <w:t>1.2</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04A59192"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salarios pagados a obreros.</w:t>
      </w:r>
    </w:p>
    <w:p w14:paraId="598A982F" w14:textId="2C4F189F"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D2B701A" w14:textId="5E60989F" w:rsidR="009E7BB5" w:rsidRDefault="00095006" w:rsidP="001B4785">
      <w:pPr>
        <w:pStyle w:val="p0"/>
        <w:keepLines w:val="0"/>
        <w:spacing w:before="0"/>
        <w:ind w:left="728" w:right="55" w:hanging="574"/>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415C2682" w14:textId="77777777" w:rsidR="005D7A99" w:rsidRPr="00C168B2" w:rsidRDefault="005D7A99" w:rsidP="005D7A99">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073E1A3A" w14:textId="77777777" w:rsidR="005D7A99" w:rsidRPr="00C168B2" w:rsidRDefault="005D7A99" w:rsidP="005D7A99">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C168B2"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C168B2" w:rsidRDefault="005D7A99" w:rsidP="006523F4">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0EFB9EBF" w:rsidR="005D7A99" w:rsidRPr="00C168B2" w:rsidRDefault="00FB487A" w:rsidP="00AD041B">
            <w:pPr>
              <w:tabs>
                <w:tab w:val="left" w:pos="993"/>
              </w:tabs>
              <w:snapToGrid w:val="0"/>
              <w:spacing w:before="60" w:after="60"/>
              <w:ind w:left="-113" w:right="-113"/>
              <w:jc w:val="center"/>
              <w:rPr>
                <w:sz w:val="16"/>
                <w:szCs w:val="16"/>
                <w:lang w:val="es-MX" w:eastAsia="es-MX"/>
              </w:rPr>
            </w:pPr>
            <w:r>
              <w:rPr>
                <w:sz w:val="16"/>
                <w:szCs w:val="16"/>
                <w:lang w:val="es-MX" w:eastAsia="es-MX"/>
              </w:rPr>
              <w:t>Agost</w:t>
            </w:r>
            <w:r w:rsidR="003B3DCE">
              <w:rPr>
                <w:sz w:val="16"/>
                <w:szCs w:val="16"/>
                <w:lang w:val="es-MX" w:eastAsia="es-MX"/>
              </w:rPr>
              <w:t>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C168B2" w:rsidRDefault="005D7A99" w:rsidP="006523F4">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EAA60E7" w14:textId="77777777" w:rsidR="005D7A99" w:rsidRPr="00C168B2" w:rsidRDefault="005D7A99" w:rsidP="006523F4">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5D7A99" w:rsidRPr="00C168B2"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C168B2"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39CFF3CB" w:rsidR="005D7A99" w:rsidRPr="00C168B2" w:rsidRDefault="005D7A99" w:rsidP="000B01F4">
            <w:pPr>
              <w:tabs>
                <w:tab w:val="left" w:pos="993"/>
              </w:tabs>
              <w:snapToGrid w:val="0"/>
              <w:spacing w:before="60" w:after="60"/>
              <w:jc w:val="center"/>
              <w:rPr>
                <w:sz w:val="16"/>
                <w:szCs w:val="16"/>
                <w:lang w:val="es-MX" w:eastAsia="es-MX"/>
              </w:rPr>
            </w:pPr>
            <w:r w:rsidRPr="00C168B2">
              <w:rPr>
                <w:sz w:val="16"/>
                <w:szCs w:val="16"/>
                <w:lang w:val="es-MX" w:eastAsia="es-MX"/>
              </w:rPr>
              <w:t>20</w:t>
            </w:r>
            <w:r w:rsidR="000B01F4">
              <w:rPr>
                <w:sz w:val="16"/>
                <w:szCs w:val="16"/>
                <w:lang w:val="es-MX" w:eastAsia="es-MX"/>
              </w:rPr>
              <w:t>20</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1C369A25" w:rsidR="005D7A99" w:rsidRPr="00C168B2" w:rsidRDefault="005D7A99" w:rsidP="000B01F4">
            <w:pPr>
              <w:snapToGrid w:val="0"/>
              <w:spacing w:before="60" w:after="60"/>
              <w:jc w:val="right"/>
              <w:rPr>
                <w:sz w:val="16"/>
                <w:szCs w:val="16"/>
                <w:lang w:val="es-MX" w:eastAsia="es-MX"/>
              </w:rPr>
            </w:pPr>
            <w:r w:rsidRPr="00C168B2">
              <w:rPr>
                <w:sz w:val="16"/>
                <w:szCs w:val="16"/>
                <w:lang w:val="es-MX" w:eastAsia="es-MX"/>
              </w:rPr>
              <w:t>20</w:t>
            </w:r>
            <w:r>
              <w:rPr>
                <w:sz w:val="16"/>
                <w:szCs w:val="16"/>
                <w:lang w:val="es-MX" w:eastAsia="es-MX"/>
              </w:rPr>
              <w:t>2</w:t>
            </w:r>
            <w:r w:rsidR="000B01F4">
              <w:rPr>
                <w:sz w:val="16"/>
                <w:szCs w:val="16"/>
                <w:lang w:val="es-MX" w:eastAsia="es-MX"/>
              </w:rPr>
              <w:t>1</w:t>
            </w:r>
            <w:r w:rsidRPr="00FA407B">
              <w:rPr>
                <w:sz w:val="16"/>
                <w:szCs w:val="16"/>
                <w:vertAlign w:val="superscript"/>
                <w:lang w:eastAsia="es-MX"/>
              </w:rPr>
              <w:t>p/</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C168B2" w:rsidRDefault="005D7A99" w:rsidP="006523F4">
            <w:pPr>
              <w:snapToGrid w:val="0"/>
              <w:spacing w:before="60" w:after="60"/>
              <w:jc w:val="center"/>
              <w:rPr>
                <w:sz w:val="16"/>
                <w:szCs w:val="16"/>
                <w:lang w:val="es-MX" w:eastAsia="es-MX"/>
              </w:rPr>
            </w:pPr>
          </w:p>
        </w:tc>
      </w:tr>
      <w:tr w:rsidR="00116F78" w:rsidRPr="00C168B2" w14:paraId="525B2FBF" w14:textId="77777777" w:rsidTr="00116F78">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116F78" w:rsidRPr="00C168B2" w:rsidRDefault="00116F78" w:rsidP="00116F78">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116F78" w:rsidRPr="00C168B2" w:rsidRDefault="00116F78" w:rsidP="00116F78">
            <w:pPr>
              <w:snapToGrid w:val="0"/>
              <w:spacing w:before="20" w:after="20"/>
              <w:ind w:left="-96"/>
              <w:jc w:val="left"/>
              <w:rPr>
                <w:b/>
                <w:sz w:val="16"/>
                <w:szCs w:val="16"/>
                <w:lang w:val="es-MX" w:eastAsia="es-MX"/>
              </w:rPr>
            </w:pPr>
            <w:r w:rsidRPr="00C168B2">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2BDE3847" w:rsidR="00116F78" w:rsidRPr="00254102" w:rsidRDefault="00116F78" w:rsidP="00116F78">
            <w:pPr>
              <w:tabs>
                <w:tab w:val="decimal" w:pos="302"/>
              </w:tabs>
              <w:jc w:val="left"/>
              <w:rPr>
                <w:b/>
                <w:bCs/>
                <w:color w:val="000000"/>
                <w:sz w:val="16"/>
                <w:szCs w:val="16"/>
                <w:lang w:val="es-MX" w:eastAsia="es-MX"/>
              </w:rPr>
            </w:pPr>
            <w:r>
              <w:rPr>
                <w:b/>
                <w:bCs/>
                <w:color w:val="000000"/>
                <w:sz w:val="16"/>
                <w:szCs w:val="16"/>
              </w:rPr>
              <w:t>72.1</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33F72899" w:rsidR="00116F78" w:rsidRPr="00254102" w:rsidRDefault="00116F78" w:rsidP="00116F78">
            <w:pPr>
              <w:tabs>
                <w:tab w:val="decimal" w:pos="302"/>
              </w:tabs>
              <w:jc w:val="left"/>
              <w:rPr>
                <w:b/>
                <w:bCs/>
                <w:color w:val="000000"/>
                <w:sz w:val="16"/>
                <w:szCs w:val="16"/>
              </w:rPr>
            </w:pPr>
            <w:r>
              <w:rPr>
                <w:b/>
                <w:bCs/>
                <w:color w:val="000000"/>
                <w:sz w:val="16"/>
                <w:szCs w:val="16"/>
              </w:rPr>
              <w:t>76.7</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64C0EDF5" w:rsidR="00116F78" w:rsidRPr="00254102" w:rsidRDefault="00116F78" w:rsidP="00116F78">
            <w:pPr>
              <w:tabs>
                <w:tab w:val="decimal" w:pos="340"/>
              </w:tabs>
              <w:jc w:val="left"/>
              <w:rPr>
                <w:b/>
                <w:bCs/>
                <w:color w:val="000000"/>
                <w:sz w:val="16"/>
                <w:szCs w:val="16"/>
              </w:rPr>
            </w:pPr>
            <w:r>
              <w:rPr>
                <w:b/>
                <w:bCs/>
                <w:color w:val="000000"/>
                <w:sz w:val="16"/>
                <w:szCs w:val="16"/>
              </w:rPr>
              <w:t>4.6</w:t>
            </w:r>
          </w:p>
        </w:tc>
      </w:tr>
      <w:tr w:rsidR="00116F78" w:rsidRPr="00C168B2" w14:paraId="182724CF" w14:textId="77777777" w:rsidTr="00116F78">
        <w:tc>
          <w:tcPr>
            <w:tcW w:w="708" w:type="dxa"/>
            <w:tcBorders>
              <w:top w:val="single" w:sz="4" w:space="0" w:color="C6D9F1"/>
              <w:bottom w:val="single" w:sz="4" w:space="0" w:color="C6D9F1"/>
            </w:tcBorders>
            <w:vAlign w:val="center"/>
            <w:hideMark/>
          </w:tcPr>
          <w:p w14:paraId="0F438423"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3546920A" w:rsidR="00116F78" w:rsidRPr="00254102" w:rsidRDefault="00116F78" w:rsidP="00116F78">
            <w:pPr>
              <w:tabs>
                <w:tab w:val="decimal" w:pos="302"/>
              </w:tabs>
              <w:jc w:val="left"/>
              <w:rPr>
                <w:bCs/>
                <w:color w:val="000000"/>
                <w:sz w:val="16"/>
                <w:szCs w:val="16"/>
                <w:lang w:val="es-MX" w:eastAsia="es-MX"/>
              </w:rPr>
            </w:pPr>
            <w:r>
              <w:rPr>
                <w:color w:val="000000"/>
                <w:sz w:val="16"/>
                <w:szCs w:val="16"/>
              </w:rPr>
              <w:t>72.0</w:t>
            </w:r>
          </w:p>
        </w:tc>
        <w:tc>
          <w:tcPr>
            <w:tcW w:w="769" w:type="dxa"/>
            <w:tcBorders>
              <w:top w:val="single" w:sz="4" w:space="0" w:color="C6D9F1"/>
              <w:bottom w:val="single" w:sz="4" w:space="0" w:color="C6D9F1"/>
              <w:right w:val="single" w:sz="6" w:space="0" w:color="1F497D" w:themeColor="text2"/>
            </w:tcBorders>
            <w:vAlign w:val="center"/>
          </w:tcPr>
          <w:p w14:paraId="4FA872D5" w14:textId="6959D1AF" w:rsidR="00116F78" w:rsidRPr="00254102" w:rsidRDefault="00116F78" w:rsidP="00116F78">
            <w:pPr>
              <w:tabs>
                <w:tab w:val="decimal" w:pos="302"/>
              </w:tabs>
              <w:jc w:val="left"/>
              <w:rPr>
                <w:bCs/>
                <w:color w:val="000000"/>
                <w:sz w:val="16"/>
                <w:szCs w:val="16"/>
              </w:rPr>
            </w:pPr>
            <w:r>
              <w:rPr>
                <w:color w:val="000000"/>
                <w:sz w:val="16"/>
                <w:szCs w:val="16"/>
              </w:rPr>
              <w:t>75.1</w:t>
            </w:r>
          </w:p>
        </w:tc>
        <w:tc>
          <w:tcPr>
            <w:tcW w:w="840" w:type="dxa"/>
            <w:tcBorders>
              <w:top w:val="single" w:sz="4" w:space="0" w:color="C6D9F1"/>
              <w:bottom w:val="single" w:sz="4" w:space="0" w:color="C6D9F1"/>
            </w:tcBorders>
            <w:vAlign w:val="center"/>
          </w:tcPr>
          <w:p w14:paraId="0C4A4434" w14:textId="3D6B17BA" w:rsidR="00116F78" w:rsidRPr="00254102" w:rsidRDefault="00116F78" w:rsidP="00116F78">
            <w:pPr>
              <w:tabs>
                <w:tab w:val="decimal" w:pos="340"/>
              </w:tabs>
              <w:jc w:val="left"/>
              <w:rPr>
                <w:bCs/>
                <w:color w:val="000000"/>
                <w:sz w:val="16"/>
                <w:szCs w:val="16"/>
              </w:rPr>
            </w:pPr>
            <w:r>
              <w:rPr>
                <w:color w:val="000000"/>
                <w:sz w:val="16"/>
                <w:szCs w:val="16"/>
              </w:rPr>
              <w:t>3.1</w:t>
            </w:r>
          </w:p>
        </w:tc>
      </w:tr>
      <w:tr w:rsidR="00116F78" w:rsidRPr="00C168B2" w14:paraId="6DBD7777" w14:textId="77777777" w:rsidTr="00116F78">
        <w:tc>
          <w:tcPr>
            <w:tcW w:w="708" w:type="dxa"/>
            <w:tcBorders>
              <w:top w:val="single" w:sz="4" w:space="0" w:color="C6D9F1"/>
              <w:bottom w:val="single" w:sz="4" w:space="0" w:color="C6D9F1"/>
            </w:tcBorders>
            <w:vAlign w:val="center"/>
            <w:hideMark/>
          </w:tcPr>
          <w:p w14:paraId="30BBC93B"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7878FA47" w:rsidR="00116F78" w:rsidRPr="00254102" w:rsidRDefault="00116F78" w:rsidP="00116F78">
            <w:pPr>
              <w:tabs>
                <w:tab w:val="decimal" w:pos="302"/>
              </w:tabs>
              <w:jc w:val="left"/>
              <w:rPr>
                <w:bCs/>
                <w:color w:val="000000"/>
                <w:sz w:val="16"/>
                <w:szCs w:val="16"/>
                <w:lang w:val="es-MX" w:eastAsia="es-MX"/>
              </w:rPr>
            </w:pPr>
            <w:r>
              <w:rPr>
                <w:color w:val="000000"/>
                <w:sz w:val="16"/>
                <w:szCs w:val="16"/>
              </w:rPr>
              <w:t>80.4</w:t>
            </w:r>
          </w:p>
        </w:tc>
        <w:tc>
          <w:tcPr>
            <w:tcW w:w="769" w:type="dxa"/>
            <w:tcBorders>
              <w:top w:val="single" w:sz="4" w:space="0" w:color="C6D9F1"/>
              <w:bottom w:val="single" w:sz="4" w:space="0" w:color="C6D9F1"/>
              <w:right w:val="single" w:sz="6" w:space="0" w:color="1F497D" w:themeColor="text2"/>
            </w:tcBorders>
            <w:vAlign w:val="center"/>
          </w:tcPr>
          <w:p w14:paraId="389FF9A7" w14:textId="5F4DAEA1" w:rsidR="00116F78" w:rsidRPr="00254102" w:rsidRDefault="00116F78" w:rsidP="00116F78">
            <w:pPr>
              <w:tabs>
                <w:tab w:val="decimal" w:pos="302"/>
              </w:tabs>
              <w:jc w:val="left"/>
              <w:rPr>
                <w:bCs/>
                <w:color w:val="000000"/>
                <w:sz w:val="16"/>
                <w:szCs w:val="16"/>
              </w:rPr>
            </w:pPr>
            <w:r>
              <w:rPr>
                <w:color w:val="000000"/>
                <w:sz w:val="16"/>
                <w:szCs w:val="16"/>
              </w:rPr>
              <w:t>82.9</w:t>
            </w:r>
          </w:p>
        </w:tc>
        <w:tc>
          <w:tcPr>
            <w:tcW w:w="840" w:type="dxa"/>
            <w:tcBorders>
              <w:top w:val="single" w:sz="4" w:space="0" w:color="C6D9F1"/>
              <w:bottom w:val="single" w:sz="4" w:space="0" w:color="C6D9F1"/>
            </w:tcBorders>
            <w:vAlign w:val="center"/>
          </w:tcPr>
          <w:p w14:paraId="6C394FF6" w14:textId="74B5F112" w:rsidR="00116F78" w:rsidRPr="00254102" w:rsidRDefault="00116F78" w:rsidP="00116F78">
            <w:pPr>
              <w:tabs>
                <w:tab w:val="decimal" w:pos="340"/>
              </w:tabs>
              <w:jc w:val="left"/>
              <w:rPr>
                <w:bCs/>
                <w:color w:val="000000"/>
                <w:sz w:val="16"/>
                <w:szCs w:val="16"/>
              </w:rPr>
            </w:pPr>
            <w:r>
              <w:rPr>
                <w:color w:val="000000"/>
                <w:sz w:val="16"/>
                <w:szCs w:val="16"/>
              </w:rPr>
              <w:t>2.5</w:t>
            </w:r>
          </w:p>
        </w:tc>
      </w:tr>
      <w:tr w:rsidR="00116F78" w:rsidRPr="00C168B2" w14:paraId="53202A21" w14:textId="77777777" w:rsidTr="00116F78">
        <w:tc>
          <w:tcPr>
            <w:tcW w:w="708" w:type="dxa"/>
            <w:tcBorders>
              <w:top w:val="single" w:sz="4" w:space="0" w:color="C6D9F1"/>
              <w:bottom w:val="single" w:sz="4" w:space="0" w:color="C6D9F1"/>
            </w:tcBorders>
            <w:vAlign w:val="center"/>
            <w:hideMark/>
          </w:tcPr>
          <w:p w14:paraId="189D0E0A"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09860866" w:rsidR="00116F78" w:rsidRPr="00254102" w:rsidRDefault="00116F78" w:rsidP="00116F78">
            <w:pPr>
              <w:tabs>
                <w:tab w:val="decimal" w:pos="302"/>
              </w:tabs>
              <w:jc w:val="left"/>
              <w:rPr>
                <w:bCs/>
                <w:color w:val="000000"/>
                <w:sz w:val="16"/>
                <w:szCs w:val="16"/>
                <w:lang w:val="es-MX" w:eastAsia="es-MX"/>
              </w:rPr>
            </w:pPr>
            <w:r>
              <w:rPr>
                <w:color w:val="000000"/>
                <w:sz w:val="16"/>
                <w:szCs w:val="16"/>
              </w:rPr>
              <w:t>61.5</w:t>
            </w:r>
          </w:p>
        </w:tc>
        <w:tc>
          <w:tcPr>
            <w:tcW w:w="769" w:type="dxa"/>
            <w:tcBorders>
              <w:top w:val="single" w:sz="4" w:space="0" w:color="C6D9F1"/>
              <w:bottom w:val="single" w:sz="4" w:space="0" w:color="C6D9F1"/>
              <w:right w:val="single" w:sz="6" w:space="0" w:color="1F497D" w:themeColor="text2"/>
            </w:tcBorders>
            <w:vAlign w:val="center"/>
          </w:tcPr>
          <w:p w14:paraId="4A4EA92C" w14:textId="7F73D99D" w:rsidR="00116F78" w:rsidRPr="00254102" w:rsidRDefault="00116F78" w:rsidP="00116F78">
            <w:pPr>
              <w:tabs>
                <w:tab w:val="decimal" w:pos="302"/>
              </w:tabs>
              <w:jc w:val="left"/>
              <w:rPr>
                <w:bCs/>
                <w:color w:val="000000"/>
                <w:sz w:val="16"/>
                <w:szCs w:val="16"/>
              </w:rPr>
            </w:pPr>
            <w:r>
              <w:rPr>
                <w:color w:val="000000"/>
                <w:sz w:val="16"/>
                <w:szCs w:val="16"/>
              </w:rPr>
              <w:t>78.3</w:t>
            </w:r>
          </w:p>
        </w:tc>
        <w:tc>
          <w:tcPr>
            <w:tcW w:w="840" w:type="dxa"/>
            <w:tcBorders>
              <w:top w:val="single" w:sz="4" w:space="0" w:color="C6D9F1"/>
              <w:bottom w:val="single" w:sz="4" w:space="0" w:color="C6D9F1"/>
            </w:tcBorders>
            <w:vAlign w:val="center"/>
          </w:tcPr>
          <w:p w14:paraId="46BCC6B7" w14:textId="64EE1221" w:rsidR="00116F78" w:rsidRPr="00254102" w:rsidRDefault="00116F78" w:rsidP="00116F78">
            <w:pPr>
              <w:tabs>
                <w:tab w:val="decimal" w:pos="340"/>
              </w:tabs>
              <w:jc w:val="left"/>
              <w:rPr>
                <w:bCs/>
                <w:color w:val="000000"/>
                <w:sz w:val="16"/>
                <w:szCs w:val="16"/>
              </w:rPr>
            </w:pPr>
            <w:r>
              <w:rPr>
                <w:color w:val="000000"/>
                <w:sz w:val="16"/>
                <w:szCs w:val="16"/>
              </w:rPr>
              <w:t>16.8</w:t>
            </w:r>
          </w:p>
        </w:tc>
      </w:tr>
      <w:tr w:rsidR="00116F78" w:rsidRPr="00C168B2" w14:paraId="180EAF40" w14:textId="77777777" w:rsidTr="00116F78">
        <w:tc>
          <w:tcPr>
            <w:tcW w:w="708" w:type="dxa"/>
            <w:tcBorders>
              <w:top w:val="single" w:sz="4" w:space="0" w:color="C6D9F1"/>
              <w:bottom w:val="single" w:sz="4" w:space="0" w:color="C6D9F1"/>
            </w:tcBorders>
            <w:vAlign w:val="center"/>
            <w:hideMark/>
          </w:tcPr>
          <w:p w14:paraId="13FD110D"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055A536C" w:rsidR="00116F78" w:rsidRPr="00254102" w:rsidRDefault="00116F78" w:rsidP="00116F78">
            <w:pPr>
              <w:tabs>
                <w:tab w:val="decimal" w:pos="302"/>
              </w:tabs>
              <w:jc w:val="left"/>
              <w:rPr>
                <w:bCs/>
                <w:color w:val="000000"/>
                <w:sz w:val="16"/>
                <w:szCs w:val="16"/>
                <w:lang w:val="es-MX" w:eastAsia="es-MX"/>
              </w:rPr>
            </w:pPr>
            <w:r>
              <w:rPr>
                <w:color w:val="000000"/>
                <w:sz w:val="16"/>
                <w:szCs w:val="16"/>
              </w:rPr>
              <w:t>75.3</w:t>
            </w:r>
          </w:p>
        </w:tc>
        <w:tc>
          <w:tcPr>
            <w:tcW w:w="769" w:type="dxa"/>
            <w:tcBorders>
              <w:top w:val="single" w:sz="4" w:space="0" w:color="C6D9F1"/>
              <w:bottom w:val="single" w:sz="4" w:space="0" w:color="C6D9F1"/>
              <w:right w:val="single" w:sz="6" w:space="0" w:color="1F497D" w:themeColor="text2"/>
            </w:tcBorders>
            <w:vAlign w:val="center"/>
          </w:tcPr>
          <w:p w14:paraId="50799976" w14:textId="10F0DF6F" w:rsidR="00116F78" w:rsidRPr="00254102" w:rsidRDefault="00116F78" w:rsidP="00116F78">
            <w:pPr>
              <w:tabs>
                <w:tab w:val="decimal" w:pos="302"/>
              </w:tabs>
              <w:jc w:val="left"/>
              <w:rPr>
                <w:bCs/>
                <w:color w:val="000000"/>
                <w:sz w:val="16"/>
                <w:szCs w:val="16"/>
              </w:rPr>
            </w:pPr>
            <w:r>
              <w:rPr>
                <w:color w:val="000000"/>
                <w:sz w:val="16"/>
                <w:szCs w:val="16"/>
              </w:rPr>
              <w:t>79.5</w:t>
            </w:r>
          </w:p>
        </w:tc>
        <w:tc>
          <w:tcPr>
            <w:tcW w:w="840" w:type="dxa"/>
            <w:tcBorders>
              <w:top w:val="single" w:sz="4" w:space="0" w:color="C6D9F1"/>
              <w:bottom w:val="single" w:sz="4" w:space="0" w:color="C6D9F1"/>
            </w:tcBorders>
            <w:vAlign w:val="center"/>
          </w:tcPr>
          <w:p w14:paraId="640111A4" w14:textId="55AE9A0D" w:rsidR="00116F78" w:rsidRPr="00254102" w:rsidRDefault="00116F78" w:rsidP="00116F78">
            <w:pPr>
              <w:tabs>
                <w:tab w:val="decimal" w:pos="340"/>
              </w:tabs>
              <w:jc w:val="left"/>
              <w:rPr>
                <w:bCs/>
                <w:color w:val="000000"/>
                <w:sz w:val="16"/>
                <w:szCs w:val="16"/>
              </w:rPr>
            </w:pPr>
            <w:r>
              <w:rPr>
                <w:color w:val="000000"/>
                <w:sz w:val="16"/>
                <w:szCs w:val="16"/>
              </w:rPr>
              <w:t>4.2</w:t>
            </w:r>
          </w:p>
        </w:tc>
      </w:tr>
      <w:tr w:rsidR="00116F78" w:rsidRPr="00C168B2" w14:paraId="08D6B7A3" w14:textId="77777777" w:rsidTr="00116F78">
        <w:tc>
          <w:tcPr>
            <w:tcW w:w="708" w:type="dxa"/>
            <w:tcBorders>
              <w:top w:val="single" w:sz="4" w:space="0" w:color="C6D9F1"/>
              <w:bottom w:val="single" w:sz="4" w:space="0" w:color="C6D9F1"/>
            </w:tcBorders>
            <w:vAlign w:val="center"/>
            <w:hideMark/>
          </w:tcPr>
          <w:p w14:paraId="0665E898"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39873E76" w:rsidR="00116F78" w:rsidRPr="00254102" w:rsidRDefault="00116F78" w:rsidP="00116F78">
            <w:pPr>
              <w:tabs>
                <w:tab w:val="decimal" w:pos="302"/>
              </w:tabs>
              <w:jc w:val="left"/>
              <w:rPr>
                <w:bCs/>
                <w:color w:val="000000"/>
                <w:sz w:val="16"/>
                <w:szCs w:val="16"/>
                <w:lang w:val="es-MX" w:eastAsia="es-MX"/>
              </w:rPr>
            </w:pPr>
            <w:r>
              <w:rPr>
                <w:color w:val="000000"/>
                <w:sz w:val="16"/>
                <w:szCs w:val="16"/>
              </w:rPr>
              <w:t>50.2</w:t>
            </w:r>
          </w:p>
        </w:tc>
        <w:tc>
          <w:tcPr>
            <w:tcW w:w="769" w:type="dxa"/>
            <w:tcBorders>
              <w:top w:val="single" w:sz="4" w:space="0" w:color="C6D9F1"/>
              <w:bottom w:val="single" w:sz="4" w:space="0" w:color="C6D9F1"/>
              <w:right w:val="single" w:sz="6" w:space="0" w:color="1F497D" w:themeColor="text2"/>
            </w:tcBorders>
            <w:vAlign w:val="center"/>
          </w:tcPr>
          <w:p w14:paraId="61EB4DA2" w14:textId="4467BBC9" w:rsidR="00116F78" w:rsidRPr="00254102" w:rsidRDefault="00116F78" w:rsidP="00116F78">
            <w:pPr>
              <w:tabs>
                <w:tab w:val="decimal" w:pos="302"/>
              </w:tabs>
              <w:jc w:val="left"/>
              <w:rPr>
                <w:bCs/>
                <w:color w:val="000000"/>
                <w:sz w:val="16"/>
                <w:szCs w:val="16"/>
              </w:rPr>
            </w:pPr>
            <w:r>
              <w:rPr>
                <w:color w:val="000000"/>
                <w:sz w:val="16"/>
                <w:szCs w:val="16"/>
              </w:rPr>
              <w:t>68.0</w:t>
            </w:r>
          </w:p>
        </w:tc>
        <w:tc>
          <w:tcPr>
            <w:tcW w:w="840" w:type="dxa"/>
            <w:tcBorders>
              <w:top w:val="single" w:sz="4" w:space="0" w:color="C6D9F1"/>
              <w:bottom w:val="single" w:sz="4" w:space="0" w:color="C6D9F1"/>
            </w:tcBorders>
            <w:vAlign w:val="center"/>
          </w:tcPr>
          <w:p w14:paraId="1B0E260E" w14:textId="2BF21F63" w:rsidR="00116F78" w:rsidRPr="00254102" w:rsidRDefault="00116F78" w:rsidP="00116F78">
            <w:pPr>
              <w:tabs>
                <w:tab w:val="decimal" w:pos="340"/>
              </w:tabs>
              <w:jc w:val="left"/>
              <w:rPr>
                <w:bCs/>
                <w:color w:val="000000"/>
                <w:sz w:val="16"/>
                <w:szCs w:val="16"/>
              </w:rPr>
            </w:pPr>
            <w:r>
              <w:rPr>
                <w:color w:val="000000"/>
                <w:sz w:val="16"/>
                <w:szCs w:val="16"/>
              </w:rPr>
              <w:t>17.8</w:t>
            </w:r>
          </w:p>
        </w:tc>
      </w:tr>
      <w:tr w:rsidR="00116F78" w:rsidRPr="00C168B2" w14:paraId="7EA05C3C" w14:textId="77777777" w:rsidTr="00116F78">
        <w:tc>
          <w:tcPr>
            <w:tcW w:w="708" w:type="dxa"/>
            <w:tcBorders>
              <w:top w:val="single" w:sz="4" w:space="0" w:color="C6D9F1"/>
              <w:bottom w:val="single" w:sz="4" w:space="0" w:color="C6D9F1"/>
            </w:tcBorders>
            <w:vAlign w:val="center"/>
            <w:hideMark/>
          </w:tcPr>
          <w:p w14:paraId="304FA5CF"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116F78" w:rsidRPr="00C168B2" w:rsidRDefault="00116F78" w:rsidP="00116F78">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6F940426" w:rsidR="00116F78" w:rsidRPr="00254102" w:rsidRDefault="00116F78" w:rsidP="00116F78">
            <w:pPr>
              <w:tabs>
                <w:tab w:val="decimal" w:pos="302"/>
              </w:tabs>
              <w:jc w:val="left"/>
              <w:rPr>
                <w:bCs/>
                <w:color w:val="000000"/>
                <w:sz w:val="16"/>
                <w:szCs w:val="16"/>
                <w:lang w:val="es-MX" w:eastAsia="es-MX"/>
              </w:rPr>
            </w:pPr>
            <w:r>
              <w:rPr>
                <w:color w:val="000000"/>
                <w:sz w:val="16"/>
                <w:szCs w:val="16"/>
              </w:rPr>
              <w:t>51.6</w:t>
            </w:r>
          </w:p>
        </w:tc>
        <w:tc>
          <w:tcPr>
            <w:tcW w:w="769" w:type="dxa"/>
            <w:tcBorders>
              <w:top w:val="single" w:sz="4" w:space="0" w:color="C6D9F1"/>
              <w:bottom w:val="single" w:sz="4" w:space="0" w:color="C6D9F1"/>
              <w:right w:val="single" w:sz="6" w:space="0" w:color="1F497D" w:themeColor="text2"/>
            </w:tcBorders>
            <w:vAlign w:val="center"/>
          </w:tcPr>
          <w:p w14:paraId="557ED96E" w14:textId="13021F57" w:rsidR="00116F78" w:rsidRPr="00254102" w:rsidRDefault="00116F78" w:rsidP="00116F78">
            <w:pPr>
              <w:tabs>
                <w:tab w:val="decimal" w:pos="302"/>
              </w:tabs>
              <w:jc w:val="left"/>
              <w:rPr>
                <w:bCs/>
                <w:color w:val="000000"/>
                <w:sz w:val="16"/>
                <w:szCs w:val="16"/>
              </w:rPr>
            </w:pPr>
            <w:r>
              <w:rPr>
                <w:color w:val="000000"/>
                <w:sz w:val="16"/>
                <w:szCs w:val="16"/>
              </w:rPr>
              <w:t>69.1</w:t>
            </w:r>
          </w:p>
        </w:tc>
        <w:tc>
          <w:tcPr>
            <w:tcW w:w="840" w:type="dxa"/>
            <w:tcBorders>
              <w:top w:val="single" w:sz="4" w:space="0" w:color="C6D9F1"/>
              <w:bottom w:val="single" w:sz="4" w:space="0" w:color="C6D9F1"/>
            </w:tcBorders>
            <w:vAlign w:val="center"/>
          </w:tcPr>
          <w:p w14:paraId="7E683403" w14:textId="63C2DA46" w:rsidR="00116F78" w:rsidRPr="00254102" w:rsidRDefault="00116F78" w:rsidP="00116F78">
            <w:pPr>
              <w:tabs>
                <w:tab w:val="decimal" w:pos="340"/>
              </w:tabs>
              <w:jc w:val="left"/>
              <w:rPr>
                <w:bCs/>
                <w:color w:val="000000"/>
                <w:sz w:val="16"/>
                <w:szCs w:val="16"/>
              </w:rPr>
            </w:pPr>
            <w:r>
              <w:rPr>
                <w:color w:val="000000"/>
                <w:sz w:val="16"/>
                <w:szCs w:val="16"/>
              </w:rPr>
              <w:t>17.5</w:t>
            </w:r>
          </w:p>
        </w:tc>
      </w:tr>
      <w:tr w:rsidR="00116F78" w:rsidRPr="00C168B2" w14:paraId="78C02309" w14:textId="77777777" w:rsidTr="00116F78">
        <w:tc>
          <w:tcPr>
            <w:tcW w:w="708" w:type="dxa"/>
            <w:tcBorders>
              <w:top w:val="single" w:sz="4" w:space="0" w:color="C6D9F1"/>
              <w:bottom w:val="single" w:sz="4" w:space="0" w:color="C6D9F1"/>
            </w:tcBorders>
            <w:vAlign w:val="center"/>
            <w:hideMark/>
          </w:tcPr>
          <w:p w14:paraId="68FF6175"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116F78" w:rsidRPr="00C168B2" w:rsidRDefault="00116F78" w:rsidP="00116F78">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410E6F59" w:rsidR="00116F78" w:rsidRPr="00254102" w:rsidRDefault="00116F78" w:rsidP="00116F78">
            <w:pPr>
              <w:tabs>
                <w:tab w:val="decimal" w:pos="302"/>
              </w:tabs>
              <w:jc w:val="left"/>
              <w:rPr>
                <w:bCs/>
                <w:color w:val="000000"/>
                <w:sz w:val="16"/>
                <w:szCs w:val="16"/>
                <w:lang w:val="es-MX" w:eastAsia="es-MX"/>
              </w:rPr>
            </w:pPr>
            <w:r>
              <w:rPr>
                <w:color w:val="000000"/>
                <w:sz w:val="16"/>
                <w:szCs w:val="16"/>
              </w:rPr>
              <w:t>72.6</w:t>
            </w:r>
          </w:p>
        </w:tc>
        <w:tc>
          <w:tcPr>
            <w:tcW w:w="769" w:type="dxa"/>
            <w:tcBorders>
              <w:top w:val="single" w:sz="4" w:space="0" w:color="C6D9F1"/>
              <w:bottom w:val="single" w:sz="4" w:space="0" w:color="C6D9F1"/>
              <w:right w:val="single" w:sz="6" w:space="0" w:color="1F497D" w:themeColor="text2"/>
            </w:tcBorders>
            <w:vAlign w:val="center"/>
          </w:tcPr>
          <w:p w14:paraId="42450060" w14:textId="62867199" w:rsidR="00116F78" w:rsidRPr="00254102" w:rsidRDefault="00116F78" w:rsidP="00116F78">
            <w:pPr>
              <w:tabs>
                <w:tab w:val="decimal" w:pos="302"/>
              </w:tabs>
              <w:jc w:val="left"/>
              <w:rPr>
                <w:bCs/>
                <w:color w:val="000000"/>
                <w:sz w:val="16"/>
                <w:szCs w:val="16"/>
              </w:rPr>
            </w:pPr>
            <w:r>
              <w:rPr>
                <w:color w:val="000000"/>
                <w:sz w:val="16"/>
                <w:szCs w:val="16"/>
              </w:rPr>
              <w:t>80.7</w:t>
            </w:r>
          </w:p>
        </w:tc>
        <w:tc>
          <w:tcPr>
            <w:tcW w:w="840" w:type="dxa"/>
            <w:tcBorders>
              <w:top w:val="single" w:sz="4" w:space="0" w:color="C6D9F1"/>
              <w:bottom w:val="single" w:sz="4" w:space="0" w:color="C6D9F1"/>
            </w:tcBorders>
            <w:vAlign w:val="center"/>
          </w:tcPr>
          <w:p w14:paraId="6C2C40D5" w14:textId="32FB20E6" w:rsidR="00116F78" w:rsidRPr="00254102" w:rsidRDefault="00116F78" w:rsidP="00116F78">
            <w:pPr>
              <w:tabs>
                <w:tab w:val="decimal" w:pos="340"/>
              </w:tabs>
              <w:jc w:val="left"/>
              <w:rPr>
                <w:bCs/>
                <w:color w:val="000000"/>
                <w:sz w:val="16"/>
                <w:szCs w:val="16"/>
              </w:rPr>
            </w:pPr>
            <w:r>
              <w:rPr>
                <w:color w:val="000000"/>
                <w:sz w:val="16"/>
                <w:szCs w:val="16"/>
              </w:rPr>
              <w:t>8.1</w:t>
            </w:r>
          </w:p>
        </w:tc>
      </w:tr>
      <w:tr w:rsidR="00116F78" w:rsidRPr="00C168B2" w14:paraId="7D7F32AA" w14:textId="77777777" w:rsidTr="00116F78">
        <w:tc>
          <w:tcPr>
            <w:tcW w:w="708" w:type="dxa"/>
            <w:tcBorders>
              <w:top w:val="single" w:sz="4" w:space="0" w:color="C6D9F1"/>
              <w:bottom w:val="single" w:sz="4" w:space="0" w:color="C6D9F1"/>
            </w:tcBorders>
            <w:vAlign w:val="center"/>
            <w:hideMark/>
          </w:tcPr>
          <w:p w14:paraId="7E0D139E"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116F78" w:rsidRPr="00C168B2" w:rsidRDefault="00116F78" w:rsidP="00116F78">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4D2777FF" w:rsidR="00116F78" w:rsidRPr="00254102" w:rsidRDefault="00116F78" w:rsidP="00116F78">
            <w:pPr>
              <w:tabs>
                <w:tab w:val="decimal" w:pos="302"/>
              </w:tabs>
              <w:jc w:val="left"/>
              <w:rPr>
                <w:bCs/>
                <w:color w:val="000000"/>
                <w:sz w:val="16"/>
                <w:szCs w:val="16"/>
                <w:lang w:val="es-MX" w:eastAsia="es-MX"/>
              </w:rPr>
            </w:pPr>
            <w:r>
              <w:rPr>
                <w:color w:val="000000"/>
                <w:sz w:val="16"/>
                <w:szCs w:val="16"/>
              </w:rPr>
              <w:t>81.6</w:t>
            </w:r>
          </w:p>
        </w:tc>
        <w:tc>
          <w:tcPr>
            <w:tcW w:w="769" w:type="dxa"/>
            <w:tcBorders>
              <w:top w:val="single" w:sz="4" w:space="0" w:color="C6D9F1"/>
              <w:bottom w:val="single" w:sz="4" w:space="0" w:color="C6D9F1"/>
              <w:right w:val="single" w:sz="6" w:space="0" w:color="1F497D" w:themeColor="text2"/>
            </w:tcBorders>
            <w:vAlign w:val="center"/>
          </w:tcPr>
          <w:p w14:paraId="39D6883E" w14:textId="0FAA0718" w:rsidR="00116F78" w:rsidRPr="00254102" w:rsidRDefault="00116F78" w:rsidP="00116F78">
            <w:pPr>
              <w:tabs>
                <w:tab w:val="decimal" w:pos="302"/>
              </w:tabs>
              <w:jc w:val="left"/>
              <w:rPr>
                <w:bCs/>
                <w:color w:val="000000"/>
                <w:sz w:val="16"/>
                <w:szCs w:val="16"/>
              </w:rPr>
            </w:pPr>
            <w:r>
              <w:rPr>
                <w:color w:val="000000"/>
                <w:sz w:val="16"/>
                <w:szCs w:val="16"/>
              </w:rPr>
              <w:t>87.1</w:t>
            </w:r>
          </w:p>
        </w:tc>
        <w:tc>
          <w:tcPr>
            <w:tcW w:w="840" w:type="dxa"/>
            <w:tcBorders>
              <w:top w:val="single" w:sz="4" w:space="0" w:color="C6D9F1"/>
              <w:bottom w:val="single" w:sz="4" w:space="0" w:color="C6D9F1"/>
            </w:tcBorders>
            <w:vAlign w:val="center"/>
          </w:tcPr>
          <w:p w14:paraId="76358012" w14:textId="6637BEC0" w:rsidR="00116F78" w:rsidRPr="00254102" w:rsidRDefault="00116F78" w:rsidP="00116F78">
            <w:pPr>
              <w:tabs>
                <w:tab w:val="decimal" w:pos="340"/>
              </w:tabs>
              <w:jc w:val="left"/>
              <w:rPr>
                <w:bCs/>
                <w:color w:val="000000"/>
                <w:sz w:val="16"/>
                <w:szCs w:val="16"/>
              </w:rPr>
            </w:pPr>
            <w:r>
              <w:rPr>
                <w:color w:val="000000"/>
                <w:sz w:val="16"/>
                <w:szCs w:val="16"/>
              </w:rPr>
              <w:t>5.5</w:t>
            </w:r>
          </w:p>
        </w:tc>
      </w:tr>
      <w:tr w:rsidR="00116F78" w:rsidRPr="00C168B2" w14:paraId="2787F9D4" w14:textId="77777777" w:rsidTr="00116F78">
        <w:tc>
          <w:tcPr>
            <w:tcW w:w="708" w:type="dxa"/>
            <w:tcBorders>
              <w:top w:val="single" w:sz="4" w:space="0" w:color="C6D9F1"/>
              <w:bottom w:val="single" w:sz="4" w:space="0" w:color="C6D9F1"/>
            </w:tcBorders>
            <w:vAlign w:val="center"/>
            <w:hideMark/>
          </w:tcPr>
          <w:p w14:paraId="13C794FA"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116F78" w:rsidRPr="00C168B2" w:rsidRDefault="00116F78" w:rsidP="00116F78">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54F4405A" w:rsidR="00116F78" w:rsidRPr="00254102" w:rsidRDefault="00116F78" w:rsidP="00116F78">
            <w:pPr>
              <w:tabs>
                <w:tab w:val="decimal" w:pos="302"/>
              </w:tabs>
              <w:jc w:val="left"/>
              <w:rPr>
                <w:bCs/>
                <w:color w:val="000000"/>
                <w:sz w:val="16"/>
                <w:szCs w:val="16"/>
                <w:lang w:val="es-MX" w:eastAsia="es-MX"/>
              </w:rPr>
            </w:pPr>
            <w:r>
              <w:rPr>
                <w:color w:val="000000"/>
                <w:sz w:val="16"/>
                <w:szCs w:val="16"/>
              </w:rPr>
              <w:t>62.7</w:t>
            </w:r>
          </w:p>
        </w:tc>
        <w:tc>
          <w:tcPr>
            <w:tcW w:w="769" w:type="dxa"/>
            <w:tcBorders>
              <w:top w:val="single" w:sz="4" w:space="0" w:color="C6D9F1"/>
              <w:bottom w:val="single" w:sz="4" w:space="0" w:color="C6D9F1"/>
              <w:right w:val="single" w:sz="6" w:space="0" w:color="1F497D" w:themeColor="text2"/>
            </w:tcBorders>
            <w:vAlign w:val="center"/>
          </w:tcPr>
          <w:p w14:paraId="379560BE" w14:textId="2229A6B4" w:rsidR="00116F78" w:rsidRPr="00254102" w:rsidRDefault="00116F78" w:rsidP="00116F78">
            <w:pPr>
              <w:tabs>
                <w:tab w:val="decimal" w:pos="302"/>
              </w:tabs>
              <w:jc w:val="left"/>
              <w:rPr>
                <w:bCs/>
                <w:color w:val="000000"/>
                <w:sz w:val="16"/>
                <w:szCs w:val="16"/>
              </w:rPr>
            </w:pPr>
            <w:r>
              <w:rPr>
                <w:color w:val="000000"/>
                <w:sz w:val="16"/>
                <w:szCs w:val="16"/>
              </w:rPr>
              <w:t>73.1</w:t>
            </w:r>
          </w:p>
        </w:tc>
        <w:tc>
          <w:tcPr>
            <w:tcW w:w="840" w:type="dxa"/>
            <w:tcBorders>
              <w:top w:val="single" w:sz="4" w:space="0" w:color="C6D9F1"/>
              <w:bottom w:val="single" w:sz="4" w:space="0" w:color="C6D9F1"/>
            </w:tcBorders>
            <w:vAlign w:val="center"/>
          </w:tcPr>
          <w:p w14:paraId="78AD32EF" w14:textId="4C323C59" w:rsidR="00116F78" w:rsidRPr="00254102" w:rsidRDefault="00116F78" w:rsidP="00116F78">
            <w:pPr>
              <w:tabs>
                <w:tab w:val="decimal" w:pos="340"/>
              </w:tabs>
              <w:jc w:val="left"/>
              <w:rPr>
                <w:bCs/>
                <w:color w:val="000000"/>
                <w:sz w:val="16"/>
                <w:szCs w:val="16"/>
              </w:rPr>
            </w:pPr>
            <w:r>
              <w:rPr>
                <w:color w:val="000000"/>
                <w:sz w:val="16"/>
                <w:szCs w:val="16"/>
              </w:rPr>
              <w:t>10.4</w:t>
            </w:r>
          </w:p>
        </w:tc>
      </w:tr>
      <w:tr w:rsidR="00116F78" w:rsidRPr="00C168B2" w14:paraId="19CD7C5E" w14:textId="77777777" w:rsidTr="00116F78">
        <w:tc>
          <w:tcPr>
            <w:tcW w:w="708" w:type="dxa"/>
            <w:tcBorders>
              <w:top w:val="single" w:sz="4" w:space="0" w:color="C6D9F1"/>
              <w:bottom w:val="single" w:sz="4" w:space="0" w:color="C6D9F1"/>
            </w:tcBorders>
            <w:vAlign w:val="center"/>
            <w:hideMark/>
          </w:tcPr>
          <w:p w14:paraId="26880F5C"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116F78" w:rsidRPr="00C168B2" w:rsidRDefault="00116F78" w:rsidP="00116F78">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072016E1" w:rsidR="00116F78" w:rsidRPr="00254102" w:rsidRDefault="00116F78" w:rsidP="00116F78">
            <w:pPr>
              <w:tabs>
                <w:tab w:val="decimal" w:pos="302"/>
              </w:tabs>
              <w:jc w:val="left"/>
              <w:rPr>
                <w:bCs/>
                <w:color w:val="000000"/>
                <w:sz w:val="16"/>
                <w:szCs w:val="16"/>
                <w:lang w:val="es-MX" w:eastAsia="es-MX"/>
              </w:rPr>
            </w:pPr>
            <w:r>
              <w:rPr>
                <w:color w:val="000000"/>
                <w:sz w:val="16"/>
                <w:szCs w:val="16"/>
              </w:rPr>
              <w:t>27.1</w:t>
            </w:r>
          </w:p>
        </w:tc>
        <w:tc>
          <w:tcPr>
            <w:tcW w:w="769" w:type="dxa"/>
            <w:tcBorders>
              <w:top w:val="single" w:sz="4" w:space="0" w:color="C6D9F1"/>
              <w:bottom w:val="single" w:sz="4" w:space="0" w:color="C6D9F1"/>
              <w:right w:val="single" w:sz="6" w:space="0" w:color="1F497D" w:themeColor="text2"/>
            </w:tcBorders>
            <w:vAlign w:val="center"/>
          </w:tcPr>
          <w:p w14:paraId="41F6EAB6" w14:textId="13B018B9" w:rsidR="00116F78" w:rsidRPr="00254102" w:rsidRDefault="00116F78" w:rsidP="00116F78">
            <w:pPr>
              <w:tabs>
                <w:tab w:val="decimal" w:pos="302"/>
              </w:tabs>
              <w:jc w:val="left"/>
              <w:rPr>
                <w:bCs/>
                <w:color w:val="000000"/>
                <w:sz w:val="16"/>
                <w:szCs w:val="16"/>
              </w:rPr>
            </w:pPr>
            <w:r>
              <w:rPr>
                <w:color w:val="000000"/>
                <w:sz w:val="16"/>
                <w:szCs w:val="16"/>
              </w:rPr>
              <w:t>50.0</w:t>
            </w:r>
          </w:p>
        </w:tc>
        <w:tc>
          <w:tcPr>
            <w:tcW w:w="840" w:type="dxa"/>
            <w:tcBorders>
              <w:top w:val="single" w:sz="4" w:space="0" w:color="C6D9F1"/>
              <w:bottom w:val="single" w:sz="4" w:space="0" w:color="C6D9F1"/>
            </w:tcBorders>
            <w:vAlign w:val="center"/>
          </w:tcPr>
          <w:p w14:paraId="3897275A" w14:textId="56A2AD36" w:rsidR="00116F78" w:rsidRPr="00254102" w:rsidRDefault="00116F78" w:rsidP="00116F78">
            <w:pPr>
              <w:tabs>
                <w:tab w:val="decimal" w:pos="340"/>
              </w:tabs>
              <w:jc w:val="left"/>
              <w:rPr>
                <w:bCs/>
                <w:color w:val="000000"/>
                <w:sz w:val="16"/>
                <w:szCs w:val="16"/>
              </w:rPr>
            </w:pPr>
            <w:r>
              <w:rPr>
                <w:color w:val="000000"/>
                <w:sz w:val="16"/>
                <w:szCs w:val="16"/>
              </w:rPr>
              <w:t>22.9</w:t>
            </w:r>
          </w:p>
        </w:tc>
      </w:tr>
      <w:tr w:rsidR="00116F78" w:rsidRPr="00C168B2" w14:paraId="75B933F7" w14:textId="77777777" w:rsidTr="00116F78">
        <w:tc>
          <w:tcPr>
            <w:tcW w:w="708" w:type="dxa"/>
            <w:tcBorders>
              <w:top w:val="single" w:sz="4" w:space="0" w:color="C6D9F1"/>
              <w:bottom w:val="single" w:sz="4" w:space="0" w:color="C6D9F1"/>
            </w:tcBorders>
            <w:vAlign w:val="center"/>
            <w:hideMark/>
          </w:tcPr>
          <w:p w14:paraId="7B28DF5D"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4356D51F" w:rsidR="00116F78" w:rsidRPr="00254102" w:rsidRDefault="00116F78" w:rsidP="00116F78">
            <w:pPr>
              <w:tabs>
                <w:tab w:val="decimal" w:pos="302"/>
              </w:tabs>
              <w:jc w:val="left"/>
              <w:rPr>
                <w:bCs/>
                <w:color w:val="000000"/>
                <w:sz w:val="16"/>
                <w:szCs w:val="16"/>
                <w:lang w:val="es-MX" w:eastAsia="es-MX"/>
              </w:rPr>
            </w:pPr>
            <w:r>
              <w:rPr>
                <w:color w:val="000000"/>
                <w:sz w:val="16"/>
                <w:szCs w:val="16"/>
              </w:rPr>
              <w:t>61.6</w:t>
            </w:r>
          </w:p>
        </w:tc>
        <w:tc>
          <w:tcPr>
            <w:tcW w:w="769" w:type="dxa"/>
            <w:tcBorders>
              <w:top w:val="single" w:sz="4" w:space="0" w:color="C6D9F1"/>
              <w:bottom w:val="single" w:sz="4" w:space="0" w:color="C6D9F1"/>
              <w:right w:val="single" w:sz="6" w:space="0" w:color="1F497D" w:themeColor="text2"/>
            </w:tcBorders>
            <w:vAlign w:val="center"/>
          </w:tcPr>
          <w:p w14:paraId="647F2215" w14:textId="6C19351E" w:rsidR="00116F78" w:rsidRPr="00254102" w:rsidRDefault="00116F78" w:rsidP="00116F78">
            <w:pPr>
              <w:tabs>
                <w:tab w:val="decimal" w:pos="302"/>
              </w:tabs>
              <w:jc w:val="left"/>
              <w:rPr>
                <w:bCs/>
                <w:color w:val="000000"/>
                <w:sz w:val="16"/>
                <w:szCs w:val="16"/>
              </w:rPr>
            </w:pPr>
            <w:r>
              <w:rPr>
                <w:color w:val="000000"/>
                <w:sz w:val="16"/>
                <w:szCs w:val="16"/>
              </w:rPr>
              <w:t>67.3</w:t>
            </w:r>
          </w:p>
        </w:tc>
        <w:tc>
          <w:tcPr>
            <w:tcW w:w="840" w:type="dxa"/>
            <w:tcBorders>
              <w:top w:val="single" w:sz="4" w:space="0" w:color="C6D9F1"/>
              <w:bottom w:val="single" w:sz="4" w:space="0" w:color="C6D9F1"/>
            </w:tcBorders>
            <w:vAlign w:val="center"/>
          </w:tcPr>
          <w:p w14:paraId="7C4B744A" w14:textId="0FB2FCE3" w:rsidR="00116F78" w:rsidRPr="00254102" w:rsidRDefault="00116F78" w:rsidP="00116F78">
            <w:pPr>
              <w:tabs>
                <w:tab w:val="decimal" w:pos="340"/>
              </w:tabs>
              <w:jc w:val="left"/>
              <w:rPr>
                <w:bCs/>
                <w:color w:val="000000"/>
                <w:sz w:val="16"/>
                <w:szCs w:val="16"/>
              </w:rPr>
            </w:pPr>
            <w:r>
              <w:rPr>
                <w:color w:val="000000"/>
                <w:sz w:val="16"/>
                <w:szCs w:val="16"/>
              </w:rPr>
              <w:t>5.7</w:t>
            </w:r>
          </w:p>
        </w:tc>
      </w:tr>
      <w:tr w:rsidR="00116F78" w:rsidRPr="00C168B2" w14:paraId="3F473617" w14:textId="77777777" w:rsidTr="00116F78">
        <w:tc>
          <w:tcPr>
            <w:tcW w:w="708" w:type="dxa"/>
            <w:tcBorders>
              <w:top w:val="single" w:sz="4" w:space="0" w:color="C6D9F1"/>
              <w:bottom w:val="single" w:sz="4" w:space="0" w:color="C6D9F1"/>
            </w:tcBorders>
            <w:vAlign w:val="center"/>
            <w:hideMark/>
          </w:tcPr>
          <w:p w14:paraId="5D0B78F3"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654EED13" w:rsidR="00116F78" w:rsidRPr="00254102" w:rsidRDefault="00116F78" w:rsidP="00116F78">
            <w:pPr>
              <w:tabs>
                <w:tab w:val="decimal" w:pos="302"/>
              </w:tabs>
              <w:jc w:val="left"/>
              <w:rPr>
                <w:bCs/>
                <w:color w:val="000000"/>
                <w:sz w:val="16"/>
                <w:szCs w:val="16"/>
                <w:lang w:val="es-MX" w:eastAsia="es-MX"/>
              </w:rPr>
            </w:pPr>
            <w:r>
              <w:rPr>
                <w:color w:val="000000"/>
                <w:sz w:val="16"/>
                <w:szCs w:val="16"/>
              </w:rPr>
              <w:t>76.0</w:t>
            </w:r>
          </w:p>
        </w:tc>
        <w:tc>
          <w:tcPr>
            <w:tcW w:w="769" w:type="dxa"/>
            <w:tcBorders>
              <w:top w:val="single" w:sz="4" w:space="0" w:color="C6D9F1"/>
              <w:bottom w:val="single" w:sz="4" w:space="0" w:color="C6D9F1"/>
              <w:right w:val="single" w:sz="6" w:space="0" w:color="1F497D" w:themeColor="text2"/>
            </w:tcBorders>
            <w:vAlign w:val="center"/>
          </w:tcPr>
          <w:p w14:paraId="39A9E37F" w14:textId="6B253C8F" w:rsidR="00116F78" w:rsidRPr="00254102" w:rsidRDefault="00116F78" w:rsidP="00116F78">
            <w:pPr>
              <w:tabs>
                <w:tab w:val="decimal" w:pos="302"/>
              </w:tabs>
              <w:jc w:val="left"/>
              <w:rPr>
                <w:bCs/>
                <w:color w:val="000000"/>
                <w:sz w:val="16"/>
                <w:szCs w:val="16"/>
              </w:rPr>
            </w:pPr>
            <w:r>
              <w:rPr>
                <w:color w:val="000000"/>
                <w:sz w:val="16"/>
                <w:szCs w:val="16"/>
              </w:rPr>
              <w:t>80.1</w:t>
            </w:r>
          </w:p>
        </w:tc>
        <w:tc>
          <w:tcPr>
            <w:tcW w:w="840" w:type="dxa"/>
            <w:tcBorders>
              <w:top w:val="single" w:sz="4" w:space="0" w:color="C6D9F1"/>
              <w:bottom w:val="single" w:sz="4" w:space="0" w:color="C6D9F1"/>
            </w:tcBorders>
            <w:vAlign w:val="center"/>
          </w:tcPr>
          <w:p w14:paraId="45894C76" w14:textId="718DFD39" w:rsidR="00116F78" w:rsidRPr="00254102" w:rsidRDefault="00116F78" w:rsidP="00116F78">
            <w:pPr>
              <w:tabs>
                <w:tab w:val="decimal" w:pos="340"/>
              </w:tabs>
              <w:jc w:val="left"/>
              <w:rPr>
                <w:bCs/>
                <w:color w:val="000000"/>
                <w:sz w:val="16"/>
                <w:szCs w:val="16"/>
              </w:rPr>
            </w:pPr>
            <w:r>
              <w:rPr>
                <w:color w:val="000000"/>
                <w:sz w:val="16"/>
                <w:szCs w:val="16"/>
              </w:rPr>
              <w:t>4.1</w:t>
            </w:r>
          </w:p>
        </w:tc>
      </w:tr>
      <w:tr w:rsidR="00116F78" w:rsidRPr="00C168B2" w14:paraId="006FD1C2" w14:textId="77777777" w:rsidTr="00116F78">
        <w:tc>
          <w:tcPr>
            <w:tcW w:w="708" w:type="dxa"/>
            <w:tcBorders>
              <w:top w:val="single" w:sz="4" w:space="0" w:color="C6D9F1"/>
              <w:bottom w:val="single" w:sz="4" w:space="0" w:color="C6D9F1"/>
            </w:tcBorders>
            <w:vAlign w:val="center"/>
            <w:hideMark/>
          </w:tcPr>
          <w:p w14:paraId="29F2E76C"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6387262E" w:rsidR="00116F78" w:rsidRPr="00254102" w:rsidRDefault="00116F78" w:rsidP="00116F78">
            <w:pPr>
              <w:tabs>
                <w:tab w:val="decimal" w:pos="302"/>
              </w:tabs>
              <w:jc w:val="left"/>
              <w:rPr>
                <w:bCs/>
                <w:color w:val="000000"/>
                <w:sz w:val="16"/>
                <w:szCs w:val="16"/>
                <w:lang w:val="es-MX" w:eastAsia="es-MX"/>
              </w:rPr>
            </w:pPr>
            <w:r>
              <w:rPr>
                <w:color w:val="000000"/>
                <w:sz w:val="16"/>
                <w:szCs w:val="16"/>
              </w:rPr>
              <w:t>82.0</w:t>
            </w:r>
          </w:p>
        </w:tc>
        <w:tc>
          <w:tcPr>
            <w:tcW w:w="769" w:type="dxa"/>
            <w:tcBorders>
              <w:top w:val="single" w:sz="4" w:space="0" w:color="C6D9F1"/>
              <w:bottom w:val="single" w:sz="4" w:space="0" w:color="C6D9F1"/>
              <w:right w:val="single" w:sz="6" w:space="0" w:color="1F497D" w:themeColor="text2"/>
            </w:tcBorders>
            <w:vAlign w:val="center"/>
          </w:tcPr>
          <w:p w14:paraId="54114713" w14:textId="292DA68C" w:rsidR="00116F78" w:rsidRPr="00254102" w:rsidRDefault="00116F78" w:rsidP="00116F78">
            <w:pPr>
              <w:tabs>
                <w:tab w:val="decimal" w:pos="302"/>
              </w:tabs>
              <w:jc w:val="left"/>
              <w:rPr>
                <w:bCs/>
                <w:color w:val="000000"/>
                <w:sz w:val="16"/>
                <w:szCs w:val="16"/>
              </w:rPr>
            </w:pPr>
            <w:r>
              <w:rPr>
                <w:color w:val="000000"/>
                <w:sz w:val="16"/>
                <w:szCs w:val="16"/>
              </w:rPr>
              <w:t>86.3</w:t>
            </w:r>
          </w:p>
        </w:tc>
        <w:tc>
          <w:tcPr>
            <w:tcW w:w="840" w:type="dxa"/>
            <w:tcBorders>
              <w:top w:val="single" w:sz="4" w:space="0" w:color="C6D9F1"/>
              <w:bottom w:val="single" w:sz="4" w:space="0" w:color="C6D9F1"/>
            </w:tcBorders>
            <w:vAlign w:val="center"/>
          </w:tcPr>
          <w:p w14:paraId="35E07EDE" w14:textId="5B46E19E" w:rsidR="00116F78" w:rsidRPr="00254102" w:rsidRDefault="00116F78" w:rsidP="00116F78">
            <w:pPr>
              <w:tabs>
                <w:tab w:val="decimal" w:pos="340"/>
              </w:tabs>
              <w:jc w:val="left"/>
              <w:rPr>
                <w:bCs/>
                <w:color w:val="000000"/>
                <w:sz w:val="16"/>
                <w:szCs w:val="16"/>
              </w:rPr>
            </w:pPr>
            <w:r>
              <w:rPr>
                <w:color w:val="000000"/>
                <w:sz w:val="16"/>
                <w:szCs w:val="16"/>
              </w:rPr>
              <w:t>4.3</w:t>
            </w:r>
          </w:p>
        </w:tc>
      </w:tr>
      <w:tr w:rsidR="00116F78" w:rsidRPr="00C168B2" w14:paraId="3B21A929" w14:textId="77777777" w:rsidTr="00116F78">
        <w:tc>
          <w:tcPr>
            <w:tcW w:w="708" w:type="dxa"/>
            <w:tcBorders>
              <w:top w:val="single" w:sz="4" w:space="0" w:color="C6D9F1"/>
              <w:bottom w:val="single" w:sz="4" w:space="0" w:color="C6D9F1"/>
            </w:tcBorders>
            <w:vAlign w:val="center"/>
            <w:hideMark/>
          </w:tcPr>
          <w:p w14:paraId="5CCEC169"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411D2A59" w:rsidR="00116F78" w:rsidRPr="00254102" w:rsidRDefault="00116F78" w:rsidP="00116F78">
            <w:pPr>
              <w:tabs>
                <w:tab w:val="decimal" w:pos="302"/>
              </w:tabs>
              <w:jc w:val="left"/>
              <w:rPr>
                <w:bCs/>
                <w:color w:val="000000"/>
                <w:sz w:val="16"/>
                <w:szCs w:val="16"/>
                <w:lang w:val="es-MX" w:eastAsia="es-MX"/>
              </w:rPr>
            </w:pPr>
            <w:r>
              <w:rPr>
                <w:color w:val="000000"/>
                <w:sz w:val="16"/>
                <w:szCs w:val="16"/>
              </w:rPr>
              <w:t>69.2</w:t>
            </w:r>
          </w:p>
        </w:tc>
        <w:tc>
          <w:tcPr>
            <w:tcW w:w="769" w:type="dxa"/>
            <w:tcBorders>
              <w:top w:val="single" w:sz="4" w:space="0" w:color="C6D9F1"/>
              <w:bottom w:val="single" w:sz="4" w:space="0" w:color="C6D9F1"/>
              <w:right w:val="single" w:sz="6" w:space="0" w:color="1F497D" w:themeColor="text2"/>
            </w:tcBorders>
            <w:vAlign w:val="center"/>
          </w:tcPr>
          <w:p w14:paraId="0F619DB8" w14:textId="5705F7FB" w:rsidR="00116F78" w:rsidRPr="00254102" w:rsidRDefault="00116F78" w:rsidP="00116F78">
            <w:pPr>
              <w:tabs>
                <w:tab w:val="decimal" w:pos="302"/>
              </w:tabs>
              <w:jc w:val="left"/>
              <w:rPr>
                <w:bCs/>
                <w:color w:val="000000"/>
                <w:sz w:val="16"/>
                <w:szCs w:val="16"/>
              </w:rPr>
            </w:pPr>
            <w:r>
              <w:rPr>
                <w:color w:val="000000"/>
                <w:sz w:val="16"/>
                <w:szCs w:val="16"/>
              </w:rPr>
              <w:t>82.0</w:t>
            </w:r>
          </w:p>
        </w:tc>
        <w:tc>
          <w:tcPr>
            <w:tcW w:w="840" w:type="dxa"/>
            <w:tcBorders>
              <w:top w:val="single" w:sz="4" w:space="0" w:color="C6D9F1"/>
              <w:bottom w:val="single" w:sz="4" w:space="0" w:color="C6D9F1"/>
            </w:tcBorders>
            <w:vAlign w:val="center"/>
          </w:tcPr>
          <w:p w14:paraId="2EEC5265" w14:textId="7E16E1D9" w:rsidR="00116F78" w:rsidRPr="00254102" w:rsidRDefault="00116F78" w:rsidP="00116F78">
            <w:pPr>
              <w:tabs>
                <w:tab w:val="decimal" w:pos="340"/>
              </w:tabs>
              <w:jc w:val="left"/>
              <w:rPr>
                <w:bCs/>
                <w:color w:val="000000"/>
                <w:sz w:val="16"/>
                <w:szCs w:val="16"/>
              </w:rPr>
            </w:pPr>
            <w:r>
              <w:rPr>
                <w:color w:val="000000"/>
                <w:sz w:val="16"/>
                <w:szCs w:val="16"/>
              </w:rPr>
              <w:t>12.8</w:t>
            </w:r>
          </w:p>
        </w:tc>
      </w:tr>
      <w:tr w:rsidR="00116F78" w:rsidRPr="00C168B2" w14:paraId="704FAEFA" w14:textId="77777777" w:rsidTr="00116F78">
        <w:tc>
          <w:tcPr>
            <w:tcW w:w="708" w:type="dxa"/>
            <w:tcBorders>
              <w:top w:val="single" w:sz="4" w:space="0" w:color="C6D9F1"/>
              <w:bottom w:val="single" w:sz="4" w:space="0" w:color="C6D9F1"/>
            </w:tcBorders>
            <w:vAlign w:val="center"/>
            <w:hideMark/>
          </w:tcPr>
          <w:p w14:paraId="156353C7"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7F57E5CA" w:rsidR="00116F78" w:rsidRPr="00254102" w:rsidRDefault="00116F78" w:rsidP="00116F78">
            <w:pPr>
              <w:tabs>
                <w:tab w:val="decimal" w:pos="302"/>
              </w:tabs>
              <w:jc w:val="left"/>
              <w:rPr>
                <w:bCs/>
                <w:color w:val="000000"/>
                <w:sz w:val="16"/>
                <w:szCs w:val="16"/>
                <w:lang w:val="es-MX" w:eastAsia="es-MX"/>
              </w:rPr>
            </w:pPr>
            <w:r>
              <w:rPr>
                <w:color w:val="000000"/>
                <w:sz w:val="16"/>
                <w:szCs w:val="16"/>
              </w:rPr>
              <w:t>73.7</w:t>
            </w:r>
          </w:p>
        </w:tc>
        <w:tc>
          <w:tcPr>
            <w:tcW w:w="769" w:type="dxa"/>
            <w:tcBorders>
              <w:top w:val="single" w:sz="4" w:space="0" w:color="C6D9F1"/>
              <w:bottom w:val="single" w:sz="4" w:space="0" w:color="C6D9F1"/>
              <w:right w:val="single" w:sz="6" w:space="0" w:color="1F497D" w:themeColor="text2"/>
            </w:tcBorders>
            <w:vAlign w:val="center"/>
          </w:tcPr>
          <w:p w14:paraId="2C7E5316" w14:textId="201C1674" w:rsidR="00116F78" w:rsidRPr="00254102" w:rsidRDefault="00116F78" w:rsidP="00116F78">
            <w:pPr>
              <w:tabs>
                <w:tab w:val="decimal" w:pos="302"/>
              </w:tabs>
              <w:jc w:val="left"/>
              <w:rPr>
                <w:bCs/>
                <w:color w:val="000000"/>
                <w:sz w:val="16"/>
                <w:szCs w:val="16"/>
              </w:rPr>
            </w:pPr>
            <w:r>
              <w:rPr>
                <w:color w:val="000000"/>
                <w:sz w:val="16"/>
                <w:szCs w:val="16"/>
              </w:rPr>
              <w:t>80.5</w:t>
            </w:r>
          </w:p>
        </w:tc>
        <w:tc>
          <w:tcPr>
            <w:tcW w:w="840" w:type="dxa"/>
            <w:tcBorders>
              <w:top w:val="single" w:sz="4" w:space="0" w:color="C6D9F1"/>
              <w:bottom w:val="single" w:sz="4" w:space="0" w:color="C6D9F1"/>
            </w:tcBorders>
            <w:vAlign w:val="center"/>
          </w:tcPr>
          <w:p w14:paraId="05462D97" w14:textId="4997F944" w:rsidR="00116F78" w:rsidRPr="00254102" w:rsidRDefault="00116F78" w:rsidP="00116F78">
            <w:pPr>
              <w:tabs>
                <w:tab w:val="decimal" w:pos="340"/>
              </w:tabs>
              <w:jc w:val="left"/>
              <w:rPr>
                <w:bCs/>
                <w:color w:val="000000"/>
                <w:sz w:val="16"/>
                <w:szCs w:val="16"/>
              </w:rPr>
            </w:pPr>
            <w:r>
              <w:rPr>
                <w:color w:val="000000"/>
                <w:sz w:val="16"/>
                <w:szCs w:val="16"/>
              </w:rPr>
              <w:t>6.8</w:t>
            </w:r>
          </w:p>
        </w:tc>
      </w:tr>
      <w:tr w:rsidR="00116F78" w:rsidRPr="00C168B2" w14:paraId="3D6188F2" w14:textId="77777777" w:rsidTr="00116F78">
        <w:tc>
          <w:tcPr>
            <w:tcW w:w="708" w:type="dxa"/>
            <w:tcBorders>
              <w:top w:val="single" w:sz="4" w:space="0" w:color="C6D9F1"/>
              <w:bottom w:val="single" w:sz="4" w:space="0" w:color="C6D9F1"/>
            </w:tcBorders>
            <w:vAlign w:val="center"/>
            <w:hideMark/>
          </w:tcPr>
          <w:p w14:paraId="3BF8A4B5"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222EF1A2" w:rsidR="00116F78" w:rsidRPr="00254102" w:rsidRDefault="00116F78" w:rsidP="00116F78">
            <w:pPr>
              <w:tabs>
                <w:tab w:val="decimal" w:pos="302"/>
              </w:tabs>
              <w:jc w:val="left"/>
              <w:rPr>
                <w:bCs/>
                <w:color w:val="000000"/>
                <w:sz w:val="16"/>
                <w:szCs w:val="16"/>
                <w:lang w:val="es-MX" w:eastAsia="es-MX"/>
              </w:rPr>
            </w:pPr>
            <w:r>
              <w:rPr>
                <w:color w:val="000000"/>
                <w:sz w:val="16"/>
                <w:szCs w:val="16"/>
              </w:rPr>
              <w:t>72.9</w:t>
            </w:r>
          </w:p>
        </w:tc>
        <w:tc>
          <w:tcPr>
            <w:tcW w:w="769" w:type="dxa"/>
            <w:tcBorders>
              <w:top w:val="single" w:sz="4" w:space="0" w:color="C6D9F1"/>
              <w:bottom w:val="single" w:sz="4" w:space="0" w:color="C6D9F1"/>
              <w:right w:val="single" w:sz="6" w:space="0" w:color="1F497D" w:themeColor="text2"/>
            </w:tcBorders>
            <w:vAlign w:val="center"/>
          </w:tcPr>
          <w:p w14:paraId="3F108636" w14:textId="44F05638" w:rsidR="00116F78" w:rsidRPr="00254102" w:rsidRDefault="00116F78" w:rsidP="00116F78">
            <w:pPr>
              <w:tabs>
                <w:tab w:val="decimal" w:pos="302"/>
              </w:tabs>
              <w:jc w:val="left"/>
              <w:rPr>
                <w:bCs/>
                <w:color w:val="000000"/>
                <w:sz w:val="16"/>
                <w:szCs w:val="16"/>
              </w:rPr>
            </w:pPr>
            <w:r>
              <w:rPr>
                <w:color w:val="000000"/>
                <w:sz w:val="16"/>
                <w:szCs w:val="16"/>
              </w:rPr>
              <w:t>82.2</w:t>
            </w:r>
          </w:p>
        </w:tc>
        <w:tc>
          <w:tcPr>
            <w:tcW w:w="840" w:type="dxa"/>
            <w:tcBorders>
              <w:top w:val="single" w:sz="4" w:space="0" w:color="C6D9F1"/>
              <w:bottom w:val="single" w:sz="4" w:space="0" w:color="C6D9F1"/>
            </w:tcBorders>
            <w:vAlign w:val="center"/>
          </w:tcPr>
          <w:p w14:paraId="77F998A2" w14:textId="52C96D67" w:rsidR="00116F78" w:rsidRPr="00254102" w:rsidRDefault="00116F78" w:rsidP="00116F78">
            <w:pPr>
              <w:tabs>
                <w:tab w:val="decimal" w:pos="340"/>
              </w:tabs>
              <w:jc w:val="left"/>
              <w:rPr>
                <w:bCs/>
                <w:color w:val="000000"/>
                <w:sz w:val="16"/>
                <w:szCs w:val="16"/>
              </w:rPr>
            </w:pPr>
            <w:r>
              <w:rPr>
                <w:color w:val="000000"/>
                <w:sz w:val="16"/>
                <w:szCs w:val="16"/>
              </w:rPr>
              <w:t>9.3</w:t>
            </w:r>
          </w:p>
        </w:tc>
      </w:tr>
      <w:tr w:rsidR="00116F78" w:rsidRPr="00C168B2" w14:paraId="393991CD" w14:textId="77777777" w:rsidTr="00116F78">
        <w:tc>
          <w:tcPr>
            <w:tcW w:w="708" w:type="dxa"/>
            <w:tcBorders>
              <w:top w:val="single" w:sz="4" w:space="0" w:color="C6D9F1"/>
              <w:bottom w:val="single" w:sz="4" w:space="0" w:color="C6D9F1"/>
            </w:tcBorders>
            <w:vAlign w:val="center"/>
            <w:hideMark/>
          </w:tcPr>
          <w:p w14:paraId="61CF7CC3"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116F78" w:rsidRPr="00C168B2" w:rsidRDefault="00116F78" w:rsidP="00116F78">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2EFE1938" w:rsidR="00116F78" w:rsidRPr="00254102" w:rsidRDefault="00116F78" w:rsidP="00116F78">
            <w:pPr>
              <w:tabs>
                <w:tab w:val="decimal" w:pos="302"/>
              </w:tabs>
              <w:jc w:val="left"/>
              <w:rPr>
                <w:bCs/>
                <w:color w:val="000000"/>
                <w:sz w:val="16"/>
                <w:szCs w:val="16"/>
                <w:lang w:val="es-MX" w:eastAsia="es-MX"/>
              </w:rPr>
            </w:pPr>
            <w:r>
              <w:rPr>
                <w:color w:val="000000"/>
                <w:sz w:val="16"/>
                <w:szCs w:val="16"/>
              </w:rPr>
              <w:t>80.3</w:t>
            </w:r>
          </w:p>
        </w:tc>
        <w:tc>
          <w:tcPr>
            <w:tcW w:w="769" w:type="dxa"/>
            <w:tcBorders>
              <w:top w:val="single" w:sz="4" w:space="0" w:color="C6D9F1"/>
              <w:bottom w:val="single" w:sz="4" w:space="0" w:color="C6D9F1"/>
              <w:right w:val="single" w:sz="6" w:space="0" w:color="1F497D" w:themeColor="text2"/>
            </w:tcBorders>
            <w:vAlign w:val="center"/>
          </w:tcPr>
          <w:p w14:paraId="1E07081D" w14:textId="3D9A07E3" w:rsidR="00116F78" w:rsidRPr="00254102" w:rsidRDefault="00116F78" w:rsidP="00116F78">
            <w:pPr>
              <w:tabs>
                <w:tab w:val="decimal" w:pos="302"/>
              </w:tabs>
              <w:jc w:val="left"/>
              <w:rPr>
                <w:bCs/>
                <w:color w:val="000000"/>
                <w:sz w:val="16"/>
                <w:szCs w:val="16"/>
              </w:rPr>
            </w:pPr>
            <w:r>
              <w:rPr>
                <w:color w:val="000000"/>
                <w:sz w:val="16"/>
                <w:szCs w:val="16"/>
              </w:rPr>
              <w:t>87.4</w:t>
            </w:r>
          </w:p>
        </w:tc>
        <w:tc>
          <w:tcPr>
            <w:tcW w:w="840" w:type="dxa"/>
            <w:tcBorders>
              <w:top w:val="single" w:sz="4" w:space="0" w:color="C6D9F1"/>
              <w:bottom w:val="single" w:sz="4" w:space="0" w:color="C6D9F1"/>
            </w:tcBorders>
            <w:vAlign w:val="center"/>
          </w:tcPr>
          <w:p w14:paraId="0ECF13DC" w14:textId="3AE08D08" w:rsidR="00116F78" w:rsidRPr="00254102" w:rsidRDefault="00116F78" w:rsidP="00116F78">
            <w:pPr>
              <w:tabs>
                <w:tab w:val="decimal" w:pos="340"/>
              </w:tabs>
              <w:jc w:val="left"/>
              <w:rPr>
                <w:bCs/>
                <w:color w:val="000000"/>
                <w:sz w:val="16"/>
                <w:szCs w:val="16"/>
              </w:rPr>
            </w:pPr>
            <w:r>
              <w:rPr>
                <w:color w:val="000000"/>
                <w:sz w:val="16"/>
                <w:szCs w:val="16"/>
              </w:rPr>
              <w:t>7.1</w:t>
            </w:r>
          </w:p>
        </w:tc>
      </w:tr>
      <w:tr w:rsidR="00116F78" w:rsidRPr="00C168B2" w14:paraId="0B09832D" w14:textId="77777777" w:rsidTr="00116F78">
        <w:tc>
          <w:tcPr>
            <w:tcW w:w="708" w:type="dxa"/>
            <w:tcBorders>
              <w:top w:val="single" w:sz="4" w:space="0" w:color="C6D9F1"/>
              <w:bottom w:val="single" w:sz="4" w:space="0" w:color="C6D9F1"/>
            </w:tcBorders>
            <w:vAlign w:val="center"/>
            <w:hideMark/>
          </w:tcPr>
          <w:p w14:paraId="709B25C2"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37FB1E83" w:rsidR="00116F78" w:rsidRPr="00254102" w:rsidRDefault="00116F78" w:rsidP="00116F78">
            <w:pPr>
              <w:tabs>
                <w:tab w:val="decimal" w:pos="302"/>
              </w:tabs>
              <w:jc w:val="left"/>
              <w:rPr>
                <w:bCs/>
                <w:color w:val="000000"/>
                <w:sz w:val="16"/>
                <w:szCs w:val="16"/>
                <w:lang w:val="es-MX" w:eastAsia="es-MX"/>
              </w:rPr>
            </w:pPr>
            <w:r>
              <w:rPr>
                <w:color w:val="000000"/>
                <w:sz w:val="16"/>
                <w:szCs w:val="16"/>
              </w:rPr>
              <w:t>84.7</w:t>
            </w:r>
          </w:p>
        </w:tc>
        <w:tc>
          <w:tcPr>
            <w:tcW w:w="769" w:type="dxa"/>
            <w:tcBorders>
              <w:top w:val="single" w:sz="4" w:space="0" w:color="C6D9F1"/>
              <w:bottom w:val="single" w:sz="4" w:space="0" w:color="C6D9F1"/>
              <w:right w:val="single" w:sz="6" w:space="0" w:color="1F497D" w:themeColor="text2"/>
            </w:tcBorders>
            <w:vAlign w:val="center"/>
          </w:tcPr>
          <w:p w14:paraId="5CF802E3" w14:textId="014EE3BA" w:rsidR="00116F78" w:rsidRPr="00254102" w:rsidRDefault="00116F78" w:rsidP="00116F78">
            <w:pPr>
              <w:tabs>
                <w:tab w:val="decimal" w:pos="302"/>
              </w:tabs>
              <w:jc w:val="left"/>
              <w:rPr>
                <w:bCs/>
                <w:color w:val="000000"/>
                <w:sz w:val="16"/>
                <w:szCs w:val="16"/>
              </w:rPr>
            </w:pPr>
            <w:r>
              <w:rPr>
                <w:color w:val="000000"/>
                <w:sz w:val="16"/>
                <w:szCs w:val="16"/>
              </w:rPr>
              <w:t>90.5</w:t>
            </w:r>
          </w:p>
        </w:tc>
        <w:tc>
          <w:tcPr>
            <w:tcW w:w="840" w:type="dxa"/>
            <w:tcBorders>
              <w:top w:val="single" w:sz="4" w:space="0" w:color="C6D9F1"/>
              <w:bottom w:val="single" w:sz="4" w:space="0" w:color="C6D9F1"/>
            </w:tcBorders>
            <w:vAlign w:val="center"/>
          </w:tcPr>
          <w:p w14:paraId="3193B813" w14:textId="1F284B6A" w:rsidR="00116F78" w:rsidRPr="00254102" w:rsidRDefault="00116F78" w:rsidP="00116F78">
            <w:pPr>
              <w:tabs>
                <w:tab w:val="decimal" w:pos="340"/>
              </w:tabs>
              <w:jc w:val="left"/>
              <w:rPr>
                <w:bCs/>
                <w:color w:val="000000"/>
                <w:sz w:val="16"/>
                <w:szCs w:val="16"/>
              </w:rPr>
            </w:pPr>
            <w:r>
              <w:rPr>
                <w:color w:val="000000"/>
                <w:sz w:val="16"/>
                <w:szCs w:val="16"/>
              </w:rPr>
              <w:t>5.8</w:t>
            </w:r>
          </w:p>
        </w:tc>
      </w:tr>
      <w:tr w:rsidR="00116F78" w:rsidRPr="00C168B2" w14:paraId="6E07E4F0" w14:textId="77777777" w:rsidTr="00116F78">
        <w:tc>
          <w:tcPr>
            <w:tcW w:w="708" w:type="dxa"/>
            <w:tcBorders>
              <w:top w:val="single" w:sz="4" w:space="0" w:color="C6D9F1"/>
              <w:bottom w:val="single" w:sz="4" w:space="0" w:color="C6D9F1"/>
            </w:tcBorders>
            <w:vAlign w:val="center"/>
            <w:hideMark/>
          </w:tcPr>
          <w:p w14:paraId="06FA19C3"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61F60834" w:rsidR="00116F78" w:rsidRPr="00254102" w:rsidRDefault="00116F78" w:rsidP="00116F78">
            <w:pPr>
              <w:tabs>
                <w:tab w:val="decimal" w:pos="302"/>
              </w:tabs>
              <w:jc w:val="left"/>
              <w:rPr>
                <w:bCs/>
                <w:color w:val="000000"/>
                <w:sz w:val="16"/>
                <w:szCs w:val="16"/>
                <w:lang w:val="es-MX" w:eastAsia="es-MX"/>
              </w:rPr>
            </w:pPr>
            <w:r>
              <w:rPr>
                <w:color w:val="000000"/>
                <w:sz w:val="16"/>
                <w:szCs w:val="16"/>
              </w:rPr>
              <w:t>74.2</w:t>
            </w:r>
          </w:p>
        </w:tc>
        <w:tc>
          <w:tcPr>
            <w:tcW w:w="769" w:type="dxa"/>
            <w:tcBorders>
              <w:top w:val="single" w:sz="4" w:space="0" w:color="C6D9F1"/>
              <w:bottom w:val="single" w:sz="4" w:space="0" w:color="C6D9F1"/>
              <w:right w:val="single" w:sz="6" w:space="0" w:color="1F497D" w:themeColor="text2"/>
            </w:tcBorders>
            <w:vAlign w:val="center"/>
          </w:tcPr>
          <w:p w14:paraId="633C0D8B" w14:textId="09AA0160" w:rsidR="00116F78" w:rsidRPr="00254102" w:rsidRDefault="00116F78" w:rsidP="00116F78">
            <w:pPr>
              <w:tabs>
                <w:tab w:val="decimal" w:pos="302"/>
              </w:tabs>
              <w:jc w:val="left"/>
              <w:rPr>
                <w:bCs/>
                <w:color w:val="000000"/>
                <w:sz w:val="16"/>
                <w:szCs w:val="16"/>
              </w:rPr>
            </w:pPr>
            <w:r>
              <w:rPr>
                <w:color w:val="000000"/>
                <w:sz w:val="16"/>
                <w:szCs w:val="16"/>
              </w:rPr>
              <w:t>73.2</w:t>
            </w:r>
          </w:p>
        </w:tc>
        <w:tc>
          <w:tcPr>
            <w:tcW w:w="840" w:type="dxa"/>
            <w:tcBorders>
              <w:top w:val="single" w:sz="4" w:space="0" w:color="C6D9F1"/>
              <w:bottom w:val="single" w:sz="4" w:space="0" w:color="C6D9F1"/>
            </w:tcBorders>
            <w:vAlign w:val="center"/>
          </w:tcPr>
          <w:p w14:paraId="11E08981" w14:textId="51CC6D69" w:rsidR="00116F78" w:rsidRPr="00116F78" w:rsidRDefault="00116F78" w:rsidP="00116F78">
            <w:pPr>
              <w:tabs>
                <w:tab w:val="left" w:pos="46"/>
                <w:tab w:val="decimal" w:pos="340"/>
              </w:tabs>
              <w:jc w:val="left"/>
              <w:rPr>
                <w:bCs/>
                <w:color w:val="000000"/>
                <w:sz w:val="16"/>
                <w:szCs w:val="16"/>
              </w:rPr>
            </w:pPr>
            <w:r w:rsidRPr="00116F78">
              <w:rPr>
                <w:bCs/>
                <w:color w:val="000000"/>
                <w:sz w:val="16"/>
                <w:szCs w:val="16"/>
              </w:rPr>
              <w:tab/>
              <w:t>(</w:t>
            </w:r>
            <w:r w:rsidRPr="00116F78">
              <w:rPr>
                <w:bCs/>
                <w:color w:val="000000"/>
                <w:sz w:val="16"/>
                <w:szCs w:val="16"/>
              </w:rPr>
              <w:noBreakHyphen/>
              <w:t>)</w:t>
            </w:r>
            <w:r w:rsidRPr="00116F78">
              <w:rPr>
                <w:bCs/>
                <w:color w:val="000000"/>
                <w:sz w:val="16"/>
                <w:szCs w:val="16"/>
              </w:rPr>
              <w:tab/>
              <w:t>1.0</w:t>
            </w:r>
          </w:p>
        </w:tc>
      </w:tr>
      <w:tr w:rsidR="00116F78" w:rsidRPr="00C168B2" w14:paraId="3CCBEDA3" w14:textId="77777777" w:rsidTr="00116F78">
        <w:tc>
          <w:tcPr>
            <w:tcW w:w="708" w:type="dxa"/>
            <w:tcBorders>
              <w:top w:val="single" w:sz="4" w:space="0" w:color="C6D9F1"/>
              <w:bottom w:val="single" w:sz="4" w:space="0" w:color="C6D9F1"/>
            </w:tcBorders>
            <w:vAlign w:val="center"/>
            <w:hideMark/>
          </w:tcPr>
          <w:p w14:paraId="3FE6CB8A"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0A656BF0" w:rsidR="00116F78" w:rsidRPr="00254102" w:rsidRDefault="00116F78" w:rsidP="00116F78">
            <w:pPr>
              <w:tabs>
                <w:tab w:val="decimal" w:pos="302"/>
              </w:tabs>
              <w:jc w:val="left"/>
              <w:rPr>
                <w:bCs/>
                <w:color w:val="000000"/>
                <w:sz w:val="16"/>
                <w:szCs w:val="16"/>
                <w:lang w:val="es-MX" w:eastAsia="es-MX"/>
              </w:rPr>
            </w:pPr>
            <w:r>
              <w:rPr>
                <w:color w:val="000000"/>
                <w:sz w:val="16"/>
                <w:szCs w:val="16"/>
              </w:rPr>
              <w:t>76.1</w:t>
            </w:r>
          </w:p>
        </w:tc>
        <w:tc>
          <w:tcPr>
            <w:tcW w:w="769" w:type="dxa"/>
            <w:tcBorders>
              <w:top w:val="single" w:sz="4" w:space="0" w:color="C6D9F1"/>
              <w:bottom w:val="single" w:sz="4" w:space="0" w:color="C6D9F1"/>
              <w:right w:val="single" w:sz="6" w:space="0" w:color="1F497D" w:themeColor="text2"/>
            </w:tcBorders>
            <w:vAlign w:val="center"/>
          </w:tcPr>
          <w:p w14:paraId="2CE05EDA" w14:textId="14178BC7" w:rsidR="00116F78" w:rsidRPr="00254102" w:rsidRDefault="00116F78" w:rsidP="00116F78">
            <w:pPr>
              <w:tabs>
                <w:tab w:val="decimal" w:pos="302"/>
              </w:tabs>
              <w:jc w:val="left"/>
              <w:rPr>
                <w:bCs/>
                <w:color w:val="000000"/>
                <w:sz w:val="16"/>
                <w:szCs w:val="16"/>
              </w:rPr>
            </w:pPr>
            <w:r>
              <w:rPr>
                <w:color w:val="000000"/>
                <w:sz w:val="16"/>
                <w:szCs w:val="16"/>
              </w:rPr>
              <w:t>84.3</w:t>
            </w:r>
          </w:p>
        </w:tc>
        <w:tc>
          <w:tcPr>
            <w:tcW w:w="840" w:type="dxa"/>
            <w:tcBorders>
              <w:top w:val="single" w:sz="4" w:space="0" w:color="C6D9F1"/>
              <w:bottom w:val="single" w:sz="4" w:space="0" w:color="C6D9F1"/>
            </w:tcBorders>
            <w:vAlign w:val="center"/>
          </w:tcPr>
          <w:p w14:paraId="36A3965B" w14:textId="272DC2F7" w:rsidR="00116F78" w:rsidRPr="00116F78" w:rsidRDefault="00116F78" w:rsidP="00116F78">
            <w:pPr>
              <w:tabs>
                <w:tab w:val="decimal" w:pos="340"/>
              </w:tabs>
              <w:jc w:val="left"/>
              <w:rPr>
                <w:bCs/>
                <w:color w:val="000000"/>
                <w:sz w:val="16"/>
                <w:szCs w:val="16"/>
              </w:rPr>
            </w:pPr>
            <w:r w:rsidRPr="00116F78">
              <w:rPr>
                <w:bCs/>
                <w:color w:val="000000"/>
                <w:sz w:val="16"/>
                <w:szCs w:val="16"/>
              </w:rPr>
              <w:t>8.2</w:t>
            </w:r>
          </w:p>
        </w:tc>
      </w:tr>
      <w:tr w:rsidR="00116F78" w:rsidRPr="00C168B2" w14:paraId="5FBE8D5E" w14:textId="77777777" w:rsidTr="00116F78">
        <w:tc>
          <w:tcPr>
            <w:tcW w:w="708" w:type="dxa"/>
            <w:tcBorders>
              <w:top w:val="single" w:sz="4" w:space="0" w:color="C6D9F1"/>
              <w:bottom w:val="single" w:sz="8" w:space="0" w:color="1F497D" w:themeColor="text2"/>
            </w:tcBorders>
            <w:vAlign w:val="center"/>
            <w:hideMark/>
          </w:tcPr>
          <w:p w14:paraId="7668521D" w14:textId="77777777" w:rsidR="00116F78" w:rsidRPr="00C168B2" w:rsidRDefault="00116F78" w:rsidP="00116F78">
            <w:pPr>
              <w:snapToGrid w:val="0"/>
              <w:spacing w:before="20" w:after="20"/>
              <w:ind w:left="-57" w:right="57"/>
              <w:jc w:val="right"/>
              <w:rPr>
                <w:sz w:val="16"/>
                <w:szCs w:val="16"/>
                <w:lang w:val="es-MX" w:eastAsia="es-MX"/>
              </w:rPr>
            </w:pPr>
            <w:r w:rsidRPr="00C168B2">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116F78" w:rsidRPr="00C168B2" w:rsidRDefault="00116F78" w:rsidP="00116F78">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271C486D" w:rsidR="00116F78" w:rsidRPr="00254102" w:rsidRDefault="00116F78" w:rsidP="00116F78">
            <w:pPr>
              <w:tabs>
                <w:tab w:val="decimal" w:pos="302"/>
              </w:tabs>
              <w:jc w:val="left"/>
              <w:rPr>
                <w:bCs/>
                <w:color w:val="000000"/>
                <w:sz w:val="16"/>
                <w:szCs w:val="16"/>
                <w:lang w:val="es-MX" w:eastAsia="es-MX"/>
              </w:rPr>
            </w:pPr>
            <w:r>
              <w:rPr>
                <w:color w:val="000000"/>
                <w:sz w:val="16"/>
                <w:szCs w:val="16"/>
              </w:rPr>
              <w:t>80.6</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16A9C566" w:rsidR="00116F78" w:rsidRPr="00254102" w:rsidRDefault="00116F78" w:rsidP="00116F78">
            <w:pPr>
              <w:tabs>
                <w:tab w:val="decimal" w:pos="302"/>
              </w:tabs>
              <w:jc w:val="left"/>
              <w:rPr>
                <w:bCs/>
                <w:color w:val="000000"/>
                <w:sz w:val="16"/>
                <w:szCs w:val="16"/>
              </w:rPr>
            </w:pPr>
            <w:r>
              <w:rPr>
                <w:color w:val="000000"/>
                <w:sz w:val="16"/>
                <w:szCs w:val="16"/>
              </w:rPr>
              <w:t>86.2</w:t>
            </w:r>
          </w:p>
        </w:tc>
        <w:tc>
          <w:tcPr>
            <w:tcW w:w="840" w:type="dxa"/>
            <w:tcBorders>
              <w:top w:val="single" w:sz="4" w:space="0" w:color="C6D9F1"/>
              <w:bottom w:val="single" w:sz="8" w:space="0" w:color="1F497D" w:themeColor="text2"/>
            </w:tcBorders>
            <w:vAlign w:val="center"/>
          </w:tcPr>
          <w:p w14:paraId="5213E17E" w14:textId="3A36AEA6" w:rsidR="00116F78" w:rsidRPr="00116F78" w:rsidRDefault="00116F78" w:rsidP="00116F78">
            <w:pPr>
              <w:tabs>
                <w:tab w:val="decimal" w:pos="340"/>
              </w:tabs>
              <w:jc w:val="left"/>
              <w:rPr>
                <w:bCs/>
                <w:color w:val="000000"/>
                <w:sz w:val="16"/>
                <w:szCs w:val="16"/>
              </w:rPr>
            </w:pPr>
            <w:r w:rsidRPr="00116F78">
              <w:rPr>
                <w:bCs/>
                <w:color w:val="000000"/>
                <w:sz w:val="16"/>
                <w:szCs w:val="16"/>
              </w:rPr>
              <w:t>5.6</w:t>
            </w:r>
          </w:p>
        </w:tc>
      </w:tr>
    </w:tbl>
    <w:p w14:paraId="2C422CE3" w14:textId="267C429B" w:rsidR="005D7A99" w:rsidRDefault="005D7A99" w:rsidP="00A66035">
      <w:pPr>
        <w:pStyle w:val="p0"/>
        <w:keepLines w:val="0"/>
        <w:spacing w:before="20"/>
        <w:ind w:left="714"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 xml:space="preserve">Porcentaje que indica la relación entre el volumen de la producción obtenida por las unidades económicas y el volumen de producción que </w:t>
      </w:r>
      <w:r w:rsidR="00E561E4">
        <w:rPr>
          <w:rFonts w:ascii="Arial" w:hAnsi="Arial"/>
          <w:color w:val="auto"/>
          <w:position w:val="-2"/>
          <w:sz w:val="16"/>
          <w:szCs w:val="16"/>
        </w:rPr>
        <w:t xml:space="preserve">de manera </w:t>
      </w:r>
      <w:r w:rsidRPr="00C168B2">
        <w:rPr>
          <w:rFonts w:ascii="Arial" w:hAnsi="Arial"/>
          <w:color w:val="auto"/>
          <w:position w:val="-2"/>
          <w:sz w:val="16"/>
          <w:szCs w:val="16"/>
        </w:rPr>
        <w:t xml:space="preserve">potencial podría generarse en un periodo determinado; lo anterior de acuerdo con las condiciones de infraestructura, equipamiento, procedimientos técnicos y de organización, así como recursos humanos y materiales que </w:t>
      </w:r>
      <w:r w:rsidR="00E561E4">
        <w:rPr>
          <w:rFonts w:ascii="Arial" w:hAnsi="Arial"/>
          <w:color w:val="auto"/>
          <w:position w:val="-2"/>
          <w:sz w:val="16"/>
          <w:szCs w:val="16"/>
        </w:rPr>
        <w:t xml:space="preserve">se </w:t>
      </w:r>
      <w:r w:rsidRPr="00C168B2">
        <w:rPr>
          <w:rFonts w:ascii="Arial" w:hAnsi="Arial"/>
          <w:color w:val="auto"/>
          <w:position w:val="-2"/>
          <w:sz w:val="16"/>
          <w:szCs w:val="16"/>
        </w:rPr>
        <w:t xml:space="preserve">utilizan. </w:t>
      </w:r>
    </w:p>
    <w:p w14:paraId="01C0BCDC" w14:textId="022C18F1" w:rsidR="005D7A99" w:rsidRPr="003537FD" w:rsidRDefault="005D7A99" w:rsidP="0029170A">
      <w:pPr>
        <w:pStyle w:val="p0"/>
        <w:keepLines w:val="0"/>
        <w:spacing w:before="20"/>
        <w:ind w:left="714" w:right="476"/>
        <w:rPr>
          <w:rFonts w:ascii="Arial" w:hAnsi="Arial"/>
          <w:color w:val="auto"/>
          <w:position w:val="-2"/>
          <w:sz w:val="16"/>
          <w:szCs w:val="16"/>
        </w:rPr>
      </w:pPr>
      <w:r w:rsidRPr="003537FD">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Pr>
          <w:rFonts w:ascii="Arial" w:hAnsi="Arial"/>
          <w:color w:val="auto"/>
          <w:position w:val="-2"/>
          <w:sz w:val="16"/>
          <w:szCs w:val="16"/>
        </w:rPr>
        <w:t xml:space="preserve">y se </w:t>
      </w:r>
      <w:r w:rsidRPr="003537FD">
        <w:rPr>
          <w:rFonts w:ascii="Arial" w:hAnsi="Arial"/>
          <w:color w:val="auto"/>
          <w:position w:val="-2"/>
          <w:sz w:val="16"/>
          <w:szCs w:val="16"/>
        </w:rPr>
        <w:t>ponderan las clases de actividad, ramas y subsectores que conforman los agregados respectivos en función del valor de producción.</w:t>
      </w:r>
    </w:p>
    <w:p w14:paraId="5A1A06D5" w14:textId="07BA50FC" w:rsidR="005D7A99" w:rsidRPr="00C168B2" w:rsidRDefault="005D7A99" w:rsidP="0029170A">
      <w:pPr>
        <w:pStyle w:val="p0"/>
        <w:keepLines w:val="0"/>
        <w:spacing w:before="20"/>
        <w:ind w:left="714" w:right="476"/>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que el resultado tiende a 100%, </w:t>
      </w:r>
      <w:r w:rsidR="00E561E4">
        <w:rPr>
          <w:rFonts w:ascii="Arial" w:hAnsi="Arial"/>
          <w:color w:val="auto"/>
          <w:position w:val="-2"/>
          <w:sz w:val="16"/>
          <w:szCs w:val="16"/>
        </w:rPr>
        <w:t xml:space="preserve">indicándose así </w:t>
      </w:r>
      <w:r w:rsidRPr="003537FD">
        <w:rPr>
          <w:rFonts w:ascii="Arial" w:hAnsi="Arial"/>
          <w:color w:val="auto"/>
          <w:position w:val="-2"/>
          <w:sz w:val="16"/>
          <w:szCs w:val="16"/>
        </w:rPr>
        <w:t xml:space="preserve">la capacidad de planta efectivamente utilizada en el mes de referencia. </w:t>
      </w:r>
      <w:r w:rsidR="00E561E4">
        <w:rPr>
          <w:rFonts w:ascii="Arial" w:hAnsi="Arial"/>
          <w:color w:val="auto"/>
          <w:position w:val="-2"/>
          <w:sz w:val="16"/>
          <w:szCs w:val="16"/>
        </w:rPr>
        <w:t>Se</w:t>
      </w:r>
      <w:r w:rsidRPr="003537FD">
        <w:rPr>
          <w:rFonts w:ascii="Arial" w:hAnsi="Arial"/>
          <w:color w:val="auto"/>
          <w:position w:val="-2"/>
          <w:sz w:val="16"/>
          <w:szCs w:val="16"/>
        </w:rPr>
        <w:t xml:space="preserve"> obtiene el porcentaje referente a la capacidad ociosa</w:t>
      </w:r>
      <w:r w:rsidR="00E561E4">
        <w:rPr>
          <w:rFonts w:ascii="Arial" w:hAnsi="Arial"/>
          <w:color w:val="auto"/>
          <w:position w:val="-2"/>
          <w:sz w:val="16"/>
          <w:szCs w:val="16"/>
        </w:rPr>
        <w:t xml:space="preserve"> por diferencia</w:t>
      </w:r>
      <w:r w:rsidRPr="003537FD">
        <w:rPr>
          <w:rFonts w:ascii="Arial" w:hAnsi="Arial"/>
          <w:color w:val="auto"/>
          <w:position w:val="-2"/>
          <w:sz w:val="16"/>
          <w:szCs w:val="16"/>
        </w:rPr>
        <w:t>.</w:t>
      </w:r>
    </w:p>
    <w:p w14:paraId="3384FB17" w14:textId="77777777" w:rsidR="005D7A99" w:rsidRPr="00C168B2" w:rsidRDefault="005D7A99" w:rsidP="0029170A">
      <w:pPr>
        <w:pStyle w:val="p0"/>
        <w:keepLines w:val="0"/>
        <w:spacing w:before="20"/>
        <w:ind w:left="573" w:right="476"/>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0FA16671" w14:textId="1B10A5BB" w:rsidR="005D7A99" w:rsidRDefault="005D7A99" w:rsidP="001B4785">
      <w:pPr>
        <w:pStyle w:val="p0"/>
        <w:keepLines w:val="0"/>
        <w:spacing w:before="20"/>
        <w:ind w:left="1148" w:right="476" w:hanging="575"/>
        <w:rPr>
          <w:rFonts w:ascii="Arial" w:hAnsi="Arial"/>
          <w:color w:val="auto"/>
          <w:sz w:val="16"/>
          <w:szCs w:val="16"/>
        </w:rPr>
      </w:pPr>
      <w:r w:rsidRPr="00C168B2">
        <w:rPr>
          <w:rFonts w:ascii="Arial" w:hAnsi="Arial"/>
          <w:color w:val="auto"/>
          <w:sz w:val="16"/>
          <w:szCs w:val="16"/>
        </w:rPr>
        <w:t>Fuente:</w:t>
      </w:r>
      <w:r w:rsidR="001B4785">
        <w:rPr>
          <w:rFonts w:ascii="Arial" w:hAnsi="Arial"/>
          <w:color w:val="auto"/>
          <w:sz w:val="16"/>
          <w:szCs w:val="16"/>
        </w:rPr>
        <w:tab/>
      </w:r>
      <w:r w:rsidRPr="00C168B2">
        <w:rPr>
          <w:rFonts w:ascii="Arial" w:hAnsi="Arial"/>
          <w:color w:val="auto"/>
          <w:sz w:val="16"/>
          <w:szCs w:val="16"/>
        </w:rPr>
        <w:t>INEGI.</w:t>
      </w:r>
    </w:p>
    <w:p w14:paraId="13F12E6D" w14:textId="77777777" w:rsidR="001B4785" w:rsidRDefault="001B4785">
      <w:pPr>
        <w:jc w:val="left"/>
        <w:rPr>
          <w:rFonts w:ascii="Helvetica" w:hAnsi="Helvetica"/>
          <w:b/>
          <w:i/>
          <w:snapToGrid w:val="0"/>
        </w:rPr>
      </w:pPr>
      <w:r>
        <w:rPr>
          <w:b/>
          <w:i/>
        </w:rPr>
        <w:br w:type="page"/>
      </w:r>
    </w:p>
    <w:p w14:paraId="6B6E3827" w14:textId="4F874865" w:rsidR="00AD03E9" w:rsidRPr="00BB4693" w:rsidRDefault="00AD03E9" w:rsidP="0029170A">
      <w:pPr>
        <w:pStyle w:val="p0"/>
        <w:keepLines w:val="0"/>
        <w:spacing w:before="480"/>
        <w:jc w:val="left"/>
        <w:rPr>
          <w:rFonts w:ascii="Arial" w:hAnsi="Arial"/>
          <w:b/>
          <w:i/>
          <w:color w:val="auto"/>
        </w:rPr>
      </w:pPr>
      <w:r w:rsidRPr="00BB4693">
        <w:rPr>
          <w:rFonts w:ascii="Arial" w:hAnsi="Arial"/>
          <w:b/>
          <w:i/>
          <w:color w:val="auto"/>
        </w:rPr>
        <w:lastRenderedPageBreak/>
        <w:t>Nota al usuario</w:t>
      </w:r>
    </w:p>
    <w:p w14:paraId="60A8727E" w14:textId="6571B253" w:rsidR="00116F78" w:rsidRPr="00BB4693" w:rsidRDefault="00BB4693" w:rsidP="009A4B6C">
      <w:pPr>
        <w:pStyle w:val="p0"/>
        <w:keepLines w:val="0"/>
        <w:widowControl/>
        <w:rPr>
          <w:rFonts w:ascii="Arial" w:hAnsi="Arial"/>
          <w:color w:val="auto"/>
          <w:lang w:val="es-MX"/>
        </w:rPr>
      </w:pPr>
      <w:r w:rsidRPr="00BB4693">
        <w:rPr>
          <w:rFonts w:ascii="Arial" w:hAnsi="Arial"/>
          <w:color w:val="auto"/>
          <w:lang w:val="es-MX"/>
        </w:rPr>
        <w:t>La Tasa de No Respuesta de la Encuesta Mensual de la Industria Manufacturera (EMIM), correspondiente al mes de agosto de 2021, registró porcentajes apropiados conforme al diseño estadístico de la encuesta, lo que permitió la generación de estadísticas con niveles altos de precisión. De las 223 clases de actividad que estudia la encuesta s</w:t>
      </w:r>
      <w:r w:rsidR="00D47260">
        <w:rPr>
          <w:rFonts w:ascii="Arial" w:hAnsi="Arial"/>
          <w:color w:val="auto"/>
          <w:lang w:val="es-MX"/>
        </w:rPr>
        <w:t>ó</w:t>
      </w:r>
      <w:r w:rsidRPr="00BB4693">
        <w:rPr>
          <w:rFonts w:ascii="Arial" w:hAnsi="Arial"/>
          <w:color w:val="auto"/>
          <w:lang w:val="es-MX"/>
        </w:rPr>
        <w:t>lo para 6 clases se recomienda usar las estimaciones con reserva, las cuales representan 1.4% con relación a la variable de ingresos del total de las Industrias Manufactureras, entre las que se encuentran la Elaboración de leche líquida, Fabricación de equipo de refrigeración industrial y comercial, Elaboración de café tostado y molido, Fabricación de cal, Fabricación de velas y veladoras y</w:t>
      </w:r>
      <w:r w:rsidR="00D47260">
        <w:rPr>
          <w:rFonts w:ascii="Arial" w:hAnsi="Arial"/>
          <w:color w:val="auto"/>
          <w:lang w:val="es-MX"/>
        </w:rPr>
        <w:t>,</w:t>
      </w:r>
      <w:r w:rsidRPr="00BB4693">
        <w:rPr>
          <w:rFonts w:ascii="Arial" w:hAnsi="Arial"/>
          <w:color w:val="auto"/>
          <w:lang w:val="es-MX"/>
        </w:rPr>
        <w:t xml:space="preserve"> Orfebrería y joyería de metales y piedras precios</w:t>
      </w:r>
      <w:r w:rsidR="00D47260">
        <w:rPr>
          <w:rFonts w:ascii="Arial" w:hAnsi="Arial"/>
          <w:color w:val="auto"/>
          <w:lang w:val="es-MX"/>
        </w:rPr>
        <w:t>a</w:t>
      </w:r>
      <w:r w:rsidRPr="00BB4693">
        <w:rPr>
          <w:rFonts w:ascii="Arial" w:hAnsi="Arial"/>
          <w:color w:val="auto"/>
          <w:lang w:val="es-MX"/>
        </w:rPr>
        <w:t>s</w:t>
      </w:r>
      <w:r w:rsidR="00116F78" w:rsidRPr="00BB4693">
        <w:rPr>
          <w:rFonts w:ascii="Arial" w:hAnsi="Arial"/>
          <w:color w:val="auto"/>
          <w:lang w:val="es-MX"/>
        </w:rPr>
        <w:t>.</w:t>
      </w:r>
    </w:p>
    <w:p w14:paraId="1144DF16" w14:textId="7C6B8B19" w:rsidR="00996170" w:rsidRPr="00D47260" w:rsidRDefault="00BB4693" w:rsidP="009A4B6C">
      <w:pPr>
        <w:pStyle w:val="p0"/>
        <w:keepLines w:val="0"/>
        <w:widowControl/>
        <w:rPr>
          <w:rFonts w:ascii="Arial" w:hAnsi="Arial"/>
          <w:color w:val="auto"/>
          <w:lang w:val="es-MX"/>
        </w:rPr>
      </w:pPr>
      <w:r w:rsidRPr="00D47260">
        <w:rPr>
          <w:rFonts w:ascii="Arial" w:hAnsi="Arial"/>
          <w:color w:val="auto"/>
          <w:lang w:val="es-MX"/>
        </w:rPr>
        <w:t xml:space="preserve">En concordancia con los Lineamientos de Cambios a la Información Divulgada en las Publicaciones Estadísticas y Geográficas del INEGI las series de </w:t>
      </w:r>
      <w:r w:rsidR="00F40EA2">
        <w:rPr>
          <w:rFonts w:ascii="Arial" w:hAnsi="Arial"/>
          <w:color w:val="auto"/>
          <w:lang w:val="es-MX"/>
        </w:rPr>
        <w:t xml:space="preserve">la </w:t>
      </w:r>
      <w:r w:rsidRPr="00D47260">
        <w:rPr>
          <w:rFonts w:ascii="Arial" w:hAnsi="Arial"/>
          <w:color w:val="auto"/>
          <w:lang w:val="es-MX"/>
        </w:rPr>
        <w:t>EMIM del año 2020 y del periodo enero-julio de 2021, fueron revisadas y actualizadas. De acuerdo con lo anterior, las cifras de la EMIM del periodo 2007-2020 tienen carácter definitivo, enero-julio de 2021 revisadas y a partir de agosto del presente año preliminar</w:t>
      </w:r>
      <w:r w:rsidR="009A4B6C" w:rsidRPr="00D47260">
        <w:rPr>
          <w:rFonts w:ascii="Arial" w:hAnsi="Arial"/>
          <w:color w:val="auto"/>
          <w:lang w:val="es-MX"/>
        </w:rPr>
        <w:t>.</w:t>
      </w:r>
    </w:p>
    <w:p w14:paraId="2BA433F7" w14:textId="24B826FD" w:rsidR="00BB4693" w:rsidRPr="00D47260" w:rsidRDefault="00BB4693" w:rsidP="009A4B6C">
      <w:pPr>
        <w:pStyle w:val="p0"/>
        <w:keepLines w:val="0"/>
        <w:widowControl/>
        <w:rPr>
          <w:rFonts w:ascii="Arial" w:hAnsi="Arial"/>
          <w:color w:val="auto"/>
          <w:lang w:val="es-MX"/>
        </w:rPr>
      </w:pPr>
      <w:r w:rsidRPr="00D47260">
        <w:rPr>
          <w:rFonts w:ascii="Arial" w:hAnsi="Arial"/>
          <w:color w:val="auto"/>
          <w:lang w:val="es-MX"/>
        </w:rPr>
        <w:t>Los resultados definitivos del año 2020 y revisados del periodo enero-julio de 2021 mantienen niveles adecuados de cobertura y precisión para todos los dominios de estudio.</w:t>
      </w:r>
    </w:p>
    <w:p w14:paraId="4F65CC7F" w14:textId="26C7AEB3" w:rsidR="003E6F4D" w:rsidRPr="00BB4693" w:rsidRDefault="003E6F4D" w:rsidP="00846870">
      <w:pPr>
        <w:pStyle w:val="p0"/>
        <w:keepLines w:val="0"/>
        <w:widowControl/>
        <w:rPr>
          <w:rFonts w:ascii="Arial" w:hAnsi="Arial"/>
          <w:color w:val="auto"/>
        </w:rPr>
      </w:pPr>
      <w:r w:rsidRPr="00BB4693">
        <w:rPr>
          <w:rFonts w:ascii="Arial" w:hAnsi="Arial"/>
          <w:color w:val="auto"/>
          <w:lang w:val="es-MX"/>
        </w:rPr>
        <w:t>Por otra parte,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BB4693">
        <w:rPr>
          <w:rFonts w:ascii="Arial" w:hAnsi="Arial"/>
          <w:i/>
          <w:color w:val="auto"/>
          <w:lang w:val="es-MX"/>
        </w:rPr>
        <w:t>outliers</w:t>
      </w:r>
      <w:proofErr w:type="spellEnd"/>
      <w:r w:rsidRPr="00BB4693">
        <w:rPr>
          <w:rFonts w:ascii="Arial" w:hAnsi="Arial"/>
          <w:color w:val="auto"/>
          <w:lang w:val="es-MX"/>
        </w:rPr>
        <w:t xml:space="preserve">) en los modelos de ajuste estacional para los meses de la contingencia. Lo anterior </w:t>
      </w:r>
      <w:r w:rsidR="00886837" w:rsidRPr="00BB4693">
        <w:rPr>
          <w:rFonts w:ascii="Arial" w:hAnsi="Arial"/>
          <w:color w:val="auto"/>
          <w:lang w:val="es-MX"/>
        </w:rPr>
        <w:t xml:space="preserve">para </w:t>
      </w:r>
      <w:r w:rsidRPr="00BB4693">
        <w:rPr>
          <w:rFonts w:ascii="Arial" w:hAnsi="Arial"/>
          <w:color w:val="auto"/>
          <w:lang w:val="es-MX"/>
        </w:rPr>
        <w:t>que los grandes cambios en las cifras originales no influyan de manera desproporcionada en los factores estacionales utilizados.</w:t>
      </w:r>
    </w:p>
    <w:p w14:paraId="0745FB47" w14:textId="77777777" w:rsidR="00095006" w:rsidRPr="004867D2" w:rsidRDefault="00095006" w:rsidP="003E6F4D">
      <w:pPr>
        <w:pStyle w:val="p0"/>
        <w:keepLines w:val="0"/>
        <w:widowControl/>
        <w:spacing w:before="480"/>
        <w:rPr>
          <w:rFonts w:ascii="Arial" w:hAnsi="Arial"/>
          <w:b/>
          <w:i/>
          <w:color w:val="auto"/>
        </w:rPr>
      </w:pPr>
      <w:r w:rsidRPr="004867D2">
        <w:rPr>
          <w:rFonts w:ascii="Arial" w:hAnsi="Arial"/>
          <w:b/>
          <w:i/>
          <w:color w:val="auto"/>
        </w:rPr>
        <w:t>Nota metodológica</w:t>
      </w:r>
    </w:p>
    <w:p w14:paraId="22C57496" w14:textId="77777777" w:rsidR="00DA7BD3" w:rsidRPr="00DA7BD3" w:rsidRDefault="00DA7BD3" w:rsidP="002A145E">
      <w:pPr>
        <w:pStyle w:val="p0"/>
        <w:keepLines w:val="0"/>
        <w:widowControl/>
        <w:rPr>
          <w:color w:val="auto"/>
        </w:rPr>
      </w:pPr>
      <w:r w:rsidRPr="006B2FDE">
        <w:rPr>
          <w:rFonts w:ascii="Arial" w:hAnsi="Arial"/>
          <w:snapToGrid/>
          <w:color w:val="auto"/>
        </w:rPr>
        <w:t>La</w:t>
      </w:r>
      <w:r w:rsidRPr="00DA7BD3">
        <w:rPr>
          <w:color w:val="auto"/>
        </w:rPr>
        <w:t xml:space="preserve"> Encuesta Mensual de la Industria Manufacturera (EMIM) tiene una cobertura de 239 clases de actividad. Los índices tienen como año base de referencia 2013=100.</w:t>
      </w:r>
    </w:p>
    <w:p w14:paraId="0C167543" w14:textId="77777777" w:rsidR="00DA7BD3" w:rsidRPr="00DA7BD3" w:rsidRDefault="00DA7BD3" w:rsidP="002A145E">
      <w:pPr>
        <w:pStyle w:val="p0"/>
        <w:keepLines w:val="0"/>
        <w:widowControl/>
        <w:rPr>
          <w:color w:val="auto"/>
          <w:lang w:val="es-MX"/>
        </w:rPr>
      </w:pPr>
      <w:r w:rsidRPr="00DA7BD3">
        <w:rPr>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549D4BDA" w14:textId="05851BB0" w:rsidR="00DA7BD3" w:rsidRPr="00B82738" w:rsidRDefault="00465B01" w:rsidP="002A145E">
      <w:pPr>
        <w:pStyle w:val="p0"/>
        <w:keepLines w:val="0"/>
        <w:widowControl/>
        <w:rPr>
          <w:color w:val="auto"/>
          <w:spacing w:val="-2"/>
        </w:rPr>
      </w:pPr>
      <w:r w:rsidRPr="00465B01">
        <w:rPr>
          <w:color w:val="auto"/>
        </w:rPr>
        <w:t xml:space="preserve">Es importante destacar que la mayoría de las series económicas se ven afectadas por factores estacionales. Éstos </w:t>
      </w:r>
      <w:r w:rsidR="00DA7BD3" w:rsidRPr="00DA7BD3">
        <w:rPr>
          <w:color w:val="auto"/>
        </w:rPr>
        <w:t>son efectos periódicos que se repiten cada año</w:t>
      </w:r>
      <w:r w:rsidR="00F01447">
        <w:rPr>
          <w:color w:val="auto"/>
        </w:rPr>
        <w:t>,</w:t>
      </w:r>
      <w:r w:rsidR="00DA7BD3" w:rsidRPr="00DA7BD3">
        <w:rPr>
          <w:color w:val="auto"/>
        </w:rPr>
        <w:t xml:space="preserve"> y cuyas causas pueden considerarse ajenas a la naturaleza económica de las series, como son las festividades, el hecho de que algunos meses tienen más días que otros, los periodos de vacaciones escolares, el efecto del clima en las estaciones del año, y otras </w:t>
      </w:r>
      <w:r w:rsidR="00DA7BD3" w:rsidRPr="00DA7BD3">
        <w:rPr>
          <w:color w:val="auto"/>
        </w:rPr>
        <w:lastRenderedPageBreak/>
        <w:t xml:space="preserve">fluctuaciones estacionales, por ejemplo, la elevada producción de juguetes en los </w:t>
      </w:r>
      <w:r w:rsidR="00DA7BD3" w:rsidRPr="00B82738">
        <w:rPr>
          <w:color w:val="auto"/>
          <w:spacing w:val="-2"/>
        </w:rPr>
        <w:t>meses previos a la Navidad provocada por la expectativa de mayores ventas en diciembre.</w:t>
      </w:r>
    </w:p>
    <w:p w14:paraId="02334979" w14:textId="151B5CE4" w:rsidR="00F01447" w:rsidRDefault="00DA7BD3" w:rsidP="002A145E">
      <w:pPr>
        <w:pStyle w:val="p0"/>
        <w:keepLines w:val="0"/>
        <w:widowControl/>
        <w:rPr>
          <w:rFonts w:ascii="Arial" w:hAnsi="Arial"/>
          <w:snapToGrid/>
          <w:color w:val="auto"/>
        </w:rPr>
      </w:pPr>
      <w:r w:rsidRPr="00DA7BD3">
        <w:rPr>
          <w:rFonts w:ascii="Arial" w:hAnsi="Arial"/>
          <w:snapToGrid/>
          <w:color w:val="auto"/>
        </w:rPr>
        <w:t xml:space="preserve">En este sentido, la desestacionalización o ajuste estacional de series económicas consiste en remover estas influencias </w:t>
      </w:r>
      <w:proofErr w:type="spellStart"/>
      <w:r w:rsidRPr="00DA7BD3">
        <w:rPr>
          <w:rFonts w:ascii="Arial" w:hAnsi="Arial"/>
          <w:snapToGrid/>
          <w:color w:val="auto"/>
        </w:rPr>
        <w:t>intra-anuales</w:t>
      </w:r>
      <w:proofErr w:type="spellEnd"/>
      <w:r w:rsidRPr="00DA7BD3">
        <w:rPr>
          <w:rFonts w:ascii="Arial" w:hAnsi="Arial"/>
          <w:snapToGrid/>
          <w:color w:val="auto"/>
        </w:rPr>
        <w:t xml:space="preserve"> periódicas, debido a que su presencia dificulta diagnosticar o describir el comportamiento de una serie económica al no poder comparar</w:t>
      </w:r>
      <w:r w:rsidR="00F01447">
        <w:rPr>
          <w:rFonts w:ascii="Arial" w:hAnsi="Arial"/>
          <w:snapToGrid/>
          <w:color w:val="auto"/>
        </w:rPr>
        <w:t>,</w:t>
      </w:r>
      <w:r w:rsidRPr="00DA7BD3">
        <w:rPr>
          <w:rFonts w:ascii="Arial" w:hAnsi="Arial"/>
          <w:snapToGrid/>
          <w:color w:val="auto"/>
        </w:rPr>
        <w:t xml:space="preserve"> adecuadamente</w:t>
      </w:r>
      <w:r w:rsidR="00F01447">
        <w:rPr>
          <w:rFonts w:ascii="Arial" w:hAnsi="Arial"/>
          <w:snapToGrid/>
          <w:color w:val="auto"/>
        </w:rPr>
        <w:t>,</w:t>
      </w:r>
      <w:r w:rsidRPr="00DA7BD3">
        <w:rPr>
          <w:rFonts w:ascii="Arial" w:hAnsi="Arial"/>
          <w:snapToGrid/>
          <w:color w:val="auto"/>
        </w:rPr>
        <w:t xml:space="preserve"> un determinado mes con el inmediato anterior. </w:t>
      </w:r>
    </w:p>
    <w:p w14:paraId="3173D319" w14:textId="39703D94" w:rsidR="00095006" w:rsidRPr="004867D2" w:rsidRDefault="00DA7BD3" w:rsidP="002A145E">
      <w:pPr>
        <w:pStyle w:val="p0"/>
        <w:keepLines w:val="0"/>
        <w:widowControl/>
        <w:rPr>
          <w:rFonts w:ascii="Arial" w:hAnsi="Arial"/>
          <w:color w:val="auto"/>
        </w:rPr>
      </w:pPr>
      <w:r w:rsidRPr="00DA7BD3">
        <w:rPr>
          <w:rFonts w:ascii="Arial" w:hAnsi="Arial"/>
          <w:snapToGrid/>
          <w:color w:val="auto"/>
        </w:rPr>
        <w:t xml:space="preserve">Analizar la serie desestacionalizada ayuda a realizar un mejor diagnóstico y pronóstico de </w:t>
      </w:r>
      <w:r w:rsidR="00F01447">
        <w:rPr>
          <w:rFonts w:ascii="Arial" w:hAnsi="Arial"/>
          <w:snapToGrid/>
          <w:color w:val="auto"/>
        </w:rPr>
        <w:t>su</w:t>
      </w:r>
      <w:r w:rsidRPr="00DA7BD3">
        <w:rPr>
          <w:rFonts w:ascii="Arial" w:hAnsi="Arial"/>
          <w:snapToGrid/>
          <w:color w:val="auto"/>
        </w:rPr>
        <w:t xml:space="preserve"> evolución ya que </w:t>
      </w:r>
      <w:r w:rsidR="00F01447">
        <w:rPr>
          <w:rFonts w:ascii="Arial" w:hAnsi="Arial"/>
          <w:snapToGrid/>
          <w:color w:val="auto"/>
        </w:rPr>
        <w:t>permite</w:t>
      </w:r>
      <w:r w:rsidRPr="00DA7BD3">
        <w:rPr>
          <w:rFonts w:ascii="Arial" w:hAnsi="Arial"/>
          <w:snapToGrid/>
          <w:color w:val="auto"/>
        </w:rPr>
        <w:t xml:space="preserve"> identifica</w:t>
      </w:r>
      <w:r w:rsidR="00F01447">
        <w:rPr>
          <w:rFonts w:ascii="Arial" w:hAnsi="Arial"/>
          <w:snapToGrid/>
          <w:color w:val="auto"/>
        </w:rPr>
        <w:t>r</w:t>
      </w:r>
      <w:r w:rsidRPr="00DA7BD3">
        <w:rPr>
          <w:rFonts w:ascii="Arial" w:hAnsi="Arial"/>
          <w:snapToGrid/>
          <w:color w:val="auto"/>
        </w:rPr>
        <w:t xml:space="preserve"> la posible dirección de los movimientos que pudiera tener la variable en cuestión, en el corto plazo. </w:t>
      </w:r>
    </w:p>
    <w:p w14:paraId="437624F2" w14:textId="77777777" w:rsidR="00BB4D99" w:rsidRPr="00DF01D9" w:rsidRDefault="00582021" w:rsidP="002A145E">
      <w:pPr>
        <w:widowControl w:val="0"/>
        <w:spacing w:before="240"/>
        <w:rPr>
          <w:spacing w:val="-6"/>
        </w:rPr>
      </w:pPr>
      <w:r w:rsidRPr="00DF01D9">
        <w:rPr>
          <w:spacing w:val="-6"/>
          <w:szCs w:val="20"/>
        </w:rPr>
        <w:t>Las series originales se ajustan estacionalmente mediante el paquete estadístico X</w:t>
      </w:r>
      <w:r w:rsidRPr="00DF01D9">
        <w:rPr>
          <w:spacing w:val="-6"/>
          <w:szCs w:val="20"/>
        </w:rPr>
        <w:noBreakHyphen/>
        <w:t>13ARIMA</w:t>
      </w:r>
      <w:r w:rsidRPr="00DF01D9">
        <w:rPr>
          <w:spacing w:val="-6"/>
          <w:szCs w:val="20"/>
        </w:rPr>
        <w:noBreakHyphen/>
        <w:t>SEATS. Para conocer la metodología se sugiere consultar la siguiente liga</w:t>
      </w:r>
      <w:r w:rsidR="00095006" w:rsidRPr="00DF01D9">
        <w:rPr>
          <w:spacing w:val="-6"/>
        </w:rPr>
        <w:t>:</w:t>
      </w:r>
    </w:p>
    <w:p w14:paraId="267440F7" w14:textId="77777777" w:rsidR="00DA7BD3" w:rsidRPr="00B82738" w:rsidRDefault="00CD048D" w:rsidP="00B82738">
      <w:pPr>
        <w:spacing w:before="60"/>
        <w:rPr>
          <w:rFonts w:ascii="Calibri" w:hAnsi="Calibri"/>
          <w:color w:val="1F497D"/>
          <w:sz w:val="22"/>
          <w:lang w:eastAsia="en-US"/>
        </w:rPr>
      </w:pPr>
      <w:hyperlink r:id="rId25" w:history="1">
        <w:r w:rsidR="00ED61FC" w:rsidRPr="00B82738">
          <w:rPr>
            <w:rStyle w:val="Hipervnculo"/>
            <w:lang w:eastAsia="en-US"/>
          </w:rPr>
          <w:t>https://www.inegi.org.mx/app/biblioteca/ficha.html?upc=702825099060</w:t>
        </w:r>
      </w:hyperlink>
    </w:p>
    <w:p w14:paraId="54ED1088" w14:textId="179FAFA6" w:rsidR="00095006" w:rsidRPr="004867D2" w:rsidRDefault="00222514" w:rsidP="002A145E">
      <w:pPr>
        <w:spacing w:before="240"/>
      </w:pPr>
      <w:r w:rsidRPr="004867D2">
        <w:rPr>
          <w:noProof/>
          <w:lang w:val="es-MX" w:eastAsia="es-MX"/>
        </w:rPr>
        <w:drawing>
          <wp:anchor distT="0" distB="0" distL="114300" distR="114300" simplePos="0" relativeHeight="251658240" behindDoc="1" locked="0" layoutInCell="1" allowOverlap="1" wp14:anchorId="57B0276D" wp14:editId="1F8A3A1B">
            <wp:simplePos x="0" y="0"/>
            <wp:positionH relativeFrom="column">
              <wp:posOffset>907415</wp:posOffset>
            </wp:positionH>
            <wp:positionV relativeFrom="paragraph">
              <wp:posOffset>522605</wp:posOffset>
            </wp:positionV>
            <wp:extent cx="151130" cy="151130"/>
            <wp:effectExtent l="0" t="0" r="1270" b="1270"/>
            <wp:wrapThrough wrapText="bothSides">
              <wp:wrapPolygon edited="0">
                <wp:start x="0" y="0"/>
                <wp:lineTo x="0" y="19059"/>
                <wp:lineTo x="19059" y="19059"/>
                <wp:lineTo x="19059" y="0"/>
                <wp:lineTo x="0" y="0"/>
              </wp:wrapPolygon>
            </wp:wrapThrough>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6">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DA7BD3" w:rsidRPr="004867D2">
        <w:t>Asimismo, las especificaciones de los modelos utilizados para realizar el ajuste estacional están disponibles en el Banco de Información Económica, seleccionando el icono de información</w:t>
      </w:r>
      <w:r>
        <w:t xml:space="preserve"> </w:t>
      </w:r>
      <w:r w:rsidR="00DA7BD3" w:rsidRPr="004867D2">
        <w:t>correspondiente a las “series desestacionalizadas y de tendencia-ciclo” de los Indicadores del Sector Manufacturero</w:t>
      </w:r>
      <w:r w:rsidR="00095006" w:rsidRPr="004867D2">
        <w:t>.</w:t>
      </w:r>
      <w:r w:rsidR="00095006" w:rsidRPr="004867D2">
        <w:rPr>
          <w:color w:val="FFFFFF" w:themeColor="background1"/>
        </w:rPr>
        <w:t xml:space="preserve"> </w:t>
      </w:r>
    </w:p>
    <w:p w14:paraId="25A01237" w14:textId="10E2BE8C" w:rsidR="00DA7BD3" w:rsidRPr="00DA7BD3" w:rsidRDefault="00DA7BD3" w:rsidP="002A145E">
      <w:pPr>
        <w:keepLines/>
        <w:spacing w:before="240"/>
      </w:pPr>
      <w:r w:rsidRPr="00DA7BD3">
        <w:t xml:space="preserve">La EMIM aplica la Norma Técnica del Proceso de Producción de Información Estadística y Geográfica, que proporciona un marco normativo regulatorio </w:t>
      </w:r>
      <w:r w:rsidR="00886837">
        <w:t>para</w:t>
      </w:r>
      <w:r w:rsidRPr="00DA7BD3">
        <w:t xml:space="preserve"> la producción de información estadística en México. También retoma los principios </w:t>
      </w:r>
      <w:r w:rsidRPr="00DA7BD3">
        <w:rPr>
          <w:lang w:val="es-MX"/>
        </w:rPr>
        <w:t>conceptuales</w:t>
      </w:r>
      <w:r w:rsidRPr="00DA7BD3">
        <w:t xml:space="preserve"> y metodológicos de la Ley del Sistema Nacional de Información Estadística y Geográfica, la Norma Técnica para la Generación de Estadística Básica, el Proceso </w:t>
      </w:r>
      <w:r w:rsidR="00851B11" w:rsidRPr="00DA7BD3">
        <w:t>Est</w:t>
      </w:r>
      <w:r w:rsidR="00851B11">
        <w:t>á</w:t>
      </w:r>
      <w:r w:rsidR="00851B11" w:rsidRPr="00DA7BD3">
        <w:t>ndar</w:t>
      </w:r>
      <w:r w:rsidRPr="00DA7BD3">
        <w:t xml:space="preserve"> para Encuestas por Muestreo y la Norma para el Aseguramiento de la Calidad de la Información Estadística y Geográfica.</w:t>
      </w:r>
    </w:p>
    <w:p w14:paraId="08E79589" w14:textId="75BC87AD" w:rsidR="00095006" w:rsidRPr="004867D2" w:rsidRDefault="00DA7BD3" w:rsidP="002A145E">
      <w:pPr>
        <w:spacing w:before="240"/>
      </w:pPr>
      <w:r w:rsidRPr="00DA7BD3">
        <w:t xml:space="preserve">La unidad de observación de la encuesta es el establecimiento manufacturero, </w:t>
      </w:r>
      <w:r w:rsidR="00886837">
        <w:t xml:space="preserve">que </w:t>
      </w:r>
      <w:r w:rsidRPr="00DA7BD3">
        <w:t>se define como la unidad económica que, en una ubicación única, delimitada por construcciones e instalaciones fijas, combina recursos bajo un s</w:t>
      </w:r>
      <w:r w:rsidR="00886837">
        <w:t>o</w:t>
      </w:r>
      <w:r w:rsidRPr="00DA7BD3">
        <w:t>lo propietario o control para desarrollar por cuenta propia o ajena (maquila) actividades de ensamble, procesamiento y transformación total</w:t>
      </w:r>
      <w:r>
        <w:t xml:space="preserve"> </w:t>
      </w:r>
      <w:r w:rsidRPr="00DA7BD3">
        <w:t>o parcial de materias primas que derivan en la producción de bienes y servicios afines, comprendidos principalmente en una sola clase de actividad económica</w:t>
      </w:r>
      <w:r w:rsidR="00095006" w:rsidRPr="004867D2">
        <w:t>.</w:t>
      </w:r>
    </w:p>
    <w:p w14:paraId="37605C2C" w14:textId="77777777" w:rsidR="00DA7BD3" w:rsidRPr="00DA7BD3" w:rsidRDefault="00DA7BD3" w:rsidP="002A145E">
      <w:pPr>
        <w:spacing w:before="240"/>
      </w:pPr>
      <w:r w:rsidRPr="00DA7BD3">
        <w:t xml:space="preserve">En la EMIM se incluyen establecimientos productores de bienes, así como los que disponen del Programa de la Industria Manufacturera, Maquiladora y de Servicios de Exportación (IMMEX). </w:t>
      </w:r>
    </w:p>
    <w:p w14:paraId="06BCCEB1" w14:textId="1F443249" w:rsidR="00DA7BD3" w:rsidRPr="00DA7BD3" w:rsidRDefault="00DA7BD3" w:rsidP="002A145E">
      <w:pPr>
        <w:spacing w:before="240"/>
      </w:pPr>
      <w:r w:rsidRPr="00DA7BD3">
        <w:t xml:space="preserve">La cobertura de la encuesta permite obtener </w:t>
      </w:r>
      <w:r w:rsidR="00254102">
        <w:t>resultados</w:t>
      </w:r>
      <w:r w:rsidRPr="00DA7BD3">
        <w:t xml:space="preserve"> a nivel nacional, por clase de actividad, rama, subsector y sector del </w:t>
      </w:r>
      <w:r w:rsidR="00886837" w:rsidRPr="00DA7BD3">
        <w:t xml:space="preserve">Sistema de Clasificación Industrial de América del Norte </w:t>
      </w:r>
      <w:r w:rsidR="00886837">
        <w:t>(</w:t>
      </w:r>
      <w:r w:rsidRPr="00DA7BD3">
        <w:t>SCIAN</w:t>
      </w:r>
      <w:r w:rsidR="00886837">
        <w:t>)</w:t>
      </w:r>
      <w:r w:rsidRPr="00DA7BD3">
        <w:t xml:space="preserve"> 2013.</w:t>
      </w:r>
    </w:p>
    <w:p w14:paraId="14521373" w14:textId="77777777" w:rsidR="00DA7BD3" w:rsidRPr="00DA7BD3" w:rsidRDefault="00DA7BD3" w:rsidP="002A145E">
      <w:pPr>
        <w:spacing w:before="240"/>
      </w:pPr>
      <w:r w:rsidRPr="00DA7BD3">
        <w:lastRenderedPageBreak/>
        <w:t xml:space="preserve">De </w:t>
      </w:r>
      <w:r w:rsidR="00BA2F7D">
        <w:t xml:space="preserve">las </w:t>
      </w:r>
      <w:r w:rsidRPr="00DA7BD3">
        <w:t>239 clases de actividad económica que considera la encuesta, 235 tienen un diseño no probabilístico y las cuatro clases restantes un diseño probabilístico.</w:t>
      </w:r>
    </w:p>
    <w:p w14:paraId="2BC0F0A1" w14:textId="77777777" w:rsidR="00DA7BD3" w:rsidRPr="00DA7BD3" w:rsidRDefault="00DA7BD3" w:rsidP="002A145E">
      <w:pPr>
        <w:spacing w:before="240"/>
      </w:pPr>
      <w:r w:rsidRPr="00DA7BD3">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0A8F6618" w:rsidR="00DA7BD3" w:rsidRPr="00DA7BD3" w:rsidRDefault="00DA7BD3" w:rsidP="001B4785">
      <w:pPr>
        <w:spacing w:before="200"/>
      </w:pPr>
      <w:r w:rsidRPr="00DA7BD3">
        <w:t xml:space="preserve">Los establecimientos de las clases con diseño probabilístico se seleccionaron aleatoriamente y de manera independiente, como variables de selección </w:t>
      </w:r>
      <w:r w:rsidR="00886837">
        <w:t xml:space="preserve">se tomaron </w:t>
      </w:r>
      <w:r w:rsidRPr="00DA7BD3">
        <w:t>el total de personal ocupado y los ingresos totales.</w:t>
      </w:r>
    </w:p>
    <w:p w14:paraId="4EBB5C6C" w14:textId="58785536" w:rsidR="00DA7BD3" w:rsidRPr="00DA7BD3" w:rsidRDefault="00DA7BD3" w:rsidP="001B4785">
      <w:pPr>
        <w:spacing w:before="200"/>
      </w:pPr>
      <w:r w:rsidRPr="00DA7BD3">
        <w:t xml:space="preserve">En estas clases el tamaño de muestra se obtuvo de manera independiente a través de la expresión para estimar un total, con un nivel de confianza de 95%, un error relativo de 10% y una tasa de no respuesta esperada de 15 por ciento. </w:t>
      </w:r>
      <w:r w:rsidR="00886837">
        <w:t>Se c</w:t>
      </w:r>
      <w:r w:rsidRPr="00DA7BD3">
        <w:t>onsidera al estrato 1 con certeza.</w:t>
      </w:r>
    </w:p>
    <w:p w14:paraId="04D57A3F" w14:textId="79D5C672" w:rsidR="00DA7BD3" w:rsidRPr="00DA7BD3" w:rsidRDefault="00DA7BD3" w:rsidP="001B4785">
      <w:pPr>
        <w:spacing w:before="200"/>
      </w:pPr>
      <w:r w:rsidRPr="00DA7BD3">
        <w:t>El marco de muestreo está integrado por 426,511 establecimientos y se conformó por los resultados definitivos de los Censos Económicos 2014 (datos 2013), actualizados por el Registro Estadístico de Negocios de México</w:t>
      </w:r>
      <w:r w:rsidR="00886837">
        <w:t xml:space="preserve"> </w:t>
      </w:r>
      <w:r w:rsidR="00886837" w:rsidRPr="004920AF">
        <w:t>(RENEM)</w:t>
      </w:r>
      <w:r w:rsidRPr="004920AF">
        <w:t>.</w:t>
      </w:r>
    </w:p>
    <w:p w14:paraId="0CBF82A7" w14:textId="77777777" w:rsidR="00DA7BD3" w:rsidRPr="00DA7BD3" w:rsidRDefault="00DA7BD3" w:rsidP="001B4785">
      <w:pPr>
        <w:spacing w:before="200"/>
      </w:pPr>
      <w:r w:rsidRPr="00DA7BD3">
        <w:t>El tamaño de muestra total es de 10,447 establecimientos, incluidos los de certeza. Del total de la muestra</w:t>
      </w:r>
      <w:r w:rsidR="00BA2F7D">
        <w:t>,</w:t>
      </w:r>
      <w:r w:rsidRPr="00DA7BD3">
        <w:t xml:space="preserve"> 10,080 establecimientos pertenecen a las clases no probabilísticas, mientras que 367 establecimientos a las clases probabilísticas.</w:t>
      </w:r>
    </w:p>
    <w:p w14:paraId="2A040A40" w14:textId="206AAAD7" w:rsidR="00DA7BD3" w:rsidRPr="00DA7BD3" w:rsidRDefault="00DA7BD3" w:rsidP="001B4785">
      <w:pPr>
        <w:spacing w:before="200"/>
      </w:pPr>
      <w:r w:rsidRPr="00DA7BD3">
        <w:t xml:space="preserve">Las claves utilizadas para identificar a las clases de actividad económica corresponden al SCIAN 2013. </w:t>
      </w:r>
    </w:p>
    <w:p w14:paraId="7809FAF6" w14:textId="349B129D" w:rsidR="00DA7BD3" w:rsidRPr="00DA7BD3" w:rsidRDefault="00DA7BD3" w:rsidP="001B4785">
      <w:pPr>
        <w:spacing w:before="200"/>
      </w:pPr>
      <w:r w:rsidRPr="00DA7BD3">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DA7BD3">
        <w:t>submaquila</w:t>
      </w:r>
      <w:proofErr w:type="spellEnd"/>
      <w:r w:rsidRPr="00DA7BD3">
        <w:t xml:space="preserve"> y </w:t>
      </w:r>
      <w:proofErr w:type="spellStart"/>
      <w:r w:rsidRPr="00DA7BD3">
        <w:t>remanufactura</w:t>
      </w:r>
      <w:proofErr w:type="spellEnd"/>
      <w:r w:rsidRPr="00DA7BD3">
        <w:t>, días trabajados</w:t>
      </w:r>
      <w:r w:rsidR="00113398">
        <w:t xml:space="preserve"> y</w:t>
      </w:r>
      <w:r w:rsidRPr="00DA7BD3">
        <w:t xml:space="preserve"> valor</w:t>
      </w:r>
      <w:r w:rsidR="00113398">
        <w:t>es</w:t>
      </w:r>
      <w:r w:rsidRPr="00DA7BD3">
        <w:t xml:space="preserve"> de producción </w:t>
      </w:r>
      <w:r w:rsidR="00113398">
        <w:t xml:space="preserve">y de ventas </w:t>
      </w:r>
      <w:r w:rsidRPr="00DA7BD3">
        <w:t>de los productos elaborados.</w:t>
      </w:r>
    </w:p>
    <w:p w14:paraId="31ED94AC" w14:textId="15F58A36" w:rsidR="00095006" w:rsidRDefault="00DA7BD3" w:rsidP="001B4785">
      <w:pPr>
        <w:keepLines/>
        <w:spacing w:before="200"/>
      </w:pPr>
      <w:r w:rsidRPr="00DA7BD3">
        <w:t>Se utilizan tres modalidades para capta</w:t>
      </w:r>
      <w:r w:rsidR="00113398">
        <w:t>r</w:t>
      </w:r>
      <w:r w:rsidRPr="00DA7BD3">
        <w:t xml:space="preserve"> la información: cuestionario impreso (en papel), cuestionario electr</w:t>
      </w:r>
      <w:r w:rsidR="008A091F">
        <w:t>ónico para su captación en los dispositivos de cómputo m</w:t>
      </w:r>
      <w:r w:rsidRPr="00DA7BD3">
        <w:t>óvil y c</w:t>
      </w:r>
      <w:r w:rsidR="008A091F">
        <w:t>uestionario electrónico en el s</w:t>
      </w:r>
      <w:r w:rsidRPr="00DA7BD3">
        <w:t>itio del INEGI para capta</w:t>
      </w:r>
      <w:r w:rsidR="00113398">
        <w:t>r</w:t>
      </w:r>
      <w:r w:rsidRPr="00DA7BD3">
        <w:t xml:space="preserve"> información a través de internet</w:t>
      </w:r>
      <w:r w:rsidR="00095006" w:rsidRPr="004867D2">
        <w:t>.</w:t>
      </w:r>
      <w:r w:rsidR="00297F87">
        <w:t xml:space="preserve"> </w:t>
      </w:r>
    </w:p>
    <w:p w14:paraId="11561EDC" w14:textId="77777777" w:rsidR="00BB4693" w:rsidRDefault="00BB4693">
      <w:pPr>
        <w:jc w:val="left"/>
        <w:rPr>
          <w:rFonts w:eastAsiaTheme="minorHAnsi"/>
          <w:lang w:eastAsia="en-US"/>
        </w:rPr>
      </w:pPr>
      <w:r>
        <w:rPr>
          <w:rFonts w:eastAsiaTheme="minorHAnsi"/>
          <w:lang w:eastAsia="en-US"/>
        </w:rPr>
        <w:br w:type="page"/>
      </w:r>
    </w:p>
    <w:p w14:paraId="026D5425" w14:textId="0936AB4B" w:rsidR="00DA7BD3" w:rsidRPr="00B82738" w:rsidRDefault="00113398" w:rsidP="001B4785">
      <w:pPr>
        <w:spacing w:before="200"/>
        <w:ind w:right="-34"/>
        <w:rPr>
          <w:rStyle w:val="Hipervnculo"/>
        </w:rPr>
      </w:pPr>
      <w:r>
        <w:rPr>
          <w:rFonts w:eastAsiaTheme="minorHAnsi"/>
          <w:lang w:eastAsia="en-US"/>
        </w:rPr>
        <w:lastRenderedPageBreak/>
        <w:t>Para</w:t>
      </w:r>
      <w:r w:rsidR="00DA7BD3">
        <w:rPr>
          <w:rFonts w:eastAsiaTheme="minorHAnsi"/>
          <w:lang w:eastAsia="en-US"/>
        </w:rPr>
        <w:t xml:space="preserve"> brindar </w:t>
      </w:r>
      <w:r>
        <w:rPr>
          <w:rFonts w:eastAsiaTheme="minorHAnsi"/>
          <w:lang w:eastAsia="en-US"/>
        </w:rPr>
        <w:t>más</w:t>
      </w:r>
      <w:r w:rsidR="00DA7BD3">
        <w:rPr>
          <w:rFonts w:eastAsiaTheme="minorHAnsi"/>
          <w:lang w:eastAsia="en-US"/>
        </w:rPr>
        <w:t xml:space="preserve"> elementos que permitan determinar la precisión de los datos generados por la </w:t>
      </w:r>
      <w:r>
        <w:rPr>
          <w:rFonts w:eastAsiaTheme="minorHAnsi"/>
          <w:lang w:eastAsia="en-US"/>
        </w:rPr>
        <w:t>EMIM</w:t>
      </w:r>
      <w:r w:rsidR="00DA7BD3">
        <w:rPr>
          <w:rFonts w:eastAsiaTheme="minorHAnsi"/>
          <w:lang w:eastAsia="en-US"/>
        </w:rPr>
        <w:t xml:space="preserve">, el INEGI publica en su página </w:t>
      </w:r>
      <w:r>
        <w:rPr>
          <w:rFonts w:eastAsiaTheme="minorHAnsi"/>
          <w:lang w:eastAsia="en-US"/>
        </w:rPr>
        <w:t xml:space="preserve">de internet </w:t>
      </w:r>
      <w:r w:rsidR="00DA7BD3">
        <w:rPr>
          <w:rFonts w:eastAsiaTheme="minorHAnsi"/>
          <w:lang w:eastAsia="en-US"/>
        </w:rPr>
        <w:t xml:space="preserve">los Indicadores de Precisión Estadística, </w:t>
      </w:r>
      <w:r>
        <w:rPr>
          <w:rFonts w:eastAsiaTheme="minorHAnsi"/>
          <w:lang w:eastAsia="en-US"/>
        </w:rPr>
        <w:t>que</w:t>
      </w:r>
      <w:r w:rsidR="00DA7BD3">
        <w:rPr>
          <w:rFonts w:eastAsiaTheme="minorHAnsi"/>
          <w:lang w:eastAsia="en-US"/>
        </w:rPr>
        <w:t xml:space="preserve"> son una medida relativa a la exactitud de los datos divulgados. Para conocer más al respecto, se sugiere consultar la siguiente </w:t>
      </w:r>
      <w:r>
        <w:rPr>
          <w:rFonts w:eastAsiaTheme="minorHAnsi"/>
          <w:lang w:eastAsia="en-US"/>
        </w:rPr>
        <w:t>página de internet</w:t>
      </w:r>
      <w:r w:rsidR="00CD3B0A" w:rsidRPr="00B82738">
        <w:t>:</w:t>
      </w:r>
      <w:r>
        <w:t xml:space="preserve"> </w:t>
      </w:r>
      <w:hyperlink r:id="rId27" w:history="1">
        <w:r w:rsidR="00BF4CCF" w:rsidRPr="00B82738">
          <w:rPr>
            <w:rStyle w:val="Hipervnculo"/>
          </w:rPr>
          <w:t>https://www.inegi.org.mx/programas/emim/2013/</w:t>
        </w:r>
      </w:hyperlink>
    </w:p>
    <w:p w14:paraId="3741B1C2" w14:textId="700D259D" w:rsidR="00095006" w:rsidRPr="00FC70C5" w:rsidRDefault="00095006" w:rsidP="001B4785">
      <w:pPr>
        <w:spacing w:before="180"/>
        <w:ind w:right="-34"/>
      </w:pPr>
      <w:r w:rsidRPr="00FC70C5">
        <w:t xml:space="preserve">La información contenida en este </w:t>
      </w:r>
      <w:r w:rsidR="001E7B4A" w:rsidRPr="00FC70C5">
        <w:t>documento</w:t>
      </w:r>
      <w:r w:rsidRPr="00FC70C5">
        <w:t xml:space="preserve"> es generada por el INEGI mediante la </w:t>
      </w:r>
      <w:r w:rsidR="00113398">
        <w:t>EMIM</w:t>
      </w:r>
      <w:r w:rsidRPr="00FC70C5">
        <w:t xml:space="preserve"> y se da a conocer en la fecha establecida </w:t>
      </w:r>
      <w:r w:rsidRPr="00B82738">
        <w:rPr>
          <w:spacing w:val="-2"/>
        </w:rPr>
        <w:t xml:space="preserve">en el </w:t>
      </w:r>
      <w:r w:rsidR="00783F98" w:rsidRPr="00B82738">
        <w:rPr>
          <w:snapToGrid w:val="0"/>
          <w:spacing w:val="-2"/>
        </w:rPr>
        <w:t xml:space="preserve">Calendario de </w:t>
      </w:r>
      <w:r w:rsidR="00B82738" w:rsidRPr="00B82738">
        <w:rPr>
          <w:snapToGrid w:val="0"/>
          <w:spacing w:val="-2"/>
        </w:rPr>
        <w:t>D</w:t>
      </w:r>
      <w:r w:rsidR="00783F98" w:rsidRPr="00B82738">
        <w:rPr>
          <w:snapToGrid w:val="0"/>
          <w:spacing w:val="-2"/>
        </w:rPr>
        <w:t xml:space="preserve">ifusión de </w:t>
      </w:r>
      <w:r w:rsidR="00B82738" w:rsidRPr="00B82738">
        <w:rPr>
          <w:snapToGrid w:val="0"/>
          <w:spacing w:val="-2"/>
        </w:rPr>
        <w:t>I</w:t>
      </w:r>
      <w:r w:rsidR="00783F98" w:rsidRPr="00B82738">
        <w:rPr>
          <w:snapToGrid w:val="0"/>
          <w:spacing w:val="-2"/>
        </w:rPr>
        <w:t xml:space="preserve">nformación </w:t>
      </w:r>
      <w:r w:rsidR="00B82738" w:rsidRPr="00B82738">
        <w:rPr>
          <w:snapToGrid w:val="0"/>
          <w:spacing w:val="-2"/>
        </w:rPr>
        <w:t>E</w:t>
      </w:r>
      <w:r w:rsidR="00783F98" w:rsidRPr="00B82738">
        <w:rPr>
          <w:snapToGrid w:val="0"/>
          <w:spacing w:val="-2"/>
        </w:rPr>
        <w:t xml:space="preserve">stadística y </w:t>
      </w:r>
      <w:r w:rsidR="00B82738" w:rsidRPr="00B82738">
        <w:rPr>
          <w:snapToGrid w:val="0"/>
          <w:spacing w:val="-2"/>
        </w:rPr>
        <w:t>G</w:t>
      </w:r>
      <w:r w:rsidR="00783F98" w:rsidRPr="00B82738">
        <w:rPr>
          <w:snapToGrid w:val="0"/>
          <w:spacing w:val="-2"/>
        </w:rPr>
        <w:t>eográfica y de Interés Nacional</w:t>
      </w:r>
      <w:r w:rsidRPr="00FC70C5">
        <w:t>.</w:t>
      </w:r>
    </w:p>
    <w:p w14:paraId="6E4D40A9" w14:textId="395C63FC" w:rsidR="00096FE0" w:rsidRPr="00FC70C5" w:rsidRDefault="00DA7BD3" w:rsidP="001B4785">
      <w:pPr>
        <w:spacing w:before="180"/>
        <w:ind w:right="-34"/>
      </w:pPr>
      <w:r w:rsidRPr="00FC70C5">
        <w:t>Todos</w:t>
      </w:r>
      <w:r w:rsidRPr="00FC70C5">
        <w:rPr>
          <w:rFonts w:eastAsiaTheme="minorHAnsi"/>
          <w:lang w:eastAsia="en-US"/>
        </w:rPr>
        <w:t xml:space="preserve"> los resultados</w:t>
      </w:r>
      <w:r w:rsidRPr="00FC70C5">
        <w:t xml:space="preserve"> pueden ser consultados en la página del INEGI en </w:t>
      </w:r>
      <w:r w:rsidR="00113398">
        <w:t>i</w:t>
      </w:r>
      <w:r w:rsidRPr="00FC70C5">
        <w:t>nternet</w:t>
      </w:r>
      <w:r w:rsidR="00113398">
        <w:t>,</w:t>
      </w:r>
      <w:r w:rsidRPr="00FC70C5">
        <w:t xml:space="preserve"> en las siguientes secciones</w:t>
      </w:r>
      <w:r w:rsidR="00095006" w:rsidRPr="00FC70C5">
        <w:t>:</w:t>
      </w:r>
    </w:p>
    <w:p w14:paraId="24B6746E" w14:textId="77777777" w:rsidR="00DA7BD3" w:rsidRPr="00FC70C5" w:rsidRDefault="00DA7BD3" w:rsidP="001B4785">
      <w:pPr>
        <w:pStyle w:val="Default"/>
        <w:spacing w:before="180"/>
        <w:rPr>
          <w:color w:val="0000FF"/>
          <w:sz w:val="22"/>
          <w:szCs w:val="22"/>
          <w:u w:val="single"/>
        </w:rPr>
      </w:pPr>
      <w:r w:rsidRPr="00FC70C5">
        <w:rPr>
          <w:color w:val="auto"/>
        </w:rPr>
        <w:t xml:space="preserve">Tema: </w:t>
      </w:r>
      <w:hyperlink r:id="rId28" w:history="1">
        <w:r w:rsidRPr="00FC70C5">
          <w:rPr>
            <w:rStyle w:val="Hipervnculo"/>
            <w:sz w:val="22"/>
            <w:szCs w:val="22"/>
          </w:rPr>
          <w:t>https://www.inegi.org.mx/temas/manufacturas/</w:t>
        </w:r>
      </w:hyperlink>
    </w:p>
    <w:p w14:paraId="069D5C22" w14:textId="77777777" w:rsidR="00DA7BD3" w:rsidRPr="00FC70C5" w:rsidRDefault="00DA7BD3" w:rsidP="00E678E5">
      <w:pPr>
        <w:pStyle w:val="Default"/>
        <w:rPr>
          <w:color w:val="0000FF"/>
          <w:sz w:val="22"/>
          <w:szCs w:val="22"/>
          <w:u w:val="single"/>
        </w:rPr>
      </w:pPr>
      <w:r w:rsidRPr="00FC70C5">
        <w:rPr>
          <w:color w:val="auto"/>
        </w:rPr>
        <w:t xml:space="preserve">Programa: </w:t>
      </w:r>
      <w:hyperlink r:id="rId29" w:history="1">
        <w:r w:rsidR="00BF4CCF" w:rsidRPr="00FC70C5">
          <w:rPr>
            <w:rStyle w:val="Hipervnculo"/>
            <w:sz w:val="22"/>
            <w:szCs w:val="22"/>
          </w:rPr>
          <w:t>https://www.inegi.org.mx/programas/emim/2013/</w:t>
        </w:r>
      </w:hyperlink>
    </w:p>
    <w:p w14:paraId="5DE4325B" w14:textId="77777777" w:rsidR="00DA7BD3" w:rsidRPr="00DA7BD3" w:rsidRDefault="00DA7BD3" w:rsidP="00E678E5">
      <w:pPr>
        <w:pStyle w:val="Default"/>
        <w:rPr>
          <w:rStyle w:val="Hipervnculo"/>
          <w:sz w:val="22"/>
          <w:szCs w:val="22"/>
        </w:rPr>
      </w:pPr>
      <w:r w:rsidRPr="00FC70C5">
        <w:rPr>
          <w:color w:val="auto"/>
        </w:rPr>
        <w:t xml:space="preserve">Banco de Información Económica: </w:t>
      </w:r>
      <w:hyperlink r:id="rId30" w:history="1">
        <w:r w:rsidR="00F12F8A" w:rsidRPr="004F7F89">
          <w:rPr>
            <w:rStyle w:val="Hipervnculo"/>
            <w:sz w:val="22"/>
            <w:szCs w:val="22"/>
          </w:rPr>
          <w:t>https://www.inegi.org.mx/sistemas/bie/</w:t>
        </w:r>
      </w:hyperlink>
    </w:p>
    <w:sectPr w:rsidR="00DA7BD3" w:rsidRPr="00DA7BD3"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B40C" w14:textId="77777777" w:rsidR="00CD048D" w:rsidRDefault="00CD048D">
      <w:r>
        <w:separator/>
      </w:r>
    </w:p>
  </w:endnote>
  <w:endnote w:type="continuationSeparator" w:id="0">
    <w:p w14:paraId="4D654AF3" w14:textId="77777777" w:rsidR="00CD048D" w:rsidRDefault="00CD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40D4" w14:textId="77777777" w:rsidR="00565A40" w:rsidRPr="00155A97" w:rsidRDefault="00565A40" w:rsidP="007C6606">
    <w:pPr>
      <w:pStyle w:val="Piedepgina"/>
      <w:contextualSpacing/>
      <w:jc w:val="center"/>
      <w:rPr>
        <w:color w:val="002060"/>
        <w:sz w:val="18"/>
        <w:szCs w:val="18"/>
      </w:rPr>
    </w:pPr>
    <w:r w:rsidRPr="00155A97">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113398" w:rsidRPr="000D473D" w:rsidRDefault="00113398" w:rsidP="003076C4">
    <w:pPr>
      <w:pStyle w:val="Piedepgina"/>
      <w:jc w:val="center"/>
      <w:rPr>
        <w:b/>
        <w:color w:val="002060"/>
        <w:sz w:val="20"/>
        <w:szCs w:val="20"/>
        <w:lang w:val="es-MX"/>
      </w:rPr>
    </w:pPr>
    <w:r w:rsidRPr="000D473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49592" w14:textId="77777777" w:rsidR="00CD048D" w:rsidRDefault="00CD048D">
      <w:r>
        <w:separator/>
      </w:r>
    </w:p>
  </w:footnote>
  <w:footnote w:type="continuationSeparator" w:id="0">
    <w:p w14:paraId="7796A97A" w14:textId="77777777" w:rsidR="00CD048D" w:rsidRDefault="00CD048D">
      <w:r>
        <w:continuationSeparator/>
      </w:r>
    </w:p>
  </w:footnote>
  <w:footnote w:id="1">
    <w:p w14:paraId="4112BFA5" w14:textId="77777777" w:rsidR="00565A40" w:rsidRDefault="00565A40" w:rsidP="00565A40">
      <w:pPr>
        <w:pStyle w:val="Textonotapie"/>
        <w:ind w:left="196" w:right="-547" w:hanging="196"/>
        <w:rPr>
          <w:sz w:val="16"/>
          <w:szCs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074EE134" w14:textId="041E490D" w:rsidR="00565A40" w:rsidRDefault="00565A40" w:rsidP="00565A40">
      <w:pPr>
        <w:pStyle w:val="Textonotapie"/>
        <w:ind w:left="196" w:right="-547" w:hanging="196"/>
      </w:pPr>
    </w:p>
    <w:p w14:paraId="18E52F66" w14:textId="77777777" w:rsidR="00E2455F" w:rsidRDefault="00E2455F" w:rsidP="00565A40">
      <w:pPr>
        <w:pStyle w:val="Textonotapie"/>
        <w:ind w:left="196" w:right="-547" w:hanging="196"/>
      </w:pPr>
    </w:p>
    <w:p w14:paraId="78224D92" w14:textId="77777777" w:rsidR="00565A40" w:rsidRPr="00BF4A44" w:rsidRDefault="00565A40" w:rsidP="00565A40">
      <w:pPr>
        <w:pStyle w:val="Textonotapie"/>
        <w:ind w:left="196" w:hanging="196"/>
      </w:pPr>
    </w:p>
  </w:footnote>
  <w:footnote w:id="2">
    <w:p w14:paraId="5706D765" w14:textId="77777777" w:rsidR="00565A40" w:rsidRPr="00BF4A44" w:rsidRDefault="00565A40" w:rsidP="00565A40">
      <w:pPr>
        <w:pStyle w:val="Textonotapie"/>
        <w:ind w:left="196" w:hanging="196"/>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footnote>
  <w:footnote w:id="3">
    <w:p w14:paraId="3C82132F" w14:textId="77777777" w:rsidR="00565A40" w:rsidRDefault="00565A40" w:rsidP="00565A40">
      <w:pPr>
        <w:pStyle w:val="Textonotapie"/>
        <w:ind w:left="196" w:hanging="196"/>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6526D594" w14:textId="77777777" w:rsidR="00565A40" w:rsidRDefault="00565A40" w:rsidP="00565A40">
      <w:pPr>
        <w:pStyle w:val="Textonotapie"/>
        <w:ind w:left="196" w:hanging="196"/>
        <w:rPr>
          <w:sz w:val="16"/>
          <w:szCs w:val="16"/>
        </w:rPr>
      </w:pPr>
    </w:p>
    <w:p w14:paraId="1DDC7100" w14:textId="77777777" w:rsidR="00565A40" w:rsidRPr="00BF4A44" w:rsidRDefault="00565A40" w:rsidP="00565A40">
      <w:pPr>
        <w:pStyle w:val="Textonotapie"/>
        <w:ind w:left="196" w:hanging="196"/>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C57F" w14:textId="0FE76414" w:rsidR="00565A40" w:rsidRPr="00265B8C" w:rsidRDefault="00565A40" w:rsidP="00931934">
    <w:pPr>
      <w:pStyle w:val="Encabezado"/>
      <w:framePr w:w="5253" w:hSpace="141" w:wrap="auto" w:vAnchor="text" w:hAnchor="page" w:x="5846" w:y="42"/>
      <w:ind w:left="567" w:hanging="11"/>
      <w:jc w:val="right"/>
      <w:rPr>
        <w:b/>
        <w:color w:val="002060"/>
      </w:rPr>
    </w:pPr>
    <w:r w:rsidRPr="00265B8C">
      <w:rPr>
        <w:b/>
        <w:color w:val="002060"/>
      </w:rPr>
      <w:t xml:space="preserve">COMUNICADO DE PRENSA NÚM. </w:t>
    </w:r>
    <w:r w:rsidR="00931934">
      <w:rPr>
        <w:b/>
        <w:color w:val="002060"/>
      </w:rPr>
      <w:t>570</w:t>
    </w:r>
    <w:r w:rsidRPr="00265B8C">
      <w:rPr>
        <w:b/>
        <w:color w:val="002060"/>
      </w:rPr>
      <w:t>/</w:t>
    </w:r>
    <w:r>
      <w:rPr>
        <w:b/>
        <w:color w:val="002060"/>
      </w:rPr>
      <w:t>21</w:t>
    </w:r>
  </w:p>
  <w:p w14:paraId="52907154" w14:textId="77777777" w:rsidR="00565A40" w:rsidRPr="00265B8C" w:rsidRDefault="00565A40" w:rsidP="00931934">
    <w:pPr>
      <w:pStyle w:val="Encabezado"/>
      <w:framePr w:w="5253" w:hSpace="141" w:wrap="auto" w:vAnchor="text" w:hAnchor="page" w:x="5846" w:y="42"/>
      <w:ind w:left="567" w:hanging="11"/>
      <w:jc w:val="right"/>
      <w:rPr>
        <w:b/>
        <w:color w:val="002060"/>
        <w:lang w:val="pt-BR"/>
      </w:rPr>
    </w:pPr>
    <w:r>
      <w:rPr>
        <w:b/>
        <w:color w:val="002060"/>
        <w:lang w:val="pt-BR"/>
      </w:rPr>
      <w:t xml:space="preserve">18 </w:t>
    </w:r>
    <w:r w:rsidRPr="00265B8C">
      <w:rPr>
        <w:b/>
        <w:color w:val="002060"/>
        <w:lang w:val="pt-BR"/>
      </w:rPr>
      <w:t>DE</w:t>
    </w:r>
    <w:r>
      <w:rPr>
        <w:b/>
        <w:color w:val="002060"/>
        <w:lang w:val="pt-BR"/>
      </w:rPr>
      <w:t xml:space="preserve"> OCTUBRE </w:t>
    </w:r>
    <w:r w:rsidRPr="00265B8C">
      <w:rPr>
        <w:b/>
        <w:color w:val="002060"/>
        <w:lang w:val="pt-BR"/>
      </w:rPr>
      <w:t>DE 20</w:t>
    </w:r>
    <w:r>
      <w:rPr>
        <w:b/>
        <w:color w:val="002060"/>
        <w:lang w:val="pt-BR"/>
      </w:rPr>
      <w:t>21</w:t>
    </w:r>
  </w:p>
  <w:p w14:paraId="0A587557" w14:textId="77777777" w:rsidR="00565A40" w:rsidRPr="00265B8C" w:rsidRDefault="00565A40" w:rsidP="00931934">
    <w:pPr>
      <w:pStyle w:val="Encabezado"/>
      <w:framePr w:w="5253" w:hSpace="141" w:wrap="auto" w:vAnchor="text" w:hAnchor="page" w:x="5846"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7E9A4B91" w14:textId="77777777" w:rsidR="00565A40" w:rsidRDefault="00565A40" w:rsidP="000F6BDE">
    <w:pPr>
      <w:pStyle w:val="Encabezado"/>
      <w:ind w:left="-142"/>
    </w:pPr>
    <w:r>
      <w:rPr>
        <w:noProof/>
      </w:rPr>
      <w:drawing>
        <wp:inline distT="0" distB="0" distL="0" distR="0" wp14:anchorId="55FFC16E" wp14:editId="4B8F0300">
          <wp:extent cx="752873" cy="782035"/>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56" cy="8080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3BFEEB14" w:rsidR="00113398" w:rsidRDefault="00113398" w:rsidP="00565A40">
    <w:pPr>
      <w:pStyle w:val="Encabezado"/>
      <w:jc w:val="center"/>
    </w:pPr>
    <w:r>
      <w:rPr>
        <w:noProof/>
        <w:lang w:val="es-MX" w:eastAsia="es-MX"/>
      </w:rPr>
      <w:drawing>
        <wp:inline distT="0" distB="0" distL="0" distR="0" wp14:anchorId="3BE03DD9" wp14:editId="24B185BA">
          <wp:extent cx="928370" cy="964565"/>
          <wp:effectExtent l="0" t="0" r="5080" b="6985"/>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73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2970"/>
    <w:rsid w:val="000E3CC1"/>
    <w:rsid w:val="000E4A5F"/>
    <w:rsid w:val="000E5331"/>
    <w:rsid w:val="000E5526"/>
    <w:rsid w:val="000E5537"/>
    <w:rsid w:val="000E563F"/>
    <w:rsid w:val="000E5D6B"/>
    <w:rsid w:val="000E5FE0"/>
    <w:rsid w:val="000E6D5D"/>
    <w:rsid w:val="000F05D5"/>
    <w:rsid w:val="000F1DEB"/>
    <w:rsid w:val="000F3491"/>
    <w:rsid w:val="000F3DE6"/>
    <w:rsid w:val="000F44E7"/>
    <w:rsid w:val="000F49F1"/>
    <w:rsid w:val="000F4C41"/>
    <w:rsid w:val="000F4FA7"/>
    <w:rsid w:val="000F536A"/>
    <w:rsid w:val="000F541D"/>
    <w:rsid w:val="000F5AD1"/>
    <w:rsid w:val="000F69FA"/>
    <w:rsid w:val="000F6BDE"/>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284D"/>
    <w:rsid w:val="001530C2"/>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46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9D"/>
    <w:rsid w:val="001B450E"/>
    <w:rsid w:val="001B46DB"/>
    <w:rsid w:val="001B4785"/>
    <w:rsid w:val="001B4F75"/>
    <w:rsid w:val="001B5DDB"/>
    <w:rsid w:val="001B62D3"/>
    <w:rsid w:val="001B74F4"/>
    <w:rsid w:val="001B75DC"/>
    <w:rsid w:val="001C0136"/>
    <w:rsid w:val="001C0A6E"/>
    <w:rsid w:val="001C0AD1"/>
    <w:rsid w:val="001C0BCC"/>
    <w:rsid w:val="001C0D9E"/>
    <w:rsid w:val="001C117D"/>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E76"/>
    <w:rsid w:val="002B4552"/>
    <w:rsid w:val="002B4C84"/>
    <w:rsid w:val="002B5746"/>
    <w:rsid w:val="002B63D3"/>
    <w:rsid w:val="002B6681"/>
    <w:rsid w:val="002B6815"/>
    <w:rsid w:val="002B6AB1"/>
    <w:rsid w:val="002B71D1"/>
    <w:rsid w:val="002B7E8F"/>
    <w:rsid w:val="002C0144"/>
    <w:rsid w:val="002C0CAC"/>
    <w:rsid w:val="002C1F28"/>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105"/>
    <w:rsid w:val="002E1DF4"/>
    <w:rsid w:val="002E2C3B"/>
    <w:rsid w:val="002E3C37"/>
    <w:rsid w:val="002E4BA7"/>
    <w:rsid w:val="002E4D3D"/>
    <w:rsid w:val="002E59C3"/>
    <w:rsid w:val="002E5CA7"/>
    <w:rsid w:val="002E668B"/>
    <w:rsid w:val="002E6CB6"/>
    <w:rsid w:val="002E7235"/>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5A3"/>
    <w:rsid w:val="00305A2B"/>
    <w:rsid w:val="00305E82"/>
    <w:rsid w:val="00305F53"/>
    <w:rsid w:val="003060F3"/>
    <w:rsid w:val="0030612A"/>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341"/>
    <w:rsid w:val="00322DA3"/>
    <w:rsid w:val="0032345B"/>
    <w:rsid w:val="003235FE"/>
    <w:rsid w:val="00323EEE"/>
    <w:rsid w:val="00324CCE"/>
    <w:rsid w:val="00324FF5"/>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87DAA"/>
    <w:rsid w:val="00390044"/>
    <w:rsid w:val="003903FB"/>
    <w:rsid w:val="00390644"/>
    <w:rsid w:val="0039066F"/>
    <w:rsid w:val="00390D50"/>
    <w:rsid w:val="00390EAD"/>
    <w:rsid w:val="00390EAF"/>
    <w:rsid w:val="00391155"/>
    <w:rsid w:val="003911AB"/>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779"/>
    <w:rsid w:val="003D425A"/>
    <w:rsid w:val="003D4866"/>
    <w:rsid w:val="003D507A"/>
    <w:rsid w:val="003D6280"/>
    <w:rsid w:val="003D644B"/>
    <w:rsid w:val="003D66CB"/>
    <w:rsid w:val="003D687A"/>
    <w:rsid w:val="003D691C"/>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581F"/>
    <w:rsid w:val="003E5F16"/>
    <w:rsid w:val="003E634D"/>
    <w:rsid w:val="003E64BB"/>
    <w:rsid w:val="003E6AC1"/>
    <w:rsid w:val="003E6F4D"/>
    <w:rsid w:val="003E7EEA"/>
    <w:rsid w:val="003F01E7"/>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5"/>
    <w:rsid w:val="0042087D"/>
    <w:rsid w:val="004208D7"/>
    <w:rsid w:val="00420CA2"/>
    <w:rsid w:val="00421878"/>
    <w:rsid w:val="00421AE1"/>
    <w:rsid w:val="00422433"/>
    <w:rsid w:val="004228EE"/>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4F56"/>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CB6"/>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64B"/>
    <w:rsid w:val="0054069F"/>
    <w:rsid w:val="00541307"/>
    <w:rsid w:val="005413CB"/>
    <w:rsid w:val="00541B60"/>
    <w:rsid w:val="00541DB8"/>
    <w:rsid w:val="00541F9A"/>
    <w:rsid w:val="00542599"/>
    <w:rsid w:val="00542EB4"/>
    <w:rsid w:val="00542FD7"/>
    <w:rsid w:val="005448B9"/>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5A40"/>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93D"/>
    <w:rsid w:val="005D63A5"/>
    <w:rsid w:val="005D69A4"/>
    <w:rsid w:val="005D79B5"/>
    <w:rsid w:val="005D7A99"/>
    <w:rsid w:val="005D7BDA"/>
    <w:rsid w:val="005E0056"/>
    <w:rsid w:val="005E0A1F"/>
    <w:rsid w:val="005E0DEA"/>
    <w:rsid w:val="005E1667"/>
    <w:rsid w:val="005E17B3"/>
    <w:rsid w:val="005E1BB5"/>
    <w:rsid w:val="005E1BD6"/>
    <w:rsid w:val="005E20D0"/>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4FF"/>
    <w:rsid w:val="005F6662"/>
    <w:rsid w:val="005F764A"/>
    <w:rsid w:val="0060008E"/>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1427"/>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3D1"/>
    <w:rsid w:val="00677747"/>
    <w:rsid w:val="006801BB"/>
    <w:rsid w:val="006802E3"/>
    <w:rsid w:val="00680CC6"/>
    <w:rsid w:val="00681A6C"/>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3F0"/>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4E"/>
    <w:rsid w:val="00756B41"/>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3CF"/>
    <w:rsid w:val="0078450E"/>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1336"/>
    <w:rsid w:val="0081165D"/>
    <w:rsid w:val="00811B28"/>
    <w:rsid w:val="008123CC"/>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E06"/>
    <w:rsid w:val="008251E7"/>
    <w:rsid w:val="00825417"/>
    <w:rsid w:val="008262BC"/>
    <w:rsid w:val="008263D5"/>
    <w:rsid w:val="008266A2"/>
    <w:rsid w:val="008267AE"/>
    <w:rsid w:val="00830B33"/>
    <w:rsid w:val="0083118A"/>
    <w:rsid w:val="00831784"/>
    <w:rsid w:val="00832727"/>
    <w:rsid w:val="008337C1"/>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870"/>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11C4"/>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90139"/>
    <w:rsid w:val="008906E5"/>
    <w:rsid w:val="00891494"/>
    <w:rsid w:val="0089160E"/>
    <w:rsid w:val="008921B1"/>
    <w:rsid w:val="00892687"/>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438"/>
    <w:rsid w:val="008E1801"/>
    <w:rsid w:val="008E20BE"/>
    <w:rsid w:val="008E241B"/>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34"/>
    <w:rsid w:val="009319DC"/>
    <w:rsid w:val="00931AAD"/>
    <w:rsid w:val="00931E6D"/>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3A4E"/>
    <w:rsid w:val="00A15566"/>
    <w:rsid w:val="00A159A5"/>
    <w:rsid w:val="00A15B2D"/>
    <w:rsid w:val="00A163CD"/>
    <w:rsid w:val="00A16778"/>
    <w:rsid w:val="00A16B57"/>
    <w:rsid w:val="00A17A45"/>
    <w:rsid w:val="00A20224"/>
    <w:rsid w:val="00A20CAE"/>
    <w:rsid w:val="00A21424"/>
    <w:rsid w:val="00A21997"/>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CC5"/>
    <w:rsid w:val="00AF4D33"/>
    <w:rsid w:val="00AF52B9"/>
    <w:rsid w:val="00AF5319"/>
    <w:rsid w:val="00AF608B"/>
    <w:rsid w:val="00AF691F"/>
    <w:rsid w:val="00AF6A59"/>
    <w:rsid w:val="00AF7BDD"/>
    <w:rsid w:val="00B00B6F"/>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232C"/>
    <w:rsid w:val="00B331B8"/>
    <w:rsid w:val="00B33786"/>
    <w:rsid w:val="00B337A4"/>
    <w:rsid w:val="00B34725"/>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2738"/>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DE3"/>
    <w:rsid w:val="00BB0EA0"/>
    <w:rsid w:val="00BB10CD"/>
    <w:rsid w:val="00BB10F0"/>
    <w:rsid w:val="00BB122E"/>
    <w:rsid w:val="00BB25BB"/>
    <w:rsid w:val="00BB274F"/>
    <w:rsid w:val="00BB2EEC"/>
    <w:rsid w:val="00BB30EF"/>
    <w:rsid w:val="00BB4693"/>
    <w:rsid w:val="00BB4A6F"/>
    <w:rsid w:val="00BB4CD2"/>
    <w:rsid w:val="00BB4D99"/>
    <w:rsid w:val="00BB56B1"/>
    <w:rsid w:val="00BB5759"/>
    <w:rsid w:val="00BB5A30"/>
    <w:rsid w:val="00BB5B98"/>
    <w:rsid w:val="00BB7BAC"/>
    <w:rsid w:val="00BB7E73"/>
    <w:rsid w:val="00BC08D8"/>
    <w:rsid w:val="00BC08FC"/>
    <w:rsid w:val="00BC202D"/>
    <w:rsid w:val="00BC213B"/>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FFA"/>
    <w:rsid w:val="00BE49C5"/>
    <w:rsid w:val="00BE4F8D"/>
    <w:rsid w:val="00BE590A"/>
    <w:rsid w:val="00BE5FEC"/>
    <w:rsid w:val="00BE770F"/>
    <w:rsid w:val="00BE778C"/>
    <w:rsid w:val="00BF01D4"/>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988"/>
    <w:rsid w:val="00C26495"/>
    <w:rsid w:val="00C267EF"/>
    <w:rsid w:val="00C26C12"/>
    <w:rsid w:val="00C27201"/>
    <w:rsid w:val="00C273ED"/>
    <w:rsid w:val="00C27447"/>
    <w:rsid w:val="00C27891"/>
    <w:rsid w:val="00C27D45"/>
    <w:rsid w:val="00C300F5"/>
    <w:rsid w:val="00C3091B"/>
    <w:rsid w:val="00C30AED"/>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825"/>
    <w:rsid w:val="00C76D65"/>
    <w:rsid w:val="00C77C30"/>
    <w:rsid w:val="00C77C4B"/>
    <w:rsid w:val="00C77D50"/>
    <w:rsid w:val="00C80B4E"/>
    <w:rsid w:val="00C80DC6"/>
    <w:rsid w:val="00C815E4"/>
    <w:rsid w:val="00C8290C"/>
    <w:rsid w:val="00C8512B"/>
    <w:rsid w:val="00C858C8"/>
    <w:rsid w:val="00C85A70"/>
    <w:rsid w:val="00C85A79"/>
    <w:rsid w:val="00C86242"/>
    <w:rsid w:val="00C86D64"/>
    <w:rsid w:val="00C87B1C"/>
    <w:rsid w:val="00C87CDD"/>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F8"/>
    <w:rsid w:val="00CC4BF4"/>
    <w:rsid w:val="00CC566D"/>
    <w:rsid w:val="00CC6AA6"/>
    <w:rsid w:val="00CC6ACF"/>
    <w:rsid w:val="00CC70D1"/>
    <w:rsid w:val="00CC722F"/>
    <w:rsid w:val="00CC726E"/>
    <w:rsid w:val="00CC7476"/>
    <w:rsid w:val="00CC75EE"/>
    <w:rsid w:val="00CD048D"/>
    <w:rsid w:val="00CD0BAE"/>
    <w:rsid w:val="00CD1017"/>
    <w:rsid w:val="00CD1083"/>
    <w:rsid w:val="00CD129C"/>
    <w:rsid w:val="00CD12BA"/>
    <w:rsid w:val="00CD181E"/>
    <w:rsid w:val="00CD1A4C"/>
    <w:rsid w:val="00CD2B0E"/>
    <w:rsid w:val="00CD2C45"/>
    <w:rsid w:val="00CD387C"/>
    <w:rsid w:val="00CD3B0A"/>
    <w:rsid w:val="00CD3E13"/>
    <w:rsid w:val="00CD474C"/>
    <w:rsid w:val="00CD506E"/>
    <w:rsid w:val="00CD5379"/>
    <w:rsid w:val="00CD5589"/>
    <w:rsid w:val="00CD55ED"/>
    <w:rsid w:val="00CD5CCC"/>
    <w:rsid w:val="00CD5DDD"/>
    <w:rsid w:val="00CD6087"/>
    <w:rsid w:val="00CD6B16"/>
    <w:rsid w:val="00CD6B5E"/>
    <w:rsid w:val="00CD7422"/>
    <w:rsid w:val="00CE0836"/>
    <w:rsid w:val="00CE0950"/>
    <w:rsid w:val="00CE0FC5"/>
    <w:rsid w:val="00CE11D8"/>
    <w:rsid w:val="00CE1648"/>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886"/>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05"/>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B74"/>
    <w:rsid w:val="00DE40F7"/>
    <w:rsid w:val="00DE47DF"/>
    <w:rsid w:val="00DE4D21"/>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956"/>
    <w:rsid w:val="00E02047"/>
    <w:rsid w:val="00E023E5"/>
    <w:rsid w:val="00E02420"/>
    <w:rsid w:val="00E02837"/>
    <w:rsid w:val="00E0443C"/>
    <w:rsid w:val="00E04739"/>
    <w:rsid w:val="00E04B4F"/>
    <w:rsid w:val="00E052D0"/>
    <w:rsid w:val="00E06B03"/>
    <w:rsid w:val="00E06FD6"/>
    <w:rsid w:val="00E0719A"/>
    <w:rsid w:val="00E074C1"/>
    <w:rsid w:val="00E07B79"/>
    <w:rsid w:val="00E07CDC"/>
    <w:rsid w:val="00E1006A"/>
    <w:rsid w:val="00E103D6"/>
    <w:rsid w:val="00E105B9"/>
    <w:rsid w:val="00E1079E"/>
    <w:rsid w:val="00E10F6A"/>
    <w:rsid w:val="00E112FA"/>
    <w:rsid w:val="00E113FC"/>
    <w:rsid w:val="00E11410"/>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1F2D"/>
    <w:rsid w:val="00E22738"/>
    <w:rsid w:val="00E22A26"/>
    <w:rsid w:val="00E22DD9"/>
    <w:rsid w:val="00E2336E"/>
    <w:rsid w:val="00E235AD"/>
    <w:rsid w:val="00E23655"/>
    <w:rsid w:val="00E23AB9"/>
    <w:rsid w:val="00E23AC4"/>
    <w:rsid w:val="00E23ED2"/>
    <w:rsid w:val="00E2455F"/>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E1"/>
    <w:rsid w:val="00E61076"/>
    <w:rsid w:val="00E61812"/>
    <w:rsid w:val="00E62CF0"/>
    <w:rsid w:val="00E62E5D"/>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514"/>
    <w:rsid w:val="00EA16E1"/>
    <w:rsid w:val="00EA1767"/>
    <w:rsid w:val="00EA1F8E"/>
    <w:rsid w:val="00EA2360"/>
    <w:rsid w:val="00EA272B"/>
    <w:rsid w:val="00EA2F5D"/>
    <w:rsid w:val="00EA301E"/>
    <w:rsid w:val="00EA3A9E"/>
    <w:rsid w:val="00EA3BA1"/>
    <w:rsid w:val="00EA449C"/>
    <w:rsid w:val="00EA4F1E"/>
    <w:rsid w:val="00EA4F7D"/>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C0B"/>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AF9"/>
    <w:rsid w:val="00F33B96"/>
    <w:rsid w:val="00F346B1"/>
    <w:rsid w:val="00F3484E"/>
    <w:rsid w:val="00F34E84"/>
    <w:rsid w:val="00F34FB3"/>
    <w:rsid w:val="00F35B84"/>
    <w:rsid w:val="00F36323"/>
    <w:rsid w:val="00F36B02"/>
    <w:rsid w:val="00F36F16"/>
    <w:rsid w:val="00F37507"/>
    <w:rsid w:val="00F37DBE"/>
    <w:rsid w:val="00F40042"/>
    <w:rsid w:val="00F40EA2"/>
    <w:rsid w:val="00F415F2"/>
    <w:rsid w:val="00F4203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2E6"/>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1FA"/>
    <w:rsid w:val="00F7430B"/>
    <w:rsid w:val="00F745D9"/>
    <w:rsid w:val="00F7523E"/>
    <w:rsid w:val="00F759D7"/>
    <w:rsid w:val="00F7609A"/>
    <w:rsid w:val="00F76924"/>
    <w:rsid w:val="00F76B64"/>
    <w:rsid w:val="00F76FD6"/>
    <w:rsid w:val="00F77293"/>
    <w:rsid w:val="00F77C33"/>
    <w:rsid w:val="00F77D71"/>
    <w:rsid w:val="00F808F0"/>
    <w:rsid w:val="00F80927"/>
    <w:rsid w:val="00F80A1E"/>
    <w:rsid w:val="00F819E1"/>
    <w:rsid w:val="00F822A0"/>
    <w:rsid w:val="00F827DD"/>
    <w:rsid w:val="00F82DB5"/>
    <w:rsid w:val="00F835DF"/>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624"/>
    <w:rsid w:val="00F907AF"/>
    <w:rsid w:val="00F90CB5"/>
    <w:rsid w:val="00F90E09"/>
    <w:rsid w:val="00F91CBC"/>
    <w:rsid w:val="00F91E36"/>
    <w:rsid w:val="00F922ED"/>
    <w:rsid w:val="00F925F3"/>
    <w:rsid w:val="00F93A0A"/>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character" w:customStyle="1" w:styleId="PiedepginaCar">
    <w:name w:val="Pie de página Car"/>
    <w:basedOn w:val="Fuentedeprrafopredeter"/>
    <w:link w:val="Piedepgina"/>
    <w:uiPriority w:val="99"/>
    <w:rsid w:val="00565A4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programas/emim/2013/" TargetMode="External"/><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DATOS!$C$113:$C$184</c:f>
              <c:numCache>
                <c:formatCode>0.0_)</c:formatCode>
                <c:ptCount val="68"/>
                <c:pt idx="0">
                  <c:v>107.269143696019</c:v>
                </c:pt>
                <c:pt idx="1">
                  <c:v>107.356826332924</c:v>
                </c:pt>
                <c:pt idx="2">
                  <c:v>107.42178224272401</c:v>
                </c:pt>
                <c:pt idx="3">
                  <c:v>107.661423252692</c:v>
                </c:pt>
                <c:pt idx="4">
                  <c:v>107.902249024108</c:v>
                </c:pt>
                <c:pt idx="5">
                  <c:v>108.19392600622901</c:v>
                </c:pt>
                <c:pt idx="6">
                  <c:v>108.45565364336299</c:v>
                </c:pt>
                <c:pt idx="7">
                  <c:v>109.02686638169099</c:v>
                </c:pt>
                <c:pt idx="8">
                  <c:v>109.450220492116</c:v>
                </c:pt>
                <c:pt idx="9">
                  <c:v>109.668456399801</c:v>
                </c:pt>
                <c:pt idx="10">
                  <c:v>110.038930124329</c:v>
                </c:pt>
                <c:pt idx="11">
                  <c:v>110.33338080156901</c:v>
                </c:pt>
                <c:pt idx="12">
                  <c:v>110.231231060404</c:v>
                </c:pt>
                <c:pt idx="13">
                  <c:v>110.878715550761</c:v>
                </c:pt>
                <c:pt idx="14">
                  <c:v>111.798084913064</c:v>
                </c:pt>
                <c:pt idx="15">
                  <c:v>111.55448456168401</c:v>
                </c:pt>
                <c:pt idx="16">
                  <c:v>111.599456242591</c:v>
                </c:pt>
                <c:pt idx="17">
                  <c:v>112.228770912172</c:v>
                </c:pt>
                <c:pt idx="18">
                  <c:v>112.707616478544</c:v>
                </c:pt>
                <c:pt idx="19">
                  <c:v>113.22198058291001</c:v>
                </c:pt>
                <c:pt idx="20">
                  <c:v>113.169893531837</c:v>
                </c:pt>
                <c:pt idx="21">
                  <c:v>113.382376759222</c:v>
                </c:pt>
                <c:pt idx="22">
                  <c:v>113.65202867675001</c:v>
                </c:pt>
                <c:pt idx="23">
                  <c:v>113.744329246199</c:v>
                </c:pt>
                <c:pt idx="24">
                  <c:v>113.902445630876</c:v>
                </c:pt>
                <c:pt idx="25">
                  <c:v>114.216295445168</c:v>
                </c:pt>
                <c:pt idx="26">
                  <c:v>114.44757355629</c:v>
                </c:pt>
                <c:pt idx="27">
                  <c:v>114.733413384089</c:v>
                </c:pt>
                <c:pt idx="28">
                  <c:v>115.10148630508699</c:v>
                </c:pt>
                <c:pt idx="29">
                  <c:v>115.380990740408</c:v>
                </c:pt>
                <c:pt idx="30">
                  <c:v>115.44419608228699</c:v>
                </c:pt>
                <c:pt idx="31">
                  <c:v>115.63193606106</c:v>
                </c:pt>
                <c:pt idx="32">
                  <c:v>115.906877876793</c:v>
                </c:pt>
                <c:pt idx="33">
                  <c:v>116.097078336705</c:v>
                </c:pt>
                <c:pt idx="34">
                  <c:v>116.16880777337001</c:v>
                </c:pt>
                <c:pt idx="35">
                  <c:v>116.345580728854</c:v>
                </c:pt>
                <c:pt idx="36">
                  <c:v>116.567538959671</c:v>
                </c:pt>
                <c:pt idx="37">
                  <c:v>116.759150842233</c:v>
                </c:pt>
                <c:pt idx="38">
                  <c:v>116.68377471191199</c:v>
                </c:pt>
                <c:pt idx="39">
                  <c:v>116.31129309466699</c:v>
                </c:pt>
                <c:pt idx="40">
                  <c:v>116.610836364612</c:v>
                </c:pt>
                <c:pt idx="41">
                  <c:v>116.729595300521</c:v>
                </c:pt>
                <c:pt idx="42">
                  <c:v>116.484068312947</c:v>
                </c:pt>
                <c:pt idx="43">
                  <c:v>116.2685195064</c:v>
                </c:pt>
                <c:pt idx="44">
                  <c:v>115.739857870515</c:v>
                </c:pt>
                <c:pt idx="45">
                  <c:v>115.304343863231</c:v>
                </c:pt>
                <c:pt idx="46">
                  <c:v>115.097835556392</c:v>
                </c:pt>
                <c:pt idx="47">
                  <c:v>114.70493254319101</c:v>
                </c:pt>
                <c:pt idx="48">
                  <c:v>114.616236140174</c:v>
                </c:pt>
                <c:pt idx="49">
                  <c:v>114.515507000592</c:v>
                </c:pt>
                <c:pt idx="50">
                  <c:v>114.22168876009</c:v>
                </c:pt>
                <c:pt idx="51">
                  <c:v>112.097323078014</c:v>
                </c:pt>
                <c:pt idx="52">
                  <c:v>110.160991534015</c:v>
                </c:pt>
                <c:pt idx="53">
                  <c:v>110.37036738102201</c:v>
                </c:pt>
                <c:pt idx="54">
                  <c:v>111.20255635752901</c:v>
                </c:pt>
                <c:pt idx="55">
                  <c:v>111.714149883619</c:v>
                </c:pt>
                <c:pt idx="56">
                  <c:v>112.17159776620601</c:v>
                </c:pt>
                <c:pt idx="57">
                  <c:v>112.715034346135</c:v>
                </c:pt>
                <c:pt idx="58">
                  <c:v>113.011284979411</c:v>
                </c:pt>
                <c:pt idx="59">
                  <c:v>113.67747731043499</c:v>
                </c:pt>
                <c:pt idx="60">
                  <c:v>113.98298618078999</c:v>
                </c:pt>
                <c:pt idx="61">
                  <c:v>114.09005320191299</c:v>
                </c:pt>
                <c:pt idx="62">
                  <c:v>114.58456767612201</c:v>
                </c:pt>
                <c:pt idx="63">
                  <c:v>114.780063768689</c:v>
                </c:pt>
                <c:pt idx="64">
                  <c:v>114.75701132808901</c:v>
                </c:pt>
                <c:pt idx="65">
                  <c:v>115.39629079443699</c:v>
                </c:pt>
                <c:pt idx="66">
                  <c:v>115.922268872952</c:v>
                </c:pt>
                <c:pt idx="67">
                  <c:v>116.134415560367</c:v>
                </c:pt>
              </c:numCache>
            </c:numRef>
          </c:val>
          <c:extLst>
            <c:ext xmlns:c16="http://schemas.microsoft.com/office/drawing/2014/chart" uri="{C3380CC4-5D6E-409C-BE32-E72D297353CC}">
              <c16:uniqueId val="{00000000-E92B-48FE-B681-F6DBBDDE122B}"/>
            </c:ext>
          </c:extLst>
        </c:ser>
        <c:dLbls>
          <c:showLegendKey val="0"/>
          <c:showVal val="0"/>
          <c:showCatName val="0"/>
          <c:showSerName val="0"/>
          <c:showPercent val="0"/>
          <c:showBubbleSize val="0"/>
        </c:dLbls>
        <c:gapWidth val="45"/>
        <c:axId val="624760648"/>
        <c:axId val="624763784"/>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DATOS!$D$113:$D$184</c:f>
              <c:numCache>
                <c:formatCode>0.0_)</c:formatCode>
                <c:ptCount val="68"/>
                <c:pt idx="0">
                  <c:v>107.16762700956301</c:v>
                </c:pt>
                <c:pt idx="1">
                  <c:v>107.341575570354</c:v>
                </c:pt>
                <c:pt idx="2">
                  <c:v>107.49432994268901</c:v>
                </c:pt>
                <c:pt idx="3">
                  <c:v>107.660312146758</c:v>
                </c:pt>
                <c:pt idx="4">
                  <c:v>107.881469617279</c:v>
                </c:pt>
                <c:pt idx="5">
                  <c:v>108.190797088466</c:v>
                </c:pt>
                <c:pt idx="6">
                  <c:v>108.56390713079099</c:v>
                </c:pt>
                <c:pt idx="7">
                  <c:v>108.968295396567</c:v>
                </c:pt>
                <c:pt idx="8">
                  <c:v>109.367581405518</c:v>
                </c:pt>
                <c:pt idx="9">
                  <c:v>109.725392788349</c:v>
                </c:pt>
                <c:pt idx="10">
                  <c:v>110.03026824068399</c:v>
                </c:pt>
                <c:pt idx="11">
                  <c:v>110.31318476417501</c:v>
                </c:pt>
                <c:pt idx="12">
                  <c:v>110.60824931544801</c:v>
                </c:pt>
                <c:pt idx="13">
                  <c:v>110.918416634587</c:v>
                </c:pt>
                <c:pt idx="14">
                  <c:v>111.235630328344</c:v>
                </c:pt>
                <c:pt idx="15">
                  <c:v>111.56874571457099</c:v>
                </c:pt>
                <c:pt idx="16">
                  <c:v>111.928702834848</c:v>
                </c:pt>
                <c:pt idx="17">
                  <c:v>112.304914880222</c:v>
                </c:pt>
                <c:pt idx="18">
                  <c:v>112.663264854275</c:v>
                </c:pt>
                <c:pt idx="19">
                  <c:v>112.976552478161</c:v>
                </c:pt>
                <c:pt idx="20">
                  <c:v>113.225998490881</c:v>
                </c:pt>
                <c:pt idx="21">
                  <c:v>113.417830340481</c:v>
                </c:pt>
                <c:pt idx="22">
                  <c:v>113.58355770258601</c:v>
                </c:pt>
                <c:pt idx="23">
                  <c:v>113.760886765979</c:v>
                </c:pt>
                <c:pt idx="24">
                  <c:v>113.956805186624</c:v>
                </c:pt>
                <c:pt idx="25">
                  <c:v>114.182995640535</c:v>
                </c:pt>
                <c:pt idx="26">
                  <c:v>114.464544015182</c:v>
                </c:pt>
                <c:pt idx="27">
                  <c:v>114.775663232939</c:v>
                </c:pt>
                <c:pt idx="28">
                  <c:v>115.060542748157</c:v>
                </c:pt>
                <c:pt idx="29">
                  <c:v>115.298638228898</c:v>
                </c:pt>
                <c:pt idx="30">
                  <c:v>115.503253700139</c:v>
                </c:pt>
                <c:pt idx="31">
                  <c:v>115.68802174980701</c:v>
                </c:pt>
                <c:pt idx="32">
                  <c:v>115.867261174219</c:v>
                </c:pt>
                <c:pt idx="33">
                  <c:v>116.043834446795</c:v>
                </c:pt>
                <c:pt idx="34">
                  <c:v>116.22102434662401</c:v>
                </c:pt>
                <c:pt idx="35">
                  <c:v>116.394455880328</c:v>
                </c:pt>
                <c:pt idx="36">
                  <c:v>116.55486208546699</c:v>
                </c:pt>
                <c:pt idx="37">
                  <c:v>116.662627341437</c:v>
                </c:pt>
                <c:pt idx="38">
                  <c:v>116.706946175857</c:v>
                </c:pt>
                <c:pt idx="39">
                  <c:v>116.704418430773</c:v>
                </c:pt>
                <c:pt idx="40">
                  <c:v>116.68820570685401</c:v>
                </c:pt>
                <c:pt idx="41">
                  <c:v>116.636613404911</c:v>
                </c:pt>
                <c:pt idx="42">
                  <c:v>116.477146976813</c:v>
                </c:pt>
                <c:pt idx="43">
                  <c:v>116.18139070538599</c:v>
                </c:pt>
                <c:pt idx="44">
                  <c:v>115.787527979199</c:v>
                </c:pt>
                <c:pt idx="45">
                  <c:v>115.37782966109999</c:v>
                </c:pt>
                <c:pt idx="46">
                  <c:v>115.040574752339</c:v>
                </c:pt>
                <c:pt idx="47">
                  <c:v>114.788984957241</c:v>
                </c:pt>
                <c:pt idx="48">
                  <c:v>114.608766842176</c:v>
                </c:pt>
                <c:pt idx="49">
                  <c:v>114.45513478280699</c:v>
                </c:pt>
                <c:pt idx="50">
                  <c:v>114.26865882603801</c:v>
                </c:pt>
                <c:pt idx="51">
                  <c:v>111.99099717990499</c:v>
                </c:pt>
                <c:pt idx="52">
                  <c:v>111.71724426291399</c:v>
                </c:pt>
                <c:pt idx="53">
                  <c:v>111.52552707748499</c:v>
                </c:pt>
                <c:pt idx="54">
                  <c:v>111.52705907581399</c:v>
                </c:pt>
                <c:pt idx="55">
                  <c:v>111.74639354264001</c:v>
                </c:pt>
                <c:pt idx="56">
                  <c:v>112.148359974421</c:v>
                </c:pt>
                <c:pt idx="57">
                  <c:v>112.642458842031</c:v>
                </c:pt>
                <c:pt idx="58">
                  <c:v>113.12560285787001</c:v>
                </c:pt>
                <c:pt idx="59">
                  <c:v>113.557156330051</c:v>
                </c:pt>
                <c:pt idx="60">
                  <c:v>113.918986050833</c:v>
                </c:pt>
                <c:pt idx="61">
                  <c:v>114.22963389239899</c:v>
                </c:pt>
                <c:pt idx="62">
                  <c:v>114.50572232478299</c:v>
                </c:pt>
                <c:pt idx="63">
                  <c:v>114.79202724638699</c:v>
                </c:pt>
                <c:pt idx="64">
                  <c:v>115.12133124567301</c:v>
                </c:pt>
                <c:pt idx="65">
                  <c:v>115.468500424997</c:v>
                </c:pt>
                <c:pt idx="66">
                  <c:v>115.818250055379</c:v>
                </c:pt>
                <c:pt idx="67">
                  <c:v>116.163624421742</c:v>
                </c:pt>
              </c:numCache>
            </c:numRef>
          </c:val>
          <c:smooth val="0"/>
          <c:extLst>
            <c:ext xmlns:c16="http://schemas.microsoft.com/office/drawing/2014/chart" uri="{C3380CC4-5D6E-409C-BE32-E72D297353CC}">
              <c16:uniqueId val="{00000001-E92B-48FE-B681-F6DBBDDE122B}"/>
            </c:ext>
          </c:extLst>
        </c:ser>
        <c:dLbls>
          <c:showLegendKey val="0"/>
          <c:showVal val="0"/>
          <c:showCatName val="0"/>
          <c:showSerName val="0"/>
          <c:showPercent val="0"/>
          <c:showBubbleSize val="0"/>
        </c:dLbls>
        <c:marker val="1"/>
        <c:smooth val="0"/>
        <c:axId val="624760648"/>
        <c:axId val="624763784"/>
      </c:lineChart>
      <c:catAx>
        <c:axId val="62476064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624763784"/>
        <c:crosses val="autoZero"/>
        <c:auto val="1"/>
        <c:lblAlgn val="ctr"/>
        <c:lblOffset val="100"/>
        <c:tickLblSkip val="1"/>
        <c:tickMarkSkip val="12"/>
        <c:noMultiLvlLbl val="1"/>
      </c:catAx>
      <c:valAx>
        <c:axId val="624763784"/>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62476064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DATOS!$C$113:$C$184</c:f>
              <c:numCache>
                <c:formatCode>0.0_)</c:formatCode>
                <c:ptCount val="68"/>
                <c:pt idx="0">
                  <c:v>107.269143696019</c:v>
                </c:pt>
                <c:pt idx="1">
                  <c:v>107.356826332924</c:v>
                </c:pt>
                <c:pt idx="2">
                  <c:v>107.42178224272401</c:v>
                </c:pt>
                <c:pt idx="3">
                  <c:v>107.661423252692</c:v>
                </c:pt>
                <c:pt idx="4">
                  <c:v>107.902249024108</c:v>
                </c:pt>
                <c:pt idx="5">
                  <c:v>108.19392600622901</c:v>
                </c:pt>
                <c:pt idx="6">
                  <c:v>108.45565364336299</c:v>
                </c:pt>
                <c:pt idx="7">
                  <c:v>109.02686638169099</c:v>
                </c:pt>
                <c:pt idx="8">
                  <c:v>109.450220492116</c:v>
                </c:pt>
                <c:pt idx="9">
                  <c:v>109.668456399801</c:v>
                </c:pt>
                <c:pt idx="10">
                  <c:v>110.038930124329</c:v>
                </c:pt>
                <c:pt idx="11">
                  <c:v>110.33338080156901</c:v>
                </c:pt>
                <c:pt idx="12">
                  <c:v>110.231231060404</c:v>
                </c:pt>
                <c:pt idx="13">
                  <c:v>110.878715550761</c:v>
                </c:pt>
                <c:pt idx="14">
                  <c:v>111.798084913064</c:v>
                </c:pt>
                <c:pt idx="15">
                  <c:v>111.55448456168401</c:v>
                </c:pt>
                <c:pt idx="16">
                  <c:v>111.599456242591</c:v>
                </c:pt>
                <c:pt idx="17">
                  <c:v>112.228770912172</c:v>
                </c:pt>
                <c:pt idx="18">
                  <c:v>112.707616478544</c:v>
                </c:pt>
                <c:pt idx="19">
                  <c:v>113.22198058291001</c:v>
                </c:pt>
                <c:pt idx="20">
                  <c:v>113.169893531837</c:v>
                </c:pt>
                <c:pt idx="21">
                  <c:v>113.382376759222</c:v>
                </c:pt>
                <c:pt idx="22">
                  <c:v>113.65202867675001</c:v>
                </c:pt>
                <c:pt idx="23">
                  <c:v>113.744329246199</c:v>
                </c:pt>
                <c:pt idx="24">
                  <c:v>113.902445630876</c:v>
                </c:pt>
                <c:pt idx="25">
                  <c:v>114.216295445168</c:v>
                </c:pt>
                <c:pt idx="26">
                  <c:v>114.44757355629</c:v>
                </c:pt>
                <c:pt idx="27">
                  <c:v>114.733413384089</c:v>
                </c:pt>
                <c:pt idx="28">
                  <c:v>115.10148630508699</c:v>
                </c:pt>
                <c:pt idx="29">
                  <c:v>115.380990740408</c:v>
                </c:pt>
                <c:pt idx="30">
                  <c:v>115.44419608228699</c:v>
                </c:pt>
                <c:pt idx="31">
                  <c:v>115.63193606106</c:v>
                </c:pt>
                <c:pt idx="32">
                  <c:v>115.906877876793</c:v>
                </c:pt>
                <c:pt idx="33">
                  <c:v>116.097078336705</c:v>
                </c:pt>
                <c:pt idx="34">
                  <c:v>116.16880777337001</c:v>
                </c:pt>
                <c:pt idx="35">
                  <c:v>116.345580728854</c:v>
                </c:pt>
                <c:pt idx="36">
                  <c:v>116.567538959671</c:v>
                </c:pt>
                <c:pt idx="37">
                  <c:v>116.759150842233</c:v>
                </c:pt>
                <c:pt idx="38">
                  <c:v>116.68377471191199</c:v>
                </c:pt>
                <c:pt idx="39">
                  <c:v>116.31129309466699</c:v>
                </c:pt>
                <c:pt idx="40">
                  <c:v>116.610836364612</c:v>
                </c:pt>
                <c:pt idx="41">
                  <c:v>116.729595300521</c:v>
                </c:pt>
                <c:pt idx="42">
                  <c:v>116.484068312947</c:v>
                </c:pt>
                <c:pt idx="43">
                  <c:v>116.2685195064</c:v>
                </c:pt>
                <c:pt idx="44">
                  <c:v>115.739857870515</c:v>
                </c:pt>
                <c:pt idx="45">
                  <c:v>115.304343863231</c:v>
                </c:pt>
                <c:pt idx="46">
                  <c:v>115.097835556392</c:v>
                </c:pt>
                <c:pt idx="47">
                  <c:v>114.70493254319101</c:v>
                </c:pt>
                <c:pt idx="48">
                  <c:v>114.616236140174</c:v>
                </c:pt>
                <c:pt idx="49">
                  <c:v>114.515507000592</c:v>
                </c:pt>
                <c:pt idx="50">
                  <c:v>114.22168876009</c:v>
                </c:pt>
                <c:pt idx="51">
                  <c:v>112.097323078014</c:v>
                </c:pt>
                <c:pt idx="52">
                  <c:v>110.160991534015</c:v>
                </c:pt>
                <c:pt idx="53">
                  <c:v>110.37036738102201</c:v>
                </c:pt>
                <c:pt idx="54">
                  <c:v>111.20255635752901</c:v>
                </c:pt>
                <c:pt idx="55">
                  <c:v>111.714149883619</c:v>
                </c:pt>
                <c:pt idx="56">
                  <c:v>112.17159776620601</c:v>
                </c:pt>
                <c:pt idx="57">
                  <c:v>112.715034346135</c:v>
                </c:pt>
                <c:pt idx="58">
                  <c:v>113.011284979411</c:v>
                </c:pt>
                <c:pt idx="59">
                  <c:v>113.67747731043499</c:v>
                </c:pt>
                <c:pt idx="60">
                  <c:v>113.98298618078999</c:v>
                </c:pt>
                <c:pt idx="61">
                  <c:v>114.09005320191299</c:v>
                </c:pt>
                <c:pt idx="62">
                  <c:v>114.58456767612201</c:v>
                </c:pt>
                <c:pt idx="63">
                  <c:v>114.780063768689</c:v>
                </c:pt>
                <c:pt idx="64">
                  <c:v>114.75701132808901</c:v>
                </c:pt>
                <c:pt idx="65">
                  <c:v>115.39629079443699</c:v>
                </c:pt>
                <c:pt idx="66">
                  <c:v>115.922268872952</c:v>
                </c:pt>
                <c:pt idx="67">
                  <c:v>116.134415560367</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624760648"/>
        <c:axId val="624763784"/>
      </c:barChart>
      <c:lineChart>
        <c:grouping val="standard"/>
        <c:varyColors val="0"/>
        <c:ser>
          <c:idx val="1"/>
          <c:order val="1"/>
          <c:tx>
            <c:strRef>
              <c:f>DATOS!$D$4</c:f>
              <c:strCache>
                <c:ptCount val="1"/>
                <c:pt idx="0">
                  <c:v>Tendencia-Ciclo</c:v>
                </c:pt>
              </c:strCache>
            </c:strRef>
          </c:tx>
          <c:spPr>
            <a:ln w="12700">
              <a:solidFill>
                <a:srgbClr val="002060"/>
              </a:solidFill>
            </a:ln>
          </c:spPr>
          <c:marker>
            <c:symbol val="none"/>
          </c:marker>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DATOS!$D$113:$D$184</c:f>
              <c:numCache>
                <c:formatCode>0.0_)</c:formatCode>
                <c:ptCount val="68"/>
                <c:pt idx="0">
                  <c:v>107.16762700956301</c:v>
                </c:pt>
                <c:pt idx="1">
                  <c:v>107.341575570354</c:v>
                </c:pt>
                <c:pt idx="2">
                  <c:v>107.49432994268901</c:v>
                </c:pt>
                <c:pt idx="3">
                  <c:v>107.660312146758</c:v>
                </c:pt>
                <c:pt idx="4">
                  <c:v>107.881469617279</c:v>
                </c:pt>
                <c:pt idx="5">
                  <c:v>108.190797088466</c:v>
                </c:pt>
                <c:pt idx="6">
                  <c:v>108.56390713079099</c:v>
                </c:pt>
                <c:pt idx="7">
                  <c:v>108.968295396567</c:v>
                </c:pt>
                <c:pt idx="8">
                  <c:v>109.367581405518</c:v>
                </c:pt>
                <c:pt idx="9">
                  <c:v>109.725392788349</c:v>
                </c:pt>
                <c:pt idx="10">
                  <c:v>110.03026824068399</c:v>
                </c:pt>
                <c:pt idx="11">
                  <c:v>110.31318476417501</c:v>
                </c:pt>
                <c:pt idx="12">
                  <c:v>110.60824931544801</c:v>
                </c:pt>
                <c:pt idx="13">
                  <c:v>110.918416634587</c:v>
                </c:pt>
                <c:pt idx="14">
                  <c:v>111.235630328344</c:v>
                </c:pt>
                <c:pt idx="15">
                  <c:v>111.56874571457099</c:v>
                </c:pt>
                <c:pt idx="16">
                  <c:v>111.928702834848</c:v>
                </c:pt>
                <c:pt idx="17">
                  <c:v>112.304914880222</c:v>
                </c:pt>
                <c:pt idx="18">
                  <c:v>112.663264854275</c:v>
                </c:pt>
                <c:pt idx="19">
                  <c:v>112.976552478161</c:v>
                </c:pt>
                <c:pt idx="20">
                  <c:v>113.225998490881</c:v>
                </c:pt>
                <c:pt idx="21">
                  <c:v>113.417830340481</c:v>
                </c:pt>
                <c:pt idx="22">
                  <c:v>113.58355770258601</c:v>
                </c:pt>
                <c:pt idx="23">
                  <c:v>113.760886765979</c:v>
                </c:pt>
                <c:pt idx="24">
                  <c:v>113.956805186624</c:v>
                </c:pt>
                <c:pt idx="25">
                  <c:v>114.182995640535</c:v>
                </c:pt>
                <c:pt idx="26">
                  <c:v>114.464544015182</c:v>
                </c:pt>
                <c:pt idx="27">
                  <c:v>114.775663232939</c:v>
                </c:pt>
                <c:pt idx="28">
                  <c:v>115.060542748157</c:v>
                </c:pt>
                <c:pt idx="29">
                  <c:v>115.298638228898</c:v>
                </c:pt>
                <c:pt idx="30">
                  <c:v>115.503253700139</c:v>
                </c:pt>
                <c:pt idx="31">
                  <c:v>115.68802174980701</c:v>
                </c:pt>
                <c:pt idx="32">
                  <c:v>115.867261174219</c:v>
                </c:pt>
                <c:pt idx="33">
                  <c:v>116.043834446795</c:v>
                </c:pt>
                <c:pt idx="34">
                  <c:v>116.22102434662401</c:v>
                </c:pt>
                <c:pt idx="35">
                  <c:v>116.394455880328</c:v>
                </c:pt>
                <c:pt idx="36">
                  <c:v>116.55486208546699</c:v>
                </c:pt>
                <c:pt idx="37">
                  <c:v>116.662627341437</c:v>
                </c:pt>
                <c:pt idx="38">
                  <c:v>116.706946175857</c:v>
                </c:pt>
                <c:pt idx="39">
                  <c:v>116.704418430773</c:v>
                </c:pt>
                <c:pt idx="40">
                  <c:v>116.68820570685401</c:v>
                </c:pt>
                <c:pt idx="41">
                  <c:v>116.636613404911</c:v>
                </c:pt>
                <c:pt idx="42">
                  <c:v>116.477146976813</c:v>
                </c:pt>
                <c:pt idx="43">
                  <c:v>116.18139070538599</c:v>
                </c:pt>
                <c:pt idx="44">
                  <c:v>115.787527979199</c:v>
                </c:pt>
                <c:pt idx="45">
                  <c:v>115.37782966109999</c:v>
                </c:pt>
                <c:pt idx="46">
                  <c:v>115.040574752339</c:v>
                </c:pt>
                <c:pt idx="47">
                  <c:v>114.788984957241</c:v>
                </c:pt>
                <c:pt idx="48">
                  <c:v>114.608766842176</c:v>
                </c:pt>
                <c:pt idx="49">
                  <c:v>114.45513478280699</c:v>
                </c:pt>
                <c:pt idx="50">
                  <c:v>114.26865882603801</c:v>
                </c:pt>
                <c:pt idx="51">
                  <c:v>111.99099717990499</c:v>
                </c:pt>
                <c:pt idx="52">
                  <c:v>111.71724426291399</c:v>
                </c:pt>
                <c:pt idx="53">
                  <c:v>111.52552707748499</c:v>
                </c:pt>
                <c:pt idx="54">
                  <c:v>111.52705907581399</c:v>
                </c:pt>
                <c:pt idx="55">
                  <c:v>111.74639354264001</c:v>
                </c:pt>
                <c:pt idx="56">
                  <c:v>112.148359974421</c:v>
                </c:pt>
                <c:pt idx="57">
                  <c:v>112.642458842031</c:v>
                </c:pt>
                <c:pt idx="58">
                  <c:v>113.12560285787001</c:v>
                </c:pt>
                <c:pt idx="59">
                  <c:v>113.557156330051</c:v>
                </c:pt>
                <c:pt idx="60">
                  <c:v>113.918986050833</c:v>
                </c:pt>
                <c:pt idx="61">
                  <c:v>114.22963389239899</c:v>
                </c:pt>
                <c:pt idx="62">
                  <c:v>114.50572232478299</c:v>
                </c:pt>
                <c:pt idx="63">
                  <c:v>114.79202724638699</c:v>
                </c:pt>
                <c:pt idx="64">
                  <c:v>115.12133124567301</c:v>
                </c:pt>
                <c:pt idx="65">
                  <c:v>115.468500424997</c:v>
                </c:pt>
                <c:pt idx="66">
                  <c:v>115.818250055379</c:v>
                </c:pt>
                <c:pt idx="67">
                  <c:v>116.163624421742</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624760648"/>
        <c:axId val="624763784"/>
      </c:lineChart>
      <c:catAx>
        <c:axId val="62476064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624763784"/>
        <c:crosses val="autoZero"/>
        <c:auto val="1"/>
        <c:lblAlgn val="ctr"/>
        <c:lblOffset val="100"/>
        <c:tickLblSkip val="1"/>
        <c:tickMarkSkip val="12"/>
        <c:noMultiLvlLbl val="1"/>
      </c:catAx>
      <c:valAx>
        <c:axId val="624763784"/>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62476064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DATOS!$E$113:$E$184</c:f>
              <c:numCache>
                <c:formatCode>0.0_)</c:formatCode>
                <c:ptCount val="68"/>
                <c:pt idx="0">
                  <c:v>106.580581185328</c:v>
                </c:pt>
                <c:pt idx="1">
                  <c:v>106.69506877839601</c:v>
                </c:pt>
                <c:pt idx="2">
                  <c:v>106.989274229385</c:v>
                </c:pt>
                <c:pt idx="3">
                  <c:v>107.50095556186299</c:v>
                </c:pt>
                <c:pt idx="4">
                  <c:v>108.132424322208</c:v>
                </c:pt>
                <c:pt idx="5">
                  <c:v>108.00720611092601</c:v>
                </c:pt>
                <c:pt idx="6">
                  <c:v>107.980213964724</c:v>
                </c:pt>
                <c:pt idx="7">
                  <c:v>108.556809994823</c:v>
                </c:pt>
                <c:pt idx="8">
                  <c:v>109.06509060560801</c:v>
                </c:pt>
                <c:pt idx="9">
                  <c:v>109.325137483457</c:v>
                </c:pt>
                <c:pt idx="10">
                  <c:v>109.844624570319</c:v>
                </c:pt>
                <c:pt idx="11">
                  <c:v>111.11301192350901</c:v>
                </c:pt>
                <c:pt idx="12">
                  <c:v>111.27372653746301</c:v>
                </c:pt>
                <c:pt idx="13">
                  <c:v>110.86435340620601</c:v>
                </c:pt>
                <c:pt idx="14">
                  <c:v>112.185913265652</c:v>
                </c:pt>
                <c:pt idx="15">
                  <c:v>111.493731567792</c:v>
                </c:pt>
                <c:pt idx="16">
                  <c:v>112.013273421842</c:v>
                </c:pt>
                <c:pt idx="17">
                  <c:v>112.890520574834</c:v>
                </c:pt>
                <c:pt idx="18">
                  <c:v>112.659997369073</c:v>
                </c:pt>
                <c:pt idx="19">
                  <c:v>113.157049288839</c:v>
                </c:pt>
                <c:pt idx="20">
                  <c:v>113.175216025274</c:v>
                </c:pt>
                <c:pt idx="21">
                  <c:v>113.04324530609099</c:v>
                </c:pt>
                <c:pt idx="22">
                  <c:v>113.423169570768</c:v>
                </c:pt>
                <c:pt idx="23">
                  <c:v>114.81459629254999</c:v>
                </c:pt>
                <c:pt idx="24">
                  <c:v>113.759838826963</c:v>
                </c:pt>
                <c:pt idx="25">
                  <c:v>114.02714525947999</c:v>
                </c:pt>
                <c:pt idx="26">
                  <c:v>114.71800498308799</c:v>
                </c:pt>
                <c:pt idx="27">
                  <c:v>114.87703777725299</c:v>
                </c:pt>
                <c:pt idx="28">
                  <c:v>115.403087524508</c:v>
                </c:pt>
                <c:pt idx="29">
                  <c:v>115.476221108475</c:v>
                </c:pt>
                <c:pt idx="30">
                  <c:v>115.71452796699</c:v>
                </c:pt>
                <c:pt idx="31">
                  <c:v>116.070767895446</c:v>
                </c:pt>
                <c:pt idx="32">
                  <c:v>116.54086086685101</c:v>
                </c:pt>
                <c:pt idx="33">
                  <c:v>116.445491522474</c:v>
                </c:pt>
                <c:pt idx="34">
                  <c:v>116.40379570844</c:v>
                </c:pt>
                <c:pt idx="35">
                  <c:v>115.83741696611</c:v>
                </c:pt>
                <c:pt idx="36">
                  <c:v>115.96986770469501</c:v>
                </c:pt>
                <c:pt idx="37">
                  <c:v>116.312594880259</c:v>
                </c:pt>
                <c:pt idx="38">
                  <c:v>115.779489256887</c:v>
                </c:pt>
                <c:pt idx="39">
                  <c:v>116.292597193598</c:v>
                </c:pt>
                <c:pt idx="40">
                  <c:v>116.500786103227</c:v>
                </c:pt>
                <c:pt idx="41">
                  <c:v>116.552810382234</c:v>
                </c:pt>
                <c:pt idx="42">
                  <c:v>116.800660664029</c:v>
                </c:pt>
                <c:pt idx="43">
                  <c:v>116.11475359972199</c:v>
                </c:pt>
                <c:pt idx="44">
                  <c:v>114.921056897054</c:v>
                </c:pt>
                <c:pt idx="45">
                  <c:v>114.332245884952</c:v>
                </c:pt>
                <c:pt idx="46">
                  <c:v>113.906125233707</c:v>
                </c:pt>
                <c:pt idx="47">
                  <c:v>113.274132237776</c:v>
                </c:pt>
                <c:pt idx="48">
                  <c:v>112.881689981543</c:v>
                </c:pt>
                <c:pt idx="49">
                  <c:v>113.220013108445</c:v>
                </c:pt>
                <c:pt idx="50">
                  <c:v>111.144529384252</c:v>
                </c:pt>
                <c:pt idx="51">
                  <c:v>81.424002875966195</c:v>
                </c:pt>
                <c:pt idx="52">
                  <c:v>86.014595105894301</c:v>
                </c:pt>
                <c:pt idx="53">
                  <c:v>101.854648392055</c:v>
                </c:pt>
                <c:pt idx="54">
                  <c:v>106.967591340364</c:v>
                </c:pt>
                <c:pt idx="55">
                  <c:v>109.08647713840701</c:v>
                </c:pt>
                <c:pt idx="56">
                  <c:v>109.719765276762</c:v>
                </c:pt>
                <c:pt idx="57">
                  <c:v>111.016385785455</c:v>
                </c:pt>
                <c:pt idx="58">
                  <c:v>110.54550609547999</c:v>
                </c:pt>
                <c:pt idx="59">
                  <c:v>112.561837832032</c:v>
                </c:pt>
                <c:pt idx="60">
                  <c:v>111.511266803696</c:v>
                </c:pt>
                <c:pt idx="61">
                  <c:v>112.085966016074</c:v>
                </c:pt>
                <c:pt idx="62">
                  <c:v>113.804130929845</c:v>
                </c:pt>
                <c:pt idx="63">
                  <c:v>113.68694836572</c:v>
                </c:pt>
                <c:pt idx="64">
                  <c:v>112.89931110154301</c:v>
                </c:pt>
                <c:pt idx="65">
                  <c:v>113.83634643606101</c:v>
                </c:pt>
                <c:pt idx="66">
                  <c:v>114.372038970399</c:v>
                </c:pt>
                <c:pt idx="67">
                  <c:v>114.429071868793</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624756728"/>
        <c:axId val="624757120"/>
      </c:barChart>
      <c:lineChart>
        <c:grouping val="standard"/>
        <c:varyColors val="0"/>
        <c:ser>
          <c:idx val="1"/>
          <c:order val="1"/>
          <c:tx>
            <c:strRef>
              <c:f>DATOS!$F$4</c:f>
              <c:strCache>
                <c:ptCount val="1"/>
                <c:pt idx="0">
                  <c:v>Tendencia-Ciclo</c:v>
                </c:pt>
              </c:strCache>
            </c:strRef>
          </c:tx>
          <c:spPr>
            <a:ln w="12700">
              <a:solidFill>
                <a:srgbClr val="002060"/>
              </a:solidFill>
            </a:ln>
          </c:spPr>
          <c:marker>
            <c:symbol val="none"/>
          </c:marker>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DATOS!$F$113:$F$184</c:f>
              <c:numCache>
                <c:formatCode>0.0_)</c:formatCode>
                <c:ptCount val="68"/>
                <c:pt idx="0">
                  <c:v>106.470460507914</c:v>
                </c:pt>
                <c:pt idx="1">
                  <c:v>106.733992568834</c:v>
                </c:pt>
                <c:pt idx="2">
                  <c:v>107.124578621232</c:v>
                </c:pt>
                <c:pt idx="3">
                  <c:v>107.515757375604</c:v>
                </c:pt>
                <c:pt idx="4">
                  <c:v>107.812478957381</c:v>
                </c:pt>
                <c:pt idx="5">
                  <c:v>108.037894625089</c:v>
                </c:pt>
                <c:pt idx="6">
                  <c:v>108.243544534382</c:v>
                </c:pt>
                <c:pt idx="7">
                  <c:v>108.498339540822</c:v>
                </c:pt>
                <c:pt idx="8">
                  <c:v>108.901848383054</c:v>
                </c:pt>
                <c:pt idx="9">
                  <c:v>109.477962508182</c:v>
                </c:pt>
                <c:pt idx="10">
                  <c:v>110.086734597608</c:v>
                </c:pt>
                <c:pt idx="11">
                  <c:v>110.675196657705</c:v>
                </c:pt>
                <c:pt idx="12">
                  <c:v>111.169192882519</c:v>
                </c:pt>
                <c:pt idx="13">
                  <c:v>111.471702484446</c:v>
                </c:pt>
                <c:pt idx="14">
                  <c:v>111.672902899093</c:v>
                </c:pt>
                <c:pt idx="15">
                  <c:v>111.899953072496</c:v>
                </c:pt>
                <c:pt idx="16">
                  <c:v>112.211933591175</c:v>
                </c:pt>
                <c:pt idx="17">
                  <c:v>112.547916374228</c:v>
                </c:pt>
                <c:pt idx="18">
                  <c:v>112.833205623221</c:v>
                </c:pt>
                <c:pt idx="19">
                  <c:v>113.024893803231</c:v>
                </c:pt>
                <c:pt idx="20">
                  <c:v>113.12441087569</c:v>
                </c:pt>
                <c:pt idx="21">
                  <c:v>113.241096276454</c:v>
                </c:pt>
                <c:pt idx="22">
                  <c:v>113.395171884596</c:v>
                </c:pt>
                <c:pt idx="23">
                  <c:v>113.58976039467299</c:v>
                </c:pt>
                <c:pt idx="24">
                  <c:v>113.855662403598</c:v>
                </c:pt>
                <c:pt idx="25">
                  <c:v>114.18161526069299</c:v>
                </c:pt>
                <c:pt idx="26">
                  <c:v>114.55808686773</c:v>
                </c:pt>
                <c:pt idx="27">
                  <c:v>114.945116189073</c:v>
                </c:pt>
                <c:pt idx="28">
                  <c:v>115.265671542327</c:v>
                </c:pt>
                <c:pt idx="29">
                  <c:v>115.53621433267701</c:v>
                </c:pt>
                <c:pt idx="30">
                  <c:v>115.82052737681001</c:v>
                </c:pt>
                <c:pt idx="31">
                  <c:v>116.136298372889</c:v>
                </c:pt>
                <c:pt idx="32">
                  <c:v>116.36299510207201</c:v>
                </c:pt>
                <c:pt idx="33">
                  <c:v>116.400732715713</c:v>
                </c:pt>
                <c:pt idx="34">
                  <c:v>116.287731783263</c:v>
                </c:pt>
                <c:pt idx="35">
                  <c:v>116.11920639017301</c:v>
                </c:pt>
                <c:pt idx="36">
                  <c:v>116.003296738754</c:v>
                </c:pt>
                <c:pt idx="37">
                  <c:v>116.00308866723999</c:v>
                </c:pt>
                <c:pt idx="38">
                  <c:v>116.093778000474</c:v>
                </c:pt>
                <c:pt idx="39">
                  <c:v>116.268916905262</c:v>
                </c:pt>
                <c:pt idx="40">
                  <c:v>116.49308455814401</c:v>
                </c:pt>
                <c:pt idx="41">
                  <c:v>116.62875518674799</c:v>
                </c:pt>
                <c:pt idx="42">
                  <c:v>116.460683531016</c:v>
                </c:pt>
                <c:pt idx="43">
                  <c:v>115.929067485641</c:v>
                </c:pt>
                <c:pt idx="44">
                  <c:v>115.195826989696</c:v>
                </c:pt>
                <c:pt idx="45">
                  <c:v>114.458235483938</c:v>
                </c:pt>
                <c:pt idx="46">
                  <c:v>113.84479579887</c:v>
                </c:pt>
                <c:pt idx="47">
                  <c:v>113.327590130985</c:v>
                </c:pt>
                <c:pt idx="48">
                  <c:v>112.732444165507</c:v>
                </c:pt>
                <c:pt idx="49">
                  <c:v>111.960968303985</c:v>
                </c:pt>
                <c:pt idx="50">
                  <c:v>111.04809631468601</c:v>
                </c:pt>
                <c:pt idx="51">
                  <c:v>110.105795823877</c:v>
                </c:pt>
                <c:pt idx="52">
                  <c:v>109.31086904049801</c:v>
                </c:pt>
                <c:pt idx="53">
                  <c:v>108.852433103301</c:v>
                </c:pt>
                <c:pt idx="54">
                  <c:v>108.807087548578</c:v>
                </c:pt>
                <c:pt idx="55">
                  <c:v>109.104752900094</c:v>
                </c:pt>
                <c:pt idx="56">
                  <c:v>109.601061924701</c:v>
                </c:pt>
                <c:pt idx="57">
                  <c:v>110.148535775466</c:v>
                </c:pt>
                <c:pt idx="58">
                  <c:v>110.649030348577</c:v>
                </c:pt>
                <c:pt idx="59">
                  <c:v>111.106125140392</c:v>
                </c:pt>
                <c:pt idx="60">
                  <c:v>111.613126681601</c:v>
                </c:pt>
                <c:pt idx="61">
                  <c:v>112.225353513813</c:v>
                </c:pt>
                <c:pt idx="62">
                  <c:v>112.85434064575701</c:v>
                </c:pt>
                <c:pt idx="63">
                  <c:v>113.404514079078</c:v>
                </c:pt>
                <c:pt idx="64">
                  <c:v>113.80952877390899</c:v>
                </c:pt>
                <c:pt idx="65">
                  <c:v>114.04976913252</c:v>
                </c:pt>
                <c:pt idx="66">
                  <c:v>114.24140325416199</c:v>
                </c:pt>
                <c:pt idx="67">
                  <c:v>114.48190383372599</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624756728"/>
        <c:axId val="624757120"/>
      </c:lineChart>
      <c:catAx>
        <c:axId val="62475672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624757120"/>
        <c:crosses val="autoZero"/>
        <c:auto val="1"/>
        <c:lblAlgn val="ctr"/>
        <c:lblOffset val="100"/>
        <c:tickLblSkip val="1"/>
        <c:tickMarkSkip val="12"/>
        <c:noMultiLvlLbl val="1"/>
      </c:catAx>
      <c:valAx>
        <c:axId val="624757120"/>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624756728"/>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DATOS!$G$113:$G$184</c:f>
              <c:numCache>
                <c:formatCode>0.0_)</c:formatCode>
                <c:ptCount val="68"/>
                <c:pt idx="0">
                  <c:v>102.06038835851599</c:v>
                </c:pt>
                <c:pt idx="1">
                  <c:v>101.902923234509</c:v>
                </c:pt>
                <c:pt idx="2">
                  <c:v>102.40256905063799</c:v>
                </c:pt>
                <c:pt idx="3">
                  <c:v>103.745731840584</c:v>
                </c:pt>
                <c:pt idx="4">
                  <c:v>103.64612807571299</c:v>
                </c:pt>
                <c:pt idx="5">
                  <c:v>103.700554548835</c:v>
                </c:pt>
                <c:pt idx="6">
                  <c:v>103.969834725982</c:v>
                </c:pt>
                <c:pt idx="7">
                  <c:v>103.89805075351499</c:v>
                </c:pt>
                <c:pt idx="8">
                  <c:v>105.175719804365</c:v>
                </c:pt>
                <c:pt idx="9">
                  <c:v>104.621016493412</c:v>
                </c:pt>
                <c:pt idx="10">
                  <c:v>103.592039714884</c:v>
                </c:pt>
                <c:pt idx="11">
                  <c:v>104.160111138394</c:v>
                </c:pt>
                <c:pt idx="12">
                  <c:v>104.125049958792</c:v>
                </c:pt>
                <c:pt idx="13">
                  <c:v>103.66268978674201</c:v>
                </c:pt>
                <c:pt idx="14">
                  <c:v>103.368024987553</c:v>
                </c:pt>
                <c:pt idx="15">
                  <c:v>103.648435353569</c:v>
                </c:pt>
                <c:pt idx="16">
                  <c:v>103.871244085359</c:v>
                </c:pt>
                <c:pt idx="17">
                  <c:v>104.092666036916</c:v>
                </c:pt>
                <c:pt idx="18">
                  <c:v>103.873690771341</c:v>
                </c:pt>
                <c:pt idx="19">
                  <c:v>103.721880596048</c:v>
                </c:pt>
                <c:pt idx="20">
                  <c:v>104.64306588235</c:v>
                </c:pt>
                <c:pt idx="21">
                  <c:v>104.146820585554</c:v>
                </c:pt>
                <c:pt idx="22">
                  <c:v>104.265949376721</c:v>
                </c:pt>
                <c:pt idx="23">
                  <c:v>104.00562564913599</c:v>
                </c:pt>
                <c:pt idx="24">
                  <c:v>103.269964045766</c:v>
                </c:pt>
                <c:pt idx="25">
                  <c:v>104.178051633416</c:v>
                </c:pt>
                <c:pt idx="26">
                  <c:v>104.576798523942</c:v>
                </c:pt>
                <c:pt idx="27">
                  <c:v>105.142109862238</c:v>
                </c:pt>
                <c:pt idx="28">
                  <c:v>105.21204135786699</c:v>
                </c:pt>
                <c:pt idx="29">
                  <c:v>105.494270321862</c:v>
                </c:pt>
                <c:pt idx="30">
                  <c:v>104.949065713686</c:v>
                </c:pt>
                <c:pt idx="31">
                  <c:v>105.855985031906</c:v>
                </c:pt>
                <c:pt idx="32">
                  <c:v>104.684625353538</c:v>
                </c:pt>
                <c:pt idx="33">
                  <c:v>104.756269270164</c:v>
                </c:pt>
                <c:pt idx="34">
                  <c:v>105.06820309330701</c:v>
                </c:pt>
                <c:pt idx="35">
                  <c:v>105.172539072796</c:v>
                </c:pt>
                <c:pt idx="36">
                  <c:v>105.67569268478699</c:v>
                </c:pt>
                <c:pt idx="37">
                  <c:v>106.716393089024</c:v>
                </c:pt>
                <c:pt idx="38">
                  <c:v>106.957840199659</c:v>
                </c:pt>
                <c:pt idx="39">
                  <c:v>107.33578789288801</c:v>
                </c:pt>
                <c:pt idx="40">
                  <c:v>107.76418579191601</c:v>
                </c:pt>
                <c:pt idx="41">
                  <c:v>107.43674525473</c:v>
                </c:pt>
                <c:pt idx="42">
                  <c:v>107.526086346997</c:v>
                </c:pt>
                <c:pt idx="43">
                  <c:v>109.10066643357</c:v>
                </c:pt>
                <c:pt idx="44">
                  <c:v>108.661896958461</c:v>
                </c:pt>
                <c:pt idx="45">
                  <c:v>107.820598138509</c:v>
                </c:pt>
                <c:pt idx="46">
                  <c:v>108.270811794891</c:v>
                </c:pt>
                <c:pt idx="47">
                  <c:v>108.422997580705</c:v>
                </c:pt>
                <c:pt idx="48">
                  <c:v>107.72854377697099</c:v>
                </c:pt>
                <c:pt idx="49">
                  <c:v>108.181037549659</c:v>
                </c:pt>
                <c:pt idx="50">
                  <c:v>107.06344584555301</c:v>
                </c:pt>
                <c:pt idx="51">
                  <c:v>106.623386375084</c:v>
                </c:pt>
                <c:pt idx="52">
                  <c:v>104.355160470793</c:v>
                </c:pt>
                <c:pt idx="53">
                  <c:v>106.518752902919</c:v>
                </c:pt>
                <c:pt idx="54">
                  <c:v>108.94321411358101</c:v>
                </c:pt>
                <c:pt idx="55">
                  <c:v>109.531455043431</c:v>
                </c:pt>
                <c:pt idx="56">
                  <c:v>109.020077221874</c:v>
                </c:pt>
                <c:pt idx="57">
                  <c:v>111.23429019338199</c:v>
                </c:pt>
                <c:pt idx="58">
                  <c:v>110.056721103275</c:v>
                </c:pt>
                <c:pt idx="59">
                  <c:v>110.42895384990599</c:v>
                </c:pt>
                <c:pt idx="60">
                  <c:v>110.334556461177</c:v>
                </c:pt>
                <c:pt idx="61">
                  <c:v>109.67520849941501</c:v>
                </c:pt>
                <c:pt idx="62">
                  <c:v>110.30888005228501</c:v>
                </c:pt>
                <c:pt idx="63">
                  <c:v>109.023508712698</c:v>
                </c:pt>
                <c:pt idx="64">
                  <c:v>108.398508743176</c:v>
                </c:pt>
                <c:pt idx="65">
                  <c:v>108.04456577194399</c:v>
                </c:pt>
                <c:pt idx="66">
                  <c:v>107.833001099078</c:v>
                </c:pt>
                <c:pt idx="67">
                  <c:v>106.36781069181001</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624766528"/>
        <c:axId val="624764176"/>
      </c:barChart>
      <c:lineChart>
        <c:grouping val="standard"/>
        <c:varyColors val="0"/>
        <c:ser>
          <c:idx val="1"/>
          <c:order val="1"/>
          <c:tx>
            <c:strRef>
              <c:f>DATOS!$H$4</c:f>
              <c:strCache>
                <c:ptCount val="1"/>
                <c:pt idx="0">
                  <c:v>Tendencia-Ciclo</c:v>
                </c:pt>
              </c:strCache>
            </c:strRef>
          </c:tx>
          <c:spPr>
            <a:ln w="12700">
              <a:solidFill>
                <a:srgbClr val="002060"/>
              </a:solidFill>
            </a:ln>
          </c:spPr>
          <c:marker>
            <c:symbol val="none"/>
          </c:marker>
          <c:cat>
            <c:multiLvlStrRef>
              <c:f>DATOS!$A$113:$B$184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DATOS!$H$113:$H$184</c:f>
              <c:numCache>
                <c:formatCode>0.0_)</c:formatCode>
                <c:ptCount val="68"/>
                <c:pt idx="0">
                  <c:v>102.13547342159799</c:v>
                </c:pt>
                <c:pt idx="1">
                  <c:v>102.36173018481399</c:v>
                </c:pt>
                <c:pt idx="2">
                  <c:v>102.674390698368</c:v>
                </c:pt>
                <c:pt idx="3">
                  <c:v>103.049065046107</c:v>
                </c:pt>
                <c:pt idx="4">
                  <c:v>103.453631977906</c:v>
                </c:pt>
                <c:pt idx="5">
                  <c:v>103.79743489649999</c:v>
                </c:pt>
                <c:pt idx="6">
                  <c:v>104.028644891762</c:v>
                </c:pt>
                <c:pt idx="7">
                  <c:v>104.16583906465399</c:v>
                </c:pt>
                <c:pt idx="8">
                  <c:v>104.233345955022</c:v>
                </c:pt>
                <c:pt idx="9">
                  <c:v>104.243902573372</c:v>
                </c:pt>
                <c:pt idx="10">
                  <c:v>104.18112757295999</c:v>
                </c:pt>
                <c:pt idx="11">
                  <c:v>104.038622812627</c:v>
                </c:pt>
                <c:pt idx="12">
                  <c:v>103.87339155783199</c:v>
                </c:pt>
                <c:pt idx="13">
                  <c:v>103.750295384518</c:v>
                </c:pt>
                <c:pt idx="14">
                  <c:v>103.68516303593699</c:v>
                </c:pt>
                <c:pt idx="15">
                  <c:v>103.69242785461201</c:v>
                </c:pt>
                <c:pt idx="16">
                  <c:v>103.753957822201</c:v>
                </c:pt>
                <c:pt idx="17">
                  <c:v>103.861411927375</c:v>
                </c:pt>
                <c:pt idx="18">
                  <c:v>103.997761182072</c:v>
                </c:pt>
                <c:pt idx="19">
                  <c:v>104.10699116455299</c:v>
                </c:pt>
                <c:pt idx="20">
                  <c:v>104.15914697317</c:v>
                </c:pt>
                <c:pt idx="21">
                  <c:v>104.158504061904</c:v>
                </c:pt>
                <c:pt idx="22">
                  <c:v>104.139775660914</c:v>
                </c:pt>
                <c:pt idx="23">
                  <c:v>104.140310765889</c:v>
                </c:pt>
                <c:pt idx="24">
                  <c:v>104.21513325107099</c:v>
                </c:pt>
                <c:pt idx="25">
                  <c:v>104.381368759385</c:v>
                </c:pt>
                <c:pt idx="26">
                  <c:v>104.63987208405</c:v>
                </c:pt>
                <c:pt idx="27">
                  <c:v>104.92683844413401</c:v>
                </c:pt>
                <c:pt idx="28">
                  <c:v>105.13721155005101</c:v>
                </c:pt>
                <c:pt idx="29">
                  <c:v>105.224657275742</c:v>
                </c:pt>
                <c:pt idx="30">
                  <c:v>105.180661704313</c:v>
                </c:pt>
                <c:pt idx="31">
                  <c:v>105.048544072235</c:v>
                </c:pt>
                <c:pt idx="32">
                  <c:v>104.92261537546599</c:v>
                </c:pt>
                <c:pt idx="33">
                  <c:v>104.905453101098</c:v>
                </c:pt>
                <c:pt idx="34">
                  <c:v>105.056398234613</c:v>
                </c:pt>
                <c:pt idx="35">
                  <c:v>105.39312169702001</c:v>
                </c:pt>
                <c:pt idx="36">
                  <c:v>105.87568723019299</c:v>
                </c:pt>
                <c:pt idx="37">
                  <c:v>106.401963124793</c:v>
                </c:pt>
                <c:pt idx="38">
                  <c:v>106.871502400419</c:v>
                </c:pt>
                <c:pt idx="39">
                  <c:v>107.24071183362101</c:v>
                </c:pt>
                <c:pt idx="40">
                  <c:v>107.515725173064</c:v>
                </c:pt>
                <c:pt idx="41">
                  <c:v>107.710779724392</c:v>
                </c:pt>
                <c:pt idx="42">
                  <c:v>107.872196278498</c:v>
                </c:pt>
                <c:pt idx="43">
                  <c:v>108.022820558448</c:v>
                </c:pt>
                <c:pt idx="44">
                  <c:v>108.163489842337</c:v>
                </c:pt>
                <c:pt idx="45">
                  <c:v>108.256327253262</c:v>
                </c:pt>
                <c:pt idx="46">
                  <c:v>108.24619019933399</c:v>
                </c:pt>
                <c:pt idx="47">
                  <c:v>108.094691098949</c:v>
                </c:pt>
                <c:pt idx="48">
                  <c:v>107.821221024886</c:v>
                </c:pt>
                <c:pt idx="49">
                  <c:v>107.52624710134</c:v>
                </c:pt>
                <c:pt idx="50">
                  <c:v>107.341298903628</c:v>
                </c:pt>
                <c:pt idx="51">
                  <c:v>107.346333108842</c:v>
                </c:pt>
                <c:pt idx="52">
                  <c:v>107.58805601673799</c:v>
                </c:pt>
                <c:pt idx="53">
                  <c:v>108.05037010336</c:v>
                </c:pt>
                <c:pt idx="54">
                  <c:v>108.62611021429301</c:v>
                </c:pt>
                <c:pt idx="55">
                  <c:v>109.20636735327</c:v>
                </c:pt>
                <c:pt idx="56">
                  <c:v>109.684962876377</c:v>
                </c:pt>
                <c:pt idx="57">
                  <c:v>110.012796687316</c:v>
                </c:pt>
                <c:pt idx="58">
                  <c:v>110.20960452538201</c:v>
                </c:pt>
                <c:pt idx="59">
                  <c:v>110.280099256168</c:v>
                </c:pt>
                <c:pt idx="60">
                  <c:v>110.202971849618</c:v>
                </c:pt>
                <c:pt idx="61">
                  <c:v>109.963784657087</c:v>
                </c:pt>
                <c:pt idx="62">
                  <c:v>109.577406937118</c:v>
                </c:pt>
                <c:pt idx="63">
                  <c:v>109.09069284464699</c:v>
                </c:pt>
                <c:pt idx="64">
                  <c:v>108.594723844296</c:v>
                </c:pt>
                <c:pt idx="65">
                  <c:v>108.16705390793</c:v>
                </c:pt>
                <c:pt idx="66">
                  <c:v>107.874064928553</c:v>
                </c:pt>
                <c:pt idx="67">
                  <c:v>107.73032562114</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624766528"/>
        <c:axId val="624764176"/>
      </c:lineChart>
      <c:catAx>
        <c:axId val="62476652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624764176"/>
        <c:crosses val="autoZero"/>
        <c:auto val="1"/>
        <c:lblAlgn val="ctr"/>
        <c:lblOffset val="100"/>
        <c:tickLblSkip val="1"/>
        <c:tickMarkSkip val="12"/>
        <c:noMultiLvlLbl val="1"/>
      </c:catAx>
      <c:valAx>
        <c:axId val="624764176"/>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62476652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65379-B261-4C9D-9BA2-B74FD9E7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2922</Words>
  <Characters>16073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27</cp:revision>
  <cp:lastPrinted>2020-10-14T18:30:00Z</cp:lastPrinted>
  <dcterms:created xsi:type="dcterms:W3CDTF">2021-10-14T21:46:00Z</dcterms:created>
  <dcterms:modified xsi:type="dcterms:W3CDTF">2021-10-15T22:34:00Z</dcterms:modified>
  <cp:category>Encuesta Nacional de Ocupación y Empleo</cp:category>
  <cp:version>1</cp:version>
</cp:coreProperties>
</file>