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69609E" w14:textId="1DDDB21B" w:rsidR="00C60D6E" w:rsidRPr="00EB7A82" w:rsidRDefault="00C60D6E" w:rsidP="009749DA">
      <w:pPr>
        <w:pStyle w:val="Profesin"/>
        <w:contextualSpacing/>
        <w:rPr>
          <w:sz w:val="24"/>
          <w:szCs w:val="24"/>
        </w:rPr>
      </w:pPr>
      <w:r w:rsidRPr="00EB7A82">
        <w:rPr>
          <w:sz w:val="24"/>
          <w:szCs w:val="24"/>
        </w:rPr>
        <w:t>RESULTADOS DE LA ENCUESTA NACIONAL DE OCUPACIÓN Y EMPLEO. NUEVA EDICIÓN (enoe</w:t>
      </w:r>
      <w:r w:rsidRPr="00EB7A82">
        <w:rPr>
          <w:sz w:val="24"/>
          <w:szCs w:val="24"/>
          <w:vertAlign w:val="superscript"/>
        </w:rPr>
        <w:t>n</w:t>
      </w:r>
      <w:r w:rsidRPr="00EB7A82">
        <w:rPr>
          <w:sz w:val="24"/>
          <w:szCs w:val="24"/>
        </w:rPr>
        <w:t>)</w:t>
      </w:r>
      <w:r w:rsidR="003F2078">
        <w:rPr>
          <w:rStyle w:val="Refdenotaalpie"/>
          <w:sz w:val="24"/>
          <w:szCs w:val="24"/>
        </w:rPr>
        <w:footnoteReference w:id="1"/>
      </w:r>
    </w:p>
    <w:p w14:paraId="6DAC5CAC" w14:textId="094F4857" w:rsidR="00C60D6E" w:rsidRPr="00EB7A82" w:rsidRDefault="00C60D6E" w:rsidP="009749DA">
      <w:pPr>
        <w:pStyle w:val="Profesin"/>
        <w:spacing w:before="60"/>
        <w:contextualSpacing/>
        <w:rPr>
          <w:sz w:val="24"/>
          <w:szCs w:val="24"/>
        </w:rPr>
      </w:pPr>
      <w:r w:rsidRPr="00EB7A82">
        <w:rPr>
          <w:sz w:val="24"/>
          <w:szCs w:val="24"/>
        </w:rPr>
        <w:t xml:space="preserve">cifras durante el </w:t>
      </w:r>
      <w:r w:rsidR="00177B20">
        <w:rPr>
          <w:sz w:val="24"/>
          <w:szCs w:val="24"/>
        </w:rPr>
        <w:t>PRIMER</w:t>
      </w:r>
      <w:r w:rsidRPr="00EB7A82">
        <w:rPr>
          <w:sz w:val="24"/>
          <w:szCs w:val="24"/>
        </w:rPr>
        <w:t xml:space="preserve"> tRIMESTRE de </w:t>
      </w:r>
      <w:r w:rsidR="00177B20">
        <w:rPr>
          <w:sz w:val="24"/>
          <w:szCs w:val="24"/>
        </w:rPr>
        <w:t>2021</w:t>
      </w:r>
    </w:p>
    <w:p w14:paraId="570EB669" w14:textId="77777777" w:rsidR="00172FBF" w:rsidRDefault="00172FBF" w:rsidP="00FC11E1">
      <w:pPr>
        <w:pStyle w:val="Subttulo"/>
        <w:ind w:right="-518"/>
        <w:jc w:val="both"/>
        <w:rPr>
          <w:b w:val="0"/>
          <w:color w:val="000000" w:themeColor="text1"/>
          <w:spacing w:val="10"/>
          <w:sz w:val="22"/>
          <w:szCs w:val="22"/>
        </w:rPr>
      </w:pPr>
    </w:p>
    <w:p w14:paraId="35245243" w14:textId="7D10D3FC" w:rsidR="00E84930" w:rsidRPr="00D25D34" w:rsidRDefault="00E84930" w:rsidP="00A91041">
      <w:pPr>
        <w:pStyle w:val="Subttulo"/>
        <w:ind w:left="-567" w:right="-518"/>
        <w:jc w:val="both"/>
        <w:rPr>
          <w:b w:val="0"/>
          <w:color w:val="000000" w:themeColor="text1"/>
          <w:spacing w:val="10"/>
          <w:sz w:val="22"/>
          <w:szCs w:val="22"/>
        </w:rPr>
      </w:pPr>
      <w:r w:rsidRPr="00D25D34">
        <w:rPr>
          <w:b w:val="0"/>
          <w:color w:val="000000" w:themeColor="text1"/>
          <w:spacing w:val="10"/>
          <w:sz w:val="22"/>
          <w:szCs w:val="22"/>
        </w:rPr>
        <w:t xml:space="preserve">El INEGI </w:t>
      </w:r>
      <w:r w:rsidR="00945818" w:rsidRPr="00D25D34">
        <w:rPr>
          <w:b w:val="0"/>
          <w:color w:val="000000" w:themeColor="text1"/>
          <w:spacing w:val="10"/>
          <w:sz w:val="22"/>
          <w:szCs w:val="22"/>
        </w:rPr>
        <w:t>presenta</w:t>
      </w:r>
      <w:r w:rsidRPr="00D25D34">
        <w:rPr>
          <w:b w:val="0"/>
          <w:color w:val="000000" w:themeColor="text1"/>
          <w:spacing w:val="10"/>
          <w:sz w:val="22"/>
          <w:szCs w:val="22"/>
        </w:rPr>
        <w:t xml:space="preserve"> los resultados </w:t>
      </w:r>
      <w:r w:rsidR="00945818" w:rsidRPr="00D25D34">
        <w:rPr>
          <w:b w:val="0"/>
          <w:color w:val="000000" w:themeColor="text1"/>
          <w:spacing w:val="10"/>
          <w:sz w:val="22"/>
          <w:szCs w:val="22"/>
        </w:rPr>
        <w:t xml:space="preserve">trimestrales del </w:t>
      </w:r>
      <w:r w:rsidRPr="00D25D34">
        <w:rPr>
          <w:b w:val="0"/>
          <w:color w:val="000000" w:themeColor="text1"/>
          <w:spacing w:val="10"/>
          <w:sz w:val="22"/>
          <w:szCs w:val="22"/>
        </w:rPr>
        <w:t>levantamiento de la Encuesta Nacional de Ocupación y Empleo</w:t>
      </w:r>
      <w:r w:rsidR="0072138C" w:rsidRPr="00D25D34">
        <w:rPr>
          <w:b w:val="0"/>
          <w:color w:val="000000" w:themeColor="text1"/>
          <w:spacing w:val="10"/>
          <w:sz w:val="22"/>
          <w:szCs w:val="22"/>
        </w:rPr>
        <w:t xml:space="preserve"> </w:t>
      </w:r>
      <w:r w:rsidRPr="00D25D34">
        <w:rPr>
          <w:b w:val="0"/>
          <w:color w:val="000000" w:themeColor="text1"/>
          <w:spacing w:val="10"/>
          <w:sz w:val="22"/>
          <w:szCs w:val="22"/>
        </w:rPr>
        <w:t>Nueva Edición (ENOE</w:t>
      </w:r>
      <w:r w:rsidRPr="00D25D34">
        <w:rPr>
          <w:b w:val="0"/>
          <w:color w:val="000000" w:themeColor="text1"/>
          <w:spacing w:val="10"/>
          <w:sz w:val="22"/>
          <w:szCs w:val="22"/>
          <w:vertAlign w:val="superscript"/>
        </w:rPr>
        <w:t>N</w:t>
      </w:r>
      <w:r w:rsidRPr="00D25D34">
        <w:rPr>
          <w:b w:val="0"/>
          <w:color w:val="000000" w:themeColor="text1"/>
          <w:spacing w:val="10"/>
          <w:sz w:val="22"/>
          <w:szCs w:val="22"/>
        </w:rPr>
        <w:t xml:space="preserve">) </w:t>
      </w:r>
      <w:r w:rsidR="00945818" w:rsidRPr="00D25D34">
        <w:rPr>
          <w:b w:val="0"/>
          <w:color w:val="000000" w:themeColor="text1"/>
          <w:spacing w:val="10"/>
          <w:sz w:val="22"/>
          <w:szCs w:val="22"/>
        </w:rPr>
        <w:t xml:space="preserve">para el trimestre </w:t>
      </w:r>
      <w:r w:rsidR="008B38A1" w:rsidRPr="00D25D34">
        <w:rPr>
          <w:b w:val="0"/>
          <w:color w:val="000000" w:themeColor="text1"/>
          <w:spacing w:val="10"/>
          <w:sz w:val="22"/>
          <w:szCs w:val="22"/>
        </w:rPr>
        <w:t>enero</w:t>
      </w:r>
      <w:r w:rsidR="00A91041">
        <w:rPr>
          <w:b w:val="0"/>
          <w:color w:val="000000" w:themeColor="text1"/>
          <w:spacing w:val="10"/>
          <w:sz w:val="22"/>
          <w:szCs w:val="22"/>
        </w:rPr>
        <w:t>-</w:t>
      </w:r>
      <w:r w:rsidR="00177B20" w:rsidRPr="00D25D34">
        <w:rPr>
          <w:b w:val="0"/>
          <w:color w:val="000000" w:themeColor="text1"/>
          <w:spacing w:val="10"/>
          <w:sz w:val="22"/>
          <w:szCs w:val="22"/>
        </w:rPr>
        <w:t>marzo</w:t>
      </w:r>
      <w:r w:rsidR="00317D59" w:rsidRPr="00D25D34">
        <w:rPr>
          <w:b w:val="0"/>
          <w:color w:val="000000" w:themeColor="text1"/>
          <w:spacing w:val="10"/>
          <w:sz w:val="22"/>
          <w:szCs w:val="22"/>
        </w:rPr>
        <w:t xml:space="preserve"> </w:t>
      </w:r>
      <w:r w:rsidR="00945818" w:rsidRPr="00D25D34">
        <w:rPr>
          <w:b w:val="0"/>
          <w:color w:val="000000" w:themeColor="text1"/>
          <w:spacing w:val="10"/>
          <w:sz w:val="22"/>
          <w:szCs w:val="22"/>
        </w:rPr>
        <w:t xml:space="preserve">de </w:t>
      </w:r>
      <w:r w:rsidR="00177B20" w:rsidRPr="00D25D34">
        <w:rPr>
          <w:b w:val="0"/>
          <w:color w:val="000000" w:themeColor="text1"/>
          <w:spacing w:val="10"/>
          <w:sz w:val="22"/>
          <w:szCs w:val="22"/>
        </w:rPr>
        <w:t>2021</w:t>
      </w:r>
      <w:r w:rsidR="00753A2E" w:rsidRPr="00D25D34">
        <w:rPr>
          <w:b w:val="0"/>
          <w:color w:val="000000" w:themeColor="text1"/>
          <w:spacing w:val="10"/>
          <w:sz w:val="22"/>
          <w:szCs w:val="22"/>
        </w:rPr>
        <w:t xml:space="preserve"> </w:t>
      </w:r>
      <w:r w:rsidR="00796032" w:rsidRPr="00D25D34">
        <w:rPr>
          <w:b w:val="0"/>
          <w:color w:val="000000" w:themeColor="text1"/>
          <w:spacing w:val="10"/>
          <w:sz w:val="22"/>
          <w:szCs w:val="22"/>
        </w:rPr>
        <w:t>que,</w:t>
      </w:r>
      <w:r w:rsidR="00753A2E" w:rsidRPr="00D25D34">
        <w:rPr>
          <w:b w:val="0"/>
          <w:color w:val="000000" w:themeColor="text1"/>
          <w:spacing w:val="10"/>
          <w:sz w:val="22"/>
          <w:szCs w:val="22"/>
        </w:rPr>
        <w:t xml:space="preserve"> a diferencia de las publicaciones mensuales, </w:t>
      </w:r>
      <w:r w:rsidR="00005853" w:rsidRPr="00D25D34">
        <w:rPr>
          <w:b w:val="0"/>
          <w:color w:val="000000" w:themeColor="text1"/>
          <w:spacing w:val="10"/>
          <w:sz w:val="22"/>
          <w:szCs w:val="22"/>
        </w:rPr>
        <w:t>ofrece las</w:t>
      </w:r>
      <w:r w:rsidR="00753A2E" w:rsidRPr="00D25D34">
        <w:rPr>
          <w:b w:val="0"/>
          <w:color w:val="000000" w:themeColor="text1"/>
          <w:spacing w:val="10"/>
          <w:sz w:val="22"/>
          <w:szCs w:val="22"/>
        </w:rPr>
        <w:t xml:space="preserve"> estimaciones</w:t>
      </w:r>
      <w:r w:rsidR="00D71B09" w:rsidRPr="00D25D34">
        <w:rPr>
          <w:b w:val="0"/>
          <w:color w:val="000000" w:themeColor="text1"/>
          <w:spacing w:val="10"/>
          <w:sz w:val="22"/>
          <w:szCs w:val="22"/>
        </w:rPr>
        <w:t xml:space="preserve"> para cuatro tamaños de localidad a nivel nacional,</w:t>
      </w:r>
      <w:r w:rsidR="00753A2E" w:rsidRPr="00D25D34">
        <w:rPr>
          <w:b w:val="0"/>
          <w:color w:val="000000" w:themeColor="text1"/>
          <w:spacing w:val="10"/>
          <w:sz w:val="22"/>
          <w:szCs w:val="22"/>
        </w:rPr>
        <w:t xml:space="preserve"> </w:t>
      </w:r>
      <w:r w:rsidR="00D71B09" w:rsidRPr="00D25D34">
        <w:rPr>
          <w:b w:val="0"/>
          <w:color w:val="000000" w:themeColor="text1"/>
          <w:spacing w:val="10"/>
          <w:sz w:val="22"/>
          <w:szCs w:val="22"/>
        </w:rPr>
        <w:t xml:space="preserve">de las </w:t>
      </w:r>
      <w:r w:rsidR="00753A2E" w:rsidRPr="00D25D34">
        <w:rPr>
          <w:b w:val="0"/>
          <w:color w:val="000000" w:themeColor="text1"/>
          <w:spacing w:val="10"/>
          <w:sz w:val="22"/>
          <w:szCs w:val="22"/>
        </w:rPr>
        <w:t xml:space="preserve">32 entidades federativas, así como de 39 ciudades </w:t>
      </w:r>
      <w:proofErr w:type="spellStart"/>
      <w:r w:rsidR="00753A2E" w:rsidRPr="00D25D34">
        <w:rPr>
          <w:b w:val="0"/>
          <w:color w:val="000000" w:themeColor="text1"/>
          <w:spacing w:val="10"/>
          <w:sz w:val="22"/>
          <w:szCs w:val="22"/>
        </w:rPr>
        <w:t>autor</w:t>
      </w:r>
      <w:r w:rsidR="0072138C" w:rsidRPr="00D25D34">
        <w:rPr>
          <w:b w:val="0"/>
          <w:color w:val="000000" w:themeColor="text1"/>
          <w:spacing w:val="10"/>
          <w:sz w:val="22"/>
          <w:szCs w:val="22"/>
        </w:rPr>
        <w:t>r</w:t>
      </w:r>
      <w:r w:rsidR="00753A2E" w:rsidRPr="00D25D34">
        <w:rPr>
          <w:b w:val="0"/>
          <w:color w:val="000000" w:themeColor="text1"/>
          <w:spacing w:val="10"/>
          <w:sz w:val="22"/>
          <w:szCs w:val="22"/>
        </w:rPr>
        <w:t>epresentadas</w:t>
      </w:r>
      <w:proofErr w:type="spellEnd"/>
      <w:r w:rsidR="00753A2E" w:rsidRPr="00D25D34">
        <w:rPr>
          <w:b w:val="0"/>
          <w:color w:val="000000" w:themeColor="text1"/>
          <w:spacing w:val="10"/>
          <w:sz w:val="22"/>
          <w:szCs w:val="22"/>
        </w:rPr>
        <w:t xml:space="preserve"> de interés.</w:t>
      </w:r>
    </w:p>
    <w:p w14:paraId="4D749B12" w14:textId="7FC3BD73" w:rsidR="00E84930" w:rsidRDefault="00E84930" w:rsidP="009749DA">
      <w:pPr>
        <w:pStyle w:val="Subttulo"/>
        <w:ind w:left="-567" w:right="-518"/>
        <w:jc w:val="both"/>
        <w:rPr>
          <w:b w:val="0"/>
          <w:color w:val="000000" w:themeColor="text1"/>
          <w:spacing w:val="10"/>
          <w:sz w:val="22"/>
          <w:szCs w:val="22"/>
        </w:rPr>
      </w:pPr>
    </w:p>
    <w:p w14:paraId="3AA54F1C" w14:textId="7D27A6B2" w:rsidR="006D6FAE" w:rsidRDefault="00172FBF" w:rsidP="009749DA">
      <w:pPr>
        <w:pStyle w:val="Subttulo"/>
        <w:ind w:left="-567" w:right="-518"/>
        <w:jc w:val="both"/>
        <w:rPr>
          <w:b w:val="0"/>
          <w:color w:val="000000" w:themeColor="text1"/>
          <w:spacing w:val="10"/>
          <w:sz w:val="22"/>
          <w:szCs w:val="22"/>
        </w:rPr>
      </w:pPr>
      <w:r>
        <w:rPr>
          <w:b w:val="0"/>
          <w:color w:val="000000" w:themeColor="text1"/>
          <w:spacing w:val="10"/>
          <w:sz w:val="22"/>
          <w:szCs w:val="22"/>
        </w:rPr>
        <w:t>S</w:t>
      </w:r>
      <w:r w:rsidRPr="00172FBF">
        <w:rPr>
          <w:b w:val="0"/>
          <w:color w:val="000000" w:themeColor="text1"/>
          <w:spacing w:val="10"/>
          <w:sz w:val="22"/>
          <w:szCs w:val="22"/>
        </w:rPr>
        <w:t>e informa a los usuarios que a partir de este trimestre los datos de la encuesta se ajustan a una estimación de población elaborada por el INEGI con base en el Marco de Muestreo de Viviendas y los resultados del C</w:t>
      </w:r>
      <w:r w:rsidR="00567714">
        <w:rPr>
          <w:b w:val="0"/>
          <w:color w:val="000000" w:themeColor="text1"/>
          <w:spacing w:val="10"/>
          <w:sz w:val="22"/>
          <w:szCs w:val="22"/>
        </w:rPr>
        <w:t>enso de Población y Vivienda (C</w:t>
      </w:r>
      <w:r w:rsidRPr="00172FBF">
        <w:rPr>
          <w:b w:val="0"/>
          <w:color w:val="000000" w:themeColor="text1"/>
          <w:spacing w:val="10"/>
          <w:sz w:val="22"/>
          <w:szCs w:val="22"/>
        </w:rPr>
        <w:t>PV</w:t>
      </w:r>
      <w:r w:rsidR="00567714">
        <w:rPr>
          <w:b w:val="0"/>
          <w:color w:val="000000" w:themeColor="text1"/>
          <w:spacing w:val="10"/>
          <w:sz w:val="22"/>
          <w:szCs w:val="22"/>
        </w:rPr>
        <w:t>)</w:t>
      </w:r>
      <w:r w:rsidRPr="00172FBF">
        <w:rPr>
          <w:b w:val="0"/>
          <w:color w:val="000000" w:themeColor="text1"/>
          <w:spacing w:val="10"/>
          <w:sz w:val="22"/>
          <w:szCs w:val="22"/>
        </w:rPr>
        <w:t xml:space="preserve"> 2020. </w:t>
      </w:r>
    </w:p>
    <w:p w14:paraId="7D110B32" w14:textId="77777777" w:rsidR="006D6FAE" w:rsidRDefault="006D6FAE" w:rsidP="009749DA">
      <w:pPr>
        <w:pStyle w:val="Subttulo"/>
        <w:ind w:left="-567" w:right="-518"/>
        <w:jc w:val="both"/>
        <w:rPr>
          <w:b w:val="0"/>
          <w:color w:val="000000" w:themeColor="text1"/>
          <w:spacing w:val="10"/>
          <w:sz w:val="22"/>
          <w:szCs w:val="22"/>
        </w:rPr>
      </w:pPr>
    </w:p>
    <w:p w14:paraId="3A0FB030" w14:textId="21564659" w:rsidR="00172FBF" w:rsidRDefault="00172FBF" w:rsidP="009749DA">
      <w:pPr>
        <w:pStyle w:val="Subttulo"/>
        <w:ind w:left="-567" w:right="-518"/>
        <w:jc w:val="both"/>
        <w:rPr>
          <w:b w:val="0"/>
          <w:color w:val="000000" w:themeColor="text1"/>
          <w:spacing w:val="10"/>
          <w:sz w:val="22"/>
          <w:szCs w:val="22"/>
        </w:rPr>
      </w:pPr>
      <w:r>
        <w:rPr>
          <w:b w:val="0"/>
          <w:color w:val="000000" w:themeColor="text1"/>
          <w:spacing w:val="10"/>
          <w:sz w:val="22"/>
          <w:szCs w:val="22"/>
        </w:rPr>
        <w:t>Los resultados que se presentan son construidos a partir de la nueva estimación de población, tanto para el primer trimestre de 2021 como para el primer trimestre de 2020</w:t>
      </w:r>
      <w:r w:rsidR="00384AA7">
        <w:rPr>
          <w:rStyle w:val="Refdenotaalpie"/>
          <w:b w:val="0"/>
          <w:color w:val="000000" w:themeColor="text1"/>
          <w:spacing w:val="10"/>
          <w:sz w:val="22"/>
          <w:szCs w:val="22"/>
        </w:rPr>
        <w:footnoteReference w:id="2"/>
      </w:r>
      <w:r>
        <w:rPr>
          <w:b w:val="0"/>
          <w:color w:val="000000" w:themeColor="text1"/>
          <w:spacing w:val="10"/>
          <w:sz w:val="22"/>
          <w:szCs w:val="22"/>
        </w:rPr>
        <w:t>.</w:t>
      </w:r>
      <w:r w:rsidR="009F4DA8">
        <w:rPr>
          <w:b w:val="0"/>
          <w:color w:val="000000" w:themeColor="text1"/>
          <w:spacing w:val="10"/>
          <w:sz w:val="22"/>
          <w:szCs w:val="22"/>
        </w:rPr>
        <w:t xml:space="preserve"> Las comparaciones del primer trimestre de 2021 con el resto de </w:t>
      </w:r>
      <w:r w:rsidR="006D6FAE">
        <w:rPr>
          <w:b w:val="0"/>
          <w:color w:val="000000" w:themeColor="text1"/>
          <w:spacing w:val="10"/>
          <w:sz w:val="22"/>
          <w:szCs w:val="22"/>
        </w:rPr>
        <w:t>los trimestres</w:t>
      </w:r>
      <w:r w:rsidR="009F4DA8">
        <w:rPr>
          <w:b w:val="0"/>
          <w:color w:val="000000" w:themeColor="text1"/>
          <w:spacing w:val="10"/>
          <w:sz w:val="22"/>
          <w:szCs w:val="22"/>
        </w:rPr>
        <w:t xml:space="preserve"> de 2020 se podrán realizar cuando se concluya su reprocesamiento, el 19 de agosto de 2021</w:t>
      </w:r>
      <w:r w:rsidR="006D6FAE">
        <w:rPr>
          <w:b w:val="0"/>
          <w:color w:val="000000" w:themeColor="text1"/>
          <w:spacing w:val="10"/>
          <w:sz w:val="22"/>
          <w:szCs w:val="22"/>
        </w:rPr>
        <w:t xml:space="preserve">. </w:t>
      </w:r>
      <w:r w:rsidR="006D6FAE" w:rsidRPr="00172FBF">
        <w:rPr>
          <w:b w:val="0"/>
          <w:color w:val="000000" w:themeColor="text1"/>
          <w:spacing w:val="10"/>
          <w:sz w:val="22"/>
          <w:szCs w:val="22"/>
        </w:rPr>
        <w:t xml:space="preserve">Para mayor detalle ver la </w:t>
      </w:r>
      <w:r w:rsidR="006742B0">
        <w:rPr>
          <w:b w:val="0"/>
          <w:color w:val="000000" w:themeColor="text1"/>
          <w:spacing w:val="10"/>
          <w:sz w:val="22"/>
          <w:szCs w:val="22"/>
        </w:rPr>
        <w:t>n</w:t>
      </w:r>
      <w:r w:rsidR="006D6FAE" w:rsidRPr="00172FBF">
        <w:rPr>
          <w:b w:val="0"/>
          <w:color w:val="000000" w:themeColor="text1"/>
          <w:spacing w:val="10"/>
          <w:sz w:val="22"/>
          <w:szCs w:val="22"/>
        </w:rPr>
        <w:t>ota al usuario</w:t>
      </w:r>
      <w:r w:rsidR="00A91041">
        <w:rPr>
          <w:b w:val="0"/>
          <w:color w:val="000000" w:themeColor="text1"/>
          <w:spacing w:val="10"/>
          <w:sz w:val="22"/>
          <w:szCs w:val="22"/>
        </w:rPr>
        <w:t xml:space="preserve"> incluida en la nota técnica</w:t>
      </w:r>
      <w:r w:rsidR="006D6FAE" w:rsidRPr="00172FBF">
        <w:rPr>
          <w:b w:val="0"/>
          <w:color w:val="000000" w:themeColor="text1"/>
          <w:spacing w:val="10"/>
          <w:sz w:val="22"/>
          <w:szCs w:val="22"/>
        </w:rPr>
        <w:t>.</w:t>
      </w:r>
    </w:p>
    <w:p w14:paraId="63B06214" w14:textId="77777777" w:rsidR="00172FBF" w:rsidRDefault="00172FBF" w:rsidP="009749DA">
      <w:pPr>
        <w:pStyle w:val="Subttulo"/>
        <w:ind w:left="-567" w:right="-518"/>
        <w:jc w:val="both"/>
        <w:rPr>
          <w:b w:val="0"/>
          <w:color w:val="000000" w:themeColor="text1"/>
          <w:spacing w:val="10"/>
          <w:sz w:val="22"/>
          <w:szCs w:val="22"/>
        </w:rPr>
      </w:pPr>
    </w:p>
    <w:p w14:paraId="0D6DED5D" w14:textId="7B0708B2" w:rsidR="00E84930" w:rsidRPr="00D25D34" w:rsidRDefault="00945818" w:rsidP="009749DA">
      <w:pPr>
        <w:pStyle w:val="Subttulo"/>
        <w:ind w:left="-567" w:right="-518"/>
        <w:jc w:val="both"/>
        <w:rPr>
          <w:b w:val="0"/>
          <w:color w:val="000000" w:themeColor="text1"/>
          <w:spacing w:val="10"/>
          <w:sz w:val="22"/>
          <w:szCs w:val="22"/>
        </w:rPr>
      </w:pPr>
      <w:r w:rsidRPr="00420F87">
        <w:rPr>
          <w:b w:val="0"/>
          <w:color w:val="000000" w:themeColor="text1"/>
          <w:spacing w:val="10"/>
          <w:sz w:val="22"/>
          <w:szCs w:val="22"/>
        </w:rPr>
        <w:t xml:space="preserve">Los principales resultados en el </w:t>
      </w:r>
      <w:r w:rsidR="00177B20" w:rsidRPr="00420F87">
        <w:rPr>
          <w:b w:val="0"/>
          <w:color w:val="000000" w:themeColor="text1"/>
          <w:spacing w:val="10"/>
          <w:sz w:val="22"/>
          <w:szCs w:val="22"/>
        </w:rPr>
        <w:t>primer</w:t>
      </w:r>
      <w:r w:rsidRPr="00420F87">
        <w:rPr>
          <w:b w:val="0"/>
          <w:color w:val="000000" w:themeColor="text1"/>
          <w:spacing w:val="10"/>
          <w:sz w:val="22"/>
          <w:szCs w:val="22"/>
        </w:rPr>
        <w:t xml:space="preserve"> trimestre de </w:t>
      </w:r>
      <w:r w:rsidR="00177B20" w:rsidRPr="00420F87">
        <w:rPr>
          <w:b w:val="0"/>
          <w:color w:val="000000" w:themeColor="text1"/>
          <w:spacing w:val="10"/>
          <w:sz w:val="22"/>
          <w:szCs w:val="22"/>
        </w:rPr>
        <w:t>2021</w:t>
      </w:r>
      <w:r w:rsidRPr="00420F87">
        <w:rPr>
          <w:b w:val="0"/>
          <w:color w:val="000000" w:themeColor="text1"/>
          <w:spacing w:val="10"/>
          <w:sz w:val="22"/>
          <w:szCs w:val="22"/>
        </w:rPr>
        <w:t xml:space="preserve"> respecto al mismo periodo de </w:t>
      </w:r>
      <w:r w:rsidR="00177B20" w:rsidRPr="00420F87">
        <w:rPr>
          <w:b w:val="0"/>
          <w:color w:val="000000" w:themeColor="text1"/>
          <w:spacing w:val="10"/>
          <w:sz w:val="22"/>
          <w:szCs w:val="22"/>
        </w:rPr>
        <w:t>2020</w:t>
      </w:r>
      <w:r w:rsidRPr="00420F87">
        <w:rPr>
          <w:b w:val="0"/>
          <w:color w:val="000000" w:themeColor="text1"/>
          <w:spacing w:val="10"/>
          <w:sz w:val="22"/>
          <w:szCs w:val="22"/>
        </w:rPr>
        <w:t xml:space="preserve"> son</w:t>
      </w:r>
      <w:r w:rsidR="00E84930" w:rsidRPr="00420F87">
        <w:rPr>
          <w:b w:val="0"/>
          <w:color w:val="000000" w:themeColor="text1"/>
          <w:spacing w:val="10"/>
          <w:sz w:val="22"/>
          <w:szCs w:val="22"/>
        </w:rPr>
        <w:t>:</w:t>
      </w:r>
    </w:p>
    <w:p w14:paraId="4D37CADF" w14:textId="77777777" w:rsidR="00E84930" w:rsidRPr="00D25D34" w:rsidRDefault="00E84930" w:rsidP="009749DA">
      <w:pPr>
        <w:pStyle w:val="Subttulo"/>
        <w:ind w:left="-567" w:right="-518"/>
        <w:jc w:val="left"/>
        <w:rPr>
          <w:b w:val="0"/>
          <w:color w:val="000000" w:themeColor="text1"/>
          <w:spacing w:val="10"/>
          <w:sz w:val="22"/>
          <w:szCs w:val="22"/>
        </w:rPr>
      </w:pPr>
    </w:p>
    <w:p w14:paraId="706EAECA" w14:textId="4F37C80E" w:rsidR="00E84930" w:rsidRPr="00D25D34" w:rsidRDefault="00F61CE8" w:rsidP="00061089">
      <w:pPr>
        <w:pStyle w:val="Subttulo"/>
        <w:numPr>
          <w:ilvl w:val="2"/>
          <w:numId w:val="25"/>
        </w:numPr>
        <w:ind w:left="-284" w:right="-518" w:hanging="283"/>
        <w:jc w:val="both"/>
        <w:rPr>
          <w:b w:val="0"/>
          <w:color w:val="000000" w:themeColor="text1"/>
          <w:spacing w:val="10"/>
          <w:sz w:val="22"/>
          <w:szCs w:val="22"/>
        </w:rPr>
      </w:pPr>
      <w:r w:rsidRPr="00D25D34">
        <w:rPr>
          <w:b w:val="0"/>
          <w:color w:val="000000" w:themeColor="text1"/>
          <w:spacing w:val="10"/>
          <w:sz w:val="22"/>
          <w:szCs w:val="22"/>
        </w:rPr>
        <w:t xml:space="preserve">Una disminución de </w:t>
      </w:r>
      <w:r w:rsidR="007F1119" w:rsidRPr="00D25D34">
        <w:rPr>
          <w:b w:val="0"/>
          <w:color w:val="000000" w:themeColor="text1"/>
          <w:spacing w:val="10"/>
          <w:sz w:val="22"/>
          <w:szCs w:val="22"/>
        </w:rPr>
        <w:t>1.</w:t>
      </w:r>
      <w:r w:rsidR="001C0DF4">
        <w:rPr>
          <w:b w:val="0"/>
          <w:color w:val="000000" w:themeColor="text1"/>
          <w:spacing w:val="10"/>
          <w:sz w:val="22"/>
          <w:szCs w:val="22"/>
        </w:rPr>
        <w:t>6</w:t>
      </w:r>
      <w:r w:rsidR="001C0DF4" w:rsidRPr="00D25D34">
        <w:rPr>
          <w:b w:val="0"/>
          <w:color w:val="000000" w:themeColor="text1"/>
          <w:spacing w:val="10"/>
          <w:sz w:val="22"/>
          <w:szCs w:val="22"/>
        </w:rPr>
        <w:t xml:space="preserve"> </w:t>
      </w:r>
      <w:r w:rsidRPr="00D25D34">
        <w:rPr>
          <w:b w:val="0"/>
          <w:color w:val="000000" w:themeColor="text1"/>
          <w:spacing w:val="10"/>
          <w:sz w:val="22"/>
          <w:szCs w:val="22"/>
        </w:rPr>
        <w:t xml:space="preserve">millones </w:t>
      </w:r>
      <w:r w:rsidR="000D654B" w:rsidRPr="00D25D34">
        <w:rPr>
          <w:b w:val="0"/>
          <w:color w:val="000000" w:themeColor="text1"/>
          <w:spacing w:val="10"/>
          <w:sz w:val="22"/>
          <w:szCs w:val="22"/>
        </w:rPr>
        <w:t xml:space="preserve">de personas </w:t>
      </w:r>
      <w:r w:rsidRPr="00D25D34">
        <w:rPr>
          <w:b w:val="0"/>
          <w:color w:val="000000" w:themeColor="text1"/>
          <w:spacing w:val="10"/>
          <w:sz w:val="22"/>
          <w:szCs w:val="22"/>
        </w:rPr>
        <w:t xml:space="preserve">en </w:t>
      </w:r>
      <w:r w:rsidR="00E84930" w:rsidRPr="00D25D34">
        <w:rPr>
          <w:b w:val="0"/>
          <w:color w:val="000000" w:themeColor="text1"/>
          <w:spacing w:val="10"/>
          <w:sz w:val="22"/>
          <w:szCs w:val="22"/>
        </w:rPr>
        <w:t xml:space="preserve">la </w:t>
      </w:r>
      <w:r w:rsidR="00E84930" w:rsidRPr="00D25D34">
        <w:rPr>
          <w:b w:val="0"/>
          <w:spacing w:val="10"/>
          <w:sz w:val="22"/>
          <w:szCs w:val="22"/>
        </w:rPr>
        <w:t>Población Económicamente Activa (PEA)</w:t>
      </w:r>
      <w:r w:rsidR="00E84930" w:rsidRPr="00D25D34">
        <w:rPr>
          <w:b w:val="0"/>
          <w:color w:val="000000" w:themeColor="text1"/>
          <w:spacing w:val="10"/>
          <w:sz w:val="22"/>
          <w:szCs w:val="22"/>
        </w:rPr>
        <w:t xml:space="preserve">, al pasar de </w:t>
      </w:r>
      <w:r w:rsidR="007F1119" w:rsidRPr="00D25D34">
        <w:rPr>
          <w:b w:val="0"/>
          <w:color w:val="000000" w:themeColor="text1"/>
          <w:spacing w:val="10"/>
          <w:sz w:val="22"/>
          <w:szCs w:val="22"/>
        </w:rPr>
        <w:t>57</w:t>
      </w:r>
      <w:r w:rsidR="00B85EC3" w:rsidRPr="00D25D34">
        <w:rPr>
          <w:b w:val="0"/>
          <w:color w:val="000000" w:themeColor="text1"/>
          <w:spacing w:val="10"/>
          <w:sz w:val="22"/>
          <w:szCs w:val="22"/>
        </w:rPr>
        <w:t xml:space="preserve"> millones a 5</w:t>
      </w:r>
      <w:r w:rsidR="007F1119" w:rsidRPr="00D25D34">
        <w:rPr>
          <w:b w:val="0"/>
          <w:color w:val="000000" w:themeColor="text1"/>
          <w:spacing w:val="10"/>
          <w:sz w:val="22"/>
          <w:szCs w:val="22"/>
        </w:rPr>
        <w:t>5.</w:t>
      </w:r>
      <w:r w:rsidR="001C0DF4">
        <w:rPr>
          <w:b w:val="0"/>
          <w:color w:val="000000" w:themeColor="text1"/>
          <w:spacing w:val="10"/>
          <w:sz w:val="22"/>
          <w:szCs w:val="22"/>
        </w:rPr>
        <w:t>4</w:t>
      </w:r>
      <w:r w:rsidR="001C0DF4" w:rsidRPr="00D25D34">
        <w:rPr>
          <w:b w:val="0"/>
          <w:color w:val="000000" w:themeColor="text1"/>
          <w:spacing w:val="10"/>
          <w:sz w:val="22"/>
          <w:szCs w:val="22"/>
        </w:rPr>
        <w:t xml:space="preserve"> </w:t>
      </w:r>
      <w:r w:rsidR="00E84930" w:rsidRPr="00D25D34">
        <w:rPr>
          <w:b w:val="0"/>
          <w:color w:val="000000" w:themeColor="text1"/>
          <w:spacing w:val="10"/>
          <w:sz w:val="22"/>
          <w:szCs w:val="22"/>
        </w:rPr>
        <w:t>millones</w:t>
      </w:r>
      <w:r w:rsidR="000E16CF" w:rsidRPr="00D25D34">
        <w:rPr>
          <w:b w:val="0"/>
          <w:color w:val="000000" w:themeColor="text1"/>
          <w:spacing w:val="10"/>
          <w:sz w:val="22"/>
          <w:szCs w:val="22"/>
        </w:rPr>
        <w:t>.</w:t>
      </w:r>
    </w:p>
    <w:p w14:paraId="61347D28" w14:textId="21D3163F" w:rsidR="009F2D19" w:rsidRPr="00A639A2" w:rsidRDefault="00E84930" w:rsidP="00A639A2">
      <w:pPr>
        <w:pStyle w:val="Subttulo"/>
        <w:numPr>
          <w:ilvl w:val="2"/>
          <w:numId w:val="25"/>
        </w:numPr>
        <w:ind w:left="-284" w:right="-518" w:hanging="283"/>
        <w:jc w:val="both"/>
        <w:rPr>
          <w:b w:val="0"/>
          <w:color w:val="000000" w:themeColor="text1"/>
          <w:spacing w:val="10"/>
          <w:sz w:val="22"/>
          <w:szCs w:val="22"/>
        </w:rPr>
      </w:pPr>
      <w:r w:rsidRPr="00D25D34">
        <w:rPr>
          <w:b w:val="0"/>
          <w:color w:val="000000" w:themeColor="text1"/>
          <w:spacing w:val="10"/>
          <w:sz w:val="22"/>
          <w:szCs w:val="22"/>
        </w:rPr>
        <w:t>La población ocupada fue de 5</w:t>
      </w:r>
      <w:r w:rsidR="007F1119" w:rsidRPr="00D25D34">
        <w:rPr>
          <w:b w:val="0"/>
          <w:color w:val="000000" w:themeColor="text1"/>
          <w:spacing w:val="10"/>
          <w:sz w:val="22"/>
          <w:szCs w:val="22"/>
        </w:rPr>
        <w:t>3</w:t>
      </w:r>
      <w:r w:rsidRPr="00D25D34">
        <w:rPr>
          <w:b w:val="0"/>
          <w:color w:val="000000" w:themeColor="text1"/>
          <w:spacing w:val="10"/>
          <w:sz w:val="22"/>
          <w:szCs w:val="22"/>
        </w:rPr>
        <w:t xml:space="preserve"> millones de personas</w:t>
      </w:r>
      <w:r w:rsidR="009F2D19" w:rsidRPr="00D25D34">
        <w:rPr>
          <w:b w:val="0"/>
          <w:color w:val="000000" w:themeColor="text1"/>
          <w:spacing w:val="10"/>
          <w:sz w:val="22"/>
          <w:szCs w:val="22"/>
        </w:rPr>
        <w:t>, re</w:t>
      </w:r>
      <w:r w:rsidR="00BF6813" w:rsidRPr="00D25D34">
        <w:rPr>
          <w:b w:val="0"/>
          <w:color w:val="000000" w:themeColor="text1"/>
          <w:spacing w:val="10"/>
          <w:sz w:val="22"/>
          <w:szCs w:val="22"/>
        </w:rPr>
        <w:t xml:space="preserve">portando una disminución de </w:t>
      </w:r>
      <w:r w:rsidR="007F1119" w:rsidRPr="00A639A2">
        <w:rPr>
          <w:b w:val="0"/>
          <w:color w:val="000000" w:themeColor="text1"/>
          <w:spacing w:val="10"/>
          <w:sz w:val="22"/>
          <w:szCs w:val="22"/>
        </w:rPr>
        <w:t>2.</w:t>
      </w:r>
      <w:r w:rsidR="000A574F" w:rsidRPr="00A639A2">
        <w:rPr>
          <w:b w:val="0"/>
          <w:color w:val="000000" w:themeColor="text1"/>
          <w:spacing w:val="10"/>
          <w:sz w:val="22"/>
          <w:szCs w:val="22"/>
        </w:rPr>
        <w:t xml:space="preserve">1 </w:t>
      </w:r>
      <w:r w:rsidR="009F2D19" w:rsidRPr="00A639A2">
        <w:rPr>
          <w:b w:val="0"/>
          <w:color w:val="000000" w:themeColor="text1"/>
          <w:spacing w:val="10"/>
          <w:sz w:val="22"/>
          <w:szCs w:val="22"/>
        </w:rPr>
        <w:t>millones.</w:t>
      </w:r>
    </w:p>
    <w:p w14:paraId="35B25873" w14:textId="18BF2738" w:rsidR="009F2D19" w:rsidRPr="00D25D34" w:rsidRDefault="00420F87" w:rsidP="00A75CAE">
      <w:pPr>
        <w:pStyle w:val="Subttulo"/>
        <w:numPr>
          <w:ilvl w:val="2"/>
          <w:numId w:val="25"/>
        </w:numPr>
        <w:ind w:left="-284" w:right="-518" w:hanging="283"/>
        <w:jc w:val="both"/>
        <w:rPr>
          <w:b w:val="0"/>
          <w:color w:val="000000" w:themeColor="text1"/>
          <w:spacing w:val="10"/>
          <w:sz w:val="22"/>
          <w:szCs w:val="22"/>
        </w:rPr>
      </w:pPr>
      <w:r>
        <w:rPr>
          <w:b w:val="0"/>
          <w:color w:val="000000" w:themeColor="text1"/>
          <w:spacing w:val="10"/>
          <w:sz w:val="22"/>
          <w:szCs w:val="22"/>
        </w:rPr>
        <w:t>Las personas</w:t>
      </w:r>
      <w:r w:rsidR="009F2D19" w:rsidRPr="00D25D34">
        <w:rPr>
          <w:b w:val="0"/>
          <w:color w:val="000000" w:themeColor="text1"/>
          <w:spacing w:val="10"/>
          <w:sz w:val="22"/>
          <w:szCs w:val="22"/>
        </w:rPr>
        <w:t xml:space="preserve"> ocupad</w:t>
      </w:r>
      <w:r>
        <w:rPr>
          <w:b w:val="0"/>
          <w:color w:val="000000" w:themeColor="text1"/>
          <w:spacing w:val="10"/>
          <w:sz w:val="22"/>
          <w:szCs w:val="22"/>
        </w:rPr>
        <w:t>a</w:t>
      </w:r>
      <w:r w:rsidR="009F2D19" w:rsidRPr="00D25D34">
        <w:rPr>
          <w:b w:val="0"/>
          <w:color w:val="000000" w:themeColor="text1"/>
          <w:spacing w:val="10"/>
          <w:sz w:val="22"/>
          <w:szCs w:val="22"/>
        </w:rPr>
        <w:t xml:space="preserve">s en actividades terciarias descendieron </w:t>
      </w:r>
      <w:r w:rsidR="007F1119" w:rsidRPr="00D25D34">
        <w:rPr>
          <w:b w:val="0"/>
          <w:color w:val="000000" w:themeColor="text1"/>
          <w:spacing w:val="10"/>
          <w:sz w:val="22"/>
          <w:szCs w:val="22"/>
        </w:rPr>
        <w:t>1.</w:t>
      </w:r>
      <w:r w:rsidR="0075417B">
        <w:rPr>
          <w:b w:val="0"/>
          <w:color w:val="000000" w:themeColor="text1"/>
          <w:spacing w:val="10"/>
          <w:sz w:val="22"/>
          <w:szCs w:val="22"/>
        </w:rPr>
        <w:t>9</w:t>
      </w:r>
      <w:r w:rsidR="0075417B" w:rsidRPr="00D25D34">
        <w:rPr>
          <w:b w:val="0"/>
          <w:color w:val="000000" w:themeColor="text1"/>
          <w:spacing w:val="10"/>
          <w:sz w:val="22"/>
          <w:szCs w:val="22"/>
        </w:rPr>
        <w:t xml:space="preserve"> </w:t>
      </w:r>
      <w:r w:rsidR="009F2D19" w:rsidRPr="00D25D34">
        <w:rPr>
          <w:b w:val="0"/>
          <w:color w:val="000000" w:themeColor="text1"/>
          <w:spacing w:val="10"/>
          <w:sz w:val="22"/>
          <w:szCs w:val="22"/>
        </w:rPr>
        <w:t xml:space="preserve">millones, siendo el impacto mayor en el </w:t>
      </w:r>
      <w:r w:rsidR="00AD5E46">
        <w:rPr>
          <w:b w:val="0"/>
          <w:color w:val="000000" w:themeColor="text1"/>
          <w:spacing w:val="10"/>
          <w:sz w:val="22"/>
          <w:szCs w:val="22"/>
        </w:rPr>
        <w:t xml:space="preserve">sector </w:t>
      </w:r>
      <w:r w:rsidR="00DE5724">
        <w:rPr>
          <w:b w:val="0"/>
          <w:color w:val="000000" w:themeColor="text1"/>
          <w:spacing w:val="10"/>
          <w:sz w:val="22"/>
          <w:szCs w:val="22"/>
        </w:rPr>
        <w:t xml:space="preserve">comercio con una reducción de 712 mil y </w:t>
      </w:r>
      <w:r w:rsidR="00AD5E46">
        <w:rPr>
          <w:b w:val="0"/>
          <w:color w:val="000000" w:themeColor="text1"/>
          <w:spacing w:val="10"/>
          <w:sz w:val="22"/>
          <w:szCs w:val="22"/>
        </w:rPr>
        <w:t>e</w:t>
      </w:r>
      <w:r>
        <w:rPr>
          <w:b w:val="0"/>
          <w:color w:val="000000" w:themeColor="text1"/>
          <w:spacing w:val="10"/>
          <w:sz w:val="22"/>
          <w:szCs w:val="22"/>
        </w:rPr>
        <w:t>n</w:t>
      </w:r>
      <w:r w:rsidR="00AD5E46" w:rsidRPr="00D25D34">
        <w:rPr>
          <w:b w:val="0"/>
          <w:color w:val="000000" w:themeColor="text1"/>
          <w:spacing w:val="10"/>
          <w:sz w:val="22"/>
          <w:szCs w:val="22"/>
        </w:rPr>
        <w:t xml:space="preserve"> </w:t>
      </w:r>
      <w:r>
        <w:rPr>
          <w:b w:val="0"/>
          <w:color w:val="000000" w:themeColor="text1"/>
          <w:spacing w:val="10"/>
          <w:sz w:val="22"/>
          <w:szCs w:val="22"/>
        </w:rPr>
        <w:t xml:space="preserve">el sector </w:t>
      </w:r>
      <w:r w:rsidR="009F2D19" w:rsidRPr="00D25D34">
        <w:rPr>
          <w:b w:val="0"/>
          <w:color w:val="000000" w:themeColor="text1"/>
          <w:spacing w:val="10"/>
          <w:sz w:val="22"/>
          <w:szCs w:val="22"/>
        </w:rPr>
        <w:t xml:space="preserve">de restaurantes y servicios de alojamiento </w:t>
      </w:r>
      <w:r w:rsidR="007F1119" w:rsidRPr="00D25D34">
        <w:rPr>
          <w:b w:val="0"/>
          <w:color w:val="000000" w:themeColor="text1"/>
          <w:spacing w:val="10"/>
          <w:sz w:val="22"/>
          <w:szCs w:val="22"/>
        </w:rPr>
        <w:t xml:space="preserve">con </w:t>
      </w:r>
      <w:r w:rsidR="00DE5724">
        <w:rPr>
          <w:b w:val="0"/>
          <w:color w:val="000000" w:themeColor="text1"/>
          <w:spacing w:val="10"/>
          <w:sz w:val="22"/>
          <w:szCs w:val="22"/>
        </w:rPr>
        <w:t>656</w:t>
      </w:r>
      <w:r w:rsidR="00DE5724" w:rsidRPr="00D25D34">
        <w:rPr>
          <w:b w:val="0"/>
          <w:color w:val="000000" w:themeColor="text1"/>
          <w:spacing w:val="10"/>
          <w:sz w:val="22"/>
          <w:szCs w:val="22"/>
        </w:rPr>
        <w:t xml:space="preserve"> </w:t>
      </w:r>
      <w:r w:rsidR="007F1119" w:rsidRPr="00D25D34">
        <w:rPr>
          <w:b w:val="0"/>
          <w:color w:val="000000" w:themeColor="text1"/>
          <w:spacing w:val="10"/>
          <w:sz w:val="22"/>
          <w:szCs w:val="22"/>
        </w:rPr>
        <w:t>mil</w:t>
      </w:r>
      <w:r>
        <w:rPr>
          <w:b w:val="0"/>
          <w:color w:val="000000" w:themeColor="text1"/>
          <w:spacing w:val="10"/>
          <w:sz w:val="22"/>
          <w:szCs w:val="22"/>
        </w:rPr>
        <w:t>.</w:t>
      </w:r>
    </w:p>
    <w:p w14:paraId="15ED5871" w14:textId="39227158" w:rsidR="00227077" w:rsidRPr="00D25D34" w:rsidRDefault="00227077" w:rsidP="00061089">
      <w:pPr>
        <w:pStyle w:val="Subttulo"/>
        <w:numPr>
          <w:ilvl w:val="2"/>
          <w:numId w:val="25"/>
        </w:numPr>
        <w:ind w:left="-284" w:right="-518" w:hanging="283"/>
        <w:jc w:val="both"/>
        <w:rPr>
          <w:b w:val="0"/>
          <w:color w:val="000000" w:themeColor="text1"/>
          <w:spacing w:val="10"/>
          <w:sz w:val="22"/>
          <w:szCs w:val="22"/>
        </w:rPr>
      </w:pPr>
      <w:r w:rsidRPr="00D25D34">
        <w:rPr>
          <w:b w:val="0"/>
          <w:color w:val="000000" w:themeColor="text1"/>
          <w:spacing w:val="10"/>
          <w:sz w:val="22"/>
          <w:szCs w:val="22"/>
        </w:rPr>
        <w:t>La</w:t>
      </w:r>
      <w:r w:rsidR="00420F87">
        <w:rPr>
          <w:b w:val="0"/>
          <w:color w:val="000000" w:themeColor="text1"/>
          <w:spacing w:val="10"/>
          <w:sz w:val="22"/>
          <w:szCs w:val="22"/>
        </w:rPr>
        <w:t xml:space="preserve">s personas ocupadas </w:t>
      </w:r>
      <w:r w:rsidRPr="00D25D34">
        <w:rPr>
          <w:b w:val="0"/>
          <w:color w:val="000000" w:themeColor="text1"/>
          <w:spacing w:val="10"/>
          <w:sz w:val="22"/>
          <w:szCs w:val="22"/>
        </w:rPr>
        <w:t>en micronegocios disminuy</w:t>
      </w:r>
      <w:r w:rsidR="00420F87">
        <w:rPr>
          <w:b w:val="0"/>
          <w:color w:val="000000" w:themeColor="text1"/>
          <w:spacing w:val="10"/>
          <w:sz w:val="22"/>
          <w:szCs w:val="22"/>
        </w:rPr>
        <w:t>eron</w:t>
      </w:r>
      <w:r w:rsidRPr="00D25D34">
        <w:rPr>
          <w:b w:val="0"/>
          <w:color w:val="000000" w:themeColor="text1"/>
          <w:spacing w:val="10"/>
          <w:sz w:val="22"/>
          <w:szCs w:val="22"/>
        </w:rPr>
        <w:t xml:space="preserve"> en </w:t>
      </w:r>
      <w:r w:rsidR="007403D7" w:rsidRPr="00D25D34">
        <w:rPr>
          <w:b w:val="0"/>
          <w:color w:val="000000" w:themeColor="text1"/>
          <w:spacing w:val="10"/>
          <w:sz w:val="22"/>
          <w:szCs w:val="22"/>
        </w:rPr>
        <w:t>9</w:t>
      </w:r>
      <w:r w:rsidR="007403D7">
        <w:rPr>
          <w:b w:val="0"/>
          <w:color w:val="000000" w:themeColor="text1"/>
          <w:spacing w:val="10"/>
          <w:sz w:val="22"/>
          <w:szCs w:val="22"/>
        </w:rPr>
        <w:t>2</w:t>
      </w:r>
      <w:r w:rsidR="007403D7" w:rsidRPr="00D25D34">
        <w:rPr>
          <w:b w:val="0"/>
          <w:color w:val="000000" w:themeColor="text1"/>
          <w:spacing w:val="10"/>
          <w:sz w:val="22"/>
          <w:szCs w:val="22"/>
        </w:rPr>
        <w:t xml:space="preserve">4 </w:t>
      </w:r>
      <w:r w:rsidRPr="00D25D34">
        <w:rPr>
          <w:b w:val="0"/>
          <w:color w:val="000000" w:themeColor="text1"/>
          <w:spacing w:val="10"/>
          <w:sz w:val="22"/>
          <w:szCs w:val="22"/>
        </w:rPr>
        <w:t>mil</w:t>
      </w:r>
      <w:r w:rsidR="00420F87">
        <w:rPr>
          <w:b w:val="0"/>
          <w:color w:val="000000" w:themeColor="text1"/>
          <w:spacing w:val="10"/>
          <w:sz w:val="22"/>
          <w:szCs w:val="22"/>
        </w:rPr>
        <w:t xml:space="preserve">, </w:t>
      </w:r>
      <w:r w:rsidR="00A639A2">
        <w:rPr>
          <w:b w:val="0"/>
          <w:color w:val="000000" w:themeColor="text1"/>
          <w:spacing w:val="10"/>
          <w:sz w:val="22"/>
          <w:szCs w:val="22"/>
        </w:rPr>
        <w:t>particularmente</w:t>
      </w:r>
      <w:r w:rsidR="00420F87">
        <w:rPr>
          <w:b w:val="0"/>
          <w:color w:val="000000" w:themeColor="text1"/>
          <w:spacing w:val="10"/>
          <w:sz w:val="22"/>
          <w:szCs w:val="22"/>
        </w:rPr>
        <w:t xml:space="preserve"> los que cuentan con establecimiento para operar, con</w:t>
      </w:r>
      <w:r w:rsidRPr="00D25D34">
        <w:rPr>
          <w:b w:val="0"/>
          <w:color w:val="000000" w:themeColor="text1"/>
          <w:spacing w:val="10"/>
          <w:sz w:val="22"/>
          <w:szCs w:val="22"/>
        </w:rPr>
        <w:t xml:space="preserve"> </w:t>
      </w:r>
      <w:r w:rsidR="007403D7">
        <w:rPr>
          <w:b w:val="0"/>
          <w:color w:val="000000" w:themeColor="text1"/>
          <w:spacing w:val="10"/>
          <w:sz w:val="22"/>
          <w:szCs w:val="22"/>
        </w:rPr>
        <w:t>537</w:t>
      </w:r>
      <w:r w:rsidR="007403D7" w:rsidRPr="00D25D34">
        <w:rPr>
          <w:b w:val="0"/>
          <w:color w:val="000000" w:themeColor="text1"/>
          <w:spacing w:val="10"/>
          <w:sz w:val="22"/>
          <w:szCs w:val="22"/>
        </w:rPr>
        <w:t xml:space="preserve"> </w:t>
      </w:r>
      <w:r w:rsidRPr="00D25D34">
        <w:rPr>
          <w:b w:val="0"/>
          <w:color w:val="000000" w:themeColor="text1"/>
          <w:spacing w:val="10"/>
          <w:sz w:val="22"/>
          <w:szCs w:val="22"/>
        </w:rPr>
        <w:t xml:space="preserve">mil </w:t>
      </w:r>
      <w:r w:rsidR="00420F87">
        <w:rPr>
          <w:b w:val="0"/>
          <w:color w:val="000000" w:themeColor="text1"/>
          <w:spacing w:val="10"/>
          <w:sz w:val="22"/>
          <w:szCs w:val="22"/>
        </w:rPr>
        <w:t xml:space="preserve">personas </w:t>
      </w:r>
      <w:r w:rsidRPr="00D25D34">
        <w:rPr>
          <w:b w:val="0"/>
          <w:color w:val="000000" w:themeColor="text1"/>
          <w:spacing w:val="10"/>
          <w:sz w:val="22"/>
          <w:szCs w:val="22"/>
        </w:rPr>
        <w:t>menos</w:t>
      </w:r>
      <w:r w:rsidR="00420F87">
        <w:rPr>
          <w:b w:val="0"/>
          <w:color w:val="000000" w:themeColor="text1"/>
          <w:spacing w:val="10"/>
          <w:sz w:val="22"/>
          <w:szCs w:val="22"/>
        </w:rPr>
        <w:t>.</w:t>
      </w:r>
    </w:p>
    <w:p w14:paraId="66A569C9" w14:textId="664F877B" w:rsidR="008640CC" w:rsidRPr="00D25D34" w:rsidRDefault="008640CC" w:rsidP="00061089">
      <w:pPr>
        <w:pStyle w:val="Subttulo"/>
        <w:numPr>
          <w:ilvl w:val="2"/>
          <w:numId w:val="25"/>
        </w:numPr>
        <w:ind w:left="-284" w:right="-518" w:hanging="283"/>
        <w:jc w:val="both"/>
        <w:rPr>
          <w:b w:val="0"/>
          <w:color w:val="000000" w:themeColor="text1"/>
          <w:spacing w:val="10"/>
          <w:sz w:val="22"/>
          <w:szCs w:val="22"/>
        </w:rPr>
      </w:pPr>
      <w:r w:rsidRPr="00D25D34">
        <w:rPr>
          <w:b w:val="0"/>
          <w:color w:val="000000" w:themeColor="text1"/>
          <w:spacing w:val="10"/>
          <w:sz w:val="22"/>
          <w:szCs w:val="22"/>
        </w:rPr>
        <w:t xml:space="preserve">La población </w:t>
      </w:r>
      <w:proofErr w:type="spellStart"/>
      <w:r w:rsidRPr="00D25D34">
        <w:rPr>
          <w:b w:val="0"/>
          <w:color w:val="000000" w:themeColor="text1"/>
          <w:spacing w:val="10"/>
          <w:sz w:val="22"/>
          <w:szCs w:val="22"/>
        </w:rPr>
        <w:t>subocupada</w:t>
      </w:r>
      <w:proofErr w:type="spellEnd"/>
      <w:r w:rsidRPr="00D25D34">
        <w:rPr>
          <w:b w:val="0"/>
          <w:color w:val="000000" w:themeColor="text1"/>
          <w:spacing w:val="10"/>
          <w:sz w:val="22"/>
          <w:szCs w:val="22"/>
        </w:rPr>
        <w:t xml:space="preserve"> aument</w:t>
      </w:r>
      <w:r w:rsidR="008B5E20" w:rsidRPr="00D25D34">
        <w:rPr>
          <w:b w:val="0"/>
          <w:color w:val="000000" w:themeColor="text1"/>
          <w:spacing w:val="10"/>
          <w:sz w:val="22"/>
          <w:szCs w:val="22"/>
        </w:rPr>
        <w:t>ó</w:t>
      </w:r>
      <w:r w:rsidRPr="00D25D34">
        <w:rPr>
          <w:b w:val="0"/>
          <w:color w:val="000000" w:themeColor="text1"/>
          <w:spacing w:val="10"/>
          <w:sz w:val="22"/>
          <w:szCs w:val="22"/>
        </w:rPr>
        <w:t xml:space="preserve"> </w:t>
      </w:r>
      <w:r w:rsidR="00B756C2">
        <w:rPr>
          <w:b w:val="0"/>
          <w:color w:val="000000" w:themeColor="text1"/>
          <w:spacing w:val="10"/>
          <w:sz w:val="22"/>
          <w:szCs w:val="22"/>
        </w:rPr>
        <w:t>2.7</w:t>
      </w:r>
      <w:r w:rsidR="00A639A2">
        <w:rPr>
          <w:b w:val="0"/>
          <w:color w:val="000000" w:themeColor="text1"/>
          <w:spacing w:val="10"/>
          <w:sz w:val="22"/>
          <w:szCs w:val="22"/>
        </w:rPr>
        <w:t xml:space="preserve"> </w:t>
      </w:r>
      <w:r w:rsidRPr="00D25D34">
        <w:rPr>
          <w:b w:val="0"/>
          <w:color w:val="000000" w:themeColor="text1"/>
          <w:spacing w:val="10"/>
          <w:sz w:val="22"/>
          <w:szCs w:val="22"/>
        </w:rPr>
        <w:t xml:space="preserve">millones, </w:t>
      </w:r>
      <w:r w:rsidR="001C6E34" w:rsidRPr="00D25D34">
        <w:rPr>
          <w:b w:val="0"/>
          <w:color w:val="000000" w:themeColor="text1"/>
          <w:spacing w:val="10"/>
          <w:sz w:val="22"/>
          <w:szCs w:val="22"/>
        </w:rPr>
        <w:t>al pasar de 4.</w:t>
      </w:r>
      <w:r w:rsidR="00B756C2">
        <w:rPr>
          <w:b w:val="0"/>
          <w:color w:val="000000" w:themeColor="text1"/>
          <w:spacing w:val="10"/>
          <w:sz w:val="22"/>
          <w:szCs w:val="22"/>
        </w:rPr>
        <w:t>6</w:t>
      </w:r>
      <w:r w:rsidR="00B756C2" w:rsidRPr="00D25D34">
        <w:rPr>
          <w:b w:val="0"/>
          <w:color w:val="000000" w:themeColor="text1"/>
          <w:spacing w:val="10"/>
          <w:sz w:val="22"/>
          <w:szCs w:val="22"/>
        </w:rPr>
        <w:t xml:space="preserve"> </w:t>
      </w:r>
      <w:r w:rsidR="001C6E34" w:rsidRPr="00D25D34">
        <w:rPr>
          <w:b w:val="0"/>
          <w:color w:val="000000" w:themeColor="text1"/>
          <w:spacing w:val="10"/>
          <w:sz w:val="22"/>
          <w:szCs w:val="22"/>
        </w:rPr>
        <w:t xml:space="preserve">a </w:t>
      </w:r>
      <w:r w:rsidR="00B756C2">
        <w:rPr>
          <w:b w:val="0"/>
          <w:color w:val="000000" w:themeColor="text1"/>
          <w:spacing w:val="10"/>
          <w:sz w:val="22"/>
          <w:szCs w:val="22"/>
        </w:rPr>
        <w:t>7.3</w:t>
      </w:r>
      <w:r w:rsidR="00796032" w:rsidRPr="00D25D34">
        <w:rPr>
          <w:b w:val="0"/>
          <w:color w:val="000000" w:themeColor="text1"/>
          <w:spacing w:val="10"/>
          <w:sz w:val="22"/>
          <w:szCs w:val="22"/>
        </w:rPr>
        <w:t xml:space="preserve"> </w:t>
      </w:r>
      <w:r w:rsidR="001C6E34" w:rsidRPr="00D25D34">
        <w:rPr>
          <w:b w:val="0"/>
          <w:color w:val="000000" w:themeColor="text1"/>
          <w:spacing w:val="10"/>
          <w:sz w:val="22"/>
          <w:szCs w:val="22"/>
        </w:rPr>
        <w:t>millones.</w:t>
      </w:r>
    </w:p>
    <w:p w14:paraId="5EC63FA5" w14:textId="4D8E9BA6" w:rsidR="00192BBC" w:rsidRPr="003F2078" w:rsidRDefault="00F418B0" w:rsidP="00061089">
      <w:pPr>
        <w:pStyle w:val="Subttulo"/>
        <w:numPr>
          <w:ilvl w:val="2"/>
          <w:numId w:val="25"/>
        </w:numPr>
        <w:ind w:left="-284" w:right="-518" w:hanging="283"/>
        <w:jc w:val="both"/>
        <w:rPr>
          <w:b w:val="0"/>
          <w:color w:val="000000" w:themeColor="text1"/>
          <w:spacing w:val="10"/>
          <w:sz w:val="22"/>
          <w:szCs w:val="22"/>
        </w:rPr>
      </w:pPr>
      <w:r w:rsidRPr="00D25D34">
        <w:rPr>
          <w:b w:val="0"/>
          <w:spacing w:val="10"/>
          <w:sz w:val="22"/>
          <w:szCs w:val="22"/>
        </w:rPr>
        <w:t>L</w:t>
      </w:r>
      <w:r w:rsidR="001C6E34" w:rsidRPr="00D25D34">
        <w:rPr>
          <w:b w:val="0"/>
          <w:spacing w:val="10"/>
          <w:sz w:val="22"/>
          <w:szCs w:val="22"/>
        </w:rPr>
        <w:t xml:space="preserve">a tasa de desocupación aumentó </w:t>
      </w:r>
      <w:r w:rsidR="00156A76">
        <w:rPr>
          <w:b w:val="0"/>
          <w:spacing w:val="10"/>
          <w:sz w:val="22"/>
          <w:szCs w:val="22"/>
        </w:rPr>
        <w:t>0.9</w:t>
      </w:r>
      <w:r w:rsidR="001C6E34" w:rsidRPr="00D25D34">
        <w:rPr>
          <w:b w:val="0"/>
          <w:spacing w:val="10"/>
          <w:sz w:val="22"/>
          <w:szCs w:val="22"/>
        </w:rPr>
        <w:t xml:space="preserve"> puntos porcentuales al pasar de 3.</w:t>
      </w:r>
      <w:r w:rsidR="007F1119" w:rsidRPr="00D25D34">
        <w:rPr>
          <w:b w:val="0"/>
          <w:spacing w:val="10"/>
          <w:sz w:val="22"/>
          <w:szCs w:val="22"/>
        </w:rPr>
        <w:t>4</w:t>
      </w:r>
      <w:r w:rsidR="001C6E34" w:rsidRPr="00D25D34">
        <w:rPr>
          <w:b w:val="0"/>
          <w:spacing w:val="10"/>
          <w:sz w:val="22"/>
          <w:szCs w:val="22"/>
        </w:rPr>
        <w:t xml:space="preserve"> a </w:t>
      </w:r>
      <w:r w:rsidR="00970B86" w:rsidRPr="00D25D34">
        <w:rPr>
          <w:b w:val="0"/>
          <w:spacing w:val="10"/>
          <w:sz w:val="22"/>
          <w:szCs w:val="22"/>
        </w:rPr>
        <w:t>4.</w:t>
      </w:r>
      <w:r w:rsidR="00201728">
        <w:rPr>
          <w:b w:val="0"/>
          <w:spacing w:val="10"/>
          <w:sz w:val="22"/>
          <w:szCs w:val="22"/>
        </w:rPr>
        <w:t>4</w:t>
      </w:r>
      <w:r w:rsidR="004C0061" w:rsidRPr="00D25D34">
        <w:rPr>
          <w:b w:val="0"/>
          <w:spacing w:val="10"/>
          <w:sz w:val="22"/>
          <w:szCs w:val="22"/>
        </w:rPr>
        <w:t>% a nivel nacional</w:t>
      </w:r>
      <w:r w:rsidR="003F2078" w:rsidRPr="003F2078">
        <w:rPr>
          <w:b w:val="0"/>
        </w:rPr>
        <w:t xml:space="preserve">. </w:t>
      </w:r>
      <w:r w:rsidR="003F2078" w:rsidRPr="003F2078">
        <w:rPr>
          <w:b w:val="0"/>
          <w:sz w:val="22"/>
          <w:szCs w:val="22"/>
        </w:rPr>
        <w:t>En términos absolutos</w:t>
      </w:r>
      <w:r w:rsidR="00525D23">
        <w:rPr>
          <w:b w:val="0"/>
          <w:sz w:val="22"/>
          <w:szCs w:val="22"/>
        </w:rPr>
        <w:t>,</w:t>
      </w:r>
      <w:r w:rsidR="003F2078" w:rsidRPr="003F2078">
        <w:rPr>
          <w:b w:val="0"/>
          <w:sz w:val="22"/>
          <w:szCs w:val="22"/>
        </w:rPr>
        <w:t xml:space="preserve"> el total de desocupados en el primer trimestre de 2021 fue de 2.4 millones de personas.</w:t>
      </w:r>
    </w:p>
    <w:p w14:paraId="72D838E8" w14:textId="43151726" w:rsidR="001C6E34" w:rsidRPr="00D25D34" w:rsidRDefault="00192BBC" w:rsidP="00061089">
      <w:pPr>
        <w:pStyle w:val="Subttulo"/>
        <w:numPr>
          <w:ilvl w:val="2"/>
          <w:numId w:val="25"/>
        </w:numPr>
        <w:ind w:left="-284" w:right="-518" w:hanging="283"/>
        <w:jc w:val="both"/>
        <w:rPr>
          <w:b w:val="0"/>
          <w:color w:val="000000" w:themeColor="text1"/>
          <w:spacing w:val="10"/>
          <w:sz w:val="22"/>
          <w:szCs w:val="22"/>
        </w:rPr>
      </w:pPr>
      <w:r w:rsidRPr="003F2078">
        <w:rPr>
          <w:b w:val="0"/>
          <w:spacing w:val="10"/>
          <w:sz w:val="22"/>
          <w:szCs w:val="22"/>
        </w:rPr>
        <w:t>En</w:t>
      </w:r>
      <w:r w:rsidR="004C0061" w:rsidRPr="003F2078">
        <w:rPr>
          <w:b w:val="0"/>
          <w:spacing w:val="10"/>
          <w:sz w:val="22"/>
          <w:szCs w:val="22"/>
        </w:rPr>
        <w:t xml:space="preserve"> el conjunto de las 39 ciudades del país</w:t>
      </w:r>
      <w:r w:rsidR="004C0061" w:rsidRPr="00D25D34">
        <w:rPr>
          <w:b w:val="0"/>
          <w:spacing w:val="10"/>
          <w:sz w:val="22"/>
          <w:szCs w:val="22"/>
        </w:rPr>
        <w:t xml:space="preserve"> la tasa </w:t>
      </w:r>
      <w:r w:rsidRPr="00D25D34">
        <w:rPr>
          <w:b w:val="0"/>
          <w:spacing w:val="10"/>
          <w:sz w:val="22"/>
          <w:szCs w:val="22"/>
        </w:rPr>
        <w:t>de desocupación aumentó 1.</w:t>
      </w:r>
      <w:r w:rsidR="0064016B">
        <w:rPr>
          <w:b w:val="0"/>
          <w:spacing w:val="10"/>
          <w:sz w:val="22"/>
          <w:szCs w:val="22"/>
        </w:rPr>
        <w:t>3</w:t>
      </w:r>
      <w:r w:rsidR="0064016B" w:rsidRPr="00D25D34">
        <w:rPr>
          <w:b w:val="0"/>
          <w:spacing w:val="10"/>
          <w:sz w:val="22"/>
          <w:szCs w:val="22"/>
        </w:rPr>
        <w:t xml:space="preserve"> </w:t>
      </w:r>
      <w:r w:rsidRPr="00D25D34">
        <w:rPr>
          <w:b w:val="0"/>
          <w:spacing w:val="10"/>
          <w:sz w:val="22"/>
          <w:szCs w:val="22"/>
        </w:rPr>
        <w:t>puntos porcentuales, al pasar de 4.</w:t>
      </w:r>
      <w:r w:rsidR="0064016B">
        <w:rPr>
          <w:b w:val="0"/>
          <w:spacing w:val="10"/>
          <w:sz w:val="22"/>
          <w:szCs w:val="22"/>
        </w:rPr>
        <w:t>2</w:t>
      </w:r>
      <w:r w:rsidR="00A91041">
        <w:rPr>
          <w:b w:val="0"/>
          <w:spacing w:val="10"/>
          <w:sz w:val="22"/>
          <w:szCs w:val="22"/>
        </w:rPr>
        <w:t xml:space="preserve"> </w:t>
      </w:r>
      <w:r w:rsidRPr="00D25D34">
        <w:rPr>
          <w:b w:val="0"/>
          <w:spacing w:val="10"/>
          <w:sz w:val="22"/>
          <w:szCs w:val="22"/>
        </w:rPr>
        <w:t xml:space="preserve">a </w:t>
      </w:r>
      <w:r w:rsidR="00970B86" w:rsidRPr="00D25D34">
        <w:rPr>
          <w:b w:val="0"/>
          <w:spacing w:val="10"/>
          <w:sz w:val="22"/>
          <w:szCs w:val="22"/>
        </w:rPr>
        <w:t>5.</w:t>
      </w:r>
      <w:r w:rsidR="0064016B">
        <w:rPr>
          <w:b w:val="0"/>
          <w:spacing w:val="10"/>
          <w:sz w:val="22"/>
          <w:szCs w:val="22"/>
        </w:rPr>
        <w:t>5</w:t>
      </w:r>
      <w:r w:rsidR="00A91041">
        <w:rPr>
          <w:b w:val="0"/>
          <w:spacing w:val="10"/>
          <w:sz w:val="22"/>
          <w:szCs w:val="22"/>
        </w:rPr>
        <w:t xml:space="preserve"> </w:t>
      </w:r>
      <w:r w:rsidR="001C6E34" w:rsidRPr="00D25D34">
        <w:rPr>
          <w:b w:val="0"/>
          <w:spacing w:val="10"/>
          <w:sz w:val="22"/>
          <w:szCs w:val="22"/>
        </w:rPr>
        <w:t>por ciento.</w:t>
      </w:r>
    </w:p>
    <w:p w14:paraId="6C0C03E8" w14:textId="5C25F01E" w:rsidR="00F418B0" w:rsidRDefault="006742B0" w:rsidP="00061089">
      <w:pPr>
        <w:pStyle w:val="Subttulo"/>
        <w:numPr>
          <w:ilvl w:val="2"/>
          <w:numId w:val="25"/>
        </w:numPr>
        <w:ind w:left="-284" w:right="-518" w:hanging="283"/>
        <w:jc w:val="both"/>
        <w:rPr>
          <w:b w:val="0"/>
          <w:spacing w:val="10"/>
          <w:sz w:val="22"/>
          <w:szCs w:val="22"/>
        </w:rPr>
      </w:pPr>
      <w:r>
        <w:rPr>
          <w:b w:val="0"/>
          <w:bCs w:val="0"/>
          <w:spacing w:val="10"/>
          <w:sz w:val="22"/>
          <w:szCs w:val="22"/>
        </w:rPr>
        <w:t xml:space="preserve">Por entidad federativa, </w:t>
      </w:r>
      <w:r w:rsidR="00970B86" w:rsidRPr="00D25D34">
        <w:rPr>
          <w:b w:val="0"/>
          <w:bCs w:val="0"/>
          <w:spacing w:val="10"/>
          <w:sz w:val="22"/>
          <w:szCs w:val="22"/>
        </w:rPr>
        <w:t>Oaxaca con 7</w:t>
      </w:r>
      <w:r w:rsidR="002B5152">
        <w:rPr>
          <w:b w:val="0"/>
          <w:bCs w:val="0"/>
          <w:spacing w:val="10"/>
          <w:sz w:val="22"/>
          <w:szCs w:val="22"/>
        </w:rPr>
        <w:t>9.7</w:t>
      </w:r>
      <w:r w:rsidR="00970B86" w:rsidRPr="00D25D34">
        <w:rPr>
          <w:b w:val="0"/>
          <w:bCs w:val="0"/>
          <w:spacing w:val="10"/>
          <w:sz w:val="22"/>
          <w:szCs w:val="22"/>
        </w:rPr>
        <w:t>%, seguido de Guerrero con 7</w:t>
      </w:r>
      <w:r w:rsidR="002B5152">
        <w:rPr>
          <w:b w:val="0"/>
          <w:bCs w:val="0"/>
          <w:spacing w:val="10"/>
          <w:sz w:val="22"/>
          <w:szCs w:val="22"/>
        </w:rPr>
        <w:t>6.1</w:t>
      </w:r>
      <w:r w:rsidR="00970B86" w:rsidRPr="00D25D34">
        <w:rPr>
          <w:b w:val="0"/>
          <w:bCs w:val="0"/>
          <w:spacing w:val="10"/>
          <w:sz w:val="22"/>
          <w:szCs w:val="22"/>
        </w:rPr>
        <w:t>% y Chiapas con 7</w:t>
      </w:r>
      <w:r w:rsidR="002B5152">
        <w:rPr>
          <w:b w:val="0"/>
          <w:bCs w:val="0"/>
          <w:spacing w:val="10"/>
          <w:sz w:val="22"/>
          <w:szCs w:val="22"/>
        </w:rPr>
        <w:t>4.2</w:t>
      </w:r>
      <w:r w:rsidR="00970B86" w:rsidRPr="00D25D34">
        <w:rPr>
          <w:b w:val="0"/>
          <w:bCs w:val="0"/>
          <w:spacing w:val="10"/>
          <w:sz w:val="22"/>
          <w:szCs w:val="22"/>
        </w:rPr>
        <w:t>%</w:t>
      </w:r>
      <w:r w:rsidR="00970B86" w:rsidRPr="00D25D34">
        <w:rPr>
          <w:bCs w:val="0"/>
          <w:spacing w:val="10"/>
          <w:sz w:val="22"/>
          <w:szCs w:val="22"/>
        </w:rPr>
        <w:t xml:space="preserve"> </w:t>
      </w:r>
      <w:r w:rsidR="00F418B0" w:rsidRPr="00D25D34">
        <w:rPr>
          <w:b w:val="0"/>
          <w:spacing w:val="10"/>
          <w:sz w:val="22"/>
          <w:szCs w:val="22"/>
        </w:rPr>
        <w:t xml:space="preserve">reportaron </w:t>
      </w:r>
      <w:r w:rsidR="00534882" w:rsidRPr="00D25D34">
        <w:rPr>
          <w:b w:val="0"/>
          <w:spacing w:val="10"/>
          <w:sz w:val="22"/>
          <w:szCs w:val="22"/>
        </w:rPr>
        <w:t>las tasas</w:t>
      </w:r>
      <w:r w:rsidR="00F418B0" w:rsidRPr="00D25D34">
        <w:rPr>
          <w:b w:val="0"/>
          <w:spacing w:val="10"/>
          <w:sz w:val="22"/>
          <w:szCs w:val="22"/>
        </w:rPr>
        <w:t xml:space="preserve"> más alt</w:t>
      </w:r>
      <w:r w:rsidR="00534882" w:rsidRPr="00D25D34">
        <w:rPr>
          <w:b w:val="0"/>
          <w:spacing w:val="10"/>
          <w:sz w:val="22"/>
          <w:szCs w:val="22"/>
        </w:rPr>
        <w:t>a</w:t>
      </w:r>
      <w:r w:rsidR="00F418B0" w:rsidRPr="00D25D34">
        <w:rPr>
          <w:b w:val="0"/>
          <w:spacing w:val="10"/>
          <w:sz w:val="22"/>
          <w:szCs w:val="22"/>
        </w:rPr>
        <w:t>s</w:t>
      </w:r>
      <w:r w:rsidR="00534882" w:rsidRPr="00D25D34">
        <w:rPr>
          <w:b w:val="0"/>
          <w:spacing w:val="10"/>
          <w:sz w:val="22"/>
          <w:szCs w:val="22"/>
        </w:rPr>
        <w:t xml:space="preserve"> de informalidad laboral</w:t>
      </w:r>
      <w:r w:rsidR="00F418B0" w:rsidRPr="00D25D34">
        <w:rPr>
          <w:b w:val="0"/>
          <w:spacing w:val="10"/>
          <w:sz w:val="22"/>
          <w:szCs w:val="22"/>
        </w:rPr>
        <w:t xml:space="preserve">; en cambio, </w:t>
      </w:r>
      <w:r w:rsidR="002B5152">
        <w:rPr>
          <w:b w:val="0"/>
          <w:bCs w:val="0"/>
          <w:spacing w:val="10"/>
          <w:sz w:val="22"/>
          <w:szCs w:val="22"/>
        </w:rPr>
        <w:t>Chihuahua</w:t>
      </w:r>
      <w:r w:rsidR="00970B86" w:rsidRPr="00D25D34">
        <w:rPr>
          <w:b w:val="0"/>
          <w:bCs w:val="0"/>
          <w:spacing w:val="10"/>
          <w:sz w:val="22"/>
          <w:szCs w:val="22"/>
        </w:rPr>
        <w:t xml:space="preserve"> con 3</w:t>
      </w:r>
      <w:r w:rsidR="002B5152">
        <w:rPr>
          <w:b w:val="0"/>
          <w:bCs w:val="0"/>
          <w:spacing w:val="10"/>
          <w:sz w:val="22"/>
          <w:szCs w:val="22"/>
        </w:rPr>
        <w:t>4.3</w:t>
      </w:r>
      <w:r w:rsidR="00970B86" w:rsidRPr="00D25D34">
        <w:rPr>
          <w:b w:val="0"/>
          <w:bCs w:val="0"/>
          <w:spacing w:val="10"/>
          <w:sz w:val="22"/>
          <w:szCs w:val="22"/>
        </w:rPr>
        <w:t xml:space="preserve">%, </w:t>
      </w:r>
      <w:r w:rsidR="002B5152">
        <w:rPr>
          <w:b w:val="0"/>
          <w:bCs w:val="0"/>
          <w:spacing w:val="10"/>
          <w:sz w:val="22"/>
          <w:szCs w:val="22"/>
        </w:rPr>
        <w:t>Nuevo León</w:t>
      </w:r>
      <w:r w:rsidR="00970B86" w:rsidRPr="00D25D34">
        <w:rPr>
          <w:b w:val="0"/>
          <w:bCs w:val="0"/>
          <w:spacing w:val="10"/>
          <w:sz w:val="22"/>
          <w:szCs w:val="22"/>
        </w:rPr>
        <w:t xml:space="preserve"> con 3</w:t>
      </w:r>
      <w:r w:rsidR="002B5152">
        <w:rPr>
          <w:b w:val="0"/>
          <w:bCs w:val="0"/>
          <w:spacing w:val="10"/>
          <w:sz w:val="22"/>
          <w:szCs w:val="22"/>
        </w:rPr>
        <w:t>4.9</w:t>
      </w:r>
      <w:r w:rsidR="00970B86" w:rsidRPr="00D25D34">
        <w:rPr>
          <w:b w:val="0"/>
          <w:bCs w:val="0"/>
          <w:spacing w:val="10"/>
          <w:sz w:val="22"/>
          <w:szCs w:val="22"/>
        </w:rPr>
        <w:t xml:space="preserve">% y </w:t>
      </w:r>
      <w:r w:rsidR="002B5152">
        <w:rPr>
          <w:b w:val="0"/>
          <w:bCs w:val="0"/>
          <w:spacing w:val="10"/>
          <w:sz w:val="22"/>
          <w:szCs w:val="22"/>
        </w:rPr>
        <w:t>Baja California</w:t>
      </w:r>
      <w:r w:rsidR="002B5152" w:rsidRPr="00D25D34">
        <w:rPr>
          <w:b w:val="0"/>
          <w:bCs w:val="0"/>
          <w:spacing w:val="10"/>
          <w:sz w:val="22"/>
          <w:szCs w:val="22"/>
        </w:rPr>
        <w:t xml:space="preserve"> </w:t>
      </w:r>
      <w:r w:rsidR="00970B86" w:rsidRPr="00D25D34">
        <w:rPr>
          <w:b w:val="0"/>
          <w:bCs w:val="0"/>
          <w:spacing w:val="10"/>
          <w:sz w:val="22"/>
          <w:szCs w:val="22"/>
        </w:rPr>
        <w:t>con 3</w:t>
      </w:r>
      <w:r w:rsidR="002B5152">
        <w:rPr>
          <w:b w:val="0"/>
          <w:bCs w:val="0"/>
          <w:spacing w:val="10"/>
          <w:sz w:val="22"/>
          <w:szCs w:val="22"/>
        </w:rPr>
        <w:t>5.8</w:t>
      </w:r>
      <w:r w:rsidR="00970B86" w:rsidRPr="00D25D34">
        <w:rPr>
          <w:b w:val="0"/>
          <w:bCs w:val="0"/>
          <w:spacing w:val="10"/>
          <w:sz w:val="22"/>
          <w:szCs w:val="22"/>
        </w:rPr>
        <w:t>%</w:t>
      </w:r>
      <w:r w:rsidR="00534882" w:rsidRPr="00D25D34">
        <w:rPr>
          <w:b w:val="0"/>
          <w:spacing w:val="10"/>
          <w:sz w:val="22"/>
          <w:szCs w:val="22"/>
        </w:rPr>
        <w:t xml:space="preserve"> registraron </w:t>
      </w:r>
      <w:r w:rsidR="008B5E20" w:rsidRPr="00D25D34">
        <w:rPr>
          <w:b w:val="0"/>
          <w:spacing w:val="10"/>
          <w:sz w:val="22"/>
          <w:szCs w:val="22"/>
        </w:rPr>
        <w:t xml:space="preserve">las tasas </w:t>
      </w:r>
      <w:r w:rsidR="00534882" w:rsidRPr="00D25D34">
        <w:rPr>
          <w:b w:val="0"/>
          <w:spacing w:val="10"/>
          <w:sz w:val="22"/>
          <w:szCs w:val="22"/>
        </w:rPr>
        <w:t xml:space="preserve">más bajas </w:t>
      </w:r>
      <w:r w:rsidR="00F418B0" w:rsidRPr="00D25D34">
        <w:rPr>
          <w:b w:val="0"/>
          <w:spacing w:val="10"/>
          <w:sz w:val="22"/>
          <w:szCs w:val="22"/>
        </w:rPr>
        <w:t xml:space="preserve">durante el </w:t>
      </w:r>
      <w:r w:rsidR="00177B20" w:rsidRPr="00D25D34">
        <w:rPr>
          <w:b w:val="0"/>
          <w:spacing w:val="10"/>
          <w:sz w:val="22"/>
          <w:szCs w:val="22"/>
        </w:rPr>
        <w:t>primer</w:t>
      </w:r>
      <w:r w:rsidR="00F418B0" w:rsidRPr="00D25D34">
        <w:rPr>
          <w:b w:val="0"/>
          <w:spacing w:val="10"/>
          <w:sz w:val="22"/>
          <w:szCs w:val="22"/>
        </w:rPr>
        <w:t xml:space="preserve"> trimestre de </w:t>
      </w:r>
      <w:r w:rsidR="00177B20" w:rsidRPr="00D25D34">
        <w:rPr>
          <w:b w:val="0"/>
          <w:spacing w:val="10"/>
          <w:sz w:val="22"/>
          <w:szCs w:val="22"/>
        </w:rPr>
        <w:t>2021</w:t>
      </w:r>
      <w:r w:rsidR="00F418B0" w:rsidRPr="00D25D34">
        <w:rPr>
          <w:b w:val="0"/>
          <w:spacing w:val="10"/>
          <w:sz w:val="22"/>
          <w:szCs w:val="22"/>
        </w:rPr>
        <w:t>.</w:t>
      </w:r>
    </w:p>
    <w:p w14:paraId="367988E3" w14:textId="6F854C12" w:rsidR="003F2078" w:rsidRDefault="003F2078" w:rsidP="003F2078">
      <w:pPr>
        <w:pStyle w:val="Subttulo"/>
        <w:ind w:right="-518"/>
        <w:jc w:val="both"/>
        <w:rPr>
          <w:b w:val="0"/>
          <w:spacing w:val="10"/>
          <w:sz w:val="22"/>
          <w:szCs w:val="22"/>
        </w:rPr>
      </w:pPr>
    </w:p>
    <w:p w14:paraId="23FEBD37" w14:textId="6FC02FC5" w:rsidR="00F418B0" w:rsidRPr="003F2078" w:rsidRDefault="00534882" w:rsidP="00061089">
      <w:pPr>
        <w:pStyle w:val="Subttulo"/>
        <w:numPr>
          <w:ilvl w:val="2"/>
          <w:numId w:val="25"/>
        </w:numPr>
        <w:ind w:left="-284" w:right="-518" w:hanging="283"/>
        <w:jc w:val="both"/>
        <w:rPr>
          <w:b w:val="0"/>
          <w:spacing w:val="10"/>
          <w:sz w:val="22"/>
          <w:szCs w:val="22"/>
        </w:rPr>
      </w:pPr>
      <w:r w:rsidRPr="00D25D34">
        <w:rPr>
          <w:b w:val="0"/>
          <w:bCs w:val="0"/>
          <w:spacing w:val="10"/>
          <w:sz w:val="22"/>
          <w:szCs w:val="22"/>
        </w:rPr>
        <w:lastRenderedPageBreak/>
        <w:t xml:space="preserve">Las ciudades </w:t>
      </w:r>
      <w:r w:rsidR="003F2E12" w:rsidRPr="00D25D34">
        <w:rPr>
          <w:b w:val="0"/>
          <w:bCs w:val="0"/>
          <w:spacing w:val="10"/>
          <w:sz w:val="22"/>
          <w:szCs w:val="22"/>
        </w:rPr>
        <w:t>con mayor tasa de subutilización de la fuerza de trabajo</w:t>
      </w:r>
      <w:r w:rsidR="003F2E12" w:rsidRPr="00D25D34">
        <w:rPr>
          <w:rStyle w:val="Refdenotaalpie"/>
          <w:b w:val="0"/>
          <w:bCs w:val="0"/>
          <w:spacing w:val="10"/>
          <w:sz w:val="22"/>
          <w:szCs w:val="22"/>
        </w:rPr>
        <w:footnoteReference w:id="3"/>
      </w:r>
      <w:r w:rsidR="003F2E12" w:rsidRPr="00D25D34">
        <w:rPr>
          <w:b w:val="0"/>
          <w:bCs w:val="0"/>
          <w:spacing w:val="10"/>
          <w:sz w:val="22"/>
          <w:szCs w:val="22"/>
        </w:rPr>
        <w:t xml:space="preserve"> </w:t>
      </w:r>
      <w:r w:rsidR="00192BBC" w:rsidRPr="00D25D34">
        <w:rPr>
          <w:b w:val="0"/>
          <w:bCs w:val="0"/>
          <w:spacing w:val="10"/>
          <w:sz w:val="22"/>
          <w:szCs w:val="22"/>
        </w:rPr>
        <w:t xml:space="preserve">en el primer trimestre de 2021 </w:t>
      </w:r>
      <w:r w:rsidR="003F2E12" w:rsidRPr="00D25D34">
        <w:rPr>
          <w:b w:val="0"/>
          <w:bCs w:val="0"/>
          <w:spacing w:val="10"/>
          <w:sz w:val="22"/>
          <w:szCs w:val="22"/>
        </w:rPr>
        <w:t xml:space="preserve">fueron </w:t>
      </w:r>
      <w:r w:rsidR="006211AC">
        <w:rPr>
          <w:b w:val="0"/>
          <w:bCs w:val="0"/>
          <w:spacing w:val="10"/>
          <w:sz w:val="22"/>
          <w:szCs w:val="22"/>
        </w:rPr>
        <w:t>Ciudad del Carmen</w:t>
      </w:r>
      <w:r w:rsidR="006211AC" w:rsidRPr="00D25D34">
        <w:rPr>
          <w:b w:val="0"/>
          <w:bCs w:val="0"/>
          <w:spacing w:val="10"/>
          <w:sz w:val="22"/>
          <w:szCs w:val="22"/>
        </w:rPr>
        <w:t xml:space="preserve"> </w:t>
      </w:r>
      <w:r w:rsidR="00970B86" w:rsidRPr="00D25D34">
        <w:rPr>
          <w:b w:val="0"/>
          <w:bCs w:val="0"/>
          <w:spacing w:val="10"/>
          <w:sz w:val="22"/>
          <w:szCs w:val="22"/>
        </w:rPr>
        <w:t xml:space="preserve">con </w:t>
      </w:r>
      <w:r w:rsidR="006211AC">
        <w:rPr>
          <w:b w:val="0"/>
          <w:bCs w:val="0"/>
          <w:spacing w:val="10"/>
          <w:sz w:val="22"/>
          <w:szCs w:val="22"/>
        </w:rPr>
        <w:t>42.6</w:t>
      </w:r>
      <w:r w:rsidR="00970B86" w:rsidRPr="00D25D34">
        <w:rPr>
          <w:b w:val="0"/>
          <w:bCs w:val="0"/>
          <w:spacing w:val="10"/>
          <w:sz w:val="22"/>
          <w:szCs w:val="22"/>
        </w:rPr>
        <w:t>%, Ciudad de México con 42.</w:t>
      </w:r>
      <w:r w:rsidR="006211AC">
        <w:rPr>
          <w:b w:val="0"/>
          <w:bCs w:val="0"/>
          <w:spacing w:val="10"/>
          <w:sz w:val="22"/>
          <w:szCs w:val="22"/>
        </w:rPr>
        <w:t>3</w:t>
      </w:r>
      <w:r w:rsidR="00970B86" w:rsidRPr="00D25D34">
        <w:rPr>
          <w:b w:val="0"/>
          <w:bCs w:val="0"/>
          <w:spacing w:val="10"/>
          <w:sz w:val="22"/>
          <w:szCs w:val="22"/>
        </w:rPr>
        <w:t xml:space="preserve">% y </w:t>
      </w:r>
      <w:r w:rsidR="006211AC">
        <w:rPr>
          <w:b w:val="0"/>
          <w:bCs w:val="0"/>
          <w:spacing w:val="10"/>
          <w:sz w:val="22"/>
          <w:szCs w:val="22"/>
        </w:rPr>
        <w:t>Coatzacoalcos</w:t>
      </w:r>
      <w:r w:rsidR="00970B86" w:rsidRPr="00D25D34">
        <w:rPr>
          <w:b w:val="0"/>
          <w:bCs w:val="0"/>
          <w:spacing w:val="10"/>
          <w:sz w:val="22"/>
          <w:szCs w:val="22"/>
        </w:rPr>
        <w:t xml:space="preserve"> con </w:t>
      </w:r>
      <w:r w:rsidR="006211AC">
        <w:rPr>
          <w:b w:val="0"/>
          <w:bCs w:val="0"/>
          <w:spacing w:val="10"/>
          <w:sz w:val="22"/>
          <w:szCs w:val="22"/>
        </w:rPr>
        <w:t>39.1</w:t>
      </w:r>
      <w:r w:rsidR="001D528B" w:rsidRPr="00D25D34">
        <w:rPr>
          <w:b w:val="0"/>
          <w:bCs w:val="0"/>
          <w:spacing w:val="10"/>
          <w:sz w:val="22"/>
          <w:szCs w:val="22"/>
        </w:rPr>
        <w:t xml:space="preserve"> por ciento</w:t>
      </w:r>
      <w:r w:rsidR="00192BBC" w:rsidRPr="00D25D34">
        <w:rPr>
          <w:b w:val="0"/>
          <w:bCs w:val="0"/>
          <w:spacing w:val="10"/>
          <w:sz w:val="22"/>
          <w:szCs w:val="22"/>
        </w:rPr>
        <w:t>; por su parte,</w:t>
      </w:r>
      <w:r w:rsidR="001D528B" w:rsidRPr="00D25D34">
        <w:rPr>
          <w:b w:val="0"/>
          <w:bCs w:val="0"/>
          <w:spacing w:val="10"/>
          <w:sz w:val="22"/>
          <w:szCs w:val="22"/>
        </w:rPr>
        <w:t xml:space="preserve"> </w:t>
      </w:r>
      <w:r w:rsidR="00970B86" w:rsidRPr="00D25D34">
        <w:rPr>
          <w:b w:val="0"/>
          <w:bCs w:val="0"/>
          <w:spacing w:val="10"/>
          <w:sz w:val="22"/>
          <w:szCs w:val="22"/>
        </w:rPr>
        <w:t xml:space="preserve">Saltillo con </w:t>
      </w:r>
      <w:r w:rsidR="00E75D91" w:rsidRPr="00D25D34">
        <w:rPr>
          <w:b w:val="0"/>
          <w:bCs w:val="0"/>
          <w:spacing w:val="10"/>
          <w:sz w:val="22"/>
          <w:szCs w:val="22"/>
        </w:rPr>
        <w:t>1</w:t>
      </w:r>
      <w:r w:rsidR="00E75D91">
        <w:rPr>
          <w:b w:val="0"/>
          <w:bCs w:val="0"/>
          <w:spacing w:val="10"/>
          <w:sz w:val="22"/>
          <w:szCs w:val="22"/>
        </w:rPr>
        <w:t>3</w:t>
      </w:r>
      <w:r w:rsidR="00970B86" w:rsidRPr="00D25D34">
        <w:rPr>
          <w:b w:val="0"/>
          <w:bCs w:val="0"/>
          <w:spacing w:val="10"/>
          <w:sz w:val="22"/>
          <w:szCs w:val="22"/>
        </w:rPr>
        <w:t xml:space="preserve">.1%, </w:t>
      </w:r>
      <w:r w:rsidR="00E75D91">
        <w:rPr>
          <w:b w:val="0"/>
          <w:bCs w:val="0"/>
          <w:spacing w:val="10"/>
          <w:sz w:val="22"/>
          <w:szCs w:val="22"/>
        </w:rPr>
        <w:t>Aguascalientes con 16.4</w:t>
      </w:r>
      <w:r w:rsidR="0035226A">
        <w:rPr>
          <w:b w:val="0"/>
          <w:bCs w:val="0"/>
          <w:spacing w:val="10"/>
          <w:sz w:val="22"/>
          <w:szCs w:val="22"/>
        </w:rPr>
        <w:t>%</w:t>
      </w:r>
      <w:r w:rsidR="00E75D91" w:rsidRPr="00D25D34">
        <w:rPr>
          <w:b w:val="0"/>
          <w:bCs w:val="0"/>
          <w:spacing w:val="10"/>
          <w:sz w:val="22"/>
          <w:szCs w:val="22"/>
        </w:rPr>
        <w:t xml:space="preserve"> </w:t>
      </w:r>
      <w:r w:rsidR="00970B86" w:rsidRPr="00D25D34">
        <w:rPr>
          <w:b w:val="0"/>
          <w:bCs w:val="0"/>
          <w:spacing w:val="10"/>
          <w:sz w:val="22"/>
          <w:szCs w:val="22"/>
        </w:rPr>
        <w:t xml:space="preserve">y </w:t>
      </w:r>
      <w:r w:rsidR="00E75D91">
        <w:rPr>
          <w:b w:val="0"/>
          <w:bCs w:val="0"/>
          <w:spacing w:val="10"/>
          <w:sz w:val="22"/>
          <w:szCs w:val="22"/>
        </w:rPr>
        <w:t>Ciudad Juárez</w:t>
      </w:r>
      <w:r w:rsidR="00E75D91" w:rsidRPr="00D25D34">
        <w:rPr>
          <w:b w:val="0"/>
          <w:bCs w:val="0"/>
          <w:spacing w:val="10"/>
          <w:sz w:val="22"/>
          <w:szCs w:val="22"/>
        </w:rPr>
        <w:t xml:space="preserve"> </w:t>
      </w:r>
      <w:r w:rsidR="00970B86" w:rsidRPr="00D25D34">
        <w:rPr>
          <w:b w:val="0"/>
          <w:bCs w:val="0"/>
          <w:spacing w:val="10"/>
          <w:sz w:val="22"/>
          <w:szCs w:val="22"/>
        </w:rPr>
        <w:t xml:space="preserve">con </w:t>
      </w:r>
      <w:r w:rsidR="00E75D91">
        <w:rPr>
          <w:b w:val="0"/>
          <w:bCs w:val="0"/>
          <w:spacing w:val="10"/>
          <w:sz w:val="22"/>
          <w:szCs w:val="22"/>
        </w:rPr>
        <w:t>17.6</w:t>
      </w:r>
      <w:r w:rsidR="00970B86" w:rsidRPr="00D25D34">
        <w:rPr>
          <w:b w:val="0"/>
          <w:bCs w:val="0"/>
          <w:spacing w:val="10"/>
          <w:sz w:val="22"/>
          <w:szCs w:val="22"/>
        </w:rPr>
        <w:t>%</w:t>
      </w:r>
      <w:r w:rsidRPr="00D25D34">
        <w:rPr>
          <w:b w:val="0"/>
          <w:bCs w:val="0"/>
          <w:spacing w:val="10"/>
          <w:sz w:val="22"/>
          <w:szCs w:val="22"/>
        </w:rPr>
        <w:t>, reportaron las tasas más bajas en el periodo.</w:t>
      </w:r>
    </w:p>
    <w:p w14:paraId="3AF58A9C" w14:textId="77777777" w:rsidR="003F2078" w:rsidRPr="00D25D34" w:rsidRDefault="003F2078" w:rsidP="003F2078">
      <w:pPr>
        <w:pStyle w:val="Subttulo"/>
        <w:ind w:left="-284" w:right="-518"/>
        <w:jc w:val="both"/>
        <w:rPr>
          <w:b w:val="0"/>
          <w:spacing w:val="10"/>
          <w:sz w:val="22"/>
          <w:szCs w:val="22"/>
        </w:rPr>
      </w:pPr>
    </w:p>
    <w:p w14:paraId="67613146" w14:textId="7DF765D8" w:rsidR="00E84930" w:rsidRPr="00D25D34" w:rsidRDefault="00E84930" w:rsidP="009749DA">
      <w:pPr>
        <w:pStyle w:val="Subttulo"/>
        <w:tabs>
          <w:tab w:val="left" w:pos="567"/>
        </w:tabs>
        <w:ind w:left="-567" w:right="-518"/>
        <w:jc w:val="both"/>
        <w:rPr>
          <w:b w:val="0"/>
          <w:spacing w:val="10"/>
          <w:sz w:val="22"/>
          <w:szCs w:val="22"/>
        </w:rPr>
      </w:pPr>
      <w:r w:rsidRPr="00D25D34">
        <w:rPr>
          <w:b w:val="0"/>
          <w:spacing w:val="10"/>
          <w:sz w:val="22"/>
          <w:szCs w:val="22"/>
        </w:rPr>
        <w:t xml:space="preserve">Los cambios más importantes entre </w:t>
      </w:r>
      <w:r w:rsidR="003C02BD" w:rsidRPr="00D25D34">
        <w:rPr>
          <w:b w:val="0"/>
          <w:spacing w:val="10"/>
          <w:sz w:val="22"/>
          <w:szCs w:val="22"/>
        </w:rPr>
        <w:t xml:space="preserve">el </w:t>
      </w:r>
      <w:r w:rsidR="00177B20" w:rsidRPr="00D25D34">
        <w:rPr>
          <w:b w:val="0"/>
          <w:spacing w:val="10"/>
          <w:sz w:val="22"/>
          <w:szCs w:val="22"/>
        </w:rPr>
        <w:t>primer</w:t>
      </w:r>
      <w:r w:rsidR="003C02BD" w:rsidRPr="00D25D34">
        <w:rPr>
          <w:b w:val="0"/>
          <w:spacing w:val="10"/>
          <w:sz w:val="22"/>
          <w:szCs w:val="22"/>
        </w:rPr>
        <w:t xml:space="preserve"> trimestre de </w:t>
      </w:r>
      <w:r w:rsidR="00177B20" w:rsidRPr="00D25D34">
        <w:rPr>
          <w:b w:val="0"/>
          <w:spacing w:val="10"/>
          <w:sz w:val="22"/>
          <w:szCs w:val="22"/>
        </w:rPr>
        <w:t>202</w:t>
      </w:r>
      <w:r w:rsidR="00192BBC" w:rsidRPr="00D25D34">
        <w:rPr>
          <w:b w:val="0"/>
          <w:spacing w:val="10"/>
          <w:sz w:val="22"/>
          <w:szCs w:val="22"/>
        </w:rPr>
        <w:t>1</w:t>
      </w:r>
      <w:r w:rsidR="003C02BD" w:rsidRPr="00D25D34">
        <w:rPr>
          <w:b w:val="0"/>
          <w:spacing w:val="10"/>
          <w:sz w:val="22"/>
          <w:szCs w:val="22"/>
        </w:rPr>
        <w:t xml:space="preserve"> e igual trimestre </w:t>
      </w:r>
      <w:r w:rsidRPr="00D25D34">
        <w:rPr>
          <w:b w:val="0"/>
          <w:spacing w:val="10"/>
          <w:sz w:val="22"/>
          <w:szCs w:val="22"/>
        </w:rPr>
        <w:t xml:space="preserve">de </w:t>
      </w:r>
      <w:r w:rsidR="00177B20" w:rsidRPr="00D25D34">
        <w:rPr>
          <w:b w:val="0"/>
          <w:spacing w:val="10"/>
          <w:sz w:val="22"/>
          <w:szCs w:val="22"/>
        </w:rPr>
        <w:t>202</w:t>
      </w:r>
      <w:r w:rsidR="00192BBC" w:rsidRPr="00D25D34">
        <w:rPr>
          <w:b w:val="0"/>
          <w:spacing w:val="10"/>
          <w:sz w:val="22"/>
          <w:szCs w:val="22"/>
        </w:rPr>
        <w:t>0</w:t>
      </w:r>
      <w:r w:rsidRPr="00D25D34">
        <w:rPr>
          <w:b w:val="0"/>
          <w:spacing w:val="10"/>
          <w:sz w:val="22"/>
          <w:szCs w:val="22"/>
        </w:rPr>
        <w:t xml:space="preserve"> </w:t>
      </w:r>
      <w:r w:rsidR="003C02BD" w:rsidRPr="00D25D34">
        <w:rPr>
          <w:b w:val="0"/>
          <w:spacing w:val="10"/>
          <w:sz w:val="22"/>
          <w:szCs w:val="22"/>
        </w:rPr>
        <w:t xml:space="preserve">fueron una disminución de la </w:t>
      </w:r>
      <w:r w:rsidRPr="00D25D34">
        <w:rPr>
          <w:b w:val="0"/>
          <w:spacing w:val="10"/>
          <w:sz w:val="22"/>
          <w:szCs w:val="22"/>
        </w:rPr>
        <w:t xml:space="preserve">PEA </w:t>
      </w:r>
      <w:r w:rsidR="009341EE" w:rsidRPr="00D25D34">
        <w:rPr>
          <w:b w:val="0"/>
          <w:spacing w:val="10"/>
          <w:sz w:val="22"/>
          <w:szCs w:val="22"/>
        </w:rPr>
        <w:t xml:space="preserve">por la vía </w:t>
      </w:r>
      <w:r w:rsidR="003C02BD" w:rsidRPr="00D25D34">
        <w:rPr>
          <w:b w:val="0"/>
          <w:spacing w:val="10"/>
          <w:sz w:val="22"/>
          <w:szCs w:val="22"/>
        </w:rPr>
        <w:t xml:space="preserve">de la población ocupada, la cual se ve reflejada en </w:t>
      </w:r>
      <w:r w:rsidR="008271F2" w:rsidRPr="00D25D34">
        <w:rPr>
          <w:b w:val="0"/>
          <w:spacing w:val="10"/>
          <w:sz w:val="22"/>
          <w:szCs w:val="22"/>
        </w:rPr>
        <w:t xml:space="preserve">la caída de la ocupación en el sector terciario, principalmente en </w:t>
      </w:r>
      <w:r w:rsidR="00777E1A">
        <w:rPr>
          <w:b w:val="0"/>
          <w:spacing w:val="10"/>
          <w:sz w:val="22"/>
          <w:szCs w:val="22"/>
        </w:rPr>
        <w:t>el comercio</w:t>
      </w:r>
      <w:r w:rsidR="008271F2" w:rsidRPr="00D25D34">
        <w:rPr>
          <w:b w:val="0"/>
          <w:spacing w:val="10"/>
          <w:sz w:val="22"/>
          <w:szCs w:val="22"/>
        </w:rPr>
        <w:t xml:space="preserve"> </w:t>
      </w:r>
      <w:r w:rsidR="008F1A6E" w:rsidRPr="00D25D34">
        <w:rPr>
          <w:b w:val="0"/>
          <w:spacing w:val="10"/>
          <w:sz w:val="22"/>
          <w:szCs w:val="22"/>
        </w:rPr>
        <w:t>así como</w:t>
      </w:r>
      <w:r w:rsidR="008271F2" w:rsidRPr="00D25D34">
        <w:rPr>
          <w:b w:val="0"/>
          <w:spacing w:val="10"/>
          <w:sz w:val="22"/>
          <w:szCs w:val="22"/>
        </w:rPr>
        <w:t xml:space="preserve"> </w:t>
      </w:r>
      <w:r w:rsidR="000D654B" w:rsidRPr="00D25D34">
        <w:rPr>
          <w:b w:val="0"/>
          <w:spacing w:val="10"/>
          <w:sz w:val="22"/>
          <w:szCs w:val="22"/>
        </w:rPr>
        <w:t xml:space="preserve">en </w:t>
      </w:r>
      <w:r w:rsidR="0035226A">
        <w:rPr>
          <w:b w:val="0"/>
          <w:spacing w:val="10"/>
          <w:sz w:val="22"/>
          <w:szCs w:val="22"/>
        </w:rPr>
        <w:t>los restaurantes y servicios de alojamiento</w:t>
      </w:r>
      <w:r w:rsidR="008271F2" w:rsidRPr="00D25D34">
        <w:rPr>
          <w:b w:val="0"/>
          <w:spacing w:val="10"/>
          <w:sz w:val="22"/>
          <w:szCs w:val="22"/>
        </w:rPr>
        <w:t>;</w:t>
      </w:r>
      <w:r w:rsidR="00A020C6" w:rsidRPr="00D25D34">
        <w:rPr>
          <w:b w:val="0"/>
          <w:spacing w:val="10"/>
          <w:sz w:val="22"/>
          <w:szCs w:val="22"/>
        </w:rPr>
        <w:t xml:space="preserve"> </w:t>
      </w:r>
      <w:r w:rsidR="0035226A">
        <w:rPr>
          <w:b w:val="0"/>
          <w:spacing w:val="10"/>
          <w:sz w:val="22"/>
          <w:szCs w:val="22"/>
        </w:rPr>
        <w:t xml:space="preserve">una </w:t>
      </w:r>
      <w:r w:rsidR="008271F2" w:rsidRPr="00D25D34">
        <w:rPr>
          <w:b w:val="0"/>
          <w:spacing w:val="10"/>
          <w:sz w:val="22"/>
          <w:szCs w:val="22"/>
        </w:rPr>
        <w:t>disminución de la ocupación en los micronegocios</w:t>
      </w:r>
      <w:r w:rsidR="0048330F" w:rsidRPr="00D25D34">
        <w:rPr>
          <w:b w:val="0"/>
          <w:spacing w:val="10"/>
          <w:sz w:val="22"/>
          <w:szCs w:val="22"/>
        </w:rPr>
        <w:t xml:space="preserve"> y en condiciones de informalidad, </w:t>
      </w:r>
      <w:r w:rsidR="008271F2" w:rsidRPr="00D25D34">
        <w:rPr>
          <w:b w:val="0"/>
          <w:spacing w:val="10"/>
          <w:sz w:val="22"/>
          <w:szCs w:val="22"/>
        </w:rPr>
        <w:t xml:space="preserve">así </w:t>
      </w:r>
      <w:r w:rsidR="00BF6813" w:rsidRPr="00D25D34">
        <w:rPr>
          <w:b w:val="0"/>
          <w:spacing w:val="10"/>
          <w:sz w:val="22"/>
          <w:szCs w:val="22"/>
        </w:rPr>
        <w:t xml:space="preserve">como </w:t>
      </w:r>
      <w:r w:rsidR="0048330F" w:rsidRPr="00D25D34">
        <w:rPr>
          <w:b w:val="0"/>
          <w:spacing w:val="10"/>
          <w:sz w:val="22"/>
          <w:szCs w:val="22"/>
        </w:rPr>
        <w:t>un aumento de la desocupación</w:t>
      </w:r>
      <w:r w:rsidR="00970B86" w:rsidRPr="00D25D34">
        <w:rPr>
          <w:b w:val="0"/>
          <w:spacing w:val="10"/>
          <w:sz w:val="22"/>
          <w:szCs w:val="22"/>
        </w:rPr>
        <w:t xml:space="preserve"> y</w:t>
      </w:r>
      <w:r w:rsidR="0048330F" w:rsidRPr="00D25D34">
        <w:rPr>
          <w:b w:val="0"/>
          <w:spacing w:val="10"/>
          <w:sz w:val="22"/>
          <w:szCs w:val="22"/>
        </w:rPr>
        <w:t xml:space="preserve"> la subocupación</w:t>
      </w:r>
      <w:r w:rsidR="00970B86" w:rsidRPr="00D25D34">
        <w:rPr>
          <w:b w:val="0"/>
          <w:spacing w:val="10"/>
          <w:sz w:val="22"/>
          <w:szCs w:val="22"/>
        </w:rPr>
        <w:t>.</w:t>
      </w:r>
    </w:p>
    <w:p w14:paraId="16AC3D26" w14:textId="77777777" w:rsidR="003A543B" w:rsidRPr="00D25D34" w:rsidRDefault="003A543B" w:rsidP="009749DA">
      <w:pPr>
        <w:pStyle w:val="Subttulo"/>
        <w:tabs>
          <w:tab w:val="left" w:pos="567"/>
        </w:tabs>
        <w:ind w:left="-567" w:right="-518"/>
        <w:jc w:val="both"/>
        <w:rPr>
          <w:b w:val="0"/>
          <w:spacing w:val="10"/>
          <w:sz w:val="22"/>
          <w:szCs w:val="22"/>
        </w:rPr>
      </w:pPr>
    </w:p>
    <w:p w14:paraId="68B291CD" w14:textId="2E30BA8A" w:rsidR="00E84930" w:rsidRPr="00D25D34" w:rsidRDefault="00E84930" w:rsidP="009749DA">
      <w:pPr>
        <w:pStyle w:val="Subttulo"/>
        <w:ind w:left="-567" w:right="-518"/>
        <w:jc w:val="both"/>
        <w:rPr>
          <w:b w:val="0"/>
          <w:spacing w:val="10"/>
          <w:sz w:val="22"/>
          <w:szCs w:val="22"/>
        </w:rPr>
      </w:pPr>
      <w:r w:rsidRPr="00D25D34">
        <w:rPr>
          <w:b w:val="0"/>
          <w:color w:val="000000" w:themeColor="text1"/>
          <w:spacing w:val="10"/>
          <w:sz w:val="22"/>
          <w:szCs w:val="22"/>
        </w:rPr>
        <w:t xml:space="preserve">La </w:t>
      </w:r>
      <w:r w:rsidRPr="00D25D34">
        <w:rPr>
          <w:b w:val="0"/>
          <w:spacing w:val="10"/>
          <w:sz w:val="22"/>
          <w:szCs w:val="22"/>
        </w:rPr>
        <w:t>ENOE</w:t>
      </w:r>
      <w:r w:rsidRPr="00D25D34">
        <w:rPr>
          <w:b w:val="0"/>
          <w:spacing w:val="10"/>
          <w:sz w:val="22"/>
          <w:szCs w:val="22"/>
          <w:vertAlign w:val="superscript"/>
        </w:rPr>
        <w:t>N</w:t>
      </w:r>
      <w:r w:rsidRPr="00D25D34">
        <w:rPr>
          <w:spacing w:val="10"/>
          <w:sz w:val="22"/>
          <w:szCs w:val="22"/>
        </w:rPr>
        <w:t xml:space="preserve"> </w:t>
      </w:r>
      <w:r w:rsidRPr="00D25D34">
        <w:rPr>
          <w:b w:val="0"/>
          <w:color w:val="000000" w:themeColor="text1"/>
          <w:spacing w:val="10"/>
          <w:sz w:val="22"/>
          <w:szCs w:val="22"/>
        </w:rPr>
        <w:t xml:space="preserve">en </w:t>
      </w:r>
      <w:r w:rsidR="0048330F" w:rsidRPr="00D25D34">
        <w:rPr>
          <w:b w:val="0"/>
          <w:color w:val="000000" w:themeColor="text1"/>
          <w:spacing w:val="10"/>
          <w:sz w:val="22"/>
          <w:szCs w:val="22"/>
        </w:rPr>
        <w:t xml:space="preserve">el </w:t>
      </w:r>
      <w:r w:rsidR="00177B20" w:rsidRPr="00D25D34">
        <w:rPr>
          <w:b w:val="0"/>
          <w:color w:val="000000" w:themeColor="text1"/>
          <w:spacing w:val="10"/>
          <w:sz w:val="22"/>
          <w:szCs w:val="22"/>
        </w:rPr>
        <w:t>primer</w:t>
      </w:r>
      <w:r w:rsidR="0048330F" w:rsidRPr="00D25D34">
        <w:rPr>
          <w:b w:val="0"/>
          <w:color w:val="000000" w:themeColor="text1"/>
          <w:spacing w:val="10"/>
          <w:sz w:val="22"/>
          <w:szCs w:val="22"/>
        </w:rPr>
        <w:t xml:space="preserve"> trimestre </w:t>
      </w:r>
      <w:r w:rsidRPr="00D25D34">
        <w:rPr>
          <w:b w:val="0"/>
          <w:color w:val="000000" w:themeColor="text1"/>
          <w:spacing w:val="10"/>
          <w:sz w:val="22"/>
          <w:szCs w:val="22"/>
        </w:rPr>
        <w:t xml:space="preserve">de </w:t>
      </w:r>
      <w:r w:rsidR="00177B20" w:rsidRPr="00D25D34">
        <w:rPr>
          <w:b w:val="0"/>
          <w:color w:val="000000" w:themeColor="text1"/>
          <w:spacing w:val="10"/>
          <w:sz w:val="22"/>
          <w:szCs w:val="22"/>
        </w:rPr>
        <w:t>2021</w:t>
      </w:r>
      <w:r w:rsidRPr="00D25D34">
        <w:rPr>
          <w:b w:val="0"/>
          <w:spacing w:val="10"/>
          <w:sz w:val="22"/>
          <w:szCs w:val="22"/>
        </w:rPr>
        <w:t xml:space="preserve"> reportó un</w:t>
      </w:r>
      <w:r w:rsidR="0048330F" w:rsidRPr="00D25D34">
        <w:rPr>
          <w:b w:val="0"/>
          <w:spacing w:val="10"/>
          <w:sz w:val="22"/>
          <w:szCs w:val="22"/>
        </w:rPr>
        <w:t xml:space="preserve">a disminución </w:t>
      </w:r>
      <w:r w:rsidRPr="00D25D34">
        <w:rPr>
          <w:b w:val="0"/>
          <w:spacing w:val="10"/>
          <w:sz w:val="22"/>
          <w:szCs w:val="22"/>
        </w:rPr>
        <w:t xml:space="preserve">de </w:t>
      </w:r>
      <w:r w:rsidR="000F06FD" w:rsidRPr="00D25D34">
        <w:rPr>
          <w:b w:val="0"/>
          <w:spacing w:val="10"/>
          <w:sz w:val="22"/>
          <w:szCs w:val="22"/>
        </w:rPr>
        <w:t>1.</w:t>
      </w:r>
      <w:r w:rsidR="00777E1A">
        <w:rPr>
          <w:b w:val="0"/>
          <w:spacing w:val="10"/>
          <w:sz w:val="22"/>
          <w:szCs w:val="22"/>
        </w:rPr>
        <w:t>6</w:t>
      </w:r>
      <w:r w:rsidR="00777E1A" w:rsidRPr="00D25D34">
        <w:rPr>
          <w:b w:val="0"/>
          <w:spacing w:val="10"/>
          <w:sz w:val="22"/>
          <w:szCs w:val="22"/>
        </w:rPr>
        <w:t xml:space="preserve"> </w:t>
      </w:r>
      <w:r w:rsidR="0048330F" w:rsidRPr="00D25D34">
        <w:rPr>
          <w:b w:val="0"/>
          <w:spacing w:val="10"/>
          <w:sz w:val="22"/>
          <w:szCs w:val="22"/>
        </w:rPr>
        <w:t xml:space="preserve">millones de </w:t>
      </w:r>
      <w:r w:rsidRPr="00D25D34">
        <w:rPr>
          <w:b w:val="0"/>
          <w:spacing w:val="10"/>
          <w:sz w:val="22"/>
          <w:szCs w:val="22"/>
        </w:rPr>
        <w:t xml:space="preserve">personas en la PEA, </w:t>
      </w:r>
      <w:r w:rsidR="00E43372" w:rsidRPr="00D25D34">
        <w:rPr>
          <w:b w:val="0"/>
          <w:spacing w:val="10"/>
          <w:sz w:val="22"/>
          <w:szCs w:val="22"/>
        </w:rPr>
        <w:t xml:space="preserve">lo que se refleja en </w:t>
      </w:r>
      <w:r w:rsidRPr="00D25D34">
        <w:rPr>
          <w:b w:val="0"/>
          <w:spacing w:val="10"/>
          <w:sz w:val="22"/>
          <w:szCs w:val="22"/>
        </w:rPr>
        <w:t xml:space="preserve">una Tasa de Participación Económica de </w:t>
      </w:r>
      <w:r w:rsidR="003A543B" w:rsidRPr="00D25D34">
        <w:rPr>
          <w:b w:val="0"/>
          <w:spacing w:val="10"/>
          <w:sz w:val="22"/>
          <w:szCs w:val="22"/>
        </w:rPr>
        <w:t>5</w:t>
      </w:r>
      <w:r w:rsidR="00970B86" w:rsidRPr="00D25D34">
        <w:rPr>
          <w:b w:val="0"/>
          <w:spacing w:val="10"/>
          <w:sz w:val="22"/>
          <w:szCs w:val="22"/>
        </w:rPr>
        <w:t>7.</w:t>
      </w:r>
      <w:r w:rsidR="00777E1A">
        <w:rPr>
          <w:b w:val="0"/>
          <w:spacing w:val="10"/>
          <w:sz w:val="22"/>
          <w:szCs w:val="22"/>
        </w:rPr>
        <w:t>1</w:t>
      </w:r>
      <w:r w:rsidRPr="00D25D34">
        <w:rPr>
          <w:b w:val="0"/>
          <w:spacing w:val="10"/>
          <w:sz w:val="22"/>
          <w:szCs w:val="22"/>
        </w:rPr>
        <w:t xml:space="preserve">% respecto a la población de 15 años y más, cifra </w:t>
      </w:r>
      <w:r w:rsidR="00970B86" w:rsidRPr="00D25D34">
        <w:rPr>
          <w:b w:val="0"/>
          <w:spacing w:val="10"/>
          <w:sz w:val="22"/>
          <w:szCs w:val="22"/>
        </w:rPr>
        <w:t>2.</w:t>
      </w:r>
      <w:r w:rsidR="00777E1A">
        <w:rPr>
          <w:b w:val="0"/>
          <w:spacing w:val="10"/>
          <w:sz w:val="22"/>
          <w:szCs w:val="22"/>
        </w:rPr>
        <w:t>8</w:t>
      </w:r>
      <w:r w:rsidR="00777E1A" w:rsidRPr="00D25D34">
        <w:rPr>
          <w:b w:val="0"/>
          <w:spacing w:val="10"/>
          <w:sz w:val="22"/>
          <w:szCs w:val="22"/>
        </w:rPr>
        <w:t xml:space="preserve"> </w:t>
      </w:r>
      <w:r w:rsidRPr="00D25D34">
        <w:rPr>
          <w:b w:val="0"/>
          <w:spacing w:val="10"/>
          <w:sz w:val="22"/>
          <w:szCs w:val="22"/>
        </w:rPr>
        <w:t xml:space="preserve">puntos porcentuales </w:t>
      </w:r>
      <w:r w:rsidR="0048330F" w:rsidRPr="00D25D34">
        <w:rPr>
          <w:b w:val="0"/>
          <w:spacing w:val="10"/>
          <w:sz w:val="22"/>
          <w:szCs w:val="22"/>
        </w:rPr>
        <w:t>inferior</w:t>
      </w:r>
      <w:r w:rsidRPr="00D25D34">
        <w:rPr>
          <w:b w:val="0"/>
          <w:spacing w:val="10"/>
          <w:sz w:val="22"/>
          <w:szCs w:val="22"/>
        </w:rPr>
        <w:t xml:space="preserve"> a la de</w:t>
      </w:r>
      <w:r w:rsidR="002638C5">
        <w:rPr>
          <w:b w:val="0"/>
          <w:spacing w:val="10"/>
          <w:sz w:val="22"/>
          <w:szCs w:val="22"/>
        </w:rPr>
        <w:t>l</w:t>
      </w:r>
      <w:r w:rsidRPr="00D25D34">
        <w:rPr>
          <w:b w:val="0"/>
          <w:spacing w:val="10"/>
          <w:sz w:val="22"/>
          <w:szCs w:val="22"/>
        </w:rPr>
        <w:t xml:space="preserve"> </w:t>
      </w:r>
      <w:r w:rsidR="0048330F" w:rsidRPr="00D25D34">
        <w:rPr>
          <w:b w:val="0"/>
          <w:spacing w:val="10"/>
          <w:sz w:val="22"/>
          <w:szCs w:val="22"/>
        </w:rPr>
        <w:t xml:space="preserve">mismo trimestre </w:t>
      </w:r>
      <w:r w:rsidR="00BE52ED" w:rsidRPr="00D25D34">
        <w:rPr>
          <w:b w:val="0"/>
          <w:spacing w:val="10"/>
          <w:sz w:val="22"/>
          <w:szCs w:val="22"/>
        </w:rPr>
        <w:t xml:space="preserve">de </w:t>
      </w:r>
      <w:r w:rsidR="00177B20" w:rsidRPr="00D25D34">
        <w:rPr>
          <w:b w:val="0"/>
          <w:spacing w:val="10"/>
          <w:sz w:val="22"/>
          <w:szCs w:val="22"/>
        </w:rPr>
        <w:t>2020</w:t>
      </w:r>
      <w:r w:rsidRPr="00D25D34">
        <w:rPr>
          <w:b w:val="0"/>
          <w:spacing w:val="10"/>
          <w:sz w:val="22"/>
          <w:szCs w:val="22"/>
        </w:rPr>
        <w:t>. Cabe destacar que las Tasas de Participación Económica de hombres y mujeres resultaron en 7</w:t>
      </w:r>
      <w:r w:rsidR="00BE52ED" w:rsidRPr="00D25D34">
        <w:rPr>
          <w:b w:val="0"/>
          <w:spacing w:val="10"/>
          <w:sz w:val="22"/>
          <w:szCs w:val="22"/>
        </w:rPr>
        <w:t>4.2</w:t>
      </w:r>
      <w:r w:rsidRPr="00D25D34">
        <w:rPr>
          <w:b w:val="0"/>
          <w:spacing w:val="10"/>
          <w:sz w:val="22"/>
          <w:szCs w:val="22"/>
        </w:rPr>
        <w:t xml:space="preserve">% y </w:t>
      </w:r>
      <w:r w:rsidR="004C4E2F">
        <w:rPr>
          <w:b w:val="0"/>
          <w:spacing w:val="10"/>
          <w:sz w:val="22"/>
          <w:szCs w:val="22"/>
        </w:rPr>
        <w:t>41.7</w:t>
      </w:r>
      <w:r w:rsidRPr="00D25D34">
        <w:rPr>
          <w:b w:val="0"/>
          <w:spacing w:val="10"/>
          <w:sz w:val="22"/>
          <w:szCs w:val="22"/>
        </w:rPr>
        <w:t xml:space="preserve">%, </w:t>
      </w:r>
      <w:r w:rsidR="00BE52ED" w:rsidRPr="00D25D34">
        <w:rPr>
          <w:b w:val="0"/>
          <w:spacing w:val="10"/>
          <w:sz w:val="22"/>
          <w:szCs w:val="22"/>
        </w:rPr>
        <w:t xml:space="preserve">cifras inferiores en </w:t>
      </w:r>
      <w:r w:rsidR="004C4E2F">
        <w:rPr>
          <w:b w:val="0"/>
          <w:spacing w:val="10"/>
          <w:sz w:val="22"/>
          <w:szCs w:val="22"/>
        </w:rPr>
        <w:t>2.2 y 3.4</w:t>
      </w:r>
      <w:r w:rsidR="004C4E2F" w:rsidRPr="00D25D34">
        <w:rPr>
          <w:b w:val="0"/>
          <w:spacing w:val="10"/>
          <w:sz w:val="22"/>
          <w:szCs w:val="22"/>
        </w:rPr>
        <w:t xml:space="preserve"> </w:t>
      </w:r>
      <w:r w:rsidR="00BE52ED" w:rsidRPr="00D25D34">
        <w:rPr>
          <w:b w:val="0"/>
          <w:spacing w:val="10"/>
          <w:sz w:val="22"/>
          <w:szCs w:val="22"/>
        </w:rPr>
        <w:t>puntos porcentuales</w:t>
      </w:r>
      <w:r w:rsidR="0048330F" w:rsidRPr="00D25D34">
        <w:rPr>
          <w:b w:val="0"/>
          <w:spacing w:val="10"/>
          <w:sz w:val="22"/>
          <w:szCs w:val="22"/>
        </w:rPr>
        <w:t xml:space="preserve"> </w:t>
      </w:r>
      <w:r w:rsidR="004C4E2F">
        <w:rPr>
          <w:b w:val="0"/>
          <w:spacing w:val="10"/>
          <w:sz w:val="22"/>
          <w:szCs w:val="22"/>
        </w:rPr>
        <w:t xml:space="preserve">respectivamente, </w:t>
      </w:r>
      <w:r w:rsidR="0048330F" w:rsidRPr="00D25D34">
        <w:rPr>
          <w:b w:val="0"/>
          <w:spacing w:val="10"/>
          <w:sz w:val="22"/>
          <w:szCs w:val="22"/>
        </w:rPr>
        <w:t>respecto a</w:t>
      </w:r>
      <w:r w:rsidR="00D2189C" w:rsidRPr="00D25D34">
        <w:rPr>
          <w:b w:val="0"/>
          <w:spacing w:val="10"/>
          <w:sz w:val="22"/>
          <w:szCs w:val="22"/>
        </w:rPr>
        <w:t xml:space="preserve"> </w:t>
      </w:r>
      <w:r w:rsidR="0048330F" w:rsidRPr="00D25D34">
        <w:rPr>
          <w:b w:val="0"/>
          <w:spacing w:val="10"/>
          <w:sz w:val="22"/>
          <w:szCs w:val="22"/>
        </w:rPr>
        <w:t>l</w:t>
      </w:r>
      <w:r w:rsidR="00D2189C" w:rsidRPr="00D25D34">
        <w:rPr>
          <w:b w:val="0"/>
          <w:spacing w:val="10"/>
          <w:sz w:val="22"/>
          <w:szCs w:val="22"/>
        </w:rPr>
        <w:t>as correspondientes del</w:t>
      </w:r>
      <w:r w:rsidR="0048330F" w:rsidRPr="00D25D34">
        <w:rPr>
          <w:b w:val="0"/>
          <w:spacing w:val="10"/>
          <w:sz w:val="22"/>
          <w:szCs w:val="22"/>
        </w:rPr>
        <w:t xml:space="preserve"> </w:t>
      </w:r>
      <w:r w:rsidR="00177B20" w:rsidRPr="00D25D34">
        <w:rPr>
          <w:b w:val="0"/>
          <w:spacing w:val="10"/>
          <w:sz w:val="22"/>
          <w:szCs w:val="22"/>
        </w:rPr>
        <w:t>primer</w:t>
      </w:r>
      <w:r w:rsidR="0048330F" w:rsidRPr="00D25D34">
        <w:rPr>
          <w:b w:val="0"/>
          <w:spacing w:val="10"/>
          <w:sz w:val="22"/>
          <w:szCs w:val="22"/>
        </w:rPr>
        <w:t xml:space="preserve"> trimestre de </w:t>
      </w:r>
      <w:r w:rsidR="00177B20" w:rsidRPr="00D25D34">
        <w:rPr>
          <w:b w:val="0"/>
          <w:spacing w:val="10"/>
          <w:sz w:val="22"/>
          <w:szCs w:val="22"/>
        </w:rPr>
        <w:t>2020</w:t>
      </w:r>
      <w:r w:rsidR="0048330F" w:rsidRPr="00D25D34">
        <w:rPr>
          <w:b w:val="0"/>
          <w:spacing w:val="10"/>
          <w:sz w:val="22"/>
          <w:szCs w:val="22"/>
        </w:rPr>
        <w:t>.</w:t>
      </w:r>
    </w:p>
    <w:p w14:paraId="25904BC0" w14:textId="77777777" w:rsidR="00E84930" w:rsidRPr="00D25D34" w:rsidRDefault="00E84930" w:rsidP="009749DA">
      <w:pPr>
        <w:pStyle w:val="Subttulo"/>
        <w:ind w:left="-567" w:right="-518"/>
        <w:jc w:val="both"/>
        <w:rPr>
          <w:b w:val="0"/>
          <w:color w:val="000000" w:themeColor="text1"/>
          <w:spacing w:val="10"/>
          <w:sz w:val="22"/>
          <w:szCs w:val="22"/>
        </w:rPr>
      </w:pPr>
    </w:p>
    <w:p w14:paraId="2BB6DC45" w14:textId="68A2BD30" w:rsidR="0048330F" w:rsidRPr="00D25D34" w:rsidRDefault="00E84930" w:rsidP="009749DA">
      <w:pPr>
        <w:pStyle w:val="Subttulo"/>
        <w:ind w:left="-567" w:right="-516"/>
        <w:jc w:val="both"/>
        <w:rPr>
          <w:b w:val="0"/>
          <w:spacing w:val="10"/>
          <w:sz w:val="22"/>
          <w:szCs w:val="22"/>
        </w:rPr>
      </w:pPr>
      <w:r w:rsidRPr="00D25D34">
        <w:rPr>
          <w:b w:val="0"/>
          <w:spacing w:val="10"/>
          <w:sz w:val="22"/>
          <w:szCs w:val="22"/>
        </w:rPr>
        <w:t xml:space="preserve">En el </w:t>
      </w:r>
      <w:r w:rsidR="000D654B" w:rsidRPr="00D25D34">
        <w:rPr>
          <w:b w:val="0"/>
          <w:spacing w:val="10"/>
          <w:sz w:val="22"/>
          <w:szCs w:val="22"/>
        </w:rPr>
        <w:t xml:space="preserve">periodo </w:t>
      </w:r>
      <w:r w:rsidR="008B38A1" w:rsidRPr="00D25D34">
        <w:rPr>
          <w:b w:val="0"/>
          <w:spacing w:val="10"/>
          <w:sz w:val="22"/>
          <w:szCs w:val="22"/>
        </w:rPr>
        <w:t>enero</w:t>
      </w:r>
      <w:r w:rsidR="00FC11E1">
        <w:rPr>
          <w:b w:val="0"/>
          <w:spacing w:val="10"/>
          <w:sz w:val="22"/>
          <w:szCs w:val="22"/>
        </w:rPr>
        <w:t>-</w:t>
      </w:r>
      <w:r w:rsidR="008B38A1" w:rsidRPr="00D25D34">
        <w:rPr>
          <w:b w:val="0"/>
          <w:spacing w:val="10"/>
          <w:sz w:val="22"/>
          <w:szCs w:val="22"/>
        </w:rPr>
        <w:t>marzo</w:t>
      </w:r>
      <w:r w:rsidR="00317D59" w:rsidRPr="00D25D34">
        <w:rPr>
          <w:b w:val="0"/>
          <w:spacing w:val="10"/>
          <w:sz w:val="22"/>
          <w:szCs w:val="22"/>
        </w:rPr>
        <w:t xml:space="preserve"> </w:t>
      </w:r>
      <w:r w:rsidRPr="00D25D34">
        <w:rPr>
          <w:b w:val="0"/>
          <w:spacing w:val="10"/>
          <w:sz w:val="22"/>
          <w:szCs w:val="22"/>
        </w:rPr>
        <w:t xml:space="preserve">de </w:t>
      </w:r>
      <w:r w:rsidR="00177B20" w:rsidRPr="00D25D34">
        <w:rPr>
          <w:b w:val="0"/>
          <w:spacing w:val="10"/>
          <w:sz w:val="22"/>
          <w:szCs w:val="22"/>
        </w:rPr>
        <w:t>2021</w:t>
      </w:r>
      <w:r w:rsidRPr="00D25D34">
        <w:rPr>
          <w:b w:val="0"/>
          <w:spacing w:val="10"/>
          <w:sz w:val="22"/>
          <w:szCs w:val="22"/>
        </w:rPr>
        <w:t xml:space="preserve">, la población ocupada </w:t>
      </w:r>
      <w:r w:rsidR="00FC11E1">
        <w:rPr>
          <w:b w:val="0"/>
          <w:spacing w:val="10"/>
          <w:sz w:val="22"/>
          <w:szCs w:val="22"/>
        </w:rPr>
        <w:t>fue de</w:t>
      </w:r>
      <w:r w:rsidRPr="00D25D34">
        <w:rPr>
          <w:b w:val="0"/>
          <w:spacing w:val="10"/>
          <w:sz w:val="22"/>
          <w:szCs w:val="22"/>
        </w:rPr>
        <w:t xml:space="preserve"> </w:t>
      </w:r>
      <w:r w:rsidR="002A0F28" w:rsidRPr="00D25D34">
        <w:rPr>
          <w:b w:val="0"/>
          <w:spacing w:val="10"/>
          <w:sz w:val="22"/>
          <w:szCs w:val="22"/>
        </w:rPr>
        <w:t>53</w:t>
      </w:r>
      <w:r w:rsidRPr="00D25D34">
        <w:rPr>
          <w:b w:val="0"/>
          <w:spacing w:val="10"/>
          <w:sz w:val="22"/>
          <w:szCs w:val="22"/>
        </w:rPr>
        <w:t xml:space="preserve"> millones de personas, </w:t>
      </w:r>
      <w:r w:rsidR="0048330F" w:rsidRPr="00D25D34">
        <w:rPr>
          <w:b w:val="0"/>
          <w:spacing w:val="10"/>
          <w:sz w:val="22"/>
          <w:szCs w:val="22"/>
        </w:rPr>
        <w:t xml:space="preserve">cifra inferior en </w:t>
      </w:r>
      <w:r w:rsidR="002A0F28" w:rsidRPr="00D25D34">
        <w:rPr>
          <w:b w:val="0"/>
          <w:spacing w:val="10"/>
          <w:sz w:val="22"/>
          <w:szCs w:val="22"/>
        </w:rPr>
        <w:t>2.</w:t>
      </w:r>
      <w:r w:rsidR="0092797B">
        <w:rPr>
          <w:b w:val="0"/>
          <w:spacing w:val="10"/>
          <w:sz w:val="22"/>
          <w:szCs w:val="22"/>
        </w:rPr>
        <w:t>1</w:t>
      </w:r>
      <w:r w:rsidR="0092797B" w:rsidRPr="00D25D34">
        <w:rPr>
          <w:b w:val="0"/>
          <w:spacing w:val="10"/>
          <w:sz w:val="22"/>
          <w:szCs w:val="22"/>
        </w:rPr>
        <w:t xml:space="preserve"> </w:t>
      </w:r>
      <w:r w:rsidR="0048330F" w:rsidRPr="00D25D34">
        <w:rPr>
          <w:b w:val="0"/>
          <w:spacing w:val="10"/>
          <w:sz w:val="22"/>
          <w:szCs w:val="22"/>
        </w:rPr>
        <w:t xml:space="preserve">millones comparada con la del </w:t>
      </w:r>
      <w:r w:rsidR="00177B20" w:rsidRPr="00D25D34">
        <w:rPr>
          <w:b w:val="0"/>
          <w:spacing w:val="10"/>
          <w:sz w:val="22"/>
          <w:szCs w:val="22"/>
        </w:rPr>
        <w:t>primer</w:t>
      </w:r>
      <w:r w:rsidR="0048330F" w:rsidRPr="00D25D34">
        <w:rPr>
          <w:b w:val="0"/>
          <w:spacing w:val="10"/>
          <w:sz w:val="22"/>
          <w:szCs w:val="22"/>
        </w:rPr>
        <w:t xml:space="preserve"> trimestre de </w:t>
      </w:r>
      <w:r w:rsidR="00177B20" w:rsidRPr="00D25D34">
        <w:rPr>
          <w:b w:val="0"/>
          <w:spacing w:val="10"/>
          <w:sz w:val="22"/>
          <w:szCs w:val="22"/>
        </w:rPr>
        <w:t>2020</w:t>
      </w:r>
      <w:r w:rsidR="0048330F" w:rsidRPr="00D25D34">
        <w:rPr>
          <w:b w:val="0"/>
          <w:spacing w:val="10"/>
          <w:sz w:val="22"/>
          <w:szCs w:val="22"/>
        </w:rPr>
        <w:t>. La población ocupada de hombres fue de 3</w:t>
      </w:r>
      <w:r w:rsidR="002A0F28" w:rsidRPr="00D25D34">
        <w:rPr>
          <w:b w:val="0"/>
          <w:spacing w:val="10"/>
          <w:sz w:val="22"/>
          <w:szCs w:val="22"/>
        </w:rPr>
        <w:t>2.</w:t>
      </w:r>
      <w:r w:rsidR="009D0BD7">
        <w:rPr>
          <w:b w:val="0"/>
          <w:spacing w:val="10"/>
          <w:sz w:val="22"/>
          <w:szCs w:val="22"/>
        </w:rPr>
        <w:t>7</w:t>
      </w:r>
      <w:r w:rsidR="009D0BD7" w:rsidRPr="00D25D34">
        <w:rPr>
          <w:b w:val="0"/>
          <w:spacing w:val="10"/>
          <w:sz w:val="22"/>
          <w:szCs w:val="22"/>
        </w:rPr>
        <w:t xml:space="preserve"> </w:t>
      </w:r>
      <w:r w:rsidR="0048330F" w:rsidRPr="00D25D34">
        <w:rPr>
          <w:b w:val="0"/>
          <w:spacing w:val="10"/>
          <w:sz w:val="22"/>
          <w:szCs w:val="22"/>
        </w:rPr>
        <w:t xml:space="preserve">millones, cifra menor en </w:t>
      </w:r>
      <w:r w:rsidR="009D0BD7">
        <w:rPr>
          <w:b w:val="0"/>
          <w:spacing w:val="10"/>
          <w:sz w:val="22"/>
          <w:szCs w:val="22"/>
        </w:rPr>
        <w:t>604 mil con respecto al mismo trimestre del año anterior,</w:t>
      </w:r>
      <w:r w:rsidR="0048330F" w:rsidRPr="00D25D34">
        <w:rPr>
          <w:b w:val="0"/>
          <w:spacing w:val="10"/>
          <w:sz w:val="22"/>
          <w:szCs w:val="22"/>
        </w:rPr>
        <w:t xml:space="preserve"> y la población ocupada de mujeres fue de </w:t>
      </w:r>
      <w:r w:rsidR="002A0F28" w:rsidRPr="00D25D34">
        <w:rPr>
          <w:b w:val="0"/>
          <w:spacing w:val="10"/>
          <w:sz w:val="22"/>
          <w:szCs w:val="22"/>
        </w:rPr>
        <w:t>20.</w:t>
      </w:r>
      <w:r w:rsidR="009D0BD7">
        <w:rPr>
          <w:b w:val="0"/>
          <w:spacing w:val="10"/>
          <w:sz w:val="22"/>
          <w:szCs w:val="22"/>
        </w:rPr>
        <w:t>3</w:t>
      </w:r>
      <w:r w:rsidR="002A0F28" w:rsidRPr="00D25D34">
        <w:rPr>
          <w:b w:val="0"/>
          <w:spacing w:val="10"/>
          <w:sz w:val="22"/>
          <w:szCs w:val="22"/>
        </w:rPr>
        <w:t xml:space="preserve"> millones, 1</w:t>
      </w:r>
      <w:r w:rsidR="0048330F" w:rsidRPr="00D25D34">
        <w:rPr>
          <w:b w:val="0"/>
          <w:spacing w:val="10"/>
          <w:sz w:val="22"/>
          <w:szCs w:val="22"/>
        </w:rPr>
        <w:t>.</w:t>
      </w:r>
      <w:r w:rsidR="009D0BD7">
        <w:rPr>
          <w:b w:val="0"/>
          <w:spacing w:val="10"/>
          <w:sz w:val="22"/>
          <w:szCs w:val="22"/>
        </w:rPr>
        <w:t>5</w:t>
      </w:r>
      <w:r w:rsidR="009D0BD7" w:rsidRPr="00D25D34">
        <w:rPr>
          <w:b w:val="0"/>
          <w:spacing w:val="10"/>
          <w:sz w:val="22"/>
          <w:szCs w:val="22"/>
        </w:rPr>
        <w:t xml:space="preserve"> </w:t>
      </w:r>
      <w:r w:rsidR="0048330F" w:rsidRPr="00D25D34">
        <w:rPr>
          <w:b w:val="0"/>
          <w:spacing w:val="10"/>
          <w:sz w:val="22"/>
          <w:szCs w:val="22"/>
        </w:rPr>
        <w:t xml:space="preserve">millones menos en el mismo </w:t>
      </w:r>
      <w:r w:rsidR="000D654B" w:rsidRPr="00D25D34">
        <w:rPr>
          <w:b w:val="0"/>
          <w:spacing w:val="10"/>
          <w:sz w:val="22"/>
          <w:szCs w:val="22"/>
        </w:rPr>
        <w:t>lapso</w:t>
      </w:r>
      <w:r w:rsidR="0048330F" w:rsidRPr="00D25D34">
        <w:rPr>
          <w:b w:val="0"/>
          <w:spacing w:val="10"/>
          <w:sz w:val="22"/>
          <w:szCs w:val="22"/>
        </w:rPr>
        <w:t>.</w:t>
      </w:r>
    </w:p>
    <w:p w14:paraId="212CFC8A" w14:textId="77777777" w:rsidR="0048330F" w:rsidRPr="00D25D34" w:rsidRDefault="0048330F" w:rsidP="009749DA">
      <w:pPr>
        <w:pStyle w:val="Subttulo"/>
        <w:ind w:left="-567" w:right="-516"/>
        <w:jc w:val="both"/>
        <w:rPr>
          <w:b w:val="0"/>
          <w:spacing w:val="10"/>
          <w:sz w:val="22"/>
          <w:szCs w:val="22"/>
        </w:rPr>
      </w:pPr>
    </w:p>
    <w:p w14:paraId="55E0F9D2" w14:textId="4640C429" w:rsidR="00CA64BC" w:rsidRPr="00D25D34" w:rsidRDefault="0048330F" w:rsidP="009749DA">
      <w:pPr>
        <w:pStyle w:val="Subttulo"/>
        <w:ind w:left="-567" w:right="-516"/>
        <w:jc w:val="both"/>
        <w:rPr>
          <w:b w:val="0"/>
          <w:spacing w:val="10"/>
          <w:sz w:val="22"/>
          <w:szCs w:val="22"/>
        </w:rPr>
      </w:pPr>
      <w:r w:rsidRPr="00D25D34">
        <w:rPr>
          <w:b w:val="0"/>
          <w:spacing w:val="10"/>
          <w:sz w:val="22"/>
          <w:szCs w:val="22"/>
        </w:rPr>
        <w:t xml:space="preserve">Los trabajadores subordinados y remunerados concentraron </w:t>
      </w:r>
      <w:r w:rsidR="002A0F28" w:rsidRPr="00D25D34">
        <w:rPr>
          <w:b w:val="0"/>
          <w:spacing w:val="10"/>
          <w:sz w:val="22"/>
          <w:szCs w:val="22"/>
        </w:rPr>
        <w:t>68.6</w:t>
      </w:r>
      <w:r w:rsidRPr="00D25D34">
        <w:rPr>
          <w:b w:val="0"/>
          <w:spacing w:val="10"/>
          <w:sz w:val="22"/>
          <w:szCs w:val="22"/>
        </w:rPr>
        <w:t>% del total de la población ocupada y los trabajadores por cuenta propia representaron 22.</w:t>
      </w:r>
      <w:r w:rsidR="00A94585">
        <w:rPr>
          <w:b w:val="0"/>
          <w:spacing w:val="10"/>
          <w:sz w:val="22"/>
          <w:szCs w:val="22"/>
        </w:rPr>
        <w:t>6</w:t>
      </w:r>
      <w:r w:rsidRPr="00D25D34">
        <w:rPr>
          <w:b w:val="0"/>
          <w:spacing w:val="10"/>
          <w:sz w:val="22"/>
          <w:szCs w:val="22"/>
        </w:rPr>
        <w:t xml:space="preserve">% para el </w:t>
      </w:r>
      <w:r w:rsidR="008B38A1" w:rsidRPr="00D25D34">
        <w:rPr>
          <w:b w:val="0"/>
          <w:spacing w:val="10"/>
          <w:sz w:val="22"/>
          <w:szCs w:val="22"/>
        </w:rPr>
        <w:t>primer</w:t>
      </w:r>
      <w:r w:rsidR="00450FAC" w:rsidRPr="00D25D34">
        <w:rPr>
          <w:b w:val="0"/>
          <w:spacing w:val="10"/>
          <w:sz w:val="22"/>
          <w:szCs w:val="22"/>
        </w:rPr>
        <w:t xml:space="preserve"> </w:t>
      </w:r>
      <w:r w:rsidRPr="00D25D34">
        <w:rPr>
          <w:b w:val="0"/>
          <w:spacing w:val="10"/>
          <w:sz w:val="22"/>
          <w:szCs w:val="22"/>
        </w:rPr>
        <w:t xml:space="preserve">trimestre de </w:t>
      </w:r>
      <w:r w:rsidR="00177B20" w:rsidRPr="00D25D34">
        <w:rPr>
          <w:b w:val="0"/>
          <w:spacing w:val="10"/>
          <w:sz w:val="22"/>
          <w:szCs w:val="22"/>
        </w:rPr>
        <w:t>2021</w:t>
      </w:r>
      <w:r w:rsidRPr="00D25D34">
        <w:rPr>
          <w:b w:val="0"/>
          <w:spacing w:val="10"/>
          <w:sz w:val="22"/>
          <w:szCs w:val="22"/>
        </w:rPr>
        <w:t xml:space="preserve">. En términos absolutos entre el </w:t>
      </w:r>
      <w:r w:rsidR="00177B20" w:rsidRPr="00D25D34">
        <w:rPr>
          <w:b w:val="0"/>
          <w:spacing w:val="10"/>
          <w:sz w:val="22"/>
          <w:szCs w:val="22"/>
        </w:rPr>
        <w:t>primer</w:t>
      </w:r>
      <w:r w:rsidRPr="00D25D34">
        <w:rPr>
          <w:b w:val="0"/>
          <w:spacing w:val="10"/>
          <w:sz w:val="22"/>
          <w:szCs w:val="22"/>
        </w:rPr>
        <w:t xml:space="preserve"> trimestre de </w:t>
      </w:r>
      <w:r w:rsidR="00177B20" w:rsidRPr="00D25D34">
        <w:rPr>
          <w:b w:val="0"/>
          <w:spacing w:val="10"/>
          <w:sz w:val="22"/>
          <w:szCs w:val="22"/>
        </w:rPr>
        <w:t>2020</w:t>
      </w:r>
      <w:r w:rsidRPr="00D25D34">
        <w:rPr>
          <w:b w:val="0"/>
          <w:spacing w:val="10"/>
          <w:sz w:val="22"/>
          <w:szCs w:val="22"/>
        </w:rPr>
        <w:t xml:space="preserve"> y el mismo periodo de </w:t>
      </w:r>
      <w:r w:rsidR="00177B20" w:rsidRPr="00D25D34">
        <w:rPr>
          <w:b w:val="0"/>
          <w:spacing w:val="10"/>
          <w:sz w:val="22"/>
          <w:szCs w:val="22"/>
        </w:rPr>
        <w:t>2021</w:t>
      </w:r>
      <w:r w:rsidR="008B38A1" w:rsidRPr="00D25D34">
        <w:rPr>
          <w:b w:val="0"/>
          <w:spacing w:val="10"/>
          <w:sz w:val="22"/>
          <w:szCs w:val="22"/>
        </w:rPr>
        <w:t xml:space="preserve"> el primer grupo de trabajadores</w:t>
      </w:r>
      <w:r w:rsidRPr="00D25D34">
        <w:rPr>
          <w:b w:val="0"/>
          <w:spacing w:val="10"/>
          <w:sz w:val="22"/>
          <w:szCs w:val="22"/>
        </w:rPr>
        <w:t xml:space="preserve"> registr</w:t>
      </w:r>
      <w:r w:rsidR="008B38A1" w:rsidRPr="00D25D34">
        <w:rPr>
          <w:b w:val="0"/>
          <w:spacing w:val="10"/>
          <w:sz w:val="22"/>
          <w:szCs w:val="22"/>
        </w:rPr>
        <w:t>ó</w:t>
      </w:r>
      <w:r w:rsidRPr="00D25D34">
        <w:rPr>
          <w:b w:val="0"/>
          <w:spacing w:val="10"/>
          <w:sz w:val="22"/>
          <w:szCs w:val="22"/>
        </w:rPr>
        <w:t xml:space="preserve"> una disminución de </w:t>
      </w:r>
      <w:r w:rsidR="002A0F28" w:rsidRPr="00D25D34">
        <w:rPr>
          <w:b w:val="0"/>
          <w:spacing w:val="10"/>
          <w:sz w:val="22"/>
          <w:szCs w:val="22"/>
        </w:rPr>
        <w:t>1.</w:t>
      </w:r>
      <w:r w:rsidR="00A94585">
        <w:rPr>
          <w:b w:val="0"/>
          <w:spacing w:val="10"/>
          <w:sz w:val="22"/>
          <w:szCs w:val="22"/>
        </w:rPr>
        <w:t>5</w:t>
      </w:r>
      <w:r w:rsidR="00A94585" w:rsidRPr="00D25D34">
        <w:rPr>
          <w:b w:val="0"/>
          <w:spacing w:val="10"/>
          <w:sz w:val="22"/>
          <w:szCs w:val="22"/>
        </w:rPr>
        <w:t xml:space="preserve"> </w:t>
      </w:r>
      <w:r w:rsidR="002A0F28" w:rsidRPr="00D25D34">
        <w:rPr>
          <w:b w:val="0"/>
          <w:spacing w:val="10"/>
          <w:sz w:val="22"/>
          <w:szCs w:val="22"/>
        </w:rPr>
        <w:t xml:space="preserve">millones y </w:t>
      </w:r>
      <w:r w:rsidR="008B38A1" w:rsidRPr="00D25D34">
        <w:rPr>
          <w:b w:val="0"/>
          <w:spacing w:val="10"/>
          <w:sz w:val="22"/>
          <w:szCs w:val="22"/>
        </w:rPr>
        <w:t>el segundo grupo</w:t>
      </w:r>
      <w:r w:rsidR="00FC11E1">
        <w:rPr>
          <w:b w:val="0"/>
          <w:spacing w:val="10"/>
          <w:sz w:val="22"/>
          <w:szCs w:val="22"/>
        </w:rPr>
        <w:t>,</w:t>
      </w:r>
      <w:r w:rsidR="008B38A1" w:rsidRPr="00D25D34">
        <w:rPr>
          <w:b w:val="0"/>
          <w:spacing w:val="10"/>
          <w:sz w:val="22"/>
          <w:szCs w:val="22"/>
        </w:rPr>
        <w:t xml:space="preserve"> </w:t>
      </w:r>
      <w:r w:rsidR="002A0F28" w:rsidRPr="00D25D34">
        <w:rPr>
          <w:b w:val="0"/>
          <w:spacing w:val="10"/>
          <w:sz w:val="22"/>
          <w:szCs w:val="22"/>
        </w:rPr>
        <w:t xml:space="preserve">de </w:t>
      </w:r>
      <w:r w:rsidR="00A94585" w:rsidRPr="00D25D34">
        <w:rPr>
          <w:b w:val="0"/>
          <w:spacing w:val="10"/>
          <w:sz w:val="22"/>
          <w:szCs w:val="22"/>
        </w:rPr>
        <w:t>3</w:t>
      </w:r>
      <w:r w:rsidR="00A94585">
        <w:rPr>
          <w:b w:val="0"/>
          <w:spacing w:val="10"/>
          <w:sz w:val="22"/>
          <w:szCs w:val="22"/>
        </w:rPr>
        <w:t>47</w:t>
      </w:r>
      <w:r w:rsidR="00A94585" w:rsidRPr="00D25D34">
        <w:rPr>
          <w:b w:val="0"/>
          <w:spacing w:val="10"/>
          <w:sz w:val="22"/>
          <w:szCs w:val="22"/>
        </w:rPr>
        <w:t xml:space="preserve"> </w:t>
      </w:r>
      <w:r w:rsidR="002A0F28" w:rsidRPr="00D25D34">
        <w:rPr>
          <w:b w:val="0"/>
          <w:spacing w:val="10"/>
          <w:sz w:val="22"/>
          <w:szCs w:val="22"/>
        </w:rPr>
        <w:t>mil personas</w:t>
      </w:r>
      <w:r w:rsidR="00F04031" w:rsidRPr="00D25D34">
        <w:rPr>
          <w:b w:val="0"/>
          <w:spacing w:val="10"/>
          <w:sz w:val="22"/>
          <w:szCs w:val="22"/>
        </w:rPr>
        <w:t>.</w:t>
      </w:r>
    </w:p>
    <w:p w14:paraId="32DCD644" w14:textId="77777777" w:rsidR="00CA64BC" w:rsidRPr="00D25D34" w:rsidRDefault="00CA64BC" w:rsidP="009749DA">
      <w:pPr>
        <w:pStyle w:val="Subttulo"/>
        <w:ind w:left="-567" w:right="-516"/>
        <w:jc w:val="both"/>
        <w:rPr>
          <w:b w:val="0"/>
          <w:spacing w:val="10"/>
          <w:sz w:val="22"/>
          <w:szCs w:val="22"/>
        </w:rPr>
      </w:pPr>
    </w:p>
    <w:p w14:paraId="5D14B489" w14:textId="72D9D432" w:rsidR="00CA64BC" w:rsidRPr="00D25D34" w:rsidRDefault="00CA64BC" w:rsidP="009749DA">
      <w:pPr>
        <w:pStyle w:val="Subttulo"/>
        <w:ind w:left="-567" w:right="-516"/>
        <w:jc w:val="both"/>
        <w:rPr>
          <w:b w:val="0"/>
          <w:spacing w:val="10"/>
          <w:sz w:val="22"/>
          <w:szCs w:val="22"/>
        </w:rPr>
      </w:pPr>
      <w:r w:rsidRPr="00D25D34">
        <w:rPr>
          <w:b w:val="0"/>
          <w:spacing w:val="10"/>
          <w:sz w:val="22"/>
          <w:szCs w:val="22"/>
        </w:rPr>
        <w:t>La estructura sectorial de la ocupación reporta que las actividades terciarias</w:t>
      </w:r>
      <w:r w:rsidR="00450FAC" w:rsidRPr="00D25D34">
        <w:rPr>
          <w:b w:val="0"/>
          <w:spacing w:val="10"/>
          <w:sz w:val="22"/>
          <w:szCs w:val="22"/>
        </w:rPr>
        <w:t>,</w:t>
      </w:r>
      <w:r w:rsidRPr="00D25D34">
        <w:rPr>
          <w:b w:val="0"/>
          <w:spacing w:val="10"/>
          <w:sz w:val="22"/>
          <w:szCs w:val="22"/>
        </w:rPr>
        <w:t xml:space="preserve"> con una participación de 6</w:t>
      </w:r>
      <w:r w:rsidR="002A0F28" w:rsidRPr="00D25D34">
        <w:rPr>
          <w:b w:val="0"/>
          <w:spacing w:val="10"/>
          <w:sz w:val="22"/>
          <w:szCs w:val="22"/>
        </w:rPr>
        <w:t>1.</w:t>
      </w:r>
      <w:r w:rsidR="00AD5E46">
        <w:rPr>
          <w:b w:val="0"/>
          <w:spacing w:val="10"/>
          <w:sz w:val="22"/>
          <w:szCs w:val="22"/>
        </w:rPr>
        <w:t>6</w:t>
      </w:r>
      <w:r w:rsidRPr="00D25D34">
        <w:rPr>
          <w:b w:val="0"/>
          <w:spacing w:val="10"/>
          <w:sz w:val="22"/>
          <w:szCs w:val="22"/>
        </w:rPr>
        <w:t xml:space="preserve">% en el </w:t>
      </w:r>
      <w:r w:rsidR="00177B20" w:rsidRPr="00D25D34">
        <w:rPr>
          <w:b w:val="0"/>
          <w:spacing w:val="10"/>
          <w:sz w:val="22"/>
          <w:szCs w:val="22"/>
        </w:rPr>
        <w:t>primer</w:t>
      </w:r>
      <w:r w:rsidRPr="00D25D34">
        <w:rPr>
          <w:b w:val="0"/>
          <w:spacing w:val="10"/>
          <w:sz w:val="22"/>
          <w:szCs w:val="22"/>
        </w:rPr>
        <w:t xml:space="preserve"> trimestre de </w:t>
      </w:r>
      <w:r w:rsidR="00177B20" w:rsidRPr="00D25D34">
        <w:rPr>
          <w:b w:val="0"/>
          <w:spacing w:val="10"/>
          <w:sz w:val="22"/>
          <w:szCs w:val="22"/>
        </w:rPr>
        <w:t>2021</w:t>
      </w:r>
      <w:r w:rsidRPr="00D25D34">
        <w:rPr>
          <w:b w:val="0"/>
          <w:spacing w:val="10"/>
          <w:sz w:val="22"/>
          <w:szCs w:val="22"/>
        </w:rPr>
        <w:t xml:space="preserve">, registraron una disminución en términos absolutos de </w:t>
      </w:r>
      <w:r w:rsidR="002A0F28" w:rsidRPr="00D25D34">
        <w:rPr>
          <w:b w:val="0"/>
          <w:spacing w:val="10"/>
          <w:sz w:val="22"/>
          <w:szCs w:val="22"/>
        </w:rPr>
        <w:t>1.</w:t>
      </w:r>
      <w:r w:rsidR="00AD5E46">
        <w:rPr>
          <w:b w:val="0"/>
          <w:spacing w:val="10"/>
          <w:sz w:val="22"/>
          <w:szCs w:val="22"/>
        </w:rPr>
        <w:t>9</w:t>
      </w:r>
      <w:r w:rsidR="00AD5E46" w:rsidRPr="00D25D34">
        <w:rPr>
          <w:b w:val="0"/>
          <w:spacing w:val="10"/>
          <w:sz w:val="22"/>
          <w:szCs w:val="22"/>
        </w:rPr>
        <w:t xml:space="preserve"> </w:t>
      </w:r>
      <w:r w:rsidRPr="00D25D34">
        <w:rPr>
          <w:b w:val="0"/>
          <w:spacing w:val="10"/>
          <w:sz w:val="22"/>
          <w:szCs w:val="22"/>
        </w:rPr>
        <w:t xml:space="preserve">millones de personas respecto al </w:t>
      </w:r>
      <w:r w:rsidR="00177B20" w:rsidRPr="00D25D34">
        <w:rPr>
          <w:b w:val="0"/>
          <w:spacing w:val="10"/>
          <w:sz w:val="22"/>
          <w:szCs w:val="22"/>
        </w:rPr>
        <w:t>primer</w:t>
      </w:r>
      <w:r w:rsidRPr="00D25D34">
        <w:rPr>
          <w:b w:val="0"/>
          <w:spacing w:val="10"/>
          <w:sz w:val="22"/>
          <w:szCs w:val="22"/>
        </w:rPr>
        <w:t xml:space="preserve"> trimestre de </w:t>
      </w:r>
      <w:r w:rsidR="00177B20" w:rsidRPr="00D25D34">
        <w:rPr>
          <w:b w:val="0"/>
          <w:spacing w:val="10"/>
          <w:sz w:val="22"/>
          <w:szCs w:val="22"/>
        </w:rPr>
        <w:t>2020</w:t>
      </w:r>
      <w:r w:rsidRPr="00D25D34">
        <w:rPr>
          <w:b w:val="0"/>
          <w:spacing w:val="10"/>
          <w:sz w:val="22"/>
          <w:szCs w:val="22"/>
        </w:rPr>
        <w:t xml:space="preserve">. El sector </w:t>
      </w:r>
      <w:r w:rsidR="00AD5E46">
        <w:rPr>
          <w:b w:val="0"/>
          <w:spacing w:val="10"/>
          <w:sz w:val="22"/>
          <w:szCs w:val="22"/>
        </w:rPr>
        <w:t xml:space="preserve">comercio </w:t>
      </w:r>
      <w:r w:rsidR="00450FAC" w:rsidRPr="00D25D34">
        <w:rPr>
          <w:b w:val="0"/>
          <w:spacing w:val="10"/>
          <w:sz w:val="22"/>
          <w:szCs w:val="22"/>
        </w:rPr>
        <w:t xml:space="preserve">presentó </w:t>
      </w:r>
      <w:r w:rsidR="002A0F28" w:rsidRPr="00D25D34">
        <w:rPr>
          <w:b w:val="0"/>
          <w:spacing w:val="10"/>
          <w:sz w:val="22"/>
          <w:szCs w:val="22"/>
        </w:rPr>
        <w:t xml:space="preserve">una disminución de </w:t>
      </w:r>
      <w:r w:rsidR="00AD5E46" w:rsidRPr="00D25D34">
        <w:rPr>
          <w:b w:val="0"/>
          <w:spacing w:val="10"/>
          <w:sz w:val="22"/>
          <w:szCs w:val="22"/>
        </w:rPr>
        <w:t>7</w:t>
      </w:r>
      <w:r w:rsidR="00AD5E46">
        <w:rPr>
          <w:b w:val="0"/>
          <w:spacing w:val="10"/>
          <w:sz w:val="22"/>
          <w:szCs w:val="22"/>
        </w:rPr>
        <w:t>12</w:t>
      </w:r>
      <w:r w:rsidR="00AD5E46" w:rsidRPr="00D25D34">
        <w:rPr>
          <w:b w:val="0"/>
          <w:spacing w:val="10"/>
          <w:sz w:val="22"/>
          <w:szCs w:val="22"/>
        </w:rPr>
        <w:t xml:space="preserve"> </w:t>
      </w:r>
      <w:r w:rsidR="002A0F28" w:rsidRPr="00D25D34">
        <w:rPr>
          <w:b w:val="0"/>
          <w:spacing w:val="10"/>
          <w:sz w:val="22"/>
          <w:szCs w:val="22"/>
        </w:rPr>
        <w:t xml:space="preserve">mil ocupados </w:t>
      </w:r>
      <w:r w:rsidRPr="00D25D34">
        <w:rPr>
          <w:b w:val="0"/>
          <w:spacing w:val="10"/>
          <w:sz w:val="22"/>
          <w:szCs w:val="22"/>
        </w:rPr>
        <w:t xml:space="preserve">y </w:t>
      </w:r>
      <w:r w:rsidR="00C37670">
        <w:rPr>
          <w:b w:val="0"/>
          <w:spacing w:val="10"/>
          <w:sz w:val="22"/>
          <w:szCs w:val="22"/>
        </w:rPr>
        <w:t>el</w:t>
      </w:r>
      <w:r w:rsidR="00C37670" w:rsidRPr="00D25D34">
        <w:rPr>
          <w:b w:val="0"/>
          <w:spacing w:val="10"/>
          <w:sz w:val="22"/>
          <w:szCs w:val="22"/>
        </w:rPr>
        <w:t xml:space="preserve"> </w:t>
      </w:r>
      <w:r w:rsidR="00AD5E46" w:rsidRPr="00AD5E46">
        <w:rPr>
          <w:b w:val="0"/>
          <w:spacing w:val="10"/>
          <w:sz w:val="22"/>
          <w:szCs w:val="22"/>
        </w:rPr>
        <w:t>de restaurantes y servicios de alojamiento</w:t>
      </w:r>
      <w:r w:rsidR="00FC11E1">
        <w:rPr>
          <w:b w:val="0"/>
          <w:spacing w:val="10"/>
          <w:sz w:val="22"/>
          <w:szCs w:val="22"/>
        </w:rPr>
        <w:t>,</w:t>
      </w:r>
      <w:r w:rsidR="00AD5E46" w:rsidRPr="00AD5E46" w:rsidDel="00AD5E46">
        <w:rPr>
          <w:b w:val="0"/>
          <w:spacing w:val="10"/>
          <w:sz w:val="22"/>
          <w:szCs w:val="22"/>
        </w:rPr>
        <w:t xml:space="preserve"> </w:t>
      </w:r>
      <w:r w:rsidR="002A0F28" w:rsidRPr="00D25D34">
        <w:rPr>
          <w:b w:val="0"/>
          <w:spacing w:val="10"/>
          <w:sz w:val="22"/>
          <w:szCs w:val="22"/>
        </w:rPr>
        <w:t xml:space="preserve">de </w:t>
      </w:r>
      <w:r w:rsidR="00C37670">
        <w:rPr>
          <w:b w:val="0"/>
          <w:spacing w:val="10"/>
          <w:sz w:val="22"/>
          <w:szCs w:val="22"/>
        </w:rPr>
        <w:t>656</w:t>
      </w:r>
      <w:r w:rsidR="00C37670" w:rsidRPr="00D25D34">
        <w:rPr>
          <w:b w:val="0"/>
          <w:spacing w:val="10"/>
          <w:sz w:val="22"/>
          <w:szCs w:val="22"/>
        </w:rPr>
        <w:t xml:space="preserve"> </w:t>
      </w:r>
      <w:r w:rsidR="002A0F28" w:rsidRPr="00D25D34">
        <w:rPr>
          <w:b w:val="0"/>
          <w:spacing w:val="10"/>
          <w:sz w:val="22"/>
          <w:szCs w:val="22"/>
        </w:rPr>
        <w:t>mil personas ocupadas</w:t>
      </w:r>
      <w:r w:rsidR="00F04031" w:rsidRPr="00D25D34">
        <w:rPr>
          <w:b w:val="0"/>
          <w:spacing w:val="10"/>
          <w:sz w:val="22"/>
          <w:szCs w:val="22"/>
        </w:rPr>
        <w:t xml:space="preserve"> en el mismo periodo</w:t>
      </w:r>
      <w:r w:rsidRPr="00D25D34">
        <w:rPr>
          <w:b w:val="0"/>
          <w:spacing w:val="10"/>
          <w:sz w:val="22"/>
          <w:szCs w:val="22"/>
        </w:rPr>
        <w:t>.</w:t>
      </w:r>
    </w:p>
    <w:p w14:paraId="7E5ED0B2" w14:textId="77777777" w:rsidR="006A352A" w:rsidRPr="00D25D34" w:rsidRDefault="006A352A" w:rsidP="009749DA">
      <w:pPr>
        <w:pStyle w:val="Subttulo"/>
        <w:ind w:left="-567" w:right="-516"/>
        <w:jc w:val="both"/>
        <w:rPr>
          <w:b w:val="0"/>
          <w:spacing w:val="10"/>
          <w:sz w:val="22"/>
          <w:szCs w:val="22"/>
        </w:rPr>
      </w:pPr>
    </w:p>
    <w:p w14:paraId="61F22BAF" w14:textId="67FFA3F9" w:rsidR="002A0F28" w:rsidRPr="00D25D34" w:rsidRDefault="002A0F28" w:rsidP="002A0F28">
      <w:pPr>
        <w:pStyle w:val="Subttulo"/>
        <w:ind w:left="-567" w:right="-516"/>
        <w:jc w:val="both"/>
        <w:rPr>
          <w:b w:val="0"/>
          <w:spacing w:val="10"/>
          <w:sz w:val="22"/>
          <w:szCs w:val="22"/>
        </w:rPr>
      </w:pPr>
      <w:r w:rsidRPr="00D25D34">
        <w:rPr>
          <w:b w:val="0"/>
          <w:spacing w:val="10"/>
          <w:sz w:val="22"/>
          <w:szCs w:val="22"/>
        </w:rPr>
        <w:t xml:space="preserve">En cuanto a la duración de la jornada de trabajo durante el trimestre de referencia, destaca la reducción de la participación de los ocupados que laboran más de 48 horas semanales de </w:t>
      </w:r>
      <w:r w:rsidR="00797F77">
        <w:rPr>
          <w:b w:val="0"/>
          <w:spacing w:val="10"/>
          <w:sz w:val="22"/>
          <w:szCs w:val="22"/>
        </w:rPr>
        <w:t>26.9</w:t>
      </w:r>
      <w:r w:rsidRPr="00D25D34">
        <w:rPr>
          <w:b w:val="0"/>
          <w:spacing w:val="10"/>
          <w:sz w:val="22"/>
          <w:szCs w:val="22"/>
        </w:rPr>
        <w:t xml:space="preserve"> a </w:t>
      </w:r>
      <w:r w:rsidR="00797F77">
        <w:rPr>
          <w:b w:val="0"/>
          <w:spacing w:val="10"/>
          <w:sz w:val="22"/>
          <w:szCs w:val="22"/>
        </w:rPr>
        <w:t>25.9</w:t>
      </w:r>
      <w:r w:rsidRPr="00D25D34">
        <w:rPr>
          <w:b w:val="0"/>
          <w:spacing w:val="10"/>
          <w:sz w:val="22"/>
          <w:szCs w:val="22"/>
        </w:rPr>
        <w:t xml:space="preserve">% y de los ocupados entre 35 y 48 horas semanales de </w:t>
      </w:r>
      <w:r w:rsidR="00797F77">
        <w:rPr>
          <w:b w:val="0"/>
          <w:spacing w:val="10"/>
          <w:sz w:val="22"/>
          <w:szCs w:val="22"/>
        </w:rPr>
        <w:t>45.</w:t>
      </w:r>
      <w:r w:rsidR="00F17C64">
        <w:rPr>
          <w:b w:val="0"/>
          <w:spacing w:val="10"/>
          <w:sz w:val="22"/>
          <w:szCs w:val="22"/>
        </w:rPr>
        <w:t>3</w:t>
      </w:r>
      <w:r w:rsidRPr="00D25D34">
        <w:rPr>
          <w:b w:val="0"/>
          <w:spacing w:val="10"/>
          <w:sz w:val="22"/>
          <w:szCs w:val="22"/>
        </w:rPr>
        <w:t xml:space="preserve"> a 45.</w:t>
      </w:r>
      <w:r w:rsidR="00D7350D">
        <w:rPr>
          <w:b w:val="0"/>
          <w:spacing w:val="10"/>
          <w:sz w:val="22"/>
          <w:szCs w:val="22"/>
        </w:rPr>
        <w:t>1</w:t>
      </w:r>
      <w:r w:rsidRPr="00D25D34">
        <w:rPr>
          <w:b w:val="0"/>
          <w:spacing w:val="10"/>
          <w:sz w:val="22"/>
          <w:szCs w:val="22"/>
        </w:rPr>
        <w:t xml:space="preserve">%, lo cual en </w:t>
      </w:r>
      <w:r w:rsidR="00450FAC" w:rsidRPr="00D25D34">
        <w:rPr>
          <w:b w:val="0"/>
          <w:spacing w:val="10"/>
          <w:sz w:val="22"/>
          <w:szCs w:val="22"/>
        </w:rPr>
        <w:t xml:space="preserve">número de personas </w:t>
      </w:r>
      <w:r w:rsidRPr="00D25D34">
        <w:rPr>
          <w:b w:val="0"/>
          <w:spacing w:val="10"/>
          <w:sz w:val="22"/>
          <w:szCs w:val="22"/>
        </w:rPr>
        <w:t>significa una disminución 1.</w:t>
      </w:r>
      <w:r w:rsidR="00797F77">
        <w:rPr>
          <w:b w:val="0"/>
          <w:spacing w:val="10"/>
          <w:sz w:val="22"/>
          <w:szCs w:val="22"/>
        </w:rPr>
        <w:t>1</w:t>
      </w:r>
      <w:r w:rsidR="00797F77" w:rsidRPr="00D25D34">
        <w:rPr>
          <w:b w:val="0"/>
          <w:spacing w:val="10"/>
          <w:sz w:val="22"/>
          <w:szCs w:val="22"/>
        </w:rPr>
        <w:t xml:space="preserve"> </w:t>
      </w:r>
      <w:r w:rsidRPr="00D25D34">
        <w:rPr>
          <w:b w:val="0"/>
          <w:spacing w:val="10"/>
          <w:sz w:val="22"/>
          <w:szCs w:val="22"/>
        </w:rPr>
        <w:t xml:space="preserve">millones y de 1 </w:t>
      </w:r>
      <w:r w:rsidR="00797F77" w:rsidRPr="00D25D34">
        <w:rPr>
          <w:b w:val="0"/>
          <w:spacing w:val="10"/>
          <w:sz w:val="22"/>
          <w:szCs w:val="22"/>
        </w:rPr>
        <w:t>mill</w:t>
      </w:r>
      <w:r w:rsidR="00797F77">
        <w:rPr>
          <w:b w:val="0"/>
          <w:spacing w:val="10"/>
          <w:sz w:val="22"/>
          <w:szCs w:val="22"/>
        </w:rPr>
        <w:t>ón</w:t>
      </w:r>
      <w:r w:rsidRPr="00D25D34">
        <w:rPr>
          <w:b w:val="0"/>
          <w:spacing w:val="10"/>
          <w:sz w:val="22"/>
          <w:szCs w:val="22"/>
        </w:rPr>
        <w:t>, respectivamente.</w:t>
      </w:r>
    </w:p>
    <w:p w14:paraId="0C790D5F" w14:textId="77777777" w:rsidR="002A0F28" w:rsidRPr="00D25D34" w:rsidRDefault="002A0F28" w:rsidP="002A0F28">
      <w:pPr>
        <w:pStyle w:val="Subttulo"/>
        <w:ind w:left="-567" w:right="-516"/>
        <w:jc w:val="both"/>
        <w:rPr>
          <w:b w:val="0"/>
          <w:spacing w:val="10"/>
          <w:sz w:val="22"/>
          <w:szCs w:val="22"/>
        </w:rPr>
      </w:pPr>
    </w:p>
    <w:p w14:paraId="0D547FB4" w14:textId="4B80BA73" w:rsidR="002A0F28" w:rsidRPr="00D25D34" w:rsidRDefault="002A0F28" w:rsidP="002A0F28">
      <w:pPr>
        <w:pStyle w:val="Subttulo"/>
        <w:ind w:left="-567" w:right="-516"/>
        <w:jc w:val="both"/>
        <w:rPr>
          <w:b w:val="0"/>
          <w:spacing w:val="10"/>
          <w:sz w:val="22"/>
          <w:szCs w:val="22"/>
        </w:rPr>
      </w:pPr>
      <w:r w:rsidRPr="00D25D34">
        <w:rPr>
          <w:b w:val="0"/>
          <w:color w:val="000000" w:themeColor="text1"/>
          <w:sz w:val="22"/>
        </w:rPr>
        <w:t>En la ocupación por ámbito y tamaño de la unidad económica</w:t>
      </w:r>
      <w:r w:rsidRPr="00D25D34">
        <w:rPr>
          <w:b w:val="0"/>
          <w:spacing w:val="10"/>
          <w:sz w:val="22"/>
          <w:szCs w:val="22"/>
        </w:rPr>
        <w:t>, la ocupación no agropecuari</w:t>
      </w:r>
      <w:r w:rsidR="00EB7A82" w:rsidRPr="00D25D34">
        <w:rPr>
          <w:b w:val="0"/>
          <w:spacing w:val="10"/>
          <w:sz w:val="22"/>
          <w:szCs w:val="22"/>
        </w:rPr>
        <w:t>a</w:t>
      </w:r>
      <w:r w:rsidRPr="00D25D34">
        <w:rPr>
          <w:b w:val="0"/>
          <w:spacing w:val="10"/>
          <w:sz w:val="22"/>
          <w:szCs w:val="22"/>
        </w:rPr>
        <w:t xml:space="preserve"> con una proporción de 83.</w:t>
      </w:r>
      <w:r w:rsidR="008E04FC">
        <w:rPr>
          <w:b w:val="0"/>
          <w:spacing w:val="10"/>
          <w:sz w:val="22"/>
          <w:szCs w:val="22"/>
        </w:rPr>
        <w:t>4</w:t>
      </w:r>
      <w:r w:rsidRPr="00D25D34">
        <w:rPr>
          <w:b w:val="0"/>
          <w:spacing w:val="10"/>
          <w:sz w:val="22"/>
          <w:szCs w:val="22"/>
        </w:rPr>
        <w:t>%, tuvo un descenso de 2.</w:t>
      </w:r>
      <w:r w:rsidR="008E04FC">
        <w:rPr>
          <w:b w:val="0"/>
          <w:spacing w:val="10"/>
          <w:sz w:val="22"/>
          <w:szCs w:val="22"/>
        </w:rPr>
        <w:t>3</w:t>
      </w:r>
      <w:r w:rsidR="008E04FC" w:rsidRPr="00D25D34">
        <w:rPr>
          <w:b w:val="0"/>
          <w:spacing w:val="10"/>
          <w:sz w:val="22"/>
          <w:szCs w:val="22"/>
        </w:rPr>
        <w:t xml:space="preserve"> </w:t>
      </w:r>
      <w:r w:rsidRPr="00D25D34">
        <w:rPr>
          <w:b w:val="0"/>
          <w:spacing w:val="10"/>
          <w:sz w:val="22"/>
          <w:szCs w:val="22"/>
        </w:rPr>
        <w:t xml:space="preserve">millones </w:t>
      </w:r>
      <w:r w:rsidR="00F64ADC" w:rsidRPr="00D25D34">
        <w:rPr>
          <w:b w:val="0"/>
          <w:spacing w:val="10"/>
          <w:sz w:val="22"/>
          <w:szCs w:val="22"/>
        </w:rPr>
        <w:t xml:space="preserve">con relación </w:t>
      </w:r>
      <w:r w:rsidRPr="00D25D34">
        <w:rPr>
          <w:b w:val="0"/>
          <w:spacing w:val="10"/>
          <w:sz w:val="22"/>
          <w:szCs w:val="22"/>
        </w:rPr>
        <w:t xml:space="preserve">al </w:t>
      </w:r>
      <w:r w:rsidR="00177B20" w:rsidRPr="00D25D34">
        <w:rPr>
          <w:b w:val="0"/>
          <w:spacing w:val="10"/>
          <w:sz w:val="22"/>
          <w:szCs w:val="22"/>
        </w:rPr>
        <w:t>primer</w:t>
      </w:r>
      <w:r w:rsidRPr="00D25D34">
        <w:rPr>
          <w:b w:val="0"/>
          <w:spacing w:val="10"/>
          <w:sz w:val="22"/>
          <w:szCs w:val="22"/>
        </w:rPr>
        <w:t xml:space="preserve"> trimestre de </w:t>
      </w:r>
      <w:r w:rsidR="00177B20" w:rsidRPr="00D25D34">
        <w:rPr>
          <w:b w:val="0"/>
          <w:spacing w:val="10"/>
          <w:sz w:val="22"/>
          <w:szCs w:val="22"/>
        </w:rPr>
        <w:t>2020</w:t>
      </w:r>
      <w:r w:rsidRPr="00D25D34">
        <w:rPr>
          <w:b w:val="0"/>
          <w:spacing w:val="10"/>
          <w:sz w:val="22"/>
          <w:szCs w:val="22"/>
        </w:rPr>
        <w:t>. L</w:t>
      </w:r>
      <w:r w:rsidR="00787536">
        <w:rPr>
          <w:b w:val="0"/>
          <w:spacing w:val="10"/>
          <w:sz w:val="22"/>
          <w:szCs w:val="22"/>
        </w:rPr>
        <w:t>as personas ocupada</w:t>
      </w:r>
      <w:r w:rsidRPr="00D25D34">
        <w:rPr>
          <w:b w:val="0"/>
          <w:spacing w:val="10"/>
          <w:sz w:val="22"/>
          <w:szCs w:val="22"/>
        </w:rPr>
        <w:t xml:space="preserve">s en micronegocios, con una disminución de </w:t>
      </w:r>
      <w:r w:rsidR="008E04FC" w:rsidRPr="00D25D34">
        <w:rPr>
          <w:b w:val="0"/>
          <w:spacing w:val="10"/>
          <w:sz w:val="22"/>
          <w:szCs w:val="22"/>
        </w:rPr>
        <w:t>9</w:t>
      </w:r>
      <w:r w:rsidR="008E04FC">
        <w:rPr>
          <w:b w:val="0"/>
          <w:spacing w:val="10"/>
          <w:sz w:val="22"/>
          <w:szCs w:val="22"/>
        </w:rPr>
        <w:t>2</w:t>
      </w:r>
      <w:r w:rsidR="008E04FC" w:rsidRPr="00D25D34">
        <w:rPr>
          <w:b w:val="0"/>
          <w:spacing w:val="10"/>
          <w:sz w:val="22"/>
          <w:szCs w:val="22"/>
        </w:rPr>
        <w:t xml:space="preserve">4 </w:t>
      </w:r>
      <w:r w:rsidRPr="00D25D34">
        <w:rPr>
          <w:b w:val="0"/>
          <w:spacing w:val="10"/>
          <w:sz w:val="22"/>
          <w:szCs w:val="22"/>
        </w:rPr>
        <w:t xml:space="preserve">mil reportaron la pérdida de ocupación más alta, específicamente en unidades económicas con establecimiento, en donde la disminución fue de </w:t>
      </w:r>
      <w:r w:rsidR="008E04FC">
        <w:rPr>
          <w:b w:val="0"/>
          <w:spacing w:val="10"/>
          <w:sz w:val="22"/>
          <w:szCs w:val="22"/>
        </w:rPr>
        <w:t>537</w:t>
      </w:r>
      <w:r w:rsidR="008E04FC" w:rsidRPr="00D25D34">
        <w:rPr>
          <w:b w:val="0"/>
          <w:spacing w:val="10"/>
          <w:sz w:val="22"/>
          <w:szCs w:val="22"/>
        </w:rPr>
        <w:t xml:space="preserve"> </w:t>
      </w:r>
      <w:r w:rsidRPr="00D25D34">
        <w:rPr>
          <w:b w:val="0"/>
          <w:spacing w:val="10"/>
          <w:sz w:val="22"/>
          <w:szCs w:val="22"/>
        </w:rPr>
        <w:t xml:space="preserve">mil ocupados entre el </w:t>
      </w:r>
      <w:r w:rsidR="00177B20" w:rsidRPr="00D25D34">
        <w:rPr>
          <w:b w:val="0"/>
          <w:spacing w:val="10"/>
          <w:sz w:val="22"/>
          <w:szCs w:val="22"/>
        </w:rPr>
        <w:t>primer</w:t>
      </w:r>
      <w:r w:rsidRPr="00D25D34">
        <w:rPr>
          <w:b w:val="0"/>
          <w:spacing w:val="10"/>
          <w:sz w:val="22"/>
          <w:szCs w:val="22"/>
        </w:rPr>
        <w:t xml:space="preserve"> trimestre de </w:t>
      </w:r>
      <w:r w:rsidR="00177B20" w:rsidRPr="00D25D34">
        <w:rPr>
          <w:b w:val="0"/>
          <w:spacing w:val="10"/>
          <w:sz w:val="22"/>
          <w:szCs w:val="22"/>
        </w:rPr>
        <w:t>2020</w:t>
      </w:r>
      <w:r w:rsidRPr="00D25D34">
        <w:rPr>
          <w:b w:val="0"/>
          <w:spacing w:val="10"/>
          <w:sz w:val="22"/>
          <w:szCs w:val="22"/>
        </w:rPr>
        <w:t xml:space="preserve"> y el mismo trimestre de </w:t>
      </w:r>
      <w:r w:rsidR="00177B20" w:rsidRPr="00D25D34">
        <w:rPr>
          <w:b w:val="0"/>
          <w:spacing w:val="10"/>
          <w:sz w:val="22"/>
          <w:szCs w:val="22"/>
        </w:rPr>
        <w:t>2021</w:t>
      </w:r>
      <w:r w:rsidRPr="00D25D34">
        <w:rPr>
          <w:b w:val="0"/>
          <w:spacing w:val="10"/>
          <w:sz w:val="22"/>
          <w:szCs w:val="22"/>
        </w:rPr>
        <w:t>.</w:t>
      </w:r>
    </w:p>
    <w:p w14:paraId="41F6C50F" w14:textId="2CF185F1" w:rsidR="006A352A" w:rsidRPr="00D25D34" w:rsidRDefault="006A352A" w:rsidP="009749DA">
      <w:pPr>
        <w:pStyle w:val="Subttulo"/>
        <w:ind w:left="-567" w:right="-516"/>
        <w:jc w:val="both"/>
        <w:rPr>
          <w:b w:val="0"/>
          <w:spacing w:val="10"/>
          <w:sz w:val="22"/>
          <w:szCs w:val="22"/>
        </w:rPr>
      </w:pPr>
      <w:r w:rsidRPr="00D25D34">
        <w:rPr>
          <w:b w:val="0"/>
          <w:spacing w:val="10"/>
          <w:sz w:val="22"/>
          <w:szCs w:val="22"/>
        </w:rPr>
        <w:lastRenderedPageBreak/>
        <w:t>Las personas ocupadas que tienen la necesidad y disponibilidad de ofertar más tiempo de trabajo de lo que su ocupación actual les demanda</w:t>
      </w:r>
      <w:r w:rsidR="00F64ADC" w:rsidRPr="00D25D34">
        <w:rPr>
          <w:b w:val="0"/>
          <w:spacing w:val="10"/>
          <w:sz w:val="22"/>
          <w:szCs w:val="22"/>
        </w:rPr>
        <w:t xml:space="preserve"> (población </w:t>
      </w:r>
      <w:proofErr w:type="spellStart"/>
      <w:r w:rsidR="00F64ADC" w:rsidRPr="00D25D34">
        <w:rPr>
          <w:b w:val="0"/>
          <w:spacing w:val="10"/>
          <w:sz w:val="22"/>
          <w:szCs w:val="22"/>
        </w:rPr>
        <w:t>subocupada</w:t>
      </w:r>
      <w:proofErr w:type="spellEnd"/>
      <w:r w:rsidR="00F64ADC" w:rsidRPr="00D25D34">
        <w:rPr>
          <w:b w:val="0"/>
          <w:spacing w:val="10"/>
          <w:sz w:val="22"/>
          <w:szCs w:val="22"/>
        </w:rPr>
        <w:t>)</w:t>
      </w:r>
      <w:r w:rsidRPr="00D25D34">
        <w:rPr>
          <w:b w:val="0"/>
          <w:spacing w:val="10"/>
          <w:sz w:val="22"/>
          <w:szCs w:val="22"/>
        </w:rPr>
        <w:t xml:space="preserve">, </w:t>
      </w:r>
      <w:r w:rsidR="007E39EE" w:rsidRPr="00D25D34">
        <w:rPr>
          <w:b w:val="0"/>
          <w:spacing w:val="10"/>
          <w:sz w:val="22"/>
          <w:szCs w:val="22"/>
        </w:rPr>
        <w:t>pasaron de 4.</w:t>
      </w:r>
      <w:r w:rsidR="00FF381B">
        <w:rPr>
          <w:b w:val="0"/>
          <w:spacing w:val="10"/>
          <w:sz w:val="22"/>
          <w:szCs w:val="22"/>
        </w:rPr>
        <w:t>6</w:t>
      </w:r>
      <w:r w:rsidR="00FF381B" w:rsidRPr="00D25D34">
        <w:rPr>
          <w:b w:val="0"/>
          <w:spacing w:val="10"/>
          <w:sz w:val="22"/>
          <w:szCs w:val="22"/>
        </w:rPr>
        <w:t xml:space="preserve"> </w:t>
      </w:r>
      <w:r w:rsidR="007E39EE" w:rsidRPr="00D25D34">
        <w:rPr>
          <w:b w:val="0"/>
          <w:spacing w:val="10"/>
          <w:sz w:val="22"/>
          <w:szCs w:val="22"/>
        </w:rPr>
        <w:t xml:space="preserve">millones en el </w:t>
      </w:r>
      <w:r w:rsidR="00177B20" w:rsidRPr="00D25D34">
        <w:rPr>
          <w:b w:val="0"/>
          <w:spacing w:val="10"/>
          <w:sz w:val="22"/>
          <w:szCs w:val="22"/>
        </w:rPr>
        <w:t>primer</w:t>
      </w:r>
      <w:r w:rsidR="007E39EE" w:rsidRPr="00D25D34">
        <w:rPr>
          <w:b w:val="0"/>
          <w:spacing w:val="10"/>
          <w:sz w:val="22"/>
          <w:szCs w:val="22"/>
        </w:rPr>
        <w:t xml:space="preserve"> trimestre de </w:t>
      </w:r>
      <w:r w:rsidR="00177B20" w:rsidRPr="00D25D34">
        <w:rPr>
          <w:b w:val="0"/>
          <w:spacing w:val="10"/>
          <w:sz w:val="22"/>
          <w:szCs w:val="22"/>
        </w:rPr>
        <w:t>2020</w:t>
      </w:r>
      <w:r w:rsidR="007E39EE" w:rsidRPr="00D25D34">
        <w:rPr>
          <w:b w:val="0"/>
          <w:spacing w:val="10"/>
          <w:sz w:val="22"/>
          <w:szCs w:val="22"/>
        </w:rPr>
        <w:t xml:space="preserve"> a </w:t>
      </w:r>
      <w:r w:rsidR="00FF381B">
        <w:rPr>
          <w:b w:val="0"/>
          <w:spacing w:val="10"/>
          <w:sz w:val="22"/>
          <w:szCs w:val="22"/>
        </w:rPr>
        <w:t>7.3</w:t>
      </w:r>
      <w:r w:rsidR="00D2189C" w:rsidRPr="00D25D34">
        <w:rPr>
          <w:b w:val="0"/>
          <w:spacing w:val="10"/>
          <w:sz w:val="22"/>
          <w:szCs w:val="22"/>
        </w:rPr>
        <w:t xml:space="preserve"> </w:t>
      </w:r>
      <w:r w:rsidR="007E39EE" w:rsidRPr="00D25D34">
        <w:rPr>
          <w:b w:val="0"/>
          <w:spacing w:val="10"/>
          <w:sz w:val="22"/>
          <w:szCs w:val="22"/>
        </w:rPr>
        <w:t xml:space="preserve">millones en </w:t>
      </w:r>
      <w:r w:rsidR="00E31DFB" w:rsidRPr="00D25D34">
        <w:rPr>
          <w:b w:val="0"/>
          <w:spacing w:val="10"/>
          <w:sz w:val="22"/>
          <w:szCs w:val="22"/>
        </w:rPr>
        <w:t>mismo</w:t>
      </w:r>
      <w:r w:rsidR="00F64ADC" w:rsidRPr="00D25D34">
        <w:rPr>
          <w:b w:val="0"/>
          <w:spacing w:val="10"/>
          <w:sz w:val="22"/>
          <w:szCs w:val="22"/>
        </w:rPr>
        <w:t xml:space="preserve"> </w:t>
      </w:r>
      <w:r w:rsidR="007E39EE" w:rsidRPr="00D25D34">
        <w:rPr>
          <w:b w:val="0"/>
          <w:spacing w:val="10"/>
          <w:sz w:val="22"/>
          <w:szCs w:val="22"/>
        </w:rPr>
        <w:t xml:space="preserve">trimestre de </w:t>
      </w:r>
      <w:r w:rsidR="00177B20" w:rsidRPr="00D25D34">
        <w:rPr>
          <w:b w:val="0"/>
          <w:spacing w:val="10"/>
          <w:sz w:val="22"/>
          <w:szCs w:val="22"/>
        </w:rPr>
        <w:t>2021</w:t>
      </w:r>
      <w:r w:rsidR="007E39EE" w:rsidRPr="00D25D34">
        <w:rPr>
          <w:b w:val="0"/>
          <w:spacing w:val="10"/>
          <w:sz w:val="22"/>
          <w:szCs w:val="22"/>
        </w:rPr>
        <w:t xml:space="preserve">, con un aumento de </w:t>
      </w:r>
      <w:r w:rsidR="00FF381B">
        <w:rPr>
          <w:b w:val="0"/>
          <w:spacing w:val="10"/>
          <w:sz w:val="22"/>
          <w:szCs w:val="22"/>
        </w:rPr>
        <w:t>2.7</w:t>
      </w:r>
      <w:r w:rsidR="007E39EE" w:rsidRPr="00D25D34">
        <w:rPr>
          <w:b w:val="0"/>
          <w:spacing w:val="10"/>
          <w:sz w:val="22"/>
          <w:szCs w:val="22"/>
        </w:rPr>
        <w:t xml:space="preserve"> millones de personas.</w:t>
      </w:r>
    </w:p>
    <w:p w14:paraId="32F2B9F3" w14:textId="77777777" w:rsidR="00E979E4" w:rsidRPr="00D25D34" w:rsidRDefault="00E979E4" w:rsidP="009749DA">
      <w:pPr>
        <w:pStyle w:val="Subttulo"/>
        <w:ind w:left="-567" w:right="-516"/>
        <w:jc w:val="both"/>
        <w:rPr>
          <w:b w:val="0"/>
          <w:spacing w:val="10"/>
          <w:sz w:val="22"/>
          <w:szCs w:val="22"/>
        </w:rPr>
      </w:pPr>
    </w:p>
    <w:p w14:paraId="24D46F87" w14:textId="29AE8344" w:rsidR="006A352A" w:rsidRPr="00D25D34" w:rsidRDefault="006A352A" w:rsidP="009749DA">
      <w:pPr>
        <w:pStyle w:val="Subttulo"/>
        <w:ind w:left="-567" w:right="-516"/>
        <w:jc w:val="both"/>
        <w:rPr>
          <w:b w:val="0"/>
          <w:spacing w:val="10"/>
          <w:sz w:val="22"/>
          <w:szCs w:val="22"/>
        </w:rPr>
      </w:pPr>
      <w:r w:rsidRPr="00D25D34">
        <w:rPr>
          <w:b w:val="0"/>
          <w:spacing w:val="10"/>
          <w:sz w:val="22"/>
          <w:szCs w:val="22"/>
        </w:rPr>
        <w:t xml:space="preserve">La población ocupada informal, que comprende </w:t>
      </w:r>
      <w:r w:rsidR="00227077" w:rsidRPr="00D25D34">
        <w:rPr>
          <w:b w:val="0"/>
          <w:spacing w:val="10"/>
          <w:sz w:val="22"/>
          <w:szCs w:val="22"/>
        </w:rPr>
        <w:t xml:space="preserve">tanto </w:t>
      </w:r>
      <w:r w:rsidRPr="00D25D34">
        <w:rPr>
          <w:b w:val="0"/>
          <w:spacing w:val="10"/>
          <w:sz w:val="22"/>
          <w:szCs w:val="22"/>
        </w:rPr>
        <w:t xml:space="preserve">a los ocupados que son laboralmente vulnerables por la naturaleza de la unidad económica para la que trabajan, como aquellos cuyo vínculo o dependencia laboral no es reconocido por su fuente de trabajo, </w:t>
      </w:r>
      <w:r w:rsidR="007E39EE" w:rsidRPr="00D25D34">
        <w:rPr>
          <w:b w:val="0"/>
          <w:spacing w:val="10"/>
          <w:sz w:val="22"/>
          <w:szCs w:val="22"/>
        </w:rPr>
        <w:t xml:space="preserve">en el </w:t>
      </w:r>
      <w:r w:rsidR="00177B20" w:rsidRPr="00D25D34">
        <w:rPr>
          <w:b w:val="0"/>
          <w:spacing w:val="10"/>
          <w:sz w:val="22"/>
          <w:szCs w:val="22"/>
        </w:rPr>
        <w:t>primer</w:t>
      </w:r>
      <w:r w:rsidR="007E39EE" w:rsidRPr="00D25D34">
        <w:rPr>
          <w:b w:val="0"/>
          <w:spacing w:val="10"/>
          <w:sz w:val="22"/>
          <w:szCs w:val="22"/>
        </w:rPr>
        <w:t xml:space="preserve"> trimestre de </w:t>
      </w:r>
      <w:r w:rsidR="00177B20" w:rsidRPr="00D25D34">
        <w:rPr>
          <w:b w:val="0"/>
          <w:spacing w:val="10"/>
          <w:sz w:val="22"/>
          <w:szCs w:val="22"/>
        </w:rPr>
        <w:t>2021</w:t>
      </w:r>
      <w:r w:rsidR="007E39EE" w:rsidRPr="00D25D34">
        <w:rPr>
          <w:b w:val="0"/>
          <w:spacing w:val="10"/>
          <w:sz w:val="22"/>
          <w:szCs w:val="22"/>
        </w:rPr>
        <w:t xml:space="preserve"> fue de 29.</w:t>
      </w:r>
      <w:r w:rsidR="001F0ED8">
        <w:rPr>
          <w:b w:val="0"/>
          <w:spacing w:val="10"/>
          <w:sz w:val="22"/>
          <w:szCs w:val="22"/>
        </w:rPr>
        <w:t>2</w:t>
      </w:r>
      <w:r w:rsidR="001F0ED8" w:rsidRPr="00D25D34">
        <w:rPr>
          <w:b w:val="0"/>
          <w:spacing w:val="10"/>
          <w:sz w:val="22"/>
          <w:szCs w:val="22"/>
        </w:rPr>
        <w:t xml:space="preserve"> </w:t>
      </w:r>
      <w:r w:rsidR="007E39EE" w:rsidRPr="00D25D34">
        <w:rPr>
          <w:b w:val="0"/>
          <w:spacing w:val="10"/>
          <w:sz w:val="22"/>
          <w:szCs w:val="22"/>
        </w:rPr>
        <w:t>millones, 1.</w:t>
      </w:r>
      <w:r w:rsidR="001F0ED8">
        <w:rPr>
          <w:b w:val="0"/>
          <w:spacing w:val="10"/>
          <w:sz w:val="22"/>
          <w:szCs w:val="22"/>
        </w:rPr>
        <w:t>6</w:t>
      </w:r>
      <w:r w:rsidR="001F0ED8" w:rsidRPr="00D25D34">
        <w:rPr>
          <w:b w:val="0"/>
          <w:spacing w:val="10"/>
          <w:sz w:val="22"/>
          <w:szCs w:val="22"/>
        </w:rPr>
        <w:t xml:space="preserve"> </w:t>
      </w:r>
      <w:r w:rsidR="007E39EE" w:rsidRPr="00D25D34">
        <w:rPr>
          <w:b w:val="0"/>
          <w:spacing w:val="10"/>
          <w:sz w:val="22"/>
          <w:szCs w:val="22"/>
        </w:rPr>
        <w:t xml:space="preserve">millones menos </w:t>
      </w:r>
      <w:r w:rsidR="00F64ADC" w:rsidRPr="00D25D34">
        <w:rPr>
          <w:b w:val="0"/>
          <w:spacing w:val="10"/>
          <w:sz w:val="22"/>
          <w:szCs w:val="22"/>
        </w:rPr>
        <w:t xml:space="preserve">comparada </w:t>
      </w:r>
      <w:r w:rsidR="007E39EE" w:rsidRPr="00D25D34">
        <w:rPr>
          <w:b w:val="0"/>
          <w:spacing w:val="10"/>
          <w:sz w:val="22"/>
          <w:szCs w:val="22"/>
        </w:rPr>
        <w:t xml:space="preserve">con igual trimestre de </w:t>
      </w:r>
      <w:r w:rsidR="00177B20" w:rsidRPr="00D25D34">
        <w:rPr>
          <w:b w:val="0"/>
          <w:spacing w:val="10"/>
          <w:sz w:val="22"/>
          <w:szCs w:val="22"/>
        </w:rPr>
        <w:t>2020</w:t>
      </w:r>
      <w:r w:rsidR="007E39EE" w:rsidRPr="00D25D34">
        <w:rPr>
          <w:b w:val="0"/>
          <w:spacing w:val="10"/>
          <w:sz w:val="22"/>
          <w:szCs w:val="22"/>
        </w:rPr>
        <w:t>.</w:t>
      </w:r>
    </w:p>
    <w:p w14:paraId="7E373876" w14:textId="77777777" w:rsidR="007E39EE" w:rsidRPr="00D25D34" w:rsidRDefault="007E39EE" w:rsidP="009749DA">
      <w:pPr>
        <w:pStyle w:val="Subttulo"/>
        <w:ind w:left="-567" w:right="-516"/>
        <w:jc w:val="both"/>
        <w:rPr>
          <w:b w:val="0"/>
          <w:spacing w:val="10"/>
          <w:sz w:val="22"/>
          <w:szCs w:val="22"/>
        </w:rPr>
      </w:pPr>
    </w:p>
    <w:p w14:paraId="4CAA7250" w14:textId="388A1B92" w:rsidR="00061089" w:rsidRPr="00D25D34" w:rsidRDefault="00534882" w:rsidP="007E39EE">
      <w:pPr>
        <w:spacing w:after="0" w:line="240" w:lineRule="auto"/>
        <w:ind w:left="-567" w:right="-518"/>
        <w:jc w:val="both"/>
        <w:rPr>
          <w:rFonts w:ascii="Arial" w:eastAsia="Times New Roman" w:hAnsi="Arial" w:cs="Arial"/>
          <w:bCs/>
          <w:spacing w:val="10"/>
          <w:lang w:val="es-ES_tradnl" w:eastAsia="es-ES"/>
        </w:rPr>
      </w:pPr>
      <w:r w:rsidRPr="00D25D34">
        <w:rPr>
          <w:rFonts w:ascii="Arial" w:eastAsia="Times New Roman" w:hAnsi="Arial" w:cs="Arial"/>
          <w:bCs/>
          <w:spacing w:val="10"/>
          <w:lang w:val="es-ES_tradnl" w:eastAsia="es-ES"/>
        </w:rPr>
        <w:t>La</w:t>
      </w:r>
      <w:r w:rsidR="00317ED8" w:rsidRPr="00D25D34">
        <w:rPr>
          <w:rFonts w:ascii="Arial" w:eastAsia="Times New Roman" w:hAnsi="Arial" w:cs="Arial"/>
          <w:bCs/>
          <w:spacing w:val="10"/>
          <w:lang w:val="es-ES_tradnl" w:eastAsia="es-ES"/>
        </w:rPr>
        <w:t xml:space="preserve"> tasa de informalidad en las localidades rurales </w:t>
      </w:r>
      <w:r w:rsidR="007E39EE" w:rsidRPr="00D25D34">
        <w:rPr>
          <w:rFonts w:ascii="Arial" w:eastAsia="Times New Roman" w:hAnsi="Arial" w:cs="Arial"/>
          <w:bCs/>
          <w:spacing w:val="10"/>
          <w:lang w:val="es-ES_tradnl" w:eastAsia="es-ES"/>
        </w:rPr>
        <w:t xml:space="preserve">fue de </w:t>
      </w:r>
      <w:r w:rsidR="00CB5709">
        <w:rPr>
          <w:rFonts w:ascii="Arial" w:eastAsia="Times New Roman" w:hAnsi="Arial" w:cs="Arial"/>
          <w:bCs/>
          <w:spacing w:val="10"/>
          <w:lang w:val="es-ES_tradnl" w:eastAsia="es-ES"/>
        </w:rPr>
        <w:t>77.</w:t>
      </w:r>
      <w:r w:rsidR="00787536">
        <w:rPr>
          <w:rFonts w:ascii="Arial" w:eastAsia="Times New Roman" w:hAnsi="Arial" w:cs="Arial"/>
          <w:bCs/>
          <w:spacing w:val="10"/>
          <w:lang w:val="es-ES_tradnl" w:eastAsia="es-ES"/>
        </w:rPr>
        <w:t>3</w:t>
      </w:r>
      <w:r w:rsidR="007E39EE" w:rsidRPr="00D25D34">
        <w:rPr>
          <w:rFonts w:ascii="Arial" w:eastAsia="Times New Roman" w:hAnsi="Arial" w:cs="Arial"/>
          <w:bCs/>
          <w:spacing w:val="10"/>
          <w:lang w:val="es-ES_tradnl" w:eastAsia="es-ES"/>
        </w:rPr>
        <w:t xml:space="preserve">% en el </w:t>
      </w:r>
      <w:r w:rsidR="00177B20" w:rsidRPr="00D25D34">
        <w:rPr>
          <w:rFonts w:ascii="Arial" w:eastAsia="Times New Roman" w:hAnsi="Arial" w:cs="Arial"/>
          <w:bCs/>
          <w:spacing w:val="10"/>
          <w:lang w:val="es-ES_tradnl" w:eastAsia="es-ES"/>
        </w:rPr>
        <w:t>primer</w:t>
      </w:r>
      <w:r w:rsidR="007E39EE" w:rsidRPr="00D25D34">
        <w:rPr>
          <w:rFonts w:ascii="Arial" w:eastAsia="Times New Roman" w:hAnsi="Arial" w:cs="Arial"/>
          <w:bCs/>
          <w:spacing w:val="10"/>
          <w:lang w:val="es-ES_tradnl" w:eastAsia="es-ES"/>
        </w:rPr>
        <w:t xml:space="preserve"> trimestre de </w:t>
      </w:r>
      <w:r w:rsidR="00177B20" w:rsidRPr="00D25D34">
        <w:rPr>
          <w:rFonts w:ascii="Arial" w:eastAsia="Times New Roman" w:hAnsi="Arial" w:cs="Arial"/>
          <w:bCs/>
          <w:spacing w:val="10"/>
          <w:lang w:val="es-ES_tradnl" w:eastAsia="es-ES"/>
        </w:rPr>
        <w:t>2021</w:t>
      </w:r>
      <w:r w:rsidR="007E39EE" w:rsidRPr="00D25D34">
        <w:rPr>
          <w:rFonts w:ascii="Arial" w:eastAsia="Times New Roman" w:hAnsi="Arial" w:cs="Arial"/>
          <w:bCs/>
          <w:spacing w:val="10"/>
          <w:lang w:val="es-ES_tradnl" w:eastAsia="es-ES"/>
        </w:rPr>
        <w:t xml:space="preserve">, mientras que en las localidades más urbanizadas fue de </w:t>
      </w:r>
      <w:r w:rsidR="00161EEC">
        <w:rPr>
          <w:rFonts w:ascii="Arial" w:eastAsia="Times New Roman" w:hAnsi="Arial" w:cs="Arial"/>
          <w:bCs/>
          <w:spacing w:val="10"/>
          <w:lang w:val="es-ES_tradnl" w:eastAsia="es-ES"/>
        </w:rPr>
        <w:t>4</w:t>
      </w:r>
      <w:r w:rsidR="00787536">
        <w:rPr>
          <w:rFonts w:ascii="Arial" w:eastAsia="Times New Roman" w:hAnsi="Arial" w:cs="Arial"/>
          <w:bCs/>
          <w:spacing w:val="10"/>
          <w:lang w:val="es-ES_tradnl" w:eastAsia="es-ES"/>
        </w:rPr>
        <w:t>2.5</w:t>
      </w:r>
      <w:r w:rsidR="00654881" w:rsidRPr="00D25D34">
        <w:rPr>
          <w:rFonts w:ascii="Arial" w:eastAsia="Times New Roman" w:hAnsi="Arial" w:cs="Arial"/>
          <w:bCs/>
          <w:spacing w:val="10"/>
          <w:lang w:val="es-ES_tradnl" w:eastAsia="es-ES"/>
        </w:rPr>
        <w:t xml:space="preserve"> por ciento</w:t>
      </w:r>
      <w:r w:rsidR="00197104" w:rsidRPr="00D25D34">
        <w:rPr>
          <w:rFonts w:ascii="Arial" w:eastAsia="Times New Roman" w:hAnsi="Arial" w:cs="Arial"/>
          <w:bCs/>
          <w:spacing w:val="10"/>
          <w:lang w:val="es-ES_tradnl" w:eastAsia="es-ES"/>
        </w:rPr>
        <w:t>.</w:t>
      </w:r>
    </w:p>
    <w:p w14:paraId="0F4CA335" w14:textId="77777777" w:rsidR="00D25D34" w:rsidRPr="00D25D34" w:rsidRDefault="00D25D34" w:rsidP="007E39EE">
      <w:pPr>
        <w:spacing w:after="0" w:line="240" w:lineRule="auto"/>
        <w:ind w:left="-567" w:right="-518"/>
        <w:jc w:val="both"/>
        <w:rPr>
          <w:rFonts w:ascii="Arial" w:eastAsia="Times New Roman" w:hAnsi="Arial" w:cs="Arial"/>
          <w:bCs/>
          <w:spacing w:val="10"/>
          <w:lang w:val="es-ES_tradnl" w:eastAsia="es-ES"/>
        </w:rPr>
      </w:pPr>
    </w:p>
    <w:p w14:paraId="31312868" w14:textId="6DD079C9" w:rsidR="00534882" w:rsidRPr="00D25D34" w:rsidRDefault="007E39EE" w:rsidP="007E39EE">
      <w:pPr>
        <w:spacing w:after="0" w:line="240" w:lineRule="auto"/>
        <w:ind w:left="-567" w:right="-518"/>
        <w:jc w:val="both"/>
        <w:rPr>
          <w:rFonts w:ascii="Arial" w:eastAsia="Times New Roman" w:hAnsi="Arial" w:cs="Arial"/>
          <w:bCs/>
          <w:spacing w:val="10"/>
          <w:lang w:val="es-ES_tradnl" w:eastAsia="es-ES"/>
        </w:rPr>
      </w:pPr>
      <w:r w:rsidRPr="00D25D34">
        <w:rPr>
          <w:rFonts w:ascii="Arial" w:eastAsia="Times New Roman" w:hAnsi="Arial" w:cs="Arial"/>
          <w:bCs/>
          <w:spacing w:val="10"/>
          <w:lang w:val="es-ES_tradnl" w:eastAsia="es-ES"/>
        </w:rPr>
        <w:t xml:space="preserve">Por entidad federativa, Oaxaca con </w:t>
      </w:r>
      <w:r w:rsidR="00721945">
        <w:rPr>
          <w:rFonts w:ascii="Arial" w:eastAsia="Times New Roman" w:hAnsi="Arial" w:cs="Arial"/>
          <w:bCs/>
          <w:spacing w:val="10"/>
          <w:lang w:val="es-ES_tradnl" w:eastAsia="es-ES"/>
        </w:rPr>
        <w:t>79.7</w:t>
      </w:r>
      <w:r w:rsidRPr="00D25D34">
        <w:rPr>
          <w:rFonts w:ascii="Arial" w:eastAsia="Times New Roman" w:hAnsi="Arial" w:cs="Arial"/>
          <w:bCs/>
          <w:spacing w:val="10"/>
          <w:lang w:val="es-ES_tradnl" w:eastAsia="es-ES"/>
        </w:rPr>
        <w:t xml:space="preserve">%, Guerrero con </w:t>
      </w:r>
      <w:r w:rsidR="00721945">
        <w:rPr>
          <w:rFonts w:ascii="Arial" w:eastAsia="Times New Roman" w:hAnsi="Arial" w:cs="Arial"/>
          <w:bCs/>
          <w:spacing w:val="10"/>
          <w:lang w:val="es-ES_tradnl" w:eastAsia="es-ES"/>
        </w:rPr>
        <w:t>76.1</w:t>
      </w:r>
      <w:r w:rsidRPr="00D25D34">
        <w:rPr>
          <w:rFonts w:ascii="Arial" w:eastAsia="Times New Roman" w:hAnsi="Arial" w:cs="Arial"/>
          <w:bCs/>
          <w:spacing w:val="10"/>
          <w:lang w:val="es-ES_tradnl" w:eastAsia="es-ES"/>
        </w:rPr>
        <w:t xml:space="preserve">% y Chiapas con </w:t>
      </w:r>
      <w:r w:rsidR="00721945">
        <w:rPr>
          <w:rFonts w:ascii="Arial" w:eastAsia="Times New Roman" w:hAnsi="Arial" w:cs="Arial"/>
          <w:bCs/>
          <w:spacing w:val="10"/>
          <w:lang w:val="es-ES_tradnl" w:eastAsia="es-ES"/>
        </w:rPr>
        <w:t>74.2</w:t>
      </w:r>
      <w:r w:rsidRPr="00D25D34">
        <w:rPr>
          <w:rFonts w:ascii="Arial" w:eastAsia="Times New Roman" w:hAnsi="Arial" w:cs="Arial"/>
          <w:bCs/>
          <w:spacing w:val="10"/>
          <w:lang w:val="es-ES_tradnl" w:eastAsia="es-ES"/>
        </w:rPr>
        <w:t>% reportaron los porcentajes más altos</w:t>
      </w:r>
      <w:r w:rsidR="00490CC7">
        <w:rPr>
          <w:rFonts w:ascii="Arial" w:eastAsia="Times New Roman" w:hAnsi="Arial" w:cs="Arial"/>
          <w:bCs/>
          <w:spacing w:val="10"/>
          <w:lang w:val="es-ES_tradnl" w:eastAsia="es-ES"/>
        </w:rPr>
        <w:t xml:space="preserve"> de informalidad laboral</w:t>
      </w:r>
      <w:r w:rsidRPr="00D25D34">
        <w:rPr>
          <w:rFonts w:ascii="Arial" w:eastAsia="Times New Roman" w:hAnsi="Arial" w:cs="Arial"/>
          <w:bCs/>
          <w:spacing w:val="10"/>
          <w:lang w:val="es-ES_tradnl" w:eastAsia="es-ES"/>
        </w:rPr>
        <w:t xml:space="preserve">; en cambio, </w:t>
      </w:r>
      <w:r w:rsidR="00721945">
        <w:rPr>
          <w:rFonts w:ascii="Arial" w:eastAsia="Times New Roman" w:hAnsi="Arial" w:cs="Arial"/>
          <w:bCs/>
          <w:spacing w:val="10"/>
          <w:lang w:val="es-ES_tradnl" w:eastAsia="es-ES"/>
        </w:rPr>
        <w:t>Chihuahua</w:t>
      </w:r>
      <w:r w:rsidRPr="00D25D34">
        <w:rPr>
          <w:rFonts w:ascii="Arial" w:eastAsia="Times New Roman" w:hAnsi="Arial" w:cs="Arial"/>
          <w:bCs/>
          <w:spacing w:val="10"/>
          <w:lang w:val="es-ES_tradnl" w:eastAsia="es-ES"/>
        </w:rPr>
        <w:t xml:space="preserve"> con </w:t>
      </w:r>
      <w:r w:rsidR="00721945">
        <w:rPr>
          <w:rFonts w:ascii="Arial" w:eastAsia="Times New Roman" w:hAnsi="Arial" w:cs="Arial"/>
          <w:bCs/>
          <w:spacing w:val="10"/>
          <w:lang w:val="es-ES_tradnl" w:eastAsia="es-ES"/>
        </w:rPr>
        <w:t>34.3</w:t>
      </w:r>
      <w:r w:rsidRPr="00D25D34">
        <w:rPr>
          <w:rFonts w:ascii="Arial" w:eastAsia="Times New Roman" w:hAnsi="Arial" w:cs="Arial"/>
          <w:bCs/>
          <w:spacing w:val="10"/>
          <w:lang w:val="es-ES_tradnl" w:eastAsia="es-ES"/>
        </w:rPr>
        <w:t xml:space="preserve">%, </w:t>
      </w:r>
      <w:r w:rsidR="00721945">
        <w:rPr>
          <w:rFonts w:ascii="Arial" w:eastAsia="Times New Roman" w:hAnsi="Arial" w:cs="Arial"/>
          <w:bCs/>
          <w:spacing w:val="10"/>
          <w:lang w:val="es-ES_tradnl" w:eastAsia="es-ES"/>
        </w:rPr>
        <w:t>Nuevo León</w:t>
      </w:r>
      <w:r w:rsidRPr="00D25D34">
        <w:rPr>
          <w:rFonts w:ascii="Arial" w:eastAsia="Times New Roman" w:hAnsi="Arial" w:cs="Arial"/>
          <w:bCs/>
          <w:spacing w:val="10"/>
          <w:lang w:val="es-ES_tradnl" w:eastAsia="es-ES"/>
        </w:rPr>
        <w:t xml:space="preserve"> con </w:t>
      </w:r>
      <w:r w:rsidR="00721945">
        <w:rPr>
          <w:rFonts w:ascii="Arial" w:eastAsia="Times New Roman" w:hAnsi="Arial" w:cs="Arial"/>
          <w:bCs/>
          <w:spacing w:val="10"/>
          <w:lang w:val="es-ES_tradnl" w:eastAsia="es-ES"/>
        </w:rPr>
        <w:t>34.9</w:t>
      </w:r>
      <w:r w:rsidRPr="00D25D34">
        <w:rPr>
          <w:rFonts w:ascii="Arial" w:eastAsia="Times New Roman" w:hAnsi="Arial" w:cs="Arial"/>
          <w:bCs/>
          <w:spacing w:val="10"/>
          <w:lang w:val="es-ES_tradnl" w:eastAsia="es-ES"/>
        </w:rPr>
        <w:t xml:space="preserve">% y </w:t>
      </w:r>
      <w:r w:rsidR="00721945">
        <w:rPr>
          <w:rFonts w:ascii="Arial" w:eastAsia="Times New Roman" w:hAnsi="Arial" w:cs="Arial"/>
          <w:bCs/>
          <w:spacing w:val="10"/>
          <w:lang w:val="es-ES_tradnl" w:eastAsia="es-ES"/>
        </w:rPr>
        <w:t>Baja California</w:t>
      </w:r>
      <w:r w:rsidR="00721945" w:rsidRPr="00D25D34">
        <w:rPr>
          <w:rFonts w:ascii="Arial" w:eastAsia="Times New Roman" w:hAnsi="Arial" w:cs="Arial"/>
          <w:bCs/>
          <w:spacing w:val="10"/>
          <w:lang w:val="es-ES_tradnl" w:eastAsia="es-ES"/>
        </w:rPr>
        <w:t xml:space="preserve"> </w:t>
      </w:r>
      <w:r w:rsidRPr="00D25D34">
        <w:rPr>
          <w:rFonts w:ascii="Arial" w:eastAsia="Times New Roman" w:hAnsi="Arial" w:cs="Arial"/>
          <w:bCs/>
          <w:spacing w:val="10"/>
          <w:lang w:val="es-ES_tradnl" w:eastAsia="es-ES"/>
        </w:rPr>
        <w:t xml:space="preserve">con </w:t>
      </w:r>
      <w:r w:rsidR="00721945">
        <w:rPr>
          <w:rFonts w:ascii="Arial" w:eastAsia="Times New Roman" w:hAnsi="Arial" w:cs="Arial"/>
          <w:bCs/>
          <w:spacing w:val="10"/>
          <w:lang w:val="es-ES_tradnl" w:eastAsia="es-ES"/>
        </w:rPr>
        <w:t>35.8</w:t>
      </w:r>
      <w:r w:rsidRPr="00D25D34">
        <w:rPr>
          <w:rFonts w:ascii="Arial" w:eastAsia="Times New Roman" w:hAnsi="Arial" w:cs="Arial"/>
          <w:bCs/>
          <w:spacing w:val="10"/>
          <w:lang w:val="es-ES_tradnl" w:eastAsia="es-ES"/>
        </w:rPr>
        <w:t xml:space="preserve">% registraron los menores niveles durante el </w:t>
      </w:r>
      <w:r w:rsidR="00177B20" w:rsidRPr="00D25D34">
        <w:rPr>
          <w:rFonts w:ascii="Arial" w:eastAsia="Times New Roman" w:hAnsi="Arial" w:cs="Arial"/>
          <w:bCs/>
          <w:spacing w:val="10"/>
          <w:lang w:val="es-ES_tradnl" w:eastAsia="es-ES"/>
        </w:rPr>
        <w:t>primer</w:t>
      </w:r>
      <w:r w:rsidRPr="00D25D34">
        <w:rPr>
          <w:rFonts w:ascii="Arial" w:eastAsia="Times New Roman" w:hAnsi="Arial" w:cs="Arial"/>
          <w:bCs/>
          <w:spacing w:val="10"/>
          <w:lang w:val="es-ES_tradnl" w:eastAsia="es-ES"/>
        </w:rPr>
        <w:t xml:space="preserve"> trimestre </w:t>
      </w:r>
      <w:r w:rsidR="00E31DFB" w:rsidRPr="00D25D34">
        <w:rPr>
          <w:rFonts w:ascii="Arial" w:eastAsia="Times New Roman" w:hAnsi="Arial" w:cs="Arial"/>
          <w:bCs/>
          <w:spacing w:val="10"/>
          <w:lang w:val="es-ES_tradnl" w:eastAsia="es-ES"/>
        </w:rPr>
        <w:t>de 2021</w:t>
      </w:r>
      <w:r w:rsidR="00534882" w:rsidRPr="00D25D34">
        <w:rPr>
          <w:rFonts w:ascii="Arial" w:eastAsia="Times New Roman" w:hAnsi="Arial" w:cs="Arial"/>
          <w:bCs/>
          <w:spacing w:val="10"/>
          <w:lang w:val="es-ES_tradnl" w:eastAsia="es-ES"/>
        </w:rPr>
        <w:t>.</w:t>
      </w:r>
    </w:p>
    <w:p w14:paraId="45E7E8B6" w14:textId="77777777" w:rsidR="00654881" w:rsidRPr="00D25D34" w:rsidRDefault="00654881" w:rsidP="00534882">
      <w:pPr>
        <w:spacing w:after="0" w:line="240" w:lineRule="auto"/>
        <w:ind w:left="-567" w:right="-518"/>
        <w:jc w:val="both"/>
        <w:rPr>
          <w:rFonts w:ascii="Arial" w:eastAsia="Times New Roman" w:hAnsi="Arial" w:cs="Arial"/>
          <w:bCs/>
          <w:spacing w:val="10"/>
          <w:lang w:val="es-ES_tradnl" w:eastAsia="es-ES"/>
        </w:rPr>
      </w:pPr>
    </w:p>
    <w:p w14:paraId="6CD75A2B" w14:textId="1C8F4076" w:rsidR="00654881" w:rsidRPr="00D25D34" w:rsidRDefault="007E39EE" w:rsidP="00534882">
      <w:pPr>
        <w:spacing w:after="0" w:line="240" w:lineRule="auto"/>
        <w:ind w:left="-567" w:right="-518"/>
        <w:jc w:val="both"/>
        <w:rPr>
          <w:rFonts w:ascii="Arial" w:eastAsia="Times New Roman" w:hAnsi="Arial" w:cs="Arial"/>
          <w:bCs/>
          <w:spacing w:val="10"/>
          <w:lang w:val="es-ES_tradnl" w:eastAsia="es-ES"/>
        </w:rPr>
      </w:pPr>
      <w:r w:rsidRPr="00D25D34">
        <w:rPr>
          <w:rFonts w:ascii="Arial" w:eastAsia="Times New Roman" w:hAnsi="Arial" w:cs="Arial"/>
          <w:bCs/>
          <w:spacing w:val="10"/>
          <w:lang w:val="es-ES_tradnl" w:eastAsia="es-ES"/>
        </w:rPr>
        <w:t>En las tasas de condiciones críticas de ocupación</w:t>
      </w:r>
      <w:r w:rsidR="00227077" w:rsidRPr="00D25D34">
        <w:rPr>
          <w:rFonts w:ascii="Arial" w:eastAsia="Times New Roman" w:hAnsi="Arial" w:cs="Arial"/>
          <w:bCs/>
          <w:spacing w:val="10"/>
          <w:lang w:val="es-ES_tradnl" w:eastAsia="es-ES"/>
        </w:rPr>
        <w:t xml:space="preserve"> en materia de ingresos y horas trabajadas</w:t>
      </w:r>
      <w:r w:rsidRPr="00D25D34">
        <w:rPr>
          <w:rFonts w:ascii="Arial" w:eastAsia="Times New Roman" w:hAnsi="Arial" w:cs="Arial"/>
          <w:bCs/>
          <w:spacing w:val="10"/>
          <w:lang w:val="es-ES_tradnl" w:eastAsia="es-ES"/>
        </w:rPr>
        <w:t xml:space="preserve">, Chiapas con </w:t>
      </w:r>
      <w:r w:rsidR="0055498C">
        <w:rPr>
          <w:rFonts w:ascii="Arial" w:eastAsia="Times New Roman" w:hAnsi="Arial" w:cs="Arial"/>
          <w:bCs/>
          <w:spacing w:val="10"/>
          <w:lang w:val="es-ES_tradnl" w:eastAsia="es-ES"/>
        </w:rPr>
        <w:t>48.2</w:t>
      </w:r>
      <w:r w:rsidRPr="00D25D34">
        <w:rPr>
          <w:rFonts w:ascii="Arial" w:eastAsia="Times New Roman" w:hAnsi="Arial" w:cs="Arial"/>
          <w:bCs/>
          <w:spacing w:val="10"/>
          <w:lang w:val="es-ES_tradnl" w:eastAsia="es-ES"/>
        </w:rPr>
        <w:t>%</w:t>
      </w:r>
      <w:r w:rsidR="00787536">
        <w:rPr>
          <w:rFonts w:ascii="Arial" w:eastAsia="Times New Roman" w:hAnsi="Arial" w:cs="Arial"/>
          <w:bCs/>
          <w:spacing w:val="10"/>
          <w:lang w:val="es-ES_tradnl" w:eastAsia="es-ES"/>
        </w:rPr>
        <w:t xml:space="preserve"> y</w:t>
      </w:r>
      <w:r w:rsidRPr="00D25D34">
        <w:rPr>
          <w:rFonts w:ascii="Arial" w:eastAsia="Times New Roman" w:hAnsi="Arial" w:cs="Arial"/>
          <w:bCs/>
          <w:spacing w:val="10"/>
          <w:lang w:val="es-ES_tradnl" w:eastAsia="es-ES"/>
        </w:rPr>
        <w:t xml:space="preserve"> Tlaxcala con </w:t>
      </w:r>
      <w:r w:rsidR="0055498C">
        <w:rPr>
          <w:rFonts w:ascii="Arial" w:eastAsia="Times New Roman" w:hAnsi="Arial" w:cs="Arial"/>
          <w:bCs/>
          <w:spacing w:val="10"/>
          <w:lang w:val="es-ES_tradnl" w:eastAsia="es-ES"/>
        </w:rPr>
        <w:t>37.3</w:t>
      </w:r>
      <w:r w:rsidRPr="00D25D34">
        <w:rPr>
          <w:rFonts w:ascii="Arial" w:eastAsia="Times New Roman" w:hAnsi="Arial" w:cs="Arial"/>
          <w:bCs/>
          <w:spacing w:val="10"/>
          <w:lang w:val="es-ES_tradnl" w:eastAsia="es-ES"/>
        </w:rPr>
        <w:t xml:space="preserve">% reportaron los porcentajes más elevados; por su parte, Nuevo León con </w:t>
      </w:r>
      <w:r w:rsidR="0055498C">
        <w:rPr>
          <w:rFonts w:ascii="Arial" w:eastAsia="Times New Roman" w:hAnsi="Arial" w:cs="Arial"/>
          <w:bCs/>
          <w:spacing w:val="10"/>
          <w:lang w:val="es-ES_tradnl" w:eastAsia="es-ES"/>
        </w:rPr>
        <w:t>13.4</w:t>
      </w:r>
      <w:r w:rsidRPr="00D25D34">
        <w:rPr>
          <w:rFonts w:ascii="Arial" w:eastAsia="Times New Roman" w:hAnsi="Arial" w:cs="Arial"/>
          <w:bCs/>
          <w:spacing w:val="10"/>
          <w:lang w:val="es-ES_tradnl" w:eastAsia="es-ES"/>
        </w:rPr>
        <w:t xml:space="preserve">%, Sinaloa con </w:t>
      </w:r>
      <w:r w:rsidR="0055498C" w:rsidRPr="00D25D34">
        <w:rPr>
          <w:rFonts w:ascii="Arial" w:eastAsia="Times New Roman" w:hAnsi="Arial" w:cs="Arial"/>
          <w:bCs/>
          <w:spacing w:val="10"/>
          <w:lang w:val="es-ES_tradnl" w:eastAsia="es-ES"/>
        </w:rPr>
        <w:t>1</w:t>
      </w:r>
      <w:r w:rsidR="0055498C">
        <w:rPr>
          <w:rFonts w:ascii="Arial" w:eastAsia="Times New Roman" w:hAnsi="Arial" w:cs="Arial"/>
          <w:bCs/>
          <w:spacing w:val="10"/>
          <w:lang w:val="es-ES_tradnl" w:eastAsia="es-ES"/>
        </w:rPr>
        <w:t>3</w:t>
      </w:r>
      <w:r w:rsidRPr="00D25D34">
        <w:rPr>
          <w:rFonts w:ascii="Arial" w:eastAsia="Times New Roman" w:hAnsi="Arial" w:cs="Arial"/>
          <w:bCs/>
          <w:spacing w:val="10"/>
          <w:lang w:val="es-ES_tradnl" w:eastAsia="es-ES"/>
        </w:rPr>
        <w:t xml:space="preserve">.8% y </w:t>
      </w:r>
      <w:r w:rsidR="0055498C">
        <w:rPr>
          <w:rFonts w:ascii="Arial" w:eastAsia="Times New Roman" w:hAnsi="Arial" w:cs="Arial"/>
          <w:bCs/>
          <w:spacing w:val="10"/>
          <w:lang w:val="es-ES_tradnl" w:eastAsia="es-ES"/>
        </w:rPr>
        <w:t>Baja California Sur</w:t>
      </w:r>
      <w:r w:rsidR="0055498C" w:rsidRPr="00D25D34">
        <w:rPr>
          <w:rFonts w:ascii="Arial" w:eastAsia="Times New Roman" w:hAnsi="Arial" w:cs="Arial"/>
          <w:bCs/>
          <w:spacing w:val="10"/>
          <w:lang w:val="es-ES_tradnl" w:eastAsia="es-ES"/>
        </w:rPr>
        <w:t xml:space="preserve"> </w:t>
      </w:r>
      <w:r w:rsidRPr="00D25D34">
        <w:rPr>
          <w:rFonts w:ascii="Arial" w:eastAsia="Times New Roman" w:hAnsi="Arial" w:cs="Arial"/>
          <w:bCs/>
          <w:spacing w:val="10"/>
          <w:lang w:val="es-ES_tradnl" w:eastAsia="es-ES"/>
        </w:rPr>
        <w:t xml:space="preserve">con </w:t>
      </w:r>
      <w:r w:rsidR="0055498C">
        <w:rPr>
          <w:rFonts w:ascii="Arial" w:eastAsia="Times New Roman" w:hAnsi="Arial" w:cs="Arial"/>
          <w:bCs/>
          <w:spacing w:val="10"/>
          <w:lang w:val="es-ES_tradnl" w:eastAsia="es-ES"/>
        </w:rPr>
        <w:t>14.6</w:t>
      </w:r>
      <w:r w:rsidRPr="00D25D34">
        <w:rPr>
          <w:rFonts w:ascii="Arial" w:eastAsia="Times New Roman" w:hAnsi="Arial" w:cs="Arial"/>
          <w:bCs/>
          <w:spacing w:val="10"/>
          <w:lang w:val="es-ES_tradnl" w:eastAsia="es-ES"/>
        </w:rPr>
        <w:t xml:space="preserve">%, </w:t>
      </w:r>
      <w:r w:rsidR="00227077" w:rsidRPr="00D25D34">
        <w:rPr>
          <w:rFonts w:ascii="Arial" w:eastAsia="Times New Roman" w:hAnsi="Arial" w:cs="Arial"/>
          <w:bCs/>
          <w:spacing w:val="10"/>
          <w:lang w:val="es-ES_tradnl" w:eastAsia="es-ES"/>
        </w:rPr>
        <w:t xml:space="preserve">presentan </w:t>
      </w:r>
      <w:r w:rsidRPr="00D25D34">
        <w:rPr>
          <w:rFonts w:ascii="Arial" w:eastAsia="Times New Roman" w:hAnsi="Arial" w:cs="Arial"/>
          <w:bCs/>
          <w:spacing w:val="10"/>
          <w:lang w:val="es-ES_tradnl" w:eastAsia="es-ES"/>
        </w:rPr>
        <w:t>niveles inferiores de ocupación en situación crítica</w:t>
      </w:r>
      <w:r w:rsidR="00654881" w:rsidRPr="00D25D34">
        <w:rPr>
          <w:rFonts w:ascii="Arial" w:eastAsia="Times New Roman" w:hAnsi="Arial" w:cs="Arial"/>
          <w:bCs/>
          <w:spacing w:val="10"/>
          <w:lang w:val="es-ES_tradnl" w:eastAsia="es-ES"/>
        </w:rPr>
        <w:t>.</w:t>
      </w:r>
    </w:p>
    <w:p w14:paraId="1CAB0B79" w14:textId="77777777" w:rsidR="00654881" w:rsidRPr="00D25D34" w:rsidRDefault="00654881" w:rsidP="00534882">
      <w:pPr>
        <w:spacing w:after="0" w:line="240" w:lineRule="auto"/>
        <w:ind w:left="-567" w:right="-518"/>
        <w:jc w:val="both"/>
        <w:rPr>
          <w:rFonts w:ascii="Arial" w:eastAsia="Times New Roman" w:hAnsi="Arial" w:cs="Arial"/>
          <w:bCs/>
          <w:spacing w:val="10"/>
          <w:lang w:val="es-ES_tradnl" w:eastAsia="es-ES"/>
        </w:rPr>
      </w:pPr>
    </w:p>
    <w:p w14:paraId="6A36D4FF" w14:textId="76E7E86A" w:rsidR="00227077" w:rsidRPr="00D25D34" w:rsidRDefault="00227077" w:rsidP="00227077">
      <w:pPr>
        <w:spacing w:after="0" w:line="240" w:lineRule="auto"/>
        <w:ind w:left="-567" w:right="-518"/>
        <w:jc w:val="both"/>
        <w:rPr>
          <w:rFonts w:ascii="Arial" w:eastAsia="Times New Roman" w:hAnsi="Arial" w:cs="Arial"/>
          <w:bCs/>
          <w:spacing w:val="10"/>
          <w:lang w:val="es-ES_tradnl" w:eastAsia="es-ES"/>
        </w:rPr>
      </w:pPr>
      <w:r w:rsidRPr="00D25D34">
        <w:rPr>
          <w:rFonts w:ascii="Arial" w:eastAsia="Times New Roman" w:hAnsi="Arial" w:cs="Arial"/>
          <w:bCs/>
          <w:spacing w:val="10"/>
          <w:lang w:val="es-ES_tradnl" w:eastAsia="es-ES"/>
        </w:rPr>
        <w:t>La población que se encuentra sin trabajar, que estaba disponible y estuvo buscando trabajo en el último mes (personas en desocupación abierta), fue de 4.</w:t>
      </w:r>
      <w:r w:rsidR="00CF41CD">
        <w:rPr>
          <w:rFonts w:ascii="Arial" w:eastAsia="Times New Roman" w:hAnsi="Arial" w:cs="Arial"/>
          <w:bCs/>
          <w:spacing w:val="10"/>
          <w:lang w:val="es-ES_tradnl" w:eastAsia="es-ES"/>
        </w:rPr>
        <w:t>4</w:t>
      </w:r>
      <w:r w:rsidRPr="00D25D34">
        <w:rPr>
          <w:rFonts w:ascii="Arial" w:eastAsia="Times New Roman" w:hAnsi="Arial" w:cs="Arial"/>
          <w:bCs/>
          <w:spacing w:val="10"/>
          <w:lang w:val="es-ES_tradnl" w:eastAsia="es-ES"/>
        </w:rPr>
        <w:t xml:space="preserve">% de la PEA en el </w:t>
      </w:r>
      <w:r w:rsidR="00177B20" w:rsidRPr="00D25D34">
        <w:rPr>
          <w:rFonts w:ascii="Arial" w:eastAsia="Times New Roman" w:hAnsi="Arial" w:cs="Arial"/>
          <w:bCs/>
          <w:spacing w:val="10"/>
          <w:lang w:val="es-ES_tradnl" w:eastAsia="es-ES"/>
        </w:rPr>
        <w:t>primer</w:t>
      </w:r>
      <w:r w:rsidRPr="00D25D34">
        <w:rPr>
          <w:rFonts w:ascii="Arial" w:eastAsia="Times New Roman" w:hAnsi="Arial" w:cs="Arial"/>
          <w:bCs/>
          <w:spacing w:val="10"/>
          <w:lang w:val="es-ES_tradnl" w:eastAsia="es-ES"/>
        </w:rPr>
        <w:t xml:space="preserve"> trimestre de </w:t>
      </w:r>
      <w:r w:rsidR="00177B20" w:rsidRPr="00D25D34">
        <w:rPr>
          <w:rFonts w:ascii="Arial" w:eastAsia="Times New Roman" w:hAnsi="Arial" w:cs="Arial"/>
          <w:bCs/>
          <w:spacing w:val="10"/>
          <w:lang w:val="es-ES_tradnl" w:eastAsia="es-ES"/>
        </w:rPr>
        <w:t>2021</w:t>
      </w:r>
      <w:r w:rsidRPr="00D25D34">
        <w:rPr>
          <w:rFonts w:ascii="Arial" w:eastAsia="Times New Roman" w:hAnsi="Arial" w:cs="Arial"/>
          <w:bCs/>
          <w:spacing w:val="10"/>
          <w:lang w:val="es-ES_tradnl" w:eastAsia="es-ES"/>
        </w:rPr>
        <w:t xml:space="preserve">, porcentaje que en igual periodo de </w:t>
      </w:r>
      <w:r w:rsidR="00177B20" w:rsidRPr="00D25D34">
        <w:rPr>
          <w:rFonts w:ascii="Arial" w:eastAsia="Times New Roman" w:hAnsi="Arial" w:cs="Arial"/>
          <w:bCs/>
          <w:spacing w:val="10"/>
          <w:lang w:val="es-ES_tradnl" w:eastAsia="es-ES"/>
        </w:rPr>
        <w:t>2020</w:t>
      </w:r>
      <w:r w:rsidRPr="00D25D34">
        <w:rPr>
          <w:rFonts w:ascii="Arial" w:eastAsia="Times New Roman" w:hAnsi="Arial" w:cs="Arial"/>
          <w:bCs/>
          <w:spacing w:val="10"/>
          <w:lang w:val="es-ES_tradnl" w:eastAsia="es-ES"/>
        </w:rPr>
        <w:t xml:space="preserve"> fue de 3.4 por ciento. En términos absolutos, la población desocupada fue de 2.</w:t>
      </w:r>
      <w:r w:rsidR="00CF41CD">
        <w:rPr>
          <w:rFonts w:ascii="Arial" w:eastAsia="Times New Roman" w:hAnsi="Arial" w:cs="Arial"/>
          <w:bCs/>
          <w:spacing w:val="10"/>
          <w:lang w:val="es-ES_tradnl" w:eastAsia="es-ES"/>
        </w:rPr>
        <w:t>4</w:t>
      </w:r>
      <w:r w:rsidR="00CF41CD" w:rsidRPr="00D25D34">
        <w:rPr>
          <w:rFonts w:ascii="Arial" w:eastAsia="Times New Roman" w:hAnsi="Arial" w:cs="Arial"/>
          <w:bCs/>
          <w:spacing w:val="10"/>
          <w:lang w:val="es-ES_tradnl" w:eastAsia="es-ES"/>
        </w:rPr>
        <w:t xml:space="preserve"> </w:t>
      </w:r>
      <w:r w:rsidRPr="00D25D34">
        <w:rPr>
          <w:rFonts w:ascii="Arial" w:eastAsia="Times New Roman" w:hAnsi="Arial" w:cs="Arial"/>
          <w:bCs/>
          <w:spacing w:val="10"/>
          <w:lang w:val="es-ES_tradnl" w:eastAsia="es-ES"/>
        </w:rPr>
        <w:t xml:space="preserve">millones de personas, monto superior en </w:t>
      </w:r>
      <w:r w:rsidR="00CF41CD">
        <w:rPr>
          <w:rFonts w:ascii="Arial" w:eastAsia="Times New Roman" w:hAnsi="Arial" w:cs="Arial"/>
          <w:bCs/>
          <w:spacing w:val="10"/>
          <w:lang w:val="es-ES_tradnl" w:eastAsia="es-ES"/>
        </w:rPr>
        <w:t>455</w:t>
      </w:r>
      <w:r w:rsidR="00CF41CD" w:rsidRPr="00D25D34">
        <w:rPr>
          <w:rFonts w:ascii="Arial" w:eastAsia="Times New Roman" w:hAnsi="Arial" w:cs="Arial"/>
          <w:bCs/>
          <w:spacing w:val="10"/>
          <w:lang w:val="es-ES_tradnl" w:eastAsia="es-ES"/>
        </w:rPr>
        <w:t xml:space="preserve"> </w:t>
      </w:r>
      <w:r w:rsidRPr="00D25D34">
        <w:rPr>
          <w:rFonts w:ascii="Arial" w:eastAsia="Times New Roman" w:hAnsi="Arial" w:cs="Arial"/>
          <w:bCs/>
          <w:spacing w:val="10"/>
          <w:lang w:val="es-ES_tradnl" w:eastAsia="es-ES"/>
        </w:rPr>
        <w:t xml:space="preserve">mil personas comparado con el </w:t>
      </w:r>
      <w:r w:rsidR="006742B0">
        <w:rPr>
          <w:rFonts w:ascii="Arial" w:eastAsia="Times New Roman" w:hAnsi="Arial" w:cs="Arial"/>
          <w:bCs/>
          <w:spacing w:val="10"/>
          <w:lang w:val="es-ES_tradnl" w:eastAsia="es-ES"/>
        </w:rPr>
        <w:t xml:space="preserve">del </w:t>
      </w:r>
      <w:r w:rsidR="00177B20" w:rsidRPr="00D25D34">
        <w:rPr>
          <w:rFonts w:ascii="Arial" w:eastAsia="Times New Roman" w:hAnsi="Arial" w:cs="Arial"/>
          <w:bCs/>
          <w:spacing w:val="10"/>
          <w:lang w:val="es-ES_tradnl" w:eastAsia="es-ES"/>
        </w:rPr>
        <w:t>primer</w:t>
      </w:r>
      <w:r w:rsidRPr="00D25D34">
        <w:rPr>
          <w:rFonts w:ascii="Arial" w:eastAsia="Times New Roman" w:hAnsi="Arial" w:cs="Arial"/>
          <w:bCs/>
          <w:spacing w:val="10"/>
          <w:lang w:val="es-ES_tradnl" w:eastAsia="es-ES"/>
        </w:rPr>
        <w:t xml:space="preserve"> trimestre de </w:t>
      </w:r>
      <w:r w:rsidR="00177B20" w:rsidRPr="00D25D34">
        <w:rPr>
          <w:rFonts w:ascii="Arial" w:eastAsia="Times New Roman" w:hAnsi="Arial" w:cs="Arial"/>
          <w:bCs/>
          <w:spacing w:val="10"/>
          <w:lang w:val="es-ES_tradnl" w:eastAsia="es-ES"/>
        </w:rPr>
        <w:t>2020</w:t>
      </w:r>
      <w:r w:rsidRPr="00D25D34">
        <w:rPr>
          <w:rFonts w:ascii="Arial" w:eastAsia="Times New Roman" w:hAnsi="Arial" w:cs="Arial"/>
          <w:bCs/>
          <w:spacing w:val="10"/>
          <w:lang w:val="es-ES_tradnl" w:eastAsia="es-ES"/>
        </w:rPr>
        <w:t>.</w:t>
      </w:r>
    </w:p>
    <w:p w14:paraId="10A377C7" w14:textId="77777777" w:rsidR="00227077" w:rsidRPr="00D25D34" w:rsidRDefault="00227077" w:rsidP="00534882">
      <w:pPr>
        <w:spacing w:after="0" w:line="240" w:lineRule="auto"/>
        <w:ind w:left="-567" w:right="-518"/>
        <w:jc w:val="both"/>
        <w:rPr>
          <w:rFonts w:ascii="Arial" w:eastAsia="Times New Roman" w:hAnsi="Arial" w:cs="Arial"/>
          <w:bCs/>
          <w:spacing w:val="10"/>
          <w:lang w:val="es-ES_tradnl" w:eastAsia="es-ES"/>
        </w:rPr>
      </w:pPr>
    </w:p>
    <w:p w14:paraId="68E3F181" w14:textId="61540AD2" w:rsidR="00D7488B" w:rsidRPr="00D25D34" w:rsidRDefault="00654881" w:rsidP="00D7488B">
      <w:pPr>
        <w:spacing w:after="0" w:line="240" w:lineRule="auto"/>
        <w:ind w:left="-567" w:right="-518"/>
        <w:jc w:val="both"/>
        <w:rPr>
          <w:rFonts w:ascii="Arial" w:eastAsia="Times New Roman" w:hAnsi="Arial" w:cs="Arial"/>
          <w:bCs/>
          <w:spacing w:val="10"/>
          <w:lang w:val="es-ES_tradnl" w:eastAsia="es-ES"/>
        </w:rPr>
      </w:pPr>
      <w:r w:rsidRPr="00D25D34">
        <w:rPr>
          <w:rFonts w:ascii="Arial" w:eastAsia="Times New Roman" w:hAnsi="Arial" w:cs="Arial"/>
          <w:bCs/>
          <w:spacing w:val="10"/>
          <w:lang w:val="es-ES_tradnl" w:eastAsia="es-ES"/>
        </w:rPr>
        <w:t>El total de las 39 ciudades para las cuales ofrece información la encuesta</w:t>
      </w:r>
      <w:r w:rsidR="00197104" w:rsidRPr="00D25D34">
        <w:rPr>
          <w:rFonts w:ascii="Arial" w:eastAsia="Times New Roman" w:hAnsi="Arial" w:cs="Arial"/>
          <w:bCs/>
          <w:spacing w:val="10"/>
          <w:lang w:val="es-ES_tradnl" w:eastAsia="es-ES"/>
        </w:rPr>
        <w:t xml:space="preserve"> </w:t>
      </w:r>
      <w:r w:rsidRPr="00D25D34">
        <w:rPr>
          <w:rFonts w:ascii="Arial" w:eastAsia="Times New Roman" w:hAnsi="Arial" w:cs="Arial"/>
          <w:bCs/>
          <w:spacing w:val="10"/>
          <w:lang w:val="es-ES_tradnl" w:eastAsia="es-ES"/>
        </w:rPr>
        <w:t xml:space="preserve">reportaron una tasa de desocupación de </w:t>
      </w:r>
      <w:r w:rsidR="007E39EE" w:rsidRPr="00D25D34">
        <w:rPr>
          <w:rFonts w:ascii="Arial" w:eastAsia="Times New Roman" w:hAnsi="Arial" w:cs="Arial"/>
          <w:bCs/>
          <w:spacing w:val="10"/>
          <w:lang w:val="es-ES_tradnl" w:eastAsia="es-ES"/>
        </w:rPr>
        <w:t>5.</w:t>
      </w:r>
      <w:r w:rsidR="0023498E">
        <w:rPr>
          <w:rFonts w:ascii="Arial" w:eastAsia="Times New Roman" w:hAnsi="Arial" w:cs="Arial"/>
          <w:bCs/>
          <w:spacing w:val="10"/>
          <w:lang w:val="es-ES_tradnl" w:eastAsia="es-ES"/>
        </w:rPr>
        <w:t>5</w:t>
      </w:r>
      <w:r w:rsidRPr="00D25D34">
        <w:rPr>
          <w:rFonts w:ascii="Arial" w:eastAsia="Times New Roman" w:hAnsi="Arial" w:cs="Arial"/>
          <w:bCs/>
          <w:spacing w:val="10"/>
          <w:lang w:val="es-ES_tradnl" w:eastAsia="es-ES"/>
        </w:rPr>
        <w:t xml:space="preserve">%, una tasa de subocupación de </w:t>
      </w:r>
      <w:r w:rsidR="0023498E">
        <w:rPr>
          <w:rFonts w:ascii="Arial" w:eastAsia="Times New Roman" w:hAnsi="Arial" w:cs="Arial"/>
          <w:bCs/>
          <w:spacing w:val="10"/>
          <w:lang w:val="es-ES_tradnl" w:eastAsia="es-ES"/>
        </w:rPr>
        <w:t>15.9</w:t>
      </w:r>
      <w:r w:rsidRPr="00D25D34">
        <w:rPr>
          <w:rFonts w:ascii="Arial" w:eastAsia="Times New Roman" w:hAnsi="Arial" w:cs="Arial"/>
          <w:bCs/>
          <w:spacing w:val="10"/>
          <w:lang w:val="es-ES_tradnl" w:eastAsia="es-ES"/>
        </w:rPr>
        <w:t xml:space="preserve">%, una tasa de condiciones críticas de ocupación de </w:t>
      </w:r>
      <w:r w:rsidR="0023498E">
        <w:rPr>
          <w:rFonts w:ascii="Arial" w:eastAsia="Times New Roman" w:hAnsi="Arial" w:cs="Arial"/>
          <w:bCs/>
          <w:spacing w:val="10"/>
          <w:lang w:val="es-ES_tradnl" w:eastAsia="es-ES"/>
        </w:rPr>
        <w:t>23.3</w:t>
      </w:r>
      <w:r w:rsidRPr="00D25D34">
        <w:rPr>
          <w:rFonts w:ascii="Arial" w:eastAsia="Times New Roman" w:hAnsi="Arial" w:cs="Arial"/>
          <w:bCs/>
          <w:spacing w:val="10"/>
          <w:lang w:val="es-ES_tradnl" w:eastAsia="es-ES"/>
        </w:rPr>
        <w:t xml:space="preserve">% y una tasa de informalidad laboral de </w:t>
      </w:r>
      <w:r w:rsidR="0023498E">
        <w:rPr>
          <w:rFonts w:ascii="Arial" w:eastAsia="Times New Roman" w:hAnsi="Arial" w:cs="Arial"/>
          <w:bCs/>
          <w:spacing w:val="10"/>
          <w:lang w:val="es-ES_tradnl" w:eastAsia="es-ES"/>
        </w:rPr>
        <w:t>43.7</w:t>
      </w:r>
      <w:r w:rsidRPr="00D25D34">
        <w:rPr>
          <w:rFonts w:ascii="Arial" w:eastAsia="Times New Roman" w:hAnsi="Arial" w:cs="Arial"/>
          <w:bCs/>
          <w:spacing w:val="10"/>
          <w:lang w:val="es-ES_tradnl" w:eastAsia="es-ES"/>
        </w:rPr>
        <w:t xml:space="preserve"> por ciento. Cancún </w:t>
      </w:r>
      <w:r w:rsidR="009A727D" w:rsidRPr="00D25D34">
        <w:rPr>
          <w:rFonts w:ascii="Arial" w:eastAsia="Times New Roman" w:hAnsi="Arial" w:cs="Arial"/>
          <w:bCs/>
          <w:spacing w:val="10"/>
          <w:lang w:val="es-ES_tradnl" w:eastAsia="es-ES"/>
        </w:rPr>
        <w:t xml:space="preserve">con </w:t>
      </w:r>
      <w:r w:rsidR="0023498E">
        <w:rPr>
          <w:rFonts w:ascii="Arial" w:eastAsia="Times New Roman" w:hAnsi="Arial" w:cs="Arial"/>
          <w:bCs/>
          <w:spacing w:val="10"/>
          <w:lang w:val="es-ES_tradnl" w:eastAsia="es-ES"/>
        </w:rPr>
        <w:t>10</w:t>
      </w:r>
      <w:r w:rsidR="009A727D" w:rsidRPr="00D25D34">
        <w:rPr>
          <w:rFonts w:ascii="Arial" w:eastAsia="Times New Roman" w:hAnsi="Arial" w:cs="Arial"/>
          <w:bCs/>
          <w:spacing w:val="10"/>
          <w:lang w:val="es-ES_tradnl" w:eastAsia="es-ES"/>
        </w:rPr>
        <w:t xml:space="preserve">.9%, </w:t>
      </w:r>
      <w:r w:rsidR="0023498E">
        <w:rPr>
          <w:rFonts w:ascii="Arial" w:eastAsia="Times New Roman" w:hAnsi="Arial" w:cs="Arial"/>
          <w:bCs/>
          <w:spacing w:val="10"/>
          <w:lang w:val="es-ES_tradnl" w:eastAsia="es-ES"/>
        </w:rPr>
        <w:t>Ciudad de México</w:t>
      </w:r>
      <w:r w:rsidR="0023498E" w:rsidRPr="00D25D34">
        <w:rPr>
          <w:rFonts w:ascii="Arial" w:eastAsia="Times New Roman" w:hAnsi="Arial" w:cs="Arial"/>
          <w:bCs/>
          <w:spacing w:val="10"/>
          <w:lang w:val="es-ES_tradnl" w:eastAsia="es-ES"/>
        </w:rPr>
        <w:t xml:space="preserve"> </w:t>
      </w:r>
      <w:r w:rsidR="009A727D" w:rsidRPr="00D25D34">
        <w:rPr>
          <w:rFonts w:ascii="Arial" w:eastAsia="Times New Roman" w:hAnsi="Arial" w:cs="Arial"/>
          <w:bCs/>
          <w:spacing w:val="10"/>
          <w:lang w:val="es-ES_tradnl" w:eastAsia="es-ES"/>
        </w:rPr>
        <w:t>con 7.</w:t>
      </w:r>
      <w:r w:rsidR="0023498E">
        <w:rPr>
          <w:rFonts w:ascii="Arial" w:eastAsia="Times New Roman" w:hAnsi="Arial" w:cs="Arial"/>
          <w:bCs/>
          <w:spacing w:val="10"/>
          <w:lang w:val="es-ES_tradnl" w:eastAsia="es-ES"/>
        </w:rPr>
        <w:t>4</w:t>
      </w:r>
      <w:r w:rsidR="009A727D" w:rsidRPr="00D25D34">
        <w:rPr>
          <w:rFonts w:ascii="Arial" w:eastAsia="Times New Roman" w:hAnsi="Arial" w:cs="Arial"/>
          <w:bCs/>
          <w:spacing w:val="10"/>
          <w:lang w:val="es-ES_tradnl" w:eastAsia="es-ES"/>
        </w:rPr>
        <w:t>%</w:t>
      </w:r>
      <w:r w:rsidR="00787536">
        <w:rPr>
          <w:rFonts w:ascii="Arial" w:eastAsia="Times New Roman" w:hAnsi="Arial" w:cs="Arial"/>
          <w:bCs/>
          <w:spacing w:val="10"/>
          <w:lang w:val="es-ES_tradnl" w:eastAsia="es-ES"/>
        </w:rPr>
        <w:t xml:space="preserve"> y</w:t>
      </w:r>
      <w:r w:rsidR="009A727D" w:rsidRPr="00D25D34">
        <w:rPr>
          <w:rFonts w:ascii="Arial" w:eastAsia="Times New Roman" w:hAnsi="Arial" w:cs="Arial"/>
          <w:bCs/>
          <w:spacing w:val="10"/>
          <w:lang w:val="es-ES_tradnl" w:eastAsia="es-ES"/>
        </w:rPr>
        <w:t xml:space="preserve"> </w:t>
      </w:r>
      <w:r w:rsidR="0023498E">
        <w:rPr>
          <w:rFonts w:ascii="Arial" w:eastAsia="Times New Roman" w:hAnsi="Arial" w:cs="Arial"/>
          <w:bCs/>
          <w:spacing w:val="10"/>
          <w:lang w:val="es-ES_tradnl" w:eastAsia="es-ES"/>
        </w:rPr>
        <w:t>León</w:t>
      </w:r>
      <w:r w:rsidR="009A727D" w:rsidRPr="00D25D34">
        <w:rPr>
          <w:rFonts w:ascii="Arial" w:eastAsia="Times New Roman" w:hAnsi="Arial" w:cs="Arial"/>
          <w:bCs/>
          <w:spacing w:val="10"/>
          <w:lang w:val="es-ES_tradnl" w:eastAsia="es-ES"/>
        </w:rPr>
        <w:t xml:space="preserve"> con </w:t>
      </w:r>
      <w:r w:rsidR="0023498E">
        <w:rPr>
          <w:rFonts w:ascii="Arial" w:eastAsia="Times New Roman" w:hAnsi="Arial" w:cs="Arial"/>
          <w:bCs/>
          <w:spacing w:val="10"/>
          <w:lang w:val="es-ES_tradnl" w:eastAsia="es-ES"/>
        </w:rPr>
        <w:t>6.9</w:t>
      </w:r>
      <w:r w:rsidR="009A727D" w:rsidRPr="00D25D34">
        <w:rPr>
          <w:rFonts w:ascii="Arial" w:eastAsia="Times New Roman" w:hAnsi="Arial" w:cs="Arial"/>
          <w:bCs/>
          <w:spacing w:val="10"/>
          <w:lang w:val="es-ES_tradnl" w:eastAsia="es-ES"/>
        </w:rPr>
        <w:t xml:space="preserve">% fueron las </w:t>
      </w:r>
      <w:r w:rsidR="009D78FA">
        <w:rPr>
          <w:rFonts w:ascii="Arial" w:eastAsia="Times New Roman" w:hAnsi="Arial" w:cs="Arial"/>
          <w:bCs/>
          <w:spacing w:val="10"/>
          <w:lang w:val="es-ES_tradnl" w:eastAsia="es-ES"/>
        </w:rPr>
        <w:t xml:space="preserve">ciudades con </w:t>
      </w:r>
      <w:r w:rsidR="009A727D" w:rsidRPr="00D25D34">
        <w:rPr>
          <w:rFonts w:ascii="Arial" w:eastAsia="Times New Roman" w:hAnsi="Arial" w:cs="Arial"/>
          <w:bCs/>
          <w:spacing w:val="10"/>
          <w:lang w:val="es-ES_tradnl" w:eastAsia="es-ES"/>
        </w:rPr>
        <w:t>mayores tasas de desocupación</w:t>
      </w:r>
      <w:r w:rsidR="009D78FA">
        <w:rPr>
          <w:rFonts w:ascii="Arial" w:eastAsia="Times New Roman" w:hAnsi="Arial" w:cs="Arial"/>
          <w:bCs/>
          <w:spacing w:val="10"/>
          <w:lang w:val="es-ES_tradnl" w:eastAsia="es-ES"/>
        </w:rPr>
        <w:t>. Tij</w:t>
      </w:r>
      <w:r w:rsidR="0023498E">
        <w:rPr>
          <w:rFonts w:ascii="Arial" w:eastAsia="Times New Roman" w:hAnsi="Arial" w:cs="Arial"/>
          <w:bCs/>
          <w:spacing w:val="10"/>
          <w:lang w:val="es-ES_tradnl" w:eastAsia="es-ES"/>
        </w:rPr>
        <w:t>uana</w:t>
      </w:r>
      <w:r w:rsidR="0023498E" w:rsidRPr="00D25D34">
        <w:rPr>
          <w:rFonts w:ascii="Arial" w:eastAsia="Times New Roman" w:hAnsi="Arial" w:cs="Arial"/>
          <w:bCs/>
          <w:spacing w:val="10"/>
          <w:lang w:val="es-ES_tradnl" w:eastAsia="es-ES"/>
        </w:rPr>
        <w:t xml:space="preserve"> </w:t>
      </w:r>
      <w:r w:rsidR="009A727D" w:rsidRPr="00D25D34">
        <w:rPr>
          <w:rFonts w:ascii="Arial" w:eastAsia="Times New Roman" w:hAnsi="Arial" w:cs="Arial"/>
          <w:bCs/>
          <w:spacing w:val="10"/>
          <w:lang w:val="es-ES_tradnl" w:eastAsia="es-ES"/>
        </w:rPr>
        <w:t xml:space="preserve">con 2%, </w:t>
      </w:r>
      <w:r w:rsidR="0023498E">
        <w:rPr>
          <w:rFonts w:ascii="Arial" w:eastAsia="Times New Roman" w:hAnsi="Arial" w:cs="Arial"/>
          <w:bCs/>
          <w:spacing w:val="10"/>
          <w:lang w:val="es-ES_tradnl" w:eastAsia="es-ES"/>
        </w:rPr>
        <w:t>Cuernavaca</w:t>
      </w:r>
      <w:r w:rsidR="0023498E" w:rsidRPr="00D25D34">
        <w:rPr>
          <w:rFonts w:ascii="Arial" w:eastAsia="Times New Roman" w:hAnsi="Arial" w:cs="Arial"/>
          <w:bCs/>
          <w:spacing w:val="10"/>
          <w:lang w:val="es-ES_tradnl" w:eastAsia="es-ES"/>
        </w:rPr>
        <w:t xml:space="preserve"> </w:t>
      </w:r>
      <w:r w:rsidR="009A727D" w:rsidRPr="00D25D34">
        <w:rPr>
          <w:rFonts w:ascii="Arial" w:eastAsia="Times New Roman" w:hAnsi="Arial" w:cs="Arial"/>
          <w:bCs/>
          <w:spacing w:val="10"/>
          <w:lang w:val="es-ES_tradnl" w:eastAsia="es-ES"/>
        </w:rPr>
        <w:t xml:space="preserve">con </w:t>
      </w:r>
      <w:r w:rsidR="0023498E">
        <w:rPr>
          <w:rFonts w:ascii="Arial" w:eastAsia="Times New Roman" w:hAnsi="Arial" w:cs="Arial"/>
          <w:bCs/>
          <w:spacing w:val="10"/>
          <w:lang w:val="es-ES_tradnl" w:eastAsia="es-ES"/>
        </w:rPr>
        <w:t>2.2</w:t>
      </w:r>
      <w:r w:rsidR="009A727D" w:rsidRPr="00D25D34">
        <w:rPr>
          <w:rFonts w:ascii="Arial" w:eastAsia="Times New Roman" w:hAnsi="Arial" w:cs="Arial"/>
          <w:bCs/>
          <w:spacing w:val="10"/>
          <w:lang w:val="es-ES_tradnl" w:eastAsia="es-ES"/>
        </w:rPr>
        <w:t xml:space="preserve">% y </w:t>
      </w:r>
      <w:r w:rsidR="0023498E">
        <w:rPr>
          <w:rFonts w:ascii="Arial" w:eastAsia="Times New Roman" w:hAnsi="Arial" w:cs="Arial"/>
          <w:bCs/>
          <w:spacing w:val="10"/>
          <w:lang w:val="es-ES_tradnl" w:eastAsia="es-ES"/>
        </w:rPr>
        <w:t>Reynosa</w:t>
      </w:r>
      <w:r w:rsidR="0023498E" w:rsidRPr="00D25D34">
        <w:rPr>
          <w:rFonts w:ascii="Arial" w:eastAsia="Times New Roman" w:hAnsi="Arial" w:cs="Arial"/>
          <w:bCs/>
          <w:spacing w:val="10"/>
          <w:lang w:val="es-ES_tradnl" w:eastAsia="es-ES"/>
        </w:rPr>
        <w:t xml:space="preserve"> </w:t>
      </w:r>
      <w:r w:rsidR="009A727D" w:rsidRPr="00D25D34">
        <w:rPr>
          <w:rFonts w:ascii="Arial" w:eastAsia="Times New Roman" w:hAnsi="Arial" w:cs="Arial"/>
          <w:bCs/>
          <w:spacing w:val="10"/>
          <w:lang w:val="es-ES_tradnl" w:eastAsia="es-ES"/>
        </w:rPr>
        <w:t>con 2.</w:t>
      </w:r>
      <w:r w:rsidR="0023498E">
        <w:rPr>
          <w:rFonts w:ascii="Arial" w:eastAsia="Times New Roman" w:hAnsi="Arial" w:cs="Arial"/>
          <w:bCs/>
          <w:spacing w:val="10"/>
          <w:lang w:val="es-ES_tradnl" w:eastAsia="es-ES"/>
        </w:rPr>
        <w:t>6</w:t>
      </w:r>
      <w:r w:rsidR="009D78FA">
        <w:rPr>
          <w:rFonts w:ascii="Arial" w:eastAsia="Times New Roman" w:hAnsi="Arial" w:cs="Arial"/>
          <w:bCs/>
          <w:spacing w:val="10"/>
          <w:lang w:val="es-ES_tradnl" w:eastAsia="es-ES"/>
        </w:rPr>
        <w:t>%</w:t>
      </w:r>
      <w:r w:rsidR="009A727D" w:rsidRPr="00D25D34">
        <w:rPr>
          <w:rFonts w:ascii="Arial" w:eastAsia="Times New Roman" w:hAnsi="Arial" w:cs="Arial"/>
          <w:bCs/>
          <w:spacing w:val="10"/>
          <w:lang w:val="es-ES_tradnl" w:eastAsia="es-ES"/>
        </w:rPr>
        <w:t xml:space="preserve"> reportaron las tasas de desocupación más bajas en el </w:t>
      </w:r>
      <w:r w:rsidR="00177B20" w:rsidRPr="00D25D34">
        <w:rPr>
          <w:rFonts w:ascii="Arial" w:eastAsia="Times New Roman" w:hAnsi="Arial" w:cs="Arial"/>
          <w:bCs/>
          <w:spacing w:val="10"/>
          <w:lang w:val="es-ES_tradnl" w:eastAsia="es-ES"/>
        </w:rPr>
        <w:t>primer</w:t>
      </w:r>
      <w:r w:rsidR="009A727D" w:rsidRPr="00D25D34">
        <w:rPr>
          <w:rFonts w:ascii="Arial" w:eastAsia="Times New Roman" w:hAnsi="Arial" w:cs="Arial"/>
          <w:bCs/>
          <w:spacing w:val="10"/>
          <w:lang w:val="es-ES_tradnl" w:eastAsia="es-ES"/>
        </w:rPr>
        <w:t xml:space="preserve"> trimestre de </w:t>
      </w:r>
      <w:r w:rsidR="00177B20" w:rsidRPr="00D25D34">
        <w:rPr>
          <w:rFonts w:ascii="Arial" w:eastAsia="Times New Roman" w:hAnsi="Arial" w:cs="Arial"/>
          <w:bCs/>
          <w:spacing w:val="10"/>
          <w:lang w:val="es-ES_tradnl" w:eastAsia="es-ES"/>
        </w:rPr>
        <w:t>2021</w:t>
      </w:r>
      <w:r w:rsidR="009A727D" w:rsidRPr="00D25D34">
        <w:rPr>
          <w:rFonts w:ascii="Arial" w:eastAsia="Times New Roman" w:hAnsi="Arial" w:cs="Arial"/>
          <w:bCs/>
          <w:spacing w:val="10"/>
          <w:lang w:val="es-ES_tradnl" w:eastAsia="es-ES"/>
        </w:rPr>
        <w:t>.</w:t>
      </w:r>
    </w:p>
    <w:p w14:paraId="5BD483A1" w14:textId="77777777" w:rsidR="002E0406" w:rsidRPr="00D25D34" w:rsidRDefault="002E0406" w:rsidP="00987295">
      <w:pPr>
        <w:spacing w:after="0" w:line="240" w:lineRule="auto"/>
        <w:ind w:right="-518"/>
        <w:jc w:val="both"/>
        <w:rPr>
          <w:rFonts w:ascii="Arial" w:eastAsia="Times New Roman" w:hAnsi="Arial" w:cs="Arial"/>
          <w:bCs/>
          <w:spacing w:val="10"/>
          <w:lang w:val="es-ES_tradnl" w:eastAsia="es-ES"/>
        </w:rPr>
      </w:pPr>
    </w:p>
    <w:p w14:paraId="53699B61" w14:textId="310DAB7D" w:rsidR="00317D59" w:rsidRPr="00D25D34" w:rsidRDefault="00132E38" w:rsidP="00317D59">
      <w:pPr>
        <w:spacing w:after="0" w:line="240" w:lineRule="auto"/>
        <w:ind w:left="-567" w:right="-518"/>
        <w:jc w:val="both"/>
        <w:rPr>
          <w:rFonts w:ascii="Arial" w:eastAsia="Times New Roman" w:hAnsi="Arial" w:cs="Arial"/>
          <w:bCs/>
          <w:spacing w:val="10"/>
          <w:lang w:val="es-ES_tradnl" w:eastAsia="es-ES"/>
        </w:rPr>
      </w:pPr>
      <w:r w:rsidRPr="00D25D34">
        <w:rPr>
          <w:rFonts w:ascii="Arial" w:eastAsia="Times New Roman" w:hAnsi="Arial" w:cs="Arial"/>
          <w:bCs/>
          <w:spacing w:val="10"/>
          <w:lang w:val="es-ES_tradnl" w:eastAsia="es-ES"/>
        </w:rPr>
        <w:t>F</w:t>
      </w:r>
      <w:r w:rsidR="005068B9" w:rsidRPr="00D25D34">
        <w:rPr>
          <w:rFonts w:ascii="Arial" w:eastAsia="Times New Roman" w:hAnsi="Arial" w:cs="Arial"/>
          <w:bCs/>
          <w:spacing w:val="10"/>
          <w:lang w:val="es-ES_tradnl" w:eastAsia="es-ES"/>
        </w:rPr>
        <w:t xml:space="preserve">inalmente, </w:t>
      </w:r>
      <w:r w:rsidR="00A064D5" w:rsidRPr="00D25D34">
        <w:rPr>
          <w:rFonts w:ascii="Arial" w:eastAsia="Times New Roman" w:hAnsi="Arial" w:cs="Arial"/>
          <w:bCs/>
          <w:spacing w:val="10"/>
          <w:lang w:val="es-ES_tradnl" w:eastAsia="es-ES"/>
        </w:rPr>
        <w:t>l</w:t>
      </w:r>
      <w:r w:rsidR="00317D59" w:rsidRPr="00D25D34">
        <w:rPr>
          <w:rFonts w:ascii="Arial" w:eastAsia="Times New Roman" w:hAnsi="Arial" w:cs="Arial"/>
          <w:bCs/>
          <w:spacing w:val="10"/>
          <w:lang w:val="es-ES_tradnl" w:eastAsia="es-ES"/>
        </w:rPr>
        <w:t>a información de la ENOE</w:t>
      </w:r>
      <w:r w:rsidR="00317D59" w:rsidRPr="00D25D34">
        <w:rPr>
          <w:rFonts w:ascii="Arial" w:eastAsia="Times New Roman" w:hAnsi="Arial" w:cs="Arial"/>
          <w:bCs/>
          <w:spacing w:val="10"/>
          <w:vertAlign w:val="superscript"/>
          <w:lang w:val="es-ES_tradnl" w:eastAsia="es-ES"/>
        </w:rPr>
        <w:t>N</w:t>
      </w:r>
      <w:r w:rsidR="00317D59" w:rsidRPr="00D25D34">
        <w:rPr>
          <w:rFonts w:ascii="Arial" w:eastAsia="Times New Roman" w:hAnsi="Arial" w:cs="Arial"/>
          <w:bCs/>
          <w:spacing w:val="10"/>
          <w:lang w:val="es-ES_tradnl" w:eastAsia="es-ES"/>
        </w:rPr>
        <w:t xml:space="preserve"> puede consultarse en la siguiente dirección de Internet: </w:t>
      </w:r>
      <w:hyperlink r:id="rId11" w:history="1">
        <w:r w:rsidR="009A727D" w:rsidRPr="00D25D34">
          <w:rPr>
            <w:rStyle w:val="Hipervnculo"/>
            <w:rFonts w:ascii="Arial" w:eastAsia="Times New Roman" w:hAnsi="Arial" w:cs="Arial"/>
            <w:bCs/>
            <w:spacing w:val="10"/>
            <w:lang w:val="es-ES_tradnl" w:eastAsia="es-ES"/>
          </w:rPr>
          <w:t>https://www.inegi.org.mx/programas/enoe/15ymas/</w:t>
        </w:r>
      </w:hyperlink>
    </w:p>
    <w:p w14:paraId="15B88B78" w14:textId="77777777" w:rsidR="005068B9" w:rsidRPr="00D25D34" w:rsidRDefault="005068B9" w:rsidP="00EF668D">
      <w:pPr>
        <w:pStyle w:val="Subttulo"/>
        <w:ind w:right="-518"/>
        <w:jc w:val="both"/>
        <w:rPr>
          <w:b w:val="0"/>
          <w:bCs w:val="0"/>
          <w:spacing w:val="10"/>
          <w:sz w:val="22"/>
          <w:szCs w:val="22"/>
        </w:rPr>
      </w:pPr>
    </w:p>
    <w:p w14:paraId="63CB3303" w14:textId="7030019D" w:rsidR="00E84930" w:rsidRDefault="00E84930" w:rsidP="009749DA">
      <w:pPr>
        <w:pStyle w:val="Ttulo"/>
        <w:rPr>
          <w:rFonts w:cs="Arial"/>
          <w:sz w:val="20"/>
          <w:szCs w:val="22"/>
        </w:rPr>
      </w:pPr>
      <w:r w:rsidRPr="00D25D34">
        <w:rPr>
          <w:rFonts w:cs="Arial"/>
          <w:sz w:val="20"/>
          <w:szCs w:val="22"/>
        </w:rPr>
        <w:t>Se anexa Nota Técnica</w:t>
      </w:r>
    </w:p>
    <w:p w14:paraId="7CBAD061" w14:textId="77777777" w:rsidR="009D78FA" w:rsidRDefault="009D78FA" w:rsidP="009749DA">
      <w:pPr>
        <w:pStyle w:val="Ttulo"/>
        <w:rPr>
          <w:rFonts w:cs="Arial"/>
          <w:sz w:val="20"/>
          <w:szCs w:val="22"/>
        </w:rPr>
      </w:pPr>
    </w:p>
    <w:p w14:paraId="3FDD0A37" w14:textId="77777777" w:rsidR="003F2078" w:rsidRDefault="003F2078" w:rsidP="009749DA">
      <w:pPr>
        <w:pStyle w:val="NormalWeb"/>
        <w:spacing w:before="0" w:beforeAutospacing="0" w:after="0" w:afterAutospacing="0"/>
        <w:ind w:left="-567" w:right="-518"/>
        <w:contextualSpacing/>
        <w:jc w:val="center"/>
        <w:rPr>
          <w:rFonts w:ascii="Arial" w:hAnsi="Arial" w:cs="Arial"/>
          <w:sz w:val="20"/>
          <w:szCs w:val="22"/>
        </w:rPr>
      </w:pPr>
    </w:p>
    <w:p w14:paraId="58F44FCA" w14:textId="4110E2E4" w:rsidR="00E84930" w:rsidRPr="00387213" w:rsidRDefault="00E84930" w:rsidP="009749DA">
      <w:pPr>
        <w:pStyle w:val="NormalWeb"/>
        <w:spacing w:before="0" w:beforeAutospacing="0" w:after="0" w:afterAutospacing="0"/>
        <w:ind w:left="-567" w:right="-518"/>
        <w:contextualSpacing/>
        <w:jc w:val="center"/>
        <w:rPr>
          <w:rFonts w:ascii="Arial" w:hAnsi="Arial" w:cs="Arial"/>
          <w:sz w:val="20"/>
          <w:szCs w:val="22"/>
        </w:rPr>
      </w:pPr>
      <w:r w:rsidRPr="00387213">
        <w:rPr>
          <w:rFonts w:ascii="Arial" w:hAnsi="Arial" w:cs="Arial"/>
          <w:sz w:val="20"/>
          <w:szCs w:val="22"/>
        </w:rPr>
        <w:t xml:space="preserve">Para consultas de medios y periodistas, contactar a: comunicacionsocial@inegi.org.mx </w:t>
      </w:r>
    </w:p>
    <w:p w14:paraId="2FA5DF56" w14:textId="25D90C41" w:rsidR="00E84930" w:rsidRDefault="00E84930" w:rsidP="009749DA">
      <w:pPr>
        <w:pStyle w:val="NormalWeb"/>
        <w:spacing w:before="0" w:beforeAutospacing="0" w:after="0" w:afterAutospacing="0"/>
        <w:ind w:left="-567" w:right="-518"/>
        <w:contextualSpacing/>
        <w:jc w:val="center"/>
        <w:rPr>
          <w:rFonts w:ascii="Arial" w:hAnsi="Arial" w:cs="Arial"/>
          <w:sz w:val="20"/>
          <w:szCs w:val="22"/>
        </w:rPr>
      </w:pPr>
      <w:r w:rsidRPr="00387213">
        <w:rPr>
          <w:rFonts w:ascii="Arial" w:hAnsi="Arial" w:cs="Arial"/>
          <w:sz w:val="20"/>
          <w:szCs w:val="22"/>
        </w:rPr>
        <w:t>o llamar al teléfono (55) 52-78-10-00, ext. 1134, 1260 y 1241.</w:t>
      </w:r>
    </w:p>
    <w:p w14:paraId="12B7EC90" w14:textId="77777777" w:rsidR="009D78FA" w:rsidRDefault="009D78FA" w:rsidP="009749DA">
      <w:pPr>
        <w:pStyle w:val="NormalWeb"/>
        <w:spacing w:before="0" w:beforeAutospacing="0" w:after="0" w:afterAutospacing="0"/>
        <w:ind w:left="-567" w:right="-518"/>
        <w:contextualSpacing/>
        <w:jc w:val="center"/>
        <w:rPr>
          <w:rFonts w:ascii="Arial" w:hAnsi="Arial" w:cs="Arial"/>
          <w:sz w:val="20"/>
          <w:szCs w:val="22"/>
        </w:rPr>
      </w:pPr>
    </w:p>
    <w:p w14:paraId="0975AFC0" w14:textId="087B98A8" w:rsidR="00E84930" w:rsidRDefault="00E84930" w:rsidP="009749DA">
      <w:pPr>
        <w:ind w:left="-567" w:right="-518"/>
        <w:contextualSpacing/>
        <w:jc w:val="center"/>
        <w:rPr>
          <w:rFonts w:ascii="Arial" w:hAnsi="Arial" w:cs="Arial"/>
          <w:sz w:val="20"/>
        </w:rPr>
      </w:pPr>
      <w:r w:rsidRPr="00387213">
        <w:rPr>
          <w:rFonts w:ascii="Arial" w:hAnsi="Arial" w:cs="Arial"/>
          <w:sz w:val="20"/>
        </w:rPr>
        <w:t>Dirección de Atención a Medios / Dirección General Adjunta de Comunicación</w:t>
      </w:r>
    </w:p>
    <w:p w14:paraId="1D3D4903" w14:textId="77777777" w:rsidR="009D78FA" w:rsidRDefault="009D78FA" w:rsidP="009749DA">
      <w:pPr>
        <w:ind w:left="-567" w:right="-518"/>
        <w:contextualSpacing/>
        <w:jc w:val="center"/>
        <w:rPr>
          <w:rFonts w:ascii="Arial" w:hAnsi="Arial" w:cs="Arial"/>
          <w:sz w:val="20"/>
        </w:rPr>
      </w:pPr>
    </w:p>
    <w:p w14:paraId="57162AFA" w14:textId="77777777" w:rsidR="00E84930" w:rsidRDefault="00E84930" w:rsidP="009749DA">
      <w:pPr>
        <w:ind w:left="-567"/>
        <w:rPr>
          <w:noProof/>
          <w:lang w:eastAsia="es-MX"/>
        </w:rPr>
      </w:pPr>
      <w:r>
        <w:rPr>
          <w:noProof/>
          <w:lang w:eastAsia="es-MX"/>
        </w:rPr>
        <w:t xml:space="preserve">                                            </w:t>
      </w:r>
      <w:r w:rsidRPr="008F0992">
        <w:rPr>
          <w:noProof/>
          <w:lang w:eastAsia="es-MX"/>
        </w:rPr>
        <w:drawing>
          <wp:inline distT="0" distB="0" distL="0" distR="0" wp14:anchorId="3FF9EBAC" wp14:editId="71D303E4">
            <wp:extent cx="260541" cy="239236"/>
            <wp:effectExtent l="0" t="0" r="6350" b="8890"/>
            <wp:docPr id="1" name="Imagen 1" descr="C:\Users\saladeprensa\Desktop\NVOS LOGOS\F.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deprensa\Desktop\NVOS LOGOS\F.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7200" cy="282079"/>
                    </a:xfrm>
                    <a:prstGeom prst="rect">
                      <a:avLst/>
                    </a:prstGeom>
                    <a:noFill/>
                    <a:ln>
                      <a:noFill/>
                    </a:ln>
                  </pic:spPr>
                </pic:pic>
              </a:graphicData>
            </a:graphic>
          </wp:inline>
        </w:drawing>
      </w:r>
      <w:r>
        <w:rPr>
          <w:noProof/>
          <w:lang w:eastAsia="es-MX"/>
        </w:rPr>
        <w:t xml:space="preserve"> </w:t>
      </w:r>
      <w:r w:rsidRPr="008F0992">
        <w:rPr>
          <w:noProof/>
          <w:lang w:eastAsia="es-MX"/>
        </w:rPr>
        <w:drawing>
          <wp:inline distT="0" distB="0" distL="0" distR="0" wp14:anchorId="47493CEF" wp14:editId="5FB38772">
            <wp:extent cx="244675" cy="243005"/>
            <wp:effectExtent l="0" t="0" r="3175" b="5080"/>
            <wp:docPr id="8" name="Imagen 8" descr="C:\Users\saladeprensa\Desktop\NVOS LOGOS\I.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deprensa\Desktop\NVOS LOGOS\I.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6886" cy="384246"/>
                    </a:xfrm>
                    <a:prstGeom prst="rect">
                      <a:avLst/>
                    </a:prstGeom>
                    <a:noFill/>
                    <a:ln>
                      <a:noFill/>
                    </a:ln>
                  </pic:spPr>
                </pic:pic>
              </a:graphicData>
            </a:graphic>
          </wp:inline>
        </w:drawing>
      </w:r>
      <w:r>
        <w:rPr>
          <w:noProof/>
          <w:lang w:eastAsia="es-MX"/>
        </w:rPr>
        <w:t xml:space="preserve"> </w:t>
      </w:r>
      <w:r w:rsidRPr="008F0992">
        <w:rPr>
          <w:noProof/>
          <w:lang w:eastAsia="es-MX"/>
        </w:rPr>
        <w:drawing>
          <wp:inline distT="0" distB="0" distL="0" distR="0" wp14:anchorId="05600C77" wp14:editId="50CAE1DC">
            <wp:extent cx="245856" cy="248015"/>
            <wp:effectExtent l="0" t="0" r="1905" b="0"/>
            <wp:docPr id="12" name="Imagen 12" descr="C:\Users\saladeprensa\Desktop\NVOS LOGOS\T.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deprensa\Desktop\NVOS LOGOS\T.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1103" cy="283571"/>
                    </a:xfrm>
                    <a:prstGeom prst="rect">
                      <a:avLst/>
                    </a:prstGeom>
                    <a:noFill/>
                    <a:ln>
                      <a:noFill/>
                    </a:ln>
                  </pic:spPr>
                </pic:pic>
              </a:graphicData>
            </a:graphic>
          </wp:inline>
        </w:drawing>
      </w:r>
      <w:r>
        <w:rPr>
          <w:noProof/>
          <w:lang w:eastAsia="es-MX"/>
        </w:rPr>
        <w:t xml:space="preserve"> </w:t>
      </w:r>
      <w:r w:rsidRPr="008F0992">
        <w:rPr>
          <w:noProof/>
          <w:lang w:eastAsia="es-MX"/>
        </w:rPr>
        <w:drawing>
          <wp:inline distT="0" distB="0" distL="0" distR="0" wp14:anchorId="12478A58" wp14:editId="5D930824">
            <wp:extent cx="238125" cy="242051"/>
            <wp:effectExtent l="0" t="0" r="0" b="5715"/>
            <wp:docPr id="18" name="Imagen 18" descr="C:\Users\saladeprensa\Desktop\NVOS LOGOS\Y.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adeprensa\Desktop\NVOS LOGOS\Y.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99571" cy="304510"/>
                    </a:xfrm>
                    <a:prstGeom prst="rect">
                      <a:avLst/>
                    </a:prstGeom>
                    <a:noFill/>
                    <a:ln>
                      <a:noFill/>
                    </a:ln>
                  </pic:spPr>
                </pic:pic>
              </a:graphicData>
            </a:graphic>
          </wp:inline>
        </w:drawing>
      </w:r>
      <w:r>
        <w:rPr>
          <w:noProof/>
          <w:lang w:eastAsia="es-MX"/>
        </w:rPr>
        <w:t xml:space="preserve">  </w:t>
      </w:r>
      <w:r w:rsidRPr="008F0992">
        <w:rPr>
          <w:noProof/>
          <w:sz w:val="14"/>
          <w:szCs w:val="18"/>
          <w:lang w:eastAsia="es-MX"/>
        </w:rPr>
        <w:drawing>
          <wp:inline distT="0" distB="0" distL="0" distR="0" wp14:anchorId="6CAC336E" wp14:editId="253DE173">
            <wp:extent cx="1952625" cy="268726"/>
            <wp:effectExtent l="0" t="0" r="0" b="0"/>
            <wp:docPr id="20" name="Imagen 20">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491601" cy="342901"/>
                    </a:xfrm>
                    <a:prstGeom prst="rect">
                      <a:avLst/>
                    </a:prstGeom>
                    <a:noFill/>
                    <a:ln>
                      <a:noFill/>
                    </a:ln>
                  </pic:spPr>
                </pic:pic>
              </a:graphicData>
            </a:graphic>
          </wp:inline>
        </w:drawing>
      </w:r>
    </w:p>
    <w:p w14:paraId="02E4137F" w14:textId="7B85CCFE" w:rsidR="009D78FA" w:rsidRDefault="009D78FA" w:rsidP="009749DA">
      <w:pPr>
        <w:ind w:left="-567"/>
        <w:rPr>
          <w:noProof/>
          <w:lang w:eastAsia="es-MX"/>
        </w:rPr>
        <w:sectPr w:rsidR="009D78FA" w:rsidSect="00FC11E1">
          <w:headerReference w:type="default" r:id="rId22"/>
          <w:footerReference w:type="default" r:id="rId23"/>
          <w:pgSz w:w="12240" w:h="15840"/>
          <w:pgMar w:top="1417" w:right="1701" w:bottom="851" w:left="1701" w:header="708" w:footer="587" w:gutter="0"/>
          <w:cols w:space="708"/>
          <w:docGrid w:linePitch="360"/>
        </w:sectPr>
      </w:pPr>
    </w:p>
    <w:p w14:paraId="02CCB234" w14:textId="77777777" w:rsidR="00945818" w:rsidRPr="00C83A02" w:rsidRDefault="00945818" w:rsidP="009749DA">
      <w:pPr>
        <w:pStyle w:val="Profesin"/>
        <w:spacing w:before="120"/>
        <w:rPr>
          <w:sz w:val="24"/>
        </w:rPr>
      </w:pPr>
      <w:r w:rsidRPr="00C83A02">
        <w:rPr>
          <w:sz w:val="24"/>
        </w:rPr>
        <w:lastRenderedPageBreak/>
        <w:t>NOTA TÉCNICA</w:t>
      </w:r>
    </w:p>
    <w:p w14:paraId="01DD17D0" w14:textId="77777777" w:rsidR="00945818" w:rsidRPr="00C83A02" w:rsidRDefault="00945818" w:rsidP="009749DA">
      <w:pPr>
        <w:pStyle w:val="Profesin"/>
        <w:rPr>
          <w:sz w:val="24"/>
        </w:rPr>
      </w:pPr>
      <w:r w:rsidRPr="00C83A02">
        <w:rPr>
          <w:sz w:val="24"/>
        </w:rPr>
        <w:t>RESULTADOS DE LA ENCUESTA NACIONAL</w:t>
      </w:r>
      <w:r w:rsidRPr="00C83A02">
        <w:rPr>
          <w:sz w:val="24"/>
        </w:rPr>
        <w:br/>
        <w:t>DE OCUPACIÓN Y EMPLEO</w:t>
      </w:r>
      <w:r w:rsidR="000E0518" w:rsidRPr="00C83A02">
        <w:rPr>
          <w:sz w:val="24"/>
        </w:rPr>
        <w:t>. NUEVA EDICIÓN (ENOE</w:t>
      </w:r>
      <w:r w:rsidR="000E0518" w:rsidRPr="00C83A02">
        <w:rPr>
          <w:sz w:val="24"/>
          <w:vertAlign w:val="superscript"/>
        </w:rPr>
        <w:t>N</w:t>
      </w:r>
      <w:r w:rsidR="000E0518" w:rsidRPr="00C83A02">
        <w:rPr>
          <w:sz w:val="24"/>
        </w:rPr>
        <w:t>)</w:t>
      </w:r>
      <w:r w:rsidRPr="00C83A02">
        <w:rPr>
          <w:caps w:val="0"/>
          <w:position w:val="2"/>
          <w:sz w:val="24"/>
          <w:szCs w:val="24"/>
          <w:vertAlign w:val="superscript"/>
        </w:rPr>
        <w:footnoteReference w:id="4"/>
      </w:r>
    </w:p>
    <w:p w14:paraId="19E74367" w14:textId="25369A85" w:rsidR="00945818" w:rsidRPr="00C83A02" w:rsidRDefault="00945818" w:rsidP="009749DA">
      <w:pPr>
        <w:pStyle w:val="Profesin"/>
        <w:rPr>
          <w:sz w:val="24"/>
          <w:szCs w:val="26"/>
        </w:rPr>
      </w:pPr>
      <w:r w:rsidRPr="00C83A02">
        <w:rPr>
          <w:sz w:val="24"/>
          <w:szCs w:val="26"/>
        </w:rPr>
        <w:t xml:space="preserve">cifras durante el </w:t>
      </w:r>
      <w:r w:rsidR="00177B20">
        <w:rPr>
          <w:sz w:val="24"/>
          <w:szCs w:val="26"/>
        </w:rPr>
        <w:t>primer</w:t>
      </w:r>
      <w:r w:rsidR="00611C39" w:rsidRPr="00C83A02">
        <w:rPr>
          <w:sz w:val="24"/>
          <w:szCs w:val="26"/>
        </w:rPr>
        <w:t xml:space="preserve"> </w:t>
      </w:r>
      <w:r w:rsidRPr="00C83A02">
        <w:rPr>
          <w:sz w:val="24"/>
          <w:szCs w:val="26"/>
        </w:rPr>
        <w:t xml:space="preserve">trimestre de </w:t>
      </w:r>
      <w:r w:rsidR="00177B20">
        <w:rPr>
          <w:sz w:val="24"/>
          <w:szCs w:val="26"/>
        </w:rPr>
        <w:t>2021</w:t>
      </w:r>
    </w:p>
    <w:p w14:paraId="58118526" w14:textId="77777777" w:rsidR="00945818" w:rsidRDefault="00945818" w:rsidP="009749DA">
      <w:pPr>
        <w:pStyle w:val="Subttulo"/>
        <w:jc w:val="both"/>
        <w:rPr>
          <w:b w:val="0"/>
          <w:spacing w:val="10"/>
          <w:sz w:val="22"/>
          <w:szCs w:val="22"/>
        </w:rPr>
      </w:pPr>
    </w:p>
    <w:p w14:paraId="332DE56E" w14:textId="40704B63" w:rsidR="005363FE" w:rsidRPr="005363FE" w:rsidRDefault="005363FE" w:rsidP="009749DA">
      <w:pPr>
        <w:pStyle w:val="Prrafodelista"/>
        <w:ind w:left="0"/>
        <w:jc w:val="both"/>
        <w:rPr>
          <w:rFonts w:ascii="Arial" w:eastAsia="Times New Roman" w:hAnsi="Arial" w:cs="Arial"/>
          <w:bCs/>
          <w:spacing w:val="10"/>
          <w:lang w:val="es-ES_tradnl" w:eastAsia="es-ES"/>
        </w:rPr>
      </w:pPr>
      <w:r w:rsidRPr="005363FE">
        <w:rPr>
          <w:rFonts w:ascii="Arial" w:eastAsia="Times New Roman" w:hAnsi="Arial" w:cs="Arial"/>
          <w:bCs/>
          <w:spacing w:val="10"/>
          <w:lang w:val="es-ES_tradnl" w:eastAsia="es-ES"/>
        </w:rPr>
        <w:t>El Instituto Nacional de Estadística y Geografía (INEGI) da a conocer los resultados de la Encuesta Nacional de Ocupación y Empleo</w:t>
      </w:r>
      <w:r>
        <w:rPr>
          <w:rFonts w:ascii="Arial" w:eastAsia="Times New Roman" w:hAnsi="Arial" w:cs="Arial"/>
          <w:bCs/>
          <w:spacing w:val="10"/>
          <w:lang w:val="es-ES_tradnl" w:eastAsia="es-ES"/>
        </w:rPr>
        <w:t xml:space="preserve">. Nueva </w:t>
      </w:r>
      <w:r w:rsidRPr="005363FE">
        <w:rPr>
          <w:rFonts w:ascii="Arial" w:eastAsia="Times New Roman" w:hAnsi="Arial" w:cs="Arial"/>
          <w:bCs/>
          <w:spacing w:val="10"/>
          <w:lang w:val="es-ES_tradnl" w:eastAsia="es-ES"/>
        </w:rPr>
        <w:t>Edición (</w:t>
      </w:r>
      <w:r w:rsidRPr="005363FE">
        <w:rPr>
          <w:rFonts w:ascii="Arial" w:hAnsi="Arial" w:cs="Arial"/>
          <w:spacing w:val="10"/>
        </w:rPr>
        <w:t>ENOE</w:t>
      </w:r>
      <w:r w:rsidRPr="005363FE">
        <w:rPr>
          <w:rFonts w:ascii="Arial" w:hAnsi="Arial" w:cs="Arial"/>
          <w:spacing w:val="10"/>
          <w:vertAlign w:val="superscript"/>
        </w:rPr>
        <w:t>N</w:t>
      </w:r>
      <w:r w:rsidRPr="005363FE">
        <w:rPr>
          <w:rFonts w:ascii="Arial" w:eastAsia="Times New Roman" w:hAnsi="Arial" w:cs="Arial"/>
          <w:bCs/>
          <w:spacing w:val="10"/>
          <w:lang w:val="es-ES_tradnl" w:eastAsia="es-ES"/>
        </w:rPr>
        <w:t xml:space="preserve">), correspondientes al </w:t>
      </w:r>
      <w:r w:rsidR="00177B20">
        <w:rPr>
          <w:rFonts w:ascii="Arial" w:eastAsia="Times New Roman" w:hAnsi="Arial" w:cs="Arial"/>
          <w:bCs/>
          <w:spacing w:val="10"/>
          <w:lang w:val="es-ES_tradnl" w:eastAsia="es-ES"/>
        </w:rPr>
        <w:t>primer</w:t>
      </w:r>
      <w:r w:rsidRPr="005363FE">
        <w:rPr>
          <w:rFonts w:ascii="Arial" w:eastAsia="Times New Roman" w:hAnsi="Arial" w:cs="Arial"/>
          <w:bCs/>
          <w:spacing w:val="10"/>
          <w:lang w:val="es-ES_tradnl" w:eastAsia="es-ES"/>
        </w:rPr>
        <w:t xml:space="preserve"> trimestre de </w:t>
      </w:r>
      <w:r w:rsidR="00177B20">
        <w:rPr>
          <w:rFonts w:ascii="Arial" w:eastAsia="Times New Roman" w:hAnsi="Arial" w:cs="Arial"/>
          <w:bCs/>
          <w:spacing w:val="10"/>
          <w:lang w:val="es-ES_tradnl" w:eastAsia="es-ES"/>
        </w:rPr>
        <w:t>2021</w:t>
      </w:r>
      <w:r w:rsidRPr="005363FE">
        <w:rPr>
          <w:rFonts w:ascii="Arial" w:eastAsia="Times New Roman" w:hAnsi="Arial" w:cs="Arial"/>
          <w:bCs/>
          <w:spacing w:val="10"/>
          <w:lang w:val="es-ES_tradnl" w:eastAsia="es-ES"/>
        </w:rPr>
        <w:t>.</w:t>
      </w:r>
    </w:p>
    <w:p w14:paraId="3A96E323" w14:textId="4AAFD929" w:rsidR="00ED3CF5" w:rsidRDefault="001F1F8C" w:rsidP="009749DA">
      <w:pPr>
        <w:pStyle w:val="Subttulo"/>
        <w:jc w:val="both"/>
        <w:rPr>
          <w:b w:val="0"/>
          <w:spacing w:val="10"/>
          <w:sz w:val="22"/>
          <w:szCs w:val="22"/>
        </w:rPr>
      </w:pPr>
      <w:r>
        <w:rPr>
          <w:b w:val="0"/>
          <w:spacing w:val="10"/>
          <w:sz w:val="22"/>
          <w:szCs w:val="22"/>
        </w:rPr>
        <w:t xml:space="preserve">Los principales resultados del levantamiento de la </w:t>
      </w:r>
      <w:r w:rsidR="00427871" w:rsidRPr="00427871">
        <w:rPr>
          <w:b w:val="0"/>
          <w:spacing w:val="10"/>
          <w:sz w:val="22"/>
          <w:szCs w:val="22"/>
        </w:rPr>
        <w:t>ENOE</w:t>
      </w:r>
      <w:r w:rsidR="00F66482">
        <w:rPr>
          <w:b w:val="0"/>
          <w:spacing w:val="10"/>
          <w:sz w:val="22"/>
          <w:szCs w:val="22"/>
          <w:vertAlign w:val="superscript"/>
        </w:rPr>
        <w:t>N</w:t>
      </w:r>
      <w:r>
        <w:rPr>
          <w:b w:val="0"/>
          <w:spacing w:val="10"/>
          <w:sz w:val="22"/>
          <w:szCs w:val="22"/>
        </w:rPr>
        <w:t xml:space="preserve"> </w:t>
      </w:r>
      <w:r w:rsidR="00A35DDD">
        <w:rPr>
          <w:b w:val="0"/>
          <w:spacing w:val="10"/>
          <w:sz w:val="22"/>
          <w:szCs w:val="22"/>
        </w:rPr>
        <w:t xml:space="preserve">permiten observar los cambios en la ocupación y el empleo </w:t>
      </w:r>
      <w:r w:rsidR="005363FE">
        <w:rPr>
          <w:b w:val="0"/>
          <w:spacing w:val="10"/>
          <w:sz w:val="22"/>
          <w:szCs w:val="22"/>
        </w:rPr>
        <w:t xml:space="preserve">en el </w:t>
      </w:r>
      <w:r w:rsidR="00177B20">
        <w:rPr>
          <w:b w:val="0"/>
          <w:spacing w:val="10"/>
          <w:sz w:val="22"/>
          <w:szCs w:val="22"/>
        </w:rPr>
        <w:t>primer</w:t>
      </w:r>
      <w:r w:rsidR="005363FE">
        <w:rPr>
          <w:b w:val="0"/>
          <w:spacing w:val="10"/>
          <w:sz w:val="22"/>
          <w:szCs w:val="22"/>
        </w:rPr>
        <w:t xml:space="preserve"> trimestre de </w:t>
      </w:r>
      <w:r w:rsidR="00177B20">
        <w:rPr>
          <w:b w:val="0"/>
          <w:spacing w:val="10"/>
          <w:sz w:val="22"/>
          <w:szCs w:val="22"/>
        </w:rPr>
        <w:t>2021</w:t>
      </w:r>
      <w:r w:rsidR="00D60FB7">
        <w:rPr>
          <w:b w:val="0"/>
          <w:spacing w:val="10"/>
          <w:sz w:val="22"/>
          <w:szCs w:val="22"/>
        </w:rPr>
        <w:t xml:space="preserve">, en comparación con el </w:t>
      </w:r>
      <w:r w:rsidR="005363FE">
        <w:rPr>
          <w:b w:val="0"/>
          <w:spacing w:val="10"/>
          <w:sz w:val="22"/>
          <w:szCs w:val="22"/>
        </w:rPr>
        <w:t xml:space="preserve">mismo periodo de </w:t>
      </w:r>
      <w:r w:rsidR="00177B20">
        <w:rPr>
          <w:b w:val="0"/>
          <w:spacing w:val="10"/>
          <w:sz w:val="22"/>
          <w:szCs w:val="22"/>
        </w:rPr>
        <w:t>2020</w:t>
      </w:r>
      <w:r w:rsidR="00A35DDD">
        <w:rPr>
          <w:b w:val="0"/>
          <w:spacing w:val="10"/>
          <w:sz w:val="22"/>
          <w:szCs w:val="22"/>
        </w:rPr>
        <w:t>.</w:t>
      </w:r>
    </w:p>
    <w:p w14:paraId="74A0CCFE" w14:textId="77777777" w:rsidR="00A346F6" w:rsidRPr="00C63172" w:rsidRDefault="00A346F6" w:rsidP="009749DA">
      <w:pPr>
        <w:pStyle w:val="n0"/>
        <w:keepLines w:val="0"/>
        <w:spacing w:before="0"/>
        <w:ind w:left="0" w:right="49" w:firstLine="0"/>
        <w:jc w:val="left"/>
        <w:rPr>
          <w:b/>
          <w:smallCaps/>
          <w:color w:val="auto"/>
          <w:sz w:val="22"/>
          <w:szCs w:val="22"/>
        </w:rPr>
      </w:pPr>
    </w:p>
    <w:p w14:paraId="57E5122D" w14:textId="77777777" w:rsidR="00252EDE" w:rsidRPr="00C63172" w:rsidRDefault="00252EDE" w:rsidP="009749DA">
      <w:pPr>
        <w:pStyle w:val="n0"/>
        <w:keepLines w:val="0"/>
        <w:spacing w:before="0"/>
        <w:ind w:left="0" w:right="49" w:firstLine="0"/>
        <w:jc w:val="left"/>
        <w:rPr>
          <w:b/>
          <w:smallCaps/>
          <w:color w:val="auto"/>
          <w:sz w:val="22"/>
          <w:szCs w:val="22"/>
        </w:rPr>
      </w:pPr>
      <w:r w:rsidRPr="005C6A47">
        <w:rPr>
          <w:b/>
          <w:smallCaps/>
          <w:color w:val="auto"/>
          <w:sz w:val="22"/>
          <w:szCs w:val="22"/>
        </w:rPr>
        <w:t>Situación de la fuerza de trabajo</w:t>
      </w:r>
    </w:p>
    <w:p w14:paraId="09F72364" w14:textId="77777777" w:rsidR="00252EDE" w:rsidRPr="004340B4" w:rsidRDefault="00252EDE" w:rsidP="009749DA">
      <w:pPr>
        <w:pStyle w:val="Subttulo"/>
        <w:jc w:val="both"/>
        <w:rPr>
          <w:b w:val="0"/>
          <w:spacing w:val="10"/>
          <w:sz w:val="22"/>
          <w:szCs w:val="22"/>
        </w:rPr>
      </w:pPr>
    </w:p>
    <w:p w14:paraId="69155B0A" w14:textId="6EE41DE6" w:rsidR="005C6A47" w:rsidRDefault="00252EDE" w:rsidP="009749DA">
      <w:pPr>
        <w:pStyle w:val="Subttulo"/>
        <w:jc w:val="both"/>
        <w:rPr>
          <w:b w:val="0"/>
          <w:spacing w:val="10"/>
          <w:sz w:val="22"/>
          <w:szCs w:val="22"/>
        </w:rPr>
      </w:pPr>
      <w:r w:rsidRPr="002A45EE">
        <w:rPr>
          <w:b w:val="0"/>
          <w:spacing w:val="10"/>
          <w:sz w:val="22"/>
          <w:szCs w:val="22"/>
        </w:rPr>
        <w:t>La Población Económicamente Activa</w:t>
      </w:r>
      <w:r w:rsidR="00792692">
        <w:rPr>
          <w:b w:val="0"/>
          <w:spacing w:val="10"/>
          <w:sz w:val="22"/>
          <w:szCs w:val="22"/>
        </w:rPr>
        <w:t xml:space="preserve"> (PEA)</w:t>
      </w:r>
      <w:r w:rsidRPr="002A45EE">
        <w:rPr>
          <w:b w:val="0"/>
          <w:spacing w:val="10"/>
          <w:sz w:val="22"/>
          <w:szCs w:val="22"/>
        </w:rPr>
        <w:t>, es decir, las personas que en la semana pasada a la entrevista</w:t>
      </w:r>
      <w:r w:rsidR="00255227">
        <w:rPr>
          <w:b w:val="0"/>
          <w:spacing w:val="10"/>
          <w:sz w:val="22"/>
          <w:szCs w:val="22"/>
        </w:rPr>
        <w:t xml:space="preserve"> </w:t>
      </w:r>
      <w:r w:rsidRPr="002A45EE">
        <w:rPr>
          <w:b w:val="0"/>
          <w:spacing w:val="10"/>
          <w:sz w:val="22"/>
          <w:szCs w:val="22"/>
        </w:rPr>
        <w:t>se encontraban ocupadas o desocupadas,</w:t>
      </w:r>
      <w:r w:rsidR="0044335D">
        <w:rPr>
          <w:b w:val="0"/>
          <w:spacing w:val="10"/>
          <w:sz w:val="22"/>
          <w:szCs w:val="22"/>
        </w:rPr>
        <w:t xml:space="preserve"> </w:t>
      </w:r>
      <w:r w:rsidR="00A706A2">
        <w:rPr>
          <w:b w:val="0"/>
          <w:spacing w:val="10"/>
          <w:sz w:val="22"/>
          <w:szCs w:val="22"/>
        </w:rPr>
        <w:t>fueron</w:t>
      </w:r>
      <w:r w:rsidR="00C44CE2">
        <w:rPr>
          <w:b w:val="0"/>
          <w:spacing w:val="10"/>
          <w:sz w:val="22"/>
          <w:szCs w:val="22"/>
        </w:rPr>
        <w:t xml:space="preserve"> </w:t>
      </w:r>
      <w:r w:rsidR="0001502C">
        <w:rPr>
          <w:b w:val="0"/>
          <w:spacing w:val="10"/>
          <w:sz w:val="22"/>
          <w:szCs w:val="22"/>
        </w:rPr>
        <w:t>5</w:t>
      </w:r>
      <w:r w:rsidR="004112D4">
        <w:rPr>
          <w:b w:val="0"/>
          <w:spacing w:val="10"/>
          <w:sz w:val="22"/>
          <w:szCs w:val="22"/>
        </w:rPr>
        <w:t>5</w:t>
      </w:r>
      <w:r w:rsidR="0001502C">
        <w:rPr>
          <w:b w:val="0"/>
          <w:spacing w:val="10"/>
          <w:sz w:val="22"/>
          <w:szCs w:val="22"/>
        </w:rPr>
        <w:t>.</w:t>
      </w:r>
      <w:r w:rsidR="006E302F">
        <w:rPr>
          <w:b w:val="0"/>
          <w:spacing w:val="10"/>
          <w:sz w:val="22"/>
          <w:szCs w:val="22"/>
        </w:rPr>
        <w:t>4</w:t>
      </w:r>
      <w:r w:rsidR="00C44CE2">
        <w:rPr>
          <w:b w:val="0"/>
          <w:spacing w:val="10"/>
          <w:sz w:val="22"/>
          <w:szCs w:val="22"/>
        </w:rPr>
        <w:t xml:space="preserve"> </w:t>
      </w:r>
      <w:r w:rsidR="0044335D">
        <w:rPr>
          <w:b w:val="0"/>
          <w:spacing w:val="10"/>
          <w:sz w:val="22"/>
          <w:szCs w:val="22"/>
        </w:rPr>
        <w:t xml:space="preserve">millones en </w:t>
      </w:r>
      <w:r w:rsidR="00434044">
        <w:rPr>
          <w:b w:val="0"/>
          <w:spacing w:val="10"/>
          <w:sz w:val="22"/>
          <w:szCs w:val="22"/>
        </w:rPr>
        <w:t xml:space="preserve">el </w:t>
      </w:r>
      <w:r w:rsidR="00177B20">
        <w:rPr>
          <w:b w:val="0"/>
          <w:spacing w:val="10"/>
          <w:sz w:val="22"/>
          <w:szCs w:val="22"/>
        </w:rPr>
        <w:t>primer</w:t>
      </w:r>
      <w:r w:rsidR="00434044">
        <w:rPr>
          <w:b w:val="0"/>
          <w:spacing w:val="10"/>
          <w:sz w:val="22"/>
          <w:szCs w:val="22"/>
        </w:rPr>
        <w:t xml:space="preserve"> trimestre</w:t>
      </w:r>
      <w:r w:rsidR="0044335D">
        <w:rPr>
          <w:b w:val="0"/>
          <w:spacing w:val="10"/>
          <w:sz w:val="22"/>
          <w:szCs w:val="22"/>
        </w:rPr>
        <w:t xml:space="preserve"> de </w:t>
      </w:r>
      <w:r w:rsidR="00177B20">
        <w:rPr>
          <w:b w:val="0"/>
          <w:spacing w:val="10"/>
          <w:sz w:val="22"/>
          <w:szCs w:val="22"/>
        </w:rPr>
        <w:t>2021</w:t>
      </w:r>
      <w:r w:rsidR="0044335D">
        <w:rPr>
          <w:b w:val="0"/>
          <w:spacing w:val="10"/>
          <w:sz w:val="22"/>
          <w:szCs w:val="22"/>
        </w:rPr>
        <w:t xml:space="preserve">, </w:t>
      </w:r>
      <w:r w:rsidR="004112D4">
        <w:rPr>
          <w:b w:val="0"/>
          <w:spacing w:val="10"/>
          <w:sz w:val="22"/>
          <w:szCs w:val="22"/>
        </w:rPr>
        <w:t>1.</w:t>
      </w:r>
      <w:r w:rsidR="006E302F">
        <w:rPr>
          <w:b w:val="0"/>
          <w:spacing w:val="10"/>
          <w:sz w:val="22"/>
          <w:szCs w:val="22"/>
        </w:rPr>
        <w:t>6</w:t>
      </w:r>
      <w:r w:rsidR="00A97D0D">
        <w:rPr>
          <w:b w:val="0"/>
          <w:spacing w:val="10"/>
          <w:sz w:val="22"/>
          <w:szCs w:val="22"/>
        </w:rPr>
        <w:t xml:space="preserve"> </w:t>
      </w:r>
      <w:r w:rsidR="00434044">
        <w:rPr>
          <w:b w:val="0"/>
          <w:spacing w:val="10"/>
          <w:sz w:val="22"/>
          <w:szCs w:val="22"/>
        </w:rPr>
        <w:t xml:space="preserve">millones menos </w:t>
      </w:r>
      <w:r w:rsidR="001B08D2">
        <w:rPr>
          <w:b w:val="0"/>
          <w:spacing w:val="10"/>
          <w:sz w:val="22"/>
          <w:szCs w:val="22"/>
        </w:rPr>
        <w:t xml:space="preserve">que en </w:t>
      </w:r>
      <w:r w:rsidR="00434044">
        <w:rPr>
          <w:b w:val="0"/>
          <w:spacing w:val="10"/>
          <w:sz w:val="22"/>
          <w:szCs w:val="22"/>
        </w:rPr>
        <w:t xml:space="preserve">igual periodo de </w:t>
      </w:r>
      <w:r w:rsidR="00177B20">
        <w:rPr>
          <w:b w:val="0"/>
          <w:spacing w:val="10"/>
          <w:sz w:val="22"/>
          <w:szCs w:val="22"/>
        </w:rPr>
        <w:t>2020</w:t>
      </w:r>
      <w:r w:rsidR="001B08D2">
        <w:rPr>
          <w:b w:val="0"/>
          <w:spacing w:val="10"/>
          <w:sz w:val="22"/>
          <w:szCs w:val="22"/>
        </w:rPr>
        <w:t xml:space="preserve">. </w:t>
      </w:r>
      <w:r w:rsidR="00434044">
        <w:rPr>
          <w:b w:val="0"/>
          <w:spacing w:val="10"/>
          <w:sz w:val="22"/>
          <w:szCs w:val="22"/>
        </w:rPr>
        <w:t xml:space="preserve">La división según sexo, </w:t>
      </w:r>
      <w:r w:rsidR="00451645">
        <w:rPr>
          <w:b w:val="0"/>
          <w:spacing w:val="10"/>
          <w:sz w:val="22"/>
          <w:szCs w:val="22"/>
        </w:rPr>
        <w:t>en</w:t>
      </w:r>
      <w:r w:rsidR="00434044">
        <w:rPr>
          <w:b w:val="0"/>
          <w:spacing w:val="10"/>
          <w:sz w:val="22"/>
          <w:szCs w:val="22"/>
        </w:rPr>
        <w:t xml:space="preserve"> la PEA masculina fue de 3</w:t>
      </w:r>
      <w:r w:rsidR="004112D4">
        <w:rPr>
          <w:b w:val="0"/>
          <w:spacing w:val="10"/>
          <w:sz w:val="22"/>
          <w:szCs w:val="22"/>
        </w:rPr>
        <w:t>4.2</w:t>
      </w:r>
      <w:r w:rsidR="00434044">
        <w:rPr>
          <w:b w:val="0"/>
          <w:spacing w:val="10"/>
          <w:sz w:val="22"/>
          <w:szCs w:val="22"/>
        </w:rPr>
        <w:t xml:space="preserve"> millones, </w:t>
      </w:r>
      <w:r w:rsidR="006E302F">
        <w:rPr>
          <w:b w:val="0"/>
          <w:spacing w:val="10"/>
          <w:sz w:val="22"/>
          <w:szCs w:val="22"/>
        </w:rPr>
        <w:t>267</w:t>
      </w:r>
      <w:r w:rsidR="004112D4">
        <w:rPr>
          <w:b w:val="0"/>
          <w:spacing w:val="10"/>
          <w:sz w:val="22"/>
          <w:szCs w:val="22"/>
        </w:rPr>
        <w:t xml:space="preserve"> mil</w:t>
      </w:r>
      <w:r w:rsidR="00434044">
        <w:rPr>
          <w:b w:val="0"/>
          <w:spacing w:val="10"/>
          <w:sz w:val="22"/>
          <w:szCs w:val="22"/>
        </w:rPr>
        <w:t xml:space="preserve"> </w:t>
      </w:r>
      <w:r w:rsidR="00100315">
        <w:rPr>
          <w:b w:val="0"/>
          <w:spacing w:val="10"/>
          <w:sz w:val="22"/>
          <w:szCs w:val="22"/>
        </w:rPr>
        <w:t xml:space="preserve">personas </w:t>
      </w:r>
      <w:r w:rsidR="00434044">
        <w:rPr>
          <w:b w:val="0"/>
          <w:spacing w:val="10"/>
          <w:sz w:val="22"/>
          <w:szCs w:val="22"/>
        </w:rPr>
        <w:t>menos y la PEA femenina fue de 2</w:t>
      </w:r>
      <w:r w:rsidR="004112D4">
        <w:rPr>
          <w:b w:val="0"/>
          <w:spacing w:val="10"/>
          <w:sz w:val="22"/>
          <w:szCs w:val="22"/>
        </w:rPr>
        <w:t>1.</w:t>
      </w:r>
      <w:r w:rsidR="006E302F">
        <w:rPr>
          <w:b w:val="0"/>
          <w:spacing w:val="10"/>
          <w:sz w:val="22"/>
          <w:szCs w:val="22"/>
        </w:rPr>
        <w:t>2</w:t>
      </w:r>
      <w:r w:rsidR="00434044">
        <w:rPr>
          <w:b w:val="0"/>
          <w:spacing w:val="10"/>
          <w:sz w:val="22"/>
          <w:szCs w:val="22"/>
        </w:rPr>
        <w:t xml:space="preserve"> millones, </w:t>
      </w:r>
      <w:r w:rsidR="00100315">
        <w:rPr>
          <w:b w:val="0"/>
          <w:spacing w:val="10"/>
          <w:sz w:val="22"/>
          <w:szCs w:val="22"/>
        </w:rPr>
        <w:t xml:space="preserve">cifra inferior en </w:t>
      </w:r>
      <w:r w:rsidR="004112D4">
        <w:rPr>
          <w:b w:val="0"/>
          <w:spacing w:val="10"/>
          <w:sz w:val="22"/>
          <w:szCs w:val="22"/>
        </w:rPr>
        <w:t>1.</w:t>
      </w:r>
      <w:r w:rsidR="006E302F">
        <w:rPr>
          <w:b w:val="0"/>
          <w:spacing w:val="10"/>
          <w:sz w:val="22"/>
          <w:szCs w:val="22"/>
        </w:rPr>
        <w:t>4</w:t>
      </w:r>
      <w:r w:rsidR="00434044">
        <w:rPr>
          <w:b w:val="0"/>
          <w:spacing w:val="10"/>
          <w:sz w:val="22"/>
          <w:szCs w:val="22"/>
        </w:rPr>
        <w:t xml:space="preserve"> millones al monto registrado en </w:t>
      </w:r>
      <w:r w:rsidR="00451645">
        <w:rPr>
          <w:b w:val="0"/>
          <w:spacing w:val="10"/>
          <w:sz w:val="22"/>
          <w:szCs w:val="22"/>
        </w:rPr>
        <w:t xml:space="preserve">el </w:t>
      </w:r>
      <w:r w:rsidR="00177B20">
        <w:rPr>
          <w:b w:val="0"/>
          <w:spacing w:val="10"/>
          <w:sz w:val="22"/>
          <w:szCs w:val="22"/>
        </w:rPr>
        <w:t>primer</w:t>
      </w:r>
      <w:r w:rsidR="00434044">
        <w:rPr>
          <w:b w:val="0"/>
          <w:spacing w:val="10"/>
          <w:sz w:val="22"/>
          <w:szCs w:val="22"/>
        </w:rPr>
        <w:t xml:space="preserve"> trimestre </w:t>
      </w:r>
      <w:r w:rsidR="000F3117">
        <w:rPr>
          <w:b w:val="0"/>
          <w:spacing w:val="10"/>
          <w:sz w:val="22"/>
          <w:szCs w:val="22"/>
        </w:rPr>
        <w:t xml:space="preserve">de </w:t>
      </w:r>
      <w:r w:rsidR="00177B20">
        <w:rPr>
          <w:b w:val="0"/>
          <w:spacing w:val="10"/>
          <w:sz w:val="22"/>
          <w:szCs w:val="22"/>
        </w:rPr>
        <w:t>2020</w:t>
      </w:r>
      <w:r w:rsidR="00434044">
        <w:rPr>
          <w:b w:val="0"/>
          <w:spacing w:val="10"/>
          <w:sz w:val="22"/>
          <w:szCs w:val="22"/>
        </w:rPr>
        <w:t>.</w:t>
      </w:r>
    </w:p>
    <w:p w14:paraId="6968AC01" w14:textId="77777777" w:rsidR="00434044" w:rsidRDefault="00434044" w:rsidP="009749DA">
      <w:pPr>
        <w:pStyle w:val="Subttulo"/>
        <w:jc w:val="both"/>
        <w:rPr>
          <w:b w:val="0"/>
          <w:spacing w:val="10"/>
          <w:sz w:val="22"/>
          <w:szCs w:val="22"/>
        </w:rPr>
      </w:pPr>
    </w:p>
    <w:p w14:paraId="2356D281" w14:textId="77777777" w:rsidR="00E04E81" w:rsidRDefault="00E04E81">
      <w:pPr>
        <w:rPr>
          <w:rFonts w:ascii="Arial" w:hAnsi="Arial" w:cs="Arial"/>
          <w:b/>
          <w:smallCaps/>
        </w:rPr>
      </w:pPr>
      <w:r>
        <w:rPr>
          <w:rFonts w:ascii="Arial" w:hAnsi="Arial" w:cs="Arial"/>
          <w:b/>
          <w:smallCaps/>
        </w:rPr>
        <w:br w:type="page"/>
      </w:r>
    </w:p>
    <w:p w14:paraId="24F8618E" w14:textId="405BF871" w:rsidR="004E1598" w:rsidRPr="000C73EB" w:rsidRDefault="004E1598" w:rsidP="009749DA">
      <w:pPr>
        <w:spacing w:after="0" w:line="240" w:lineRule="auto"/>
        <w:contextualSpacing/>
        <w:jc w:val="center"/>
        <w:rPr>
          <w:rFonts w:ascii="Arial" w:hAnsi="Arial" w:cs="Arial"/>
          <w:b/>
          <w:smallCaps/>
        </w:rPr>
      </w:pPr>
      <w:r w:rsidRPr="000C73EB">
        <w:rPr>
          <w:rFonts w:ascii="Arial" w:hAnsi="Arial" w:cs="Arial"/>
          <w:b/>
          <w:smallCaps/>
        </w:rPr>
        <w:lastRenderedPageBreak/>
        <w:t>Población de 15 y más años por condición de actividad económica</w:t>
      </w:r>
      <w:r>
        <w:rPr>
          <w:rFonts w:ascii="Arial" w:hAnsi="Arial" w:cs="Arial"/>
          <w:b/>
          <w:smallCaps/>
        </w:rPr>
        <w:t>, de ocupación y disponibilidad para trabajar según sexo</w:t>
      </w:r>
      <w:r w:rsidRPr="000C73EB">
        <w:rPr>
          <w:rFonts w:ascii="Arial" w:hAnsi="Arial" w:cs="Arial"/>
          <w:b/>
          <w:smallCaps/>
        </w:rPr>
        <w:t xml:space="preserve"> durante </w:t>
      </w:r>
      <w:r>
        <w:rPr>
          <w:rFonts w:ascii="Arial" w:hAnsi="Arial" w:cs="Arial"/>
          <w:b/>
          <w:smallCaps/>
        </w:rPr>
        <w:t xml:space="preserve">el </w:t>
      </w:r>
      <w:r w:rsidR="00177B20">
        <w:rPr>
          <w:rFonts w:ascii="Arial" w:hAnsi="Arial" w:cs="Arial"/>
          <w:b/>
          <w:smallCaps/>
        </w:rPr>
        <w:t>primer</w:t>
      </w:r>
      <w:r>
        <w:rPr>
          <w:rFonts w:ascii="Arial" w:hAnsi="Arial" w:cs="Arial"/>
          <w:b/>
          <w:smallCaps/>
        </w:rPr>
        <w:t xml:space="preserve"> trimestre </w:t>
      </w:r>
      <w:r w:rsidRPr="000C73EB">
        <w:rPr>
          <w:rFonts w:ascii="Arial" w:hAnsi="Arial" w:cs="Arial"/>
          <w:b/>
          <w:smallCaps/>
        </w:rPr>
        <w:t xml:space="preserve">de </w:t>
      </w:r>
      <w:r w:rsidR="00177B20">
        <w:rPr>
          <w:rFonts w:ascii="Arial" w:hAnsi="Arial" w:cs="Arial"/>
          <w:b/>
          <w:smallCaps/>
        </w:rPr>
        <w:t>2021</w:t>
      </w:r>
    </w:p>
    <w:p w14:paraId="149F345D" w14:textId="77777777" w:rsidR="003A795B" w:rsidRPr="003A795B" w:rsidRDefault="003A795B" w:rsidP="003A795B">
      <w:pPr>
        <w:spacing w:after="0" w:line="240" w:lineRule="auto"/>
        <w:contextualSpacing/>
        <w:jc w:val="center"/>
        <w:rPr>
          <w:rFonts w:ascii="Arial" w:hAnsi="Arial" w:cs="Arial"/>
          <w:smallCaps/>
          <w:sz w:val="16"/>
          <w:szCs w:val="18"/>
        </w:rPr>
      </w:pPr>
      <w:r w:rsidRPr="003A795B">
        <w:rPr>
          <w:rFonts w:ascii="Arial" w:hAnsi="Arial" w:cs="Arial"/>
          <w:smallCaps/>
          <w:sz w:val="16"/>
          <w:szCs w:val="18"/>
        </w:rPr>
        <w:t>(PERSONAS Y PORCENTAJE)</w:t>
      </w:r>
    </w:p>
    <w:p w14:paraId="4C5AF528" w14:textId="52683A71" w:rsidR="00434044" w:rsidRDefault="00616B14" w:rsidP="009749DA">
      <w:pPr>
        <w:pStyle w:val="Subttulo"/>
        <w:rPr>
          <w:b w:val="0"/>
          <w:spacing w:val="10"/>
          <w:sz w:val="22"/>
          <w:szCs w:val="22"/>
        </w:rPr>
      </w:pPr>
      <w:r w:rsidRPr="00616B14">
        <w:rPr>
          <w:noProof/>
          <w:lang w:val="es-MX" w:eastAsia="es-MX"/>
        </w:rPr>
        <w:drawing>
          <wp:inline distT="0" distB="0" distL="0" distR="0" wp14:anchorId="3BFC4AF4" wp14:editId="4474DDA7">
            <wp:extent cx="5610225" cy="4295775"/>
            <wp:effectExtent l="0" t="0" r="9525" b="9525"/>
            <wp:docPr id="61" name="Imagen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10225" cy="4295775"/>
                    </a:xfrm>
                    <a:prstGeom prst="rect">
                      <a:avLst/>
                    </a:prstGeom>
                    <a:noFill/>
                    <a:ln>
                      <a:noFill/>
                    </a:ln>
                  </pic:spPr>
                </pic:pic>
              </a:graphicData>
            </a:graphic>
          </wp:inline>
        </w:drawing>
      </w:r>
    </w:p>
    <w:p w14:paraId="587BEE20" w14:textId="1CE4C8CE" w:rsidR="00177695" w:rsidRDefault="00177695" w:rsidP="009749DA">
      <w:pPr>
        <w:tabs>
          <w:tab w:val="left" w:pos="851"/>
        </w:tabs>
        <w:spacing w:after="0" w:line="240" w:lineRule="auto"/>
        <w:ind w:left="142" w:right="333"/>
        <w:rPr>
          <w:rFonts w:ascii="Arial" w:hAnsi="Arial" w:cs="Arial"/>
          <w:noProof/>
          <w:sz w:val="14"/>
          <w:szCs w:val="14"/>
          <w:lang w:val="es-ES" w:eastAsia="es-ES"/>
        </w:rPr>
      </w:pPr>
      <w:r>
        <w:rPr>
          <w:rFonts w:ascii="Arial" w:hAnsi="Arial" w:cs="Arial"/>
          <w:noProof/>
          <w:sz w:val="14"/>
          <w:szCs w:val="14"/>
          <w:lang w:val="es-ES" w:eastAsia="es-ES"/>
        </w:rPr>
        <w:t>Fuente:</w:t>
      </w:r>
      <w:r>
        <w:rPr>
          <w:rFonts w:ascii="Arial" w:hAnsi="Arial" w:cs="Arial"/>
          <w:noProof/>
          <w:sz w:val="14"/>
          <w:szCs w:val="14"/>
          <w:lang w:val="es-ES" w:eastAsia="es-ES"/>
        </w:rPr>
        <w:tab/>
        <w:t xml:space="preserve">INEGI. Encuesta Nacional de Ocupación y Empleo. Nueva Edición, </w:t>
      </w:r>
      <w:r w:rsidR="00177B20">
        <w:rPr>
          <w:rFonts w:ascii="Arial" w:hAnsi="Arial" w:cs="Arial"/>
          <w:noProof/>
          <w:sz w:val="14"/>
          <w:szCs w:val="14"/>
          <w:lang w:val="es-ES" w:eastAsia="es-ES"/>
        </w:rPr>
        <w:t>primer</w:t>
      </w:r>
      <w:r>
        <w:rPr>
          <w:rFonts w:ascii="Arial" w:hAnsi="Arial" w:cs="Arial"/>
          <w:noProof/>
          <w:sz w:val="14"/>
          <w:szCs w:val="14"/>
          <w:lang w:val="es-ES" w:eastAsia="es-ES"/>
        </w:rPr>
        <w:t xml:space="preserve"> trimestre de </w:t>
      </w:r>
      <w:r w:rsidR="00177B20">
        <w:rPr>
          <w:rFonts w:ascii="Arial" w:hAnsi="Arial" w:cs="Arial"/>
          <w:noProof/>
          <w:sz w:val="14"/>
          <w:szCs w:val="14"/>
          <w:lang w:val="es-ES" w:eastAsia="es-ES"/>
        </w:rPr>
        <w:t>2021</w:t>
      </w:r>
      <w:r>
        <w:rPr>
          <w:rFonts w:ascii="Arial" w:hAnsi="Arial" w:cs="Arial"/>
          <w:noProof/>
          <w:sz w:val="14"/>
          <w:szCs w:val="14"/>
          <w:lang w:val="es-ES" w:eastAsia="es-ES"/>
        </w:rPr>
        <w:t>.</w:t>
      </w:r>
    </w:p>
    <w:p w14:paraId="256B1F5D" w14:textId="286C3308" w:rsidR="00177695" w:rsidRDefault="00177695" w:rsidP="009749DA">
      <w:pPr>
        <w:tabs>
          <w:tab w:val="left" w:pos="851"/>
        </w:tabs>
        <w:spacing w:after="0" w:line="240" w:lineRule="auto"/>
        <w:ind w:left="142" w:right="333"/>
      </w:pPr>
      <w:r>
        <w:rPr>
          <w:rFonts w:ascii="Arial" w:hAnsi="Arial" w:cs="Arial"/>
          <w:noProof/>
          <w:sz w:val="14"/>
          <w:szCs w:val="14"/>
          <w:lang w:val="es-ES" w:eastAsia="es-ES"/>
        </w:rPr>
        <w:tab/>
        <w:t xml:space="preserve">INEGI. Encuesta Nacional de Ocupación y Empleo, </w:t>
      </w:r>
      <w:r w:rsidR="00177B20">
        <w:rPr>
          <w:rFonts w:ascii="Arial" w:hAnsi="Arial" w:cs="Arial"/>
          <w:noProof/>
          <w:sz w:val="14"/>
          <w:szCs w:val="14"/>
          <w:lang w:val="es-ES" w:eastAsia="es-ES"/>
        </w:rPr>
        <w:t>primer</w:t>
      </w:r>
      <w:r>
        <w:rPr>
          <w:rFonts w:ascii="Arial" w:hAnsi="Arial" w:cs="Arial"/>
          <w:noProof/>
          <w:sz w:val="14"/>
          <w:szCs w:val="14"/>
          <w:lang w:val="es-ES" w:eastAsia="es-ES"/>
        </w:rPr>
        <w:t xml:space="preserve"> trimestre de </w:t>
      </w:r>
      <w:r w:rsidR="00177B20">
        <w:rPr>
          <w:rFonts w:ascii="Arial" w:hAnsi="Arial" w:cs="Arial"/>
          <w:noProof/>
          <w:sz w:val="14"/>
          <w:szCs w:val="14"/>
          <w:lang w:val="es-ES" w:eastAsia="es-ES"/>
        </w:rPr>
        <w:t>2020</w:t>
      </w:r>
      <w:r w:rsidR="004112D4">
        <w:rPr>
          <w:rFonts w:ascii="Arial" w:hAnsi="Arial" w:cs="Arial"/>
          <w:noProof/>
          <w:sz w:val="14"/>
          <w:szCs w:val="14"/>
          <w:lang w:val="es-ES" w:eastAsia="es-ES"/>
        </w:rPr>
        <w:t>.</w:t>
      </w:r>
    </w:p>
    <w:p w14:paraId="199EEF2E" w14:textId="77777777" w:rsidR="001E2286" w:rsidRPr="006E302F" w:rsidRDefault="001E2286" w:rsidP="009749DA">
      <w:pPr>
        <w:spacing w:after="0" w:line="240" w:lineRule="auto"/>
        <w:rPr>
          <w:rFonts w:ascii="Arial" w:hAnsi="Arial" w:cs="Arial"/>
          <w:smallCaps/>
        </w:rPr>
      </w:pPr>
    </w:p>
    <w:p w14:paraId="014A7AA0" w14:textId="77777777" w:rsidR="008E19F3" w:rsidRPr="006E302F" w:rsidRDefault="008E19F3" w:rsidP="009749DA">
      <w:pPr>
        <w:spacing w:after="0" w:line="240" w:lineRule="auto"/>
        <w:rPr>
          <w:rFonts w:ascii="Arial" w:hAnsi="Arial" w:cs="Arial"/>
          <w:smallCaps/>
        </w:rPr>
      </w:pPr>
    </w:p>
    <w:p w14:paraId="214F0778" w14:textId="34A8C733" w:rsidR="00C26C9A" w:rsidRDefault="004E1598" w:rsidP="009749DA">
      <w:pPr>
        <w:pStyle w:val="Subttulo"/>
        <w:jc w:val="both"/>
        <w:rPr>
          <w:b w:val="0"/>
          <w:spacing w:val="10"/>
          <w:sz w:val="22"/>
          <w:szCs w:val="22"/>
        </w:rPr>
      </w:pPr>
      <w:r>
        <w:rPr>
          <w:b w:val="0"/>
          <w:spacing w:val="10"/>
          <w:sz w:val="22"/>
          <w:szCs w:val="22"/>
        </w:rPr>
        <w:t xml:space="preserve">La tasa de participación económica en el </w:t>
      </w:r>
      <w:r w:rsidR="00177B20">
        <w:rPr>
          <w:b w:val="0"/>
          <w:spacing w:val="10"/>
          <w:sz w:val="22"/>
          <w:szCs w:val="22"/>
        </w:rPr>
        <w:t>primer</w:t>
      </w:r>
      <w:r>
        <w:rPr>
          <w:b w:val="0"/>
          <w:spacing w:val="10"/>
          <w:sz w:val="22"/>
          <w:szCs w:val="22"/>
        </w:rPr>
        <w:t xml:space="preserve"> trimestre de </w:t>
      </w:r>
      <w:r w:rsidR="00177B20">
        <w:rPr>
          <w:b w:val="0"/>
          <w:spacing w:val="10"/>
          <w:sz w:val="22"/>
          <w:szCs w:val="22"/>
        </w:rPr>
        <w:t>2021</w:t>
      </w:r>
      <w:r>
        <w:rPr>
          <w:b w:val="0"/>
          <w:spacing w:val="10"/>
          <w:sz w:val="22"/>
          <w:szCs w:val="22"/>
        </w:rPr>
        <w:t xml:space="preserve"> fue de 5</w:t>
      </w:r>
      <w:r w:rsidR="00254C96">
        <w:rPr>
          <w:b w:val="0"/>
          <w:spacing w:val="10"/>
          <w:sz w:val="22"/>
          <w:szCs w:val="22"/>
        </w:rPr>
        <w:t>7</w:t>
      </w:r>
      <w:r>
        <w:rPr>
          <w:b w:val="0"/>
          <w:spacing w:val="10"/>
          <w:sz w:val="22"/>
          <w:szCs w:val="22"/>
        </w:rPr>
        <w:t>.</w:t>
      </w:r>
      <w:r w:rsidR="00616B14">
        <w:rPr>
          <w:b w:val="0"/>
          <w:spacing w:val="10"/>
          <w:sz w:val="22"/>
          <w:szCs w:val="22"/>
        </w:rPr>
        <w:t>1</w:t>
      </w:r>
      <w:r>
        <w:rPr>
          <w:b w:val="0"/>
          <w:spacing w:val="10"/>
          <w:sz w:val="22"/>
          <w:szCs w:val="22"/>
        </w:rPr>
        <w:t xml:space="preserve">% de la población en edad para trabajar, </w:t>
      </w:r>
      <w:r w:rsidR="00254C96">
        <w:rPr>
          <w:b w:val="0"/>
          <w:spacing w:val="10"/>
          <w:sz w:val="22"/>
          <w:szCs w:val="22"/>
        </w:rPr>
        <w:t>2.</w:t>
      </w:r>
      <w:r w:rsidR="00616B14">
        <w:rPr>
          <w:b w:val="0"/>
          <w:spacing w:val="10"/>
          <w:sz w:val="22"/>
          <w:szCs w:val="22"/>
        </w:rPr>
        <w:t>8</w:t>
      </w:r>
      <w:r>
        <w:rPr>
          <w:b w:val="0"/>
          <w:spacing w:val="10"/>
          <w:sz w:val="22"/>
          <w:szCs w:val="22"/>
        </w:rPr>
        <w:t xml:space="preserve"> puntos porcentuales </w:t>
      </w:r>
      <w:r w:rsidR="00BB02E1">
        <w:rPr>
          <w:b w:val="0"/>
          <w:spacing w:val="10"/>
          <w:sz w:val="22"/>
          <w:szCs w:val="22"/>
        </w:rPr>
        <w:t>inferior</w:t>
      </w:r>
      <w:r w:rsidR="00C26C9A">
        <w:rPr>
          <w:b w:val="0"/>
          <w:spacing w:val="10"/>
          <w:sz w:val="22"/>
          <w:szCs w:val="22"/>
        </w:rPr>
        <w:t xml:space="preserve"> </w:t>
      </w:r>
      <w:r>
        <w:rPr>
          <w:b w:val="0"/>
          <w:spacing w:val="10"/>
          <w:sz w:val="22"/>
          <w:szCs w:val="22"/>
        </w:rPr>
        <w:t xml:space="preserve">a la del </w:t>
      </w:r>
      <w:r w:rsidR="00177B20">
        <w:rPr>
          <w:b w:val="0"/>
          <w:spacing w:val="10"/>
          <w:sz w:val="22"/>
          <w:szCs w:val="22"/>
        </w:rPr>
        <w:t>primer</w:t>
      </w:r>
      <w:r w:rsidR="00C26C9A">
        <w:rPr>
          <w:b w:val="0"/>
          <w:spacing w:val="10"/>
          <w:sz w:val="22"/>
          <w:szCs w:val="22"/>
        </w:rPr>
        <w:t xml:space="preserve"> trimestre </w:t>
      </w:r>
      <w:r w:rsidR="000F3117">
        <w:rPr>
          <w:b w:val="0"/>
          <w:spacing w:val="10"/>
          <w:sz w:val="22"/>
          <w:szCs w:val="22"/>
        </w:rPr>
        <w:t xml:space="preserve">de </w:t>
      </w:r>
      <w:r w:rsidR="00177B20">
        <w:rPr>
          <w:b w:val="0"/>
          <w:spacing w:val="10"/>
          <w:sz w:val="22"/>
          <w:szCs w:val="22"/>
        </w:rPr>
        <w:t>2020</w:t>
      </w:r>
      <w:r>
        <w:rPr>
          <w:b w:val="0"/>
          <w:spacing w:val="10"/>
          <w:sz w:val="22"/>
          <w:szCs w:val="22"/>
        </w:rPr>
        <w:t>.</w:t>
      </w:r>
      <w:r w:rsidR="00C26C9A">
        <w:rPr>
          <w:b w:val="0"/>
          <w:spacing w:val="10"/>
          <w:sz w:val="22"/>
          <w:szCs w:val="22"/>
        </w:rPr>
        <w:t xml:space="preserve"> Por su parte, la tasa de participación económica masculina fue de 7</w:t>
      </w:r>
      <w:r w:rsidR="00254C96">
        <w:rPr>
          <w:b w:val="0"/>
          <w:spacing w:val="10"/>
          <w:sz w:val="22"/>
          <w:szCs w:val="22"/>
        </w:rPr>
        <w:t>4.2</w:t>
      </w:r>
      <w:r w:rsidR="00C26C9A">
        <w:rPr>
          <w:b w:val="0"/>
          <w:spacing w:val="10"/>
          <w:sz w:val="22"/>
          <w:szCs w:val="22"/>
        </w:rPr>
        <w:t>%</w:t>
      </w:r>
      <w:r w:rsidR="000609B2">
        <w:rPr>
          <w:b w:val="0"/>
          <w:spacing w:val="10"/>
          <w:sz w:val="22"/>
          <w:szCs w:val="22"/>
        </w:rPr>
        <w:t xml:space="preserve"> y la femenina de </w:t>
      </w:r>
      <w:r w:rsidR="00254C96">
        <w:rPr>
          <w:b w:val="0"/>
          <w:spacing w:val="10"/>
          <w:sz w:val="22"/>
          <w:szCs w:val="22"/>
        </w:rPr>
        <w:t>4</w:t>
      </w:r>
      <w:r w:rsidR="00616B14">
        <w:rPr>
          <w:b w:val="0"/>
          <w:spacing w:val="10"/>
          <w:sz w:val="22"/>
          <w:szCs w:val="22"/>
        </w:rPr>
        <w:t>1.7</w:t>
      </w:r>
      <w:r w:rsidR="000609B2">
        <w:rPr>
          <w:b w:val="0"/>
          <w:spacing w:val="10"/>
          <w:sz w:val="22"/>
          <w:szCs w:val="22"/>
        </w:rPr>
        <w:t>%</w:t>
      </w:r>
      <w:r w:rsidR="00C26C9A">
        <w:rPr>
          <w:b w:val="0"/>
          <w:spacing w:val="10"/>
          <w:sz w:val="22"/>
          <w:szCs w:val="22"/>
        </w:rPr>
        <w:t xml:space="preserve">, </w:t>
      </w:r>
      <w:r w:rsidR="00254C96">
        <w:rPr>
          <w:b w:val="0"/>
          <w:spacing w:val="10"/>
          <w:sz w:val="22"/>
          <w:szCs w:val="22"/>
        </w:rPr>
        <w:t xml:space="preserve">cifras inferiores en </w:t>
      </w:r>
      <w:r w:rsidR="00616B14">
        <w:rPr>
          <w:b w:val="0"/>
          <w:spacing w:val="10"/>
          <w:sz w:val="22"/>
          <w:szCs w:val="22"/>
        </w:rPr>
        <w:t>2.2 y 3.4</w:t>
      </w:r>
      <w:r w:rsidR="000609B2">
        <w:rPr>
          <w:b w:val="0"/>
          <w:spacing w:val="10"/>
          <w:sz w:val="22"/>
          <w:szCs w:val="22"/>
        </w:rPr>
        <w:t xml:space="preserve"> </w:t>
      </w:r>
      <w:r w:rsidR="00C26C9A">
        <w:rPr>
          <w:b w:val="0"/>
          <w:spacing w:val="10"/>
          <w:sz w:val="22"/>
          <w:szCs w:val="22"/>
        </w:rPr>
        <w:t>puntos porcentuales</w:t>
      </w:r>
      <w:r w:rsidR="00254C96">
        <w:rPr>
          <w:b w:val="0"/>
          <w:spacing w:val="10"/>
          <w:sz w:val="22"/>
          <w:szCs w:val="22"/>
        </w:rPr>
        <w:t xml:space="preserve"> respectivamente en comparación </w:t>
      </w:r>
      <w:r w:rsidR="00100315">
        <w:rPr>
          <w:b w:val="0"/>
          <w:spacing w:val="10"/>
          <w:sz w:val="22"/>
          <w:szCs w:val="22"/>
        </w:rPr>
        <w:t>con igual periodo</w:t>
      </w:r>
      <w:r w:rsidR="00C26C9A">
        <w:rPr>
          <w:b w:val="0"/>
          <w:spacing w:val="10"/>
          <w:sz w:val="22"/>
          <w:szCs w:val="22"/>
        </w:rPr>
        <w:t xml:space="preserve"> de </w:t>
      </w:r>
      <w:r w:rsidR="00177B20">
        <w:rPr>
          <w:b w:val="0"/>
          <w:spacing w:val="10"/>
          <w:sz w:val="22"/>
          <w:szCs w:val="22"/>
        </w:rPr>
        <w:t>2020</w:t>
      </w:r>
      <w:r w:rsidR="00C26C9A">
        <w:rPr>
          <w:b w:val="0"/>
          <w:spacing w:val="10"/>
          <w:sz w:val="22"/>
          <w:szCs w:val="22"/>
        </w:rPr>
        <w:t>.</w:t>
      </w:r>
    </w:p>
    <w:p w14:paraId="6FDE5B09" w14:textId="0A175ABE" w:rsidR="00C26C9A" w:rsidRDefault="00C26C9A" w:rsidP="009749DA">
      <w:pPr>
        <w:pStyle w:val="Subttulo"/>
        <w:jc w:val="both"/>
        <w:rPr>
          <w:b w:val="0"/>
          <w:spacing w:val="10"/>
          <w:sz w:val="22"/>
          <w:szCs w:val="22"/>
        </w:rPr>
      </w:pPr>
    </w:p>
    <w:p w14:paraId="3D00EC96" w14:textId="77777777" w:rsidR="004C2D81" w:rsidRDefault="004C2D81" w:rsidP="009749DA">
      <w:pPr>
        <w:pStyle w:val="Subttulo"/>
        <w:jc w:val="both"/>
        <w:rPr>
          <w:b w:val="0"/>
          <w:spacing w:val="10"/>
          <w:sz w:val="22"/>
          <w:szCs w:val="22"/>
        </w:rPr>
      </w:pPr>
    </w:p>
    <w:p w14:paraId="405768CF" w14:textId="77777777" w:rsidR="00C26C9A" w:rsidRDefault="00C26C9A" w:rsidP="009749DA">
      <w:pPr>
        <w:rPr>
          <w:rFonts w:ascii="Arial" w:hAnsi="Arial" w:cs="Arial"/>
          <w:b/>
          <w:smallCaps/>
        </w:rPr>
      </w:pPr>
      <w:r>
        <w:rPr>
          <w:rFonts w:ascii="Arial" w:hAnsi="Arial" w:cs="Arial"/>
          <w:b/>
          <w:smallCaps/>
        </w:rPr>
        <w:br w:type="page"/>
      </w:r>
    </w:p>
    <w:p w14:paraId="745CAB15" w14:textId="3453FFA1" w:rsidR="009E1BC7" w:rsidRPr="000C73EB" w:rsidRDefault="00C142BC" w:rsidP="009749DA">
      <w:pPr>
        <w:spacing w:after="0" w:line="240" w:lineRule="auto"/>
        <w:contextualSpacing/>
        <w:jc w:val="center"/>
        <w:rPr>
          <w:rFonts w:ascii="Arial" w:hAnsi="Arial" w:cs="Arial"/>
          <w:b/>
          <w:smallCaps/>
        </w:rPr>
      </w:pPr>
      <w:r w:rsidRPr="000C73EB">
        <w:rPr>
          <w:rFonts w:ascii="Arial" w:hAnsi="Arial" w:cs="Arial"/>
          <w:b/>
          <w:smallCaps/>
        </w:rPr>
        <w:lastRenderedPageBreak/>
        <w:t xml:space="preserve">Gráfico 1. </w:t>
      </w:r>
      <w:r w:rsidR="009E1BC7" w:rsidRPr="000C73EB">
        <w:rPr>
          <w:rFonts w:ascii="Arial" w:hAnsi="Arial" w:cs="Arial"/>
          <w:b/>
          <w:smallCaps/>
        </w:rPr>
        <w:t>Tasa de participación E</w:t>
      </w:r>
      <w:r w:rsidR="00427871">
        <w:rPr>
          <w:rFonts w:ascii="Arial" w:hAnsi="Arial" w:cs="Arial"/>
          <w:b/>
          <w:smallCaps/>
        </w:rPr>
        <w:t>N</w:t>
      </w:r>
      <w:r w:rsidR="009E1BC7" w:rsidRPr="000C73EB">
        <w:rPr>
          <w:rFonts w:ascii="Arial" w:hAnsi="Arial" w:cs="Arial"/>
          <w:b/>
          <w:smallCaps/>
        </w:rPr>
        <w:t>OE</w:t>
      </w:r>
      <w:r w:rsidR="00F66482">
        <w:rPr>
          <w:rFonts w:ascii="Arial" w:hAnsi="Arial" w:cs="Arial"/>
          <w:b/>
          <w:smallCaps/>
          <w:vertAlign w:val="superscript"/>
        </w:rPr>
        <w:t>N</w:t>
      </w:r>
      <w:r w:rsidR="009E1BC7" w:rsidRPr="000C73EB">
        <w:rPr>
          <w:rFonts w:ascii="Arial" w:hAnsi="Arial" w:cs="Arial"/>
          <w:b/>
          <w:smallCaps/>
        </w:rPr>
        <w:t xml:space="preserve"> a</w:t>
      </w:r>
      <w:r w:rsidR="00055ABA" w:rsidRPr="000C73EB">
        <w:rPr>
          <w:rFonts w:ascii="Arial" w:hAnsi="Arial" w:cs="Arial"/>
          <w:b/>
          <w:smallCaps/>
        </w:rPr>
        <w:t xml:space="preserve">l </w:t>
      </w:r>
      <w:r w:rsidR="00177B20">
        <w:rPr>
          <w:rFonts w:ascii="Arial" w:hAnsi="Arial" w:cs="Arial"/>
          <w:b/>
          <w:smallCaps/>
        </w:rPr>
        <w:t>primer</w:t>
      </w:r>
      <w:r w:rsidR="00E7410D">
        <w:rPr>
          <w:rFonts w:ascii="Arial" w:hAnsi="Arial" w:cs="Arial"/>
          <w:b/>
          <w:smallCaps/>
        </w:rPr>
        <w:t xml:space="preserve"> trimestre</w:t>
      </w:r>
      <w:r w:rsidR="009E1BC7" w:rsidRPr="000C73EB">
        <w:rPr>
          <w:rFonts w:ascii="Arial" w:hAnsi="Arial" w:cs="Arial"/>
          <w:b/>
          <w:smallCaps/>
        </w:rPr>
        <w:t xml:space="preserve"> de </w:t>
      </w:r>
      <w:r w:rsidR="00177B20">
        <w:rPr>
          <w:rFonts w:ascii="Arial" w:hAnsi="Arial" w:cs="Arial"/>
          <w:b/>
          <w:smallCaps/>
        </w:rPr>
        <w:t>2021</w:t>
      </w:r>
      <w:r w:rsidR="009E1BC7" w:rsidRPr="000C73EB">
        <w:rPr>
          <w:rFonts w:ascii="Arial" w:hAnsi="Arial" w:cs="Arial"/>
          <w:b/>
          <w:smallCaps/>
        </w:rPr>
        <w:t xml:space="preserve"> </w:t>
      </w:r>
    </w:p>
    <w:p w14:paraId="221C3553" w14:textId="1520FC77" w:rsidR="001531CF" w:rsidRDefault="001531CF" w:rsidP="009749DA">
      <w:pPr>
        <w:spacing w:after="0" w:line="240" w:lineRule="auto"/>
        <w:contextualSpacing/>
        <w:jc w:val="center"/>
        <w:rPr>
          <w:rFonts w:ascii="Arial" w:hAnsi="Arial" w:cs="Arial"/>
          <w:b/>
          <w:smallCaps/>
        </w:rPr>
      </w:pPr>
      <w:bookmarkStart w:id="1" w:name="_Hlk50397535"/>
      <w:r w:rsidRPr="000C73EB">
        <w:rPr>
          <w:rFonts w:ascii="Arial" w:hAnsi="Arial" w:cs="Arial"/>
          <w:b/>
          <w:smallCaps/>
        </w:rPr>
        <w:t>(Porcentajes respecto a la población de 15 años y más)</w:t>
      </w:r>
    </w:p>
    <w:bookmarkEnd w:id="1"/>
    <w:p w14:paraId="55D339BE" w14:textId="4074A876" w:rsidR="00157838" w:rsidRDefault="00A42494" w:rsidP="002144A0">
      <w:pPr>
        <w:spacing w:after="0" w:line="240" w:lineRule="auto"/>
        <w:contextualSpacing/>
        <w:jc w:val="center"/>
        <w:rPr>
          <w:rFonts w:ascii="Arial" w:hAnsi="Arial" w:cs="Arial"/>
          <w:b/>
          <w:smallCaps/>
        </w:rPr>
      </w:pPr>
      <w:r>
        <w:rPr>
          <w:rFonts w:ascii="Arial" w:hAnsi="Arial" w:cs="Arial"/>
          <w:b/>
          <w:smallCaps/>
          <w:noProof/>
          <w:lang w:eastAsia="es-MX"/>
        </w:rPr>
        <w:drawing>
          <wp:inline distT="0" distB="0" distL="0" distR="0" wp14:anchorId="5F213DCD" wp14:editId="0C374C3E">
            <wp:extent cx="5341620" cy="2910840"/>
            <wp:effectExtent l="0" t="0" r="0" b="381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341620" cy="2910840"/>
                    </a:xfrm>
                    <a:prstGeom prst="rect">
                      <a:avLst/>
                    </a:prstGeom>
                    <a:noFill/>
                  </pic:spPr>
                </pic:pic>
              </a:graphicData>
            </a:graphic>
          </wp:inline>
        </w:drawing>
      </w:r>
    </w:p>
    <w:p w14:paraId="235B21CA" w14:textId="417C21B6" w:rsidR="003C400B" w:rsidRDefault="003C400B" w:rsidP="001D6545">
      <w:pPr>
        <w:spacing w:after="0" w:line="240" w:lineRule="auto"/>
        <w:ind w:left="567" w:right="333" w:hanging="142"/>
        <w:jc w:val="both"/>
        <w:rPr>
          <w:rFonts w:ascii="Arial" w:hAnsi="Arial" w:cs="Arial"/>
          <w:noProof/>
          <w:sz w:val="14"/>
          <w:szCs w:val="14"/>
          <w:lang w:val="es-ES" w:eastAsia="es-ES"/>
        </w:rPr>
      </w:pPr>
      <w:r>
        <w:rPr>
          <w:rFonts w:ascii="Arial" w:hAnsi="Arial" w:cs="Arial"/>
          <w:noProof/>
          <w:sz w:val="14"/>
          <w:szCs w:val="14"/>
          <w:lang w:val="es-ES" w:eastAsia="es-ES"/>
        </w:rPr>
        <w:t>Intervalos de confianza al 90 por ciento.</w:t>
      </w:r>
    </w:p>
    <w:p w14:paraId="69C60E03" w14:textId="5F873B11" w:rsidR="006E302F" w:rsidRDefault="006E302F" w:rsidP="001D6545">
      <w:pPr>
        <w:tabs>
          <w:tab w:val="left" w:pos="851"/>
        </w:tabs>
        <w:spacing w:after="0" w:line="240" w:lineRule="auto"/>
        <w:ind w:left="567" w:right="333"/>
        <w:rPr>
          <w:rFonts w:ascii="Arial" w:hAnsi="Arial" w:cs="Arial"/>
          <w:noProof/>
          <w:sz w:val="14"/>
          <w:szCs w:val="14"/>
          <w:lang w:val="es-ES" w:eastAsia="es-ES"/>
        </w:rPr>
      </w:pPr>
      <w:r>
        <w:rPr>
          <w:rFonts w:ascii="Arial" w:hAnsi="Arial" w:cs="Arial"/>
          <w:noProof/>
          <w:sz w:val="14"/>
          <w:szCs w:val="14"/>
          <w:lang w:val="es-ES" w:eastAsia="es-ES"/>
        </w:rPr>
        <w:t>Fuente:</w:t>
      </w:r>
      <w:r w:rsidR="006742B0">
        <w:rPr>
          <w:rFonts w:ascii="Arial" w:hAnsi="Arial" w:cs="Arial"/>
          <w:noProof/>
          <w:sz w:val="14"/>
          <w:szCs w:val="14"/>
          <w:lang w:val="es-ES" w:eastAsia="es-ES"/>
        </w:rPr>
        <w:t xml:space="preserve">         </w:t>
      </w:r>
      <w:r>
        <w:rPr>
          <w:rFonts w:ascii="Arial" w:hAnsi="Arial" w:cs="Arial"/>
          <w:noProof/>
          <w:sz w:val="14"/>
          <w:szCs w:val="14"/>
          <w:lang w:val="es-ES" w:eastAsia="es-ES"/>
        </w:rPr>
        <w:t>INEGI. Encuesta Nacional de Ocupación y Empleo. Nueva Edición, primer trimestre de 2021.</w:t>
      </w:r>
    </w:p>
    <w:p w14:paraId="6E146F70" w14:textId="5DBC3493" w:rsidR="006E302F" w:rsidRDefault="006E302F" w:rsidP="001D6545">
      <w:pPr>
        <w:tabs>
          <w:tab w:val="left" w:pos="851"/>
        </w:tabs>
        <w:spacing w:after="0" w:line="240" w:lineRule="auto"/>
        <w:ind w:left="567" w:right="333"/>
      </w:pPr>
      <w:r>
        <w:rPr>
          <w:rFonts w:ascii="Arial" w:hAnsi="Arial" w:cs="Arial"/>
          <w:noProof/>
          <w:sz w:val="14"/>
          <w:szCs w:val="14"/>
          <w:lang w:val="es-ES" w:eastAsia="es-ES"/>
        </w:rPr>
        <w:tab/>
      </w:r>
      <w:r w:rsidR="006742B0">
        <w:rPr>
          <w:rFonts w:ascii="Arial" w:hAnsi="Arial" w:cs="Arial"/>
          <w:noProof/>
          <w:sz w:val="14"/>
          <w:szCs w:val="14"/>
          <w:lang w:val="es-ES" w:eastAsia="es-ES"/>
        </w:rPr>
        <w:t xml:space="preserve">              </w:t>
      </w:r>
      <w:r>
        <w:rPr>
          <w:rFonts w:ascii="Arial" w:hAnsi="Arial" w:cs="Arial"/>
          <w:noProof/>
          <w:sz w:val="14"/>
          <w:szCs w:val="14"/>
          <w:lang w:val="es-ES" w:eastAsia="es-ES"/>
        </w:rPr>
        <w:t>INEGI. Encuesta Nacional de Ocupación y Empleo, primer trimestre de 2020.</w:t>
      </w:r>
    </w:p>
    <w:p w14:paraId="71647125" w14:textId="77777777" w:rsidR="0075095A" w:rsidRDefault="0075095A" w:rsidP="009749DA">
      <w:pPr>
        <w:pStyle w:val="Subttulo"/>
        <w:jc w:val="both"/>
        <w:rPr>
          <w:b w:val="0"/>
          <w:spacing w:val="10"/>
          <w:sz w:val="22"/>
          <w:szCs w:val="22"/>
        </w:rPr>
      </w:pPr>
    </w:p>
    <w:p w14:paraId="35559AAB" w14:textId="77777777" w:rsidR="002A628B" w:rsidRDefault="002A628B" w:rsidP="009749DA">
      <w:pPr>
        <w:pStyle w:val="Subttulo"/>
        <w:jc w:val="both"/>
        <w:rPr>
          <w:b w:val="0"/>
          <w:spacing w:val="10"/>
          <w:sz w:val="22"/>
          <w:szCs w:val="22"/>
        </w:rPr>
      </w:pPr>
    </w:p>
    <w:p w14:paraId="301B6046" w14:textId="6326575B" w:rsidR="00252EDE" w:rsidRDefault="00252EDE" w:rsidP="009749DA">
      <w:pPr>
        <w:pStyle w:val="Subttulo"/>
        <w:jc w:val="both"/>
        <w:rPr>
          <w:b w:val="0"/>
          <w:spacing w:val="10"/>
          <w:sz w:val="22"/>
          <w:szCs w:val="22"/>
        </w:rPr>
      </w:pPr>
      <w:r w:rsidRPr="002A45EE">
        <w:rPr>
          <w:b w:val="0"/>
          <w:spacing w:val="10"/>
          <w:sz w:val="22"/>
          <w:szCs w:val="22"/>
        </w:rPr>
        <w:t xml:space="preserve">La población ocupada, que representa a las personas que trabajaron </w:t>
      </w:r>
      <w:r w:rsidRPr="00DD6926">
        <w:rPr>
          <w:b w:val="0"/>
          <w:spacing w:val="10"/>
          <w:sz w:val="22"/>
          <w:szCs w:val="22"/>
        </w:rPr>
        <w:t xml:space="preserve">en la semana </w:t>
      </w:r>
      <w:r w:rsidR="00891604">
        <w:rPr>
          <w:b w:val="0"/>
          <w:spacing w:val="10"/>
          <w:sz w:val="22"/>
          <w:szCs w:val="22"/>
        </w:rPr>
        <w:t>anterior</w:t>
      </w:r>
      <w:r w:rsidR="00891604" w:rsidRPr="00DD6926">
        <w:rPr>
          <w:b w:val="0"/>
          <w:spacing w:val="10"/>
          <w:sz w:val="22"/>
          <w:szCs w:val="22"/>
        </w:rPr>
        <w:t xml:space="preserve"> </w:t>
      </w:r>
      <w:r w:rsidRPr="00DD6926">
        <w:rPr>
          <w:b w:val="0"/>
          <w:spacing w:val="10"/>
          <w:sz w:val="22"/>
          <w:szCs w:val="22"/>
        </w:rPr>
        <w:t>a la entrevista</w:t>
      </w:r>
      <w:r w:rsidRPr="002A45EE">
        <w:rPr>
          <w:b w:val="0"/>
          <w:spacing w:val="10"/>
          <w:sz w:val="22"/>
          <w:szCs w:val="22"/>
        </w:rPr>
        <w:t xml:space="preserve"> o </w:t>
      </w:r>
      <w:r w:rsidR="00FC54DE">
        <w:rPr>
          <w:b w:val="0"/>
          <w:spacing w:val="10"/>
          <w:sz w:val="22"/>
          <w:szCs w:val="22"/>
        </w:rPr>
        <w:t>también a quienes</w:t>
      </w:r>
      <w:r w:rsidRPr="002A45EE">
        <w:rPr>
          <w:b w:val="0"/>
          <w:spacing w:val="10"/>
          <w:sz w:val="22"/>
          <w:szCs w:val="22"/>
        </w:rPr>
        <w:t xml:space="preserve"> no trabajaron</w:t>
      </w:r>
      <w:r w:rsidR="00FC54DE">
        <w:rPr>
          <w:b w:val="0"/>
          <w:spacing w:val="10"/>
          <w:sz w:val="22"/>
          <w:szCs w:val="22"/>
        </w:rPr>
        <w:t xml:space="preserve"> esa semana</w:t>
      </w:r>
      <w:r w:rsidR="008728FF">
        <w:rPr>
          <w:b w:val="0"/>
          <w:spacing w:val="10"/>
          <w:sz w:val="22"/>
          <w:szCs w:val="22"/>
        </w:rPr>
        <w:t>,</w:t>
      </w:r>
      <w:r w:rsidRPr="002A45EE">
        <w:rPr>
          <w:b w:val="0"/>
          <w:spacing w:val="10"/>
          <w:sz w:val="22"/>
          <w:szCs w:val="22"/>
        </w:rPr>
        <w:t xml:space="preserve"> pero mantenían un vínculo laboral con la unidad económica para la que trabajan, representaron el </w:t>
      </w:r>
      <w:r w:rsidR="00CB0067">
        <w:rPr>
          <w:b w:val="0"/>
          <w:spacing w:val="10"/>
          <w:sz w:val="22"/>
          <w:szCs w:val="22"/>
        </w:rPr>
        <w:t>9</w:t>
      </w:r>
      <w:r w:rsidR="004945E5">
        <w:rPr>
          <w:b w:val="0"/>
          <w:spacing w:val="10"/>
          <w:sz w:val="22"/>
          <w:szCs w:val="22"/>
        </w:rPr>
        <w:t>5.</w:t>
      </w:r>
      <w:r w:rsidR="006B7D30">
        <w:rPr>
          <w:b w:val="0"/>
          <w:spacing w:val="10"/>
          <w:sz w:val="22"/>
          <w:szCs w:val="22"/>
        </w:rPr>
        <w:t>6</w:t>
      </w:r>
      <w:r w:rsidR="009A7A1E">
        <w:rPr>
          <w:b w:val="0"/>
          <w:spacing w:val="10"/>
          <w:sz w:val="22"/>
          <w:szCs w:val="22"/>
        </w:rPr>
        <w:t xml:space="preserve">% </w:t>
      </w:r>
      <w:r w:rsidRPr="002A45EE">
        <w:rPr>
          <w:b w:val="0"/>
          <w:spacing w:val="10"/>
          <w:sz w:val="22"/>
          <w:szCs w:val="22"/>
        </w:rPr>
        <w:t xml:space="preserve">de la población económicamente activa; mientras que la población desocupada, </w:t>
      </w:r>
      <w:r w:rsidR="00A706A2">
        <w:rPr>
          <w:b w:val="0"/>
          <w:spacing w:val="10"/>
          <w:sz w:val="22"/>
          <w:szCs w:val="22"/>
        </w:rPr>
        <w:t xml:space="preserve">que es </w:t>
      </w:r>
      <w:r w:rsidRPr="002A45EE">
        <w:rPr>
          <w:b w:val="0"/>
          <w:spacing w:val="10"/>
          <w:sz w:val="22"/>
          <w:szCs w:val="22"/>
        </w:rPr>
        <w:t>aquella que no contaba con trabajo</w:t>
      </w:r>
      <w:r w:rsidR="00121E72">
        <w:rPr>
          <w:b w:val="0"/>
          <w:spacing w:val="10"/>
          <w:sz w:val="22"/>
          <w:szCs w:val="22"/>
        </w:rPr>
        <w:t>,</w:t>
      </w:r>
      <w:r w:rsidRPr="002A45EE">
        <w:rPr>
          <w:b w:val="0"/>
          <w:spacing w:val="10"/>
          <w:sz w:val="22"/>
          <w:szCs w:val="22"/>
        </w:rPr>
        <w:t xml:space="preserve"> </w:t>
      </w:r>
      <w:r w:rsidR="00A706A2" w:rsidRPr="00DD6926">
        <w:rPr>
          <w:b w:val="0"/>
          <w:spacing w:val="10"/>
          <w:sz w:val="22"/>
          <w:szCs w:val="22"/>
        </w:rPr>
        <w:t xml:space="preserve">pero </w:t>
      </w:r>
      <w:r w:rsidRPr="00DD6926">
        <w:rPr>
          <w:b w:val="0"/>
          <w:spacing w:val="10"/>
          <w:sz w:val="22"/>
          <w:szCs w:val="22"/>
        </w:rPr>
        <w:t>buscó uno en el último mes,</w:t>
      </w:r>
      <w:r w:rsidRPr="00EF0FE0">
        <w:rPr>
          <w:b w:val="0"/>
          <w:spacing w:val="10"/>
          <w:sz w:val="22"/>
          <w:szCs w:val="22"/>
        </w:rPr>
        <w:t xml:space="preserve"> fue de </w:t>
      </w:r>
      <w:r w:rsidR="004945E5">
        <w:rPr>
          <w:b w:val="0"/>
          <w:spacing w:val="10"/>
          <w:sz w:val="22"/>
          <w:szCs w:val="22"/>
        </w:rPr>
        <w:t>4.</w:t>
      </w:r>
      <w:r w:rsidR="006B7D30">
        <w:rPr>
          <w:b w:val="0"/>
          <w:spacing w:val="10"/>
          <w:sz w:val="22"/>
          <w:szCs w:val="22"/>
        </w:rPr>
        <w:t>4</w:t>
      </w:r>
      <w:r w:rsidR="009A7A1E">
        <w:rPr>
          <w:b w:val="0"/>
          <w:spacing w:val="10"/>
          <w:sz w:val="22"/>
          <w:szCs w:val="22"/>
        </w:rPr>
        <w:t>%</w:t>
      </w:r>
      <w:r w:rsidR="00EF0FE0" w:rsidRPr="00A83689">
        <w:rPr>
          <w:b w:val="0"/>
          <w:spacing w:val="10"/>
          <w:sz w:val="22"/>
          <w:szCs w:val="22"/>
        </w:rPr>
        <w:t xml:space="preserve"> de la población económicamente activa</w:t>
      </w:r>
      <w:r w:rsidRPr="002A45EE">
        <w:rPr>
          <w:b w:val="0"/>
          <w:spacing w:val="10"/>
          <w:sz w:val="22"/>
          <w:szCs w:val="22"/>
        </w:rPr>
        <w:t xml:space="preserve"> en </w:t>
      </w:r>
      <w:r w:rsidR="002A628B">
        <w:rPr>
          <w:b w:val="0"/>
          <w:spacing w:val="10"/>
          <w:sz w:val="22"/>
          <w:szCs w:val="22"/>
        </w:rPr>
        <w:t xml:space="preserve">el </w:t>
      </w:r>
      <w:r w:rsidR="00177B20">
        <w:rPr>
          <w:b w:val="0"/>
          <w:spacing w:val="10"/>
          <w:sz w:val="22"/>
          <w:szCs w:val="22"/>
        </w:rPr>
        <w:t>primer</w:t>
      </w:r>
      <w:r w:rsidR="002A628B">
        <w:rPr>
          <w:b w:val="0"/>
          <w:spacing w:val="10"/>
          <w:sz w:val="22"/>
          <w:szCs w:val="22"/>
        </w:rPr>
        <w:t xml:space="preserve"> trimestre</w:t>
      </w:r>
      <w:r w:rsidRPr="002A45EE">
        <w:rPr>
          <w:b w:val="0"/>
          <w:spacing w:val="10"/>
          <w:sz w:val="22"/>
          <w:szCs w:val="22"/>
        </w:rPr>
        <w:t xml:space="preserve"> de </w:t>
      </w:r>
      <w:r w:rsidR="00177B20">
        <w:rPr>
          <w:b w:val="0"/>
          <w:spacing w:val="10"/>
          <w:sz w:val="22"/>
          <w:szCs w:val="22"/>
        </w:rPr>
        <w:t>2021</w:t>
      </w:r>
      <w:r w:rsidRPr="002A45EE">
        <w:rPr>
          <w:b w:val="0"/>
          <w:spacing w:val="10"/>
          <w:sz w:val="22"/>
          <w:szCs w:val="22"/>
        </w:rPr>
        <w:t>.</w:t>
      </w:r>
      <w:r w:rsidR="00416493">
        <w:rPr>
          <w:b w:val="0"/>
          <w:spacing w:val="10"/>
          <w:sz w:val="22"/>
          <w:szCs w:val="22"/>
        </w:rPr>
        <w:t xml:space="preserve"> </w:t>
      </w:r>
      <w:r w:rsidR="005B0767">
        <w:rPr>
          <w:b w:val="0"/>
          <w:spacing w:val="10"/>
          <w:sz w:val="22"/>
          <w:szCs w:val="22"/>
        </w:rPr>
        <w:t>En los</w:t>
      </w:r>
      <w:r w:rsidR="00416493">
        <w:rPr>
          <w:b w:val="0"/>
          <w:spacing w:val="10"/>
          <w:sz w:val="22"/>
          <w:szCs w:val="22"/>
        </w:rPr>
        <w:t xml:space="preserve"> hombres el </w:t>
      </w:r>
      <w:r w:rsidR="004945E5">
        <w:rPr>
          <w:b w:val="0"/>
          <w:spacing w:val="10"/>
          <w:sz w:val="22"/>
          <w:szCs w:val="22"/>
        </w:rPr>
        <w:t>95.</w:t>
      </w:r>
      <w:r w:rsidR="006B7D30">
        <w:rPr>
          <w:b w:val="0"/>
          <w:spacing w:val="10"/>
          <w:sz w:val="22"/>
          <w:szCs w:val="22"/>
        </w:rPr>
        <w:t>6</w:t>
      </w:r>
      <w:r w:rsidR="009A7A1E">
        <w:rPr>
          <w:b w:val="0"/>
          <w:spacing w:val="10"/>
          <w:sz w:val="22"/>
          <w:szCs w:val="22"/>
        </w:rPr>
        <w:t xml:space="preserve">% </w:t>
      </w:r>
      <w:r w:rsidR="005B0767">
        <w:rPr>
          <w:b w:val="0"/>
          <w:spacing w:val="10"/>
          <w:sz w:val="22"/>
          <w:szCs w:val="22"/>
        </w:rPr>
        <w:t xml:space="preserve">de la PEA </w:t>
      </w:r>
      <w:r w:rsidR="00030476">
        <w:rPr>
          <w:b w:val="0"/>
          <w:spacing w:val="10"/>
          <w:sz w:val="22"/>
          <w:szCs w:val="22"/>
        </w:rPr>
        <w:t xml:space="preserve">estuvieron </w:t>
      </w:r>
      <w:r w:rsidR="005B0767">
        <w:rPr>
          <w:b w:val="0"/>
          <w:spacing w:val="10"/>
          <w:sz w:val="22"/>
          <w:szCs w:val="22"/>
        </w:rPr>
        <w:t xml:space="preserve">ocupados y </w:t>
      </w:r>
      <w:r w:rsidR="009A7A1E">
        <w:rPr>
          <w:b w:val="0"/>
          <w:spacing w:val="10"/>
          <w:sz w:val="22"/>
          <w:szCs w:val="22"/>
        </w:rPr>
        <w:t xml:space="preserve">el </w:t>
      </w:r>
      <w:r w:rsidR="004945E5">
        <w:rPr>
          <w:b w:val="0"/>
          <w:spacing w:val="10"/>
          <w:sz w:val="22"/>
          <w:szCs w:val="22"/>
        </w:rPr>
        <w:t>4.</w:t>
      </w:r>
      <w:r w:rsidR="006B7D30">
        <w:rPr>
          <w:b w:val="0"/>
          <w:spacing w:val="10"/>
          <w:sz w:val="22"/>
          <w:szCs w:val="22"/>
        </w:rPr>
        <w:t>4</w:t>
      </w:r>
      <w:r w:rsidR="009A7A1E">
        <w:rPr>
          <w:b w:val="0"/>
          <w:spacing w:val="10"/>
          <w:sz w:val="22"/>
          <w:szCs w:val="22"/>
        </w:rPr>
        <w:t xml:space="preserve">% </w:t>
      </w:r>
      <w:r w:rsidR="005B0767">
        <w:rPr>
          <w:b w:val="0"/>
          <w:spacing w:val="10"/>
          <w:sz w:val="22"/>
          <w:szCs w:val="22"/>
        </w:rPr>
        <w:t>desocupados</w:t>
      </w:r>
      <w:r w:rsidR="009A7A1E">
        <w:rPr>
          <w:b w:val="0"/>
          <w:spacing w:val="10"/>
          <w:sz w:val="22"/>
          <w:szCs w:val="22"/>
        </w:rPr>
        <w:t>;</w:t>
      </w:r>
      <w:r w:rsidR="005B0767">
        <w:rPr>
          <w:b w:val="0"/>
          <w:spacing w:val="10"/>
          <w:sz w:val="22"/>
          <w:szCs w:val="22"/>
        </w:rPr>
        <w:t xml:space="preserve"> </w:t>
      </w:r>
      <w:r w:rsidR="00AF4D07">
        <w:rPr>
          <w:b w:val="0"/>
          <w:spacing w:val="10"/>
          <w:sz w:val="22"/>
          <w:szCs w:val="22"/>
        </w:rPr>
        <w:t>por su parte</w:t>
      </w:r>
      <w:r w:rsidR="001E2286">
        <w:rPr>
          <w:b w:val="0"/>
          <w:spacing w:val="10"/>
          <w:sz w:val="22"/>
          <w:szCs w:val="22"/>
        </w:rPr>
        <w:t>,</w:t>
      </w:r>
      <w:r w:rsidR="00416493">
        <w:rPr>
          <w:b w:val="0"/>
          <w:spacing w:val="10"/>
          <w:sz w:val="22"/>
          <w:szCs w:val="22"/>
        </w:rPr>
        <w:t xml:space="preserve"> </w:t>
      </w:r>
      <w:r w:rsidR="007C1C42">
        <w:rPr>
          <w:b w:val="0"/>
          <w:spacing w:val="10"/>
          <w:sz w:val="22"/>
          <w:szCs w:val="22"/>
        </w:rPr>
        <w:t>en</w:t>
      </w:r>
      <w:r w:rsidR="00416493">
        <w:rPr>
          <w:b w:val="0"/>
          <w:spacing w:val="10"/>
          <w:sz w:val="22"/>
          <w:szCs w:val="22"/>
        </w:rPr>
        <w:t xml:space="preserve"> la PEA </w:t>
      </w:r>
      <w:r w:rsidR="00AF4D07">
        <w:rPr>
          <w:b w:val="0"/>
          <w:spacing w:val="10"/>
          <w:sz w:val="22"/>
          <w:szCs w:val="22"/>
        </w:rPr>
        <w:t>femenina,</w:t>
      </w:r>
      <w:r w:rsidR="007C1C42">
        <w:rPr>
          <w:b w:val="0"/>
          <w:spacing w:val="10"/>
          <w:sz w:val="22"/>
          <w:szCs w:val="22"/>
        </w:rPr>
        <w:t xml:space="preserve"> el</w:t>
      </w:r>
      <w:r w:rsidR="00416493">
        <w:rPr>
          <w:b w:val="0"/>
          <w:spacing w:val="10"/>
          <w:sz w:val="22"/>
          <w:szCs w:val="22"/>
        </w:rPr>
        <w:t xml:space="preserve"> </w:t>
      </w:r>
      <w:r w:rsidR="00CB0067">
        <w:rPr>
          <w:b w:val="0"/>
          <w:spacing w:val="10"/>
          <w:sz w:val="22"/>
          <w:szCs w:val="22"/>
        </w:rPr>
        <w:t>9</w:t>
      </w:r>
      <w:r w:rsidR="00BD3375">
        <w:rPr>
          <w:b w:val="0"/>
          <w:spacing w:val="10"/>
          <w:sz w:val="22"/>
          <w:szCs w:val="22"/>
        </w:rPr>
        <w:t>5</w:t>
      </w:r>
      <w:r w:rsidR="00CB0067">
        <w:rPr>
          <w:b w:val="0"/>
          <w:spacing w:val="10"/>
          <w:sz w:val="22"/>
          <w:szCs w:val="22"/>
        </w:rPr>
        <w:t>.</w:t>
      </w:r>
      <w:r w:rsidR="006B7D30">
        <w:rPr>
          <w:b w:val="0"/>
          <w:spacing w:val="10"/>
          <w:sz w:val="22"/>
          <w:szCs w:val="22"/>
        </w:rPr>
        <w:t>8</w:t>
      </w:r>
      <w:r w:rsidR="00416493">
        <w:rPr>
          <w:b w:val="0"/>
          <w:spacing w:val="10"/>
          <w:sz w:val="22"/>
          <w:szCs w:val="22"/>
        </w:rPr>
        <w:t xml:space="preserve">% </w:t>
      </w:r>
      <w:r w:rsidR="00030476">
        <w:rPr>
          <w:b w:val="0"/>
          <w:spacing w:val="10"/>
          <w:sz w:val="22"/>
          <w:szCs w:val="22"/>
        </w:rPr>
        <w:t xml:space="preserve">fueron </w:t>
      </w:r>
      <w:r w:rsidR="00AF4D07">
        <w:rPr>
          <w:b w:val="0"/>
          <w:spacing w:val="10"/>
          <w:sz w:val="22"/>
          <w:szCs w:val="22"/>
        </w:rPr>
        <w:t xml:space="preserve">ocupadas </w:t>
      </w:r>
      <w:r w:rsidR="001E2286">
        <w:rPr>
          <w:b w:val="0"/>
          <w:spacing w:val="10"/>
          <w:sz w:val="22"/>
          <w:szCs w:val="22"/>
        </w:rPr>
        <w:t xml:space="preserve">y </w:t>
      </w:r>
      <w:r w:rsidR="00AF4D07">
        <w:rPr>
          <w:b w:val="0"/>
          <w:spacing w:val="10"/>
          <w:sz w:val="22"/>
          <w:szCs w:val="22"/>
        </w:rPr>
        <w:t xml:space="preserve">el </w:t>
      </w:r>
      <w:r w:rsidR="007843A4">
        <w:rPr>
          <w:b w:val="0"/>
          <w:spacing w:val="10"/>
          <w:sz w:val="22"/>
          <w:szCs w:val="22"/>
        </w:rPr>
        <w:t>4.</w:t>
      </w:r>
      <w:r w:rsidR="006B7D30">
        <w:rPr>
          <w:b w:val="0"/>
          <w:spacing w:val="10"/>
          <w:sz w:val="22"/>
          <w:szCs w:val="22"/>
        </w:rPr>
        <w:t>2</w:t>
      </w:r>
      <w:r w:rsidR="00416493">
        <w:rPr>
          <w:b w:val="0"/>
          <w:spacing w:val="10"/>
          <w:sz w:val="22"/>
          <w:szCs w:val="22"/>
        </w:rPr>
        <w:t xml:space="preserve">% </w:t>
      </w:r>
      <w:r w:rsidR="001E2286">
        <w:rPr>
          <w:b w:val="0"/>
          <w:spacing w:val="10"/>
          <w:sz w:val="22"/>
          <w:szCs w:val="22"/>
        </w:rPr>
        <w:t>desocupadas</w:t>
      </w:r>
      <w:r w:rsidR="00416493">
        <w:rPr>
          <w:b w:val="0"/>
          <w:spacing w:val="10"/>
          <w:sz w:val="22"/>
          <w:szCs w:val="22"/>
        </w:rPr>
        <w:t>.</w:t>
      </w:r>
    </w:p>
    <w:p w14:paraId="25492237" w14:textId="77777777" w:rsidR="00416493" w:rsidRDefault="00416493" w:rsidP="009749DA">
      <w:pPr>
        <w:pStyle w:val="Subttulo"/>
        <w:jc w:val="both"/>
        <w:rPr>
          <w:b w:val="0"/>
          <w:spacing w:val="10"/>
          <w:sz w:val="22"/>
          <w:szCs w:val="22"/>
        </w:rPr>
      </w:pPr>
    </w:p>
    <w:p w14:paraId="01B26815" w14:textId="17A5BBAF" w:rsidR="002A628B" w:rsidRDefault="002A628B" w:rsidP="009749DA">
      <w:pPr>
        <w:pStyle w:val="Subttulo"/>
        <w:jc w:val="both"/>
        <w:rPr>
          <w:b w:val="0"/>
          <w:spacing w:val="10"/>
          <w:sz w:val="22"/>
          <w:szCs w:val="22"/>
        </w:rPr>
      </w:pPr>
      <w:bookmarkStart w:id="2" w:name="_Hlk49818448"/>
      <w:r>
        <w:rPr>
          <w:b w:val="0"/>
          <w:spacing w:val="10"/>
          <w:sz w:val="22"/>
          <w:szCs w:val="22"/>
        </w:rPr>
        <w:t>La Población No Económicamente Activa (PNEA) fue de 4</w:t>
      </w:r>
      <w:r w:rsidR="004945E5">
        <w:rPr>
          <w:b w:val="0"/>
          <w:spacing w:val="10"/>
          <w:sz w:val="22"/>
          <w:szCs w:val="22"/>
        </w:rPr>
        <w:t>1.</w:t>
      </w:r>
      <w:r w:rsidR="006B7D30">
        <w:rPr>
          <w:b w:val="0"/>
          <w:spacing w:val="10"/>
          <w:sz w:val="22"/>
          <w:szCs w:val="22"/>
        </w:rPr>
        <w:t>6</w:t>
      </w:r>
      <w:r>
        <w:rPr>
          <w:b w:val="0"/>
          <w:spacing w:val="10"/>
          <w:sz w:val="22"/>
          <w:szCs w:val="22"/>
        </w:rPr>
        <w:t xml:space="preserve"> millones de personas (4</w:t>
      </w:r>
      <w:r w:rsidR="004945E5">
        <w:rPr>
          <w:b w:val="0"/>
          <w:spacing w:val="10"/>
          <w:sz w:val="22"/>
          <w:szCs w:val="22"/>
        </w:rPr>
        <w:t>2</w:t>
      </w:r>
      <w:r>
        <w:rPr>
          <w:b w:val="0"/>
          <w:spacing w:val="10"/>
          <w:sz w:val="22"/>
          <w:szCs w:val="22"/>
        </w:rPr>
        <w:t>.</w:t>
      </w:r>
      <w:r w:rsidR="006B7D30">
        <w:rPr>
          <w:b w:val="0"/>
          <w:spacing w:val="10"/>
          <w:sz w:val="22"/>
          <w:szCs w:val="22"/>
        </w:rPr>
        <w:t>9</w:t>
      </w:r>
      <w:r>
        <w:rPr>
          <w:b w:val="0"/>
          <w:spacing w:val="10"/>
          <w:sz w:val="22"/>
          <w:szCs w:val="22"/>
        </w:rPr>
        <w:t xml:space="preserve">% de la población de 15 y más </w:t>
      </w:r>
      <w:proofErr w:type="gramStart"/>
      <w:r>
        <w:rPr>
          <w:b w:val="0"/>
          <w:spacing w:val="10"/>
          <w:sz w:val="22"/>
          <w:szCs w:val="22"/>
        </w:rPr>
        <w:t>años de edad</w:t>
      </w:r>
      <w:proofErr w:type="gramEnd"/>
      <w:r>
        <w:rPr>
          <w:b w:val="0"/>
          <w:spacing w:val="10"/>
          <w:sz w:val="22"/>
          <w:szCs w:val="22"/>
        </w:rPr>
        <w:t xml:space="preserve">) en el </w:t>
      </w:r>
      <w:r w:rsidR="00177B20">
        <w:rPr>
          <w:b w:val="0"/>
          <w:spacing w:val="10"/>
          <w:sz w:val="22"/>
          <w:szCs w:val="22"/>
        </w:rPr>
        <w:t>primer</w:t>
      </w:r>
      <w:r>
        <w:rPr>
          <w:b w:val="0"/>
          <w:spacing w:val="10"/>
          <w:sz w:val="22"/>
          <w:szCs w:val="22"/>
        </w:rPr>
        <w:t xml:space="preserve"> trimestre de </w:t>
      </w:r>
      <w:r w:rsidR="00177B20">
        <w:rPr>
          <w:b w:val="0"/>
          <w:spacing w:val="10"/>
          <w:sz w:val="22"/>
          <w:szCs w:val="22"/>
        </w:rPr>
        <w:t>2021</w:t>
      </w:r>
      <w:r>
        <w:rPr>
          <w:b w:val="0"/>
          <w:spacing w:val="10"/>
          <w:sz w:val="22"/>
          <w:szCs w:val="22"/>
        </w:rPr>
        <w:t xml:space="preserve">, cifra superior en </w:t>
      </w:r>
      <w:r w:rsidR="004945E5">
        <w:rPr>
          <w:b w:val="0"/>
          <w:spacing w:val="10"/>
          <w:sz w:val="22"/>
          <w:szCs w:val="22"/>
        </w:rPr>
        <w:t>3</w:t>
      </w:r>
      <w:r>
        <w:rPr>
          <w:b w:val="0"/>
          <w:spacing w:val="10"/>
          <w:sz w:val="22"/>
          <w:szCs w:val="22"/>
        </w:rPr>
        <w:t>.</w:t>
      </w:r>
      <w:r w:rsidR="006B7D30">
        <w:rPr>
          <w:b w:val="0"/>
          <w:spacing w:val="10"/>
          <w:sz w:val="22"/>
          <w:szCs w:val="22"/>
        </w:rPr>
        <w:t>4</w:t>
      </w:r>
      <w:r>
        <w:rPr>
          <w:b w:val="0"/>
          <w:spacing w:val="10"/>
          <w:sz w:val="22"/>
          <w:szCs w:val="22"/>
        </w:rPr>
        <w:t xml:space="preserve"> millones de personas a la del </w:t>
      </w:r>
      <w:r w:rsidR="00177B20">
        <w:rPr>
          <w:b w:val="0"/>
          <w:spacing w:val="10"/>
          <w:sz w:val="22"/>
          <w:szCs w:val="22"/>
        </w:rPr>
        <w:t>primer</w:t>
      </w:r>
      <w:r>
        <w:rPr>
          <w:b w:val="0"/>
          <w:spacing w:val="10"/>
          <w:sz w:val="22"/>
          <w:szCs w:val="22"/>
        </w:rPr>
        <w:t xml:space="preserve"> trimestre de </w:t>
      </w:r>
      <w:r w:rsidR="00177B20">
        <w:rPr>
          <w:b w:val="0"/>
          <w:spacing w:val="10"/>
          <w:sz w:val="22"/>
          <w:szCs w:val="22"/>
        </w:rPr>
        <w:t>2020</w:t>
      </w:r>
      <w:r>
        <w:rPr>
          <w:b w:val="0"/>
          <w:spacing w:val="10"/>
          <w:sz w:val="22"/>
          <w:szCs w:val="22"/>
        </w:rPr>
        <w:t xml:space="preserve">. </w:t>
      </w:r>
      <w:r w:rsidR="007D6795">
        <w:rPr>
          <w:b w:val="0"/>
          <w:spacing w:val="10"/>
          <w:sz w:val="22"/>
          <w:szCs w:val="22"/>
        </w:rPr>
        <w:t xml:space="preserve">En su clasificación </w:t>
      </w:r>
      <w:r>
        <w:rPr>
          <w:b w:val="0"/>
          <w:spacing w:val="10"/>
          <w:sz w:val="22"/>
          <w:szCs w:val="22"/>
        </w:rPr>
        <w:t xml:space="preserve">según sexo, </w:t>
      </w:r>
      <w:r w:rsidR="007D6795">
        <w:rPr>
          <w:b w:val="0"/>
          <w:spacing w:val="10"/>
          <w:sz w:val="22"/>
          <w:szCs w:val="22"/>
        </w:rPr>
        <w:t xml:space="preserve">la PNEA de </w:t>
      </w:r>
      <w:r>
        <w:rPr>
          <w:b w:val="0"/>
          <w:spacing w:val="10"/>
          <w:sz w:val="22"/>
          <w:szCs w:val="22"/>
        </w:rPr>
        <w:t>los hombres se ubic</w:t>
      </w:r>
      <w:r w:rsidR="007D6795">
        <w:rPr>
          <w:b w:val="0"/>
          <w:spacing w:val="10"/>
          <w:sz w:val="22"/>
          <w:szCs w:val="22"/>
        </w:rPr>
        <w:t>ó</w:t>
      </w:r>
      <w:r>
        <w:rPr>
          <w:b w:val="0"/>
          <w:spacing w:val="10"/>
          <w:sz w:val="22"/>
          <w:szCs w:val="22"/>
        </w:rPr>
        <w:t xml:space="preserve"> en 1</w:t>
      </w:r>
      <w:r w:rsidR="004945E5">
        <w:rPr>
          <w:b w:val="0"/>
          <w:spacing w:val="10"/>
          <w:sz w:val="22"/>
          <w:szCs w:val="22"/>
        </w:rPr>
        <w:t>1.9</w:t>
      </w:r>
      <w:r>
        <w:rPr>
          <w:b w:val="0"/>
          <w:spacing w:val="10"/>
          <w:sz w:val="22"/>
          <w:szCs w:val="22"/>
        </w:rPr>
        <w:t xml:space="preserve"> millones (2</w:t>
      </w:r>
      <w:r w:rsidR="004945E5">
        <w:rPr>
          <w:b w:val="0"/>
          <w:spacing w:val="10"/>
          <w:sz w:val="22"/>
          <w:szCs w:val="22"/>
        </w:rPr>
        <w:t>5.8</w:t>
      </w:r>
      <w:r>
        <w:rPr>
          <w:b w:val="0"/>
          <w:spacing w:val="10"/>
          <w:sz w:val="22"/>
          <w:szCs w:val="22"/>
        </w:rPr>
        <w:t xml:space="preserve">%), </w:t>
      </w:r>
      <w:r w:rsidR="004945E5">
        <w:rPr>
          <w:b w:val="0"/>
          <w:spacing w:val="10"/>
          <w:sz w:val="22"/>
          <w:szCs w:val="22"/>
        </w:rPr>
        <w:t>1.</w:t>
      </w:r>
      <w:r w:rsidR="006B7D30">
        <w:rPr>
          <w:b w:val="0"/>
          <w:spacing w:val="10"/>
          <w:sz w:val="22"/>
          <w:szCs w:val="22"/>
        </w:rPr>
        <w:t>2</w:t>
      </w:r>
      <w:r>
        <w:rPr>
          <w:b w:val="0"/>
          <w:spacing w:val="10"/>
          <w:sz w:val="22"/>
          <w:szCs w:val="22"/>
        </w:rPr>
        <w:t xml:space="preserve"> millones más respecto al mismo periodo del año pasad</w:t>
      </w:r>
      <w:r w:rsidR="008B5E20">
        <w:rPr>
          <w:b w:val="0"/>
          <w:spacing w:val="10"/>
          <w:sz w:val="22"/>
          <w:szCs w:val="22"/>
        </w:rPr>
        <w:t>o</w:t>
      </w:r>
      <w:r w:rsidR="004945E5">
        <w:rPr>
          <w:b w:val="0"/>
          <w:spacing w:val="10"/>
          <w:sz w:val="22"/>
          <w:szCs w:val="22"/>
        </w:rPr>
        <w:t xml:space="preserve"> y las mujeres en 29</w:t>
      </w:r>
      <w:r>
        <w:rPr>
          <w:b w:val="0"/>
          <w:spacing w:val="10"/>
          <w:sz w:val="22"/>
          <w:szCs w:val="22"/>
        </w:rPr>
        <w:t>.</w:t>
      </w:r>
      <w:r w:rsidR="006B7D30">
        <w:rPr>
          <w:b w:val="0"/>
          <w:spacing w:val="10"/>
          <w:sz w:val="22"/>
          <w:szCs w:val="22"/>
        </w:rPr>
        <w:t>7</w:t>
      </w:r>
      <w:r>
        <w:rPr>
          <w:b w:val="0"/>
          <w:spacing w:val="10"/>
          <w:sz w:val="22"/>
          <w:szCs w:val="22"/>
        </w:rPr>
        <w:t xml:space="preserve"> millones (</w:t>
      </w:r>
      <w:r w:rsidR="004945E5">
        <w:rPr>
          <w:b w:val="0"/>
          <w:spacing w:val="10"/>
          <w:sz w:val="22"/>
          <w:szCs w:val="22"/>
        </w:rPr>
        <w:t>5</w:t>
      </w:r>
      <w:r w:rsidR="006B7D30">
        <w:rPr>
          <w:b w:val="0"/>
          <w:spacing w:val="10"/>
          <w:sz w:val="22"/>
          <w:szCs w:val="22"/>
        </w:rPr>
        <w:t>8.3</w:t>
      </w:r>
      <w:r w:rsidR="00F64ADC">
        <w:rPr>
          <w:b w:val="0"/>
          <w:spacing w:val="10"/>
          <w:sz w:val="22"/>
          <w:szCs w:val="22"/>
        </w:rPr>
        <w:t>%</w:t>
      </w:r>
      <w:r>
        <w:rPr>
          <w:b w:val="0"/>
          <w:spacing w:val="10"/>
          <w:sz w:val="22"/>
          <w:szCs w:val="22"/>
        </w:rPr>
        <w:t xml:space="preserve">), </w:t>
      </w:r>
      <w:r w:rsidR="006B7D30">
        <w:rPr>
          <w:b w:val="0"/>
          <w:spacing w:val="10"/>
          <w:sz w:val="22"/>
          <w:szCs w:val="22"/>
        </w:rPr>
        <w:t>2.2</w:t>
      </w:r>
      <w:r>
        <w:rPr>
          <w:b w:val="0"/>
          <w:spacing w:val="10"/>
          <w:sz w:val="22"/>
          <w:szCs w:val="22"/>
        </w:rPr>
        <w:t xml:space="preserve"> millones más </w:t>
      </w:r>
      <w:r w:rsidR="00F64ADC">
        <w:rPr>
          <w:b w:val="0"/>
          <w:spacing w:val="10"/>
          <w:sz w:val="22"/>
          <w:szCs w:val="22"/>
        </w:rPr>
        <w:t xml:space="preserve">que </w:t>
      </w:r>
      <w:r w:rsidR="007D6795">
        <w:rPr>
          <w:b w:val="0"/>
          <w:spacing w:val="10"/>
          <w:sz w:val="22"/>
          <w:szCs w:val="22"/>
        </w:rPr>
        <w:t>en igual periodo</w:t>
      </w:r>
      <w:r w:rsidR="001327FB">
        <w:rPr>
          <w:b w:val="0"/>
          <w:spacing w:val="10"/>
          <w:sz w:val="22"/>
          <w:szCs w:val="22"/>
        </w:rPr>
        <w:t xml:space="preserve"> de </w:t>
      </w:r>
      <w:r w:rsidR="00177B20">
        <w:rPr>
          <w:b w:val="0"/>
          <w:spacing w:val="10"/>
          <w:sz w:val="22"/>
          <w:szCs w:val="22"/>
        </w:rPr>
        <w:t>2020</w:t>
      </w:r>
      <w:r>
        <w:rPr>
          <w:b w:val="0"/>
          <w:spacing w:val="10"/>
          <w:sz w:val="22"/>
          <w:szCs w:val="22"/>
        </w:rPr>
        <w:t>.</w:t>
      </w:r>
    </w:p>
    <w:p w14:paraId="344FA7C6" w14:textId="77777777" w:rsidR="002A628B" w:rsidRDefault="002A628B" w:rsidP="009749DA">
      <w:pPr>
        <w:pStyle w:val="Subttulo"/>
        <w:jc w:val="both"/>
        <w:rPr>
          <w:b w:val="0"/>
          <w:spacing w:val="10"/>
          <w:sz w:val="22"/>
          <w:szCs w:val="22"/>
        </w:rPr>
      </w:pPr>
    </w:p>
    <w:p w14:paraId="6EE42EF8" w14:textId="77777777" w:rsidR="002A628B" w:rsidRDefault="002A628B" w:rsidP="009749DA">
      <w:pPr>
        <w:rPr>
          <w:rFonts w:ascii="Arial" w:hAnsi="Arial" w:cs="Arial"/>
          <w:b/>
          <w:smallCaps/>
        </w:rPr>
      </w:pPr>
      <w:r>
        <w:rPr>
          <w:rFonts w:ascii="Arial" w:hAnsi="Arial" w:cs="Arial"/>
          <w:b/>
          <w:smallCaps/>
        </w:rPr>
        <w:br w:type="page"/>
      </w:r>
    </w:p>
    <w:bookmarkEnd w:id="2"/>
    <w:p w14:paraId="3A5F1C97" w14:textId="55BC84F3" w:rsidR="003E203B" w:rsidRDefault="003E203B" w:rsidP="009749DA">
      <w:pPr>
        <w:pStyle w:val="Subttulo"/>
        <w:jc w:val="both"/>
        <w:rPr>
          <w:b w:val="0"/>
          <w:spacing w:val="10"/>
          <w:sz w:val="22"/>
          <w:szCs w:val="22"/>
        </w:rPr>
      </w:pPr>
      <w:r>
        <w:rPr>
          <w:b w:val="0"/>
          <w:spacing w:val="10"/>
          <w:sz w:val="22"/>
          <w:szCs w:val="22"/>
        </w:rPr>
        <w:lastRenderedPageBreak/>
        <w:t xml:space="preserve">La PNEA disponible </w:t>
      </w:r>
      <w:r w:rsidRPr="00B5576B">
        <w:rPr>
          <w:b w:val="0"/>
          <w:color w:val="000000" w:themeColor="text1"/>
          <w:spacing w:val="10"/>
          <w:sz w:val="22"/>
          <w:szCs w:val="22"/>
        </w:rPr>
        <w:t>para trabajar</w:t>
      </w:r>
      <w:r>
        <w:rPr>
          <w:rStyle w:val="Refdenotaalpie"/>
          <w:b w:val="0"/>
          <w:color w:val="000000" w:themeColor="text1"/>
          <w:spacing w:val="10"/>
          <w:sz w:val="22"/>
          <w:szCs w:val="22"/>
        </w:rPr>
        <w:footnoteReference w:id="5"/>
      </w:r>
      <w:r>
        <w:rPr>
          <w:b w:val="0"/>
          <w:color w:val="000000" w:themeColor="text1"/>
          <w:spacing w:val="10"/>
          <w:sz w:val="22"/>
          <w:szCs w:val="22"/>
        </w:rPr>
        <w:t>, es decir, quienes no buscaron trabajo</w:t>
      </w:r>
      <w:r w:rsidR="00121E72">
        <w:rPr>
          <w:b w:val="0"/>
          <w:color w:val="000000" w:themeColor="text1"/>
          <w:spacing w:val="10"/>
          <w:sz w:val="22"/>
          <w:szCs w:val="22"/>
        </w:rPr>
        <w:t>,</w:t>
      </w:r>
      <w:r>
        <w:rPr>
          <w:b w:val="0"/>
          <w:color w:val="000000" w:themeColor="text1"/>
          <w:spacing w:val="10"/>
          <w:sz w:val="22"/>
          <w:szCs w:val="22"/>
        </w:rPr>
        <w:t xml:space="preserve"> pero aceptarían uno</w:t>
      </w:r>
      <w:r w:rsidR="007543F9">
        <w:rPr>
          <w:b w:val="0"/>
          <w:color w:val="000000" w:themeColor="text1"/>
          <w:spacing w:val="10"/>
          <w:sz w:val="22"/>
          <w:szCs w:val="22"/>
        </w:rPr>
        <w:t xml:space="preserve"> si se lo</w:t>
      </w:r>
      <w:r w:rsidR="008C0B0A">
        <w:rPr>
          <w:b w:val="0"/>
          <w:color w:val="000000" w:themeColor="text1"/>
          <w:spacing w:val="10"/>
          <w:sz w:val="22"/>
          <w:szCs w:val="22"/>
        </w:rPr>
        <w:t>s</w:t>
      </w:r>
      <w:r w:rsidR="007543F9">
        <w:rPr>
          <w:b w:val="0"/>
          <w:color w:val="000000" w:themeColor="text1"/>
          <w:spacing w:val="10"/>
          <w:sz w:val="22"/>
          <w:szCs w:val="22"/>
        </w:rPr>
        <w:t xml:space="preserve"> ofrecieran</w:t>
      </w:r>
      <w:r>
        <w:rPr>
          <w:b w:val="0"/>
          <w:color w:val="000000" w:themeColor="text1"/>
          <w:spacing w:val="10"/>
          <w:sz w:val="22"/>
          <w:szCs w:val="22"/>
        </w:rPr>
        <w:t xml:space="preserve">, </w:t>
      </w:r>
      <w:r>
        <w:rPr>
          <w:b w:val="0"/>
          <w:spacing w:val="10"/>
          <w:sz w:val="22"/>
          <w:szCs w:val="22"/>
        </w:rPr>
        <w:t xml:space="preserve">fue de </w:t>
      </w:r>
      <w:r w:rsidR="004945E5">
        <w:rPr>
          <w:b w:val="0"/>
          <w:spacing w:val="10"/>
          <w:sz w:val="22"/>
          <w:szCs w:val="22"/>
        </w:rPr>
        <w:t>8</w:t>
      </w:r>
      <w:r w:rsidR="00224419">
        <w:rPr>
          <w:b w:val="0"/>
          <w:spacing w:val="10"/>
          <w:sz w:val="22"/>
          <w:szCs w:val="22"/>
        </w:rPr>
        <w:t>.</w:t>
      </w:r>
      <w:r w:rsidR="006B7D30">
        <w:rPr>
          <w:b w:val="0"/>
          <w:spacing w:val="10"/>
          <w:sz w:val="22"/>
          <w:szCs w:val="22"/>
        </w:rPr>
        <w:t>4</w:t>
      </w:r>
      <w:r>
        <w:rPr>
          <w:b w:val="0"/>
          <w:spacing w:val="10"/>
          <w:sz w:val="22"/>
          <w:szCs w:val="22"/>
        </w:rPr>
        <w:t xml:space="preserve"> millones de personas en </w:t>
      </w:r>
      <w:r w:rsidR="00864D56">
        <w:rPr>
          <w:b w:val="0"/>
          <w:spacing w:val="10"/>
          <w:sz w:val="22"/>
          <w:szCs w:val="22"/>
        </w:rPr>
        <w:t xml:space="preserve">el </w:t>
      </w:r>
      <w:r w:rsidR="00177B20">
        <w:rPr>
          <w:b w:val="0"/>
          <w:spacing w:val="10"/>
          <w:sz w:val="22"/>
          <w:szCs w:val="22"/>
        </w:rPr>
        <w:t>primer</w:t>
      </w:r>
      <w:r w:rsidR="007D6795">
        <w:rPr>
          <w:b w:val="0"/>
          <w:spacing w:val="10"/>
          <w:sz w:val="22"/>
          <w:szCs w:val="22"/>
        </w:rPr>
        <w:t xml:space="preserve"> </w:t>
      </w:r>
      <w:r w:rsidR="002A628B">
        <w:rPr>
          <w:b w:val="0"/>
          <w:spacing w:val="10"/>
          <w:sz w:val="22"/>
          <w:szCs w:val="22"/>
        </w:rPr>
        <w:t>t</w:t>
      </w:r>
      <w:r w:rsidR="007D6795">
        <w:rPr>
          <w:b w:val="0"/>
          <w:spacing w:val="10"/>
          <w:sz w:val="22"/>
          <w:szCs w:val="22"/>
        </w:rPr>
        <w:t>r</w:t>
      </w:r>
      <w:r w:rsidR="002A628B">
        <w:rPr>
          <w:b w:val="0"/>
          <w:spacing w:val="10"/>
          <w:sz w:val="22"/>
          <w:szCs w:val="22"/>
        </w:rPr>
        <w:t>imestre</w:t>
      </w:r>
      <w:r w:rsidR="00864D56">
        <w:rPr>
          <w:b w:val="0"/>
          <w:spacing w:val="10"/>
          <w:sz w:val="22"/>
          <w:szCs w:val="22"/>
        </w:rPr>
        <w:t xml:space="preserve"> </w:t>
      </w:r>
      <w:r>
        <w:rPr>
          <w:b w:val="0"/>
          <w:spacing w:val="10"/>
          <w:sz w:val="22"/>
          <w:szCs w:val="22"/>
        </w:rPr>
        <w:t xml:space="preserve">de </w:t>
      </w:r>
      <w:r w:rsidR="00177B20">
        <w:rPr>
          <w:b w:val="0"/>
          <w:spacing w:val="10"/>
          <w:sz w:val="22"/>
          <w:szCs w:val="22"/>
        </w:rPr>
        <w:t>2021</w:t>
      </w:r>
      <w:r>
        <w:rPr>
          <w:b w:val="0"/>
          <w:spacing w:val="10"/>
          <w:sz w:val="22"/>
          <w:szCs w:val="22"/>
        </w:rPr>
        <w:t xml:space="preserve">, lo que representa el </w:t>
      </w:r>
      <w:r w:rsidR="007843A4">
        <w:rPr>
          <w:b w:val="0"/>
          <w:spacing w:val="10"/>
          <w:sz w:val="22"/>
          <w:szCs w:val="22"/>
        </w:rPr>
        <w:t>2</w:t>
      </w:r>
      <w:r w:rsidR="006B7D30">
        <w:rPr>
          <w:b w:val="0"/>
          <w:spacing w:val="10"/>
          <w:sz w:val="22"/>
          <w:szCs w:val="22"/>
        </w:rPr>
        <w:t>0.1</w:t>
      </w:r>
      <w:r w:rsidR="00EC5279">
        <w:rPr>
          <w:b w:val="0"/>
          <w:spacing w:val="10"/>
          <w:sz w:val="22"/>
          <w:szCs w:val="22"/>
        </w:rPr>
        <w:t>%</w:t>
      </w:r>
      <w:r>
        <w:rPr>
          <w:b w:val="0"/>
          <w:spacing w:val="10"/>
          <w:sz w:val="22"/>
          <w:szCs w:val="22"/>
        </w:rPr>
        <w:t xml:space="preserve"> de la PNEA. Por su parte, la PNEA disponible para trabajar de hombres fue de </w:t>
      </w:r>
      <w:r w:rsidR="00AB17D7">
        <w:rPr>
          <w:b w:val="0"/>
          <w:spacing w:val="10"/>
          <w:sz w:val="22"/>
          <w:szCs w:val="22"/>
        </w:rPr>
        <w:t>3.</w:t>
      </w:r>
      <w:r w:rsidR="006B7D30">
        <w:rPr>
          <w:b w:val="0"/>
          <w:spacing w:val="10"/>
          <w:sz w:val="22"/>
          <w:szCs w:val="22"/>
        </w:rPr>
        <w:t>4</w:t>
      </w:r>
      <w:r>
        <w:rPr>
          <w:b w:val="0"/>
          <w:spacing w:val="10"/>
          <w:sz w:val="22"/>
          <w:szCs w:val="22"/>
        </w:rPr>
        <w:t xml:space="preserve"> millones que equivale a </w:t>
      </w:r>
      <w:r w:rsidR="006B7D30">
        <w:rPr>
          <w:b w:val="0"/>
          <w:spacing w:val="10"/>
          <w:sz w:val="22"/>
          <w:szCs w:val="22"/>
        </w:rPr>
        <w:t>28.6</w:t>
      </w:r>
      <w:r>
        <w:rPr>
          <w:b w:val="0"/>
          <w:spacing w:val="10"/>
          <w:sz w:val="22"/>
          <w:szCs w:val="22"/>
        </w:rPr>
        <w:t xml:space="preserve">% de la PNEA masculina; en contraste, la PNEA disponible para trabajar femenina </w:t>
      </w:r>
      <w:r w:rsidR="000127EC">
        <w:rPr>
          <w:b w:val="0"/>
          <w:spacing w:val="10"/>
          <w:sz w:val="22"/>
          <w:szCs w:val="22"/>
        </w:rPr>
        <w:t xml:space="preserve">fue </w:t>
      </w:r>
      <w:r>
        <w:rPr>
          <w:b w:val="0"/>
          <w:spacing w:val="10"/>
          <w:sz w:val="22"/>
          <w:szCs w:val="22"/>
        </w:rPr>
        <w:t xml:space="preserve">de </w:t>
      </w:r>
      <w:r w:rsidR="004945E5">
        <w:rPr>
          <w:b w:val="0"/>
          <w:spacing w:val="10"/>
          <w:sz w:val="22"/>
          <w:szCs w:val="22"/>
        </w:rPr>
        <w:t>5</w:t>
      </w:r>
      <w:r>
        <w:rPr>
          <w:b w:val="0"/>
          <w:spacing w:val="10"/>
          <w:sz w:val="22"/>
          <w:szCs w:val="22"/>
        </w:rPr>
        <w:t xml:space="preserve"> millones, cifra que representa el </w:t>
      </w:r>
      <w:r w:rsidR="004945E5">
        <w:rPr>
          <w:b w:val="0"/>
          <w:spacing w:val="10"/>
          <w:sz w:val="22"/>
          <w:szCs w:val="22"/>
        </w:rPr>
        <w:t>1</w:t>
      </w:r>
      <w:r w:rsidR="006B7D30">
        <w:rPr>
          <w:b w:val="0"/>
          <w:spacing w:val="10"/>
          <w:sz w:val="22"/>
          <w:szCs w:val="22"/>
        </w:rPr>
        <w:t>6.7</w:t>
      </w:r>
      <w:r>
        <w:rPr>
          <w:b w:val="0"/>
          <w:spacing w:val="10"/>
          <w:sz w:val="22"/>
          <w:szCs w:val="22"/>
        </w:rPr>
        <w:t>% de la PNEA femenina.</w:t>
      </w:r>
    </w:p>
    <w:p w14:paraId="6DD89C34" w14:textId="77777777" w:rsidR="003E203B" w:rsidRDefault="003E203B" w:rsidP="009749DA">
      <w:pPr>
        <w:pStyle w:val="Subttulo"/>
        <w:jc w:val="both"/>
        <w:rPr>
          <w:b w:val="0"/>
          <w:spacing w:val="10"/>
          <w:sz w:val="22"/>
          <w:szCs w:val="22"/>
        </w:rPr>
      </w:pPr>
    </w:p>
    <w:p w14:paraId="29ED5E71" w14:textId="593924C2" w:rsidR="001B08D2" w:rsidRDefault="001B08D2" w:rsidP="009749DA">
      <w:pPr>
        <w:pStyle w:val="Subttulo"/>
        <w:jc w:val="both"/>
        <w:rPr>
          <w:b w:val="0"/>
          <w:bCs w:val="0"/>
          <w:spacing w:val="10"/>
          <w:sz w:val="22"/>
          <w:szCs w:val="22"/>
        </w:rPr>
      </w:pPr>
      <w:r w:rsidRPr="00744F7E">
        <w:rPr>
          <w:b w:val="0"/>
          <w:bCs w:val="0"/>
          <w:spacing w:val="10"/>
          <w:sz w:val="22"/>
          <w:szCs w:val="22"/>
        </w:rPr>
        <w:t xml:space="preserve">En términos absolutos, la PNEA disponible para trabajar </w:t>
      </w:r>
      <w:r w:rsidR="002A628B">
        <w:rPr>
          <w:b w:val="0"/>
          <w:bCs w:val="0"/>
          <w:spacing w:val="10"/>
          <w:sz w:val="22"/>
          <w:szCs w:val="22"/>
        </w:rPr>
        <w:t>aument</w:t>
      </w:r>
      <w:r w:rsidR="0009689C">
        <w:rPr>
          <w:b w:val="0"/>
          <w:bCs w:val="0"/>
          <w:spacing w:val="10"/>
          <w:sz w:val="22"/>
          <w:szCs w:val="22"/>
        </w:rPr>
        <w:t>ó</w:t>
      </w:r>
      <w:r w:rsidR="002A628B">
        <w:rPr>
          <w:b w:val="0"/>
          <w:bCs w:val="0"/>
          <w:spacing w:val="10"/>
          <w:sz w:val="22"/>
          <w:szCs w:val="22"/>
        </w:rPr>
        <w:t xml:space="preserve"> en </w:t>
      </w:r>
      <w:r w:rsidR="006B7D30">
        <w:rPr>
          <w:b w:val="0"/>
          <w:bCs w:val="0"/>
          <w:spacing w:val="10"/>
          <w:sz w:val="22"/>
          <w:szCs w:val="22"/>
        </w:rPr>
        <w:t>2.7</w:t>
      </w:r>
      <w:r w:rsidR="002A628B">
        <w:rPr>
          <w:b w:val="0"/>
          <w:bCs w:val="0"/>
          <w:spacing w:val="10"/>
          <w:sz w:val="22"/>
          <w:szCs w:val="22"/>
        </w:rPr>
        <w:t xml:space="preserve"> millones</w:t>
      </w:r>
      <w:r w:rsidRPr="00744F7E">
        <w:rPr>
          <w:b w:val="0"/>
          <w:bCs w:val="0"/>
          <w:spacing w:val="10"/>
          <w:sz w:val="22"/>
          <w:szCs w:val="22"/>
        </w:rPr>
        <w:t xml:space="preserve"> </w:t>
      </w:r>
      <w:r w:rsidR="00B26FC2">
        <w:rPr>
          <w:b w:val="0"/>
          <w:bCs w:val="0"/>
          <w:spacing w:val="10"/>
          <w:sz w:val="22"/>
          <w:szCs w:val="22"/>
        </w:rPr>
        <w:t>y</w:t>
      </w:r>
      <w:r w:rsidRPr="00744F7E">
        <w:rPr>
          <w:b w:val="0"/>
          <w:bCs w:val="0"/>
          <w:spacing w:val="10"/>
          <w:sz w:val="22"/>
          <w:szCs w:val="22"/>
        </w:rPr>
        <w:t xml:space="preserve"> la PNEA no disponible para trabajar</w:t>
      </w:r>
      <w:r w:rsidR="00224419">
        <w:rPr>
          <w:b w:val="0"/>
          <w:bCs w:val="0"/>
          <w:spacing w:val="10"/>
          <w:sz w:val="22"/>
          <w:szCs w:val="22"/>
        </w:rPr>
        <w:t xml:space="preserve"> </w:t>
      </w:r>
      <w:r w:rsidR="00AF05FD">
        <w:rPr>
          <w:b w:val="0"/>
          <w:bCs w:val="0"/>
          <w:spacing w:val="10"/>
          <w:sz w:val="22"/>
          <w:szCs w:val="22"/>
        </w:rPr>
        <w:t xml:space="preserve">en </w:t>
      </w:r>
      <w:r w:rsidR="006B7D30">
        <w:rPr>
          <w:b w:val="0"/>
          <w:bCs w:val="0"/>
          <w:spacing w:val="10"/>
          <w:sz w:val="22"/>
          <w:szCs w:val="22"/>
        </w:rPr>
        <w:t>744</w:t>
      </w:r>
      <w:r w:rsidR="002A628B">
        <w:rPr>
          <w:b w:val="0"/>
          <w:bCs w:val="0"/>
          <w:spacing w:val="10"/>
          <w:sz w:val="22"/>
          <w:szCs w:val="22"/>
        </w:rPr>
        <w:t xml:space="preserve"> mil</w:t>
      </w:r>
      <w:r w:rsidR="00AF05FD">
        <w:rPr>
          <w:b w:val="0"/>
          <w:bCs w:val="0"/>
          <w:spacing w:val="10"/>
          <w:sz w:val="22"/>
          <w:szCs w:val="22"/>
        </w:rPr>
        <w:t xml:space="preserve"> personas</w:t>
      </w:r>
      <w:r w:rsidR="00B26FC2">
        <w:rPr>
          <w:b w:val="0"/>
          <w:bCs w:val="0"/>
          <w:spacing w:val="10"/>
          <w:sz w:val="22"/>
          <w:szCs w:val="22"/>
        </w:rPr>
        <w:t xml:space="preserve"> </w:t>
      </w:r>
      <w:r w:rsidR="00B26FC2" w:rsidRPr="00744F7E">
        <w:rPr>
          <w:b w:val="0"/>
          <w:bCs w:val="0"/>
          <w:spacing w:val="10"/>
          <w:sz w:val="22"/>
          <w:szCs w:val="22"/>
        </w:rPr>
        <w:t xml:space="preserve">entre </w:t>
      </w:r>
      <w:r w:rsidR="002A628B">
        <w:rPr>
          <w:b w:val="0"/>
          <w:bCs w:val="0"/>
          <w:spacing w:val="10"/>
          <w:sz w:val="22"/>
          <w:szCs w:val="22"/>
        </w:rPr>
        <w:t xml:space="preserve">el </w:t>
      </w:r>
      <w:r w:rsidR="00177B20">
        <w:rPr>
          <w:b w:val="0"/>
          <w:bCs w:val="0"/>
          <w:spacing w:val="10"/>
          <w:sz w:val="22"/>
          <w:szCs w:val="22"/>
        </w:rPr>
        <w:t>primer</w:t>
      </w:r>
      <w:r w:rsidR="002A628B">
        <w:rPr>
          <w:b w:val="0"/>
          <w:bCs w:val="0"/>
          <w:spacing w:val="10"/>
          <w:sz w:val="22"/>
          <w:szCs w:val="22"/>
        </w:rPr>
        <w:t xml:space="preserve"> trimestre de </w:t>
      </w:r>
      <w:r w:rsidR="00177B20">
        <w:rPr>
          <w:b w:val="0"/>
          <w:bCs w:val="0"/>
          <w:spacing w:val="10"/>
          <w:sz w:val="22"/>
          <w:szCs w:val="22"/>
        </w:rPr>
        <w:t>2020</w:t>
      </w:r>
      <w:r w:rsidR="002A628B">
        <w:rPr>
          <w:b w:val="0"/>
          <w:bCs w:val="0"/>
          <w:spacing w:val="10"/>
          <w:sz w:val="22"/>
          <w:szCs w:val="22"/>
        </w:rPr>
        <w:t xml:space="preserve"> y</w:t>
      </w:r>
      <w:r w:rsidR="007D6795">
        <w:rPr>
          <w:b w:val="0"/>
          <w:bCs w:val="0"/>
          <w:spacing w:val="10"/>
          <w:sz w:val="22"/>
          <w:szCs w:val="22"/>
        </w:rPr>
        <w:t xml:space="preserve"> el mismo periodo de</w:t>
      </w:r>
      <w:r w:rsidR="00B26FC2" w:rsidRPr="00744F7E">
        <w:rPr>
          <w:b w:val="0"/>
          <w:bCs w:val="0"/>
          <w:spacing w:val="10"/>
          <w:sz w:val="22"/>
          <w:szCs w:val="22"/>
        </w:rPr>
        <w:t xml:space="preserve"> </w:t>
      </w:r>
      <w:r w:rsidR="00177B20">
        <w:rPr>
          <w:b w:val="0"/>
          <w:bCs w:val="0"/>
          <w:spacing w:val="10"/>
          <w:sz w:val="22"/>
          <w:szCs w:val="22"/>
        </w:rPr>
        <w:t>2021</w:t>
      </w:r>
      <w:r w:rsidRPr="00744F7E">
        <w:rPr>
          <w:b w:val="0"/>
          <w:bCs w:val="0"/>
          <w:spacing w:val="10"/>
          <w:sz w:val="22"/>
          <w:szCs w:val="22"/>
        </w:rPr>
        <w:t>.</w:t>
      </w:r>
      <w:r w:rsidR="002A628B">
        <w:rPr>
          <w:b w:val="0"/>
          <w:bCs w:val="0"/>
          <w:spacing w:val="10"/>
          <w:sz w:val="22"/>
          <w:szCs w:val="22"/>
        </w:rPr>
        <w:t xml:space="preserve"> En l</w:t>
      </w:r>
      <w:r w:rsidR="00742A34">
        <w:rPr>
          <w:b w:val="0"/>
          <w:bCs w:val="0"/>
          <w:spacing w:val="10"/>
          <w:sz w:val="22"/>
          <w:szCs w:val="22"/>
        </w:rPr>
        <w:t>os hombres, l</w:t>
      </w:r>
      <w:r w:rsidR="002A628B">
        <w:rPr>
          <w:b w:val="0"/>
          <w:bCs w:val="0"/>
          <w:spacing w:val="10"/>
          <w:sz w:val="22"/>
          <w:szCs w:val="22"/>
        </w:rPr>
        <w:t>a PNEA disponible aument</w:t>
      </w:r>
      <w:r w:rsidR="00742A34">
        <w:rPr>
          <w:b w:val="0"/>
          <w:bCs w:val="0"/>
          <w:spacing w:val="10"/>
          <w:sz w:val="22"/>
          <w:szCs w:val="22"/>
        </w:rPr>
        <w:t>ó</w:t>
      </w:r>
      <w:r w:rsidR="004945E5">
        <w:rPr>
          <w:b w:val="0"/>
          <w:bCs w:val="0"/>
          <w:spacing w:val="10"/>
          <w:sz w:val="22"/>
          <w:szCs w:val="22"/>
        </w:rPr>
        <w:t xml:space="preserve"> 1</w:t>
      </w:r>
      <w:r w:rsidR="002A628B">
        <w:rPr>
          <w:b w:val="0"/>
          <w:bCs w:val="0"/>
          <w:spacing w:val="10"/>
          <w:sz w:val="22"/>
          <w:szCs w:val="22"/>
        </w:rPr>
        <w:t>.</w:t>
      </w:r>
      <w:r w:rsidR="006B7D30">
        <w:rPr>
          <w:b w:val="0"/>
          <w:bCs w:val="0"/>
          <w:spacing w:val="10"/>
          <w:sz w:val="22"/>
          <w:szCs w:val="22"/>
        </w:rPr>
        <w:t>5</w:t>
      </w:r>
      <w:r w:rsidR="002A628B">
        <w:rPr>
          <w:b w:val="0"/>
          <w:bCs w:val="0"/>
          <w:spacing w:val="10"/>
          <w:sz w:val="22"/>
          <w:szCs w:val="22"/>
        </w:rPr>
        <w:t xml:space="preserve"> millones y la PNEA no disponible </w:t>
      </w:r>
      <w:r w:rsidR="00742A34">
        <w:rPr>
          <w:b w:val="0"/>
          <w:bCs w:val="0"/>
          <w:spacing w:val="10"/>
          <w:sz w:val="22"/>
          <w:szCs w:val="22"/>
        </w:rPr>
        <w:t xml:space="preserve">disminuyó en </w:t>
      </w:r>
      <w:r w:rsidR="006B7D30">
        <w:rPr>
          <w:b w:val="0"/>
          <w:bCs w:val="0"/>
          <w:spacing w:val="10"/>
          <w:sz w:val="22"/>
          <w:szCs w:val="22"/>
        </w:rPr>
        <w:t>25</w:t>
      </w:r>
      <w:r w:rsidR="004945E5">
        <w:rPr>
          <w:b w:val="0"/>
          <w:bCs w:val="0"/>
          <w:spacing w:val="10"/>
          <w:sz w:val="22"/>
          <w:szCs w:val="22"/>
        </w:rPr>
        <w:t>9</w:t>
      </w:r>
      <w:r w:rsidR="00742A34">
        <w:rPr>
          <w:b w:val="0"/>
          <w:bCs w:val="0"/>
          <w:spacing w:val="10"/>
          <w:sz w:val="22"/>
          <w:szCs w:val="22"/>
        </w:rPr>
        <w:t xml:space="preserve"> mil personas; mientras que en las mujeres la PNEA disponible aumentó </w:t>
      </w:r>
      <w:r w:rsidR="006E770F">
        <w:rPr>
          <w:b w:val="0"/>
          <w:bCs w:val="0"/>
          <w:spacing w:val="10"/>
          <w:sz w:val="22"/>
          <w:szCs w:val="22"/>
        </w:rPr>
        <w:t>1.</w:t>
      </w:r>
      <w:r w:rsidR="006B7D30">
        <w:rPr>
          <w:b w:val="0"/>
          <w:bCs w:val="0"/>
          <w:spacing w:val="10"/>
          <w:sz w:val="22"/>
          <w:szCs w:val="22"/>
        </w:rPr>
        <w:t>2</w:t>
      </w:r>
      <w:r w:rsidR="00742A34">
        <w:rPr>
          <w:b w:val="0"/>
          <w:bCs w:val="0"/>
          <w:spacing w:val="10"/>
          <w:sz w:val="22"/>
          <w:szCs w:val="22"/>
        </w:rPr>
        <w:t xml:space="preserve"> millones y la PNEA no disponible lo hizo en </w:t>
      </w:r>
      <w:r w:rsidR="006B7D30">
        <w:rPr>
          <w:b w:val="0"/>
          <w:bCs w:val="0"/>
          <w:spacing w:val="10"/>
          <w:sz w:val="22"/>
          <w:szCs w:val="22"/>
        </w:rPr>
        <w:t>un millón de</w:t>
      </w:r>
      <w:r w:rsidR="00742A34">
        <w:rPr>
          <w:b w:val="0"/>
          <w:bCs w:val="0"/>
          <w:spacing w:val="10"/>
          <w:sz w:val="22"/>
          <w:szCs w:val="22"/>
        </w:rPr>
        <w:t xml:space="preserve"> personas.</w:t>
      </w:r>
    </w:p>
    <w:p w14:paraId="124CF017" w14:textId="77777777" w:rsidR="00742A34" w:rsidRDefault="00742A34" w:rsidP="009749DA">
      <w:pPr>
        <w:pStyle w:val="Subttulo"/>
        <w:jc w:val="both"/>
        <w:rPr>
          <w:b w:val="0"/>
          <w:bCs w:val="0"/>
          <w:spacing w:val="10"/>
          <w:sz w:val="22"/>
          <w:szCs w:val="22"/>
        </w:rPr>
      </w:pPr>
    </w:p>
    <w:p w14:paraId="2CA3706F" w14:textId="77777777" w:rsidR="00252EDE" w:rsidRPr="00C63172" w:rsidRDefault="00252EDE" w:rsidP="009749DA">
      <w:pPr>
        <w:pStyle w:val="n0"/>
        <w:keepLines w:val="0"/>
        <w:spacing w:before="0"/>
        <w:ind w:left="0" w:right="49" w:firstLine="0"/>
        <w:jc w:val="left"/>
        <w:rPr>
          <w:b/>
          <w:smallCaps/>
          <w:color w:val="auto"/>
          <w:sz w:val="22"/>
          <w:szCs w:val="22"/>
        </w:rPr>
      </w:pPr>
      <w:r w:rsidRPr="00C63172">
        <w:rPr>
          <w:b/>
          <w:smallCaps/>
          <w:color w:val="auto"/>
          <w:sz w:val="22"/>
          <w:szCs w:val="22"/>
        </w:rPr>
        <w:t>población ocupada</w:t>
      </w:r>
    </w:p>
    <w:p w14:paraId="151D1025" w14:textId="77777777" w:rsidR="003A7249" w:rsidRDefault="003A7249" w:rsidP="009749DA">
      <w:pPr>
        <w:pStyle w:val="Prrafodelista"/>
        <w:spacing w:after="0" w:line="240" w:lineRule="auto"/>
        <w:ind w:left="0" w:right="49"/>
        <w:jc w:val="both"/>
        <w:rPr>
          <w:rFonts w:ascii="Arial" w:hAnsi="Arial" w:cs="Arial"/>
          <w:bCs/>
          <w:spacing w:val="8"/>
        </w:rPr>
      </w:pPr>
    </w:p>
    <w:p w14:paraId="1701094D" w14:textId="5986AC73" w:rsidR="00C056D1" w:rsidRDefault="00252EDE" w:rsidP="009749DA">
      <w:pPr>
        <w:pStyle w:val="Prrafodelista"/>
        <w:spacing w:after="0" w:line="240" w:lineRule="auto"/>
        <w:ind w:left="0" w:right="49"/>
        <w:jc w:val="both"/>
        <w:rPr>
          <w:rFonts w:ascii="Arial" w:hAnsi="Arial" w:cs="Arial"/>
          <w:bCs/>
          <w:spacing w:val="8"/>
        </w:rPr>
      </w:pPr>
      <w:r>
        <w:rPr>
          <w:rFonts w:ascii="Arial" w:hAnsi="Arial" w:cs="Arial"/>
          <w:bCs/>
          <w:spacing w:val="8"/>
        </w:rPr>
        <w:t xml:space="preserve">Durante </w:t>
      </w:r>
      <w:r w:rsidR="00177695">
        <w:rPr>
          <w:rFonts w:ascii="Arial" w:hAnsi="Arial" w:cs="Arial"/>
          <w:bCs/>
          <w:spacing w:val="8"/>
        </w:rPr>
        <w:t xml:space="preserve">el </w:t>
      </w:r>
      <w:r w:rsidR="00177B20">
        <w:rPr>
          <w:rFonts w:ascii="Arial" w:hAnsi="Arial" w:cs="Arial"/>
          <w:bCs/>
          <w:spacing w:val="8"/>
        </w:rPr>
        <w:t>primer</w:t>
      </w:r>
      <w:r w:rsidR="00177695">
        <w:rPr>
          <w:rFonts w:ascii="Arial" w:hAnsi="Arial" w:cs="Arial"/>
          <w:bCs/>
          <w:spacing w:val="8"/>
        </w:rPr>
        <w:t xml:space="preserve"> trimestre</w:t>
      </w:r>
      <w:r>
        <w:rPr>
          <w:rFonts w:ascii="Arial" w:hAnsi="Arial" w:cs="Arial"/>
          <w:bCs/>
          <w:spacing w:val="8"/>
        </w:rPr>
        <w:t xml:space="preserve"> de </w:t>
      </w:r>
      <w:r w:rsidR="00177B20">
        <w:rPr>
          <w:rFonts w:ascii="Arial" w:hAnsi="Arial" w:cs="Arial"/>
          <w:bCs/>
          <w:spacing w:val="8"/>
        </w:rPr>
        <w:t>2021</w:t>
      </w:r>
      <w:r>
        <w:rPr>
          <w:rFonts w:ascii="Arial" w:hAnsi="Arial" w:cs="Arial"/>
          <w:bCs/>
          <w:spacing w:val="8"/>
        </w:rPr>
        <w:t xml:space="preserve">, </w:t>
      </w:r>
      <w:r w:rsidR="00D14A14">
        <w:rPr>
          <w:rFonts w:ascii="Arial" w:hAnsi="Arial" w:cs="Arial"/>
          <w:bCs/>
          <w:spacing w:val="8"/>
        </w:rPr>
        <w:t xml:space="preserve">la población ocupada </w:t>
      </w:r>
      <w:r w:rsidR="004B60E7">
        <w:rPr>
          <w:rFonts w:ascii="Arial" w:hAnsi="Arial" w:cs="Arial"/>
          <w:bCs/>
          <w:spacing w:val="8"/>
        </w:rPr>
        <w:t xml:space="preserve">fue de </w:t>
      </w:r>
      <w:r w:rsidR="00AF05FD">
        <w:rPr>
          <w:rFonts w:ascii="Arial" w:hAnsi="Arial" w:cs="Arial"/>
          <w:bCs/>
          <w:spacing w:val="8"/>
        </w:rPr>
        <w:t>5</w:t>
      </w:r>
      <w:r w:rsidR="006B7D30">
        <w:rPr>
          <w:rFonts w:ascii="Arial" w:hAnsi="Arial" w:cs="Arial"/>
          <w:bCs/>
          <w:spacing w:val="8"/>
        </w:rPr>
        <w:t>3</w:t>
      </w:r>
      <w:r w:rsidR="004B60E7">
        <w:rPr>
          <w:rFonts w:ascii="Arial" w:hAnsi="Arial" w:cs="Arial"/>
          <w:bCs/>
          <w:spacing w:val="8"/>
        </w:rPr>
        <w:t xml:space="preserve"> millones</w:t>
      </w:r>
      <w:r w:rsidR="00D14A14">
        <w:rPr>
          <w:rFonts w:ascii="Arial" w:hAnsi="Arial" w:cs="Arial"/>
          <w:bCs/>
          <w:spacing w:val="8"/>
        </w:rPr>
        <w:t xml:space="preserve">, cifra </w:t>
      </w:r>
      <w:r w:rsidR="007D6795">
        <w:rPr>
          <w:rFonts w:ascii="Arial" w:hAnsi="Arial" w:cs="Arial"/>
          <w:bCs/>
          <w:spacing w:val="8"/>
        </w:rPr>
        <w:t>inferior</w:t>
      </w:r>
      <w:r w:rsidR="00CA720D">
        <w:rPr>
          <w:rFonts w:ascii="Arial" w:hAnsi="Arial" w:cs="Arial"/>
          <w:bCs/>
          <w:spacing w:val="8"/>
        </w:rPr>
        <w:t xml:space="preserve"> en </w:t>
      </w:r>
      <w:r w:rsidR="006E770F">
        <w:rPr>
          <w:rFonts w:ascii="Arial" w:hAnsi="Arial" w:cs="Arial"/>
          <w:bCs/>
          <w:spacing w:val="8"/>
        </w:rPr>
        <w:t>2.</w:t>
      </w:r>
      <w:r w:rsidR="006B7D30">
        <w:rPr>
          <w:rFonts w:ascii="Arial" w:hAnsi="Arial" w:cs="Arial"/>
          <w:bCs/>
          <w:spacing w:val="8"/>
        </w:rPr>
        <w:t>1</w:t>
      </w:r>
      <w:r w:rsidR="007D6795">
        <w:rPr>
          <w:rFonts w:ascii="Arial" w:hAnsi="Arial" w:cs="Arial"/>
          <w:bCs/>
          <w:spacing w:val="8"/>
        </w:rPr>
        <w:t xml:space="preserve"> millones de</w:t>
      </w:r>
      <w:r w:rsidR="00AF05FD">
        <w:rPr>
          <w:rFonts w:ascii="Arial" w:hAnsi="Arial" w:cs="Arial"/>
          <w:bCs/>
          <w:spacing w:val="8"/>
        </w:rPr>
        <w:t xml:space="preserve"> personas</w:t>
      </w:r>
      <w:r w:rsidR="00220E74">
        <w:rPr>
          <w:rFonts w:ascii="Arial" w:hAnsi="Arial" w:cs="Arial"/>
          <w:bCs/>
          <w:spacing w:val="8"/>
        </w:rPr>
        <w:t xml:space="preserve"> </w:t>
      </w:r>
      <w:r w:rsidR="009925A2">
        <w:rPr>
          <w:rFonts w:ascii="Arial" w:hAnsi="Arial" w:cs="Arial"/>
          <w:bCs/>
          <w:spacing w:val="8"/>
        </w:rPr>
        <w:t>comparada con</w:t>
      </w:r>
      <w:r w:rsidR="00220E74">
        <w:rPr>
          <w:rFonts w:ascii="Arial" w:hAnsi="Arial" w:cs="Arial"/>
          <w:bCs/>
          <w:spacing w:val="8"/>
        </w:rPr>
        <w:t xml:space="preserve"> </w:t>
      </w:r>
      <w:r w:rsidR="00C71849">
        <w:rPr>
          <w:rFonts w:ascii="Arial" w:hAnsi="Arial" w:cs="Arial"/>
          <w:bCs/>
          <w:spacing w:val="8"/>
        </w:rPr>
        <w:t>la de</w:t>
      </w:r>
      <w:r w:rsidR="007D6795">
        <w:rPr>
          <w:rFonts w:ascii="Arial" w:hAnsi="Arial" w:cs="Arial"/>
          <w:bCs/>
          <w:spacing w:val="8"/>
        </w:rPr>
        <w:t xml:space="preserve">l </w:t>
      </w:r>
      <w:r w:rsidR="00177B20">
        <w:rPr>
          <w:rFonts w:ascii="Arial" w:hAnsi="Arial" w:cs="Arial"/>
          <w:bCs/>
          <w:spacing w:val="8"/>
        </w:rPr>
        <w:t>primer</w:t>
      </w:r>
      <w:r w:rsidR="007D6795">
        <w:rPr>
          <w:rFonts w:ascii="Arial" w:hAnsi="Arial" w:cs="Arial"/>
          <w:bCs/>
          <w:spacing w:val="8"/>
        </w:rPr>
        <w:t xml:space="preserve"> trimestre de </w:t>
      </w:r>
      <w:r w:rsidR="00177B20">
        <w:rPr>
          <w:rFonts w:ascii="Arial" w:hAnsi="Arial" w:cs="Arial"/>
          <w:bCs/>
          <w:spacing w:val="8"/>
        </w:rPr>
        <w:t>2020</w:t>
      </w:r>
      <w:r w:rsidR="004B60E7">
        <w:rPr>
          <w:rFonts w:ascii="Arial" w:hAnsi="Arial" w:cs="Arial"/>
          <w:bCs/>
          <w:spacing w:val="8"/>
        </w:rPr>
        <w:t xml:space="preserve">. La población ocupada de hombres </w:t>
      </w:r>
      <w:r w:rsidR="00A94999">
        <w:rPr>
          <w:rFonts w:ascii="Arial" w:hAnsi="Arial" w:cs="Arial"/>
          <w:bCs/>
          <w:spacing w:val="8"/>
        </w:rPr>
        <w:t>fue</w:t>
      </w:r>
      <w:r w:rsidR="004B60E7">
        <w:rPr>
          <w:rFonts w:ascii="Arial" w:hAnsi="Arial" w:cs="Arial"/>
          <w:bCs/>
          <w:spacing w:val="8"/>
        </w:rPr>
        <w:t xml:space="preserve"> </w:t>
      </w:r>
      <w:r w:rsidR="00A94999">
        <w:rPr>
          <w:rFonts w:ascii="Arial" w:hAnsi="Arial" w:cs="Arial"/>
          <w:bCs/>
          <w:spacing w:val="8"/>
        </w:rPr>
        <w:t>de</w:t>
      </w:r>
      <w:r w:rsidR="004B60E7">
        <w:rPr>
          <w:rFonts w:ascii="Arial" w:hAnsi="Arial" w:cs="Arial"/>
          <w:bCs/>
          <w:spacing w:val="8"/>
        </w:rPr>
        <w:t xml:space="preserve"> 3</w:t>
      </w:r>
      <w:r w:rsidR="006E770F">
        <w:rPr>
          <w:rFonts w:ascii="Arial" w:hAnsi="Arial" w:cs="Arial"/>
          <w:bCs/>
          <w:spacing w:val="8"/>
        </w:rPr>
        <w:t>2.</w:t>
      </w:r>
      <w:r w:rsidR="006B7D30">
        <w:rPr>
          <w:rFonts w:ascii="Arial" w:hAnsi="Arial" w:cs="Arial"/>
          <w:bCs/>
          <w:spacing w:val="8"/>
        </w:rPr>
        <w:t>7</w:t>
      </w:r>
      <w:r w:rsidR="004B60E7">
        <w:rPr>
          <w:rFonts w:ascii="Arial" w:hAnsi="Arial" w:cs="Arial"/>
          <w:bCs/>
          <w:spacing w:val="8"/>
        </w:rPr>
        <w:t xml:space="preserve"> millones</w:t>
      </w:r>
      <w:r w:rsidR="00A94999">
        <w:rPr>
          <w:rFonts w:ascii="Arial" w:hAnsi="Arial" w:cs="Arial"/>
          <w:bCs/>
          <w:spacing w:val="8"/>
        </w:rPr>
        <w:t xml:space="preserve">, </w:t>
      </w:r>
      <w:r w:rsidR="00F64ADC">
        <w:rPr>
          <w:rFonts w:ascii="Arial" w:hAnsi="Arial" w:cs="Arial"/>
          <w:bCs/>
          <w:spacing w:val="8"/>
        </w:rPr>
        <w:t xml:space="preserve">monto </w:t>
      </w:r>
      <w:r w:rsidR="007D6795">
        <w:rPr>
          <w:rFonts w:ascii="Arial" w:hAnsi="Arial" w:cs="Arial"/>
          <w:bCs/>
          <w:spacing w:val="8"/>
        </w:rPr>
        <w:t>menor</w:t>
      </w:r>
      <w:r w:rsidR="00BB448E">
        <w:rPr>
          <w:rFonts w:ascii="Arial" w:hAnsi="Arial" w:cs="Arial"/>
          <w:bCs/>
          <w:spacing w:val="8"/>
        </w:rPr>
        <w:t xml:space="preserve"> en </w:t>
      </w:r>
      <w:r w:rsidR="006B7D30">
        <w:rPr>
          <w:rFonts w:ascii="Arial" w:hAnsi="Arial" w:cs="Arial"/>
          <w:bCs/>
          <w:spacing w:val="8"/>
        </w:rPr>
        <w:t>604 mil</w:t>
      </w:r>
      <w:r w:rsidR="007D6795">
        <w:rPr>
          <w:rFonts w:ascii="Arial" w:hAnsi="Arial" w:cs="Arial"/>
          <w:bCs/>
          <w:spacing w:val="8"/>
        </w:rPr>
        <w:t xml:space="preserve"> </w:t>
      </w:r>
      <w:r w:rsidR="007A2C03">
        <w:rPr>
          <w:rFonts w:ascii="Arial" w:hAnsi="Arial" w:cs="Arial"/>
          <w:bCs/>
          <w:spacing w:val="8"/>
        </w:rPr>
        <w:t>y</w:t>
      </w:r>
      <w:r w:rsidR="00A94999">
        <w:rPr>
          <w:rFonts w:ascii="Arial" w:hAnsi="Arial" w:cs="Arial"/>
          <w:bCs/>
          <w:spacing w:val="8"/>
        </w:rPr>
        <w:t xml:space="preserve"> </w:t>
      </w:r>
      <w:r w:rsidR="004112D2">
        <w:rPr>
          <w:rFonts w:ascii="Arial" w:hAnsi="Arial" w:cs="Arial"/>
          <w:bCs/>
          <w:spacing w:val="8"/>
        </w:rPr>
        <w:t>l</w:t>
      </w:r>
      <w:r w:rsidR="00A94999">
        <w:rPr>
          <w:rFonts w:ascii="Arial" w:hAnsi="Arial" w:cs="Arial"/>
          <w:bCs/>
          <w:spacing w:val="8"/>
        </w:rPr>
        <w:t xml:space="preserve">a </w:t>
      </w:r>
      <w:r w:rsidR="004B60E7">
        <w:rPr>
          <w:rFonts w:ascii="Arial" w:hAnsi="Arial" w:cs="Arial"/>
          <w:bCs/>
          <w:spacing w:val="8"/>
        </w:rPr>
        <w:t>población ocupada de mujeres</w:t>
      </w:r>
      <w:r w:rsidR="004112D2">
        <w:rPr>
          <w:rFonts w:ascii="Arial" w:hAnsi="Arial" w:cs="Arial"/>
          <w:bCs/>
          <w:spacing w:val="8"/>
        </w:rPr>
        <w:t xml:space="preserve"> fue</w:t>
      </w:r>
      <w:r w:rsidR="004B60E7">
        <w:rPr>
          <w:rFonts w:ascii="Arial" w:hAnsi="Arial" w:cs="Arial"/>
          <w:bCs/>
          <w:spacing w:val="8"/>
        </w:rPr>
        <w:t xml:space="preserve"> </w:t>
      </w:r>
      <w:r w:rsidR="00A94999">
        <w:rPr>
          <w:rFonts w:ascii="Arial" w:hAnsi="Arial" w:cs="Arial"/>
          <w:bCs/>
          <w:spacing w:val="8"/>
        </w:rPr>
        <w:t>de</w:t>
      </w:r>
      <w:r w:rsidR="00AF05FD">
        <w:rPr>
          <w:rFonts w:ascii="Arial" w:hAnsi="Arial" w:cs="Arial"/>
          <w:bCs/>
          <w:spacing w:val="8"/>
        </w:rPr>
        <w:t xml:space="preserve"> </w:t>
      </w:r>
      <w:r w:rsidR="006E770F">
        <w:rPr>
          <w:rFonts w:ascii="Arial" w:hAnsi="Arial" w:cs="Arial"/>
          <w:bCs/>
          <w:spacing w:val="8"/>
        </w:rPr>
        <w:t>20.</w:t>
      </w:r>
      <w:r w:rsidR="00B2121D">
        <w:rPr>
          <w:rFonts w:ascii="Arial" w:hAnsi="Arial" w:cs="Arial"/>
          <w:bCs/>
          <w:spacing w:val="8"/>
        </w:rPr>
        <w:t>3</w:t>
      </w:r>
      <w:r w:rsidR="004B60E7">
        <w:rPr>
          <w:rFonts w:ascii="Arial" w:hAnsi="Arial" w:cs="Arial"/>
          <w:bCs/>
          <w:spacing w:val="8"/>
        </w:rPr>
        <w:t xml:space="preserve"> millones, </w:t>
      </w:r>
      <w:r w:rsidR="006E770F">
        <w:rPr>
          <w:rFonts w:ascii="Arial" w:hAnsi="Arial" w:cs="Arial"/>
          <w:bCs/>
          <w:spacing w:val="8"/>
        </w:rPr>
        <w:t>1.</w:t>
      </w:r>
      <w:r w:rsidR="00B2121D">
        <w:rPr>
          <w:rFonts w:ascii="Arial" w:hAnsi="Arial" w:cs="Arial"/>
          <w:bCs/>
          <w:spacing w:val="8"/>
        </w:rPr>
        <w:t>5</w:t>
      </w:r>
      <w:r w:rsidR="007D6795">
        <w:rPr>
          <w:rFonts w:ascii="Arial" w:hAnsi="Arial" w:cs="Arial"/>
          <w:bCs/>
          <w:spacing w:val="8"/>
        </w:rPr>
        <w:t xml:space="preserve"> millones menos </w:t>
      </w:r>
      <w:r w:rsidR="003E5DA7">
        <w:rPr>
          <w:rFonts w:ascii="Arial" w:hAnsi="Arial" w:cs="Arial"/>
          <w:bCs/>
          <w:spacing w:val="8"/>
        </w:rPr>
        <w:t xml:space="preserve">en el </w:t>
      </w:r>
      <w:r w:rsidR="00A94999">
        <w:rPr>
          <w:rFonts w:ascii="Arial" w:hAnsi="Arial" w:cs="Arial"/>
          <w:bCs/>
          <w:spacing w:val="8"/>
        </w:rPr>
        <w:t>mismo periodo</w:t>
      </w:r>
      <w:r w:rsidR="001327FB">
        <w:rPr>
          <w:rFonts w:ascii="Arial" w:hAnsi="Arial" w:cs="Arial"/>
          <w:bCs/>
          <w:spacing w:val="8"/>
        </w:rPr>
        <w:t xml:space="preserve"> de comparación</w:t>
      </w:r>
      <w:r w:rsidR="00A94999">
        <w:rPr>
          <w:rFonts w:ascii="Arial" w:hAnsi="Arial" w:cs="Arial"/>
          <w:bCs/>
          <w:spacing w:val="8"/>
        </w:rPr>
        <w:t>.</w:t>
      </w:r>
    </w:p>
    <w:p w14:paraId="1DCE88BF" w14:textId="77777777" w:rsidR="001E2286" w:rsidRDefault="001E2286" w:rsidP="009749DA">
      <w:pPr>
        <w:pStyle w:val="Prrafodelista"/>
        <w:spacing w:after="0" w:line="240" w:lineRule="auto"/>
        <w:ind w:left="0" w:right="49"/>
        <w:jc w:val="both"/>
        <w:rPr>
          <w:rFonts w:ascii="Arial" w:hAnsi="Arial" w:cs="Arial"/>
          <w:bCs/>
          <w:spacing w:val="8"/>
        </w:rPr>
      </w:pPr>
    </w:p>
    <w:p w14:paraId="16FE1A03" w14:textId="77777777" w:rsidR="00B2121D" w:rsidRDefault="00B2121D">
      <w:pPr>
        <w:rPr>
          <w:rFonts w:ascii="Arial" w:eastAsia="Times New Roman" w:hAnsi="Arial" w:cs="Arial"/>
          <w:b/>
          <w:smallCaps/>
          <w:lang w:val="es-ES_tradnl" w:eastAsia="es-ES"/>
        </w:rPr>
      </w:pPr>
      <w:r>
        <w:rPr>
          <w:b/>
          <w:smallCaps/>
        </w:rPr>
        <w:br w:type="page"/>
      </w:r>
    </w:p>
    <w:p w14:paraId="3EF2F0E1" w14:textId="642FC0A3" w:rsidR="00F059CA" w:rsidRPr="00B5576B" w:rsidRDefault="00F059CA" w:rsidP="009749DA">
      <w:pPr>
        <w:pStyle w:val="n0"/>
        <w:keepLines w:val="0"/>
        <w:spacing w:before="0"/>
        <w:ind w:left="0" w:right="49" w:firstLine="0"/>
        <w:jc w:val="center"/>
        <w:rPr>
          <w:b/>
          <w:smallCaps/>
          <w:color w:val="auto"/>
          <w:sz w:val="22"/>
          <w:szCs w:val="22"/>
        </w:rPr>
      </w:pPr>
      <w:r>
        <w:rPr>
          <w:b/>
          <w:smallCaps/>
          <w:color w:val="auto"/>
          <w:sz w:val="22"/>
          <w:szCs w:val="22"/>
        </w:rPr>
        <w:lastRenderedPageBreak/>
        <w:t>Gráfico 2. Población ocupada por sexo</w:t>
      </w:r>
      <w:r w:rsidRPr="00B5576B">
        <w:rPr>
          <w:b/>
          <w:smallCaps/>
          <w:color w:val="auto"/>
          <w:sz w:val="22"/>
          <w:szCs w:val="22"/>
        </w:rPr>
        <w:t xml:space="preserve"> </w:t>
      </w:r>
      <w:r>
        <w:rPr>
          <w:b/>
          <w:smallCaps/>
          <w:color w:val="auto"/>
          <w:sz w:val="22"/>
          <w:szCs w:val="22"/>
        </w:rPr>
        <w:t>EN</w:t>
      </w:r>
      <w:r w:rsidRPr="00B5576B">
        <w:rPr>
          <w:b/>
          <w:smallCaps/>
          <w:color w:val="auto"/>
          <w:sz w:val="22"/>
          <w:szCs w:val="22"/>
        </w:rPr>
        <w:t>OE</w:t>
      </w:r>
      <w:r>
        <w:rPr>
          <w:b/>
          <w:smallCaps/>
          <w:color w:val="auto"/>
          <w:sz w:val="22"/>
          <w:szCs w:val="22"/>
          <w:vertAlign w:val="superscript"/>
        </w:rPr>
        <w:t>N</w:t>
      </w:r>
      <w:r w:rsidRPr="00B5576B">
        <w:rPr>
          <w:b/>
          <w:smallCaps/>
          <w:color w:val="auto"/>
          <w:sz w:val="22"/>
          <w:szCs w:val="22"/>
        </w:rPr>
        <w:t xml:space="preserve"> a</w:t>
      </w:r>
      <w:r>
        <w:rPr>
          <w:b/>
          <w:smallCaps/>
          <w:color w:val="auto"/>
          <w:sz w:val="22"/>
          <w:szCs w:val="22"/>
        </w:rPr>
        <w:t xml:space="preserve">l </w:t>
      </w:r>
      <w:r w:rsidR="00177B20">
        <w:rPr>
          <w:b/>
          <w:smallCaps/>
          <w:color w:val="auto"/>
          <w:sz w:val="22"/>
          <w:szCs w:val="22"/>
        </w:rPr>
        <w:t>primer</w:t>
      </w:r>
      <w:r>
        <w:rPr>
          <w:b/>
          <w:smallCaps/>
          <w:color w:val="auto"/>
          <w:sz w:val="22"/>
          <w:szCs w:val="22"/>
        </w:rPr>
        <w:t xml:space="preserve"> trimestre</w:t>
      </w:r>
      <w:r w:rsidRPr="00B5576B">
        <w:rPr>
          <w:b/>
          <w:smallCaps/>
          <w:color w:val="auto"/>
          <w:sz w:val="22"/>
          <w:szCs w:val="22"/>
        </w:rPr>
        <w:t xml:space="preserve"> de </w:t>
      </w:r>
      <w:r w:rsidR="00177B20">
        <w:rPr>
          <w:b/>
          <w:smallCaps/>
          <w:color w:val="auto"/>
          <w:sz w:val="22"/>
          <w:szCs w:val="22"/>
        </w:rPr>
        <w:t>2021</w:t>
      </w:r>
      <w:r>
        <w:rPr>
          <w:b/>
          <w:smallCaps/>
          <w:color w:val="auto"/>
          <w:sz w:val="22"/>
          <w:szCs w:val="22"/>
        </w:rPr>
        <w:t xml:space="preserve"> </w:t>
      </w:r>
    </w:p>
    <w:p w14:paraId="090FBE95" w14:textId="3C2B8E6B" w:rsidR="007D6795" w:rsidRDefault="007D6795" w:rsidP="009749DA">
      <w:pPr>
        <w:pStyle w:val="n0"/>
        <w:keepLines w:val="0"/>
        <w:spacing w:before="0"/>
        <w:ind w:left="0" w:right="49" w:firstLine="0"/>
        <w:jc w:val="center"/>
        <w:rPr>
          <w:b/>
          <w:smallCaps/>
          <w:color w:val="auto"/>
          <w:sz w:val="22"/>
          <w:szCs w:val="22"/>
        </w:rPr>
      </w:pPr>
      <w:r w:rsidRPr="00674B11">
        <w:rPr>
          <w:b/>
          <w:smallCaps/>
          <w:color w:val="auto"/>
          <w:sz w:val="22"/>
          <w:szCs w:val="22"/>
        </w:rPr>
        <w:t>(millones de personas)</w:t>
      </w:r>
    </w:p>
    <w:p w14:paraId="3674C998" w14:textId="535A5049" w:rsidR="00F57CA2" w:rsidRPr="00674B11" w:rsidRDefault="00A42494" w:rsidP="009749DA">
      <w:pPr>
        <w:pStyle w:val="n0"/>
        <w:keepLines w:val="0"/>
        <w:spacing w:before="0"/>
        <w:ind w:left="0" w:right="49" w:firstLine="0"/>
        <w:jc w:val="center"/>
        <w:rPr>
          <w:b/>
          <w:smallCaps/>
          <w:color w:val="auto"/>
          <w:sz w:val="22"/>
          <w:szCs w:val="22"/>
        </w:rPr>
      </w:pPr>
      <w:r>
        <w:rPr>
          <w:b/>
          <w:smallCaps/>
          <w:noProof/>
          <w:color w:val="auto"/>
          <w:sz w:val="22"/>
          <w:szCs w:val="22"/>
          <w:lang w:val="es-MX" w:eastAsia="es-MX"/>
        </w:rPr>
        <w:drawing>
          <wp:inline distT="0" distB="0" distL="0" distR="0" wp14:anchorId="1B4CB4BD" wp14:editId="4601EFD3">
            <wp:extent cx="5318760" cy="3025140"/>
            <wp:effectExtent l="0" t="0" r="0" b="381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318760" cy="3025140"/>
                    </a:xfrm>
                    <a:prstGeom prst="rect">
                      <a:avLst/>
                    </a:prstGeom>
                    <a:noFill/>
                  </pic:spPr>
                </pic:pic>
              </a:graphicData>
            </a:graphic>
          </wp:inline>
        </w:drawing>
      </w:r>
    </w:p>
    <w:p w14:paraId="2BFE7F8B" w14:textId="77777777" w:rsidR="00F57CA2" w:rsidRDefault="00F57CA2" w:rsidP="001D6545">
      <w:pPr>
        <w:spacing w:after="0" w:line="240" w:lineRule="auto"/>
        <w:ind w:left="426" w:right="333" w:hanging="142"/>
        <w:jc w:val="both"/>
        <w:rPr>
          <w:rFonts w:ascii="Arial" w:hAnsi="Arial" w:cs="Arial"/>
          <w:noProof/>
          <w:sz w:val="14"/>
          <w:szCs w:val="14"/>
          <w:lang w:val="es-ES" w:eastAsia="es-ES"/>
        </w:rPr>
      </w:pPr>
      <w:r>
        <w:rPr>
          <w:rFonts w:ascii="Arial" w:hAnsi="Arial" w:cs="Arial"/>
          <w:noProof/>
          <w:sz w:val="14"/>
          <w:szCs w:val="14"/>
          <w:lang w:val="es-ES" w:eastAsia="es-ES"/>
        </w:rPr>
        <w:t>Intervalos de confianza al 90 por ciento.</w:t>
      </w:r>
    </w:p>
    <w:p w14:paraId="2104208A" w14:textId="61F1F276" w:rsidR="006E302F" w:rsidRDefault="00E67D43" w:rsidP="001D6545">
      <w:pPr>
        <w:tabs>
          <w:tab w:val="left" w:pos="851"/>
        </w:tabs>
        <w:spacing w:after="0" w:line="240" w:lineRule="auto"/>
        <w:ind w:left="426" w:right="333"/>
        <w:rPr>
          <w:rFonts w:ascii="Arial" w:hAnsi="Arial" w:cs="Arial"/>
          <w:noProof/>
          <w:sz w:val="14"/>
          <w:szCs w:val="14"/>
          <w:lang w:val="es-ES" w:eastAsia="es-ES"/>
        </w:rPr>
      </w:pPr>
      <w:r>
        <w:rPr>
          <w:rFonts w:ascii="Arial" w:hAnsi="Arial" w:cs="Arial"/>
          <w:noProof/>
          <w:sz w:val="14"/>
          <w:szCs w:val="14"/>
          <w:lang w:val="es-ES" w:eastAsia="es-ES"/>
        </w:rPr>
        <w:t xml:space="preserve"> </w:t>
      </w:r>
      <w:r w:rsidR="006E302F">
        <w:rPr>
          <w:rFonts w:ascii="Arial" w:hAnsi="Arial" w:cs="Arial"/>
          <w:noProof/>
          <w:sz w:val="14"/>
          <w:szCs w:val="14"/>
          <w:lang w:val="es-ES" w:eastAsia="es-ES"/>
        </w:rPr>
        <w:t>Fuente:</w:t>
      </w:r>
      <w:r>
        <w:rPr>
          <w:rFonts w:ascii="Arial" w:hAnsi="Arial" w:cs="Arial"/>
          <w:noProof/>
          <w:sz w:val="14"/>
          <w:szCs w:val="14"/>
          <w:lang w:val="es-ES" w:eastAsia="es-ES"/>
        </w:rPr>
        <w:t xml:space="preserve"> </w:t>
      </w:r>
      <w:r w:rsidR="006E302F">
        <w:rPr>
          <w:rFonts w:ascii="Arial" w:hAnsi="Arial" w:cs="Arial"/>
          <w:noProof/>
          <w:sz w:val="14"/>
          <w:szCs w:val="14"/>
          <w:lang w:val="es-ES" w:eastAsia="es-ES"/>
        </w:rPr>
        <w:t>INEGI. Encuesta Nacional de Ocupación y Empleo. Nueva Edición, primer trimestre de 2021.</w:t>
      </w:r>
    </w:p>
    <w:p w14:paraId="3661038F" w14:textId="1C68EBC6" w:rsidR="006E302F" w:rsidRDefault="006E302F" w:rsidP="001D6545">
      <w:pPr>
        <w:tabs>
          <w:tab w:val="left" w:pos="851"/>
        </w:tabs>
        <w:spacing w:after="0" w:line="240" w:lineRule="auto"/>
        <w:ind w:left="426" w:right="333"/>
      </w:pPr>
      <w:r>
        <w:rPr>
          <w:rFonts w:ascii="Arial" w:hAnsi="Arial" w:cs="Arial"/>
          <w:noProof/>
          <w:sz w:val="14"/>
          <w:szCs w:val="14"/>
          <w:lang w:val="es-ES" w:eastAsia="es-ES"/>
        </w:rPr>
        <w:tab/>
      </w:r>
      <w:r w:rsidR="00E67D43">
        <w:rPr>
          <w:rFonts w:ascii="Arial" w:hAnsi="Arial" w:cs="Arial"/>
          <w:noProof/>
          <w:sz w:val="14"/>
          <w:szCs w:val="14"/>
          <w:lang w:val="es-ES" w:eastAsia="es-ES"/>
        </w:rPr>
        <w:t xml:space="preserve">   </w:t>
      </w:r>
      <w:r>
        <w:rPr>
          <w:rFonts w:ascii="Arial" w:hAnsi="Arial" w:cs="Arial"/>
          <w:noProof/>
          <w:sz w:val="14"/>
          <w:szCs w:val="14"/>
          <w:lang w:val="es-ES" w:eastAsia="es-ES"/>
        </w:rPr>
        <w:t>INEGI. Encuesta Nacional de Ocupación y Empleo, primer trimestre de 2020.</w:t>
      </w:r>
    </w:p>
    <w:p w14:paraId="3884B5A0" w14:textId="77777777" w:rsidR="00DE4311" w:rsidRDefault="00DE4311" w:rsidP="009749DA">
      <w:pPr>
        <w:pStyle w:val="Prrafodelista"/>
        <w:spacing w:after="0" w:line="240" w:lineRule="auto"/>
        <w:ind w:left="0" w:right="49"/>
        <w:jc w:val="both"/>
        <w:rPr>
          <w:rFonts w:ascii="Arial" w:hAnsi="Arial" w:cs="Arial"/>
          <w:bCs/>
          <w:spacing w:val="8"/>
        </w:rPr>
      </w:pPr>
    </w:p>
    <w:p w14:paraId="56387A97" w14:textId="161A2DC0" w:rsidR="00A94999" w:rsidRDefault="00220E74" w:rsidP="009749DA">
      <w:pPr>
        <w:pStyle w:val="Prrafodelista"/>
        <w:spacing w:after="0" w:line="240" w:lineRule="auto"/>
        <w:ind w:left="0" w:right="49"/>
        <w:jc w:val="both"/>
        <w:rPr>
          <w:rFonts w:ascii="Arial" w:hAnsi="Arial" w:cs="Arial"/>
          <w:bCs/>
          <w:spacing w:val="8"/>
        </w:rPr>
      </w:pPr>
      <w:r w:rsidRPr="007E2E7F">
        <w:rPr>
          <w:rFonts w:ascii="Arial" w:hAnsi="Arial" w:cs="Arial"/>
          <w:bCs/>
          <w:spacing w:val="8"/>
        </w:rPr>
        <w:t>L</w:t>
      </w:r>
      <w:r w:rsidR="00252EDE" w:rsidRPr="007E2E7F">
        <w:rPr>
          <w:rFonts w:ascii="Arial" w:hAnsi="Arial" w:cs="Arial"/>
          <w:bCs/>
          <w:spacing w:val="8"/>
        </w:rPr>
        <w:t xml:space="preserve">a distribución según su posición </w:t>
      </w:r>
      <w:r w:rsidRPr="007E2E7F">
        <w:rPr>
          <w:rFonts w:ascii="Arial" w:hAnsi="Arial" w:cs="Arial"/>
          <w:bCs/>
          <w:spacing w:val="8"/>
        </w:rPr>
        <w:t>en la ocupación</w:t>
      </w:r>
      <w:r w:rsidR="006565E1" w:rsidRPr="007E2E7F">
        <w:rPr>
          <w:rFonts w:ascii="Arial" w:hAnsi="Arial" w:cs="Arial"/>
          <w:bCs/>
          <w:spacing w:val="8"/>
        </w:rPr>
        <w:t xml:space="preserve"> indica que </w:t>
      </w:r>
      <w:r w:rsidR="00252EDE" w:rsidRPr="007E2E7F">
        <w:rPr>
          <w:rFonts w:ascii="Arial" w:hAnsi="Arial" w:cs="Arial"/>
          <w:bCs/>
          <w:spacing w:val="8"/>
        </w:rPr>
        <w:t xml:space="preserve">los trabajadores subordinados y remunerados </w:t>
      </w:r>
      <w:r w:rsidR="00754B6D" w:rsidRPr="007E2E7F">
        <w:rPr>
          <w:rFonts w:ascii="Arial" w:hAnsi="Arial" w:cs="Arial"/>
          <w:bCs/>
          <w:spacing w:val="8"/>
        </w:rPr>
        <w:t>concentraron</w:t>
      </w:r>
      <w:r w:rsidR="00252EDE" w:rsidRPr="007E2E7F">
        <w:rPr>
          <w:rFonts w:ascii="Arial" w:hAnsi="Arial" w:cs="Arial"/>
          <w:bCs/>
          <w:spacing w:val="8"/>
        </w:rPr>
        <w:t xml:space="preserve"> </w:t>
      </w:r>
      <w:r w:rsidR="00A94999" w:rsidRPr="007E2E7F">
        <w:rPr>
          <w:rFonts w:ascii="Arial" w:hAnsi="Arial" w:cs="Arial"/>
          <w:bCs/>
          <w:spacing w:val="8"/>
        </w:rPr>
        <w:t>68</w:t>
      </w:r>
      <w:r w:rsidR="00263C9D" w:rsidRPr="007E2E7F">
        <w:rPr>
          <w:rFonts w:ascii="Arial" w:hAnsi="Arial" w:cs="Arial"/>
          <w:bCs/>
          <w:spacing w:val="8"/>
        </w:rPr>
        <w:t>.</w:t>
      </w:r>
      <w:r w:rsidR="006E770F" w:rsidRPr="007E2E7F">
        <w:rPr>
          <w:rFonts w:ascii="Arial" w:hAnsi="Arial" w:cs="Arial"/>
          <w:bCs/>
          <w:spacing w:val="8"/>
        </w:rPr>
        <w:t>6</w:t>
      </w:r>
      <w:r w:rsidR="00252EDE" w:rsidRPr="007E2E7F">
        <w:rPr>
          <w:rFonts w:ascii="Arial" w:hAnsi="Arial" w:cs="Arial"/>
          <w:bCs/>
          <w:spacing w:val="8"/>
        </w:rPr>
        <w:t>%</w:t>
      </w:r>
      <w:r w:rsidR="00754B6D" w:rsidRPr="007E2E7F">
        <w:rPr>
          <w:rFonts w:ascii="Arial" w:hAnsi="Arial" w:cs="Arial"/>
          <w:bCs/>
          <w:spacing w:val="8"/>
        </w:rPr>
        <w:t xml:space="preserve"> del total</w:t>
      </w:r>
      <w:r w:rsidR="006565E1" w:rsidRPr="007E2E7F">
        <w:rPr>
          <w:rFonts w:ascii="Arial" w:hAnsi="Arial" w:cs="Arial"/>
          <w:bCs/>
          <w:spacing w:val="8"/>
        </w:rPr>
        <w:t xml:space="preserve"> </w:t>
      </w:r>
      <w:r w:rsidR="00721D75" w:rsidRPr="007E2E7F">
        <w:rPr>
          <w:rFonts w:ascii="Arial" w:hAnsi="Arial" w:cs="Arial"/>
          <w:bCs/>
          <w:spacing w:val="8"/>
        </w:rPr>
        <w:t xml:space="preserve">de la población ocupada </w:t>
      </w:r>
      <w:r w:rsidR="006565E1" w:rsidRPr="007E2E7F">
        <w:rPr>
          <w:rFonts w:ascii="Arial" w:hAnsi="Arial" w:cs="Arial"/>
          <w:bCs/>
          <w:spacing w:val="8"/>
        </w:rPr>
        <w:t xml:space="preserve">y los </w:t>
      </w:r>
      <w:r w:rsidR="00252EDE" w:rsidRPr="007E2E7F">
        <w:rPr>
          <w:rFonts w:ascii="Arial" w:hAnsi="Arial" w:cs="Arial"/>
          <w:bCs/>
          <w:spacing w:val="8"/>
        </w:rPr>
        <w:t xml:space="preserve">trabajadores por cuenta propia </w:t>
      </w:r>
      <w:r w:rsidR="006565E1" w:rsidRPr="007E2E7F">
        <w:rPr>
          <w:rFonts w:ascii="Arial" w:hAnsi="Arial" w:cs="Arial"/>
          <w:bCs/>
          <w:spacing w:val="8"/>
        </w:rPr>
        <w:t xml:space="preserve">representaron </w:t>
      </w:r>
      <w:r w:rsidR="00744F7E" w:rsidRPr="007E2E7F">
        <w:rPr>
          <w:rFonts w:ascii="Arial" w:hAnsi="Arial" w:cs="Arial"/>
          <w:bCs/>
          <w:spacing w:val="8"/>
        </w:rPr>
        <w:t>2</w:t>
      </w:r>
      <w:r w:rsidR="00A94999" w:rsidRPr="007E2E7F">
        <w:rPr>
          <w:rFonts w:ascii="Arial" w:hAnsi="Arial" w:cs="Arial"/>
          <w:bCs/>
          <w:spacing w:val="8"/>
        </w:rPr>
        <w:t>2.</w:t>
      </w:r>
      <w:r w:rsidR="004E12E3">
        <w:rPr>
          <w:rFonts w:ascii="Arial" w:hAnsi="Arial" w:cs="Arial"/>
          <w:bCs/>
          <w:spacing w:val="8"/>
        </w:rPr>
        <w:t>6</w:t>
      </w:r>
      <w:r w:rsidR="00252EDE" w:rsidRPr="007E2E7F">
        <w:rPr>
          <w:rFonts w:ascii="Arial" w:hAnsi="Arial" w:cs="Arial"/>
          <w:bCs/>
          <w:spacing w:val="8"/>
        </w:rPr>
        <w:t>%</w:t>
      </w:r>
      <w:r w:rsidR="006565E1" w:rsidRPr="007E2E7F">
        <w:rPr>
          <w:rFonts w:ascii="Arial" w:hAnsi="Arial" w:cs="Arial"/>
          <w:bCs/>
          <w:spacing w:val="8"/>
        </w:rPr>
        <w:t xml:space="preserve"> </w:t>
      </w:r>
      <w:r w:rsidR="00721D75" w:rsidRPr="007E2E7F">
        <w:rPr>
          <w:rFonts w:ascii="Arial" w:hAnsi="Arial" w:cs="Arial"/>
          <w:bCs/>
          <w:spacing w:val="8"/>
        </w:rPr>
        <w:t xml:space="preserve">para </w:t>
      </w:r>
      <w:r w:rsidR="00EC4C38" w:rsidRPr="007E2E7F">
        <w:rPr>
          <w:rFonts w:ascii="Arial" w:hAnsi="Arial" w:cs="Arial"/>
          <w:bCs/>
          <w:spacing w:val="8"/>
        </w:rPr>
        <w:t xml:space="preserve">el </w:t>
      </w:r>
      <w:r w:rsidR="00177B20" w:rsidRPr="007E2E7F">
        <w:rPr>
          <w:rFonts w:ascii="Arial" w:hAnsi="Arial" w:cs="Arial"/>
          <w:bCs/>
          <w:spacing w:val="8"/>
        </w:rPr>
        <w:t>primer</w:t>
      </w:r>
      <w:r w:rsidR="00177695" w:rsidRPr="007E2E7F">
        <w:rPr>
          <w:rFonts w:ascii="Arial" w:hAnsi="Arial" w:cs="Arial"/>
          <w:bCs/>
          <w:spacing w:val="8"/>
        </w:rPr>
        <w:t xml:space="preserve"> trimestre</w:t>
      </w:r>
      <w:r w:rsidR="006565E1" w:rsidRPr="007E2E7F">
        <w:rPr>
          <w:rFonts w:ascii="Arial" w:hAnsi="Arial" w:cs="Arial"/>
          <w:bCs/>
          <w:spacing w:val="8"/>
        </w:rPr>
        <w:t xml:space="preserve"> de </w:t>
      </w:r>
      <w:r w:rsidR="00177B20" w:rsidRPr="007E2E7F">
        <w:rPr>
          <w:rFonts w:ascii="Arial" w:hAnsi="Arial" w:cs="Arial"/>
          <w:bCs/>
          <w:spacing w:val="8"/>
        </w:rPr>
        <w:t>2021</w:t>
      </w:r>
      <w:r w:rsidR="00252EDE" w:rsidRPr="007E2E7F">
        <w:rPr>
          <w:rFonts w:ascii="Arial" w:hAnsi="Arial" w:cs="Arial"/>
          <w:bCs/>
          <w:spacing w:val="8"/>
        </w:rPr>
        <w:t>.</w:t>
      </w:r>
      <w:r w:rsidR="009925A2" w:rsidRPr="007E2E7F">
        <w:rPr>
          <w:rFonts w:ascii="Arial" w:hAnsi="Arial" w:cs="Arial"/>
          <w:bCs/>
          <w:spacing w:val="8"/>
        </w:rPr>
        <w:t xml:space="preserve"> </w:t>
      </w:r>
      <w:r w:rsidR="00A94999" w:rsidRPr="007E2E7F">
        <w:rPr>
          <w:rFonts w:ascii="Arial" w:hAnsi="Arial" w:cs="Arial"/>
          <w:bCs/>
          <w:spacing w:val="8"/>
        </w:rPr>
        <w:t xml:space="preserve">Estos son los dos grupos ocupacionales </w:t>
      </w:r>
      <w:r w:rsidR="004112D2" w:rsidRPr="007E2E7F">
        <w:rPr>
          <w:rFonts w:ascii="Arial" w:hAnsi="Arial" w:cs="Arial"/>
          <w:bCs/>
          <w:spacing w:val="8"/>
        </w:rPr>
        <w:t xml:space="preserve">más relevantes </w:t>
      </w:r>
      <w:r w:rsidR="00F80F93" w:rsidRPr="007E2E7F">
        <w:rPr>
          <w:rFonts w:ascii="Arial" w:hAnsi="Arial" w:cs="Arial"/>
          <w:bCs/>
          <w:spacing w:val="8"/>
        </w:rPr>
        <w:t xml:space="preserve">y </w:t>
      </w:r>
      <w:r w:rsidR="00EC4C38" w:rsidRPr="007E2E7F">
        <w:rPr>
          <w:rFonts w:ascii="Arial" w:hAnsi="Arial" w:cs="Arial"/>
          <w:bCs/>
          <w:spacing w:val="8"/>
        </w:rPr>
        <w:t xml:space="preserve">en términos absolutos </w:t>
      </w:r>
      <w:r w:rsidR="00CB2B58" w:rsidRPr="007E2E7F">
        <w:rPr>
          <w:rFonts w:ascii="Arial" w:hAnsi="Arial" w:cs="Arial"/>
          <w:bCs/>
          <w:spacing w:val="8"/>
        </w:rPr>
        <w:t xml:space="preserve">entre el </w:t>
      </w:r>
      <w:r w:rsidR="00177B20" w:rsidRPr="007E2E7F">
        <w:rPr>
          <w:rFonts w:ascii="Arial" w:hAnsi="Arial" w:cs="Arial"/>
          <w:bCs/>
          <w:spacing w:val="8"/>
        </w:rPr>
        <w:t>primer</w:t>
      </w:r>
      <w:r w:rsidR="00CB2B58" w:rsidRPr="007E2E7F">
        <w:rPr>
          <w:rFonts w:ascii="Arial" w:hAnsi="Arial" w:cs="Arial"/>
          <w:bCs/>
          <w:spacing w:val="8"/>
        </w:rPr>
        <w:t xml:space="preserve"> trimestre de </w:t>
      </w:r>
      <w:r w:rsidR="00177B20" w:rsidRPr="007E2E7F">
        <w:rPr>
          <w:rFonts w:ascii="Arial" w:hAnsi="Arial" w:cs="Arial"/>
          <w:bCs/>
          <w:spacing w:val="8"/>
        </w:rPr>
        <w:t>2020</w:t>
      </w:r>
      <w:r w:rsidR="00CB2B58" w:rsidRPr="007E2E7F">
        <w:rPr>
          <w:rFonts w:ascii="Arial" w:hAnsi="Arial" w:cs="Arial"/>
          <w:bCs/>
          <w:spacing w:val="8"/>
        </w:rPr>
        <w:t xml:space="preserve"> y el mismo periodo de </w:t>
      </w:r>
      <w:r w:rsidR="00177B20" w:rsidRPr="007E2E7F">
        <w:rPr>
          <w:rFonts w:ascii="Arial" w:hAnsi="Arial" w:cs="Arial"/>
          <w:bCs/>
          <w:spacing w:val="8"/>
        </w:rPr>
        <w:t>2021</w:t>
      </w:r>
      <w:r w:rsidR="00CB2B58" w:rsidRPr="007E2E7F">
        <w:rPr>
          <w:rFonts w:ascii="Arial" w:hAnsi="Arial" w:cs="Arial"/>
          <w:bCs/>
          <w:spacing w:val="8"/>
        </w:rPr>
        <w:t xml:space="preserve"> </w:t>
      </w:r>
      <w:r w:rsidR="00EC4C38" w:rsidRPr="007E2E7F">
        <w:rPr>
          <w:rFonts w:ascii="Arial" w:hAnsi="Arial" w:cs="Arial"/>
          <w:bCs/>
          <w:spacing w:val="8"/>
        </w:rPr>
        <w:t xml:space="preserve">registraron una disminución de </w:t>
      </w:r>
      <w:r w:rsidR="006E770F" w:rsidRPr="007E2E7F">
        <w:rPr>
          <w:rFonts w:ascii="Arial" w:hAnsi="Arial" w:cs="Arial"/>
          <w:bCs/>
          <w:spacing w:val="8"/>
        </w:rPr>
        <w:t>1</w:t>
      </w:r>
      <w:r w:rsidR="00EC4C38" w:rsidRPr="007E2E7F">
        <w:rPr>
          <w:rFonts w:ascii="Arial" w:hAnsi="Arial" w:cs="Arial"/>
          <w:bCs/>
          <w:spacing w:val="8"/>
        </w:rPr>
        <w:t>.</w:t>
      </w:r>
      <w:r w:rsidR="00406D90">
        <w:rPr>
          <w:rFonts w:ascii="Arial" w:hAnsi="Arial" w:cs="Arial"/>
          <w:bCs/>
          <w:spacing w:val="8"/>
        </w:rPr>
        <w:t>5</w:t>
      </w:r>
      <w:r w:rsidR="00406D90" w:rsidRPr="007E2E7F">
        <w:rPr>
          <w:rFonts w:ascii="Arial" w:hAnsi="Arial" w:cs="Arial"/>
          <w:bCs/>
          <w:spacing w:val="8"/>
        </w:rPr>
        <w:t xml:space="preserve"> </w:t>
      </w:r>
      <w:r w:rsidR="00EC4C38" w:rsidRPr="007E2E7F">
        <w:rPr>
          <w:rFonts w:ascii="Arial" w:hAnsi="Arial" w:cs="Arial"/>
          <w:bCs/>
          <w:spacing w:val="8"/>
        </w:rPr>
        <w:t xml:space="preserve">millones y de </w:t>
      </w:r>
      <w:r w:rsidR="00406D90" w:rsidRPr="007E2E7F">
        <w:rPr>
          <w:rFonts w:ascii="Arial" w:hAnsi="Arial" w:cs="Arial"/>
          <w:bCs/>
          <w:spacing w:val="8"/>
        </w:rPr>
        <w:t>3</w:t>
      </w:r>
      <w:r w:rsidR="00406D90">
        <w:rPr>
          <w:rFonts w:ascii="Arial" w:hAnsi="Arial" w:cs="Arial"/>
          <w:bCs/>
          <w:spacing w:val="8"/>
        </w:rPr>
        <w:t>47</w:t>
      </w:r>
      <w:r w:rsidR="00406D90" w:rsidRPr="007E2E7F">
        <w:rPr>
          <w:rFonts w:ascii="Arial" w:hAnsi="Arial" w:cs="Arial"/>
          <w:bCs/>
          <w:spacing w:val="8"/>
        </w:rPr>
        <w:t xml:space="preserve"> </w:t>
      </w:r>
      <w:r w:rsidR="00F80F93" w:rsidRPr="007E2E7F">
        <w:rPr>
          <w:rFonts w:ascii="Arial" w:hAnsi="Arial" w:cs="Arial"/>
          <w:bCs/>
          <w:spacing w:val="8"/>
        </w:rPr>
        <w:t xml:space="preserve">mil </w:t>
      </w:r>
      <w:r w:rsidR="00CB2B58" w:rsidRPr="007E2E7F">
        <w:rPr>
          <w:rFonts w:ascii="Arial" w:hAnsi="Arial" w:cs="Arial"/>
          <w:bCs/>
          <w:spacing w:val="8"/>
        </w:rPr>
        <w:t>personas, respectivamente</w:t>
      </w:r>
      <w:r w:rsidR="00406D90">
        <w:rPr>
          <w:rFonts w:ascii="Arial" w:hAnsi="Arial" w:cs="Arial"/>
          <w:bCs/>
          <w:spacing w:val="8"/>
        </w:rPr>
        <w:t>.</w:t>
      </w:r>
    </w:p>
    <w:p w14:paraId="4FC3C6ED" w14:textId="77777777" w:rsidR="00A94999" w:rsidRDefault="00A94999" w:rsidP="009749DA">
      <w:pPr>
        <w:pStyle w:val="Prrafodelista"/>
        <w:spacing w:after="0" w:line="240" w:lineRule="auto"/>
        <w:ind w:left="0" w:right="49"/>
        <w:jc w:val="both"/>
        <w:rPr>
          <w:rFonts w:ascii="Arial" w:hAnsi="Arial" w:cs="Arial"/>
          <w:bCs/>
          <w:spacing w:val="8"/>
        </w:rPr>
      </w:pPr>
    </w:p>
    <w:p w14:paraId="24B3444C" w14:textId="293075B6" w:rsidR="00F209EE" w:rsidRDefault="009925A2" w:rsidP="009749DA">
      <w:pPr>
        <w:pStyle w:val="Prrafodelista"/>
        <w:spacing w:after="0" w:line="240" w:lineRule="auto"/>
        <w:ind w:left="0" w:right="49"/>
        <w:jc w:val="both"/>
        <w:rPr>
          <w:rFonts w:ascii="Arial" w:hAnsi="Arial" w:cs="Arial"/>
          <w:bCs/>
          <w:spacing w:val="8"/>
        </w:rPr>
      </w:pPr>
      <w:r>
        <w:rPr>
          <w:rFonts w:ascii="Arial" w:hAnsi="Arial" w:cs="Arial"/>
          <w:bCs/>
          <w:spacing w:val="8"/>
        </w:rPr>
        <w:t xml:space="preserve">Los porcentajes de trabajadores subordinados y remunerados según sexo fueron de </w:t>
      </w:r>
      <w:r w:rsidR="00C056D1">
        <w:rPr>
          <w:rFonts w:ascii="Arial" w:hAnsi="Arial" w:cs="Arial"/>
          <w:bCs/>
          <w:spacing w:val="8"/>
        </w:rPr>
        <w:t>68.</w:t>
      </w:r>
      <w:r w:rsidR="00406D90">
        <w:rPr>
          <w:rFonts w:ascii="Arial" w:hAnsi="Arial" w:cs="Arial"/>
          <w:bCs/>
          <w:spacing w:val="8"/>
        </w:rPr>
        <w:t>7</w:t>
      </w:r>
      <w:r>
        <w:rPr>
          <w:rFonts w:ascii="Arial" w:hAnsi="Arial" w:cs="Arial"/>
          <w:bCs/>
          <w:spacing w:val="8"/>
        </w:rPr>
        <w:t xml:space="preserve">% en los hombres y de </w:t>
      </w:r>
      <w:r w:rsidR="00A94999">
        <w:rPr>
          <w:rFonts w:ascii="Arial" w:hAnsi="Arial" w:cs="Arial"/>
          <w:bCs/>
          <w:spacing w:val="8"/>
        </w:rPr>
        <w:t>6</w:t>
      </w:r>
      <w:r w:rsidR="006E770F">
        <w:rPr>
          <w:rFonts w:ascii="Arial" w:hAnsi="Arial" w:cs="Arial"/>
          <w:bCs/>
          <w:spacing w:val="8"/>
        </w:rPr>
        <w:t>8.</w:t>
      </w:r>
      <w:r w:rsidR="00406D90">
        <w:rPr>
          <w:rFonts w:ascii="Arial" w:hAnsi="Arial" w:cs="Arial"/>
          <w:bCs/>
          <w:spacing w:val="8"/>
        </w:rPr>
        <w:t>5</w:t>
      </w:r>
      <w:r>
        <w:rPr>
          <w:rFonts w:ascii="Arial" w:hAnsi="Arial" w:cs="Arial"/>
          <w:bCs/>
          <w:spacing w:val="8"/>
        </w:rPr>
        <w:t>% en las mujeres</w:t>
      </w:r>
      <w:r w:rsidR="00F20707">
        <w:rPr>
          <w:rFonts w:ascii="Arial" w:hAnsi="Arial" w:cs="Arial"/>
          <w:bCs/>
          <w:spacing w:val="8"/>
        </w:rPr>
        <w:t xml:space="preserve"> durante el </w:t>
      </w:r>
      <w:r w:rsidR="00177B20">
        <w:rPr>
          <w:rFonts w:ascii="Arial" w:hAnsi="Arial" w:cs="Arial"/>
          <w:bCs/>
          <w:spacing w:val="8"/>
        </w:rPr>
        <w:t>primer</w:t>
      </w:r>
      <w:r w:rsidR="00F20707">
        <w:rPr>
          <w:rFonts w:ascii="Arial" w:hAnsi="Arial" w:cs="Arial"/>
          <w:bCs/>
          <w:spacing w:val="8"/>
        </w:rPr>
        <w:t xml:space="preserve"> trimestre de </w:t>
      </w:r>
      <w:r w:rsidR="00177B20">
        <w:rPr>
          <w:rFonts w:ascii="Arial" w:hAnsi="Arial" w:cs="Arial"/>
          <w:bCs/>
          <w:spacing w:val="8"/>
        </w:rPr>
        <w:t>2021</w:t>
      </w:r>
      <w:r>
        <w:rPr>
          <w:rFonts w:ascii="Arial" w:hAnsi="Arial" w:cs="Arial"/>
          <w:bCs/>
          <w:spacing w:val="8"/>
        </w:rPr>
        <w:t xml:space="preserve">; </w:t>
      </w:r>
      <w:r w:rsidR="00CB2B58">
        <w:rPr>
          <w:rFonts w:ascii="Arial" w:hAnsi="Arial" w:cs="Arial"/>
          <w:bCs/>
          <w:spacing w:val="8"/>
        </w:rPr>
        <w:t xml:space="preserve">con un descenso </w:t>
      </w:r>
      <w:r w:rsidR="00F20707">
        <w:rPr>
          <w:rFonts w:ascii="Arial" w:hAnsi="Arial" w:cs="Arial"/>
          <w:bCs/>
          <w:spacing w:val="8"/>
        </w:rPr>
        <w:t xml:space="preserve">anual </w:t>
      </w:r>
      <w:r w:rsidR="00CB2B58">
        <w:rPr>
          <w:rFonts w:ascii="Arial" w:hAnsi="Arial" w:cs="Arial"/>
          <w:bCs/>
          <w:spacing w:val="8"/>
        </w:rPr>
        <w:t xml:space="preserve">de </w:t>
      </w:r>
      <w:r w:rsidR="00406D90">
        <w:rPr>
          <w:rFonts w:ascii="Arial" w:hAnsi="Arial" w:cs="Arial"/>
          <w:bCs/>
          <w:spacing w:val="8"/>
        </w:rPr>
        <w:t xml:space="preserve">513 </w:t>
      </w:r>
      <w:r w:rsidR="00CB2B58">
        <w:rPr>
          <w:rFonts w:ascii="Arial" w:hAnsi="Arial" w:cs="Arial"/>
          <w:bCs/>
          <w:spacing w:val="8"/>
        </w:rPr>
        <w:t xml:space="preserve">mil y de </w:t>
      </w:r>
      <w:r w:rsidR="00406D90">
        <w:rPr>
          <w:rFonts w:ascii="Arial" w:hAnsi="Arial" w:cs="Arial"/>
          <w:bCs/>
          <w:spacing w:val="8"/>
        </w:rPr>
        <w:t xml:space="preserve">964 </w:t>
      </w:r>
      <w:r w:rsidR="00F20707">
        <w:rPr>
          <w:rFonts w:ascii="Arial" w:hAnsi="Arial" w:cs="Arial"/>
          <w:bCs/>
          <w:spacing w:val="8"/>
        </w:rPr>
        <w:t>mil</w:t>
      </w:r>
      <w:r w:rsidR="006E770F">
        <w:rPr>
          <w:rFonts w:ascii="Arial" w:hAnsi="Arial" w:cs="Arial"/>
          <w:bCs/>
          <w:spacing w:val="8"/>
        </w:rPr>
        <w:t xml:space="preserve"> personas</w:t>
      </w:r>
      <w:r w:rsidR="00F20707">
        <w:rPr>
          <w:rFonts w:ascii="Arial" w:hAnsi="Arial" w:cs="Arial"/>
          <w:bCs/>
          <w:spacing w:val="8"/>
        </w:rPr>
        <w:t xml:space="preserve">, respectivamente. Por su parte, </w:t>
      </w:r>
      <w:r>
        <w:rPr>
          <w:rFonts w:ascii="Arial" w:hAnsi="Arial" w:cs="Arial"/>
          <w:bCs/>
          <w:spacing w:val="8"/>
        </w:rPr>
        <w:t xml:space="preserve">los trabajadores por cuenta propia en los hombres constituyen </w:t>
      </w:r>
      <w:r w:rsidR="00744F7E">
        <w:rPr>
          <w:rFonts w:ascii="Arial" w:hAnsi="Arial" w:cs="Arial"/>
          <w:bCs/>
          <w:spacing w:val="8"/>
        </w:rPr>
        <w:t>22</w:t>
      </w:r>
      <w:r w:rsidR="00311117">
        <w:rPr>
          <w:rFonts w:ascii="Arial" w:hAnsi="Arial" w:cs="Arial"/>
          <w:bCs/>
          <w:spacing w:val="8"/>
        </w:rPr>
        <w:t>.</w:t>
      </w:r>
      <w:r w:rsidR="006E770F">
        <w:rPr>
          <w:rFonts w:ascii="Arial" w:hAnsi="Arial" w:cs="Arial"/>
          <w:bCs/>
          <w:spacing w:val="8"/>
        </w:rPr>
        <w:t>2</w:t>
      </w:r>
      <w:r>
        <w:rPr>
          <w:rFonts w:ascii="Arial" w:hAnsi="Arial" w:cs="Arial"/>
          <w:bCs/>
          <w:spacing w:val="8"/>
        </w:rPr>
        <w:t xml:space="preserve">% y en las mujeres </w:t>
      </w:r>
      <w:r w:rsidR="00A94999">
        <w:rPr>
          <w:rFonts w:ascii="Arial" w:hAnsi="Arial" w:cs="Arial"/>
          <w:bCs/>
          <w:spacing w:val="8"/>
        </w:rPr>
        <w:t>2</w:t>
      </w:r>
      <w:r w:rsidR="006E770F">
        <w:rPr>
          <w:rFonts w:ascii="Arial" w:hAnsi="Arial" w:cs="Arial"/>
          <w:bCs/>
          <w:spacing w:val="8"/>
        </w:rPr>
        <w:t>3.</w:t>
      </w:r>
      <w:r w:rsidR="00410FEE">
        <w:rPr>
          <w:rFonts w:ascii="Arial" w:hAnsi="Arial" w:cs="Arial"/>
          <w:bCs/>
          <w:spacing w:val="8"/>
        </w:rPr>
        <w:t>1</w:t>
      </w:r>
      <w:r w:rsidR="00F64ADC">
        <w:rPr>
          <w:rFonts w:ascii="Arial" w:hAnsi="Arial" w:cs="Arial"/>
          <w:bCs/>
          <w:spacing w:val="8"/>
        </w:rPr>
        <w:t>%</w:t>
      </w:r>
      <w:r w:rsidR="00F20707">
        <w:rPr>
          <w:rFonts w:ascii="Arial" w:hAnsi="Arial" w:cs="Arial"/>
          <w:bCs/>
          <w:spacing w:val="8"/>
        </w:rPr>
        <w:t xml:space="preserve">; con una disminución de </w:t>
      </w:r>
      <w:r w:rsidR="00410FEE">
        <w:rPr>
          <w:rFonts w:ascii="Arial" w:hAnsi="Arial" w:cs="Arial"/>
          <w:bCs/>
          <w:spacing w:val="8"/>
        </w:rPr>
        <w:t xml:space="preserve">25 </w:t>
      </w:r>
      <w:r w:rsidR="00F20707">
        <w:rPr>
          <w:rFonts w:ascii="Arial" w:hAnsi="Arial" w:cs="Arial"/>
          <w:bCs/>
          <w:spacing w:val="8"/>
        </w:rPr>
        <w:t xml:space="preserve">mil en los hombres y de </w:t>
      </w:r>
      <w:r w:rsidR="00410FEE">
        <w:rPr>
          <w:rFonts w:ascii="Arial" w:hAnsi="Arial" w:cs="Arial"/>
          <w:bCs/>
          <w:spacing w:val="8"/>
        </w:rPr>
        <w:t xml:space="preserve">321 </w:t>
      </w:r>
      <w:r w:rsidR="00F20707">
        <w:rPr>
          <w:rFonts w:ascii="Arial" w:hAnsi="Arial" w:cs="Arial"/>
          <w:bCs/>
          <w:spacing w:val="8"/>
        </w:rPr>
        <w:t xml:space="preserve">mil </w:t>
      </w:r>
      <w:r w:rsidR="00F80F93">
        <w:rPr>
          <w:rFonts w:ascii="Arial" w:hAnsi="Arial" w:cs="Arial"/>
          <w:bCs/>
          <w:spacing w:val="8"/>
        </w:rPr>
        <w:t xml:space="preserve">en </w:t>
      </w:r>
      <w:r w:rsidR="00F20707">
        <w:rPr>
          <w:rFonts w:ascii="Arial" w:hAnsi="Arial" w:cs="Arial"/>
          <w:bCs/>
          <w:spacing w:val="8"/>
        </w:rPr>
        <w:t>la</w:t>
      </w:r>
      <w:r w:rsidR="00F80F93">
        <w:rPr>
          <w:rFonts w:ascii="Arial" w:hAnsi="Arial" w:cs="Arial"/>
          <w:bCs/>
          <w:spacing w:val="8"/>
        </w:rPr>
        <w:t>s</w:t>
      </w:r>
      <w:r w:rsidR="00F20707">
        <w:rPr>
          <w:rFonts w:ascii="Arial" w:hAnsi="Arial" w:cs="Arial"/>
          <w:bCs/>
          <w:spacing w:val="8"/>
        </w:rPr>
        <w:t xml:space="preserve"> mujeres entre el </w:t>
      </w:r>
      <w:r w:rsidR="00177B20">
        <w:rPr>
          <w:rFonts w:ascii="Arial" w:hAnsi="Arial" w:cs="Arial"/>
          <w:bCs/>
          <w:spacing w:val="8"/>
        </w:rPr>
        <w:t>primer</w:t>
      </w:r>
      <w:r w:rsidR="00F20707">
        <w:rPr>
          <w:rFonts w:ascii="Arial" w:hAnsi="Arial" w:cs="Arial"/>
          <w:bCs/>
          <w:spacing w:val="8"/>
        </w:rPr>
        <w:t xml:space="preserve"> trimestre de </w:t>
      </w:r>
      <w:r w:rsidR="00177B20">
        <w:rPr>
          <w:rFonts w:ascii="Arial" w:hAnsi="Arial" w:cs="Arial"/>
          <w:bCs/>
          <w:spacing w:val="8"/>
        </w:rPr>
        <w:t>2020</w:t>
      </w:r>
      <w:r w:rsidR="00F20707">
        <w:rPr>
          <w:rFonts w:ascii="Arial" w:hAnsi="Arial" w:cs="Arial"/>
          <w:bCs/>
          <w:spacing w:val="8"/>
        </w:rPr>
        <w:t xml:space="preserve"> e igual trimestre de </w:t>
      </w:r>
      <w:r w:rsidR="00177B20">
        <w:rPr>
          <w:rFonts w:ascii="Arial" w:hAnsi="Arial" w:cs="Arial"/>
          <w:bCs/>
          <w:spacing w:val="8"/>
        </w:rPr>
        <w:t>2021</w:t>
      </w:r>
      <w:r>
        <w:rPr>
          <w:rFonts w:ascii="Arial" w:hAnsi="Arial" w:cs="Arial"/>
          <w:bCs/>
          <w:spacing w:val="8"/>
        </w:rPr>
        <w:t>.</w:t>
      </w:r>
    </w:p>
    <w:p w14:paraId="0C4FD50E" w14:textId="77777777" w:rsidR="00E84930" w:rsidRDefault="00E84930" w:rsidP="009749DA">
      <w:pPr>
        <w:pStyle w:val="Prrafodelista"/>
        <w:spacing w:after="0" w:line="240" w:lineRule="auto"/>
        <w:ind w:left="0" w:right="49"/>
        <w:jc w:val="both"/>
        <w:rPr>
          <w:rFonts w:ascii="Arial" w:hAnsi="Arial" w:cs="Arial"/>
          <w:b/>
          <w:smallCaps/>
        </w:rPr>
      </w:pPr>
    </w:p>
    <w:p w14:paraId="0859B2C4" w14:textId="77777777" w:rsidR="00264FC9" w:rsidRDefault="00264FC9">
      <w:pPr>
        <w:rPr>
          <w:rFonts w:ascii="Arial" w:hAnsi="Arial" w:cs="Arial"/>
          <w:b/>
          <w:smallCaps/>
        </w:rPr>
      </w:pPr>
      <w:r>
        <w:rPr>
          <w:rFonts w:ascii="Arial" w:hAnsi="Arial" w:cs="Arial"/>
          <w:b/>
          <w:smallCaps/>
        </w:rPr>
        <w:br w:type="page"/>
      </w:r>
    </w:p>
    <w:p w14:paraId="6DAD2B76" w14:textId="64BB813B" w:rsidR="0074035D" w:rsidRDefault="00252EDE" w:rsidP="009749DA">
      <w:pPr>
        <w:spacing w:after="0" w:line="240" w:lineRule="auto"/>
        <w:contextualSpacing/>
        <w:jc w:val="center"/>
        <w:rPr>
          <w:rFonts w:ascii="Arial" w:hAnsi="Arial" w:cs="Arial"/>
          <w:b/>
          <w:smallCaps/>
        </w:rPr>
      </w:pPr>
      <w:r w:rsidRPr="000C73EB">
        <w:rPr>
          <w:rFonts w:ascii="Arial" w:hAnsi="Arial" w:cs="Arial"/>
          <w:b/>
          <w:smallCaps/>
        </w:rPr>
        <w:lastRenderedPageBreak/>
        <w:t xml:space="preserve">Población ocupada según posición en la ocupación </w:t>
      </w:r>
      <w:r w:rsidR="003427BB">
        <w:rPr>
          <w:rFonts w:ascii="Arial" w:hAnsi="Arial" w:cs="Arial"/>
          <w:b/>
          <w:smallCaps/>
        </w:rPr>
        <w:t>y sexo</w:t>
      </w:r>
    </w:p>
    <w:p w14:paraId="2769429B" w14:textId="208CE7AD" w:rsidR="00252EDE" w:rsidRPr="000C73EB" w:rsidRDefault="00252EDE" w:rsidP="009749DA">
      <w:pPr>
        <w:spacing w:after="0" w:line="240" w:lineRule="auto"/>
        <w:contextualSpacing/>
        <w:jc w:val="center"/>
        <w:rPr>
          <w:rFonts w:ascii="Arial" w:hAnsi="Arial" w:cs="Arial"/>
          <w:b/>
          <w:smallCaps/>
        </w:rPr>
      </w:pPr>
      <w:r w:rsidRPr="000C73EB">
        <w:rPr>
          <w:rFonts w:ascii="Arial" w:hAnsi="Arial" w:cs="Arial"/>
          <w:b/>
          <w:smallCaps/>
        </w:rPr>
        <w:t xml:space="preserve">durante </w:t>
      </w:r>
      <w:r w:rsidR="00177695">
        <w:rPr>
          <w:rFonts w:ascii="Arial" w:hAnsi="Arial" w:cs="Arial"/>
          <w:b/>
          <w:smallCaps/>
        </w:rPr>
        <w:t xml:space="preserve">el </w:t>
      </w:r>
      <w:r w:rsidR="00177B20">
        <w:rPr>
          <w:rFonts w:ascii="Arial" w:hAnsi="Arial" w:cs="Arial"/>
          <w:b/>
          <w:smallCaps/>
        </w:rPr>
        <w:t>primer</w:t>
      </w:r>
      <w:r w:rsidR="00177695">
        <w:rPr>
          <w:rFonts w:ascii="Arial" w:hAnsi="Arial" w:cs="Arial"/>
          <w:b/>
          <w:smallCaps/>
        </w:rPr>
        <w:t xml:space="preserve"> trimestre</w:t>
      </w:r>
      <w:r w:rsidRPr="000C73EB">
        <w:rPr>
          <w:rFonts w:ascii="Arial" w:hAnsi="Arial" w:cs="Arial"/>
          <w:b/>
          <w:smallCaps/>
        </w:rPr>
        <w:t xml:space="preserve"> de </w:t>
      </w:r>
      <w:r w:rsidR="00177B20">
        <w:rPr>
          <w:rFonts w:ascii="Arial" w:hAnsi="Arial" w:cs="Arial"/>
          <w:b/>
          <w:smallCaps/>
        </w:rPr>
        <w:t>2021</w:t>
      </w:r>
    </w:p>
    <w:p w14:paraId="1F76336A" w14:textId="77777777" w:rsidR="003A795B" w:rsidRPr="003A795B" w:rsidRDefault="003A795B" w:rsidP="003A795B">
      <w:pPr>
        <w:spacing w:after="0" w:line="240" w:lineRule="auto"/>
        <w:contextualSpacing/>
        <w:jc w:val="center"/>
        <w:rPr>
          <w:rFonts w:ascii="Arial" w:hAnsi="Arial" w:cs="Arial"/>
          <w:smallCaps/>
          <w:sz w:val="16"/>
          <w:szCs w:val="18"/>
        </w:rPr>
      </w:pPr>
      <w:r w:rsidRPr="003A795B">
        <w:rPr>
          <w:rFonts w:ascii="Arial" w:hAnsi="Arial" w:cs="Arial"/>
          <w:smallCaps/>
          <w:sz w:val="16"/>
          <w:szCs w:val="18"/>
        </w:rPr>
        <w:t>(PERSONAS Y PORCENTAJE)</w:t>
      </w:r>
    </w:p>
    <w:p w14:paraId="3784997A" w14:textId="5B660B02" w:rsidR="00574F1E" w:rsidRDefault="00264FC9" w:rsidP="009749DA">
      <w:pPr>
        <w:spacing w:after="0" w:line="240" w:lineRule="auto"/>
        <w:ind w:right="51"/>
        <w:jc w:val="center"/>
        <w:rPr>
          <w:rFonts w:ascii="Arial" w:hAnsi="Arial" w:cs="Arial"/>
          <w:smallCaps/>
        </w:rPr>
      </w:pPr>
      <w:r w:rsidRPr="00264FC9">
        <w:rPr>
          <w:noProof/>
          <w:lang w:eastAsia="es-MX"/>
        </w:rPr>
        <w:drawing>
          <wp:inline distT="0" distB="0" distL="0" distR="0" wp14:anchorId="61A96989" wp14:editId="36B86777">
            <wp:extent cx="5610225" cy="3800475"/>
            <wp:effectExtent l="0" t="0" r="9525" b="9525"/>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610225" cy="3800475"/>
                    </a:xfrm>
                    <a:prstGeom prst="rect">
                      <a:avLst/>
                    </a:prstGeom>
                    <a:noFill/>
                    <a:ln>
                      <a:noFill/>
                    </a:ln>
                  </pic:spPr>
                </pic:pic>
              </a:graphicData>
            </a:graphic>
          </wp:inline>
        </w:drawing>
      </w:r>
    </w:p>
    <w:p w14:paraId="42D24BFB" w14:textId="77777777" w:rsidR="006E302F" w:rsidRDefault="006E302F" w:rsidP="006E302F">
      <w:pPr>
        <w:tabs>
          <w:tab w:val="left" w:pos="851"/>
        </w:tabs>
        <w:spacing w:after="0" w:line="240" w:lineRule="auto"/>
        <w:ind w:left="142" w:right="333"/>
        <w:rPr>
          <w:rFonts w:ascii="Arial" w:hAnsi="Arial" w:cs="Arial"/>
          <w:noProof/>
          <w:sz w:val="14"/>
          <w:szCs w:val="14"/>
          <w:lang w:val="es-ES" w:eastAsia="es-ES"/>
        </w:rPr>
      </w:pPr>
      <w:r>
        <w:rPr>
          <w:rFonts w:ascii="Arial" w:hAnsi="Arial" w:cs="Arial"/>
          <w:noProof/>
          <w:sz w:val="14"/>
          <w:szCs w:val="14"/>
          <w:lang w:val="es-ES" w:eastAsia="es-ES"/>
        </w:rPr>
        <w:t>Fuente:</w:t>
      </w:r>
      <w:r>
        <w:rPr>
          <w:rFonts w:ascii="Arial" w:hAnsi="Arial" w:cs="Arial"/>
          <w:noProof/>
          <w:sz w:val="14"/>
          <w:szCs w:val="14"/>
          <w:lang w:val="es-ES" w:eastAsia="es-ES"/>
        </w:rPr>
        <w:tab/>
        <w:t>INEGI. Encuesta Nacional de Ocupación y Empleo. Nueva Edición, primer trimestre de 2021.</w:t>
      </w:r>
    </w:p>
    <w:p w14:paraId="18B9BD85" w14:textId="77777777" w:rsidR="006E302F" w:rsidRDefault="006E302F" w:rsidP="006E302F">
      <w:pPr>
        <w:tabs>
          <w:tab w:val="left" w:pos="851"/>
        </w:tabs>
        <w:spacing w:after="0" w:line="240" w:lineRule="auto"/>
        <w:ind w:left="142" w:right="333"/>
      </w:pPr>
      <w:r>
        <w:rPr>
          <w:rFonts w:ascii="Arial" w:hAnsi="Arial" w:cs="Arial"/>
          <w:noProof/>
          <w:sz w:val="14"/>
          <w:szCs w:val="14"/>
          <w:lang w:val="es-ES" w:eastAsia="es-ES"/>
        </w:rPr>
        <w:tab/>
        <w:t>INEGI. Encuesta Nacional de Ocupación y Empleo, primer trimestre de 2020.</w:t>
      </w:r>
    </w:p>
    <w:p w14:paraId="198E25B9" w14:textId="77777777" w:rsidR="00A94999" w:rsidRDefault="00A94999" w:rsidP="009749DA">
      <w:pPr>
        <w:pStyle w:val="Prrafodelista"/>
        <w:spacing w:after="0" w:line="240" w:lineRule="auto"/>
        <w:ind w:left="0" w:right="49"/>
        <w:jc w:val="both"/>
        <w:rPr>
          <w:rFonts w:ascii="Arial" w:hAnsi="Arial" w:cs="Arial"/>
          <w:bCs/>
          <w:spacing w:val="8"/>
        </w:rPr>
      </w:pPr>
    </w:p>
    <w:p w14:paraId="7D49F62E" w14:textId="77777777" w:rsidR="007074B4" w:rsidRDefault="007074B4" w:rsidP="009749DA">
      <w:pPr>
        <w:pStyle w:val="Prrafodelista"/>
        <w:spacing w:after="0" w:line="240" w:lineRule="auto"/>
        <w:ind w:left="0" w:right="49"/>
        <w:jc w:val="both"/>
        <w:rPr>
          <w:rFonts w:ascii="Arial" w:hAnsi="Arial" w:cs="Arial"/>
          <w:bCs/>
          <w:spacing w:val="8"/>
        </w:rPr>
      </w:pPr>
    </w:p>
    <w:p w14:paraId="197649F6" w14:textId="6C0B9A86" w:rsidR="00F342E6" w:rsidRDefault="00F342E6" w:rsidP="009749DA">
      <w:pPr>
        <w:pStyle w:val="Prrafodelista"/>
        <w:spacing w:after="0" w:line="240" w:lineRule="auto"/>
        <w:ind w:left="0" w:right="49"/>
        <w:jc w:val="both"/>
        <w:rPr>
          <w:rFonts w:ascii="Arial" w:hAnsi="Arial" w:cs="Arial"/>
          <w:bCs/>
          <w:spacing w:val="8"/>
        </w:rPr>
      </w:pPr>
      <w:r>
        <w:rPr>
          <w:rFonts w:ascii="Arial" w:hAnsi="Arial" w:cs="Arial"/>
          <w:bCs/>
          <w:spacing w:val="8"/>
        </w:rPr>
        <w:t xml:space="preserve">La estructura sectorial de la ocupación reporta que </w:t>
      </w:r>
      <w:r w:rsidR="004A0A2E">
        <w:rPr>
          <w:rFonts w:ascii="Arial" w:hAnsi="Arial" w:cs="Arial"/>
          <w:bCs/>
          <w:spacing w:val="8"/>
        </w:rPr>
        <w:t>las actividades terciarias</w:t>
      </w:r>
      <w:r w:rsidR="00D56FC6">
        <w:rPr>
          <w:rFonts w:ascii="Arial" w:hAnsi="Arial" w:cs="Arial"/>
          <w:bCs/>
          <w:spacing w:val="8"/>
        </w:rPr>
        <w:t xml:space="preserve"> sigue</w:t>
      </w:r>
      <w:r w:rsidR="004A0A2E">
        <w:rPr>
          <w:rFonts w:ascii="Arial" w:hAnsi="Arial" w:cs="Arial"/>
          <w:bCs/>
          <w:spacing w:val="8"/>
        </w:rPr>
        <w:t>n</w:t>
      </w:r>
      <w:r w:rsidR="00D56FC6">
        <w:rPr>
          <w:rFonts w:ascii="Arial" w:hAnsi="Arial" w:cs="Arial"/>
          <w:bCs/>
          <w:spacing w:val="8"/>
        </w:rPr>
        <w:t xml:space="preserve"> concentrando </w:t>
      </w:r>
      <w:r w:rsidR="00CA720D">
        <w:rPr>
          <w:rFonts w:ascii="Arial" w:hAnsi="Arial" w:cs="Arial"/>
          <w:bCs/>
          <w:spacing w:val="8"/>
        </w:rPr>
        <w:t>la mayor</w:t>
      </w:r>
      <w:r w:rsidR="00D56FC6">
        <w:rPr>
          <w:rFonts w:ascii="Arial" w:hAnsi="Arial" w:cs="Arial"/>
          <w:bCs/>
          <w:spacing w:val="8"/>
        </w:rPr>
        <w:t xml:space="preserve"> parte de la población ocupada, con una participación del</w:t>
      </w:r>
      <w:r w:rsidR="00B12321">
        <w:rPr>
          <w:rFonts w:ascii="Arial" w:hAnsi="Arial" w:cs="Arial"/>
          <w:bCs/>
          <w:spacing w:val="8"/>
        </w:rPr>
        <w:t xml:space="preserve"> </w:t>
      </w:r>
      <w:r w:rsidR="007960B7">
        <w:rPr>
          <w:rFonts w:ascii="Arial" w:hAnsi="Arial" w:cs="Arial"/>
          <w:bCs/>
          <w:spacing w:val="8"/>
        </w:rPr>
        <w:t>61.</w:t>
      </w:r>
      <w:r w:rsidR="00D349F2">
        <w:rPr>
          <w:rFonts w:ascii="Arial" w:hAnsi="Arial" w:cs="Arial"/>
          <w:bCs/>
          <w:spacing w:val="8"/>
        </w:rPr>
        <w:t>6</w:t>
      </w:r>
      <w:r w:rsidR="00252EDE" w:rsidRPr="00BF71A5">
        <w:rPr>
          <w:rFonts w:ascii="Arial" w:hAnsi="Arial" w:cs="Arial"/>
          <w:bCs/>
          <w:spacing w:val="8"/>
        </w:rPr>
        <w:t>%</w:t>
      </w:r>
      <w:r>
        <w:rPr>
          <w:rFonts w:ascii="Arial" w:hAnsi="Arial" w:cs="Arial"/>
          <w:bCs/>
          <w:spacing w:val="8"/>
        </w:rPr>
        <w:t xml:space="preserve"> en el </w:t>
      </w:r>
      <w:r w:rsidR="00177B20">
        <w:rPr>
          <w:rFonts w:ascii="Arial" w:hAnsi="Arial" w:cs="Arial"/>
          <w:bCs/>
          <w:spacing w:val="8"/>
        </w:rPr>
        <w:t>primer</w:t>
      </w:r>
      <w:r>
        <w:rPr>
          <w:rFonts w:ascii="Arial" w:hAnsi="Arial" w:cs="Arial"/>
          <w:bCs/>
          <w:spacing w:val="8"/>
        </w:rPr>
        <w:t xml:space="preserve"> trimestre de </w:t>
      </w:r>
      <w:r w:rsidR="00177B20">
        <w:rPr>
          <w:rFonts w:ascii="Arial" w:hAnsi="Arial" w:cs="Arial"/>
          <w:bCs/>
          <w:spacing w:val="8"/>
        </w:rPr>
        <w:t>2021</w:t>
      </w:r>
      <w:r w:rsidR="00F80F93">
        <w:rPr>
          <w:rFonts w:ascii="Arial" w:hAnsi="Arial" w:cs="Arial"/>
          <w:bCs/>
          <w:spacing w:val="8"/>
        </w:rPr>
        <w:t xml:space="preserve"> y</w:t>
      </w:r>
      <w:r>
        <w:rPr>
          <w:rFonts w:ascii="Arial" w:hAnsi="Arial" w:cs="Arial"/>
          <w:bCs/>
          <w:spacing w:val="8"/>
        </w:rPr>
        <w:t xml:space="preserve"> una disminución en términos absolutos de </w:t>
      </w:r>
      <w:r w:rsidR="007960B7">
        <w:rPr>
          <w:rFonts w:ascii="Arial" w:hAnsi="Arial" w:cs="Arial"/>
          <w:bCs/>
          <w:spacing w:val="8"/>
        </w:rPr>
        <w:t>1.</w:t>
      </w:r>
      <w:r w:rsidR="00D349F2">
        <w:rPr>
          <w:rFonts w:ascii="Arial" w:hAnsi="Arial" w:cs="Arial"/>
          <w:bCs/>
          <w:spacing w:val="8"/>
        </w:rPr>
        <w:t xml:space="preserve">9 </w:t>
      </w:r>
      <w:r>
        <w:rPr>
          <w:rFonts w:ascii="Arial" w:hAnsi="Arial" w:cs="Arial"/>
          <w:bCs/>
          <w:spacing w:val="8"/>
        </w:rPr>
        <w:t xml:space="preserve">millones de personas respecto al </w:t>
      </w:r>
      <w:r w:rsidR="00177B20">
        <w:rPr>
          <w:rFonts w:ascii="Arial" w:hAnsi="Arial" w:cs="Arial"/>
          <w:bCs/>
          <w:spacing w:val="8"/>
        </w:rPr>
        <w:t>primer</w:t>
      </w:r>
      <w:r>
        <w:rPr>
          <w:rFonts w:ascii="Arial" w:hAnsi="Arial" w:cs="Arial"/>
          <w:bCs/>
          <w:spacing w:val="8"/>
        </w:rPr>
        <w:t xml:space="preserve"> trimestre de </w:t>
      </w:r>
      <w:r w:rsidR="00177B20">
        <w:rPr>
          <w:rFonts w:ascii="Arial" w:hAnsi="Arial" w:cs="Arial"/>
          <w:bCs/>
          <w:spacing w:val="8"/>
        </w:rPr>
        <w:t>2020</w:t>
      </w:r>
      <w:r w:rsidR="00D349F2">
        <w:rPr>
          <w:rFonts w:ascii="Arial" w:hAnsi="Arial" w:cs="Arial"/>
          <w:bCs/>
          <w:spacing w:val="8"/>
        </w:rPr>
        <w:t>.</w:t>
      </w:r>
    </w:p>
    <w:p w14:paraId="6A001099" w14:textId="77777777" w:rsidR="00F342E6" w:rsidRDefault="00F342E6" w:rsidP="009749DA">
      <w:pPr>
        <w:pStyle w:val="Prrafodelista"/>
        <w:spacing w:after="0" w:line="240" w:lineRule="auto"/>
        <w:ind w:left="0" w:right="49"/>
        <w:jc w:val="both"/>
        <w:rPr>
          <w:rFonts w:ascii="Arial" w:hAnsi="Arial" w:cs="Arial"/>
          <w:bCs/>
          <w:spacing w:val="8"/>
        </w:rPr>
      </w:pPr>
    </w:p>
    <w:p w14:paraId="15EA76C0" w14:textId="59ED8D1C" w:rsidR="003E5DA7" w:rsidRDefault="003E5DA7" w:rsidP="003E5DA7">
      <w:pPr>
        <w:pStyle w:val="Prrafodelista"/>
        <w:spacing w:after="0" w:line="240" w:lineRule="auto"/>
        <w:ind w:left="0" w:right="49"/>
        <w:jc w:val="both"/>
        <w:rPr>
          <w:rFonts w:ascii="Arial" w:hAnsi="Arial" w:cs="Arial"/>
          <w:bCs/>
          <w:spacing w:val="8"/>
        </w:rPr>
      </w:pPr>
      <w:r>
        <w:rPr>
          <w:rFonts w:ascii="Arial" w:hAnsi="Arial" w:cs="Arial"/>
          <w:bCs/>
          <w:spacing w:val="8"/>
        </w:rPr>
        <w:t>El sector comercio con una participación de 18.8%, registra una reducción de 712 mil ocupados, cifra que representa una baja de 0.6</w:t>
      </w:r>
      <w:r w:rsidR="006C7730">
        <w:rPr>
          <w:rFonts w:ascii="Arial" w:hAnsi="Arial" w:cs="Arial"/>
          <w:bCs/>
          <w:spacing w:val="8"/>
        </w:rPr>
        <w:t xml:space="preserve"> puntos porcentuales</w:t>
      </w:r>
      <w:r>
        <w:rPr>
          <w:rFonts w:ascii="Arial" w:hAnsi="Arial" w:cs="Arial"/>
          <w:bCs/>
          <w:spacing w:val="8"/>
        </w:rPr>
        <w:t xml:space="preserve"> en comparación con el mismo trimestre de 2020. Los restaurantes y servicios de alojamiento con una participación de 7.1%</w:t>
      </w:r>
      <w:r w:rsidR="00CE7172">
        <w:rPr>
          <w:rFonts w:ascii="Arial" w:hAnsi="Arial" w:cs="Arial"/>
          <w:bCs/>
          <w:spacing w:val="8"/>
        </w:rPr>
        <w:t>,</w:t>
      </w:r>
      <w:r>
        <w:rPr>
          <w:rFonts w:ascii="Arial" w:hAnsi="Arial" w:cs="Arial"/>
          <w:bCs/>
          <w:spacing w:val="8"/>
        </w:rPr>
        <w:t xml:space="preserve"> muestra una disminución de 656 mil personas ocupadas,</w:t>
      </w:r>
      <w:r w:rsidR="00CE7172">
        <w:rPr>
          <w:rFonts w:ascii="Arial" w:hAnsi="Arial" w:cs="Arial"/>
          <w:bCs/>
          <w:spacing w:val="8"/>
        </w:rPr>
        <w:t xml:space="preserve"> es decir, 0.9</w:t>
      </w:r>
      <w:r w:rsidR="006C7730">
        <w:rPr>
          <w:rFonts w:ascii="Arial" w:hAnsi="Arial" w:cs="Arial"/>
          <w:bCs/>
          <w:spacing w:val="8"/>
        </w:rPr>
        <w:t xml:space="preserve"> puntos porcentuales</w:t>
      </w:r>
      <w:r w:rsidR="00CE7172">
        <w:rPr>
          <w:rFonts w:ascii="Arial" w:hAnsi="Arial" w:cs="Arial"/>
          <w:bCs/>
          <w:spacing w:val="8"/>
        </w:rPr>
        <w:t xml:space="preserve"> menos. </w:t>
      </w:r>
      <w:r>
        <w:rPr>
          <w:rFonts w:ascii="Arial" w:hAnsi="Arial" w:cs="Arial"/>
          <w:bCs/>
          <w:spacing w:val="8"/>
        </w:rPr>
        <w:t>Los servicios diversos con una participación de 9.7%</w:t>
      </w:r>
      <w:r w:rsidR="00CE7172">
        <w:rPr>
          <w:rFonts w:ascii="Arial" w:hAnsi="Arial" w:cs="Arial"/>
          <w:bCs/>
          <w:spacing w:val="8"/>
        </w:rPr>
        <w:t>,</w:t>
      </w:r>
      <w:r>
        <w:rPr>
          <w:rFonts w:ascii="Arial" w:hAnsi="Arial" w:cs="Arial"/>
          <w:bCs/>
          <w:spacing w:val="8"/>
        </w:rPr>
        <w:t xml:space="preserve"> reportan una </w:t>
      </w:r>
      <w:r w:rsidR="00CE7172">
        <w:rPr>
          <w:rFonts w:ascii="Arial" w:hAnsi="Arial" w:cs="Arial"/>
          <w:bCs/>
          <w:spacing w:val="8"/>
        </w:rPr>
        <w:t xml:space="preserve">baja </w:t>
      </w:r>
      <w:r>
        <w:rPr>
          <w:rFonts w:ascii="Arial" w:hAnsi="Arial" w:cs="Arial"/>
          <w:bCs/>
          <w:spacing w:val="8"/>
        </w:rPr>
        <w:t>de 568 mil personas ocupadas</w:t>
      </w:r>
      <w:r w:rsidR="00CE7172">
        <w:rPr>
          <w:rFonts w:ascii="Arial" w:hAnsi="Arial" w:cs="Arial"/>
          <w:bCs/>
          <w:spacing w:val="8"/>
        </w:rPr>
        <w:t>, equivalente a 0.7</w:t>
      </w:r>
      <w:r w:rsidR="006C7730">
        <w:rPr>
          <w:rFonts w:ascii="Arial" w:hAnsi="Arial" w:cs="Arial"/>
          <w:bCs/>
          <w:spacing w:val="8"/>
        </w:rPr>
        <w:t xml:space="preserve"> puntos porcentuales</w:t>
      </w:r>
      <w:r w:rsidR="00CE7172">
        <w:rPr>
          <w:rFonts w:ascii="Arial" w:hAnsi="Arial" w:cs="Arial"/>
          <w:bCs/>
          <w:spacing w:val="8"/>
        </w:rPr>
        <w:t xml:space="preserve"> menos en igual periodo</w:t>
      </w:r>
      <w:r>
        <w:rPr>
          <w:rFonts w:ascii="Arial" w:hAnsi="Arial" w:cs="Arial"/>
          <w:bCs/>
          <w:spacing w:val="8"/>
        </w:rPr>
        <w:t xml:space="preserve">. </w:t>
      </w:r>
    </w:p>
    <w:p w14:paraId="5EDA63D0" w14:textId="77777777" w:rsidR="003E5DA7" w:rsidRDefault="003E5DA7" w:rsidP="009749DA">
      <w:pPr>
        <w:pStyle w:val="Prrafodelista"/>
        <w:spacing w:after="0" w:line="240" w:lineRule="auto"/>
        <w:ind w:left="0" w:right="49"/>
        <w:jc w:val="both"/>
        <w:rPr>
          <w:rFonts w:ascii="Arial" w:hAnsi="Arial" w:cs="Arial"/>
          <w:bCs/>
          <w:spacing w:val="8"/>
        </w:rPr>
      </w:pPr>
    </w:p>
    <w:p w14:paraId="1F899A32" w14:textId="25C03FC7" w:rsidR="00E84930" w:rsidRDefault="004A0A2E" w:rsidP="009749DA">
      <w:pPr>
        <w:pStyle w:val="Prrafodelista"/>
        <w:spacing w:after="0" w:line="240" w:lineRule="auto"/>
        <w:ind w:left="0" w:right="49"/>
        <w:jc w:val="both"/>
        <w:rPr>
          <w:rFonts w:ascii="Arial" w:hAnsi="Arial" w:cs="Arial"/>
          <w:bCs/>
          <w:spacing w:val="8"/>
        </w:rPr>
      </w:pPr>
      <w:r>
        <w:rPr>
          <w:rFonts w:ascii="Arial" w:hAnsi="Arial" w:cs="Arial"/>
          <w:bCs/>
          <w:spacing w:val="8"/>
        </w:rPr>
        <w:t xml:space="preserve">El sector de servicios </w:t>
      </w:r>
      <w:r w:rsidR="00FC4A2B">
        <w:rPr>
          <w:rFonts w:ascii="Arial" w:hAnsi="Arial" w:cs="Arial"/>
          <w:bCs/>
          <w:spacing w:val="8"/>
        </w:rPr>
        <w:t>sociales</w:t>
      </w:r>
      <w:r>
        <w:rPr>
          <w:rFonts w:ascii="Arial" w:hAnsi="Arial" w:cs="Arial"/>
          <w:bCs/>
          <w:spacing w:val="8"/>
        </w:rPr>
        <w:t xml:space="preserve"> con una participación de </w:t>
      </w:r>
      <w:r w:rsidR="00FC4A2B">
        <w:rPr>
          <w:rFonts w:ascii="Arial" w:hAnsi="Arial" w:cs="Arial"/>
          <w:bCs/>
          <w:spacing w:val="8"/>
        </w:rPr>
        <w:t>8.7</w:t>
      </w:r>
      <w:r>
        <w:rPr>
          <w:rFonts w:ascii="Arial" w:hAnsi="Arial" w:cs="Arial"/>
          <w:bCs/>
          <w:spacing w:val="8"/>
        </w:rPr>
        <w:t xml:space="preserve">% en el total de la ocupación en el </w:t>
      </w:r>
      <w:r w:rsidR="00177B20">
        <w:rPr>
          <w:rFonts w:ascii="Arial" w:hAnsi="Arial" w:cs="Arial"/>
          <w:bCs/>
          <w:spacing w:val="8"/>
        </w:rPr>
        <w:t>primer</w:t>
      </w:r>
      <w:r>
        <w:rPr>
          <w:rFonts w:ascii="Arial" w:hAnsi="Arial" w:cs="Arial"/>
          <w:bCs/>
          <w:spacing w:val="8"/>
        </w:rPr>
        <w:t xml:space="preserve"> trimestre de </w:t>
      </w:r>
      <w:r w:rsidR="00177B20">
        <w:rPr>
          <w:rFonts w:ascii="Arial" w:hAnsi="Arial" w:cs="Arial"/>
          <w:bCs/>
          <w:spacing w:val="8"/>
        </w:rPr>
        <w:t>2021</w:t>
      </w:r>
      <w:r w:rsidR="00F80F93">
        <w:rPr>
          <w:rFonts w:ascii="Arial" w:hAnsi="Arial" w:cs="Arial"/>
          <w:bCs/>
          <w:spacing w:val="8"/>
        </w:rPr>
        <w:t>,</w:t>
      </w:r>
      <w:r>
        <w:rPr>
          <w:rFonts w:ascii="Arial" w:hAnsi="Arial" w:cs="Arial"/>
          <w:bCs/>
          <w:spacing w:val="8"/>
        </w:rPr>
        <w:t xml:space="preserve"> reporta un</w:t>
      </w:r>
      <w:r w:rsidR="003E5DA7">
        <w:rPr>
          <w:rFonts w:ascii="Arial" w:hAnsi="Arial" w:cs="Arial"/>
          <w:bCs/>
          <w:spacing w:val="8"/>
        </w:rPr>
        <w:t xml:space="preserve"> aumento </w:t>
      </w:r>
      <w:r>
        <w:rPr>
          <w:rFonts w:ascii="Arial" w:hAnsi="Arial" w:cs="Arial"/>
          <w:bCs/>
          <w:spacing w:val="8"/>
        </w:rPr>
        <w:t xml:space="preserve">de </w:t>
      </w:r>
      <w:r w:rsidR="00FC4A2B">
        <w:rPr>
          <w:rFonts w:ascii="Arial" w:hAnsi="Arial" w:cs="Arial"/>
          <w:bCs/>
          <w:spacing w:val="8"/>
        </w:rPr>
        <w:t xml:space="preserve">199 </w:t>
      </w:r>
      <w:r>
        <w:rPr>
          <w:rFonts w:ascii="Arial" w:hAnsi="Arial" w:cs="Arial"/>
          <w:bCs/>
          <w:spacing w:val="8"/>
        </w:rPr>
        <w:t xml:space="preserve">mil ocupados respecto al mismo trimestre de </w:t>
      </w:r>
      <w:r w:rsidR="00177B20">
        <w:rPr>
          <w:rFonts w:ascii="Arial" w:hAnsi="Arial" w:cs="Arial"/>
          <w:bCs/>
          <w:spacing w:val="8"/>
        </w:rPr>
        <w:t>2020</w:t>
      </w:r>
      <w:r>
        <w:rPr>
          <w:rFonts w:ascii="Arial" w:hAnsi="Arial" w:cs="Arial"/>
          <w:bCs/>
          <w:spacing w:val="8"/>
        </w:rPr>
        <w:t>.</w:t>
      </w:r>
    </w:p>
    <w:p w14:paraId="7CED371E" w14:textId="77777777" w:rsidR="004A0A2E" w:rsidRDefault="004A0A2E" w:rsidP="009749DA">
      <w:pPr>
        <w:pStyle w:val="Prrafodelista"/>
        <w:spacing w:after="0" w:line="240" w:lineRule="auto"/>
        <w:ind w:left="0" w:right="49"/>
        <w:jc w:val="both"/>
        <w:rPr>
          <w:rFonts w:ascii="Arial" w:hAnsi="Arial" w:cs="Arial"/>
          <w:bCs/>
          <w:spacing w:val="8"/>
        </w:rPr>
      </w:pPr>
    </w:p>
    <w:p w14:paraId="4A35285D" w14:textId="77777777" w:rsidR="004A0A2E" w:rsidRDefault="004A0A2E" w:rsidP="009749DA">
      <w:pPr>
        <w:pStyle w:val="Prrafodelista"/>
        <w:spacing w:after="0" w:line="240" w:lineRule="auto"/>
        <w:ind w:left="0" w:right="49"/>
        <w:jc w:val="both"/>
        <w:rPr>
          <w:rFonts w:ascii="Arial" w:hAnsi="Arial" w:cs="Arial"/>
          <w:bCs/>
          <w:spacing w:val="8"/>
        </w:rPr>
      </w:pPr>
    </w:p>
    <w:p w14:paraId="6A6B8DB1" w14:textId="77777777" w:rsidR="00264FC9" w:rsidRDefault="00264FC9">
      <w:pPr>
        <w:rPr>
          <w:rFonts w:ascii="Arial" w:hAnsi="Arial" w:cs="Arial"/>
          <w:b/>
          <w:smallCaps/>
        </w:rPr>
      </w:pPr>
      <w:r>
        <w:rPr>
          <w:rFonts w:ascii="Arial" w:hAnsi="Arial" w:cs="Arial"/>
          <w:b/>
          <w:smallCaps/>
        </w:rPr>
        <w:br w:type="page"/>
      </w:r>
    </w:p>
    <w:p w14:paraId="745A4243" w14:textId="0DBB6DAF" w:rsidR="0074035D" w:rsidRDefault="00252EDE" w:rsidP="009749DA">
      <w:pPr>
        <w:spacing w:after="0" w:line="240" w:lineRule="auto"/>
        <w:jc w:val="center"/>
        <w:rPr>
          <w:rFonts w:ascii="Arial" w:hAnsi="Arial" w:cs="Arial"/>
          <w:b/>
          <w:smallCaps/>
        </w:rPr>
      </w:pPr>
      <w:r w:rsidRPr="000C73EB">
        <w:rPr>
          <w:rFonts w:ascii="Arial" w:hAnsi="Arial" w:cs="Arial"/>
          <w:b/>
          <w:smallCaps/>
        </w:rPr>
        <w:lastRenderedPageBreak/>
        <w:t>Población ocupada según sector de actividad económica</w:t>
      </w:r>
    </w:p>
    <w:p w14:paraId="45ACF34F" w14:textId="66666524" w:rsidR="00252EDE" w:rsidRPr="000C73EB" w:rsidRDefault="00252EDE" w:rsidP="009749DA">
      <w:pPr>
        <w:spacing w:after="0" w:line="240" w:lineRule="auto"/>
        <w:contextualSpacing/>
        <w:jc w:val="center"/>
        <w:rPr>
          <w:rFonts w:ascii="Arial" w:hAnsi="Arial" w:cs="Arial"/>
          <w:b/>
          <w:smallCaps/>
        </w:rPr>
      </w:pPr>
      <w:r w:rsidRPr="000C73EB">
        <w:rPr>
          <w:rFonts w:ascii="Arial" w:hAnsi="Arial" w:cs="Arial"/>
          <w:b/>
          <w:smallCaps/>
        </w:rPr>
        <w:t xml:space="preserve">durante </w:t>
      </w:r>
      <w:r w:rsidR="00177695">
        <w:rPr>
          <w:rFonts w:ascii="Arial" w:hAnsi="Arial" w:cs="Arial"/>
          <w:b/>
          <w:smallCaps/>
        </w:rPr>
        <w:t xml:space="preserve">el </w:t>
      </w:r>
      <w:r w:rsidR="00177B20">
        <w:rPr>
          <w:rFonts w:ascii="Arial" w:hAnsi="Arial" w:cs="Arial"/>
          <w:b/>
          <w:smallCaps/>
        </w:rPr>
        <w:t>primer</w:t>
      </w:r>
      <w:r w:rsidR="00177695">
        <w:rPr>
          <w:rFonts w:ascii="Arial" w:hAnsi="Arial" w:cs="Arial"/>
          <w:b/>
          <w:smallCaps/>
        </w:rPr>
        <w:t xml:space="preserve"> trimestre</w:t>
      </w:r>
      <w:r w:rsidRPr="000C73EB">
        <w:rPr>
          <w:rFonts w:ascii="Arial" w:hAnsi="Arial" w:cs="Arial"/>
          <w:b/>
          <w:smallCaps/>
        </w:rPr>
        <w:t xml:space="preserve"> de </w:t>
      </w:r>
      <w:r w:rsidR="00177B20">
        <w:rPr>
          <w:rFonts w:ascii="Arial" w:hAnsi="Arial" w:cs="Arial"/>
          <w:b/>
          <w:smallCaps/>
        </w:rPr>
        <w:t>2021</w:t>
      </w:r>
    </w:p>
    <w:p w14:paraId="16FEF7FE" w14:textId="60AA42BF" w:rsidR="0076447E" w:rsidRPr="003A795B" w:rsidRDefault="003A795B" w:rsidP="009749DA">
      <w:pPr>
        <w:spacing w:after="0" w:line="240" w:lineRule="auto"/>
        <w:contextualSpacing/>
        <w:jc w:val="center"/>
        <w:rPr>
          <w:rFonts w:ascii="Arial" w:hAnsi="Arial" w:cs="Arial"/>
          <w:smallCaps/>
          <w:sz w:val="16"/>
          <w:szCs w:val="18"/>
        </w:rPr>
      </w:pPr>
      <w:r w:rsidRPr="003A795B">
        <w:rPr>
          <w:rFonts w:ascii="Arial" w:hAnsi="Arial" w:cs="Arial"/>
          <w:smallCaps/>
          <w:sz w:val="16"/>
          <w:szCs w:val="18"/>
        </w:rPr>
        <w:t>(PERSONAS Y PORCENTAJE)</w:t>
      </w:r>
    </w:p>
    <w:p w14:paraId="4E7C7A07" w14:textId="7412BBCC" w:rsidR="00574F1E" w:rsidRDefault="00264FC9" w:rsidP="009749DA">
      <w:pPr>
        <w:spacing w:after="0" w:line="240" w:lineRule="auto"/>
        <w:ind w:right="51"/>
        <w:jc w:val="center"/>
        <w:rPr>
          <w:rFonts w:ascii="Arial" w:hAnsi="Arial" w:cs="Arial"/>
          <w:smallCaps/>
        </w:rPr>
      </w:pPr>
      <w:r w:rsidRPr="00264FC9">
        <w:rPr>
          <w:noProof/>
          <w:lang w:eastAsia="es-MX"/>
        </w:rPr>
        <w:drawing>
          <wp:inline distT="0" distB="0" distL="0" distR="0" wp14:anchorId="4A17B52E" wp14:editId="7AADAEAA">
            <wp:extent cx="5610225" cy="4000500"/>
            <wp:effectExtent l="0" t="0" r="9525" b="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610225" cy="4000500"/>
                    </a:xfrm>
                    <a:prstGeom prst="rect">
                      <a:avLst/>
                    </a:prstGeom>
                    <a:noFill/>
                    <a:ln>
                      <a:noFill/>
                    </a:ln>
                  </pic:spPr>
                </pic:pic>
              </a:graphicData>
            </a:graphic>
          </wp:inline>
        </w:drawing>
      </w:r>
    </w:p>
    <w:p w14:paraId="28A848EC" w14:textId="77777777" w:rsidR="006E302F" w:rsidRDefault="006E302F" w:rsidP="006E302F">
      <w:pPr>
        <w:tabs>
          <w:tab w:val="left" w:pos="851"/>
        </w:tabs>
        <w:spacing w:after="0" w:line="240" w:lineRule="auto"/>
        <w:ind w:left="142" w:right="333"/>
        <w:rPr>
          <w:rFonts w:ascii="Arial" w:hAnsi="Arial" w:cs="Arial"/>
          <w:noProof/>
          <w:sz w:val="14"/>
          <w:szCs w:val="14"/>
          <w:lang w:val="es-ES" w:eastAsia="es-ES"/>
        </w:rPr>
      </w:pPr>
      <w:r>
        <w:rPr>
          <w:rFonts w:ascii="Arial" w:hAnsi="Arial" w:cs="Arial"/>
          <w:noProof/>
          <w:sz w:val="14"/>
          <w:szCs w:val="14"/>
          <w:lang w:val="es-ES" w:eastAsia="es-ES"/>
        </w:rPr>
        <w:t>Fuente:</w:t>
      </w:r>
      <w:r>
        <w:rPr>
          <w:rFonts w:ascii="Arial" w:hAnsi="Arial" w:cs="Arial"/>
          <w:noProof/>
          <w:sz w:val="14"/>
          <w:szCs w:val="14"/>
          <w:lang w:val="es-ES" w:eastAsia="es-ES"/>
        </w:rPr>
        <w:tab/>
        <w:t>INEGI. Encuesta Nacional de Ocupación y Empleo. Nueva Edición, primer trimestre de 2021.</w:t>
      </w:r>
    </w:p>
    <w:p w14:paraId="5B0242A6" w14:textId="77777777" w:rsidR="006E302F" w:rsidRDefault="006E302F" w:rsidP="006E302F">
      <w:pPr>
        <w:tabs>
          <w:tab w:val="left" w:pos="851"/>
        </w:tabs>
        <w:spacing w:after="0" w:line="240" w:lineRule="auto"/>
        <w:ind w:left="142" w:right="333"/>
      </w:pPr>
      <w:r>
        <w:rPr>
          <w:rFonts w:ascii="Arial" w:hAnsi="Arial" w:cs="Arial"/>
          <w:noProof/>
          <w:sz w:val="14"/>
          <w:szCs w:val="14"/>
          <w:lang w:val="es-ES" w:eastAsia="es-ES"/>
        </w:rPr>
        <w:tab/>
        <w:t>INEGI. Encuesta Nacional de Ocupación y Empleo, primer trimestre de 2020.</w:t>
      </w:r>
    </w:p>
    <w:p w14:paraId="61620933" w14:textId="77777777" w:rsidR="005E1CCB" w:rsidRDefault="005E1CCB" w:rsidP="009749DA">
      <w:pPr>
        <w:spacing w:after="0" w:line="240" w:lineRule="auto"/>
        <w:ind w:right="49"/>
        <w:jc w:val="both"/>
        <w:rPr>
          <w:rFonts w:ascii="Arial" w:hAnsi="Arial" w:cs="Arial"/>
        </w:rPr>
      </w:pPr>
    </w:p>
    <w:p w14:paraId="0907D5A7" w14:textId="202501AE" w:rsidR="005B5D92" w:rsidRDefault="003427BB" w:rsidP="009749DA">
      <w:pPr>
        <w:spacing w:after="0" w:line="240" w:lineRule="auto"/>
        <w:ind w:right="49"/>
        <w:jc w:val="both"/>
        <w:rPr>
          <w:rFonts w:ascii="Arial" w:hAnsi="Arial" w:cs="Arial"/>
        </w:rPr>
      </w:pPr>
      <w:r>
        <w:rPr>
          <w:rFonts w:ascii="Arial" w:hAnsi="Arial" w:cs="Arial"/>
        </w:rPr>
        <w:t xml:space="preserve">En cuanto a la </w:t>
      </w:r>
      <w:r w:rsidR="00D56FC6">
        <w:rPr>
          <w:rFonts w:ascii="Arial" w:hAnsi="Arial" w:cs="Arial"/>
        </w:rPr>
        <w:t>duración de la jornada de trabajo durante</w:t>
      </w:r>
      <w:r w:rsidR="00640491">
        <w:rPr>
          <w:rFonts w:ascii="Arial" w:hAnsi="Arial" w:cs="Arial"/>
        </w:rPr>
        <w:t xml:space="preserve"> </w:t>
      </w:r>
      <w:r w:rsidR="00C53AE4">
        <w:rPr>
          <w:rFonts w:ascii="Arial" w:hAnsi="Arial" w:cs="Arial"/>
        </w:rPr>
        <w:t xml:space="preserve">el </w:t>
      </w:r>
      <w:r w:rsidR="004A0A2E">
        <w:rPr>
          <w:rFonts w:ascii="Arial" w:hAnsi="Arial" w:cs="Arial"/>
        </w:rPr>
        <w:t>trimestre de</w:t>
      </w:r>
      <w:r w:rsidR="00C53AE4">
        <w:rPr>
          <w:rFonts w:ascii="Arial" w:hAnsi="Arial" w:cs="Arial"/>
        </w:rPr>
        <w:t xml:space="preserve"> referencia</w:t>
      </w:r>
      <w:r w:rsidR="00A25C39">
        <w:rPr>
          <w:rFonts w:ascii="Arial" w:hAnsi="Arial" w:cs="Arial"/>
        </w:rPr>
        <w:t xml:space="preserve">, destaca </w:t>
      </w:r>
      <w:r w:rsidR="007074B4">
        <w:rPr>
          <w:rFonts w:ascii="Arial" w:hAnsi="Arial" w:cs="Arial"/>
        </w:rPr>
        <w:t>la reducción de</w:t>
      </w:r>
      <w:r w:rsidR="003C7129">
        <w:rPr>
          <w:rFonts w:ascii="Arial" w:hAnsi="Arial" w:cs="Arial"/>
        </w:rPr>
        <w:t xml:space="preserve"> la participación</w:t>
      </w:r>
      <w:r w:rsidR="005B5D92">
        <w:rPr>
          <w:rFonts w:ascii="Arial" w:hAnsi="Arial" w:cs="Arial"/>
        </w:rPr>
        <w:t xml:space="preserve"> de los ocupados </w:t>
      </w:r>
      <w:r w:rsidR="00721D75">
        <w:rPr>
          <w:rFonts w:ascii="Arial" w:hAnsi="Arial" w:cs="Arial"/>
        </w:rPr>
        <w:t xml:space="preserve">que </w:t>
      </w:r>
      <w:r w:rsidR="00D450A8">
        <w:rPr>
          <w:rFonts w:ascii="Arial" w:hAnsi="Arial" w:cs="Arial"/>
        </w:rPr>
        <w:t xml:space="preserve">laboran </w:t>
      </w:r>
      <w:r w:rsidR="00926834">
        <w:rPr>
          <w:rFonts w:ascii="Arial" w:hAnsi="Arial" w:cs="Arial"/>
        </w:rPr>
        <w:t xml:space="preserve">más de 48 horas semanales de </w:t>
      </w:r>
      <w:r w:rsidR="00D34383">
        <w:rPr>
          <w:rFonts w:ascii="Arial" w:hAnsi="Arial" w:cs="Arial"/>
        </w:rPr>
        <w:t>26.9</w:t>
      </w:r>
      <w:r w:rsidR="00926834">
        <w:rPr>
          <w:rFonts w:ascii="Arial" w:hAnsi="Arial" w:cs="Arial"/>
        </w:rPr>
        <w:t xml:space="preserve">% a </w:t>
      </w:r>
      <w:r w:rsidR="00D34383">
        <w:rPr>
          <w:rFonts w:ascii="Arial" w:hAnsi="Arial" w:cs="Arial"/>
        </w:rPr>
        <w:t>25.9</w:t>
      </w:r>
      <w:r w:rsidR="00926834">
        <w:rPr>
          <w:rFonts w:ascii="Arial" w:hAnsi="Arial" w:cs="Arial"/>
        </w:rPr>
        <w:t xml:space="preserve">% y de los ocupados </w:t>
      </w:r>
      <w:r w:rsidR="005F4A51">
        <w:rPr>
          <w:rFonts w:ascii="Arial" w:hAnsi="Arial" w:cs="Arial"/>
        </w:rPr>
        <w:t xml:space="preserve">entre </w:t>
      </w:r>
      <w:r w:rsidR="007074B4">
        <w:rPr>
          <w:rFonts w:ascii="Arial" w:hAnsi="Arial" w:cs="Arial"/>
        </w:rPr>
        <w:t>35 y 48</w:t>
      </w:r>
      <w:r w:rsidR="005F4A51">
        <w:rPr>
          <w:rFonts w:ascii="Arial" w:hAnsi="Arial" w:cs="Arial"/>
        </w:rPr>
        <w:t xml:space="preserve"> horas semanales</w:t>
      </w:r>
      <w:r w:rsidR="00926834">
        <w:rPr>
          <w:rFonts w:ascii="Arial" w:hAnsi="Arial" w:cs="Arial"/>
        </w:rPr>
        <w:t xml:space="preserve"> </w:t>
      </w:r>
      <w:r w:rsidR="00D450A8">
        <w:rPr>
          <w:rFonts w:ascii="Arial" w:hAnsi="Arial" w:cs="Arial"/>
        </w:rPr>
        <w:t xml:space="preserve">de </w:t>
      </w:r>
      <w:r w:rsidR="00D34383">
        <w:rPr>
          <w:rFonts w:ascii="Arial" w:hAnsi="Arial" w:cs="Arial"/>
        </w:rPr>
        <w:t>45.3</w:t>
      </w:r>
      <w:r w:rsidR="00D450A8">
        <w:rPr>
          <w:rFonts w:ascii="Arial" w:hAnsi="Arial" w:cs="Arial"/>
        </w:rPr>
        <w:t xml:space="preserve">% a </w:t>
      </w:r>
      <w:r w:rsidR="00894D47">
        <w:rPr>
          <w:rFonts w:ascii="Arial" w:hAnsi="Arial" w:cs="Arial"/>
        </w:rPr>
        <w:t>4</w:t>
      </w:r>
      <w:r w:rsidR="007960B7">
        <w:rPr>
          <w:rFonts w:ascii="Arial" w:hAnsi="Arial" w:cs="Arial"/>
        </w:rPr>
        <w:t>5.1</w:t>
      </w:r>
      <w:r w:rsidR="00D450A8">
        <w:rPr>
          <w:rFonts w:ascii="Arial" w:hAnsi="Arial" w:cs="Arial"/>
        </w:rPr>
        <w:t xml:space="preserve">%, </w:t>
      </w:r>
      <w:r w:rsidR="007074B4">
        <w:rPr>
          <w:rFonts w:ascii="Arial" w:hAnsi="Arial" w:cs="Arial"/>
        </w:rPr>
        <w:t>lo cual en términos absolutos significa</w:t>
      </w:r>
      <w:r w:rsidR="00D450A8">
        <w:rPr>
          <w:rFonts w:ascii="Arial" w:hAnsi="Arial" w:cs="Arial"/>
        </w:rPr>
        <w:t xml:space="preserve"> una disminución </w:t>
      </w:r>
      <w:r w:rsidR="001125B3">
        <w:rPr>
          <w:rFonts w:ascii="Arial" w:hAnsi="Arial" w:cs="Arial"/>
        </w:rPr>
        <w:t xml:space="preserve">de </w:t>
      </w:r>
      <w:r w:rsidR="007960B7">
        <w:rPr>
          <w:rFonts w:ascii="Arial" w:hAnsi="Arial" w:cs="Arial"/>
        </w:rPr>
        <w:t>1.</w:t>
      </w:r>
      <w:r w:rsidR="00D34383">
        <w:rPr>
          <w:rFonts w:ascii="Arial" w:hAnsi="Arial" w:cs="Arial"/>
        </w:rPr>
        <w:t xml:space="preserve">1 </w:t>
      </w:r>
      <w:r w:rsidR="00284F64">
        <w:rPr>
          <w:rFonts w:ascii="Arial" w:hAnsi="Arial" w:cs="Arial"/>
        </w:rPr>
        <w:t xml:space="preserve">millones y de </w:t>
      </w:r>
      <w:r w:rsidR="007960B7">
        <w:rPr>
          <w:rFonts w:ascii="Arial" w:hAnsi="Arial" w:cs="Arial"/>
        </w:rPr>
        <w:t>1</w:t>
      </w:r>
      <w:r w:rsidR="00284F64">
        <w:rPr>
          <w:rFonts w:ascii="Arial" w:hAnsi="Arial" w:cs="Arial"/>
        </w:rPr>
        <w:t xml:space="preserve"> mill</w:t>
      </w:r>
      <w:r w:rsidR="00CE7172">
        <w:rPr>
          <w:rFonts w:ascii="Arial" w:hAnsi="Arial" w:cs="Arial"/>
        </w:rPr>
        <w:t>ó</w:t>
      </w:r>
      <w:r w:rsidR="00284F64">
        <w:rPr>
          <w:rFonts w:ascii="Arial" w:hAnsi="Arial" w:cs="Arial"/>
        </w:rPr>
        <w:t>n, respectivamente</w:t>
      </w:r>
      <w:r w:rsidR="005B5D92">
        <w:rPr>
          <w:rFonts w:ascii="Arial" w:hAnsi="Arial" w:cs="Arial"/>
        </w:rPr>
        <w:t>.</w:t>
      </w:r>
    </w:p>
    <w:p w14:paraId="0C9C1F45" w14:textId="77777777" w:rsidR="005B5D92" w:rsidRDefault="005B5D92" w:rsidP="009749DA">
      <w:pPr>
        <w:spacing w:after="0" w:line="240" w:lineRule="auto"/>
        <w:ind w:right="49"/>
        <w:jc w:val="both"/>
        <w:rPr>
          <w:rFonts w:ascii="Arial" w:hAnsi="Arial" w:cs="Arial"/>
        </w:rPr>
      </w:pPr>
    </w:p>
    <w:p w14:paraId="5C684500" w14:textId="664C95A9" w:rsidR="00A815CA" w:rsidRDefault="005E1CCB" w:rsidP="009749DA">
      <w:pPr>
        <w:spacing w:after="0" w:line="240" w:lineRule="auto"/>
        <w:ind w:right="49"/>
        <w:jc w:val="both"/>
        <w:rPr>
          <w:rFonts w:ascii="Arial" w:hAnsi="Arial" w:cs="Arial"/>
        </w:rPr>
      </w:pPr>
      <w:r>
        <w:rPr>
          <w:rFonts w:ascii="Arial" w:hAnsi="Arial" w:cs="Arial"/>
          <w:bCs/>
          <w:spacing w:val="8"/>
        </w:rPr>
        <w:t xml:space="preserve">La jornada de trabajo en los hombres </w:t>
      </w:r>
      <w:r w:rsidR="00CE7172">
        <w:rPr>
          <w:rFonts w:ascii="Arial" w:hAnsi="Arial" w:cs="Arial"/>
          <w:bCs/>
          <w:spacing w:val="8"/>
        </w:rPr>
        <w:t>indica que l</w:t>
      </w:r>
      <w:r>
        <w:rPr>
          <w:rFonts w:ascii="Arial" w:hAnsi="Arial" w:cs="Arial"/>
        </w:rPr>
        <w:t xml:space="preserve">a contribución de los ocupados que laboran más de 48 horas semanales </w:t>
      </w:r>
      <w:r w:rsidR="00F80FD9">
        <w:rPr>
          <w:rFonts w:ascii="Arial" w:hAnsi="Arial" w:cs="Arial"/>
        </w:rPr>
        <w:t xml:space="preserve">pasó </w:t>
      </w:r>
      <w:r>
        <w:rPr>
          <w:rFonts w:ascii="Arial" w:hAnsi="Arial" w:cs="Arial"/>
        </w:rPr>
        <w:t xml:space="preserve">de </w:t>
      </w:r>
      <w:r w:rsidR="00F80FD9">
        <w:rPr>
          <w:rFonts w:ascii="Arial" w:hAnsi="Arial" w:cs="Arial"/>
        </w:rPr>
        <w:t>32.5</w:t>
      </w:r>
      <w:r>
        <w:rPr>
          <w:rFonts w:ascii="Arial" w:hAnsi="Arial" w:cs="Arial"/>
        </w:rPr>
        <w:t xml:space="preserve">% a </w:t>
      </w:r>
      <w:r w:rsidR="00F80FD9">
        <w:rPr>
          <w:rFonts w:ascii="Arial" w:hAnsi="Arial" w:cs="Arial"/>
        </w:rPr>
        <w:t>30.7</w:t>
      </w:r>
      <w:r>
        <w:rPr>
          <w:rFonts w:ascii="Arial" w:hAnsi="Arial" w:cs="Arial"/>
        </w:rPr>
        <w:t xml:space="preserve">% y los ocupados entre </w:t>
      </w:r>
      <w:r w:rsidR="00894D47">
        <w:rPr>
          <w:rFonts w:ascii="Arial" w:hAnsi="Arial" w:cs="Arial"/>
        </w:rPr>
        <w:t>3</w:t>
      </w:r>
      <w:r>
        <w:rPr>
          <w:rFonts w:ascii="Arial" w:hAnsi="Arial" w:cs="Arial"/>
        </w:rPr>
        <w:t xml:space="preserve">5 y 48 horas semanales de </w:t>
      </w:r>
      <w:r w:rsidR="00F80FD9">
        <w:rPr>
          <w:rFonts w:ascii="Arial" w:hAnsi="Arial" w:cs="Arial"/>
        </w:rPr>
        <w:t>46.4</w:t>
      </w:r>
      <w:r>
        <w:rPr>
          <w:rFonts w:ascii="Arial" w:hAnsi="Arial" w:cs="Arial"/>
        </w:rPr>
        <w:t xml:space="preserve">% a </w:t>
      </w:r>
      <w:r w:rsidR="009F7BD9">
        <w:rPr>
          <w:rFonts w:ascii="Arial" w:hAnsi="Arial" w:cs="Arial"/>
        </w:rPr>
        <w:t>46</w:t>
      </w:r>
      <w:r w:rsidR="00F80FD9">
        <w:rPr>
          <w:rFonts w:ascii="Arial" w:hAnsi="Arial" w:cs="Arial"/>
        </w:rPr>
        <w:t>.6</w:t>
      </w:r>
      <w:r>
        <w:rPr>
          <w:rFonts w:ascii="Arial" w:hAnsi="Arial" w:cs="Arial"/>
        </w:rPr>
        <w:t>%</w:t>
      </w:r>
      <w:r w:rsidR="00894D47">
        <w:rPr>
          <w:rFonts w:ascii="Arial" w:hAnsi="Arial" w:cs="Arial"/>
        </w:rPr>
        <w:t>,</w:t>
      </w:r>
      <w:r>
        <w:rPr>
          <w:rFonts w:ascii="Arial" w:hAnsi="Arial" w:cs="Arial"/>
        </w:rPr>
        <w:t xml:space="preserve"> entre el </w:t>
      </w:r>
      <w:r w:rsidR="00177B20">
        <w:rPr>
          <w:rFonts w:ascii="Arial" w:hAnsi="Arial" w:cs="Arial"/>
        </w:rPr>
        <w:t>primer</w:t>
      </w:r>
      <w:r>
        <w:rPr>
          <w:rFonts w:ascii="Arial" w:hAnsi="Arial" w:cs="Arial"/>
        </w:rPr>
        <w:t xml:space="preserve"> trimestre </w:t>
      </w:r>
      <w:r w:rsidR="009F7BD9">
        <w:rPr>
          <w:rFonts w:ascii="Arial" w:hAnsi="Arial" w:cs="Arial"/>
        </w:rPr>
        <w:t xml:space="preserve">de </w:t>
      </w:r>
      <w:r w:rsidR="00177B20">
        <w:rPr>
          <w:rFonts w:ascii="Arial" w:hAnsi="Arial" w:cs="Arial"/>
        </w:rPr>
        <w:t>2020</w:t>
      </w:r>
      <w:r>
        <w:rPr>
          <w:rFonts w:ascii="Arial" w:hAnsi="Arial" w:cs="Arial"/>
        </w:rPr>
        <w:t xml:space="preserve"> y el mismo trimestre de </w:t>
      </w:r>
      <w:r w:rsidR="00177B20">
        <w:rPr>
          <w:rFonts w:ascii="Arial" w:hAnsi="Arial" w:cs="Arial"/>
        </w:rPr>
        <w:t>2021</w:t>
      </w:r>
      <w:r>
        <w:rPr>
          <w:rFonts w:ascii="Arial" w:hAnsi="Arial" w:cs="Arial"/>
        </w:rPr>
        <w:t xml:space="preserve">. Dicho comportamiento se reflejó en una baja de </w:t>
      </w:r>
      <w:r w:rsidR="00F212CC">
        <w:rPr>
          <w:rFonts w:ascii="Arial" w:hAnsi="Arial" w:cs="Arial"/>
        </w:rPr>
        <w:t xml:space="preserve">784 </w:t>
      </w:r>
      <w:r>
        <w:rPr>
          <w:rFonts w:ascii="Arial" w:hAnsi="Arial" w:cs="Arial"/>
        </w:rPr>
        <w:t xml:space="preserve">mil hombres ocupados en jornadas de más de 48 horas semanales, </w:t>
      </w:r>
      <w:r w:rsidR="0053578B">
        <w:rPr>
          <w:rFonts w:ascii="Arial" w:hAnsi="Arial" w:cs="Arial"/>
        </w:rPr>
        <w:t>respecto al</w:t>
      </w:r>
      <w:r>
        <w:rPr>
          <w:rFonts w:ascii="Arial" w:hAnsi="Arial" w:cs="Arial"/>
        </w:rPr>
        <w:t xml:space="preserve"> </w:t>
      </w:r>
      <w:r w:rsidR="00177B20">
        <w:rPr>
          <w:rFonts w:ascii="Arial" w:hAnsi="Arial" w:cs="Arial"/>
        </w:rPr>
        <w:t>primer</w:t>
      </w:r>
      <w:r>
        <w:rPr>
          <w:rFonts w:ascii="Arial" w:hAnsi="Arial" w:cs="Arial"/>
        </w:rPr>
        <w:t xml:space="preserve"> trimestre de </w:t>
      </w:r>
      <w:r w:rsidR="00177B20">
        <w:rPr>
          <w:rFonts w:ascii="Arial" w:hAnsi="Arial" w:cs="Arial"/>
        </w:rPr>
        <w:t>2020</w:t>
      </w:r>
      <w:r>
        <w:rPr>
          <w:rFonts w:ascii="Arial" w:hAnsi="Arial" w:cs="Arial"/>
        </w:rPr>
        <w:t xml:space="preserve">; mientras que los hombres ocupados de 35 a 48 horas semanales </w:t>
      </w:r>
      <w:r w:rsidR="001125B3">
        <w:rPr>
          <w:rFonts w:ascii="Arial" w:hAnsi="Arial" w:cs="Arial"/>
        </w:rPr>
        <w:t xml:space="preserve">fueron inferiores en </w:t>
      </w:r>
      <w:r w:rsidR="00F212CC">
        <w:rPr>
          <w:rFonts w:ascii="Arial" w:hAnsi="Arial" w:cs="Arial"/>
        </w:rPr>
        <w:t xml:space="preserve">207 </w:t>
      </w:r>
      <w:r>
        <w:rPr>
          <w:rFonts w:ascii="Arial" w:hAnsi="Arial" w:cs="Arial"/>
        </w:rPr>
        <w:t xml:space="preserve">mil. Por su parte, las mujeres ocupadas en jornadas de 35 a 48 horas semanales </w:t>
      </w:r>
      <w:r w:rsidR="0053578B">
        <w:rPr>
          <w:rFonts w:ascii="Arial" w:hAnsi="Arial" w:cs="Arial"/>
        </w:rPr>
        <w:t>pasaron de 43.7% a 42.8%</w:t>
      </w:r>
      <w:r w:rsidR="00431CB2">
        <w:rPr>
          <w:rFonts w:ascii="Arial" w:hAnsi="Arial" w:cs="Arial"/>
        </w:rPr>
        <w:t>, entre el primer trimestre de 2020 y el mismo trimestre de 2021 lo cual represent</w:t>
      </w:r>
      <w:r w:rsidR="006742B0">
        <w:rPr>
          <w:rFonts w:ascii="Arial" w:hAnsi="Arial" w:cs="Arial"/>
        </w:rPr>
        <w:t>ó</w:t>
      </w:r>
      <w:r>
        <w:rPr>
          <w:rFonts w:ascii="Arial" w:hAnsi="Arial" w:cs="Arial"/>
        </w:rPr>
        <w:t xml:space="preserve"> una disminución </w:t>
      </w:r>
      <w:r w:rsidR="006742B0">
        <w:rPr>
          <w:rFonts w:ascii="Arial" w:hAnsi="Arial" w:cs="Arial"/>
        </w:rPr>
        <w:t>de</w:t>
      </w:r>
      <w:r>
        <w:rPr>
          <w:rFonts w:ascii="Arial" w:hAnsi="Arial" w:cs="Arial"/>
        </w:rPr>
        <w:t xml:space="preserve"> </w:t>
      </w:r>
      <w:r w:rsidR="00431CB2">
        <w:rPr>
          <w:rFonts w:ascii="Arial" w:hAnsi="Arial" w:cs="Arial"/>
        </w:rPr>
        <w:t xml:space="preserve">829 </w:t>
      </w:r>
      <w:r>
        <w:rPr>
          <w:rFonts w:ascii="Arial" w:hAnsi="Arial" w:cs="Arial"/>
        </w:rPr>
        <w:t xml:space="preserve">mil </w:t>
      </w:r>
      <w:r w:rsidR="00E67D43">
        <w:rPr>
          <w:rFonts w:ascii="Arial" w:hAnsi="Arial" w:cs="Arial"/>
        </w:rPr>
        <w:t>mujeres</w:t>
      </w:r>
      <w:r>
        <w:rPr>
          <w:rFonts w:ascii="Arial" w:hAnsi="Arial" w:cs="Arial"/>
        </w:rPr>
        <w:t>; y en el caso de las mujeres ocupadas en jornada</w:t>
      </w:r>
      <w:r w:rsidR="00FE4C0A">
        <w:rPr>
          <w:rFonts w:ascii="Arial" w:hAnsi="Arial" w:cs="Arial"/>
        </w:rPr>
        <w:t>s</w:t>
      </w:r>
      <w:r>
        <w:rPr>
          <w:rFonts w:ascii="Arial" w:hAnsi="Arial" w:cs="Arial"/>
        </w:rPr>
        <w:t xml:space="preserve"> de más de 48 horas semanales, </w:t>
      </w:r>
      <w:r w:rsidR="0053578B">
        <w:rPr>
          <w:rFonts w:ascii="Arial" w:hAnsi="Arial" w:cs="Arial"/>
        </w:rPr>
        <w:t xml:space="preserve">registraron una </w:t>
      </w:r>
      <w:r w:rsidR="006742B0">
        <w:rPr>
          <w:rFonts w:ascii="Arial" w:hAnsi="Arial" w:cs="Arial"/>
        </w:rPr>
        <w:t xml:space="preserve">reducción </w:t>
      </w:r>
      <w:r w:rsidR="0053578B">
        <w:rPr>
          <w:rFonts w:ascii="Arial" w:hAnsi="Arial" w:cs="Arial"/>
        </w:rPr>
        <w:t xml:space="preserve">en su participación de 18.4% a </w:t>
      </w:r>
      <w:r w:rsidR="009F7BD9">
        <w:rPr>
          <w:rFonts w:ascii="Arial" w:hAnsi="Arial" w:cs="Arial"/>
        </w:rPr>
        <w:t>18.</w:t>
      </w:r>
      <w:r w:rsidR="00AE50AE">
        <w:rPr>
          <w:rFonts w:ascii="Arial" w:hAnsi="Arial" w:cs="Arial"/>
        </w:rPr>
        <w:t>2</w:t>
      </w:r>
      <w:r w:rsidR="0053578B">
        <w:rPr>
          <w:rFonts w:ascii="Arial" w:hAnsi="Arial" w:cs="Arial"/>
        </w:rPr>
        <w:t xml:space="preserve">% y </w:t>
      </w:r>
      <w:r>
        <w:rPr>
          <w:rFonts w:ascii="Arial" w:hAnsi="Arial" w:cs="Arial"/>
        </w:rPr>
        <w:t xml:space="preserve">en términos absolutos </w:t>
      </w:r>
      <w:r w:rsidR="001327FB">
        <w:rPr>
          <w:rFonts w:ascii="Arial" w:hAnsi="Arial" w:cs="Arial"/>
        </w:rPr>
        <w:t xml:space="preserve">descendieron </w:t>
      </w:r>
      <w:r>
        <w:rPr>
          <w:rFonts w:ascii="Arial" w:hAnsi="Arial" w:cs="Arial"/>
        </w:rPr>
        <w:t>e</w:t>
      </w:r>
      <w:r w:rsidR="00894D47">
        <w:rPr>
          <w:rFonts w:ascii="Arial" w:hAnsi="Arial" w:cs="Arial"/>
        </w:rPr>
        <w:t>n</w:t>
      </w:r>
      <w:r>
        <w:rPr>
          <w:rFonts w:ascii="Arial" w:hAnsi="Arial" w:cs="Arial"/>
        </w:rPr>
        <w:t xml:space="preserve"> </w:t>
      </w:r>
      <w:r w:rsidR="00AE50AE">
        <w:rPr>
          <w:rFonts w:ascii="Arial" w:hAnsi="Arial" w:cs="Arial"/>
        </w:rPr>
        <w:t xml:space="preserve">303 </w:t>
      </w:r>
      <w:r>
        <w:rPr>
          <w:rFonts w:ascii="Arial" w:hAnsi="Arial" w:cs="Arial"/>
        </w:rPr>
        <w:t>mil.</w:t>
      </w:r>
      <w:r w:rsidR="00A815CA">
        <w:rPr>
          <w:rFonts w:ascii="Arial" w:hAnsi="Arial" w:cs="Arial"/>
        </w:rPr>
        <w:br w:type="page"/>
      </w:r>
    </w:p>
    <w:p w14:paraId="5CC5FC2E" w14:textId="77777777" w:rsidR="005E1CCB" w:rsidRDefault="005E1CCB" w:rsidP="009749DA">
      <w:pPr>
        <w:spacing w:after="0" w:line="240" w:lineRule="auto"/>
        <w:ind w:right="49"/>
        <w:jc w:val="both"/>
        <w:rPr>
          <w:rFonts w:ascii="Arial" w:hAnsi="Arial" w:cs="Arial"/>
        </w:rPr>
      </w:pPr>
    </w:p>
    <w:p w14:paraId="272BEDEA" w14:textId="77777777" w:rsidR="005E1CCB" w:rsidRDefault="005E1CCB" w:rsidP="009749DA">
      <w:pPr>
        <w:spacing w:after="0" w:line="240" w:lineRule="auto"/>
        <w:ind w:right="49"/>
        <w:jc w:val="both"/>
        <w:rPr>
          <w:rFonts w:ascii="Arial" w:hAnsi="Arial" w:cs="Arial"/>
        </w:rPr>
      </w:pPr>
    </w:p>
    <w:p w14:paraId="1660A034" w14:textId="77777777" w:rsidR="00874BD1" w:rsidRDefault="00252EDE" w:rsidP="009749DA">
      <w:pPr>
        <w:spacing w:after="0" w:line="240" w:lineRule="auto"/>
        <w:contextualSpacing/>
        <w:jc w:val="center"/>
        <w:rPr>
          <w:rFonts w:ascii="Arial" w:hAnsi="Arial" w:cs="Arial"/>
          <w:b/>
          <w:smallCaps/>
        </w:rPr>
      </w:pPr>
      <w:r w:rsidRPr="00874BD1">
        <w:rPr>
          <w:rFonts w:ascii="Arial" w:hAnsi="Arial" w:cs="Arial"/>
          <w:b/>
          <w:smallCaps/>
        </w:rPr>
        <w:t>Población ocupada según duración de la jornada de trabajo</w:t>
      </w:r>
      <w:r w:rsidR="003427BB">
        <w:rPr>
          <w:rFonts w:ascii="Arial" w:hAnsi="Arial" w:cs="Arial"/>
          <w:b/>
          <w:smallCaps/>
        </w:rPr>
        <w:t xml:space="preserve"> por sexo</w:t>
      </w:r>
    </w:p>
    <w:p w14:paraId="13EEA21E" w14:textId="0A9A00F1" w:rsidR="00252EDE" w:rsidRPr="00874BD1" w:rsidRDefault="00252EDE" w:rsidP="009749DA">
      <w:pPr>
        <w:spacing w:after="0" w:line="240" w:lineRule="auto"/>
        <w:contextualSpacing/>
        <w:jc w:val="center"/>
        <w:rPr>
          <w:rFonts w:ascii="Arial" w:eastAsia="Times New Roman" w:hAnsi="Arial" w:cs="Arial"/>
          <w:b/>
          <w:smallCaps/>
          <w:lang w:val="es-ES_tradnl" w:eastAsia="es-ES"/>
        </w:rPr>
      </w:pPr>
      <w:r w:rsidRPr="00874BD1">
        <w:rPr>
          <w:rFonts w:ascii="Arial" w:hAnsi="Arial" w:cs="Arial"/>
          <w:b/>
          <w:smallCaps/>
        </w:rPr>
        <w:t xml:space="preserve">durante </w:t>
      </w:r>
      <w:r w:rsidR="00177695">
        <w:rPr>
          <w:rFonts w:ascii="Arial" w:hAnsi="Arial" w:cs="Arial"/>
          <w:b/>
          <w:smallCaps/>
        </w:rPr>
        <w:t xml:space="preserve">el </w:t>
      </w:r>
      <w:r w:rsidR="00177B20">
        <w:rPr>
          <w:rFonts w:ascii="Arial" w:hAnsi="Arial" w:cs="Arial"/>
          <w:b/>
          <w:smallCaps/>
        </w:rPr>
        <w:t>primer</w:t>
      </w:r>
      <w:r w:rsidR="00177695">
        <w:rPr>
          <w:rFonts w:ascii="Arial" w:hAnsi="Arial" w:cs="Arial"/>
          <w:b/>
          <w:smallCaps/>
        </w:rPr>
        <w:t xml:space="preserve"> trimestre</w:t>
      </w:r>
      <w:r w:rsidRPr="00874BD1">
        <w:rPr>
          <w:rFonts w:ascii="Arial" w:hAnsi="Arial" w:cs="Arial"/>
          <w:b/>
          <w:smallCaps/>
        </w:rPr>
        <w:t xml:space="preserve"> de </w:t>
      </w:r>
      <w:r w:rsidR="00177B20">
        <w:rPr>
          <w:rFonts w:ascii="Arial" w:hAnsi="Arial" w:cs="Arial"/>
          <w:b/>
          <w:smallCaps/>
        </w:rPr>
        <w:t>2021</w:t>
      </w:r>
    </w:p>
    <w:p w14:paraId="44CE075B" w14:textId="7A7B2799" w:rsidR="0076447E" w:rsidRPr="003A795B" w:rsidRDefault="003A795B" w:rsidP="009749DA">
      <w:pPr>
        <w:spacing w:after="0" w:line="240" w:lineRule="auto"/>
        <w:ind w:right="51"/>
        <w:jc w:val="center"/>
        <w:rPr>
          <w:rFonts w:ascii="Arial" w:hAnsi="Arial" w:cs="Arial"/>
          <w:smallCaps/>
          <w:sz w:val="16"/>
          <w:szCs w:val="18"/>
        </w:rPr>
      </w:pPr>
      <w:r w:rsidRPr="003A795B">
        <w:rPr>
          <w:rFonts w:ascii="Arial" w:hAnsi="Arial" w:cs="Arial"/>
          <w:smallCaps/>
          <w:sz w:val="16"/>
          <w:szCs w:val="18"/>
        </w:rPr>
        <w:t>(PERSONAS Y PORCENTAJE)</w:t>
      </w:r>
    </w:p>
    <w:p w14:paraId="2EFCF937" w14:textId="0340B176" w:rsidR="0076447E" w:rsidRDefault="00264FC9" w:rsidP="009749DA">
      <w:pPr>
        <w:spacing w:after="0" w:line="240" w:lineRule="auto"/>
        <w:ind w:right="51"/>
        <w:jc w:val="center"/>
        <w:rPr>
          <w:rFonts w:ascii="Arial" w:hAnsi="Arial" w:cs="Arial"/>
          <w:smallCaps/>
        </w:rPr>
      </w:pPr>
      <w:r w:rsidRPr="00264FC9">
        <w:rPr>
          <w:noProof/>
          <w:lang w:eastAsia="es-MX"/>
        </w:rPr>
        <w:drawing>
          <wp:inline distT="0" distB="0" distL="0" distR="0" wp14:anchorId="0A52941C" wp14:editId="26E3910F">
            <wp:extent cx="5610225" cy="4667250"/>
            <wp:effectExtent l="0" t="0" r="9525" b="0"/>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610225" cy="4667250"/>
                    </a:xfrm>
                    <a:prstGeom prst="rect">
                      <a:avLst/>
                    </a:prstGeom>
                    <a:noFill/>
                    <a:ln>
                      <a:noFill/>
                    </a:ln>
                  </pic:spPr>
                </pic:pic>
              </a:graphicData>
            </a:graphic>
          </wp:inline>
        </w:drawing>
      </w:r>
    </w:p>
    <w:p w14:paraId="00C3CE00" w14:textId="77777777" w:rsidR="006E302F" w:rsidRDefault="006E302F" w:rsidP="006E302F">
      <w:pPr>
        <w:tabs>
          <w:tab w:val="left" w:pos="851"/>
        </w:tabs>
        <w:spacing w:after="0" w:line="240" w:lineRule="auto"/>
        <w:ind w:left="142" w:right="333"/>
        <w:rPr>
          <w:rFonts w:ascii="Arial" w:hAnsi="Arial" w:cs="Arial"/>
          <w:noProof/>
          <w:sz w:val="14"/>
          <w:szCs w:val="14"/>
          <w:lang w:val="es-ES" w:eastAsia="es-ES"/>
        </w:rPr>
      </w:pPr>
      <w:r>
        <w:rPr>
          <w:rFonts w:ascii="Arial" w:hAnsi="Arial" w:cs="Arial"/>
          <w:noProof/>
          <w:sz w:val="14"/>
          <w:szCs w:val="14"/>
          <w:lang w:val="es-ES" w:eastAsia="es-ES"/>
        </w:rPr>
        <w:t>Fuente:</w:t>
      </w:r>
      <w:r>
        <w:rPr>
          <w:rFonts w:ascii="Arial" w:hAnsi="Arial" w:cs="Arial"/>
          <w:noProof/>
          <w:sz w:val="14"/>
          <w:szCs w:val="14"/>
          <w:lang w:val="es-ES" w:eastAsia="es-ES"/>
        </w:rPr>
        <w:tab/>
        <w:t>INEGI. Encuesta Nacional de Ocupación y Empleo. Nueva Edición, primer trimestre de 2021.</w:t>
      </w:r>
    </w:p>
    <w:p w14:paraId="72C2747E" w14:textId="77777777" w:rsidR="006E302F" w:rsidRDefault="006E302F" w:rsidP="006E302F">
      <w:pPr>
        <w:tabs>
          <w:tab w:val="left" w:pos="851"/>
        </w:tabs>
        <w:spacing w:after="0" w:line="240" w:lineRule="auto"/>
        <w:ind w:left="142" w:right="333"/>
      </w:pPr>
      <w:r>
        <w:rPr>
          <w:rFonts w:ascii="Arial" w:hAnsi="Arial" w:cs="Arial"/>
          <w:noProof/>
          <w:sz w:val="14"/>
          <w:szCs w:val="14"/>
          <w:lang w:val="es-ES" w:eastAsia="es-ES"/>
        </w:rPr>
        <w:tab/>
        <w:t>INEGI. Encuesta Nacional de Ocupación y Empleo, primer trimestre de 2020.</w:t>
      </w:r>
    </w:p>
    <w:p w14:paraId="336EAB5A" w14:textId="77777777" w:rsidR="00F97FB7" w:rsidRDefault="00F97FB7" w:rsidP="009749DA">
      <w:pPr>
        <w:spacing w:after="0" w:line="240" w:lineRule="auto"/>
        <w:ind w:right="49"/>
        <w:jc w:val="both"/>
        <w:rPr>
          <w:rFonts w:ascii="Arial" w:hAnsi="Arial" w:cs="Arial"/>
          <w:bCs/>
          <w:spacing w:val="8"/>
        </w:rPr>
      </w:pPr>
    </w:p>
    <w:p w14:paraId="37B06726" w14:textId="77777777" w:rsidR="007074B4" w:rsidRDefault="007074B4" w:rsidP="009749DA">
      <w:pPr>
        <w:spacing w:after="0" w:line="240" w:lineRule="auto"/>
        <w:ind w:right="49"/>
        <w:jc w:val="both"/>
        <w:rPr>
          <w:rFonts w:ascii="Arial" w:hAnsi="Arial" w:cs="Arial"/>
          <w:bCs/>
          <w:spacing w:val="8"/>
        </w:rPr>
      </w:pPr>
    </w:p>
    <w:p w14:paraId="0571F347" w14:textId="1E436143" w:rsidR="005E1CCB" w:rsidRDefault="00E95EFC" w:rsidP="009749DA">
      <w:pPr>
        <w:pStyle w:val="n0"/>
        <w:keepLines w:val="0"/>
        <w:spacing w:before="0"/>
        <w:ind w:left="0" w:right="49" w:firstLine="0"/>
        <w:rPr>
          <w:color w:val="000000" w:themeColor="text1"/>
          <w:sz w:val="22"/>
        </w:rPr>
      </w:pPr>
      <w:r>
        <w:rPr>
          <w:color w:val="000000" w:themeColor="text1"/>
          <w:sz w:val="22"/>
        </w:rPr>
        <w:t>En la ocupación por ámbito y tamaño de la unidad económica</w:t>
      </w:r>
      <w:r w:rsidR="005E1CCB">
        <w:rPr>
          <w:color w:val="000000" w:themeColor="text1"/>
          <w:sz w:val="22"/>
        </w:rPr>
        <w:t>, con una proporción de ocupación en el ámbito no agropecuario</w:t>
      </w:r>
      <w:r w:rsidR="00031479">
        <w:rPr>
          <w:color w:val="000000" w:themeColor="text1"/>
          <w:sz w:val="22"/>
        </w:rPr>
        <w:t xml:space="preserve"> </w:t>
      </w:r>
      <w:r w:rsidR="005E1CCB">
        <w:rPr>
          <w:color w:val="000000" w:themeColor="text1"/>
          <w:sz w:val="22"/>
        </w:rPr>
        <w:t>de 8</w:t>
      </w:r>
      <w:r w:rsidR="009F7BD9">
        <w:rPr>
          <w:color w:val="000000" w:themeColor="text1"/>
          <w:sz w:val="22"/>
        </w:rPr>
        <w:t>3.</w:t>
      </w:r>
      <w:r w:rsidR="00236EDD">
        <w:rPr>
          <w:color w:val="000000" w:themeColor="text1"/>
          <w:sz w:val="22"/>
        </w:rPr>
        <w:t>4</w:t>
      </w:r>
      <w:r w:rsidR="005E1CCB">
        <w:rPr>
          <w:color w:val="000000" w:themeColor="text1"/>
          <w:sz w:val="22"/>
        </w:rPr>
        <w:t xml:space="preserve">%, </w:t>
      </w:r>
      <w:r w:rsidR="008B5E20">
        <w:rPr>
          <w:color w:val="000000" w:themeColor="text1"/>
          <w:sz w:val="22"/>
        </w:rPr>
        <w:t>é</w:t>
      </w:r>
      <w:r w:rsidR="005E1CCB">
        <w:rPr>
          <w:color w:val="000000" w:themeColor="text1"/>
          <w:sz w:val="22"/>
        </w:rPr>
        <w:t>sta tuvo un descenso</w:t>
      </w:r>
      <w:r w:rsidR="008B5E20">
        <w:rPr>
          <w:color w:val="000000" w:themeColor="text1"/>
          <w:sz w:val="22"/>
        </w:rPr>
        <w:t xml:space="preserve"> de</w:t>
      </w:r>
      <w:r w:rsidR="005E1CCB">
        <w:rPr>
          <w:color w:val="000000" w:themeColor="text1"/>
          <w:sz w:val="22"/>
        </w:rPr>
        <w:t xml:space="preserve"> </w:t>
      </w:r>
      <w:r w:rsidR="009F7BD9">
        <w:rPr>
          <w:color w:val="000000" w:themeColor="text1"/>
          <w:sz w:val="22"/>
        </w:rPr>
        <w:t>2.</w:t>
      </w:r>
      <w:r w:rsidR="00236EDD">
        <w:rPr>
          <w:color w:val="000000" w:themeColor="text1"/>
          <w:sz w:val="22"/>
        </w:rPr>
        <w:t xml:space="preserve">3 </w:t>
      </w:r>
      <w:r w:rsidR="005E1CCB">
        <w:rPr>
          <w:color w:val="000000" w:themeColor="text1"/>
          <w:sz w:val="22"/>
        </w:rPr>
        <w:t xml:space="preserve">millones respecto al </w:t>
      </w:r>
      <w:r w:rsidR="00177B20">
        <w:rPr>
          <w:color w:val="000000" w:themeColor="text1"/>
          <w:sz w:val="22"/>
        </w:rPr>
        <w:t>primer</w:t>
      </w:r>
      <w:r w:rsidR="005E1CCB">
        <w:rPr>
          <w:color w:val="000000" w:themeColor="text1"/>
          <w:sz w:val="22"/>
        </w:rPr>
        <w:t xml:space="preserve"> trimestre de </w:t>
      </w:r>
      <w:r w:rsidR="00177B20">
        <w:rPr>
          <w:color w:val="000000" w:themeColor="text1"/>
          <w:sz w:val="22"/>
        </w:rPr>
        <w:t>2020</w:t>
      </w:r>
      <w:r w:rsidR="005E1CCB">
        <w:rPr>
          <w:color w:val="000000" w:themeColor="text1"/>
          <w:sz w:val="22"/>
        </w:rPr>
        <w:t xml:space="preserve">. Los ocupados </w:t>
      </w:r>
      <w:r w:rsidR="009945EC">
        <w:rPr>
          <w:color w:val="000000" w:themeColor="text1"/>
          <w:sz w:val="22"/>
        </w:rPr>
        <w:t xml:space="preserve">en </w:t>
      </w:r>
      <w:r w:rsidR="005E1CCB">
        <w:rPr>
          <w:color w:val="000000" w:themeColor="text1"/>
          <w:sz w:val="22"/>
        </w:rPr>
        <w:t>micronegoc</w:t>
      </w:r>
      <w:r w:rsidR="00894D47">
        <w:rPr>
          <w:color w:val="000000" w:themeColor="text1"/>
          <w:sz w:val="22"/>
        </w:rPr>
        <w:t xml:space="preserve">ios, con una disminución de </w:t>
      </w:r>
      <w:r w:rsidR="00236EDD">
        <w:rPr>
          <w:color w:val="000000" w:themeColor="text1"/>
          <w:sz w:val="22"/>
        </w:rPr>
        <w:t xml:space="preserve">924 </w:t>
      </w:r>
      <w:r w:rsidR="005E1CCB">
        <w:rPr>
          <w:color w:val="000000" w:themeColor="text1"/>
          <w:sz w:val="22"/>
        </w:rPr>
        <w:t xml:space="preserve">mil reportaron la pérdida de </w:t>
      </w:r>
      <w:r w:rsidR="00894D47">
        <w:rPr>
          <w:color w:val="000000" w:themeColor="text1"/>
          <w:sz w:val="22"/>
        </w:rPr>
        <w:t>ocupación</w:t>
      </w:r>
      <w:r w:rsidR="005E1CCB">
        <w:rPr>
          <w:color w:val="000000" w:themeColor="text1"/>
          <w:sz w:val="22"/>
        </w:rPr>
        <w:t xml:space="preserve"> más alta, específicamente en unidades económicas </w:t>
      </w:r>
      <w:r w:rsidR="00D1444B">
        <w:rPr>
          <w:color w:val="000000" w:themeColor="text1"/>
          <w:sz w:val="22"/>
        </w:rPr>
        <w:t>con</w:t>
      </w:r>
      <w:r w:rsidR="005E1CCB">
        <w:rPr>
          <w:color w:val="000000" w:themeColor="text1"/>
          <w:sz w:val="22"/>
        </w:rPr>
        <w:t xml:space="preserve"> establecimiento, en donde la </w:t>
      </w:r>
      <w:r w:rsidR="001125B3">
        <w:rPr>
          <w:color w:val="000000" w:themeColor="text1"/>
          <w:sz w:val="22"/>
        </w:rPr>
        <w:t xml:space="preserve">contracción </w:t>
      </w:r>
      <w:r w:rsidR="005E1CCB">
        <w:rPr>
          <w:color w:val="000000" w:themeColor="text1"/>
          <w:sz w:val="22"/>
        </w:rPr>
        <w:t xml:space="preserve">fue de </w:t>
      </w:r>
      <w:r w:rsidR="00236EDD">
        <w:rPr>
          <w:color w:val="000000" w:themeColor="text1"/>
          <w:sz w:val="22"/>
        </w:rPr>
        <w:t xml:space="preserve">537 </w:t>
      </w:r>
      <w:r w:rsidR="005E1CCB">
        <w:rPr>
          <w:color w:val="000000" w:themeColor="text1"/>
          <w:sz w:val="22"/>
        </w:rPr>
        <w:t>mil ocupados</w:t>
      </w:r>
      <w:r w:rsidR="006F10F3">
        <w:rPr>
          <w:color w:val="000000" w:themeColor="text1"/>
          <w:sz w:val="22"/>
        </w:rPr>
        <w:t xml:space="preserve"> entre el </w:t>
      </w:r>
      <w:r w:rsidR="00177B20">
        <w:rPr>
          <w:color w:val="000000" w:themeColor="text1"/>
          <w:sz w:val="22"/>
        </w:rPr>
        <w:t>primer</w:t>
      </w:r>
      <w:r w:rsidR="006F10F3">
        <w:rPr>
          <w:color w:val="000000" w:themeColor="text1"/>
          <w:sz w:val="22"/>
        </w:rPr>
        <w:t xml:space="preserve"> trimestre de </w:t>
      </w:r>
      <w:r w:rsidR="00177B20">
        <w:rPr>
          <w:color w:val="000000" w:themeColor="text1"/>
          <w:sz w:val="22"/>
        </w:rPr>
        <w:t>2020</w:t>
      </w:r>
      <w:r w:rsidR="006F10F3">
        <w:rPr>
          <w:color w:val="000000" w:themeColor="text1"/>
          <w:sz w:val="22"/>
        </w:rPr>
        <w:t xml:space="preserve"> y el mismo trimestre de </w:t>
      </w:r>
      <w:r w:rsidR="00177B20">
        <w:rPr>
          <w:color w:val="000000" w:themeColor="text1"/>
          <w:sz w:val="22"/>
        </w:rPr>
        <w:t>2021</w:t>
      </w:r>
      <w:r w:rsidR="005E1CCB">
        <w:rPr>
          <w:color w:val="000000" w:themeColor="text1"/>
          <w:sz w:val="22"/>
        </w:rPr>
        <w:t>.</w:t>
      </w:r>
      <w:r w:rsidR="0053578B">
        <w:rPr>
          <w:color w:val="000000" w:themeColor="text1"/>
          <w:sz w:val="22"/>
        </w:rPr>
        <w:t xml:space="preserve"> Las personas ocupadas en pequeños establecimientos registraron una reducción de 543 mil personas en igual periodo.</w:t>
      </w:r>
    </w:p>
    <w:p w14:paraId="7F8E8F6E" w14:textId="77777777" w:rsidR="00670276" w:rsidRDefault="00670276" w:rsidP="009749DA">
      <w:pPr>
        <w:pStyle w:val="n0"/>
        <w:keepLines w:val="0"/>
        <w:spacing w:before="0"/>
        <w:ind w:left="0" w:right="49" w:firstLine="0"/>
        <w:rPr>
          <w:color w:val="000000" w:themeColor="text1"/>
          <w:sz w:val="22"/>
        </w:rPr>
      </w:pPr>
    </w:p>
    <w:p w14:paraId="1B216859" w14:textId="77777777" w:rsidR="00F263AE" w:rsidRDefault="00F263AE" w:rsidP="009749DA">
      <w:pPr>
        <w:rPr>
          <w:rFonts w:ascii="Arial" w:hAnsi="Arial" w:cs="Arial"/>
          <w:b/>
          <w:smallCaps/>
        </w:rPr>
      </w:pPr>
      <w:r>
        <w:rPr>
          <w:rFonts w:ascii="Arial" w:hAnsi="Arial" w:cs="Arial"/>
          <w:b/>
          <w:smallCaps/>
        </w:rPr>
        <w:br w:type="page"/>
      </w:r>
    </w:p>
    <w:p w14:paraId="6BACDBB2" w14:textId="77777777" w:rsidR="00F45312" w:rsidRDefault="00F45312" w:rsidP="009749DA">
      <w:pPr>
        <w:spacing w:after="0" w:line="240" w:lineRule="auto"/>
        <w:contextualSpacing/>
        <w:jc w:val="center"/>
        <w:rPr>
          <w:rFonts w:ascii="Arial" w:hAnsi="Arial" w:cs="Arial"/>
          <w:b/>
          <w:smallCaps/>
        </w:rPr>
      </w:pPr>
      <w:r w:rsidRPr="00874BD1">
        <w:rPr>
          <w:rFonts w:ascii="Arial" w:hAnsi="Arial" w:cs="Arial"/>
          <w:b/>
          <w:smallCaps/>
        </w:rPr>
        <w:lastRenderedPageBreak/>
        <w:t xml:space="preserve">Población ocupada </w:t>
      </w:r>
      <w:r>
        <w:rPr>
          <w:rFonts w:ascii="Arial" w:hAnsi="Arial" w:cs="Arial"/>
          <w:b/>
          <w:smallCaps/>
        </w:rPr>
        <w:t xml:space="preserve">por </w:t>
      </w:r>
      <w:r w:rsidR="003966E8">
        <w:rPr>
          <w:rFonts w:ascii="Arial" w:hAnsi="Arial" w:cs="Arial"/>
          <w:b/>
          <w:smallCaps/>
        </w:rPr>
        <w:t>á</w:t>
      </w:r>
      <w:r>
        <w:rPr>
          <w:rFonts w:ascii="Arial" w:hAnsi="Arial" w:cs="Arial"/>
          <w:b/>
          <w:smallCaps/>
        </w:rPr>
        <w:t>mbito y tamaño de unidad económica</w:t>
      </w:r>
      <w:r w:rsidR="003427BB">
        <w:rPr>
          <w:rFonts w:ascii="Arial" w:hAnsi="Arial" w:cs="Arial"/>
          <w:b/>
          <w:smallCaps/>
        </w:rPr>
        <w:t xml:space="preserve"> por sexo</w:t>
      </w:r>
    </w:p>
    <w:p w14:paraId="617532CC" w14:textId="46E958E1" w:rsidR="00F45312" w:rsidRPr="00874BD1" w:rsidRDefault="00F45312" w:rsidP="009749DA">
      <w:pPr>
        <w:spacing w:after="0" w:line="240" w:lineRule="auto"/>
        <w:contextualSpacing/>
        <w:jc w:val="center"/>
        <w:rPr>
          <w:rFonts w:ascii="Arial" w:eastAsia="Times New Roman" w:hAnsi="Arial" w:cs="Arial"/>
          <w:b/>
          <w:smallCaps/>
          <w:lang w:val="es-ES_tradnl" w:eastAsia="es-ES"/>
        </w:rPr>
      </w:pPr>
      <w:r w:rsidRPr="00874BD1">
        <w:rPr>
          <w:rFonts w:ascii="Arial" w:hAnsi="Arial" w:cs="Arial"/>
          <w:b/>
          <w:smallCaps/>
        </w:rPr>
        <w:t xml:space="preserve">durante </w:t>
      </w:r>
      <w:r w:rsidR="00177695">
        <w:rPr>
          <w:rFonts w:ascii="Arial" w:hAnsi="Arial" w:cs="Arial"/>
          <w:b/>
          <w:smallCaps/>
        </w:rPr>
        <w:t xml:space="preserve">el </w:t>
      </w:r>
      <w:r w:rsidR="00177B20">
        <w:rPr>
          <w:rFonts w:ascii="Arial" w:hAnsi="Arial" w:cs="Arial"/>
          <w:b/>
          <w:smallCaps/>
        </w:rPr>
        <w:t>primer</w:t>
      </w:r>
      <w:r w:rsidR="00177695">
        <w:rPr>
          <w:rFonts w:ascii="Arial" w:hAnsi="Arial" w:cs="Arial"/>
          <w:b/>
          <w:smallCaps/>
        </w:rPr>
        <w:t xml:space="preserve"> trimestre</w:t>
      </w:r>
      <w:r w:rsidRPr="00874BD1">
        <w:rPr>
          <w:rFonts w:ascii="Arial" w:hAnsi="Arial" w:cs="Arial"/>
          <w:b/>
          <w:smallCaps/>
        </w:rPr>
        <w:t xml:space="preserve"> de </w:t>
      </w:r>
      <w:r w:rsidR="00177B20">
        <w:rPr>
          <w:rFonts w:ascii="Arial" w:hAnsi="Arial" w:cs="Arial"/>
          <w:b/>
          <w:smallCaps/>
        </w:rPr>
        <w:t>2021</w:t>
      </w:r>
    </w:p>
    <w:p w14:paraId="682AB51E" w14:textId="79C64114" w:rsidR="00F45312" w:rsidRPr="003A795B" w:rsidRDefault="003A795B" w:rsidP="009749DA">
      <w:pPr>
        <w:spacing w:after="0" w:line="240" w:lineRule="auto"/>
        <w:ind w:right="51"/>
        <w:jc w:val="center"/>
        <w:rPr>
          <w:rFonts w:ascii="Arial" w:hAnsi="Arial" w:cs="Arial"/>
          <w:smallCaps/>
          <w:sz w:val="16"/>
          <w:szCs w:val="18"/>
        </w:rPr>
      </w:pPr>
      <w:r w:rsidRPr="003A795B">
        <w:rPr>
          <w:rFonts w:ascii="Arial" w:hAnsi="Arial" w:cs="Arial"/>
          <w:smallCaps/>
          <w:sz w:val="16"/>
          <w:szCs w:val="18"/>
        </w:rPr>
        <w:t>(PERSONAS Y PORCENTAJE)</w:t>
      </w:r>
    </w:p>
    <w:p w14:paraId="49732726" w14:textId="6A6E3832" w:rsidR="00634554" w:rsidRPr="00E33F09" w:rsidRDefault="00264FC9" w:rsidP="009749DA">
      <w:pPr>
        <w:spacing w:after="0" w:line="240" w:lineRule="auto"/>
        <w:ind w:right="51"/>
        <w:jc w:val="center"/>
        <w:rPr>
          <w:rFonts w:ascii="Arial" w:hAnsi="Arial" w:cs="Arial"/>
          <w:smallCaps/>
          <w:sz w:val="18"/>
          <w:szCs w:val="18"/>
        </w:rPr>
      </w:pPr>
      <w:r w:rsidRPr="00264FC9">
        <w:rPr>
          <w:noProof/>
          <w:lang w:eastAsia="es-MX"/>
        </w:rPr>
        <w:drawing>
          <wp:inline distT="0" distB="0" distL="0" distR="0" wp14:anchorId="426694E0" wp14:editId="38F6AD96">
            <wp:extent cx="5610225" cy="6477000"/>
            <wp:effectExtent l="0" t="0" r="9525" b="0"/>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610225" cy="6477000"/>
                    </a:xfrm>
                    <a:prstGeom prst="rect">
                      <a:avLst/>
                    </a:prstGeom>
                    <a:noFill/>
                    <a:ln>
                      <a:noFill/>
                    </a:ln>
                  </pic:spPr>
                </pic:pic>
              </a:graphicData>
            </a:graphic>
          </wp:inline>
        </w:drawing>
      </w:r>
    </w:p>
    <w:p w14:paraId="28FC0335" w14:textId="77777777" w:rsidR="006E302F" w:rsidRDefault="006E302F" w:rsidP="006E302F">
      <w:pPr>
        <w:tabs>
          <w:tab w:val="left" w:pos="851"/>
        </w:tabs>
        <w:spacing w:after="0" w:line="240" w:lineRule="auto"/>
        <w:ind w:left="142" w:right="333"/>
        <w:rPr>
          <w:rFonts w:ascii="Arial" w:hAnsi="Arial" w:cs="Arial"/>
          <w:noProof/>
          <w:sz w:val="14"/>
          <w:szCs w:val="14"/>
          <w:lang w:val="es-ES" w:eastAsia="es-ES"/>
        </w:rPr>
      </w:pPr>
      <w:r>
        <w:rPr>
          <w:rFonts w:ascii="Arial" w:hAnsi="Arial" w:cs="Arial"/>
          <w:noProof/>
          <w:sz w:val="14"/>
          <w:szCs w:val="14"/>
          <w:lang w:val="es-ES" w:eastAsia="es-ES"/>
        </w:rPr>
        <w:t>Fuente:</w:t>
      </w:r>
      <w:r>
        <w:rPr>
          <w:rFonts w:ascii="Arial" w:hAnsi="Arial" w:cs="Arial"/>
          <w:noProof/>
          <w:sz w:val="14"/>
          <w:szCs w:val="14"/>
          <w:lang w:val="es-ES" w:eastAsia="es-ES"/>
        </w:rPr>
        <w:tab/>
        <w:t>INEGI. Encuesta Nacional de Ocupación y Empleo. Nueva Edición, primer trimestre de 2021.</w:t>
      </w:r>
    </w:p>
    <w:p w14:paraId="6713C9D0" w14:textId="77777777" w:rsidR="006E302F" w:rsidRDefault="006E302F" w:rsidP="006E302F">
      <w:pPr>
        <w:tabs>
          <w:tab w:val="left" w:pos="851"/>
        </w:tabs>
        <w:spacing w:after="0" w:line="240" w:lineRule="auto"/>
        <w:ind w:left="142" w:right="333"/>
      </w:pPr>
      <w:r>
        <w:rPr>
          <w:rFonts w:ascii="Arial" w:hAnsi="Arial" w:cs="Arial"/>
          <w:noProof/>
          <w:sz w:val="14"/>
          <w:szCs w:val="14"/>
          <w:lang w:val="es-ES" w:eastAsia="es-ES"/>
        </w:rPr>
        <w:tab/>
        <w:t>INEGI. Encuesta Nacional de Ocupación y Empleo, primer trimestre de 2020.</w:t>
      </w:r>
    </w:p>
    <w:p w14:paraId="27309E56" w14:textId="77777777" w:rsidR="00314301" w:rsidRDefault="00314301" w:rsidP="009749DA">
      <w:pPr>
        <w:pStyle w:val="n0"/>
        <w:keepLines w:val="0"/>
        <w:spacing w:before="0"/>
        <w:ind w:left="0" w:right="49" w:firstLine="0"/>
        <w:rPr>
          <w:color w:val="000000" w:themeColor="text1"/>
          <w:sz w:val="22"/>
        </w:rPr>
      </w:pPr>
    </w:p>
    <w:p w14:paraId="4D10DEED" w14:textId="77777777" w:rsidR="00314301" w:rsidRDefault="00314301" w:rsidP="009749DA">
      <w:pPr>
        <w:pStyle w:val="n0"/>
        <w:keepLines w:val="0"/>
        <w:spacing w:before="0"/>
        <w:ind w:left="0" w:right="49" w:firstLine="0"/>
        <w:rPr>
          <w:color w:val="000000" w:themeColor="text1"/>
          <w:sz w:val="22"/>
        </w:rPr>
      </w:pPr>
    </w:p>
    <w:p w14:paraId="7ECB3D19" w14:textId="0F3706E9" w:rsidR="00DA1491" w:rsidRDefault="00DA1491" w:rsidP="009749DA">
      <w:pPr>
        <w:pStyle w:val="n0"/>
        <w:keepLines w:val="0"/>
        <w:spacing w:before="0"/>
        <w:ind w:left="0" w:right="49" w:firstLine="0"/>
        <w:rPr>
          <w:color w:val="000000" w:themeColor="text1"/>
          <w:sz w:val="22"/>
        </w:rPr>
      </w:pPr>
      <w:r>
        <w:rPr>
          <w:color w:val="000000" w:themeColor="text1"/>
          <w:sz w:val="22"/>
        </w:rPr>
        <w:t xml:space="preserve">En la situación según sexo, los hombres ocupados en el ámbito no agropecuario reportaron una disminución de </w:t>
      </w:r>
      <w:r w:rsidR="00BD508B">
        <w:rPr>
          <w:color w:val="000000" w:themeColor="text1"/>
          <w:sz w:val="22"/>
        </w:rPr>
        <w:t xml:space="preserve">793 </w:t>
      </w:r>
      <w:r>
        <w:rPr>
          <w:color w:val="000000" w:themeColor="text1"/>
          <w:sz w:val="22"/>
        </w:rPr>
        <w:t>mil y la</w:t>
      </w:r>
      <w:r w:rsidR="00C07A29">
        <w:rPr>
          <w:color w:val="000000" w:themeColor="text1"/>
          <w:sz w:val="22"/>
        </w:rPr>
        <w:t>s</w:t>
      </w:r>
      <w:r>
        <w:rPr>
          <w:color w:val="000000" w:themeColor="text1"/>
          <w:sz w:val="22"/>
        </w:rPr>
        <w:t xml:space="preserve"> mujeres en el mismo ámbito una reducción de </w:t>
      </w:r>
      <w:r w:rsidR="00D1444B">
        <w:rPr>
          <w:color w:val="000000" w:themeColor="text1"/>
          <w:sz w:val="22"/>
        </w:rPr>
        <w:t>1.</w:t>
      </w:r>
      <w:r w:rsidR="00BD508B">
        <w:rPr>
          <w:color w:val="000000" w:themeColor="text1"/>
          <w:sz w:val="22"/>
        </w:rPr>
        <w:t xml:space="preserve">6 </w:t>
      </w:r>
      <w:r w:rsidR="0053578B">
        <w:rPr>
          <w:color w:val="000000" w:themeColor="text1"/>
          <w:sz w:val="22"/>
        </w:rPr>
        <w:t>millones.</w:t>
      </w:r>
      <w:r>
        <w:rPr>
          <w:color w:val="000000" w:themeColor="text1"/>
          <w:sz w:val="22"/>
        </w:rPr>
        <w:t xml:space="preserve"> La ocupación en los micronegocios fue la más afectada </w:t>
      </w:r>
      <w:r w:rsidR="001125B3">
        <w:rPr>
          <w:color w:val="000000" w:themeColor="text1"/>
          <w:sz w:val="22"/>
        </w:rPr>
        <w:t xml:space="preserve">en el </w:t>
      </w:r>
      <w:r w:rsidR="00177B20">
        <w:rPr>
          <w:color w:val="000000" w:themeColor="text1"/>
          <w:sz w:val="22"/>
        </w:rPr>
        <w:t>primer</w:t>
      </w:r>
      <w:r w:rsidR="001125B3">
        <w:rPr>
          <w:color w:val="000000" w:themeColor="text1"/>
          <w:sz w:val="22"/>
        </w:rPr>
        <w:t xml:space="preserve"> trimestre de</w:t>
      </w:r>
      <w:r w:rsidR="00D1444B">
        <w:rPr>
          <w:color w:val="000000" w:themeColor="text1"/>
          <w:sz w:val="22"/>
        </w:rPr>
        <w:t xml:space="preserve"> </w:t>
      </w:r>
      <w:r w:rsidR="00177B20">
        <w:rPr>
          <w:color w:val="000000" w:themeColor="text1"/>
          <w:sz w:val="22"/>
        </w:rPr>
        <w:t>2021</w:t>
      </w:r>
      <w:r>
        <w:rPr>
          <w:color w:val="000000" w:themeColor="text1"/>
          <w:sz w:val="22"/>
        </w:rPr>
        <w:t xml:space="preserve">, siendo mayor la disminución en las mujeres con </w:t>
      </w:r>
      <w:r w:rsidR="00BD508B">
        <w:rPr>
          <w:color w:val="000000" w:themeColor="text1"/>
          <w:sz w:val="22"/>
        </w:rPr>
        <w:t xml:space="preserve">825 </w:t>
      </w:r>
      <w:r>
        <w:rPr>
          <w:color w:val="000000" w:themeColor="text1"/>
          <w:sz w:val="22"/>
        </w:rPr>
        <w:t xml:space="preserve">mil menos respecto al </w:t>
      </w:r>
      <w:r w:rsidR="00177B20">
        <w:rPr>
          <w:color w:val="000000" w:themeColor="text1"/>
          <w:sz w:val="22"/>
        </w:rPr>
        <w:t>primer</w:t>
      </w:r>
      <w:r>
        <w:rPr>
          <w:color w:val="000000" w:themeColor="text1"/>
          <w:sz w:val="22"/>
        </w:rPr>
        <w:t xml:space="preserve"> trimestre de </w:t>
      </w:r>
      <w:r w:rsidR="00177B20">
        <w:rPr>
          <w:color w:val="000000" w:themeColor="text1"/>
          <w:sz w:val="22"/>
        </w:rPr>
        <w:t>2020</w:t>
      </w:r>
      <w:r>
        <w:rPr>
          <w:color w:val="000000" w:themeColor="text1"/>
          <w:sz w:val="22"/>
        </w:rPr>
        <w:t xml:space="preserve">, en tanto que en los hombres fue de </w:t>
      </w:r>
      <w:r w:rsidR="00BD508B">
        <w:rPr>
          <w:color w:val="000000" w:themeColor="text1"/>
          <w:sz w:val="22"/>
        </w:rPr>
        <w:t xml:space="preserve">99 </w:t>
      </w:r>
      <w:r>
        <w:rPr>
          <w:color w:val="000000" w:themeColor="text1"/>
          <w:sz w:val="22"/>
        </w:rPr>
        <w:t>mil menos en el periodo</w:t>
      </w:r>
      <w:r w:rsidR="00F22B5D">
        <w:rPr>
          <w:color w:val="000000" w:themeColor="text1"/>
          <w:sz w:val="22"/>
        </w:rPr>
        <w:t xml:space="preserve"> </w:t>
      </w:r>
      <w:r w:rsidR="000F1730">
        <w:rPr>
          <w:color w:val="000000" w:themeColor="text1"/>
          <w:sz w:val="22"/>
        </w:rPr>
        <w:t>en cuestión</w:t>
      </w:r>
      <w:r>
        <w:rPr>
          <w:color w:val="000000" w:themeColor="text1"/>
          <w:sz w:val="22"/>
        </w:rPr>
        <w:t>.</w:t>
      </w:r>
    </w:p>
    <w:p w14:paraId="2272D157" w14:textId="77777777" w:rsidR="00252EDE" w:rsidRPr="004C6D3F" w:rsidRDefault="00252EDE" w:rsidP="009749DA">
      <w:pPr>
        <w:pStyle w:val="n0"/>
        <w:keepLines w:val="0"/>
        <w:spacing w:before="0"/>
        <w:ind w:left="0" w:right="49" w:firstLine="0"/>
        <w:jc w:val="left"/>
        <w:rPr>
          <w:b/>
          <w:smallCaps/>
          <w:color w:val="auto"/>
          <w:sz w:val="22"/>
          <w:szCs w:val="22"/>
        </w:rPr>
      </w:pPr>
      <w:r w:rsidRPr="004C6D3F">
        <w:rPr>
          <w:b/>
          <w:smallCaps/>
          <w:color w:val="auto"/>
          <w:sz w:val="22"/>
          <w:szCs w:val="22"/>
        </w:rPr>
        <w:lastRenderedPageBreak/>
        <w:t xml:space="preserve">población </w:t>
      </w:r>
      <w:proofErr w:type="spellStart"/>
      <w:r w:rsidRPr="004C6D3F">
        <w:rPr>
          <w:b/>
          <w:smallCaps/>
          <w:color w:val="auto"/>
          <w:sz w:val="22"/>
          <w:szCs w:val="22"/>
        </w:rPr>
        <w:t>subocupada</w:t>
      </w:r>
      <w:proofErr w:type="spellEnd"/>
    </w:p>
    <w:p w14:paraId="29D5C3DC" w14:textId="77777777" w:rsidR="00252EDE" w:rsidRDefault="00252EDE" w:rsidP="009749DA">
      <w:pPr>
        <w:spacing w:after="0" w:line="240" w:lineRule="auto"/>
        <w:ind w:right="49"/>
        <w:jc w:val="both"/>
        <w:rPr>
          <w:rFonts w:ascii="Arial" w:hAnsi="Arial" w:cs="Arial"/>
          <w:bCs/>
          <w:spacing w:val="8"/>
        </w:rPr>
      </w:pPr>
    </w:p>
    <w:p w14:paraId="08C78CD1" w14:textId="06B3AC5E" w:rsidR="008E5007" w:rsidRDefault="00252EDE" w:rsidP="009749DA">
      <w:pPr>
        <w:spacing w:after="0" w:line="240" w:lineRule="auto"/>
        <w:ind w:right="49"/>
        <w:jc w:val="both"/>
        <w:rPr>
          <w:rFonts w:ascii="Arial" w:eastAsia="Times New Roman" w:hAnsi="Arial" w:cs="Arial"/>
          <w:color w:val="000000" w:themeColor="text1"/>
          <w:lang w:val="es-ES_tradnl" w:eastAsia="es-ES"/>
        </w:rPr>
      </w:pPr>
      <w:r w:rsidRPr="00BF71A5">
        <w:rPr>
          <w:rFonts w:ascii="Arial" w:eastAsia="Times New Roman" w:hAnsi="Arial" w:cs="Arial"/>
          <w:color w:val="000000" w:themeColor="text1"/>
          <w:lang w:val="es-ES_tradnl" w:eastAsia="es-ES"/>
        </w:rPr>
        <w:t>Las personas ocupadas que tienen la necesidad y disponibilidad de ofertar más tiempo de trabajo de lo que su ocupación actual les demanda,</w:t>
      </w:r>
      <w:r w:rsidR="008A4879">
        <w:rPr>
          <w:rFonts w:ascii="Arial" w:eastAsia="Times New Roman" w:hAnsi="Arial" w:cs="Arial"/>
          <w:color w:val="000000" w:themeColor="text1"/>
          <w:lang w:val="es-ES_tradnl" w:eastAsia="es-ES"/>
        </w:rPr>
        <w:t xml:space="preserve"> pas</w:t>
      </w:r>
      <w:r w:rsidR="004D5C03">
        <w:rPr>
          <w:rFonts w:ascii="Arial" w:eastAsia="Times New Roman" w:hAnsi="Arial" w:cs="Arial"/>
          <w:color w:val="000000" w:themeColor="text1"/>
          <w:lang w:val="es-ES_tradnl" w:eastAsia="es-ES"/>
        </w:rPr>
        <w:t>aron</w:t>
      </w:r>
      <w:r w:rsidR="008A4879">
        <w:rPr>
          <w:rFonts w:ascii="Arial" w:eastAsia="Times New Roman" w:hAnsi="Arial" w:cs="Arial"/>
          <w:color w:val="000000" w:themeColor="text1"/>
          <w:lang w:val="es-ES_tradnl" w:eastAsia="es-ES"/>
        </w:rPr>
        <w:t xml:space="preserve"> de </w:t>
      </w:r>
      <w:r w:rsidR="00AC7C3D">
        <w:rPr>
          <w:rFonts w:ascii="Arial" w:eastAsia="Times New Roman" w:hAnsi="Arial" w:cs="Arial"/>
          <w:color w:val="000000" w:themeColor="text1"/>
          <w:lang w:val="es-ES_tradnl" w:eastAsia="es-ES"/>
        </w:rPr>
        <w:t>4.</w:t>
      </w:r>
      <w:r w:rsidR="00BD508B">
        <w:rPr>
          <w:rFonts w:ascii="Arial" w:eastAsia="Times New Roman" w:hAnsi="Arial" w:cs="Arial"/>
          <w:color w:val="000000" w:themeColor="text1"/>
          <w:lang w:val="es-ES_tradnl" w:eastAsia="es-ES"/>
        </w:rPr>
        <w:t xml:space="preserve">6 </w:t>
      </w:r>
      <w:r w:rsidR="008A4879">
        <w:rPr>
          <w:rFonts w:ascii="Arial" w:eastAsia="Times New Roman" w:hAnsi="Arial" w:cs="Arial"/>
          <w:color w:val="000000" w:themeColor="text1"/>
          <w:lang w:val="es-ES_tradnl" w:eastAsia="es-ES"/>
        </w:rPr>
        <w:t xml:space="preserve">millones en </w:t>
      </w:r>
      <w:r w:rsidR="00AC7C3D">
        <w:rPr>
          <w:rFonts w:ascii="Arial" w:eastAsia="Times New Roman" w:hAnsi="Arial" w:cs="Arial"/>
          <w:color w:val="000000" w:themeColor="text1"/>
          <w:lang w:val="es-ES_tradnl" w:eastAsia="es-ES"/>
        </w:rPr>
        <w:t xml:space="preserve">el </w:t>
      </w:r>
      <w:r w:rsidR="00177B20">
        <w:rPr>
          <w:rFonts w:ascii="Arial" w:eastAsia="Times New Roman" w:hAnsi="Arial" w:cs="Arial"/>
          <w:color w:val="000000" w:themeColor="text1"/>
          <w:lang w:val="es-ES_tradnl" w:eastAsia="es-ES"/>
        </w:rPr>
        <w:t>primer</w:t>
      </w:r>
      <w:r w:rsidR="00AC7C3D">
        <w:rPr>
          <w:rFonts w:ascii="Arial" w:eastAsia="Times New Roman" w:hAnsi="Arial" w:cs="Arial"/>
          <w:color w:val="000000" w:themeColor="text1"/>
          <w:lang w:val="es-ES_tradnl" w:eastAsia="es-ES"/>
        </w:rPr>
        <w:t xml:space="preserve"> trimestre de </w:t>
      </w:r>
      <w:r w:rsidR="00177B20">
        <w:rPr>
          <w:rFonts w:ascii="Arial" w:eastAsia="Times New Roman" w:hAnsi="Arial" w:cs="Arial"/>
          <w:color w:val="000000" w:themeColor="text1"/>
          <w:lang w:val="es-ES_tradnl" w:eastAsia="es-ES"/>
        </w:rPr>
        <w:t>2020</w:t>
      </w:r>
      <w:r w:rsidR="00AC7C3D">
        <w:rPr>
          <w:rFonts w:ascii="Arial" w:eastAsia="Times New Roman" w:hAnsi="Arial" w:cs="Arial"/>
          <w:color w:val="000000" w:themeColor="text1"/>
          <w:lang w:val="es-ES_tradnl" w:eastAsia="es-ES"/>
        </w:rPr>
        <w:t xml:space="preserve"> a</w:t>
      </w:r>
      <w:r w:rsidR="008E5007">
        <w:rPr>
          <w:rFonts w:ascii="Arial" w:eastAsia="Times New Roman" w:hAnsi="Arial" w:cs="Arial"/>
          <w:color w:val="000000" w:themeColor="text1"/>
          <w:lang w:val="es-ES_tradnl" w:eastAsia="es-ES"/>
        </w:rPr>
        <w:t xml:space="preserve"> </w:t>
      </w:r>
      <w:r w:rsidR="00BD508B">
        <w:rPr>
          <w:rFonts w:ascii="Arial" w:eastAsia="Times New Roman" w:hAnsi="Arial" w:cs="Arial"/>
          <w:color w:val="000000" w:themeColor="text1"/>
          <w:lang w:val="es-ES_tradnl" w:eastAsia="es-ES"/>
        </w:rPr>
        <w:t>7.3</w:t>
      </w:r>
      <w:r w:rsidR="00BC0E2C">
        <w:rPr>
          <w:rFonts w:ascii="Arial" w:eastAsia="Times New Roman" w:hAnsi="Arial" w:cs="Arial"/>
          <w:color w:val="000000" w:themeColor="text1"/>
          <w:lang w:val="es-ES_tradnl" w:eastAsia="es-ES"/>
        </w:rPr>
        <w:t xml:space="preserve"> </w:t>
      </w:r>
      <w:r w:rsidR="008E5007">
        <w:rPr>
          <w:rFonts w:ascii="Arial" w:eastAsia="Times New Roman" w:hAnsi="Arial" w:cs="Arial"/>
          <w:color w:val="000000" w:themeColor="text1"/>
          <w:lang w:val="es-ES_tradnl" w:eastAsia="es-ES"/>
        </w:rPr>
        <w:t xml:space="preserve">millones </w:t>
      </w:r>
      <w:r w:rsidR="008A4879">
        <w:rPr>
          <w:rFonts w:ascii="Arial" w:eastAsia="Times New Roman" w:hAnsi="Arial" w:cs="Arial"/>
          <w:color w:val="000000" w:themeColor="text1"/>
          <w:lang w:val="es-ES_tradnl" w:eastAsia="es-ES"/>
        </w:rPr>
        <w:t xml:space="preserve">en </w:t>
      </w:r>
      <w:r w:rsidR="00177695">
        <w:rPr>
          <w:rFonts w:ascii="Arial" w:eastAsia="Times New Roman" w:hAnsi="Arial" w:cs="Arial"/>
          <w:color w:val="000000" w:themeColor="text1"/>
          <w:lang w:val="es-ES_tradnl" w:eastAsia="es-ES"/>
        </w:rPr>
        <w:t xml:space="preserve">el </w:t>
      </w:r>
      <w:r w:rsidR="00177B20">
        <w:rPr>
          <w:rFonts w:ascii="Arial" w:eastAsia="Times New Roman" w:hAnsi="Arial" w:cs="Arial"/>
          <w:color w:val="000000" w:themeColor="text1"/>
          <w:lang w:val="es-ES_tradnl" w:eastAsia="es-ES"/>
        </w:rPr>
        <w:t>primer</w:t>
      </w:r>
      <w:r w:rsidR="00177695">
        <w:rPr>
          <w:rFonts w:ascii="Arial" w:eastAsia="Times New Roman" w:hAnsi="Arial" w:cs="Arial"/>
          <w:color w:val="000000" w:themeColor="text1"/>
          <w:lang w:val="es-ES_tradnl" w:eastAsia="es-ES"/>
        </w:rPr>
        <w:t xml:space="preserve"> trimestre</w:t>
      </w:r>
      <w:r w:rsidR="008A4879">
        <w:rPr>
          <w:rFonts w:ascii="Arial" w:eastAsia="Times New Roman" w:hAnsi="Arial" w:cs="Arial"/>
          <w:color w:val="000000" w:themeColor="text1"/>
          <w:lang w:val="es-ES_tradnl" w:eastAsia="es-ES"/>
        </w:rPr>
        <w:t xml:space="preserve"> de </w:t>
      </w:r>
      <w:r w:rsidR="00177B20">
        <w:rPr>
          <w:rFonts w:ascii="Arial" w:eastAsia="Times New Roman" w:hAnsi="Arial" w:cs="Arial"/>
          <w:color w:val="000000" w:themeColor="text1"/>
          <w:lang w:val="es-ES_tradnl" w:eastAsia="es-ES"/>
        </w:rPr>
        <w:t>2021</w:t>
      </w:r>
      <w:r w:rsidR="00B96E1D">
        <w:rPr>
          <w:rFonts w:ascii="Arial" w:eastAsia="Times New Roman" w:hAnsi="Arial" w:cs="Arial"/>
          <w:color w:val="000000" w:themeColor="text1"/>
          <w:lang w:val="es-ES_tradnl" w:eastAsia="es-ES"/>
        </w:rPr>
        <w:t xml:space="preserve">, </w:t>
      </w:r>
      <w:r w:rsidR="00AA0480">
        <w:rPr>
          <w:rFonts w:ascii="Arial" w:eastAsia="Times New Roman" w:hAnsi="Arial" w:cs="Arial"/>
          <w:color w:val="000000" w:themeColor="text1"/>
          <w:lang w:val="es-ES_tradnl" w:eastAsia="es-ES"/>
        </w:rPr>
        <w:t>con un</w:t>
      </w:r>
      <w:r w:rsidR="00AC7C3D">
        <w:rPr>
          <w:rFonts w:ascii="Arial" w:eastAsia="Times New Roman" w:hAnsi="Arial" w:cs="Arial"/>
          <w:color w:val="000000" w:themeColor="text1"/>
          <w:lang w:val="es-ES_tradnl" w:eastAsia="es-ES"/>
        </w:rPr>
        <w:t xml:space="preserve"> aumento</w:t>
      </w:r>
      <w:r w:rsidR="00263175">
        <w:rPr>
          <w:rFonts w:ascii="Arial" w:eastAsia="Times New Roman" w:hAnsi="Arial" w:cs="Arial"/>
          <w:color w:val="000000" w:themeColor="text1"/>
          <w:lang w:val="es-ES_tradnl" w:eastAsia="es-ES"/>
        </w:rPr>
        <w:t xml:space="preserve"> de </w:t>
      </w:r>
      <w:r w:rsidR="00BD508B">
        <w:rPr>
          <w:rFonts w:ascii="Arial" w:eastAsia="Times New Roman" w:hAnsi="Arial" w:cs="Arial"/>
          <w:color w:val="000000" w:themeColor="text1"/>
          <w:lang w:val="es-ES_tradnl" w:eastAsia="es-ES"/>
        </w:rPr>
        <w:t xml:space="preserve">2.7 </w:t>
      </w:r>
      <w:r w:rsidR="00AC7C3D">
        <w:rPr>
          <w:rFonts w:ascii="Arial" w:eastAsia="Times New Roman" w:hAnsi="Arial" w:cs="Arial"/>
          <w:color w:val="000000" w:themeColor="text1"/>
          <w:lang w:val="es-ES_tradnl" w:eastAsia="es-ES"/>
        </w:rPr>
        <w:t xml:space="preserve">millones de </w:t>
      </w:r>
      <w:r w:rsidR="004D5C03">
        <w:rPr>
          <w:rFonts w:ascii="Arial" w:eastAsia="Times New Roman" w:hAnsi="Arial" w:cs="Arial"/>
          <w:color w:val="000000" w:themeColor="text1"/>
          <w:lang w:val="es-ES_tradnl" w:eastAsia="es-ES"/>
        </w:rPr>
        <w:t>personas</w:t>
      </w:r>
      <w:r w:rsidRPr="00BF71A5">
        <w:rPr>
          <w:rFonts w:ascii="Arial" w:eastAsia="Times New Roman" w:hAnsi="Arial" w:cs="Arial"/>
          <w:color w:val="000000" w:themeColor="text1"/>
          <w:lang w:val="es-ES_tradnl" w:eastAsia="es-ES"/>
        </w:rPr>
        <w:t>.</w:t>
      </w:r>
      <w:r w:rsidR="008E5007">
        <w:rPr>
          <w:rFonts w:ascii="Arial" w:eastAsia="Times New Roman" w:hAnsi="Arial" w:cs="Arial"/>
          <w:color w:val="000000" w:themeColor="text1"/>
          <w:lang w:val="es-ES_tradnl" w:eastAsia="es-ES"/>
        </w:rPr>
        <w:t xml:space="preserve"> </w:t>
      </w:r>
      <w:r w:rsidR="00860BE4">
        <w:rPr>
          <w:rFonts w:ascii="Arial" w:eastAsia="Times New Roman" w:hAnsi="Arial" w:cs="Arial"/>
          <w:color w:val="000000" w:themeColor="text1"/>
          <w:lang w:val="es-ES_tradnl" w:eastAsia="es-ES"/>
        </w:rPr>
        <w:t xml:space="preserve">Por sexo, la </w:t>
      </w:r>
      <w:r w:rsidR="00AC233F">
        <w:rPr>
          <w:rFonts w:ascii="Arial" w:eastAsia="Times New Roman" w:hAnsi="Arial" w:cs="Arial"/>
          <w:color w:val="000000" w:themeColor="text1"/>
          <w:lang w:val="es-ES_tradnl" w:eastAsia="es-ES"/>
        </w:rPr>
        <w:t xml:space="preserve">población </w:t>
      </w:r>
      <w:proofErr w:type="spellStart"/>
      <w:r w:rsidR="00AC233F">
        <w:rPr>
          <w:rFonts w:ascii="Arial" w:eastAsia="Times New Roman" w:hAnsi="Arial" w:cs="Arial"/>
          <w:color w:val="000000" w:themeColor="text1"/>
          <w:lang w:val="es-ES_tradnl" w:eastAsia="es-ES"/>
        </w:rPr>
        <w:t>subocupada</w:t>
      </w:r>
      <w:proofErr w:type="spellEnd"/>
      <w:r w:rsidR="00AC233F">
        <w:rPr>
          <w:rFonts w:ascii="Arial" w:eastAsia="Times New Roman" w:hAnsi="Arial" w:cs="Arial"/>
          <w:color w:val="000000" w:themeColor="text1"/>
          <w:lang w:val="es-ES_tradnl" w:eastAsia="es-ES"/>
        </w:rPr>
        <w:t xml:space="preserve"> en los hombres cambi</w:t>
      </w:r>
      <w:r w:rsidR="005E0992">
        <w:rPr>
          <w:rFonts w:ascii="Arial" w:eastAsia="Times New Roman" w:hAnsi="Arial" w:cs="Arial"/>
          <w:color w:val="000000" w:themeColor="text1"/>
          <w:lang w:val="es-ES_tradnl" w:eastAsia="es-ES"/>
        </w:rPr>
        <w:t>ó</w:t>
      </w:r>
      <w:r w:rsidR="00AC233F">
        <w:rPr>
          <w:rFonts w:ascii="Arial" w:eastAsia="Times New Roman" w:hAnsi="Arial" w:cs="Arial"/>
          <w:color w:val="000000" w:themeColor="text1"/>
          <w:lang w:val="es-ES_tradnl" w:eastAsia="es-ES"/>
        </w:rPr>
        <w:t xml:space="preserve"> de </w:t>
      </w:r>
      <w:r w:rsidR="00AC7C3D">
        <w:rPr>
          <w:rFonts w:ascii="Arial" w:eastAsia="Times New Roman" w:hAnsi="Arial" w:cs="Arial"/>
          <w:color w:val="000000" w:themeColor="text1"/>
          <w:lang w:val="es-ES_tradnl" w:eastAsia="es-ES"/>
        </w:rPr>
        <w:t>2.</w:t>
      </w:r>
      <w:r w:rsidR="00BD508B">
        <w:rPr>
          <w:rFonts w:ascii="Arial" w:eastAsia="Times New Roman" w:hAnsi="Arial" w:cs="Arial"/>
          <w:color w:val="000000" w:themeColor="text1"/>
          <w:lang w:val="es-ES_tradnl" w:eastAsia="es-ES"/>
        </w:rPr>
        <w:t xml:space="preserve">9 </w:t>
      </w:r>
      <w:r w:rsidR="00AC233F">
        <w:rPr>
          <w:rFonts w:ascii="Arial" w:eastAsia="Times New Roman" w:hAnsi="Arial" w:cs="Arial"/>
          <w:color w:val="000000" w:themeColor="text1"/>
          <w:lang w:val="es-ES_tradnl" w:eastAsia="es-ES"/>
        </w:rPr>
        <w:t xml:space="preserve">millones en </w:t>
      </w:r>
      <w:r w:rsidR="00AC7C3D">
        <w:rPr>
          <w:rFonts w:ascii="Arial" w:eastAsia="Times New Roman" w:hAnsi="Arial" w:cs="Arial"/>
          <w:color w:val="000000" w:themeColor="text1"/>
          <w:lang w:val="es-ES_tradnl" w:eastAsia="es-ES"/>
        </w:rPr>
        <w:t xml:space="preserve">el </w:t>
      </w:r>
      <w:r w:rsidR="00177B20">
        <w:rPr>
          <w:rFonts w:ascii="Arial" w:eastAsia="Times New Roman" w:hAnsi="Arial" w:cs="Arial"/>
          <w:color w:val="000000" w:themeColor="text1"/>
          <w:lang w:val="es-ES_tradnl" w:eastAsia="es-ES"/>
        </w:rPr>
        <w:t>primer</w:t>
      </w:r>
      <w:r w:rsidR="00AC7C3D">
        <w:rPr>
          <w:rFonts w:ascii="Arial" w:eastAsia="Times New Roman" w:hAnsi="Arial" w:cs="Arial"/>
          <w:color w:val="000000" w:themeColor="text1"/>
          <w:lang w:val="es-ES_tradnl" w:eastAsia="es-ES"/>
        </w:rPr>
        <w:t xml:space="preserve"> trimestre de </w:t>
      </w:r>
      <w:r w:rsidR="00177B20">
        <w:rPr>
          <w:rFonts w:ascii="Arial" w:eastAsia="Times New Roman" w:hAnsi="Arial" w:cs="Arial"/>
          <w:color w:val="000000" w:themeColor="text1"/>
          <w:lang w:val="es-ES_tradnl" w:eastAsia="es-ES"/>
        </w:rPr>
        <w:t>2020</w:t>
      </w:r>
      <w:r w:rsidR="00AC233F">
        <w:rPr>
          <w:rFonts w:ascii="Arial" w:eastAsia="Times New Roman" w:hAnsi="Arial" w:cs="Arial"/>
          <w:color w:val="000000" w:themeColor="text1"/>
          <w:lang w:val="es-ES_tradnl" w:eastAsia="es-ES"/>
        </w:rPr>
        <w:t xml:space="preserve"> a </w:t>
      </w:r>
      <w:r w:rsidR="00BD508B">
        <w:rPr>
          <w:rFonts w:ascii="Arial" w:eastAsia="Times New Roman" w:hAnsi="Arial" w:cs="Arial"/>
          <w:color w:val="000000" w:themeColor="text1"/>
          <w:lang w:val="es-ES_tradnl" w:eastAsia="es-ES"/>
        </w:rPr>
        <w:t>4.4</w:t>
      </w:r>
      <w:r w:rsidR="00FD40FC">
        <w:rPr>
          <w:rFonts w:ascii="Arial" w:eastAsia="Times New Roman" w:hAnsi="Arial" w:cs="Arial"/>
          <w:color w:val="000000" w:themeColor="text1"/>
          <w:lang w:val="es-ES_tradnl" w:eastAsia="es-ES"/>
        </w:rPr>
        <w:t xml:space="preserve"> </w:t>
      </w:r>
      <w:r w:rsidR="00AC233F">
        <w:rPr>
          <w:rFonts w:ascii="Arial" w:eastAsia="Times New Roman" w:hAnsi="Arial" w:cs="Arial"/>
          <w:color w:val="000000" w:themeColor="text1"/>
          <w:lang w:val="es-ES_tradnl" w:eastAsia="es-ES"/>
        </w:rPr>
        <w:t xml:space="preserve">millones en </w:t>
      </w:r>
      <w:r w:rsidR="00177695">
        <w:rPr>
          <w:rFonts w:ascii="Arial" w:eastAsia="Times New Roman" w:hAnsi="Arial" w:cs="Arial"/>
          <w:color w:val="000000" w:themeColor="text1"/>
          <w:lang w:val="es-ES_tradnl" w:eastAsia="es-ES"/>
        </w:rPr>
        <w:t xml:space="preserve">el </w:t>
      </w:r>
      <w:r w:rsidR="00177B20">
        <w:rPr>
          <w:rFonts w:ascii="Arial" w:eastAsia="Times New Roman" w:hAnsi="Arial" w:cs="Arial"/>
          <w:color w:val="000000" w:themeColor="text1"/>
          <w:lang w:val="es-ES_tradnl" w:eastAsia="es-ES"/>
        </w:rPr>
        <w:t>primer</w:t>
      </w:r>
      <w:r w:rsidR="00177695">
        <w:rPr>
          <w:rFonts w:ascii="Arial" w:eastAsia="Times New Roman" w:hAnsi="Arial" w:cs="Arial"/>
          <w:color w:val="000000" w:themeColor="text1"/>
          <w:lang w:val="es-ES_tradnl" w:eastAsia="es-ES"/>
        </w:rPr>
        <w:t xml:space="preserve"> trimestre</w:t>
      </w:r>
      <w:r w:rsidR="00CE03F1">
        <w:rPr>
          <w:rFonts w:ascii="Arial" w:eastAsia="Times New Roman" w:hAnsi="Arial" w:cs="Arial"/>
          <w:color w:val="000000" w:themeColor="text1"/>
          <w:lang w:val="es-ES_tradnl" w:eastAsia="es-ES"/>
        </w:rPr>
        <w:t xml:space="preserve"> </w:t>
      </w:r>
      <w:r w:rsidR="00AC7C3D">
        <w:rPr>
          <w:rFonts w:ascii="Arial" w:eastAsia="Times New Roman" w:hAnsi="Arial" w:cs="Arial"/>
          <w:color w:val="000000" w:themeColor="text1"/>
          <w:lang w:val="es-ES_tradnl" w:eastAsia="es-ES"/>
        </w:rPr>
        <w:t xml:space="preserve">de </w:t>
      </w:r>
      <w:r w:rsidR="00177B20">
        <w:rPr>
          <w:rFonts w:ascii="Arial" w:eastAsia="Times New Roman" w:hAnsi="Arial" w:cs="Arial"/>
          <w:color w:val="000000" w:themeColor="text1"/>
          <w:lang w:val="es-ES_tradnl" w:eastAsia="es-ES"/>
        </w:rPr>
        <w:t>2021</w:t>
      </w:r>
      <w:r w:rsidR="00AC7C3D">
        <w:rPr>
          <w:rFonts w:ascii="Arial" w:eastAsia="Times New Roman" w:hAnsi="Arial" w:cs="Arial"/>
          <w:color w:val="000000" w:themeColor="text1"/>
          <w:lang w:val="es-ES_tradnl" w:eastAsia="es-ES"/>
        </w:rPr>
        <w:t xml:space="preserve"> </w:t>
      </w:r>
      <w:r w:rsidR="00CE03F1">
        <w:rPr>
          <w:rFonts w:ascii="Arial" w:eastAsia="Times New Roman" w:hAnsi="Arial" w:cs="Arial"/>
          <w:color w:val="000000" w:themeColor="text1"/>
          <w:lang w:val="es-ES_tradnl" w:eastAsia="es-ES"/>
        </w:rPr>
        <w:t>y</w:t>
      </w:r>
      <w:r w:rsidR="00AC233F">
        <w:rPr>
          <w:rFonts w:ascii="Arial" w:eastAsia="Times New Roman" w:hAnsi="Arial" w:cs="Arial"/>
          <w:color w:val="000000" w:themeColor="text1"/>
          <w:lang w:val="es-ES_tradnl" w:eastAsia="es-ES"/>
        </w:rPr>
        <w:t xml:space="preserve"> en las mujeres de </w:t>
      </w:r>
      <w:r w:rsidR="00AC7C3D">
        <w:rPr>
          <w:rFonts w:ascii="Arial" w:eastAsia="Times New Roman" w:hAnsi="Arial" w:cs="Arial"/>
          <w:color w:val="000000" w:themeColor="text1"/>
          <w:lang w:val="es-ES_tradnl" w:eastAsia="es-ES"/>
        </w:rPr>
        <w:t>1.</w:t>
      </w:r>
      <w:r w:rsidR="00BD508B">
        <w:rPr>
          <w:rFonts w:ascii="Arial" w:eastAsia="Times New Roman" w:hAnsi="Arial" w:cs="Arial"/>
          <w:color w:val="000000" w:themeColor="text1"/>
          <w:lang w:val="es-ES_tradnl" w:eastAsia="es-ES"/>
        </w:rPr>
        <w:t xml:space="preserve">7 </w:t>
      </w:r>
      <w:r w:rsidR="00AC233F">
        <w:rPr>
          <w:rFonts w:ascii="Arial" w:eastAsia="Times New Roman" w:hAnsi="Arial" w:cs="Arial"/>
          <w:color w:val="000000" w:themeColor="text1"/>
          <w:lang w:val="es-ES_tradnl" w:eastAsia="es-ES"/>
        </w:rPr>
        <w:t xml:space="preserve">millones a </w:t>
      </w:r>
      <w:r w:rsidR="00BD508B">
        <w:rPr>
          <w:rFonts w:ascii="Arial" w:eastAsia="Times New Roman" w:hAnsi="Arial" w:cs="Arial"/>
          <w:color w:val="000000" w:themeColor="text1"/>
          <w:lang w:val="es-ES_tradnl" w:eastAsia="es-ES"/>
        </w:rPr>
        <w:t>2.9</w:t>
      </w:r>
      <w:r w:rsidR="00AC233F">
        <w:rPr>
          <w:rFonts w:ascii="Arial" w:eastAsia="Times New Roman" w:hAnsi="Arial" w:cs="Arial"/>
          <w:color w:val="000000" w:themeColor="text1"/>
          <w:lang w:val="es-ES_tradnl" w:eastAsia="es-ES"/>
        </w:rPr>
        <w:t xml:space="preserve"> millones en </w:t>
      </w:r>
      <w:r w:rsidR="00860BE4">
        <w:rPr>
          <w:rFonts w:ascii="Arial" w:eastAsia="Times New Roman" w:hAnsi="Arial" w:cs="Arial"/>
          <w:color w:val="000000" w:themeColor="text1"/>
          <w:lang w:val="es-ES_tradnl" w:eastAsia="es-ES"/>
        </w:rPr>
        <w:t>el periodo</w:t>
      </w:r>
      <w:r w:rsidR="00F22B5D">
        <w:rPr>
          <w:rFonts w:ascii="Arial" w:eastAsia="Times New Roman" w:hAnsi="Arial" w:cs="Arial"/>
          <w:color w:val="000000" w:themeColor="text1"/>
          <w:lang w:val="es-ES_tradnl" w:eastAsia="es-ES"/>
        </w:rPr>
        <w:t xml:space="preserve"> referido</w:t>
      </w:r>
      <w:r w:rsidR="00AC233F">
        <w:rPr>
          <w:rFonts w:ascii="Arial" w:eastAsia="Times New Roman" w:hAnsi="Arial" w:cs="Arial"/>
          <w:color w:val="000000" w:themeColor="text1"/>
          <w:lang w:val="es-ES_tradnl" w:eastAsia="es-ES"/>
        </w:rPr>
        <w:t>.</w:t>
      </w:r>
    </w:p>
    <w:p w14:paraId="6A71E2BF" w14:textId="77777777" w:rsidR="006446E8" w:rsidRDefault="006446E8" w:rsidP="009749DA">
      <w:pPr>
        <w:spacing w:after="0" w:line="240" w:lineRule="auto"/>
        <w:ind w:right="49"/>
        <w:jc w:val="both"/>
        <w:rPr>
          <w:rFonts w:ascii="Arial" w:eastAsia="Times New Roman" w:hAnsi="Arial" w:cs="Arial"/>
          <w:color w:val="000000" w:themeColor="text1"/>
          <w:lang w:val="es-ES_tradnl" w:eastAsia="es-ES"/>
        </w:rPr>
      </w:pPr>
    </w:p>
    <w:p w14:paraId="2E14BBC3" w14:textId="0E3D27B1" w:rsidR="00252EDE" w:rsidRPr="00E0630B" w:rsidRDefault="00252EDE" w:rsidP="009749DA">
      <w:pPr>
        <w:spacing w:after="0" w:line="240" w:lineRule="auto"/>
        <w:ind w:right="49"/>
        <w:jc w:val="both"/>
        <w:rPr>
          <w:rFonts w:ascii="Arial" w:eastAsia="Times New Roman" w:hAnsi="Arial" w:cs="Arial"/>
          <w:color w:val="000000" w:themeColor="text1"/>
          <w:lang w:val="es-ES_tradnl" w:eastAsia="es-ES"/>
        </w:rPr>
      </w:pPr>
      <w:r w:rsidRPr="00BF71A5">
        <w:rPr>
          <w:rFonts w:ascii="Arial" w:eastAsia="Times New Roman" w:hAnsi="Arial" w:cs="Arial"/>
          <w:color w:val="000000" w:themeColor="text1"/>
          <w:lang w:val="es-ES_tradnl" w:eastAsia="es-ES"/>
        </w:rPr>
        <w:t xml:space="preserve">En comparación </w:t>
      </w:r>
      <w:r w:rsidR="008E5007">
        <w:rPr>
          <w:rFonts w:ascii="Arial" w:eastAsia="Times New Roman" w:hAnsi="Arial" w:cs="Arial"/>
          <w:color w:val="000000" w:themeColor="text1"/>
          <w:lang w:val="es-ES_tradnl" w:eastAsia="es-ES"/>
        </w:rPr>
        <w:t>con</w:t>
      </w:r>
      <w:r w:rsidR="00D16F44">
        <w:rPr>
          <w:rFonts w:ascii="Arial" w:eastAsia="Times New Roman" w:hAnsi="Arial" w:cs="Arial"/>
          <w:color w:val="000000" w:themeColor="text1"/>
          <w:lang w:val="es-ES_tradnl" w:eastAsia="es-ES"/>
        </w:rPr>
        <w:t xml:space="preserve"> el</w:t>
      </w:r>
      <w:r w:rsidR="008E5007">
        <w:rPr>
          <w:rFonts w:ascii="Arial" w:eastAsia="Times New Roman" w:hAnsi="Arial" w:cs="Arial"/>
          <w:color w:val="000000" w:themeColor="text1"/>
          <w:lang w:val="es-ES_tradnl" w:eastAsia="es-ES"/>
        </w:rPr>
        <w:t xml:space="preserve"> </w:t>
      </w:r>
      <w:r w:rsidR="00AC7C3D">
        <w:rPr>
          <w:rFonts w:ascii="Arial" w:eastAsia="Times New Roman" w:hAnsi="Arial" w:cs="Arial"/>
          <w:color w:val="000000" w:themeColor="text1"/>
          <w:lang w:val="es-ES_tradnl" w:eastAsia="es-ES"/>
        </w:rPr>
        <w:t xml:space="preserve">mismo trimestre </w:t>
      </w:r>
      <w:r w:rsidR="00CC04DD">
        <w:rPr>
          <w:rFonts w:ascii="Arial" w:eastAsia="Times New Roman" w:hAnsi="Arial" w:cs="Arial"/>
          <w:color w:val="000000" w:themeColor="text1"/>
          <w:lang w:val="es-ES_tradnl" w:eastAsia="es-ES"/>
        </w:rPr>
        <w:t xml:space="preserve">de </w:t>
      </w:r>
      <w:r w:rsidR="00177B20">
        <w:rPr>
          <w:rFonts w:ascii="Arial" w:eastAsia="Times New Roman" w:hAnsi="Arial" w:cs="Arial"/>
          <w:color w:val="000000" w:themeColor="text1"/>
          <w:lang w:val="es-ES_tradnl" w:eastAsia="es-ES"/>
        </w:rPr>
        <w:t>2020</w:t>
      </w:r>
      <w:r w:rsidRPr="00BF71A5">
        <w:rPr>
          <w:rFonts w:ascii="Arial" w:eastAsia="Times New Roman" w:hAnsi="Arial" w:cs="Arial"/>
          <w:color w:val="000000" w:themeColor="text1"/>
          <w:lang w:val="es-ES_tradnl" w:eastAsia="es-ES"/>
        </w:rPr>
        <w:t>, la tasa de subocupación fue</w:t>
      </w:r>
      <w:r w:rsidR="006446E8">
        <w:rPr>
          <w:rFonts w:ascii="Arial" w:eastAsia="Times New Roman" w:hAnsi="Arial" w:cs="Arial"/>
          <w:color w:val="000000" w:themeColor="text1"/>
          <w:lang w:val="es-ES_tradnl" w:eastAsia="es-ES"/>
        </w:rPr>
        <w:t xml:space="preserve"> </w:t>
      </w:r>
      <w:r w:rsidR="00BD508B">
        <w:rPr>
          <w:rFonts w:ascii="Arial" w:eastAsia="Times New Roman" w:hAnsi="Arial" w:cs="Arial"/>
          <w:color w:val="000000" w:themeColor="text1"/>
          <w:lang w:val="es-ES_tradnl" w:eastAsia="es-ES"/>
        </w:rPr>
        <w:t>5.4</w:t>
      </w:r>
      <w:r w:rsidR="00030476" w:rsidRPr="007775FD">
        <w:rPr>
          <w:rFonts w:ascii="Arial" w:eastAsia="Times New Roman" w:hAnsi="Arial" w:cs="Arial"/>
          <w:color w:val="000000" w:themeColor="text1"/>
          <w:lang w:val="es-ES_tradnl" w:eastAsia="es-ES"/>
        </w:rPr>
        <w:t xml:space="preserve"> </w:t>
      </w:r>
      <w:r w:rsidRPr="007775FD">
        <w:rPr>
          <w:rFonts w:ascii="Arial" w:eastAsia="Times New Roman" w:hAnsi="Arial" w:cs="Arial"/>
          <w:color w:val="000000" w:themeColor="text1"/>
          <w:lang w:val="es-ES_tradnl" w:eastAsia="es-ES"/>
        </w:rPr>
        <w:t xml:space="preserve">puntos porcentuales </w:t>
      </w:r>
      <w:r w:rsidR="00AC7C3D">
        <w:rPr>
          <w:rFonts w:ascii="Arial" w:eastAsia="Times New Roman" w:hAnsi="Arial" w:cs="Arial"/>
          <w:color w:val="000000" w:themeColor="text1"/>
          <w:lang w:val="es-ES_tradnl" w:eastAsia="es-ES"/>
        </w:rPr>
        <w:t xml:space="preserve">mayor </w:t>
      </w:r>
      <w:r w:rsidR="00AC233F">
        <w:rPr>
          <w:rFonts w:ascii="Arial" w:eastAsia="Times New Roman" w:hAnsi="Arial" w:cs="Arial"/>
          <w:color w:val="000000" w:themeColor="text1"/>
          <w:lang w:val="es-ES_tradnl" w:eastAsia="es-ES"/>
        </w:rPr>
        <w:t xml:space="preserve">en </w:t>
      </w:r>
      <w:r w:rsidR="00177695">
        <w:rPr>
          <w:rFonts w:ascii="Arial" w:eastAsia="Times New Roman" w:hAnsi="Arial" w:cs="Arial"/>
          <w:color w:val="000000" w:themeColor="text1"/>
          <w:lang w:val="es-ES_tradnl" w:eastAsia="es-ES"/>
        </w:rPr>
        <w:t xml:space="preserve">el </w:t>
      </w:r>
      <w:r w:rsidR="00177B20">
        <w:rPr>
          <w:rFonts w:ascii="Arial" w:eastAsia="Times New Roman" w:hAnsi="Arial" w:cs="Arial"/>
          <w:color w:val="000000" w:themeColor="text1"/>
          <w:lang w:val="es-ES_tradnl" w:eastAsia="es-ES"/>
        </w:rPr>
        <w:t>primer</w:t>
      </w:r>
      <w:r w:rsidR="00177695">
        <w:rPr>
          <w:rFonts w:ascii="Arial" w:eastAsia="Times New Roman" w:hAnsi="Arial" w:cs="Arial"/>
          <w:color w:val="000000" w:themeColor="text1"/>
          <w:lang w:val="es-ES_tradnl" w:eastAsia="es-ES"/>
        </w:rPr>
        <w:t xml:space="preserve"> trimestre</w:t>
      </w:r>
      <w:r w:rsidR="00AC233F">
        <w:rPr>
          <w:rFonts w:ascii="Arial" w:eastAsia="Times New Roman" w:hAnsi="Arial" w:cs="Arial"/>
          <w:color w:val="000000" w:themeColor="text1"/>
          <w:lang w:val="es-ES_tradnl" w:eastAsia="es-ES"/>
        </w:rPr>
        <w:t xml:space="preserve"> de </w:t>
      </w:r>
      <w:r w:rsidR="00177B20">
        <w:rPr>
          <w:rFonts w:ascii="Arial" w:eastAsia="Times New Roman" w:hAnsi="Arial" w:cs="Arial"/>
          <w:color w:val="000000" w:themeColor="text1"/>
          <w:lang w:val="es-ES_tradnl" w:eastAsia="es-ES"/>
        </w:rPr>
        <w:t>2021</w:t>
      </w:r>
      <w:r w:rsidR="00BB10BB">
        <w:rPr>
          <w:rFonts w:ascii="Arial" w:eastAsia="Times New Roman" w:hAnsi="Arial" w:cs="Arial"/>
          <w:color w:val="000000" w:themeColor="text1"/>
          <w:lang w:val="es-ES_tradnl" w:eastAsia="es-ES"/>
        </w:rPr>
        <w:t xml:space="preserve">, </w:t>
      </w:r>
      <w:r w:rsidR="006B1E0A">
        <w:rPr>
          <w:rFonts w:ascii="Arial" w:eastAsia="Times New Roman" w:hAnsi="Arial" w:cs="Arial"/>
          <w:color w:val="000000" w:themeColor="text1"/>
          <w:lang w:val="es-ES_tradnl" w:eastAsia="es-ES"/>
        </w:rPr>
        <w:t xml:space="preserve">al pasar de </w:t>
      </w:r>
      <w:r w:rsidR="00BD508B">
        <w:rPr>
          <w:rFonts w:ascii="Arial" w:eastAsia="Times New Roman" w:hAnsi="Arial" w:cs="Arial"/>
          <w:color w:val="000000" w:themeColor="text1"/>
          <w:lang w:val="es-ES_tradnl" w:eastAsia="es-ES"/>
        </w:rPr>
        <w:t>8.4</w:t>
      </w:r>
      <w:r w:rsidR="006B1E0A">
        <w:rPr>
          <w:rFonts w:ascii="Arial" w:eastAsia="Times New Roman" w:hAnsi="Arial" w:cs="Arial"/>
          <w:color w:val="000000" w:themeColor="text1"/>
          <w:lang w:val="es-ES_tradnl" w:eastAsia="es-ES"/>
        </w:rPr>
        <w:t xml:space="preserve">% a </w:t>
      </w:r>
      <w:r w:rsidR="00BD508B">
        <w:rPr>
          <w:rFonts w:ascii="Arial" w:eastAsia="Times New Roman" w:hAnsi="Arial" w:cs="Arial"/>
          <w:color w:val="000000" w:themeColor="text1"/>
          <w:lang w:val="es-ES_tradnl" w:eastAsia="es-ES"/>
        </w:rPr>
        <w:t>13.8</w:t>
      </w:r>
      <w:r w:rsidR="004626B9">
        <w:rPr>
          <w:rFonts w:ascii="Arial" w:eastAsia="Times New Roman" w:hAnsi="Arial" w:cs="Arial"/>
          <w:color w:val="000000" w:themeColor="text1"/>
          <w:lang w:val="es-ES_tradnl" w:eastAsia="es-ES"/>
        </w:rPr>
        <w:t xml:space="preserve"> por ciento. </w:t>
      </w:r>
      <w:r w:rsidR="005A15F8">
        <w:rPr>
          <w:rFonts w:ascii="Arial" w:eastAsia="Times New Roman" w:hAnsi="Arial" w:cs="Arial"/>
          <w:color w:val="000000" w:themeColor="text1"/>
          <w:lang w:val="es-ES_tradnl" w:eastAsia="es-ES"/>
        </w:rPr>
        <w:t>En la clasificación</w:t>
      </w:r>
      <w:r w:rsidR="00AC7C3D">
        <w:rPr>
          <w:rFonts w:ascii="Arial" w:eastAsia="Times New Roman" w:hAnsi="Arial" w:cs="Arial"/>
          <w:color w:val="000000" w:themeColor="text1"/>
          <w:lang w:val="es-ES_tradnl" w:eastAsia="es-ES"/>
        </w:rPr>
        <w:t xml:space="preserve"> </w:t>
      </w:r>
      <w:r w:rsidR="00AC233F">
        <w:rPr>
          <w:rFonts w:ascii="Arial" w:eastAsia="Times New Roman" w:hAnsi="Arial" w:cs="Arial"/>
          <w:color w:val="000000" w:themeColor="text1"/>
          <w:lang w:val="es-ES_tradnl" w:eastAsia="es-ES"/>
        </w:rPr>
        <w:t>según sexo</w:t>
      </w:r>
      <w:r w:rsidR="005A15F8">
        <w:rPr>
          <w:rFonts w:ascii="Arial" w:eastAsia="Times New Roman" w:hAnsi="Arial" w:cs="Arial"/>
          <w:color w:val="000000" w:themeColor="text1"/>
          <w:lang w:val="es-ES_tradnl" w:eastAsia="es-ES"/>
        </w:rPr>
        <w:t xml:space="preserve">, la </w:t>
      </w:r>
      <w:r w:rsidR="00AC233F">
        <w:rPr>
          <w:rFonts w:ascii="Arial" w:eastAsia="Times New Roman" w:hAnsi="Arial" w:cs="Arial"/>
          <w:color w:val="000000" w:themeColor="text1"/>
          <w:lang w:val="es-ES_tradnl" w:eastAsia="es-ES"/>
        </w:rPr>
        <w:t xml:space="preserve">tasa de subocupación </w:t>
      </w:r>
      <w:r w:rsidR="005A15F8">
        <w:rPr>
          <w:rFonts w:ascii="Arial" w:eastAsia="Times New Roman" w:hAnsi="Arial" w:cs="Arial"/>
          <w:color w:val="000000" w:themeColor="text1"/>
          <w:lang w:val="es-ES_tradnl" w:eastAsia="es-ES"/>
        </w:rPr>
        <w:t xml:space="preserve">en los hombres fue </w:t>
      </w:r>
      <w:r w:rsidR="000F1730">
        <w:rPr>
          <w:rFonts w:ascii="Arial" w:eastAsia="Times New Roman" w:hAnsi="Arial" w:cs="Arial"/>
          <w:color w:val="000000" w:themeColor="text1"/>
          <w:lang w:val="es-ES_tradnl" w:eastAsia="es-ES"/>
        </w:rPr>
        <w:t xml:space="preserve">mayor en </w:t>
      </w:r>
      <w:r w:rsidR="004008E0">
        <w:rPr>
          <w:rFonts w:ascii="Arial" w:eastAsia="Times New Roman" w:hAnsi="Arial" w:cs="Arial"/>
          <w:color w:val="000000" w:themeColor="text1"/>
          <w:lang w:val="es-ES_tradnl" w:eastAsia="es-ES"/>
        </w:rPr>
        <w:t>4.8</w:t>
      </w:r>
      <w:r w:rsidR="00AC233F">
        <w:rPr>
          <w:rFonts w:ascii="Arial" w:eastAsia="Times New Roman" w:hAnsi="Arial" w:cs="Arial"/>
          <w:color w:val="000000" w:themeColor="text1"/>
          <w:lang w:val="es-ES_tradnl" w:eastAsia="es-ES"/>
        </w:rPr>
        <w:t xml:space="preserve"> puntos porcentuales</w:t>
      </w:r>
      <w:r w:rsidR="000F1730">
        <w:rPr>
          <w:rFonts w:ascii="Arial" w:eastAsia="Times New Roman" w:hAnsi="Arial" w:cs="Arial"/>
          <w:color w:val="000000" w:themeColor="text1"/>
          <w:lang w:val="es-ES_tradnl" w:eastAsia="es-ES"/>
        </w:rPr>
        <w:t>,</w:t>
      </w:r>
      <w:r w:rsidR="005A15F8">
        <w:rPr>
          <w:rFonts w:ascii="Arial" w:eastAsia="Times New Roman" w:hAnsi="Arial" w:cs="Arial"/>
          <w:color w:val="000000" w:themeColor="text1"/>
          <w:lang w:val="es-ES_tradnl" w:eastAsia="es-ES"/>
        </w:rPr>
        <w:t xml:space="preserve"> </w:t>
      </w:r>
      <w:r w:rsidR="00AC233F">
        <w:rPr>
          <w:rFonts w:ascii="Arial" w:eastAsia="Times New Roman" w:hAnsi="Arial" w:cs="Arial"/>
          <w:color w:val="000000" w:themeColor="text1"/>
          <w:lang w:val="es-ES_tradnl" w:eastAsia="es-ES"/>
        </w:rPr>
        <w:t xml:space="preserve">mientras que en las mujeres la tasa de subocupación fue </w:t>
      </w:r>
      <w:r w:rsidR="004008E0">
        <w:rPr>
          <w:rFonts w:ascii="Arial" w:eastAsia="Times New Roman" w:hAnsi="Arial" w:cs="Arial"/>
          <w:color w:val="000000" w:themeColor="text1"/>
          <w:lang w:val="es-ES_tradnl" w:eastAsia="es-ES"/>
        </w:rPr>
        <w:t>6.4</w:t>
      </w:r>
      <w:r w:rsidR="00AC233F">
        <w:rPr>
          <w:rFonts w:ascii="Arial" w:eastAsia="Times New Roman" w:hAnsi="Arial" w:cs="Arial"/>
          <w:color w:val="000000" w:themeColor="text1"/>
          <w:lang w:val="es-ES_tradnl" w:eastAsia="es-ES"/>
        </w:rPr>
        <w:t xml:space="preserve"> punto</w:t>
      </w:r>
      <w:r w:rsidR="007B2315">
        <w:rPr>
          <w:rFonts w:ascii="Arial" w:eastAsia="Times New Roman" w:hAnsi="Arial" w:cs="Arial"/>
          <w:color w:val="000000" w:themeColor="text1"/>
          <w:lang w:val="es-ES_tradnl" w:eastAsia="es-ES"/>
        </w:rPr>
        <w:t>s</w:t>
      </w:r>
      <w:r w:rsidR="00AC233F">
        <w:rPr>
          <w:rFonts w:ascii="Arial" w:eastAsia="Times New Roman" w:hAnsi="Arial" w:cs="Arial"/>
          <w:color w:val="000000" w:themeColor="text1"/>
          <w:lang w:val="es-ES_tradnl" w:eastAsia="es-ES"/>
        </w:rPr>
        <w:t xml:space="preserve"> porcentual</w:t>
      </w:r>
      <w:r w:rsidR="007B2315">
        <w:rPr>
          <w:rFonts w:ascii="Arial" w:eastAsia="Times New Roman" w:hAnsi="Arial" w:cs="Arial"/>
          <w:color w:val="000000" w:themeColor="text1"/>
          <w:lang w:val="es-ES_tradnl" w:eastAsia="es-ES"/>
        </w:rPr>
        <w:t>es</w:t>
      </w:r>
      <w:r w:rsidR="00AC233F">
        <w:rPr>
          <w:rFonts w:ascii="Arial" w:eastAsia="Times New Roman" w:hAnsi="Arial" w:cs="Arial"/>
          <w:color w:val="000000" w:themeColor="text1"/>
          <w:lang w:val="es-ES_tradnl" w:eastAsia="es-ES"/>
        </w:rPr>
        <w:t xml:space="preserve"> </w:t>
      </w:r>
      <w:r w:rsidR="005A15F8">
        <w:rPr>
          <w:rFonts w:ascii="Arial" w:eastAsia="Times New Roman" w:hAnsi="Arial" w:cs="Arial"/>
          <w:color w:val="000000" w:themeColor="text1"/>
          <w:lang w:val="es-ES_tradnl" w:eastAsia="es-ES"/>
        </w:rPr>
        <w:t>superior</w:t>
      </w:r>
      <w:r w:rsidR="007B2315">
        <w:rPr>
          <w:rFonts w:ascii="Arial" w:eastAsia="Times New Roman" w:hAnsi="Arial" w:cs="Arial"/>
          <w:color w:val="000000" w:themeColor="text1"/>
          <w:lang w:val="es-ES_tradnl" w:eastAsia="es-ES"/>
        </w:rPr>
        <w:t xml:space="preserve"> </w:t>
      </w:r>
      <w:r w:rsidR="00AC233F">
        <w:rPr>
          <w:rFonts w:ascii="Arial" w:eastAsia="Times New Roman" w:hAnsi="Arial" w:cs="Arial"/>
          <w:color w:val="000000" w:themeColor="text1"/>
          <w:lang w:val="es-ES_tradnl" w:eastAsia="es-ES"/>
        </w:rPr>
        <w:t>en el mismo periodo.</w:t>
      </w:r>
    </w:p>
    <w:p w14:paraId="6C7403C6" w14:textId="77777777" w:rsidR="00F97FB7" w:rsidRDefault="00F97FB7" w:rsidP="009749DA">
      <w:pPr>
        <w:rPr>
          <w:rFonts w:ascii="Arial" w:eastAsia="Times New Roman" w:hAnsi="Arial" w:cs="Arial"/>
          <w:b/>
          <w:smallCaps/>
          <w:lang w:val="es-ES_tradnl" w:eastAsia="es-ES"/>
        </w:rPr>
      </w:pPr>
    </w:p>
    <w:p w14:paraId="39C1BE43" w14:textId="0793CF41" w:rsidR="006915B0" w:rsidRPr="00B5576B" w:rsidRDefault="00C142BC" w:rsidP="009749DA">
      <w:pPr>
        <w:pStyle w:val="n0"/>
        <w:keepLines w:val="0"/>
        <w:spacing w:before="0"/>
        <w:ind w:left="0" w:right="49" w:firstLine="0"/>
        <w:jc w:val="center"/>
        <w:rPr>
          <w:b/>
          <w:smallCaps/>
          <w:color w:val="auto"/>
          <w:sz w:val="22"/>
          <w:szCs w:val="22"/>
        </w:rPr>
      </w:pPr>
      <w:r>
        <w:rPr>
          <w:b/>
          <w:smallCaps/>
          <w:color w:val="auto"/>
          <w:sz w:val="22"/>
          <w:szCs w:val="22"/>
        </w:rPr>
        <w:t xml:space="preserve">Gráfico </w:t>
      </w:r>
      <w:r w:rsidR="00AD2164">
        <w:rPr>
          <w:b/>
          <w:smallCaps/>
          <w:color w:val="auto"/>
          <w:sz w:val="22"/>
          <w:szCs w:val="22"/>
        </w:rPr>
        <w:t>3</w:t>
      </w:r>
      <w:r>
        <w:rPr>
          <w:b/>
          <w:smallCaps/>
          <w:color w:val="auto"/>
          <w:sz w:val="22"/>
          <w:szCs w:val="22"/>
        </w:rPr>
        <w:t xml:space="preserve">. </w:t>
      </w:r>
      <w:r w:rsidR="006915B0" w:rsidRPr="00B5576B">
        <w:rPr>
          <w:b/>
          <w:smallCaps/>
          <w:color w:val="auto"/>
          <w:sz w:val="22"/>
          <w:szCs w:val="22"/>
        </w:rPr>
        <w:t xml:space="preserve">Tasa de </w:t>
      </w:r>
      <w:r w:rsidR="006915B0">
        <w:rPr>
          <w:b/>
          <w:smallCaps/>
          <w:color w:val="auto"/>
          <w:sz w:val="22"/>
          <w:szCs w:val="22"/>
        </w:rPr>
        <w:t>subocupación</w:t>
      </w:r>
      <w:r w:rsidR="003427BB">
        <w:rPr>
          <w:b/>
          <w:smallCaps/>
          <w:color w:val="auto"/>
          <w:sz w:val="22"/>
          <w:szCs w:val="22"/>
        </w:rPr>
        <w:t xml:space="preserve"> por sexo</w:t>
      </w:r>
      <w:r w:rsidR="006915B0" w:rsidRPr="00B5576B">
        <w:rPr>
          <w:b/>
          <w:smallCaps/>
          <w:color w:val="auto"/>
          <w:sz w:val="22"/>
          <w:szCs w:val="22"/>
        </w:rPr>
        <w:t xml:space="preserve"> </w:t>
      </w:r>
      <w:r w:rsidR="00B7794A">
        <w:rPr>
          <w:b/>
          <w:smallCaps/>
          <w:color w:val="auto"/>
          <w:sz w:val="22"/>
          <w:szCs w:val="22"/>
        </w:rPr>
        <w:t>EN</w:t>
      </w:r>
      <w:r w:rsidR="006915B0" w:rsidRPr="00B5576B">
        <w:rPr>
          <w:b/>
          <w:smallCaps/>
          <w:color w:val="auto"/>
          <w:sz w:val="22"/>
          <w:szCs w:val="22"/>
        </w:rPr>
        <w:t>OE</w:t>
      </w:r>
      <w:r w:rsidR="00F66482">
        <w:rPr>
          <w:b/>
          <w:smallCaps/>
          <w:color w:val="auto"/>
          <w:sz w:val="22"/>
          <w:szCs w:val="22"/>
          <w:vertAlign w:val="superscript"/>
        </w:rPr>
        <w:t>N</w:t>
      </w:r>
      <w:r w:rsidR="006915B0" w:rsidRPr="00B5576B">
        <w:rPr>
          <w:b/>
          <w:smallCaps/>
          <w:color w:val="auto"/>
          <w:sz w:val="22"/>
          <w:szCs w:val="22"/>
        </w:rPr>
        <w:t xml:space="preserve"> a</w:t>
      </w:r>
      <w:r w:rsidR="003966E8">
        <w:rPr>
          <w:b/>
          <w:smallCaps/>
          <w:color w:val="auto"/>
          <w:sz w:val="22"/>
          <w:szCs w:val="22"/>
        </w:rPr>
        <w:t xml:space="preserve">l </w:t>
      </w:r>
      <w:r w:rsidR="00177B20">
        <w:rPr>
          <w:b/>
          <w:smallCaps/>
          <w:color w:val="auto"/>
          <w:sz w:val="22"/>
          <w:szCs w:val="22"/>
        </w:rPr>
        <w:t>primer</w:t>
      </w:r>
      <w:r w:rsidR="00177695">
        <w:rPr>
          <w:b/>
          <w:smallCaps/>
          <w:color w:val="auto"/>
          <w:sz w:val="22"/>
          <w:szCs w:val="22"/>
        </w:rPr>
        <w:t xml:space="preserve"> trimestre</w:t>
      </w:r>
      <w:r w:rsidR="006915B0" w:rsidRPr="00B5576B">
        <w:rPr>
          <w:b/>
          <w:smallCaps/>
          <w:color w:val="auto"/>
          <w:sz w:val="22"/>
          <w:szCs w:val="22"/>
        </w:rPr>
        <w:t xml:space="preserve"> de </w:t>
      </w:r>
      <w:r w:rsidR="00177B20">
        <w:rPr>
          <w:b/>
          <w:smallCaps/>
          <w:color w:val="auto"/>
          <w:sz w:val="22"/>
          <w:szCs w:val="22"/>
        </w:rPr>
        <w:t>2021</w:t>
      </w:r>
      <w:r w:rsidR="006915B0">
        <w:rPr>
          <w:b/>
          <w:smallCaps/>
          <w:color w:val="auto"/>
          <w:sz w:val="22"/>
          <w:szCs w:val="22"/>
        </w:rPr>
        <w:t xml:space="preserve"> </w:t>
      </w:r>
    </w:p>
    <w:p w14:paraId="58ACE994" w14:textId="37D45E06" w:rsidR="00435A6C" w:rsidRDefault="00435A6C" w:rsidP="009749DA">
      <w:pPr>
        <w:pStyle w:val="n0"/>
        <w:keepLines w:val="0"/>
        <w:spacing w:before="0"/>
        <w:ind w:left="0" w:right="49" w:firstLine="0"/>
        <w:jc w:val="center"/>
        <w:rPr>
          <w:b/>
          <w:smallCaps/>
          <w:color w:val="auto"/>
          <w:sz w:val="22"/>
          <w:szCs w:val="22"/>
        </w:rPr>
      </w:pPr>
      <w:r w:rsidRPr="000C73EB">
        <w:rPr>
          <w:b/>
          <w:smallCaps/>
          <w:color w:val="auto"/>
          <w:sz w:val="22"/>
          <w:szCs w:val="22"/>
        </w:rPr>
        <w:t xml:space="preserve">(Porcentajes respecto </w:t>
      </w:r>
      <w:r w:rsidR="00327531" w:rsidRPr="000C73EB">
        <w:rPr>
          <w:b/>
          <w:smallCaps/>
          <w:color w:val="auto"/>
          <w:sz w:val="22"/>
          <w:szCs w:val="22"/>
        </w:rPr>
        <w:t>de</w:t>
      </w:r>
      <w:r w:rsidRPr="000C73EB">
        <w:rPr>
          <w:b/>
          <w:smallCaps/>
          <w:color w:val="auto"/>
          <w:sz w:val="22"/>
          <w:szCs w:val="22"/>
        </w:rPr>
        <w:t xml:space="preserve"> la población ocupada)</w:t>
      </w:r>
    </w:p>
    <w:p w14:paraId="4A9B11DE" w14:textId="7AE640E5" w:rsidR="0039067D" w:rsidRPr="00D55E3E" w:rsidRDefault="00A42494" w:rsidP="00D55E3E">
      <w:pPr>
        <w:pStyle w:val="n0"/>
        <w:keepLines w:val="0"/>
        <w:spacing w:before="0"/>
        <w:ind w:left="0" w:right="49" w:firstLine="0"/>
        <w:jc w:val="center"/>
        <w:rPr>
          <w:b/>
          <w:smallCaps/>
          <w:color w:val="auto"/>
          <w:sz w:val="22"/>
          <w:szCs w:val="22"/>
        </w:rPr>
      </w:pPr>
      <w:r>
        <w:rPr>
          <w:b/>
          <w:smallCaps/>
          <w:noProof/>
          <w:color w:val="auto"/>
          <w:sz w:val="22"/>
          <w:szCs w:val="22"/>
          <w:lang w:val="es-MX" w:eastAsia="es-MX"/>
        </w:rPr>
        <w:drawing>
          <wp:inline distT="0" distB="0" distL="0" distR="0" wp14:anchorId="75D93209" wp14:editId="072393B5">
            <wp:extent cx="5242560" cy="2910840"/>
            <wp:effectExtent l="0" t="0" r="0" b="381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42560" cy="2910840"/>
                    </a:xfrm>
                    <a:prstGeom prst="rect">
                      <a:avLst/>
                    </a:prstGeom>
                    <a:noFill/>
                  </pic:spPr>
                </pic:pic>
              </a:graphicData>
            </a:graphic>
          </wp:inline>
        </w:drawing>
      </w:r>
    </w:p>
    <w:p w14:paraId="69EE354A" w14:textId="77777777" w:rsidR="00BC1730" w:rsidRDefault="00BC1730" w:rsidP="00BC1730">
      <w:pPr>
        <w:spacing w:after="0" w:line="240" w:lineRule="auto"/>
        <w:ind w:left="284" w:right="333" w:hanging="142"/>
        <w:jc w:val="both"/>
        <w:rPr>
          <w:rFonts w:ascii="Arial" w:hAnsi="Arial" w:cs="Arial"/>
          <w:noProof/>
          <w:sz w:val="14"/>
          <w:szCs w:val="14"/>
          <w:lang w:val="es-ES" w:eastAsia="es-ES"/>
        </w:rPr>
      </w:pPr>
      <w:r>
        <w:rPr>
          <w:rFonts w:ascii="Arial" w:hAnsi="Arial" w:cs="Arial"/>
          <w:noProof/>
          <w:sz w:val="14"/>
          <w:szCs w:val="14"/>
          <w:lang w:val="es-ES" w:eastAsia="es-ES"/>
        </w:rPr>
        <w:t>Intervalos de confianza al 90 por ciento.</w:t>
      </w:r>
    </w:p>
    <w:p w14:paraId="7D322E4A" w14:textId="77777777" w:rsidR="006E302F" w:rsidRDefault="006E302F" w:rsidP="006E302F">
      <w:pPr>
        <w:tabs>
          <w:tab w:val="left" w:pos="851"/>
        </w:tabs>
        <w:spacing w:after="0" w:line="240" w:lineRule="auto"/>
        <w:ind w:left="142" w:right="333"/>
        <w:rPr>
          <w:rFonts w:ascii="Arial" w:hAnsi="Arial" w:cs="Arial"/>
          <w:noProof/>
          <w:sz w:val="14"/>
          <w:szCs w:val="14"/>
          <w:lang w:val="es-ES" w:eastAsia="es-ES"/>
        </w:rPr>
      </w:pPr>
      <w:r>
        <w:rPr>
          <w:rFonts w:ascii="Arial" w:hAnsi="Arial" w:cs="Arial"/>
          <w:noProof/>
          <w:sz w:val="14"/>
          <w:szCs w:val="14"/>
          <w:lang w:val="es-ES" w:eastAsia="es-ES"/>
        </w:rPr>
        <w:t>Fuente:</w:t>
      </w:r>
      <w:r>
        <w:rPr>
          <w:rFonts w:ascii="Arial" w:hAnsi="Arial" w:cs="Arial"/>
          <w:noProof/>
          <w:sz w:val="14"/>
          <w:szCs w:val="14"/>
          <w:lang w:val="es-ES" w:eastAsia="es-ES"/>
        </w:rPr>
        <w:tab/>
        <w:t>INEGI. Encuesta Nacional de Ocupación y Empleo. Nueva Edición, primer trimestre de 2021.</w:t>
      </w:r>
    </w:p>
    <w:p w14:paraId="0926C525" w14:textId="77777777" w:rsidR="006E302F" w:rsidRDefault="006E302F" w:rsidP="006E302F">
      <w:pPr>
        <w:tabs>
          <w:tab w:val="left" w:pos="851"/>
        </w:tabs>
        <w:spacing w:after="0" w:line="240" w:lineRule="auto"/>
        <w:ind w:left="142" w:right="333"/>
      </w:pPr>
      <w:r>
        <w:rPr>
          <w:rFonts w:ascii="Arial" w:hAnsi="Arial" w:cs="Arial"/>
          <w:noProof/>
          <w:sz w:val="14"/>
          <w:szCs w:val="14"/>
          <w:lang w:val="es-ES" w:eastAsia="es-ES"/>
        </w:rPr>
        <w:tab/>
        <w:t>INEGI. Encuesta Nacional de Ocupación y Empleo, primer trimestre de 2020.</w:t>
      </w:r>
    </w:p>
    <w:p w14:paraId="4F8795B4" w14:textId="77777777" w:rsidR="000C73EB" w:rsidRDefault="000C73EB" w:rsidP="009749DA">
      <w:pPr>
        <w:pStyle w:val="Prrafodelista"/>
        <w:spacing w:after="0" w:line="240" w:lineRule="auto"/>
        <w:ind w:left="0" w:right="49"/>
        <w:jc w:val="both"/>
        <w:rPr>
          <w:rFonts w:ascii="Arial" w:hAnsi="Arial" w:cs="Arial"/>
          <w:bCs/>
          <w:spacing w:val="8"/>
        </w:rPr>
      </w:pPr>
    </w:p>
    <w:p w14:paraId="2CB19B2D" w14:textId="77777777" w:rsidR="00314301" w:rsidRDefault="00314301" w:rsidP="009749DA">
      <w:pPr>
        <w:pStyle w:val="Prrafodelista"/>
        <w:spacing w:after="0" w:line="240" w:lineRule="auto"/>
        <w:ind w:left="0" w:right="49"/>
        <w:jc w:val="both"/>
        <w:rPr>
          <w:rFonts w:ascii="Arial" w:hAnsi="Arial" w:cs="Arial"/>
          <w:bCs/>
          <w:spacing w:val="8"/>
        </w:rPr>
      </w:pPr>
    </w:p>
    <w:p w14:paraId="350E74D6" w14:textId="77777777" w:rsidR="00314301" w:rsidRDefault="00314301" w:rsidP="009749DA">
      <w:pPr>
        <w:pStyle w:val="Prrafodelista"/>
        <w:spacing w:after="0" w:line="240" w:lineRule="auto"/>
        <w:ind w:left="0" w:right="49"/>
        <w:jc w:val="both"/>
        <w:rPr>
          <w:rFonts w:ascii="Arial" w:hAnsi="Arial" w:cs="Arial"/>
          <w:bCs/>
          <w:spacing w:val="8"/>
        </w:rPr>
      </w:pPr>
    </w:p>
    <w:p w14:paraId="1F870551" w14:textId="77F858B2" w:rsidR="00A14E08" w:rsidRDefault="00FE4C0A" w:rsidP="009749DA">
      <w:pPr>
        <w:pStyle w:val="Prrafodelista"/>
        <w:spacing w:after="0" w:line="240" w:lineRule="auto"/>
        <w:ind w:left="0" w:right="49"/>
        <w:jc w:val="both"/>
        <w:rPr>
          <w:rFonts w:ascii="Arial" w:hAnsi="Arial" w:cs="Arial"/>
          <w:bCs/>
          <w:spacing w:val="8"/>
        </w:rPr>
      </w:pPr>
      <w:r>
        <w:rPr>
          <w:rFonts w:ascii="Arial" w:hAnsi="Arial" w:cs="Arial"/>
          <w:bCs/>
          <w:spacing w:val="8"/>
        </w:rPr>
        <w:t xml:space="preserve">En el </w:t>
      </w:r>
      <w:r w:rsidR="00177B20">
        <w:rPr>
          <w:rFonts w:ascii="Arial" w:hAnsi="Arial" w:cs="Arial"/>
          <w:bCs/>
          <w:spacing w:val="8"/>
        </w:rPr>
        <w:t>primer</w:t>
      </w:r>
      <w:r>
        <w:rPr>
          <w:rFonts w:ascii="Arial" w:hAnsi="Arial" w:cs="Arial"/>
          <w:bCs/>
          <w:spacing w:val="8"/>
        </w:rPr>
        <w:t xml:space="preserve"> trimestre de </w:t>
      </w:r>
      <w:r w:rsidR="00177B20">
        <w:rPr>
          <w:rFonts w:ascii="Arial" w:hAnsi="Arial" w:cs="Arial"/>
          <w:bCs/>
          <w:spacing w:val="8"/>
        </w:rPr>
        <w:t>2021</w:t>
      </w:r>
      <w:r>
        <w:rPr>
          <w:rFonts w:ascii="Arial" w:hAnsi="Arial" w:cs="Arial"/>
          <w:bCs/>
          <w:spacing w:val="8"/>
        </w:rPr>
        <w:t xml:space="preserve"> </w:t>
      </w:r>
      <w:r w:rsidR="0026789D">
        <w:rPr>
          <w:rFonts w:ascii="Arial" w:hAnsi="Arial" w:cs="Arial"/>
          <w:bCs/>
          <w:spacing w:val="8"/>
        </w:rPr>
        <w:t xml:space="preserve">en cuanto a </w:t>
      </w:r>
      <w:r>
        <w:rPr>
          <w:rFonts w:ascii="Arial" w:hAnsi="Arial" w:cs="Arial"/>
          <w:bCs/>
          <w:spacing w:val="8"/>
        </w:rPr>
        <w:t>l</w:t>
      </w:r>
      <w:r w:rsidR="00B96E1D">
        <w:rPr>
          <w:rFonts w:ascii="Arial" w:hAnsi="Arial" w:cs="Arial"/>
          <w:bCs/>
          <w:spacing w:val="8"/>
        </w:rPr>
        <w:t>a</w:t>
      </w:r>
      <w:r w:rsidR="00AC233F">
        <w:rPr>
          <w:rFonts w:ascii="Arial" w:hAnsi="Arial" w:cs="Arial"/>
          <w:bCs/>
          <w:spacing w:val="8"/>
        </w:rPr>
        <w:t xml:space="preserve"> población </w:t>
      </w:r>
      <w:proofErr w:type="spellStart"/>
      <w:r w:rsidR="00AC233F">
        <w:rPr>
          <w:rFonts w:ascii="Arial" w:hAnsi="Arial" w:cs="Arial"/>
          <w:bCs/>
          <w:spacing w:val="8"/>
        </w:rPr>
        <w:t>subocupada</w:t>
      </w:r>
      <w:proofErr w:type="spellEnd"/>
      <w:r w:rsidR="00AC233F">
        <w:rPr>
          <w:rFonts w:ascii="Arial" w:hAnsi="Arial" w:cs="Arial"/>
          <w:bCs/>
          <w:spacing w:val="8"/>
        </w:rPr>
        <w:t xml:space="preserve"> según </w:t>
      </w:r>
      <w:r w:rsidR="006976A8">
        <w:rPr>
          <w:rFonts w:ascii="Arial" w:hAnsi="Arial" w:cs="Arial"/>
          <w:bCs/>
          <w:spacing w:val="8"/>
        </w:rPr>
        <w:t xml:space="preserve">su </w:t>
      </w:r>
      <w:r w:rsidR="00AC233F">
        <w:rPr>
          <w:rFonts w:ascii="Arial" w:hAnsi="Arial" w:cs="Arial"/>
          <w:bCs/>
          <w:spacing w:val="8"/>
        </w:rPr>
        <w:t>posición en la ocupación</w:t>
      </w:r>
      <w:r w:rsidR="00B96E1D">
        <w:rPr>
          <w:rFonts w:ascii="Arial" w:hAnsi="Arial" w:cs="Arial"/>
          <w:bCs/>
          <w:spacing w:val="8"/>
        </w:rPr>
        <w:t xml:space="preserve">, </w:t>
      </w:r>
      <w:r w:rsidR="000D654B">
        <w:rPr>
          <w:rFonts w:ascii="Arial" w:hAnsi="Arial" w:cs="Arial"/>
          <w:bCs/>
          <w:spacing w:val="8"/>
        </w:rPr>
        <w:t>se tiene</w:t>
      </w:r>
      <w:r>
        <w:rPr>
          <w:rFonts w:ascii="Arial" w:hAnsi="Arial" w:cs="Arial"/>
          <w:bCs/>
          <w:spacing w:val="8"/>
        </w:rPr>
        <w:t xml:space="preserve"> que </w:t>
      </w:r>
      <w:r w:rsidR="00200FD9">
        <w:rPr>
          <w:rFonts w:ascii="Arial" w:hAnsi="Arial" w:cs="Arial"/>
          <w:bCs/>
          <w:spacing w:val="8"/>
        </w:rPr>
        <w:t>los</w:t>
      </w:r>
      <w:r w:rsidR="00A03FAA">
        <w:rPr>
          <w:rFonts w:ascii="Arial" w:hAnsi="Arial" w:cs="Arial"/>
          <w:bCs/>
          <w:spacing w:val="8"/>
        </w:rPr>
        <w:t xml:space="preserve"> trabajadores subordinados y remunerados concentraron el </w:t>
      </w:r>
      <w:r w:rsidR="002064AD">
        <w:rPr>
          <w:rFonts w:ascii="Arial" w:hAnsi="Arial" w:cs="Arial"/>
          <w:bCs/>
          <w:spacing w:val="8"/>
        </w:rPr>
        <w:t>48.1</w:t>
      </w:r>
      <w:r w:rsidR="00A03FAA">
        <w:rPr>
          <w:rFonts w:ascii="Arial" w:hAnsi="Arial" w:cs="Arial"/>
          <w:bCs/>
          <w:spacing w:val="8"/>
        </w:rPr>
        <w:t>%</w:t>
      </w:r>
      <w:r w:rsidR="005A15F8">
        <w:rPr>
          <w:rFonts w:ascii="Arial" w:hAnsi="Arial" w:cs="Arial"/>
          <w:bCs/>
          <w:spacing w:val="8"/>
        </w:rPr>
        <w:t xml:space="preserve"> y los </w:t>
      </w:r>
      <w:r w:rsidR="00A03FAA">
        <w:rPr>
          <w:rFonts w:ascii="Arial" w:hAnsi="Arial" w:cs="Arial"/>
          <w:bCs/>
          <w:spacing w:val="8"/>
        </w:rPr>
        <w:t xml:space="preserve">trabajadores por cuenta propia </w:t>
      </w:r>
      <w:r w:rsidR="00200FD9">
        <w:rPr>
          <w:rFonts w:ascii="Arial" w:hAnsi="Arial" w:cs="Arial"/>
          <w:bCs/>
          <w:spacing w:val="8"/>
        </w:rPr>
        <w:t xml:space="preserve">representaron </w:t>
      </w:r>
      <w:r w:rsidR="00A03FAA">
        <w:rPr>
          <w:rFonts w:ascii="Arial" w:hAnsi="Arial" w:cs="Arial"/>
          <w:bCs/>
          <w:spacing w:val="8"/>
        </w:rPr>
        <w:t xml:space="preserve">el </w:t>
      </w:r>
      <w:r w:rsidR="002064AD">
        <w:rPr>
          <w:rFonts w:ascii="Arial" w:hAnsi="Arial" w:cs="Arial"/>
          <w:bCs/>
          <w:spacing w:val="8"/>
        </w:rPr>
        <w:t>41.3</w:t>
      </w:r>
      <w:r w:rsidR="005A15F8">
        <w:rPr>
          <w:rFonts w:ascii="Arial" w:hAnsi="Arial" w:cs="Arial"/>
          <w:bCs/>
          <w:spacing w:val="8"/>
        </w:rPr>
        <w:t xml:space="preserve"> por ciento. Dichas categorías de trabajadores fueron l</w:t>
      </w:r>
      <w:r w:rsidR="001125B3">
        <w:rPr>
          <w:rFonts w:ascii="Arial" w:hAnsi="Arial" w:cs="Arial"/>
          <w:bCs/>
          <w:spacing w:val="8"/>
        </w:rPr>
        <w:t>a</w:t>
      </w:r>
      <w:r w:rsidR="005A15F8">
        <w:rPr>
          <w:rFonts w:ascii="Arial" w:hAnsi="Arial" w:cs="Arial"/>
          <w:bCs/>
          <w:spacing w:val="8"/>
        </w:rPr>
        <w:t xml:space="preserve">s que más aumentaron en términos absolutos en comparación con el mismo trimestre </w:t>
      </w:r>
      <w:r w:rsidR="007142B5">
        <w:rPr>
          <w:rFonts w:ascii="Arial" w:hAnsi="Arial" w:cs="Arial"/>
          <w:bCs/>
          <w:spacing w:val="8"/>
        </w:rPr>
        <w:t xml:space="preserve">de </w:t>
      </w:r>
      <w:r w:rsidR="00177B20">
        <w:rPr>
          <w:rFonts w:ascii="Arial" w:hAnsi="Arial" w:cs="Arial"/>
          <w:bCs/>
          <w:spacing w:val="8"/>
        </w:rPr>
        <w:t>2020</w:t>
      </w:r>
      <w:r w:rsidR="005A15F8">
        <w:rPr>
          <w:rFonts w:ascii="Arial" w:hAnsi="Arial" w:cs="Arial"/>
          <w:bCs/>
          <w:spacing w:val="8"/>
        </w:rPr>
        <w:t xml:space="preserve"> con </w:t>
      </w:r>
      <w:r w:rsidR="002064AD">
        <w:rPr>
          <w:rFonts w:ascii="Arial" w:hAnsi="Arial" w:cs="Arial"/>
          <w:bCs/>
          <w:spacing w:val="8"/>
        </w:rPr>
        <w:t>1.4</w:t>
      </w:r>
      <w:r w:rsidR="005A15F8">
        <w:rPr>
          <w:rFonts w:ascii="Arial" w:hAnsi="Arial" w:cs="Arial"/>
          <w:bCs/>
          <w:spacing w:val="8"/>
        </w:rPr>
        <w:t xml:space="preserve"> millones el primer grupo y 1 mill</w:t>
      </w:r>
      <w:r w:rsidR="000F1730">
        <w:rPr>
          <w:rFonts w:ascii="Arial" w:hAnsi="Arial" w:cs="Arial"/>
          <w:bCs/>
          <w:spacing w:val="8"/>
        </w:rPr>
        <w:t>ón</w:t>
      </w:r>
      <w:r w:rsidR="005A15F8">
        <w:rPr>
          <w:rFonts w:ascii="Arial" w:hAnsi="Arial" w:cs="Arial"/>
          <w:bCs/>
          <w:spacing w:val="8"/>
        </w:rPr>
        <w:t xml:space="preserve"> el segundo grupo de trabajadores.</w:t>
      </w:r>
    </w:p>
    <w:p w14:paraId="0D6FA685" w14:textId="0F53E78E" w:rsidR="00314301" w:rsidRDefault="00314301" w:rsidP="009749DA">
      <w:pPr>
        <w:pStyle w:val="Prrafodelista"/>
        <w:spacing w:after="0" w:line="240" w:lineRule="auto"/>
        <w:ind w:left="0" w:right="49"/>
        <w:jc w:val="both"/>
        <w:rPr>
          <w:rFonts w:ascii="Arial" w:hAnsi="Arial" w:cs="Arial"/>
          <w:bCs/>
          <w:spacing w:val="8"/>
        </w:rPr>
      </w:pPr>
    </w:p>
    <w:p w14:paraId="20E6DEA5" w14:textId="53F83249" w:rsidR="00314301" w:rsidRDefault="00314301" w:rsidP="009749DA">
      <w:pPr>
        <w:pStyle w:val="Prrafodelista"/>
        <w:spacing w:after="0" w:line="240" w:lineRule="auto"/>
        <w:ind w:left="0" w:right="49"/>
        <w:jc w:val="both"/>
        <w:rPr>
          <w:rFonts w:ascii="Arial" w:hAnsi="Arial" w:cs="Arial"/>
          <w:bCs/>
          <w:spacing w:val="8"/>
        </w:rPr>
      </w:pPr>
    </w:p>
    <w:p w14:paraId="73AE0C42" w14:textId="77777777" w:rsidR="00314301" w:rsidRDefault="00314301" w:rsidP="009749DA">
      <w:pPr>
        <w:pStyle w:val="Prrafodelista"/>
        <w:spacing w:after="0" w:line="240" w:lineRule="auto"/>
        <w:ind w:left="0" w:right="49"/>
        <w:jc w:val="both"/>
        <w:rPr>
          <w:rFonts w:ascii="Arial" w:hAnsi="Arial" w:cs="Arial"/>
          <w:bCs/>
          <w:spacing w:val="8"/>
        </w:rPr>
      </w:pPr>
    </w:p>
    <w:p w14:paraId="19E3AF9F" w14:textId="77777777" w:rsidR="00E84930" w:rsidRDefault="00E84930" w:rsidP="009749DA">
      <w:pPr>
        <w:pStyle w:val="Prrafodelista"/>
        <w:spacing w:after="0" w:line="240" w:lineRule="auto"/>
        <w:ind w:left="0" w:right="49"/>
        <w:jc w:val="both"/>
        <w:rPr>
          <w:rFonts w:ascii="Arial" w:hAnsi="Arial" w:cs="Arial"/>
          <w:bCs/>
          <w:spacing w:val="8"/>
        </w:rPr>
      </w:pPr>
    </w:p>
    <w:p w14:paraId="633686FB" w14:textId="77777777" w:rsidR="0074035D" w:rsidRDefault="00252EDE" w:rsidP="009749DA">
      <w:pPr>
        <w:pStyle w:val="n0"/>
        <w:keepLines w:val="0"/>
        <w:spacing w:before="0"/>
        <w:ind w:left="0" w:right="49" w:firstLine="0"/>
        <w:jc w:val="center"/>
        <w:rPr>
          <w:b/>
          <w:smallCaps/>
          <w:color w:val="auto"/>
          <w:sz w:val="22"/>
          <w:szCs w:val="22"/>
        </w:rPr>
      </w:pPr>
      <w:r w:rsidRPr="00EE43E5">
        <w:rPr>
          <w:b/>
          <w:smallCaps/>
          <w:color w:val="auto"/>
          <w:sz w:val="22"/>
          <w:szCs w:val="22"/>
        </w:rPr>
        <w:lastRenderedPageBreak/>
        <w:t xml:space="preserve">Población </w:t>
      </w:r>
      <w:proofErr w:type="spellStart"/>
      <w:r w:rsidRPr="00EE43E5">
        <w:rPr>
          <w:b/>
          <w:smallCaps/>
          <w:color w:val="auto"/>
          <w:sz w:val="22"/>
          <w:szCs w:val="22"/>
        </w:rPr>
        <w:t>subocupada</w:t>
      </w:r>
      <w:proofErr w:type="spellEnd"/>
      <w:r w:rsidRPr="00EE43E5">
        <w:rPr>
          <w:b/>
          <w:smallCaps/>
          <w:color w:val="auto"/>
          <w:sz w:val="22"/>
          <w:szCs w:val="22"/>
        </w:rPr>
        <w:t xml:space="preserve"> según posición en la ocupación</w:t>
      </w:r>
    </w:p>
    <w:p w14:paraId="3DE53FFF" w14:textId="4AE1615D" w:rsidR="00252EDE" w:rsidRPr="00EE43E5" w:rsidRDefault="00252EDE" w:rsidP="009749DA">
      <w:pPr>
        <w:pStyle w:val="n0"/>
        <w:keepLines w:val="0"/>
        <w:spacing w:before="0"/>
        <w:ind w:left="0" w:right="49" w:firstLine="0"/>
        <w:jc w:val="center"/>
        <w:rPr>
          <w:b/>
          <w:smallCaps/>
          <w:color w:val="auto"/>
          <w:sz w:val="22"/>
          <w:szCs w:val="22"/>
        </w:rPr>
      </w:pPr>
      <w:r w:rsidRPr="00EE43E5">
        <w:rPr>
          <w:b/>
          <w:smallCaps/>
          <w:color w:val="auto"/>
          <w:sz w:val="22"/>
          <w:szCs w:val="22"/>
        </w:rPr>
        <w:t xml:space="preserve">durante </w:t>
      </w:r>
      <w:r w:rsidR="00177695">
        <w:rPr>
          <w:b/>
          <w:smallCaps/>
          <w:color w:val="auto"/>
          <w:sz w:val="22"/>
          <w:szCs w:val="22"/>
        </w:rPr>
        <w:t xml:space="preserve">el </w:t>
      </w:r>
      <w:r w:rsidR="00177B20">
        <w:rPr>
          <w:b/>
          <w:smallCaps/>
          <w:color w:val="auto"/>
          <w:sz w:val="22"/>
          <w:szCs w:val="22"/>
        </w:rPr>
        <w:t>primer</w:t>
      </w:r>
      <w:r w:rsidR="00177695">
        <w:rPr>
          <w:b/>
          <w:smallCaps/>
          <w:color w:val="auto"/>
          <w:sz w:val="22"/>
          <w:szCs w:val="22"/>
        </w:rPr>
        <w:t xml:space="preserve"> trimestre</w:t>
      </w:r>
      <w:r w:rsidRPr="00EE43E5">
        <w:rPr>
          <w:b/>
          <w:smallCaps/>
          <w:color w:val="auto"/>
          <w:sz w:val="22"/>
          <w:szCs w:val="22"/>
        </w:rPr>
        <w:t xml:space="preserve"> de </w:t>
      </w:r>
      <w:r w:rsidR="00177B20">
        <w:rPr>
          <w:b/>
          <w:smallCaps/>
          <w:color w:val="auto"/>
          <w:sz w:val="22"/>
          <w:szCs w:val="22"/>
        </w:rPr>
        <w:t>2021</w:t>
      </w:r>
    </w:p>
    <w:p w14:paraId="1ED4FA4C" w14:textId="45C84372" w:rsidR="0076447E" w:rsidRPr="003A795B" w:rsidRDefault="003A795B" w:rsidP="009749DA">
      <w:pPr>
        <w:spacing w:after="0" w:line="240" w:lineRule="auto"/>
        <w:ind w:right="51"/>
        <w:jc w:val="center"/>
        <w:rPr>
          <w:rFonts w:ascii="Arial" w:hAnsi="Arial" w:cs="Arial"/>
          <w:smallCaps/>
          <w:sz w:val="16"/>
          <w:szCs w:val="18"/>
        </w:rPr>
      </w:pPr>
      <w:r w:rsidRPr="003A795B">
        <w:rPr>
          <w:rFonts w:ascii="Arial" w:hAnsi="Arial" w:cs="Arial"/>
          <w:smallCaps/>
          <w:sz w:val="16"/>
          <w:szCs w:val="18"/>
        </w:rPr>
        <w:t>(PERSONAS Y PORCENTAJE)</w:t>
      </w:r>
    </w:p>
    <w:p w14:paraId="6B92F539" w14:textId="2D2750EC" w:rsidR="0039067D" w:rsidRDefault="00264FC9" w:rsidP="009749DA">
      <w:pPr>
        <w:spacing w:after="0" w:line="240" w:lineRule="auto"/>
        <w:ind w:right="51"/>
        <w:jc w:val="center"/>
        <w:rPr>
          <w:rFonts w:ascii="Arial" w:hAnsi="Arial" w:cs="Arial"/>
          <w:smallCaps/>
        </w:rPr>
      </w:pPr>
      <w:r w:rsidRPr="00264FC9">
        <w:rPr>
          <w:noProof/>
          <w:lang w:eastAsia="es-MX"/>
        </w:rPr>
        <w:drawing>
          <wp:inline distT="0" distB="0" distL="0" distR="0" wp14:anchorId="2BC08C18" wp14:editId="1BFF5331">
            <wp:extent cx="5610225" cy="1895475"/>
            <wp:effectExtent l="0" t="0" r="9525" b="9525"/>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610225" cy="1895475"/>
                    </a:xfrm>
                    <a:prstGeom prst="rect">
                      <a:avLst/>
                    </a:prstGeom>
                    <a:noFill/>
                    <a:ln>
                      <a:noFill/>
                    </a:ln>
                  </pic:spPr>
                </pic:pic>
              </a:graphicData>
            </a:graphic>
          </wp:inline>
        </w:drawing>
      </w:r>
    </w:p>
    <w:p w14:paraId="2F65E473" w14:textId="77777777" w:rsidR="006E302F" w:rsidRDefault="006E302F" w:rsidP="006E302F">
      <w:pPr>
        <w:tabs>
          <w:tab w:val="left" w:pos="851"/>
        </w:tabs>
        <w:spacing w:after="0" w:line="240" w:lineRule="auto"/>
        <w:ind w:left="142" w:right="333"/>
        <w:rPr>
          <w:rFonts w:ascii="Arial" w:hAnsi="Arial" w:cs="Arial"/>
          <w:noProof/>
          <w:sz w:val="14"/>
          <w:szCs w:val="14"/>
          <w:lang w:val="es-ES" w:eastAsia="es-ES"/>
        </w:rPr>
      </w:pPr>
      <w:r>
        <w:rPr>
          <w:rFonts w:ascii="Arial" w:hAnsi="Arial" w:cs="Arial"/>
          <w:noProof/>
          <w:sz w:val="14"/>
          <w:szCs w:val="14"/>
          <w:lang w:val="es-ES" w:eastAsia="es-ES"/>
        </w:rPr>
        <w:t>Fuente:</w:t>
      </w:r>
      <w:r>
        <w:rPr>
          <w:rFonts w:ascii="Arial" w:hAnsi="Arial" w:cs="Arial"/>
          <w:noProof/>
          <w:sz w:val="14"/>
          <w:szCs w:val="14"/>
          <w:lang w:val="es-ES" w:eastAsia="es-ES"/>
        </w:rPr>
        <w:tab/>
        <w:t>INEGI. Encuesta Nacional de Ocupación y Empleo. Nueva Edición, primer trimestre de 2021.</w:t>
      </w:r>
    </w:p>
    <w:p w14:paraId="72F9D89B" w14:textId="77777777" w:rsidR="006E302F" w:rsidRDefault="006E302F" w:rsidP="006E302F">
      <w:pPr>
        <w:tabs>
          <w:tab w:val="left" w:pos="851"/>
        </w:tabs>
        <w:spacing w:after="0" w:line="240" w:lineRule="auto"/>
        <w:ind w:left="142" w:right="333"/>
      </w:pPr>
      <w:r>
        <w:rPr>
          <w:rFonts w:ascii="Arial" w:hAnsi="Arial" w:cs="Arial"/>
          <w:noProof/>
          <w:sz w:val="14"/>
          <w:szCs w:val="14"/>
          <w:lang w:val="es-ES" w:eastAsia="es-ES"/>
        </w:rPr>
        <w:tab/>
        <w:t>INEGI. Encuesta Nacional de Ocupación y Empleo, primer trimestre de 2020.</w:t>
      </w:r>
    </w:p>
    <w:p w14:paraId="7191B9F3" w14:textId="77777777" w:rsidR="00792F92" w:rsidRDefault="00792F92" w:rsidP="009749DA">
      <w:pPr>
        <w:pStyle w:val="Prrafodelista"/>
        <w:spacing w:after="0" w:line="240" w:lineRule="auto"/>
        <w:ind w:left="0" w:right="49"/>
        <w:jc w:val="both"/>
        <w:rPr>
          <w:rFonts w:ascii="Arial" w:hAnsi="Arial" w:cs="Arial"/>
          <w:bCs/>
          <w:spacing w:val="8"/>
        </w:rPr>
      </w:pPr>
    </w:p>
    <w:p w14:paraId="7E979D4E" w14:textId="5DA16641" w:rsidR="003F1245" w:rsidRDefault="004A5619" w:rsidP="009749DA">
      <w:pPr>
        <w:pStyle w:val="Prrafodelista"/>
        <w:spacing w:after="0" w:line="240" w:lineRule="auto"/>
        <w:ind w:left="0" w:right="49"/>
        <w:jc w:val="both"/>
        <w:rPr>
          <w:rFonts w:ascii="Arial" w:hAnsi="Arial" w:cs="Arial"/>
          <w:bCs/>
          <w:spacing w:val="8"/>
        </w:rPr>
      </w:pPr>
      <w:r>
        <w:rPr>
          <w:rFonts w:ascii="Arial" w:hAnsi="Arial" w:cs="Arial"/>
          <w:bCs/>
          <w:spacing w:val="8"/>
        </w:rPr>
        <w:t>S</w:t>
      </w:r>
      <w:r w:rsidR="003F1245">
        <w:rPr>
          <w:rFonts w:ascii="Arial" w:hAnsi="Arial" w:cs="Arial"/>
          <w:bCs/>
          <w:spacing w:val="8"/>
        </w:rPr>
        <w:t xml:space="preserve">egún </w:t>
      </w:r>
      <w:r w:rsidR="006976A8">
        <w:rPr>
          <w:rFonts w:ascii="Arial" w:hAnsi="Arial" w:cs="Arial"/>
          <w:bCs/>
          <w:spacing w:val="8"/>
        </w:rPr>
        <w:t xml:space="preserve">el </w:t>
      </w:r>
      <w:r w:rsidR="00252EDE" w:rsidRPr="00FE4E28">
        <w:rPr>
          <w:rFonts w:ascii="Arial" w:hAnsi="Arial" w:cs="Arial"/>
          <w:bCs/>
          <w:spacing w:val="8"/>
        </w:rPr>
        <w:t xml:space="preserve">sector </w:t>
      </w:r>
      <w:r w:rsidR="003F1245">
        <w:rPr>
          <w:rFonts w:ascii="Arial" w:hAnsi="Arial" w:cs="Arial"/>
          <w:bCs/>
          <w:spacing w:val="8"/>
        </w:rPr>
        <w:t xml:space="preserve">de actividad </w:t>
      </w:r>
      <w:r w:rsidR="00252EDE" w:rsidRPr="00FE4E28">
        <w:rPr>
          <w:rFonts w:ascii="Arial" w:hAnsi="Arial" w:cs="Arial"/>
          <w:bCs/>
          <w:spacing w:val="8"/>
        </w:rPr>
        <w:t>económic</w:t>
      </w:r>
      <w:r w:rsidR="003F1245">
        <w:rPr>
          <w:rFonts w:ascii="Arial" w:hAnsi="Arial" w:cs="Arial"/>
          <w:bCs/>
          <w:spacing w:val="8"/>
        </w:rPr>
        <w:t>a</w:t>
      </w:r>
      <w:r>
        <w:rPr>
          <w:rFonts w:ascii="Arial" w:hAnsi="Arial" w:cs="Arial"/>
          <w:bCs/>
          <w:spacing w:val="8"/>
        </w:rPr>
        <w:t xml:space="preserve">, entre el </w:t>
      </w:r>
      <w:r w:rsidR="00177B20">
        <w:rPr>
          <w:rFonts w:ascii="Arial" w:hAnsi="Arial" w:cs="Arial"/>
          <w:bCs/>
          <w:spacing w:val="8"/>
        </w:rPr>
        <w:t>primer</w:t>
      </w:r>
      <w:r>
        <w:rPr>
          <w:rFonts w:ascii="Arial" w:hAnsi="Arial" w:cs="Arial"/>
          <w:bCs/>
          <w:spacing w:val="8"/>
        </w:rPr>
        <w:t xml:space="preserve"> trimestre de </w:t>
      </w:r>
      <w:r w:rsidR="00177B20">
        <w:rPr>
          <w:rFonts w:ascii="Arial" w:hAnsi="Arial" w:cs="Arial"/>
          <w:bCs/>
          <w:spacing w:val="8"/>
        </w:rPr>
        <w:t>2020</w:t>
      </w:r>
      <w:r>
        <w:rPr>
          <w:rFonts w:ascii="Arial" w:hAnsi="Arial" w:cs="Arial"/>
          <w:bCs/>
          <w:spacing w:val="8"/>
        </w:rPr>
        <w:t xml:space="preserve"> y el mismo trimestre de </w:t>
      </w:r>
      <w:r w:rsidR="00177B20">
        <w:rPr>
          <w:rFonts w:ascii="Arial" w:hAnsi="Arial" w:cs="Arial"/>
          <w:bCs/>
          <w:spacing w:val="8"/>
        </w:rPr>
        <w:t>2021</w:t>
      </w:r>
      <w:r>
        <w:rPr>
          <w:rFonts w:ascii="Arial" w:hAnsi="Arial" w:cs="Arial"/>
          <w:bCs/>
          <w:spacing w:val="8"/>
        </w:rPr>
        <w:t>,</w:t>
      </w:r>
      <w:r w:rsidR="003F1245">
        <w:rPr>
          <w:rFonts w:ascii="Arial" w:hAnsi="Arial" w:cs="Arial"/>
          <w:bCs/>
          <w:spacing w:val="8"/>
        </w:rPr>
        <w:t xml:space="preserve"> </w:t>
      </w:r>
      <w:r>
        <w:rPr>
          <w:rFonts w:ascii="Arial" w:hAnsi="Arial" w:cs="Arial"/>
          <w:bCs/>
          <w:spacing w:val="8"/>
        </w:rPr>
        <w:t xml:space="preserve">el </w:t>
      </w:r>
      <w:r w:rsidR="003F1245">
        <w:rPr>
          <w:rFonts w:ascii="Arial" w:hAnsi="Arial" w:cs="Arial"/>
          <w:bCs/>
          <w:spacing w:val="8"/>
        </w:rPr>
        <w:t xml:space="preserve">sector </w:t>
      </w:r>
      <w:r>
        <w:rPr>
          <w:rFonts w:ascii="Arial" w:hAnsi="Arial" w:cs="Arial"/>
          <w:bCs/>
          <w:spacing w:val="8"/>
        </w:rPr>
        <w:t xml:space="preserve">terciario </w:t>
      </w:r>
      <w:r w:rsidR="00FB7848">
        <w:rPr>
          <w:rFonts w:ascii="Arial" w:hAnsi="Arial" w:cs="Arial"/>
          <w:bCs/>
          <w:spacing w:val="8"/>
        </w:rPr>
        <w:t xml:space="preserve">aumentó </w:t>
      </w:r>
      <w:r w:rsidR="0030426A">
        <w:rPr>
          <w:rFonts w:ascii="Arial" w:hAnsi="Arial" w:cs="Arial"/>
          <w:bCs/>
          <w:spacing w:val="8"/>
        </w:rPr>
        <w:t>5.4</w:t>
      </w:r>
      <w:r w:rsidR="003F1245">
        <w:rPr>
          <w:rFonts w:ascii="Arial" w:hAnsi="Arial" w:cs="Arial"/>
          <w:bCs/>
          <w:spacing w:val="8"/>
        </w:rPr>
        <w:t xml:space="preserve"> puntos porcentuales</w:t>
      </w:r>
      <w:r w:rsidR="008860B4">
        <w:rPr>
          <w:rFonts w:ascii="Arial" w:hAnsi="Arial" w:cs="Arial"/>
          <w:bCs/>
          <w:spacing w:val="8"/>
        </w:rPr>
        <w:t xml:space="preserve"> </w:t>
      </w:r>
      <w:r>
        <w:rPr>
          <w:rFonts w:ascii="Arial" w:hAnsi="Arial" w:cs="Arial"/>
          <w:bCs/>
          <w:spacing w:val="8"/>
        </w:rPr>
        <w:t xml:space="preserve">frente a una disminución del sector primario de </w:t>
      </w:r>
      <w:r w:rsidR="0030426A">
        <w:rPr>
          <w:rFonts w:ascii="Arial" w:hAnsi="Arial" w:cs="Arial"/>
          <w:bCs/>
          <w:spacing w:val="8"/>
        </w:rPr>
        <w:t>4</w:t>
      </w:r>
      <w:r w:rsidR="007142B5">
        <w:rPr>
          <w:rFonts w:ascii="Arial" w:hAnsi="Arial" w:cs="Arial"/>
          <w:bCs/>
          <w:spacing w:val="8"/>
        </w:rPr>
        <w:t>.8</w:t>
      </w:r>
      <w:r>
        <w:rPr>
          <w:rFonts w:ascii="Arial" w:hAnsi="Arial" w:cs="Arial"/>
          <w:bCs/>
          <w:spacing w:val="8"/>
        </w:rPr>
        <w:t xml:space="preserve"> puntos porcentuales y del sector secundario de </w:t>
      </w:r>
      <w:r w:rsidR="005F5D2F">
        <w:rPr>
          <w:rFonts w:ascii="Arial" w:hAnsi="Arial" w:cs="Arial"/>
          <w:bCs/>
          <w:spacing w:val="8"/>
        </w:rPr>
        <w:t>0.</w:t>
      </w:r>
      <w:r w:rsidR="0030426A">
        <w:rPr>
          <w:rFonts w:ascii="Arial" w:hAnsi="Arial" w:cs="Arial"/>
          <w:bCs/>
          <w:spacing w:val="8"/>
        </w:rPr>
        <w:t xml:space="preserve">3 </w:t>
      </w:r>
      <w:r w:rsidR="008860B4">
        <w:rPr>
          <w:rFonts w:ascii="Arial" w:hAnsi="Arial" w:cs="Arial"/>
          <w:bCs/>
          <w:spacing w:val="8"/>
        </w:rPr>
        <w:t>puntos porcentuales</w:t>
      </w:r>
      <w:r w:rsidR="00C83B9E">
        <w:rPr>
          <w:rFonts w:ascii="Arial" w:hAnsi="Arial" w:cs="Arial"/>
          <w:bCs/>
          <w:spacing w:val="8"/>
        </w:rPr>
        <w:t xml:space="preserve"> </w:t>
      </w:r>
      <w:r>
        <w:rPr>
          <w:rFonts w:ascii="Arial" w:hAnsi="Arial" w:cs="Arial"/>
          <w:bCs/>
          <w:spacing w:val="8"/>
        </w:rPr>
        <w:t>en el mismo periodo</w:t>
      </w:r>
      <w:r w:rsidR="003F1245">
        <w:rPr>
          <w:rFonts w:ascii="Arial" w:hAnsi="Arial" w:cs="Arial"/>
          <w:bCs/>
          <w:spacing w:val="8"/>
        </w:rPr>
        <w:t>.</w:t>
      </w:r>
      <w:r>
        <w:rPr>
          <w:rFonts w:ascii="Arial" w:hAnsi="Arial" w:cs="Arial"/>
          <w:bCs/>
          <w:spacing w:val="8"/>
        </w:rPr>
        <w:t xml:space="preserve"> Asimismo, en el </w:t>
      </w:r>
      <w:r w:rsidR="00177B20">
        <w:rPr>
          <w:rFonts w:ascii="Arial" w:hAnsi="Arial" w:cs="Arial"/>
          <w:bCs/>
          <w:spacing w:val="8"/>
        </w:rPr>
        <w:t>primer</w:t>
      </w:r>
      <w:r>
        <w:rPr>
          <w:rFonts w:ascii="Arial" w:hAnsi="Arial" w:cs="Arial"/>
          <w:bCs/>
          <w:spacing w:val="8"/>
        </w:rPr>
        <w:t xml:space="preserve"> trimestre </w:t>
      </w:r>
      <w:r w:rsidR="00163F99">
        <w:rPr>
          <w:rFonts w:ascii="Arial" w:hAnsi="Arial" w:cs="Arial"/>
          <w:bCs/>
          <w:spacing w:val="8"/>
        </w:rPr>
        <w:t>de 2021</w:t>
      </w:r>
      <w:r>
        <w:rPr>
          <w:rFonts w:ascii="Arial" w:hAnsi="Arial" w:cs="Arial"/>
          <w:bCs/>
          <w:spacing w:val="8"/>
        </w:rPr>
        <w:t xml:space="preserve">, el </w:t>
      </w:r>
      <w:r w:rsidR="0030426A">
        <w:rPr>
          <w:rFonts w:ascii="Arial" w:hAnsi="Arial" w:cs="Arial"/>
          <w:bCs/>
          <w:spacing w:val="8"/>
        </w:rPr>
        <w:t>67.1</w:t>
      </w:r>
      <w:r>
        <w:rPr>
          <w:rFonts w:ascii="Arial" w:hAnsi="Arial" w:cs="Arial"/>
          <w:bCs/>
          <w:spacing w:val="8"/>
        </w:rPr>
        <w:t xml:space="preserve">% de los </w:t>
      </w:r>
      <w:proofErr w:type="spellStart"/>
      <w:r>
        <w:rPr>
          <w:rFonts w:ascii="Arial" w:hAnsi="Arial" w:cs="Arial"/>
          <w:bCs/>
          <w:spacing w:val="8"/>
        </w:rPr>
        <w:t>subocupados</w:t>
      </w:r>
      <w:proofErr w:type="spellEnd"/>
      <w:r>
        <w:rPr>
          <w:rFonts w:ascii="Arial" w:hAnsi="Arial" w:cs="Arial"/>
          <w:bCs/>
          <w:spacing w:val="8"/>
        </w:rPr>
        <w:t xml:space="preserve"> laboraba en el sector terciario, </w:t>
      </w:r>
      <w:r w:rsidR="0030426A">
        <w:rPr>
          <w:rFonts w:ascii="Arial" w:hAnsi="Arial" w:cs="Arial"/>
          <w:bCs/>
          <w:spacing w:val="8"/>
        </w:rPr>
        <w:t>23</w:t>
      </w:r>
      <w:r w:rsidR="007142B5">
        <w:rPr>
          <w:rFonts w:ascii="Arial" w:hAnsi="Arial" w:cs="Arial"/>
          <w:bCs/>
          <w:spacing w:val="8"/>
        </w:rPr>
        <w:t>.</w:t>
      </w:r>
      <w:r w:rsidR="004F38E6">
        <w:rPr>
          <w:rFonts w:ascii="Arial" w:hAnsi="Arial" w:cs="Arial"/>
          <w:bCs/>
          <w:spacing w:val="8"/>
        </w:rPr>
        <w:t>5</w:t>
      </w:r>
      <w:r>
        <w:rPr>
          <w:rFonts w:ascii="Arial" w:hAnsi="Arial" w:cs="Arial"/>
          <w:bCs/>
          <w:spacing w:val="8"/>
        </w:rPr>
        <w:t xml:space="preserve">% lo hacía en el sector secundario y finalmente, </w:t>
      </w:r>
      <w:r w:rsidR="0030426A">
        <w:rPr>
          <w:rFonts w:ascii="Arial" w:hAnsi="Arial" w:cs="Arial"/>
          <w:bCs/>
          <w:spacing w:val="8"/>
        </w:rPr>
        <w:t>9.1</w:t>
      </w:r>
      <w:r>
        <w:rPr>
          <w:rFonts w:ascii="Arial" w:hAnsi="Arial" w:cs="Arial"/>
          <w:bCs/>
          <w:spacing w:val="8"/>
        </w:rPr>
        <w:t>% trabajaba en el sector primario.</w:t>
      </w:r>
    </w:p>
    <w:p w14:paraId="197AA742" w14:textId="77777777" w:rsidR="003F1245" w:rsidRDefault="003F1245" w:rsidP="009749DA">
      <w:pPr>
        <w:pStyle w:val="Prrafodelista"/>
        <w:spacing w:after="0" w:line="240" w:lineRule="auto"/>
        <w:ind w:left="0" w:right="49"/>
        <w:jc w:val="both"/>
        <w:rPr>
          <w:rFonts w:ascii="Arial" w:hAnsi="Arial" w:cs="Arial"/>
          <w:bCs/>
          <w:spacing w:val="8"/>
        </w:rPr>
      </w:pPr>
    </w:p>
    <w:p w14:paraId="116F5470" w14:textId="77777777" w:rsidR="0074035D" w:rsidRDefault="00252EDE" w:rsidP="009749DA">
      <w:pPr>
        <w:pStyle w:val="n0"/>
        <w:keepLines w:val="0"/>
        <w:spacing w:before="0"/>
        <w:ind w:left="0" w:right="49" w:firstLine="0"/>
        <w:jc w:val="center"/>
        <w:rPr>
          <w:b/>
          <w:smallCaps/>
          <w:color w:val="auto"/>
          <w:sz w:val="22"/>
          <w:szCs w:val="22"/>
        </w:rPr>
      </w:pPr>
      <w:r w:rsidRPr="00F54EC6">
        <w:rPr>
          <w:b/>
          <w:smallCaps/>
          <w:color w:val="auto"/>
          <w:sz w:val="22"/>
          <w:szCs w:val="22"/>
        </w:rPr>
        <w:t xml:space="preserve">Población </w:t>
      </w:r>
      <w:proofErr w:type="spellStart"/>
      <w:r w:rsidRPr="00F54EC6">
        <w:rPr>
          <w:b/>
          <w:smallCaps/>
          <w:color w:val="auto"/>
          <w:sz w:val="22"/>
          <w:szCs w:val="22"/>
        </w:rPr>
        <w:t>subocupada</w:t>
      </w:r>
      <w:proofErr w:type="spellEnd"/>
      <w:r w:rsidRPr="00F54EC6">
        <w:rPr>
          <w:b/>
          <w:smallCaps/>
          <w:color w:val="auto"/>
          <w:sz w:val="22"/>
          <w:szCs w:val="22"/>
        </w:rPr>
        <w:t xml:space="preserve"> según sector de actividad económica</w:t>
      </w:r>
    </w:p>
    <w:p w14:paraId="77070EC5" w14:textId="30944D2C" w:rsidR="00252EDE" w:rsidRPr="00F54EC6" w:rsidRDefault="00252EDE" w:rsidP="009749DA">
      <w:pPr>
        <w:pStyle w:val="n0"/>
        <w:keepLines w:val="0"/>
        <w:spacing w:before="0"/>
        <w:ind w:left="0" w:right="49" w:firstLine="0"/>
        <w:jc w:val="center"/>
        <w:rPr>
          <w:b/>
          <w:smallCaps/>
          <w:color w:val="auto"/>
          <w:sz w:val="22"/>
          <w:szCs w:val="22"/>
        </w:rPr>
      </w:pPr>
      <w:r w:rsidRPr="00F54EC6">
        <w:rPr>
          <w:b/>
          <w:smallCaps/>
          <w:color w:val="auto"/>
          <w:sz w:val="22"/>
          <w:szCs w:val="22"/>
        </w:rPr>
        <w:t xml:space="preserve">durante </w:t>
      </w:r>
      <w:r w:rsidR="00177695">
        <w:rPr>
          <w:b/>
          <w:smallCaps/>
          <w:color w:val="auto"/>
          <w:sz w:val="22"/>
          <w:szCs w:val="22"/>
        </w:rPr>
        <w:t xml:space="preserve">el </w:t>
      </w:r>
      <w:r w:rsidR="00177B20">
        <w:rPr>
          <w:b/>
          <w:smallCaps/>
          <w:color w:val="auto"/>
          <w:sz w:val="22"/>
          <w:szCs w:val="22"/>
        </w:rPr>
        <w:t>primer</w:t>
      </w:r>
      <w:r w:rsidR="00177695">
        <w:rPr>
          <w:b/>
          <w:smallCaps/>
          <w:color w:val="auto"/>
          <w:sz w:val="22"/>
          <w:szCs w:val="22"/>
        </w:rPr>
        <w:t xml:space="preserve"> trimestre</w:t>
      </w:r>
      <w:r w:rsidRPr="00F54EC6">
        <w:rPr>
          <w:b/>
          <w:smallCaps/>
          <w:color w:val="auto"/>
          <w:sz w:val="22"/>
          <w:szCs w:val="22"/>
        </w:rPr>
        <w:t xml:space="preserve"> de </w:t>
      </w:r>
      <w:r w:rsidR="00177B20">
        <w:rPr>
          <w:b/>
          <w:smallCaps/>
          <w:color w:val="auto"/>
          <w:sz w:val="22"/>
          <w:szCs w:val="22"/>
        </w:rPr>
        <w:t>2021</w:t>
      </w:r>
    </w:p>
    <w:p w14:paraId="64CEA3B6" w14:textId="08A80BD4" w:rsidR="0076447E" w:rsidRPr="003A795B" w:rsidRDefault="003A795B" w:rsidP="009749DA">
      <w:pPr>
        <w:spacing w:after="0" w:line="240" w:lineRule="auto"/>
        <w:ind w:right="51"/>
        <w:jc w:val="center"/>
        <w:rPr>
          <w:rFonts w:ascii="Arial" w:hAnsi="Arial" w:cs="Arial"/>
          <w:smallCaps/>
          <w:sz w:val="16"/>
          <w:szCs w:val="18"/>
        </w:rPr>
      </w:pPr>
      <w:r w:rsidRPr="003A795B">
        <w:rPr>
          <w:rFonts w:ascii="Arial" w:hAnsi="Arial" w:cs="Arial"/>
          <w:smallCaps/>
          <w:sz w:val="16"/>
          <w:szCs w:val="18"/>
        </w:rPr>
        <w:t>(PERSONAS Y PORCENTAJE)</w:t>
      </w:r>
    </w:p>
    <w:p w14:paraId="666B589A" w14:textId="043CF593" w:rsidR="0039067D" w:rsidRDefault="0044404D" w:rsidP="009749DA">
      <w:pPr>
        <w:spacing w:after="0" w:line="240" w:lineRule="auto"/>
        <w:ind w:right="51"/>
        <w:jc w:val="center"/>
        <w:rPr>
          <w:rFonts w:ascii="Arial" w:hAnsi="Arial" w:cs="Arial"/>
          <w:smallCaps/>
          <w:sz w:val="20"/>
        </w:rPr>
      </w:pPr>
      <w:r w:rsidRPr="0044404D">
        <w:rPr>
          <w:noProof/>
        </w:rPr>
        <w:drawing>
          <wp:inline distT="0" distB="0" distL="0" distR="0" wp14:anchorId="56225A13" wp14:editId="401517C0">
            <wp:extent cx="5610225" cy="175260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10225" cy="1752600"/>
                    </a:xfrm>
                    <a:prstGeom prst="rect">
                      <a:avLst/>
                    </a:prstGeom>
                    <a:noFill/>
                    <a:ln>
                      <a:noFill/>
                    </a:ln>
                  </pic:spPr>
                </pic:pic>
              </a:graphicData>
            </a:graphic>
          </wp:inline>
        </w:drawing>
      </w:r>
    </w:p>
    <w:p w14:paraId="75F7A16D" w14:textId="77777777" w:rsidR="006E302F" w:rsidRDefault="006E302F" w:rsidP="006E302F">
      <w:pPr>
        <w:tabs>
          <w:tab w:val="left" w:pos="851"/>
        </w:tabs>
        <w:spacing w:after="0" w:line="240" w:lineRule="auto"/>
        <w:ind w:left="142" w:right="333"/>
        <w:rPr>
          <w:rFonts w:ascii="Arial" w:hAnsi="Arial" w:cs="Arial"/>
          <w:noProof/>
          <w:sz w:val="14"/>
          <w:szCs w:val="14"/>
          <w:lang w:val="es-ES" w:eastAsia="es-ES"/>
        </w:rPr>
      </w:pPr>
      <w:r>
        <w:rPr>
          <w:rFonts w:ascii="Arial" w:hAnsi="Arial" w:cs="Arial"/>
          <w:noProof/>
          <w:sz w:val="14"/>
          <w:szCs w:val="14"/>
          <w:lang w:val="es-ES" w:eastAsia="es-ES"/>
        </w:rPr>
        <w:t>Fuente:</w:t>
      </w:r>
      <w:r>
        <w:rPr>
          <w:rFonts w:ascii="Arial" w:hAnsi="Arial" w:cs="Arial"/>
          <w:noProof/>
          <w:sz w:val="14"/>
          <w:szCs w:val="14"/>
          <w:lang w:val="es-ES" w:eastAsia="es-ES"/>
        </w:rPr>
        <w:tab/>
        <w:t>INEGI. Encuesta Nacional de Ocupación y Empleo. Nueva Edición, primer trimestre de 2021.</w:t>
      </w:r>
    </w:p>
    <w:p w14:paraId="37F8BAD3" w14:textId="77777777" w:rsidR="006E302F" w:rsidRDefault="006E302F" w:rsidP="006E302F">
      <w:pPr>
        <w:tabs>
          <w:tab w:val="left" w:pos="851"/>
        </w:tabs>
        <w:spacing w:after="0" w:line="240" w:lineRule="auto"/>
        <w:ind w:left="142" w:right="333"/>
      </w:pPr>
      <w:r>
        <w:rPr>
          <w:rFonts w:ascii="Arial" w:hAnsi="Arial" w:cs="Arial"/>
          <w:noProof/>
          <w:sz w:val="14"/>
          <w:szCs w:val="14"/>
          <w:lang w:val="es-ES" w:eastAsia="es-ES"/>
        </w:rPr>
        <w:tab/>
        <w:t>INEGI. Encuesta Nacional de Ocupación y Empleo, primer trimestre de 2020.</w:t>
      </w:r>
    </w:p>
    <w:p w14:paraId="7065A54F" w14:textId="77777777" w:rsidR="00314301" w:rsidRDefault="00314301" w:rsidP="009749DA">
      <w:pPr>
        <w:pStyle w:val="n0"/>
        <w:keepLines w:val="0"/>
        <w:spacing w:before="0"/>
        <w:ind w:left="0" w:right="49" w:firstLine="0"/>
        <w:jc w:val="left"/>
        <w:rPr>
          <w:b/>
          <w:smallCaps/>
          <w:color w:val="auto"/>
          <w:sz w:val="22"/>
          <w:szCs w:val="22"/>
        </w:rPr>
      </w:pPr>
    </w:p>
    <w:p w14:paraId="50E561D6" w14:textId="0B239DB3" w:rsidR="00EF4921" w:rsidRDefault="00EF4921" w:rsidP="009749DA">
      <w:pPr>
        <w:pStyle w:val="n0"/>
        <w:keepLines w:val="0"/>
        <w:spacing w:before="0"/>
        <w:ind w:left="0" w:right="49" w:firstLine="0"/>
        <w:jc w:val="left"/>
        <w:rPr>
          <w:b/>
          <w:smallCaps/>
          <w:color w:val="auto"/>
          <w:sz w:val="22"/>
          <w:szCs w:val="22"/>
        </w:rPr>
      </w:pPr>
      <w:r w:rsidRPr="00F54EC6">
        <w:rPr>
          <w:b/>
          <w:smallCaps/>
          <w:color w:val="auto"/>
          <w:sz w:val="22"/>
          <w:szCs w:val="22"/>
        </w:rPr>
        <w:t>OCUPACIÓN INFORMAL</w:t>
      </w:r>
    </w:p>
    <w:p w14:paraId="0AE721C4" w14:textId="77777777" w:rsidR="00EF4921" w:rsidRPr="00F54EC6" w:rsidRDefault="00EF4921" w:rsidP="009749DA">
      <w:pPr>
        <w:pStyle w:val="n0"/>
        <w:keepLines w:val="0"/>
        <w:spacing w:before="0"/>
        <w:ind w:left="0" w:right="49" w:firstLine="0"/>
        <w:jc w:val="left"/>
        <w:rPr>
          <w:b/>
          <w:smallCaps/>
          <w:color w:val="auto"/>
          <w:sz w:val="22"/>
          <w:szCs w:val="22"/>
        </w:rPr>
      </w:pPr>
    </w:p>
    <w:p w14:paraId="60071991" w14:textId="555DA130" w:rsidR="003F4FB4" w:rsidRDefault="00EF4921" w:rsidP="007E2E7F">
      <w:pPr>
        <w:pStyle w:val="n0"/>
        <w:keepLines w:val="0"/>
        <w:tabs>
          <w:tab w:val="left" w:pos="5529"/>
        </w:tabs>
        <w:spacing w:before="0"/>
        <w:ind w:left="0" w:right="49" w:firstLine="0"/>
        <w:rPr>
          <w:bCs/>
          <w:color w:val="auto"/>
          <w:spacing w:val="10"/>
          <w:sz w:val="22"/>
          <w:szCs w:val="22"/>
        </w:rPr>
      </w:pPr>
      <w:r w:rsidRPr="00F54EC6">
        <w:rPr>
          <w:bCs/>
          <w:color w:val="auto"/>
          <w:spacing w:val="10"/>
          <w:sz w:val="22"/>
          <w:szCs w:val="22"/>
        </w:rPr>
        <w:t xml:space="preserve">La población ocupada </w:t>
      </w:r>
      <w:r w:rsidR="00F37682">
        <w:rPr>
          <w:bCs/>
          <w:color w:val="auto"/>
          <w:spacing w:val="10"/>
          <w:sz w:val="22"/>
          <w:szCs w:val="22"/>
        </w:rPr>
        <w:t xml:space="preserve">informal, que comprende a los </w:t>
      </w:r>
      <w:r w:rsidR="00F37682" w:rsidRPr="00CC15D8">
        <w:rPr>
          <w:color w:val="auto"/>
          <w:sz w:val="22"/>
          <w:szCs w:val="22"/>
        </w:rPr>
        <w:t>ocupados que son laboralmente vulnerables por la naturaleza de la unidad económica para la que trabajan</w:t>
      </w:r>
      <w:r w:rsidR="00F37682">
        <w:rPr>
          <w:color w:val="auto"/>
          <w:sz w:val="22"/>
          <w:szCs w:val="22"/>
        </w:rPr>
        <w:t>,</w:t>
      </w:r>
      <w:r w:rsidR="00F37682" w:rsidRPr="00CC15D8">
        <w:rPr>
          <w:color w:val="auto"/>
          <w:sz w:val="22"/>
          <w:szCs w:val="22"/>
        </w:rPr>
        <w:t xml:space="preserve"> como aquellos cuyo vínculo o dependencia laboral no es reconocido por su fuente de trabajo</w:t>
      </w:r>
      <w:r w:rsidR="006976A8">
        <w:rPr>
          <w:color w:val="auto"/>
          <w:sz w:val="22"/>
          <w:szCs w:val="22"/>
        </w:rPr>
        <w:t>, e</w:t>
      </w:r>
      <w:r w:rsidRPr="00F54EC6">
        <w:rPr>
          <w:bCs/>
          <w:color w:val="auto"/>
          <w:spacing w:val="10"/>
          <w:sz w:val="22"/>
          <w:szCs w:val="22"/>
        </w:rPr>
        <w:t xml:space="preserve">n </w:t>
      </w:r>
      <w:r w:rsidR="00177695">
        <w:rPr>
          <w:bCs/>
          <w:color w:val="auto"/>
          <w:spacing w:val="10"/>
          <w:sz w:val="22"/>
          <w:szCs w:val="22"/>
        </w:rPr>
        <w:t xml:space="preserve">el </w:t>
      </w:r>
      <w:r w:rsidR="00163F99">
        <w:rPr>
          <w:bCs/>
          <w:color w:val="auto"/>
          <w:spacing w:val="10"/>
          <w:sz w:val="22"/>
          <w:szCs w:val="22"/>
        </w:rPr>
        <w:t xml:space="preserve">primer </w:t>
      </w:r>
      <w:r w:rsidR="00177695">
        <w:rPr>
          <w:bCs/>
          <w:color w:val="auto"/>
          <w:spacing w:val="10"/>
          <w:sz w:val="22"/>
          <w:szCs w:val="22"/>
        </w:rPr>
        <w:t>trimestre</w:t>
      </w:r>
      <w:r w:rsidRPr="00F54EC6">
        <w:rPr>
          <w:bCs/>
          <w:color w:val="auto"/>
          <w:spacing w:val="10"/>
          <w:sz w:val="22"/>
          <w:szCs w:val="22"/>
        </w:rPr>
        <w:t xml:space="preserve"> de </w:t>
      </w:r>
      <w:r w:rsidR="00177B20">
        <w:rPr>
          <w:bCs/>
          <w:color w:val="auto"/>
          <w:spacing w:val="10"/>
          <w:sz w:val="22"/>
          <w:szCs w:val="22"/>
        </w:rPr>
        <w:t>2021</w:t>
      </w:r>
      <w:r w:rsidRPr="00F54EC6">
        <w:rPr>
          <w:bCs/>
          <w:color w:val="auto"/>
          <w:spacing w:val="10"/>
          <w:sz w:val="22"/>
          <w:szCs w:val="22"/>
        </w:rPr>
        <w:t xml:space="preserve"> fue de </w:t>
      </w:r>
      <w:r w:rsidR="00D97242">
        <w:rPr>
          <w:bCs/>
          <w:color w:val="auto"/>
          <w:spacing w:val="10"/>
          <w:sz w:val="22"/>
          <w:szCs w:val="22"/>
        </w:rPr>
        <w:t>2</w:t>
      </w:r>
      <w:r w:rsidR="007142B5">
        <w:rPr>
          <w:bCs/>
          <w:color w:val="auto"/>
          <w:spacing w:val="10"/>
          <w:sz w:val="22"/>
          <w:szCs w:val="22"/>
        </w:rPr>
        <w:t>9.</w:t>
      </w:r>
      <w:r w:rsidR="007A167F">
        <w:rPr>
          <w:bCs/>
          <w:color w:val="auto"/>
          <w:spacing w:val="10"/>
          <w:sz w:val="22"/>
          <w:szCs w:val="22"/>
        </w:rPr>
        <w:t>2</w:t>
      </w:r>
      <w:r w:rsidR="007A167F" w:rsidRPr="00F54EC6">
        <w:rPr>
          <w:bCs/>
          <w:color w:val="auto"/>
          <w:spacing w:val="10"/>
          <w:sz w:val="22"/>
          <w:szCs w:val="22"/>
        </w:rPr>
        <w:t xml:space="preserve"> </w:t>
      </w:r>
      <w:r w:rsidR="000E7BE6" w:rsidRPr="00F54EC6">
        <w:rPr>
          <w:bCs/>
          <w:color w:val="auto"/>
          <w:spacing w:val="10"/>
          <w:sz w:val="22"/>
          <w:szCs w:val="22"/>
        </w:rPr>
        <w:t xml:space="preserve">millones, </w:t>
      </w:r>
      <w:r w:rsidR="007142B5">
        <w:rPr>
          <w:bCs/>
          <w:color w:val="auto"/>
          <w:spacing w:val="10"/>
          <w:sz w:val="22"/>
          <w:szCs w:val="22"/>
        </w:rPr>
        <w:t>1.</w:t>
      </w:r>
      <w:r w:rsidR="007A167F">
        <w:rPr>
          <w:bCs/>
          <w:color w:val="auto"/>
          <w:spacing w:val="10"/>
          <w:sz w:val="22"/>
          <w:szCs w:val="22"/>
        </w:rPr>
        <w:t xml:space="preserve">6 </w:t>
      </w:r>
      <w:r w:rsidR="004A5619">
        <w:rPr>
          <w:bCs/>
          <w:color w:val="auto"/>
          <w:spacing w:val="10"/>
          <w:sz w:val="22"/>
          <w:szCs w:val="22"/>
        </w:rPr>
        <w:t>millones menos comparado con igual trimestre de</w:t>
      </w:r>
      <w:r w:rsidR="007142B5">
        <w:rPr>
          <w:bCs/>
          <w:color w:val="auto"/>
          <w:spacing w:val="10"/>
          <w:sz w:val="22"/>
          <w:szCs w:val="22"/>
        </w:rPr>
        <w:t xml:space="preserve"> </w:t>
      </w:r>
      <w:r w:rsidR="00177B20">
        <w:rPr>
          <w:bCs/>
          <w:color w:val="auto"/>
          <w:spacing w:val="10"/>
          <w:sz w:val="22"/>
          <w:szCs w:val="22"/>
        </w:rPr>
        <w:t>2020</w:t>
      </w:r>
      <w:r w:rsidR="00030476">
        <w:rPr>
          <w:bCs/>
          <w:color w:val="auto"/>
          <w:spacing w:val="10"/>
          <w:sz w:val="22"/>
          <w:szCs w:val="22"/>
        </w:rPr>
        <w:t>.</w:t>
      </w:r>
      <w:r w:rsidR="00734FF7">
        <w:rPr>
          <w:bCs/>
          <w:color w:val="auto"/>
          <w:spacing w:val="10"/>
          <w:sz w:val="22"/>
          <w:szCs w:val="22"/>
        </w:rPr>
        <w:t xml:space="preserve"> Dicho comportamiento s</w:t>
      </w:r>
      <w:r w:rsidR="00734FF7" w:rsidRPr="007E39EE">
        <w:rPr>
          <w:color w:val="auto"/>
          <w:sz w:val="22"/>
          <w:szCs w:val="22"/>
        </w:rPr>
        <w:t xml:space="preserve">e </w:t>
      </w:r>
      <w:r w:rsidR="00734FF7">
        <w:rPr>
          <w:bCs/>
          <w:color w:val="auto"/>
          <w:spacing w:val="10"/>
          <w:sz w:val="22"/>
          <w:szCs w:val="22"/>
        </w:rPr>
        <w:t xml:space="preserve">debió </w:t>
      </w:r>
      <w:r w:rsidR="00F22B5D">
        <w:rPr>
          <w:bCs/>
          <w:color w:val="auto"/>
          <w:spacing w:val="10"/>
          <w:sz w:val="22"/>
          <w:szCs w:val="22"/>
        </w:rPr>
        <w:t>a una disminución de 1.</w:t>
      </w:r>
      <w:r w:rsidR="007A167F">
        <w:rPr>
          <w:bCs/>
          <w:color w:val="auto"/>
          <w:spacing w:val="10"/>
          <w:sz w:val="22"/>
          <w:szCs w:val="22"/>
        </w:rPr>
        <w:t xml:space="preserve">3 </w:t>
      </w:r>
      <w:r w:rsidR="00F22B5D">
        <w:rPr>
          <w:bCs/>
          <w:color w:val="auto"/>
          <w:spacing w:val="10"/>
          <w:sz w:val="22"/>
          <w:szCs w:val="22"/>
        </w:rPr>
        <w:t xml:space="preserve">millones de ocupados </w:t>
      </w:r>
      <w:r w:rsidR="007142B5">
        <w:rPr>
          <w:bCs/>
          <w:color w:val="auto"/>
          <w:spacing w:val="10"/>
          <w:sz w:val="22"/>
          <w:szCs w:val="22"/>
        </w:rPr>
        <w:t>fuera d</w:t>
      </w:r>
      <w:r w:rsidR="00F22B5D">
        <w:rPr>
          <w:bCs/>
          <w:color w:val="auto"/>
          <w:spacing w:val="10"/>
          <w:sz w:val="22"/>
          <w:szCs w:val="22"/>
        </w:rPr>
        <w:t xml:space="preserve">el </w:t>
      </w:r>
      <w:r w:rsidR="00734FF7">
        <w:rPr>
          <w:bCs/>
          <w:color w:val="auto"/>
          <w:spacing w:val="10"/>
          <w:sz w:val="22"/>
          <w:szCs w:val="22"/>
        </w:rPr>
        <w:t xml:space="preserve">sector informal que pasó de </w:t>
      </w:r>
      <w:r w:rsidR="007142B5">
        <w:rPr>
          <w:bCs/>
          <w:color w:val="auto"/>
          <w:spacing w:val="10"/>
          <w:sz w:val="22"/>
          <w:szCs w:val="22"/>
        </w:rPr>
        <w:t>1</w:t>
      </w:r>
      <w:r w:rsidR="007A167F">
        <w:rPr>
          <w:bCs/>
          <w:color w:val="auto"/>
          <w:spacing w:val="10"/>
          <w:sz w:val="22"/>
          <w:szCs w:val="22"/>
        </w:rPr>
        <w:t>5.</w:t>
      </w:r>
      <w:r w:rsidR="007142B5">
        <w:rPr>
          <w:bCs/>
          <w:color w:val="auto"/>
          <w:spacing w:val="10"/>
          <w:sz w:val="22"/>
          <w:szCs w:val="22"/>
        </w:rPr>
        <w:t>6</w:t>
      </w:r>
      <w:r w:rsidR="00F22B5D">
        <w:rPr>
          <w:bCs/>
          <w:color w:val="auto"/>
          <w:spacing w:val="10"/>
          <w:sz w:val="22"/>
          <w:szCs w:val="22"/>
        </w:rPr>
        <w:t xml:space="preserve"> </w:t>
      </w:r>
      <w:r w:rsidR="00734FF7">
        <w:rPr>
          <w:bCs/>
          <w:color w:val="auto"/>
          <w:spacing w:val="10"/>
          <w:sz w:val="22"/>
          <w:szCs w:val="22"/>
        </w:rPr>
        <w:t xml:space="preserve">millones </w:t>
      </w:r>
      <w:r w:rsidR="00F22B5D">
        <w:rPr>
          <w:bCs/>
          <w:color w:val="auto"/>
          <w:spacing w:val="10"/>
          <w:sz w:val="22"/>
          <w:szCs w:val="22"/>
        </w:rPr>
        <w:t xml:space="preserve">en el </w:t>
      </w:r>
      <w:r w:rsidR="00177B20">
        <w:rPr>
          <w:bCs/>
          <w:color w:val="auto"/>
          <w:spacing w:val="10"/>
          <w:sz w:val="22"/>
          <w:szCs w:val="22"/>
        </w:rPr>
        <w:t>primer</w:t>
      </w:r>
      <w:r w:rsidR="00F22B5D">
        <w:rPr>
          <w:bCs/>
          <w:color w:val="auto"/>
          <w:spacing w:val="10"/>
          <w:sz w:val="22"/>
          <w:szCs w:val="22"/>
        </w:rPr>
        <w:t xml:space="preserve"> trimestre de </w:t>
      </w:r>
      <w:r w:rsidR="00177B20">
        <w:rPr>
          <w:bCs/>
          <w:color w:val="auto"/>
          <w:spacing w:val="10"/>
          <w:sz w:val="22"/>
          <w:szCs w:val="22"/>
        </w:rPr>
        <w:t>2020</w:t>
      </w:r>
      <w:r w:rsidR="00F22B5D">
        <w:rPr>
          <w:bCs/>
          <w:color w:val="auto"/>
          <w:spacing w:val="10"/>
          <w:sz w:val="22"/>
          <w:szCs w:val="22"/>
        </w:rPr>
        <w:t xml:space="preserve"> </w:t>
      </w:r>
      <w:r w:rsidR="00734FF7">
        <w:rPr>
          <w:bCs/>
          <w:color w:val="auto"/>
          <w:spacing w:val="10"/>
          <w:sz w:val="22"/>
          <w:szCs w:val="22"/>
        </w:rPr>
        <w:t xml:space="preserve">a </w:t>
      </w:r>
      <w:r w:rsidR="007142B5">
        <w:rPr>
          <w:bCs/>
          <w:color w:val="auto"/>
          <w:spacing w:val="10"/>
          <w:sz w:val="22"/>
          <w:szCs w:val="22"/>
        </w:rPr>
        <w:t>14.</w:t>
      </w:r>
      <w:r w:rsidR="007A167F">
        <w:rPr>
          <w:bCs/>
          <w:color w:val="auto"/>
          <w:spacing w:val="10"/>
          <w:sz w:val="22"/>
          <w:szCs w:val="22"/>
        </w:rPr>
        <w:t xml:space="preserve">3 </w:t>
      </w:r>
      <w:r w:rsidR="00734FF7">
        <w:rPr>
          <w:bCs/>
          <w:color w:val="auto"/>
          <w:spacing w:val="10"/>
          <w:sz w:val="22"/>
          <w:szCs w:val="22"/>
        </w:rPr>
        <w:t xml:space="preserve">millones en </w:t>
      </w:r>
      <w:r w:rsidR="00177695">
        <w:rPr>
          <w:bCs/>
          <w:color w:val="auto"/>
          <w:spacing w:val="10"/>
          <w:sz w:val="22"/>
          <w:szCs w:val="22"/>
        </w:rPr>
        <w:t xml:space="preserve">el </w:t>
      </w:r>
      <w:r w:rsidR="00177B20">
        <w:rPr>
          <w:bCs/>
          <w:color w:val="auto"/>
          <w:spacing w:val="10"/>
          <w:sz w:val="22"/>
          <w:szCs w:val="22"/>
        </w:rPr>
        <w:t>primer</w:t>
      </w:r>
      <w:r w:rsidR="00177695">
        <w:rPr>
          <w:bCs/>
          <w:color w:val="auto"/>
          <w:spacing w:val="10"/>
          <w:sz w:val="22"/>
          <w:szCs w:val="22"/>
        </w:rPr>
        <w:t xml:space="preserve"> trimestre</w:t>
      </w:r>
      <w:r w:rsidR="0008467F">
        <w:rPr>
          <w:bCs/>
          <w:color w:val="auto"/>
          <w:spacing w:val="10"/>
          <w:sz w:val="22"/>
          <w:szCs w:val="22"/>
        </w:rPr>
        <w:t xml:space="preserve"> de </w:t>
      </w:r>
      <w:r w:rsidR="00177B20">
        <w:rPr>
          <w:bCs/>
          <w:color w:val="auto"/>
          <w:spacing w:val="10"/>
          <w:sz w:val="22"/>
          <w:szCs w:val="22"/>
        </w:rPr>
        <w:t>2021</w:t>
      </w:r>
      <w:r w:rsidR="00F22B5D">
        <w:rPr>
          <w:bCs/>
          <w:color w:val="auto"/>
          <w:spacing w:val="10"/>
          <w:sz w:val="22"/>
          <w:szCs w:val="22"/>
        </w:rPr>
        <w:t xml:space="preserve">; mientras que la ocupación </w:t>
      </w:r>
      <w:r w:rsidR="007142B5">
        <w:rPr>
          <w:bCs/>
          <w:color w:val="auto"/>
          <w:spacing w:val="10"/>
          <w:sz w:val="22"/>
          <w:szCs w:val="22"/>
        </w:rPr>
        <w:t>en el</w:t>
      </w:r>
      <w:r w:rsidR="00F22B5D">
        <w:rPr>
          <w:bCs/>
          <w:color w:val="auto"/>
          <w:spacing w:val="10"/>
          <w:sz w:val="22"/>
          <w:szCs w:val="22"/>
        </w:rPr>
        <w:t xml:space="preserve"> sector informal disminuyó </w:t>
      </w:r>
      <w:r w:rsidR="007A167F">
        <w:rPr>
          <w:bCs/>
          <w:color w:val="auto"/>
          <w:spacing w:val="10"/>
          <w:sz w:val="22"/>
          <w:szCs w:val="22"/>
        </w:rPr>
        <w:t xml:space="preserve">316 </w:t>
      </w:r>
      <w:r w:rsidR="00F22B5D">
        <w:rPr>
          <w:bCs/>
          <w:color w:val="auto"/>
          <w:spacing w:val="10"/>
          <w:sz w:val="22"/>
          <w:szCs w:val="22"/>
        </w:rPr>
        <w:t>mil</w:t>
      </w:r>
      <w:r w:rsidR="000F1730">
        <w:rPr>
          <w:bCs/>
          <w:color w:val="auto"/>
          <w:spacing w:val="10"/>
          <w:sz w:val="22"/>
          <w:szCs w:val="22"/>
        </w:rPr>
        <w:t xml:space="preserve"> personas</w:t>
      </w:r>
      <w:r w:rsidR="00F22B5D">
        <w:rPr>
          <w:bCs/>
          <w:color w:val="auto"/>
          <w:spacing w:val="10"/>
          <w:sz w:val="22"/>
          <w:szCs w:val="22"/>
        </w:rPr>
        <w:t xml:space="preserve"> al pasar de 15.</w:t>
      </w:r>
      <w:r w:rsidR="007A167F">
        <w:rPr>
          <w:bCs/>
          <w:color w:val="auto"/>
          <w:spacing w:val="10"/>
          <w:sz w:val="22"/>
          <w:szCs w:val="22"/>
        </w:rPr>
        <w:t xml:space="preserve">1 </w:t>
      </w:r>
      <w:r w:rsidR="00F22B5D">
        <w:rPr>
          <w:bCs/>
          <w:color w:val="auto"/>
          <w:spacing w:val="10"/>
          <w:sz w:val="22"/>
          <w:szCs w:val="22"/>
        </w:rPr>
        <w:t>millones a 14</w:t>
      </w:r>
      <w:r w:rsidR="007142B5">
        <w:rPr>
          <w:bCs/>
          <w:color w:val="auto"/>
          <w:spacing w:val="10"/>
          <w:sz w:val="22"/>
          <w:szCs w:val="22"/>
        </w:rPr>
        <w:t>.</w:t>
      </w:r>
      <w:r w:rsidR="007A167F">
        <w:rPr>
          <w:bCs/>
          <w:color w:val="auto"/>
          <w:spacing w:val="10"/>
          <w:sz w:val="22"/>
          <w:szCs w:val="22"/>
        </w:rPr>
        <w:t xml:space="preserve">8 </w:t>
      </w:r>
      <w:r w:rsidR="00F22B5D">
        <w:rPr>
          <w:bCs/>
          <w:color w:val="auto"/>
          <w:spacing w:val="10"/>
          <w:sz w:val="22"/>
          <w:szCs w:val="22"/>
        </w:rPr>
        <w:t>millones en el mismo periodo.</w:t>
      </w:r>
    </w:p>
    <w:p w14:paraId="0B6CC6D1" w14:textId="77777777" w:rsidR="008860B4" w:rsidRPr="00F54EC6" w:rsidRDefault="008860B4" w:rsidP="009749DA">
      <w:pPr>
        <w:pStyle w:val="n0"/>
        <w:keepLines w:val="0"/>
        <w:spacing w:before="0"/>
        <w:ind w:left="0" w:right="49" w:firstLine="0"/>
        <w:rPr>
          <w:bCs/>
          <w:color w:val="auto"/>
          <w:spacing w:val="10"/>
          <w:sz w:val="22"/>
          <w:szCs w:val="22"/>
        </w:rPr>
      </w:pPr>
    </w:p>
    <w:p w14:paraId="0253D4C5" w14:textId="4CA655A8" w:rsidR="00685A0A" w:rsidRPr="00674B11" w:rsidRDefault="00685A0A" w:rsidP="009749DA">
      <w:pPr>
        <w:pStyle w:val="n0"/>
        <w:keepLines w:val="0"/>
        <w:spacing w:before="0"/>
        <w:ind w:left="0" w:right="49" w:firstLine="0"/>
        <w:jc w:val="center"/>
        <w:rPr>
          <w:b/>
          <w:smallCaps/>
          <w:color w:val="auto"/>
          <w:sz w:val="22"/>
          <w:szCs w:val="22"/>
        </w:rPr>
      </w:pPr>
      <w:r>
        <w:rPr>
          <w:b/>
          <w:smallCaps/>
          <w:color w:val="auto"/>
          <w:sz w:val="22"/>
          <w:szCs w:val="22"/>
        </w:rPr>
        <w:t xml:space="preserve">Gráfico </w:t>
      </w:r>
      <w:r w:rsidR="00AD2164">
        <w:rPr>
          <w:b/>
          <w:smallCaps/>
          <w:color w:val="auto"/>
          <w:sz w:val="22"/>
          <w:szCs w:val="22"/>
        </w:rPr>
        <w:t>4</w:t>
      </w:r>
      <w:r>
        <w:rPr>
          <w:b/>
          <w:smallCaps/>
          <w:color w:val="auto"/>
          <w:sz w:val="22"/>
          <w:szCs w:val="22"/>
        </w:rPr>
        <w:t xml:space="preserve">. </w:t>
      </w:r>
      <w:r w:rsidR="00AA57BA">
        <w:rPr>
          <w:b/>
          <w:smallCaps/>
          <w:color w:val="auto"/>
          <w:sz w:val="22"/>
          <w:szCs w:val="22"/>
        </w:rPr>
        <w:t xml:space="preserve">Población en </w:t>
      </w:r>
      <w:r>
        <w:rPr>
          <w:b/>
          <w:smallCaps/>
          <w:color w:val="auto"/>
          <w:sz w:val="22"/>
          <w:szCs w:val="22"/>
        </w:rPr>
        <w:t>ocupación</w:t>
      </w:r>
      <w:r w:rsidRPr="00B5576B">
        <w:rPr>
          <w:b/>
          <w:smallCaps/>
          <w:color w:val="auto"/>
          <w:sz w:val="22"/>
          <w:szCs w:val="22"/>
        </w:rPr>
        <w:t xml:space="preserve"> </w:t>
      </w:r>
      <w:r w:rsidR="00AA57BA">
        <w:rPr>
          <w:b/>
          <w:smallCaps/>
          <w:color w:val="auto"/>
          <w:sz w:val="22"/>
          <w:szCs w:val="22"/>
        </w:rPr>
        <w:t xml:space="preserve">informal </w:t>
      </w:r>
      <w:r w:rsidRPr="00B5576B">
        <w:rPr>
          <w:b/>
          <w:smallCaps/>
          <w:color w:val="auto"/>
          <w:sz w:val="22"/>
          <w:szCs w:val="22"/>
        </w:rPr>
        <w:t>E</w:t>
      </w:r>
      <w:r w:rsidR="00B7794A">
        <w:rPr>
          <w:b/>
          <w:smallCaps/>
          <w:color w:val="auto"/>
          <w:sz w:val="22"/>
          <w:szCs w:val="22"/>
        </w:rPr>
        <w:t>N</w:t>
      </w:r>
      <w:r w:rsidRPr="00B5576B">
        <w:rPr>
          <w:b/>
          <w:smallCaps/>
          <w:color w:val="auto"/>
          <w:sz w:val="22"/>
          <w:szCs w:val="22"/>
        </w:rPr>
        <w:t>OE</w:t>
      </w:r>
      <w:r w:rsidR="00F66482">
        <w:rPr>
          <w:b/>
          <w:smallCaps/>
          <w:color w:val="auto"/>
          <w:sz w:val="22"/>
          <w:szCs w:val="22"/>
          <w:vertAlign w:val="superscript"/>
        </w:rPr>
        <w:t>N</w:t>
      </w:r>
      <w:r w:rsidRPr="00B5576B">
        <w:rPr>
          <w:b/>
          <w:smallCaps/>
          <w:color w:val="auto"/>
          <w:sz w:val="22"/>
          <w:szCs w:val="22"/>
        </w:rPr>
        <w:t xml:space="preserve"> </w:t>
      </w:r>
      <w:r w:rsidRPr="00674B11">
        <w:rPr>
          <w:b/>
          <w:smallCaps/>
          <w:color w:val="auto"/>
          <w:sz w:val="22"/>
          <w:szCs w:val="22"/>
        </w:rPr>
        <w:t>a</w:t>
      </w:r>
      <w:r w:rsidR="003966E8" w:rsidRPr="00674B11">
        <w:rPr>
          <w:b/>
          <w:smallCaps/>
          <w:color w:val="auto"/>
          <w:sz w:val="22"/>
          <w:szCs w:val="22"/>
        </w:rPr>
        <w:t xml:space="preserve">l </w:t>
      </w:r>
      <w:r w:rsidR="00177B20">
        <w:rPr>
          <w:b/>
          <w:smallCaps/>
          <w:color w:val="auto"/>
          <w:sz w:val="22"/>
          <w:szCs w:val="22"/>
        </w:rPr>
        <w:t>primer</w:t>
      </w:r>
      <w:r w:rsidR="00177695">
        <w:rPr>
          <w:b/>
          <w:smallCaps/>
          <w:color w:val="auto"/>
          <w:sz w:val="22"/>
          <w:szCs w:val="22"/>
        </w:rPr>
        <w:t xml:space="preserve"> trimestre</w:t>
      </w:r>
      <w:r w:rsidRPr="00674B11">
        <w:rPr>
          <w:b/>
          <w:smallCaps/>
          <w:color w:val="auto"/>
          <w:sz w:val="22"/>
          <w:szCs w:val="22"/>
        </w:rPr>
        <w:t xml:space="preserve"> de </w:t>
      </w:r>
      <w:r w:rsidR="00177B20">
        <w:rPr>
          <w:b/>
          <w:smallCaps/>
          <w:color w:val="auto"/>
          <w:sz w:val="22"/>
          <w:szCs w:val="22"/>
        </w:rPr>
        <w:t>2021</w:t>
      </w:r>
      <w:r w:rsidRPr="00674B11">
        <w:rPr>
          <w:b/>
          <w:smallCaps/>
          <w:color w:val="auto"/>
          <w:sz w:val="22"/>
          <w:szCs w:val="22"/>
        </w:rPr>
        <w:t xml:space="preserve"> </w:t>
      </w:r>
    </w:p>
    <w:p w14:paraId="1E67C0BF" w14:textId="244051AA" w:rsidR="00685A0A" w:rsidRDefault="00685A0A" w:rsidP="00D55E3E">
      <w:pPr>
        <w:pStyle w:val="n0"/>
        <w:keepLines w:val="0"/>
        <w:spacing w:before="0"/>
        <w:ind w:left="0" w:right="49" w:firstLine="0"/>
        <w:jc w:val="center"/>
        <w:rPr>
          <w:b/>
          <w:smallCaps/>
          <w:color w:val="auto"/>
          <w:sz w:val="22"/>
          <w:szCs w:val="22"/>
        </w:rPr>
      </w:pPr>
      <w:r w:rsidRPr="00674B11">
        <w:rPr>
          <w:b/>
          <w:smallCaps/>
          <w:color w:val="auto"/>
          <w:sz w:val="22"/>
          <w:szCs w:val="22"/>
        </w:rPr>
        <w:t>(</w:t>
      </w:r>
      <w:r w:rsidR="008A6B5B" w:rsidRPr="00674B11">
        <w:rPr>
          <w:b/>
          <w:smallCaps/>
          <w:color w:val="auto"/>
          <w:sz w:val="22"/>
          <w:szCs w:val="22"/>
        </w:rPr>
        <w:t>millones de personas</w:t>
      </w:r>
      <w:r w:rsidRPr="00674B11">
        <w:rPr>
          <w:b/>
          <w:smallCaps/>
          <w:color w:val="auto"/>
          <w:sz w:val="22"/>
          <w:szCs w:val="22"/>
        </w:rPr>
        <w:t>)</w:t>
      </w:r>
    </w:p>
    <w:p w14:paraId="0D5A1BA2" w14:textId="17DFEA33" w:rsidR="0039067D" w:rsidRPr="000C3FA1" w:rsidRDefault="00A42494" w:rsidP="000C3FA1">
      <w:pPr>
        <w:pStyle w:val="n0"/>
        <w:keepLines w:val="0"/>
        <w:spacing w:before="0"/>
        <w:ind w:left="0" w:right="49" w:firstLine="0"/>
        <w:jc w:val="center"/>
        <w:rPr>
          <w:b/>
          <w:smallCaps/>
          <w:color w:val="auto"/>
          <w:sz w:val="22"/>
          <w:szCs w:val="22"/>
        </w:rPr>
      </w:pPr>
      <w:r>
        <w:rPr>
          <w:b/>
          <w:smallCaps/>
          <w:noProof/>
          <w:color w:val="auto"/>
          <w:sz w:val="22"/>
          <w:szCs w:val="22"/>
          <w:lang w:val="es-MX" w:eastAsia="es-MX"/>
        </w:rPr>
        <w:drawing>
          <wp:inline distT="0" distB="0" distL="0" distR="0" wp14:anchorId="025638C0" wp14:editId="01E0606D">
            <wp:extent cx="5242560" cy="2994660"/>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242560" cy="2994660"/>
                    </a:xfrm>
                    <a:prstGeom prst="rect">
                      <a:avLst/>
                    </a:prstGeom>
                    <a:noFill/>
                  </pic:spPr>
                </pic:pic>
              </a:graphicData>
            </a:graphic>
          </wp:inline>
        </w:drawing>
      </w:r>
    </w:p>
    <w:p w14:paraId="1AFC52D3" w14:textId="77777777" w:rsidR="000C3FA1" w:rsidRDefault="000C3FA1" w:rsidP="000C3FA1">
      <w:pPr>
        <w:spacing w:after="0" w:line="240" w:lineRule="auto"/>
        <w:ind w:left="284" w:right="333" w:hanging="142"/>
        <w:jc w:val="both"/>
        <w:rPr>
          <w:rFonts w:ascii="Arial" w:hAnsi="Arial" w:cs="Arial"/>
          <w:noProof/>
          <w:sz w:val="14"/>
          <w:szCs w:val="14"/>
          <w:lang w:val="es-ES" w:eastAsia="es-ES"/>
        </w:rPr>
      </w:pPr>
      <w:r>
        <w:rPr>
          <w:rFonts w:ascii="Arial" w:hAnsi="Arial" w:cs="Arial"/>
          <w:noProof/>
          <w:sz w:val="14"/>
          <w:szCs w:val="14"/>
          <w:lang w:val="es-ES" w:eastAsia="es-ES"/>
        </w:rPr>
        <w:t>Intervalos de confianza al 90 por ciento.</w:t>
      </w:r>
    </w:p>
    <w:p w14:paraId="5C23FD9A" w14:textId="77777777" w:rsidR="006E302F" w:rsidRDefault="006E302F" w:rsidP="006E302F">
      <w:pPr>
        <w:tabs>
          <w:tab w:val="left" w:pos="851"/>
        </w:tabs>
        <w:spacing w:after="0" w:line="240" w:lineRule="auto"/>
        <w:ind w:left="142" w:right="333"/>
        <w:rPr>
          <w:rFonts w:ascii="Arial" w:hAnsi="Arial" w:cs="Arial"/>
          <w:noProof/>
          <w:sz w:val="14"/>
          <w:szCs w:val="14"/>
          <w:lang w:val="es-ES" w:eastAsia="es-ES"/>
        </w:rPr>
      </w:pPr>
      <w:r>
        <w:rPr>
          <w:rFonts w:ascii="Arial" w:hAnsi="Arial" w:cs="Arial"/>
          <w:noProof/>
          <w:sz w:val="14"/>
          <w:szCs w:val="14"/>
          <w:lang w:val="es-ES" w:eastAsia="es-ES"/>
        </w:rPr>
        <w:t>Fuente:</w:t>
      </w:r>
      <w:r>
        <w:rPr>
          <w:rFonts w:ascii="Arial" w:hAnsi="Arial" w:cs="Arial"/>
          <w:noProof/>
          <w:sz w:val="14"/>
          <w:szCs w:val="14"/>
          <w:lang w:val="es-ES" w:eastAsia="es-ES"/>
        </w:rPr>
        <w:tab/>
        <w:t>INEGI. Encuesta Nacional de Ocupación y Empleo. Nueva Edición, primer trimestre de 2021.</w:t>
      </w:r>
    </w:p>
    <w:p w14:paraId="6BC4EBB0" w14:textId="77777777" w:rsidR="006E302F" w:rsidRDefault="006E302F" w:rsidP="006E302F">
      <w:pPr>
        <w:tabs>
          <w:tab w:val="left" w:pos="851"/>
        </w:tabs>
        <w:spacing w:after="0" w:line="240" w:lineRule="auto"/>
        <w:ind w:left="142" w:right="333"/>
      </w:pPr>
      <w:r>
        <w:rPr>
          <w:rFonts w:ascii="Arial" w:hAnsi="Arial" w:cs="Arial"/>
          <w:noProof/>
          <w:sz w:val="14"/>
          <w:szCs w:val="14"/>
          <w:lang w:val="es-ES" w:eastAsia="es-ES"/>
        </w:rPr>
        <w:tab/>
        <w:t>INEGI. Encuesta Nacional de Ocupación y Empleo, primer trimestre de 2020.</w:t>
      </w:r>
    </w:p>
    <w:p w14:paraId="4E170E4C" w14:textId="77777777" w:rsidR="00177695" w:rsidRDefault="00177695" w:rsidP="009749DA">
      <w:pPr>
        <w:pStyle w:val="n0"/>
        <w:keepLines w:val="0"/>
        <w:spacing w:before="0"/>
        <w:ind w:left="0" w:right="49" w:firstLine="0"/>
        <w:rPr>
          <w:bCs/>
          <w:color w:val="auto"/>
          <w:spacing w:val="10"/>
          <w:sz w:val="22"/>
          <w:szCs w:val="22"/>
        </w:rPr>
      </w:pPr>
    </w:p>
    <w:p w14:paraId="658C4BA7" w14:textId="043FF0C8" w:rsidR="005E600D" w:rsidRDefault="00F22B5D" w:rsidP="009749DA">
      <w:pPr>
        <w:pStyle w:val="n0"/>
        <w:keepLines w:val="0"/>
        <w:spacing w:before="0"/>
        <w:ind w:left="0" w:right="49" w:firstLine="0"/>
        <w:rPr>
          <w:bCs/>
          <w:color w:val="auto"/>
          <w:spacing w:val="10"/>
          <w:sz w:val="22"/>
          <w:szCs w:val="22"/>
        </w:rPr>
      </w:pPr>
      <w:r>
        <w:rPr>
          <w:bCs/>
          <w:color w:val="auto"/>
          <w:spacing w:val="10"/>
          <w:sz w:val="22"/>
          <w:szCs w:val="22"/>
        </w:rPr>
        <w:t>L</w:t>
      </w:r>
      <w:r w:rsidR="005347BD" w:rsidRPr="00674B11">
        <w:rPr>
          <w:bCs/>
          <w:color w:val="auto"/>
          <w:spacing w:val="10"/>
          <w:sz w:val="22"/>
          <w:szCs w:val="22"/>
        </w:rPr>
        <w:t xml:space="preserve">a ocupación informal </w:t>
      </w:r>
      <w:r>
        <w:rPr>
          <w:bCs/>
          <w:color w:val="auto"/>
          <w:spacing w:val="10"/>
          <w:sz w:val="22"/>
          <w:szCs w:val="22"/>
        </w:rPr>
        <w:t>según sexo</w:t>
      </w:r>
      <w:r w:rsidR="00314301">
        <w:rPr>
          <w:bCs/>
          <w:color w:val="auto"/>
          <w:spacing w:val="10"/>
          <w:sz w:val="22"/>
          <w:szCs w:val="22"/>
        </w:rPr>
        <w:t xml:space="preserve"> </w:t>
      </w:r>
      <w:r>
        <w:rPr>
          <w:bCs/>
          <w:color w:val="auto"/>
          <w:spacing w:val="10"/>
          <w:sz w:val="22"/>
          <w:szCs w:val="22"/>
        </w:rPr>
        <w:t xml:space="preserve">muestra en los hombres una </w:t>
      </w:r>
      <w:r w:rsidR="000F1730">
        <w:rPr>
          <w:bCs/>
          <w:color w:val="auto"/>
          <w:spacing w:val="10"/>
          <w:sz w:val="22"/>
          <w:szCs w:val="22"/>
        </w:rPr>
        <w:t xml:space="preserve">contracción </w:t>
      </w:r>
      <w:r>
        <w:rPr>
          <w:bCs/>
          <w:color w:val="auto"/>
          <w:spacing w:val="10"/>
          <w:sz w:val="22"/>
          <w:szCs w:val="22"/>
        </w:rPr>
        <w:t xml:space="preserve">de </w:t>
      </w:r>
      <w:r w:rsidR="00B934A9">
        <w:rPr>
          <w:bCs/>
          <w:color w:val="auto"/>
          <w:spacing w:val="10"/>
          <w:sz w:val="22"/>
          <w:szCs w:val="22"/>
        </w:rPr>
        <w:t>2</w:t>
      </w:r>
      <w:r w:rsidR="000F1730">
        <w:rPr>
          <w:bCs/>
          <w:color w:val="auto"/>
          <w:spacing w:val="10"/>
          <w:sz w:val="22"/>
          <w:szCs w:val="22"/>
        </w:rPr>
        <w:t>8</w:t>
      </w:r>
      <w:r w:rsidR="00D3449B">
        <w:rPr>
          <w:bCs/>
          <w:color w:val="auto"/>
          <w:spacing w:val="10"/>
          <w:sz w:val="22"/>
          <w:szCs w:val="22"/>
        </w:rPr>
        <w:t xml:space="preserve">5 </w:t>
      </w:r>
      <w:r>
        <w:rPr>
          <w:bCs/>
          <w:color w:val="auto"/>
          <w:spacing w:val="10"/>
          <w:sz w:val="22"/>
          <w:szCs w:val="22"/>
        </w:rPr>
        <w:t xml:space="preserve">mil </w:t>
      </w:r>
      <w:r w:rsidR="00A4250F">
        <w:rPr>
          <w:bCs/>
          <w:color w:val="auto"/>
          <w:spacing w:val="10"/>
          <w:sz w:val="22"/>
          <w:szCs w:val="22"/>
        </w:rPr>
        <w:t>personas</w:t>
      </w:r>
      <w:r>
        <w:rPr>
          <w:bCs/>
          <w:color w:val="auto"/>
          <w:spacing w:val="10"/>
          <w:sz w:val="22"/>
          <w:szCs w:val="22"/>
        </w:rPr>
        <w:t xml:space="preserve"> al registrarse 18.</w:t>
      </w:r>
      <w:r w:rsidR="00D3449B">
        <w:rPr>
          <w:bCs/>
          <w:color w:val="auto"/>
          <w:spacing w:val="10"/>
          <w:sz w:val="22"/>
          <w:szCs w:val="22"/>
        </w:rPr>
        <w:t xml:space="preserve">4 </w:t>
      </w:r>
      <w:r>
        <w:rPr>
          <w:bCs/>
          <w:color w:val="auto"/>
          <w:spacing w:val="10"/>
          <w:sz w:val="22"/>
          <w:szCs w:val="22"/>
        </w:rPr>
        <w:t xml:space="preserve">millones en el </w:t>
      </w:r>
      <w:r w:rsidR="00177B20">
        <w:rPr>
          <w:bCs/>
          <w:color w:val="auto"/>
          <w:spacing w:val="10"/>
          <w:sz w:val="22"/>
          <w:szCs w:val="22"/>
        </w:rPr>
        <w:t>primer</w:t>
      </w:r>
      <w:r>
        <w:rPr>
          <w:bCs/>
          <w:color w:val="auto"/>
          <w:spacing w:val="10"/>
          <w:sz w:val="22"/>
          <w:szCs w:val="22"/>
        </w:rPr>
        <w:t xml:space="preserve"> trimestre de </w:t>
      </w:r>
      <w:r w:rsidR="00177B20">
        <w:rPr>
          <w:bCs/>
          <w:color w:val="auto"/>
          <w:spacing w:val="10"/>
          <w:sz w:val="22"/>
          <w:szCs w:val="22"/>
        </w:rPr>
        <w:t>2020</w:t>
      </w:r>
      <w:r>
        <w:rPr>
          <w:bCs/>
          <w:color w:val="auto"/>
          <w:spacing w:val="10"/>
          <w:sz w:val="22"/>
          <w:szCs w:val="22"/>
        </w:rPr>
        <w:t xml:space="preserve"> y </w:t>
      </w:r>
      <w:r w:rsidR="00E37215">
        <w:rPr>
          <w:bCs/>
          <w:color w:val="auto"/>
          <w:spacing w:val="10"/>
          <w:sz w:val="22"/>
          <w:szCs w:val="22"/>
        </w:rPr>
        <w:t>18.1</w:t>
      </w:r>
      <w:r>
        <w:rPr>
          <w:bCs/>
          <w:color w:val="auto"/>
          <w:spacing w:val="10"/>
          <w:sz w:val="22"/>
          <w:szCs w:val="22"/>
        </w:rPr>
        <w:t xml:space="preserve"> millones en el </w:t>
      </w:r>
      <w:r w:rsidR="00177B20">
        <w:rPr>
          <w:bCs/>
          <w:color w:val="auto"/>
          <w:spacing w:val="10"/>
          <w:sz w:val="22"/>
          <w:szCs w:val="22"/>
        </w:rPr>
        <w:t>primer</w:t>
      </w:r>
      <w:r>
        <w:rPr>
          <w:bCs/>
          <w:color w:val="auto"/>
          <w:spacing w:val="10"/>
          <w:sz w:val="22"/>
          <w:szCs w:val="22"/>
        </w:rPr>
        <w:t xml:space="preserve"> trimestre de </w:t>
      </w:r>
      <w:r w:rsidR="00177B20">
        <w:rPr>
          <w:bCs/>
          <w:color w:val="auto"/>
          <w:spacing w:val="10"/>
          <w:sz w:val="22"/>
          <w:szCs w:val="22"/>
        </w:rPr>
        <w:t>2021</w:t>
      </w:r>
      <w:r>
        <w:rPr>
          <w:bCs/>
          <w:color w:val="auto"/>
          <w:spacing w:val="10"/>
          <w:sz w:val="22"/>
          <w:szCs w:val="22"/>
        </w:rPr>
        <w:t xml:space="preserve">; dicho descenso fue de </w:t>
      </w:r>
      <w:r w:rsidR="000F1730">
        <w:rPr>
          <w:bCs/>
          <w:color w:val="auto"/>
          <w:spacing w:val="10"/>
          <w:sz w:val="22"/>
          <w:szCs w:val="22"/>
        </w:rPr>
        <w:t>43</w:t>
      </w:r>
      <w:r w:rsidR="00B934A9">
        <w:rPr>
          <w:bCs/>
          <w:color w:val="auto"/>
          <w:spacing w:val="10"/>
          <w:sz w:val="22"/>
          <w:szCs w:val="22"/>
        </w:rPr>
        <w:t>7</w:t>
      </w:r>
      <w:r w:rsidR="00D3449B">
        <w:rPr>
          <w:bCs/>
          <w:color w:val="auto"/>
          <w:spacing w:val="10"/>
          <w:sz w:val="22"/>
          <w:szCs w:val="22"/>
        </w:rPr>
        <w:t xml:space="preserve"> </w:t>
      </w:r>
      <w:r w:rsidR="00281D55">
        <w:rPr>
          <w:bCs/>
          <w:color w:val="auto"/>
          <w:spacing w:val="10"/>
          <w:sz w:val="22"/>
          <w:szCs w:val="22"/>
        </w:rPr>
        <w:t xml:space="preserve">mil </w:t>
      </w:r>
      <w:r>
        <w:rPr>
          <w:bCs/>
          <w:color w:val="auto"/>
          <w:spacing w:val="10"/>
          <w:sz w:val="22"/>
          <w:szCs w:val="22"/>
        </w:rPr>
        <w:t xml:space="preserve">ocupados menos </w:t>
      </w:r>
      <w:r w:rsidR="00E37215">
        <w:rPr>
          <w:bCs/>
          <w:color w:val="auto"/>
          <w:spacing w:val="10"/>
          <w:sz w:val="22"/>
          <w:szCs w:val="22"/>
        </w:rPr>
        <w:t>fuera d</w:t>
      </w:r>
      <w:r>
        <w:rPr>
          <w:bCs/>
          <w:color w:val="auto"/>
          <w:spacing w:val="10"/>
          <w:sz w:val="22"/>
          <w:szCs w:val="22"/>
        </w:rPr>
        <w:t xml:space="preserve">el sector informal. Por su parte, las mujeres </w:t>
      </w:r>
      <w:r w:rsidR="00AD2164">
        <w:rPr>
          <w:bCs/>
          <w:color w:val="auto"/>
          <w:spacing w:val="10"/>
          <w:sz w:val="22"/>
          <w:szCs w:val="22"/>
        </w:rPr>
        <w:t xml:space="preserve">disminuyeron en </w:t>
      </w:r>
      <w:r w:rsidR="00E37215">
        <w:rPr>
          <w:bCs/>
          <w:color w:val="auto"/>
          <w:spacing w:val="10"/>
          <w:sz w:val="22"/>
          <w:szCs w:val="22"/>
        </w:rPr>
        <w:t>1.</w:t>
      </w:r>
      <w:r w:rsidR="00641684">
        <w:rPr>
          <w:bCs/>
          <w:color w:val="auto"/>
          <w:spacing w:val="10"/>
          <w:sz w:val="22"/>
          <w:szCs w:val="22"/>
        </w:rPr>
        <w:t xml:space="preserve">3 </w:t>
      </w:r>
      <w:r w:rsidR="00AD2164">
        <w:rPr>
          <w:bCs/>
          <w:color w:val="auto"/>
          <w:spacing w:val="10"/>
          <w:sz w:val="22"/>
          <w:szCs w:val="22"/>
        </w:rPr>
        <w:t>millones en el mismo periodo al pasar de 12.</w:t>
      </w:r>
      <w:r w:rsidR="00641684">
        <w:rPr>
          <w:bCs/>
          <w:color w:val="auto"/>
          <w:spacing w:val="10"/>
          <w:sz w:val="22"/>
          <w:szCs w:val="22"/>
        </w:rPr>
        <w:t xml:space="preserve">4 </w:t>
      </w:r>
      <w:r w:rsidR="00AD2164">
        <w:rPr>
          <w:bCs/>
          <w:color w:val="auto"/>
          <w:spacing w:val="10"/>
          <w:sz w:val="22"/>
          <w:szCs w:val="22"/>
        </w:rPr>
        <w:t>millones a 1</w:t>
      </w:r>
      <w:r w:rsidR="00E37215">
        <w:rPr>
          <w:bCs/>
          <w:color w:val="auto"/>
          <w:spacing w:val="10"/>
          <w:sz w:val="22"/>
          <w:szCs w:val="22"/>
        </w:rPr>
        <w:t>1.</w:t>
      </w:r>
      <w:r w:rsidR="00641684">
        <w:rPr>
          <w:bCs/>
          <w:color w:val="auto"/>
          <w:spacing w:val="10"/>
          <w:sz w:val="22"/>
          <w:szCs w:val="22"/>
        </w:rPr>
        <w:t xml:space="preserve">1 </w:t>
      </w:r>
      <w:r w:rsidR="00AD2164">
        <w:rPr>
          <w:bCs/>
          <w:color w:val="auto"/>
          <w:spacing w:val="10"/>
          <w:sz w:val="22"/>
          <w:szCs w:val="22"/>
        </w:rPr>
        <w:t xml:space="preserve">millones, es decir, </w:t>
      </w:r>
      <w:r w:rsidR="00641684">
        <w:rPr>
          <w:bCs/>
          <w:color w:val="auto"/>
          <w:spacing w:val="10"/>
          <w:sz w:val="22"/>
          <w:szCs w:val="22"/>
        </w:rPr>
        <w:t xml:space="preserve">828 </w:t>
      </w:r>
      <w:r w:rsidR="00E37215">
        <w:rPr>
          <w:bCs/>
          <w:color w:val="auto"/>
          <w:spacing w:val="10"/>
          <w:sz w:val="22"/>
          <w:szCs w:val="22"/>
        </w:rPr>
        <w:t>mil</w:t>
      </w:r>
      <w:r w:rsidR="00AD2164">
        <w:rPr>
          <w:bCs/>
          <w:color w:val="auto"/>
          <w:spacing w:val="10"/>
          <w:sz w:val="22"/>
          <w:szCs w:val="22"/>
        </w:rPr>
        <w:t xml:space="preserve"> mujeres ocupadas menos </w:t>
      </w:r>
      <w:r w:rsidR="00E37215">
        <w:rPr>
          <w:bCs/>
          <w:color w:val="auto"/>
          <w:spacing w:val="10"/>
          <w:sz w:val="22"/>
          <w:szCs w:val="22"/>
        </w:rPr>
        <w:t>fuera de</w:t>
      </w:r>
      <w:r w:rsidR="00AD2164">
        <w:rPr>
          <w:bCs/>
          <w:color w:val="auto"/>
          <w:spacing w:val="10"/>
          <w:sz w:val="22"/>
          <w:szCs w:val="22"/>
        </w:rPr>
        <w:t xml:space="preserve">l sector informal y </w:t>
      </w:r>
      <w:r w:rsidR="00641684">
        <w:rPr>
          <w:bCs/>
          <w:color w:val="auto"/>
          <w:spacing w:val="10"/>
          <w:sz w:val="22"/>
          <w:szCs w:val="22"/>
        </w:rPr>
        <w:t xml:space="preserve">468 </w:t>
      </w:r>
      <w:r w:rsidR="00281D55">
        <w:rPr>
          <w:bCs/>
          <w:color w:val="auto"/>
          <w:spacing w:val="10"/>
          <w:sz w:val="22"/>
          <w:szCs w:val="22"/>
        </w:rPr>
        <w:t>mil</w:t>
      </w:r>
      <w:r w:rsidR="00E37215">
        <w:rPr>
          <w:bCs/>
          <w:color w:val="auto"/>
          <w:spacing w:val="10"/>
          <w:sz w:val="22"/>
          <w:szCs w:val="22"/>
        </w:rPr>
        <w:t xml:space="preserve"> </w:t>
      </w:r>
      <w:r w:rsidR="00AD2164">
        <w:rPr>
          <w:bCs/>
          <w:color w:val="auto"/>
          <w:spacing w:val="10"/>
          <w:sz w:val="22"/>
          <w:szCs w:val="22"/>
        </w:rPr>
        <w:t xml:space="preserve">mujeres ocupadas menos </w:t>
      </w:r>
      <w:r w:rsidR="00E37215">
        <w:rPr>
          <w:bCs/>
          <w:color w:val="auto"/>
          <w:spacing w:val="10"/>
          <w:sz w:val="22"/>
          <w:szCs w:val="22"/>
        </w:rPr>
        <w:t>en el</w:t>
      </w:r>
      <w:r w:rsidR="00AD2164">
        <w:rPr>
          <w:bCs/>
          <w:color w:val="auto"/>
          <w:spacing w:val="10"/>
          <w:sz w:val="22"/>
          <w:szCs w:val="22"/>
        </w:rPr>
        <w:t xml:space="preserve"> sector informal.</w:t>
      </w:r>
    </w:p>
    <w:p w14:paraId="523F41E6" w14:textId="77777777" w:rsidR="00F97FB7" w:rsidRDefault="00F97FB7" w:rsidP="009749DA">
      <w:pPr>
        <w:rPr>
          <w:rFonts w:ascii="Arial" w:eastAsia="Times New Roman" w:hAnsi="Arial" w:cs="Arial"/>
          <w:b/>
          <w:smallCaps/>
          <w:lang w:val="es-ES_tradnl" w:eastAsia="es-ES"/>
        </w:rPr>
      </w:pPr>
    </w:p>
    <w:p w14:paraId="5FCFF489" w14:textId="77777777" w:rsidR="00AD2164" w:rsidRDefault="00AD2164" w:rsidP="009749DA">
      <w:pPr>
        <w:rPr>
          <w:rFonts w:ascii="Arial" w:eastAsia="Times New Roman" w:hAnsi="Arial" w:cs="Arial"/>
          <w:b/>
          <w:smallCaps/>
          <w:lang w:val="es-ES_tradnl" w:eastAsia="es-ES"/>
        </w:rPr>
      </w:pPr>
      <w:r>
        <w:rPr>
          <w:b/>
          <w:smallCaps/>
        </w:rPr>
        <w:br w:type="page"/>
      </w:r>
    </w:p>
    <w:p w14:paraId="76510A58" w14:textId="77777777" w:rsidR="00B70278" w:rsidRDefault="00B70278" w:rsidP="009749DA">
      <w:pPr>
        <w:pStyle w:val="n0"/>
        <w:keepLines w:val="0"/>
        <w:spacing w:before="0"/>
        <w:ind w:left="0" w:right="49" w:firstLine="0"/>
        <w:rPr>
          <w:bCs/>
          <w:color w:val="auto"/>
          <w:spacing w:val="10"/>
          <w:sz w:val="22"/>
          <w:szCs w:val="22"/>
        </w:rPr>
      </w:pPr>
    </w:p>
    <w:p w14:paraId="1E06B6AD" w14:textId="6DAF9C19" w:rsidR="00C740D9" w:rsidRPr="00F54EC6" w:rsidRDefault="00C740D9" w:rsidP="009749DA">
      <w:pPr>
        <w:pStyle w:val="n0"/>
        <w:keepLines w:val="0"/>
        <w:spacing w:before="0"/>
        <w:ind w:left="0" w:right="49" w:firstLine="0"/>
        <w:jc w:val="center"/>
        <w:rPr>
          <w:b/>
          <w:smallCaps/>
          <w:color w:val="auto"/>
          <w:sz w:val="22"/>
          <w:szCs w:val="22"/>
        </w:rPr>
      </w:pPr>
      <w:r w:rsidRPr="00F54EC6">
        <w:rPr>
          <w:b/>
          <w:smallCaps/>
          <w:color w:val="auto"/>
          <w:sz w:val="22"/>
          <w:szCs w:val="22"/>
        </w:rPr>
        <w:t xml:space="preserve">Población </w:t>
      </w:r>
      <w:r>
        <w:rPr>
          <w:b/>
          <w:smallCaps/>
          <w:color w:val="auto"/>
          <w:sz w:val="22"/>
          <w:szCs w:val="22"/>
        </w:rPr>
        <w:t xml:space="preserve">ocupada por condición de informalidad y sexo </w:t>
      </w:r>
      <w:r w:rsidRPr="00F54EC6">
        <w:rPr>
          <w:b/>
          <w:smallCaps/>
          <w:color w:val="auto"/>
          <w:sz w:val="22"/>
          <w:szCs w:val="22"/>
        </w:rPr>
        <w:t xml:space="preserve">durante </w:t>
      </w:r>
      <w:r w:rsidR="00177695">
        <w:rPr>
          <w:b/>
          <w:smallCaps/>
          <w:color w:val="auto"/>
          <w:sz w:val="22"/>
          <w:szCs w:val="22"/>
        </w:rPr>
        <w:t xml:space="preserve">el </w:t>
      </w:r>
      <w:r w:rsidR="00177B20">
        <w:rPr>
          <w:b/>
          <w:smallCaps/>
          <w:color w:val="auto"/>
          <w:sz w:val="22"/>
          <w:szCs w:val="22"/>
        </w:rPr>
        <w:t>primer</w:t>
      </w:r>
      <w:r w:rsidR="00177695">
        <w:rPr>
          <w:b/>
          <w:smallCaps/>
          <w:color w:val="auto"/>
          <w:sz w:val="22"/>
          <w:szCs w:val="22"/>
        </w:rPr>
        <w:t xml:space="preserve"> trimestre</w:t>
      </w:r>
      <w:r w:rsidRPr="00F54EC6">
        <w:rPr>
          <w:b/>
          <w:smallCaps/>
          <w:color w:val="auto"/>
          <w:sz w:val="22"/>
          <w:szCs w:val="22"/>
        </w:rPr>
        <w:t xml:space="preserve"> de </w:t>
      </w:r>
      <w:r w:rsidR="00177B20">
        <w:rPr>
          <w:b/>
          <w:smallCaps/>
          <w:color w:val="auto"/>
          <w:sz w:val="22"/>
          <w:szCs w:val="22"/>
        </w:rPr>
        <w:t>2021</w:t>
      </w:r>
    </w:p>
    <w:p w14:paraId="029AC31F" w14:textId="27F2AE3F" w:rsidR="00C740D9" w:rsidRPr="003A795B" w:rsidRDefault="003A795B" w:rsidP="009749DA">
      <w:pPr>
        <w:spacing w:after="0" w:line="240" w:lineRule="auto"/>
        <w:ind w:right="51"/>
        <w:jc w:val="center"/>
        <w:rPr>
          <w:rFonts w:ascii="Arial" w:hAnsi="Arial" w:cs="Arial"/>
          <w:smallCaps/>
          <w:sz w:val="16"/>
          <w:szCs w:val="18"/>
        </w:rPr>
      </w:pPr>
      <w:r w:rsidRPr="003A795B">
        <w:rPr>
          <w:rFonts w:ascii="Arial" w:hAnsi="Arial" w:cs="Arial"/>
          <w:smallCaps/>
          <w:sz w:val="16"/>
          <w:szCs w:val="18"/>
        </w:rPr>
        <w:t>(PERSONAS Y PORCENTAJE)</w:t>
      </w:r>
    </w:p>
    <w:p w14:paraId="063C3F8D" w14:textId="43FDA334" w:rsidR="0084484F" w:rsidRPr="0084484F" w:rsidRDefault="0044404D" w:rsidP="009749DA">
      <w:pPr>
        <w:pStyle w:val="n0"/>
        <w:keepLines w:val="0"/>
        <w:spacing w:before="0"/>
        <w:ind w:left="0" w:right="49" w:firstLine="0"/>
        <w:jc w:val="center"/>
        <w:rPr>
          <w:smallCaps/>
          <w:color w:val="auto"/>
          <w:sz w:val="22"/>
          <w:szCs w:val="22"/>
        </w:rPr>
      </w:pPr>
      <w:r w:rsidRPr="0044404D">
        <w:rPr>
          <w:noProof/>
        </w:rPr>
        <w:drawing>
          <wp:inline distT="0" distB="0" distL="0" distR="0" wp14:anchorId="6201863F" wp14:editId="0F301E0D">
            <wp:extent cx="5610225" cy="3238500"/>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610225" cy="3238500"/>
                    </a:xfrm>
                    <a:prstGeom prst="rect">
                      <a:avLst/>
                    </a:prstGeom>
                    <a:noFill/>
                    <a:ln>
                      <a:noFill/>
                    </a:ln>
                  </pic:spPr>
                </pic:pic>
              </a:graphicData>
            </a:graphic>
          </wp:inline>
        </w:drawing>
      </w:r>
    </w:p>
    <w:p w14:paraId="7C92AA9B" w14:textId="77777777" w:rsidR="006E302F" w:rsidRDefault="006E302F" w:rsidP="006E302F">
      <w:pPr>
        <w:tabs>
          <w:tab w:val="left" w:pos="851"/>
        </w:tabs>
        <w:spacing w:after="0" w:line="240" w:lineRule="auto"/>
        <w:ind w:left="142" w:right="333"/>
        <w:rPr>
          <w:rFonts w:ascii="Arial" w:hAnsi="Arial" w:cs="Arial"/>
          <w:noProof/>
          <w:sz w:val="14"/>
          <w:szCs w:val="14"/>
          <w:lang w:val="es-ES" w:eastAsia="es-ES"/>
        </w:rPr>
      </w:pPr>
      <w:r>
        <w:rPr>
          <w:rFonts w:ascii="Arial" w:hAnsi="Arial" w:cs="Arial"/>
          <w:noProof/>
          <w:sz w:val="14"/>
          <w:szCs w:val="14"/>
          <w:lang w:val="es-ES" w:eastAsia="es-ES"/>
        </w:rPr>
        <w:t>Fuente:</w:t>
      </w:r>
      <w:r>
        <w:rPr>
          <w:rFonts w:ascii="Arial" w:hAnsi="Arial" w:cs="Arial"/>
          <w:noProof/>
          <w:sz w:val="14"/>
          <w:szCs w:val="14"/>
          <w:lang w:val="es-ES" w:eastAsia="es-ES"/>
        </w:rPr>
        <w:tab/>
        <w:t>INEGI. Encuesta Nacional de Ocupación y Empleo. Nueva Edición, primer trimestre de 2021.</w:t>
      </w:r>
    </w:p>
    <w:p w14:paraId="21A7FD43" w14:textId="77777777" w:rsidR="006E302F" w:rsidRDefault="006E302F" w:rsidP="006E302F">
      <w:pPr>
        <w:tabs>
          <w:tab w:val="left" w:pos="851"/>
        </w:tabs>
        <w:spacing w:after="0" w:line="240" w:lineRule="auto"/>
        <w:ind w:left="142" w:right="333"/>
      </w:pPr>
      <w:r>
        <w:rPr>
          <w:rFonts w:ascii="Arial" w:hAnsi="Arial" w:cs="Arial"/>
          <w:noProof/>
          <w:sz w:val="14"/>
          <w:szCs w:val="14"/>
          <w:lang w:val="es-ES" w:eastAsia="es-ES"/>
        </w:rPr>
        <w:tab/>
        <w:t>INEGI. Encuesta Nacional de Ocupación y Empleo, primer trimestre de 2020.</w:t>
      </w:r>
    </w:p>
    <w:p w14:paraId="2404F11B" w14:textId="355C1383" w:rsidR="002756BF" w:rsidRDefault="002756BF" w:rsidP="009749DA">
      <w:pPr>
        <w:pStyle w:val="n0"/>
        <w:keepLines w:val="0"/>
        <w:spacing w:before="0"/>
        <w:ind w:left="0" w:right="49" w:firstLine="0"/>
        <w:jc w:val="left"/>
        <w:rPr>
          <w:smallCaps/>
          <w:color w:val="auto"/>
          <w:sz w:val="22"/>
          <w:szCs w:val="22"/>
        </w:rPr>
      </w:pPr>
    </w:p>
    <w:p w14:paraId="28656162" w14:textId="77777777" w:rsidR="0041757F" w:rsidRDefault="0041757F" w:rsidP="009749DA">
      <w:pPr>
        <w:pStyle w:val="n0"/>
        <w:keepLines w:val="0"/>
        <w:spacing w:before="0"/>
        <w:ind w:left="0" w:right="49" w:firstLine="0"/>
        <w:jc w:val="left"/>
        <w:rPr>
          <w:smallCaps/>
          <w:color w:val="auto"/>
          <w:sz w:val="22"/>
          <w:szCs w:val="22"/>
        </w:rPr>
      </w:pPr>
    </w:p>
    <w:p w14:paraId="6CA254D3" w14:textId="6C732390" w:rsidR="00252EDE" w:rsidRPr="00C63172" w:rsidRDefault="00252EDE" w:rsidP="009749DA">
      <w:pPr>
        <w:pStyle w:val="n0"/>
        <w:keepLines w:val="0"/>
        <w:spacing w:before="0"/>
        <w:ind w:left="0" w:right="49" w:firstLine="0"/>
        <w:jc w:val="left"/>
        <w:rPr>
          <w:b/>
          <w:smallCaps/>
          <w:color w:val="auto"/>
          <w:sz w:val="22"/>
          <w:szCs w:val="22"/>
        </w:rPr>
      </w:pPr>
      <w:r w:rsidRPr="00C63172">
        <w:rPr>
          <w:b/>
          <w:smallCaps/>
          <w:color w:val="auto"/>
          <w:sz w:val="22"/>
          <w:szCs w:val="22"/>
        </w:rPr>
        <w:t>población desocupada</w:t>
      </w:r>
    </w:p>
    <w:p w14:paraId="2A9D0F73" w14:textId="77777777" w:rsidR="00252EDE" w:rsidRPr="00134FC4" w:rsidRDefault="00252EDE" w:rsidP="009749DA">
      <w:pPr>
        <w:spacing w:after="0" w:line="240" w:lineRule="auto"/>
        <w:ind w:right="49"/>
        <w:rPr>
          <w:rFonts w:ascii="Arial" w:eastAsia="Times New Roman" w:hAnsi="Arial" w:cs="Arial"/>
          <w:bCs/>
          <w:spacing w:val="10"/>
          <w:highlight w:val="yellow"/>
          <w:lang w:val="es-ES_tradnl" w:eastAsia="es-ES"/>
        </w:rPr>
      </w:pPr>
    </w:p>
    <w:p w14:paraId="66667EB9" w14:textId="23F9FBBE" w:rsidR="00EE7CE9" w:rsidRDefault="00252EDE" w:rsidP="009749DA">
      <w:pPr>
        <w:spacing w:after="0" w:line="240" w:lineRule="auto"/>
        <w:ind w:right="49"/>
        <w:jc w:val="both"/>
        <w:rPr>
          <w:rFonts w:ascii="Arial" w:eastAsia="Times New Roman" w:hAnsi="Arial" w:cs="Arial"/>
          <w:bCs/>
          <w:spacing w:val="10"/>
          <w:lang w:val="es-ES_tradnl" w:eastAsia="es-ES"/>
        </w:rPr>
      </w:pPr>
      <w:r w:rsidRPr="00007612">
        <w:rPr>
          <w:rFonts w:ascii="Arial" w:eastAsia="Times New Roman" w:hAnsi="Arial" w:cs="Arial"/>
          <w:bCs/>
          <w:spacing w:val="10"/>
          <w:lang w:val="es-ES_tradnl" w:eastAsia="es-ES"/>
        </w:rPr>
        <w:t>La población que se encuentra sin trabajar</w:t>
      </w:r>
      <w:r w:rsidR="00E37215">
        <w:rPr>
          <w:rFonts w:ascii="Arial" w:eastAsia="Times New Roman" w:hAnsi="Arial" w:cs="Arial"/>
          <w:bCs/>
          <w:spacing w:val="10"/>
          <w:lang w:val="es-ES_tradnl" w:eastAsia="es-ES"/>
        </w:rPr>
        <w:t xml:space="preserve">, </w:t>
      </w:r>
      <w:r w:rsidR="007E39EE">
        <w:rPr>
          <w:rFonts w:ascii="Arial" w:eastAsia="Times New Roman" w:hAnsi="Arial" w:cs="Arial"/>
          <w:bCs/>
          <w:spacing w:val="10"/>
          <w:lang w:val="es-ES_tradnl" w:eastAsia="es-ES"/>
        </w:rPr>
        <w:t xml:space="preserve">que </w:t>
      </w:r>
      <w:r w:rsidR="00E37215">
        <w:rPr>
          <w:rFonts w:ascii="Arial" w:eastAsia="Times New Roman" w:hAnsi="Arial" w:cs="Arial"/>
          <w:bCs/>
          <w:spacing w:val="10"/>
          <w:lang w:val="es-ES_tradnl" w:eastAsia="es-ES"/>
        </w:rPr>
        <w:t>estaba disponible</w:t>
      </w:r>
      <w:r w:rsidRPr="00007612">
        <w:rPr>
          <w:rFonts w:ascii="Arial" w:eastAsia="Times New Roman" w:hAnsi="Arial" w:cs="Arial"/>
          <w:bCs/>
          <w:spacing w:val="10"/>
          <w:lang w:val="es-ES_tradnl" w:eastAsia="es-ES"/>
        </w:rPr>
        <w:t xml:space="preserve"> y estuvo buscando trabajo en el último mes</w:t>
      </w:r>
      <w:r w:rsidR="001125B3">
        <w:rPr>
          <w:rFonts w:ascii="Arial" w:eastAsia="Times New Roman" w:hAnsi="Arial" w:cs="Arial"/>
          <w:bCs/>
          <w:spacing w:val="10"/>
          <w:lang w:val="es-ES_tradnl" w:eastAsia="es-ES"/>
        </w:rPr>
        <w:t xml:space="preserve"> a la entrevista</w:t>
      </w:r>
      <w:r w:rsidRPr="00007612">
        <w:rPr>
          <w:rFonts w:ascii="Arial" w:eastAsia="Times New Roman" w:hAnsi="Arial" w:cs="Arial"/>
          <w:bCs/>
          <w:spacing w:val="10"/>
          <w:lang w:val="es-ES_tradnl" w:eastAsia="es-ES"/>
        </w:rPr>
        <w:t xml:space="preserve">, </w:t>
      </w:r>
      <w:r w:rsidR="00F37682">
        <w:rPr>
          <w:rFonts w:ascii="Arial" w:eastAsia="Times New Roman" w:hAnsi="Arial" w:cs="Arial"/>
          <w:bCs/>
          <w:spacing w:val="10"/>
          <w:lang w:val="es-ES_tradnl" w:eastAsia="es-ES"/>
        </w:rPr>
        <w:t>fue de</w:t>
      </w:r>
      <w:r w:rsidRPr="00007612">
        <w:rPr>
          <w:rFonts w:ascii="Arial" w:eastAsia="Times New Roman" w:hAnsi="Arial" w:cs="Arial"/>
          <w:bCs/>
          <w:spacing w:val="10"/>
          <w:lang w:val="es-ES_tradnl" w:eastAsia="es-ES"/>
        </w:rPr>
        <w:t xml:space="preserve"> </w:t>
      </w:r>
      <w:r w:rsidR="00E37215">
        <w:rPr>
          <w:rFonts w:ascii="Arial" w:eastAsia="Times New Roman" w:hAnsi="Arial" w:cs="Arial"/>
          <w:bCs/>
          <w:spacing w:val="10"/>
          <w:lang w:val="es-ES_tradnl" w:eastAsia="es-ES"/>
        </w:rPr>
        <w:t>4.</w:t>
      </w:r>
      <w:r w:rsidR="00116539">
        <w:rPr>
          <w:rFonts w:ascii="Arial" w:eastAsia="Times New Roman" w:hAnsi="Arial" w:cs="Arial"/>
          <w:bCs/>
          <w:spacing w:val="10"/>
          <w:lang w:val="es-ES_tradnl" w:eastAsia="es-ES"/>
        </w:rPr>
        <w:t>4</w:t>
      </w:r>
      <w:r w:rsidR="00007612" w:rsidRPr="00007612">
        <w:rPr>
          <w:rFonts w:ascii="Arial" w:eastAsia="Times New Roman" w:hAnsi="Arial" w:cs="Arial"/>
          <w:bCs/>
          <w:spacing w:val="10"/>
          <w:lang w:val="es-ES_tradnl" w:eastAsia="es-ES"/>
        </w:rPr>
        <w:t>%</w:t>
      </w:r>
      <w:r w:rsidRPr="00007612">
        <w:rPr>
          <w:rFonts w:ascii="Arial" w:eastAsia="Times New Roman" w:hAnsi="Arial" w:cs="Arial"/>
          <w:bCs/>
          <w:spacing w:val="10"/>
          <w:lang w:val="es-ES_tradnl" w:eastAsia="es-ES"/>
        </w:rPr>
        <w:t xml:space="preserve"> de la PEA en </w:t>
      </w:r>
      <w:r w:rsidR="00177695">
        <w:rPr>
          <w:rFonts w:ascii="Arial" w:eastAsia="Times New Roman" w:hAnsi="Arial" w:cs="Arial"/>
          <w:bCs/>
          <w:spacing w:val="10"/>
          <w:lang w:val="es-ES_tradnl" w:eastAsia="es-ES"/>
        </w:rPr>
        <w:t xml:space="preserve">el </w:t>
      </w:r>
      <w:r w:rsidR="00177B20">
        <w:rPr>
          <w:rFonts w:ascii="Arial" w:eastAsia="Times New Roman" w:hAnsi="Arial" w:cs="Arial"/>
          <w:bCs/>
          <w:spacing w:val="10"/>
          <w:lang w:val="es-ES_tradnl" w:eastAsia="es-ES"/>
        </w:rPr>
        <w:t>primer</w:t>
      </w:r>
      <w:r w:rsidR="00177695">
        <w:rPr>
          <w:rFonts w:ascii="Arial" w:eastAsia="Times New Roman" w:hAnsi="Arial" w:cs="Arial"/>
          <w:bCs/>
          <w:spacing w:val="10"/>
          <w:lang w:val="es-ES_tradnl" w:eastAsia="es-ES"/>
        </w:rPr>
        <w:t xml:space="preserve"> trimestre</w:t>
      </w:r>
      <w:r w:rsidRPr="00007612">
        <w:rPr>
          <w:rFonts w:ascii="Arial" w:eastAsia="Times New Roman" w:hAnsi="Arial" w:cs="Arial"/>
          <w:bCs/>
          <w:spacing w:val="10"/>
          <w:lang w:val="es-ES_tradnl" w:eastAsia="es-ES"/>
        </w:rPr>
        <w:t xml:space="preserve"> de </w:t>
      </w:r>
      <w:r w:rsidR="00177B20">
        <w:rPr>
          <w:rFonts w:ascii="Arial" w:eastAsia="Times New Roman" w:hAnsi="Arial" w:cs="Arial"/>
          <w:bCs/>
          <w:spacing w:val="10"/>
          <w:lang w:val="es-ES_tradnl" w:eastAsia="es-ES"/>
        </w:rPr>
        <w:t>2021</w:t>
      </w:r>
      <w:r w:rsidRPr="00007612">
        <w:rPr>
          <w:rFonts w:ascii="Arial" w:eastAsia="Times New Roman" w:hAnsi="Arial" w:cs="Arial"/>
          <w:bCs/>
          <w:spacing w:val="10"/>
          <w:lang w:val="es-ES_tradnl" w:eastAsia="es-ES"/>
        </w:rPr>
        <w:t xml:space="preserve">, </w:t>
      </w:r>
      <w:r w:rsidR="00F37682">
        <w:rPr>
          <w:rFonts w:ascii="Arial" w:eastAsia="Times New Roman" w:hAnsi="Arial" w:cs="Arial"/>
          <w:bCs/>
          <w:spacing w:val="10"/>
          <w:lang w:val="es-ES_tradnl" w:eastAsia="es-ES"/>
        </w:rPr>
        <w:t>porcentaje</w:t>
      </w:r>
      <w:r w:rsidRPr="00007612">
        <w:rPr>
          <w:rFonts w:ascii="Arial" w:eastAsia="Times New Roman" w:hAnsi="Arial" w:cs="Arial"/>
          <w:bCs/>
          <w:spacing w:val="10"/>
          <w:lang w:val="es-ES_tradnl" w:eastAsia="es-ES"/>
        </w:rPr>
        <w:t xml:space="preserve"> </w:t>
      </w:r>
      <w:r w:rsidR="0037146B">
        <w:rPr>
          <w:rFonts w:ascii="Arial" w:eastAsia="Times New Roman" w:hAnsi="Arial" w:cs="Arial"/>
          <w:bCs/>
          <w:spacing w:val="10"/>
          <w:lang w:val="es-ES_tradnl" w:eastAsia="es-ES"/>
        </w:rPr>
        <w:t xml:space="preserve">que en </w:t>
      </w:r>
      <w:r w:rsidR="00281D55">
        <w:rPr>
          <w:rFonts w:ascii="Arial" w:eastAsia="Times New Roman" w:hAnsi="Arial" w:cs="Arial"/>
          <w:bCs/>
          <w:spacing w:val="10"/>
          <w:lang w:val="es-ES_tradnl" w:eastAsia="es-ES"/>
        </w:rPr>
        <w:t xml:space="preserve">igual periodo </w:t>
      </w:r>
      <w:r w:rsidR="00E37215">
        <w:rPr>
          <w:rFonts w:ascii="Arial" w:eastAsia="Times New Roman" w:hAnsi="Arial" w:cs="Arial"/>
          <w:bCs/>
          <w:spacing w:val="10"/>
          <w:lang w:val="es-ES_tradnl" w:eastAsia="es-ES"/>
        </w:rPr>
        <w:t xml:space="preserve">de </w:t>
      </w:r>
      <w:r w:rsidR="00177B20">
        <w:rPr>
          <w:rFonts w:ascii="Arial" w:eastAsia="Times New Roman" w:hAnsi="Arial" w:cs="Arial"/>
          <w:bCs/>
          <w:spacing w:val="10"/>
          <w:lang w:val="es-ES_tradnl" w:eastAsia="es-ES"/>
        </w:rPr>
        <w:t>2020</w:t>
      </w:r>
      <w:r w:rsidR="00EE7CE9">
        <w:rPr>
          <w:rFonts w:ascii="Arial" w:eastAsia="Times New Roman" w:hAnsi="Arial" w:cs="Arial"/>
          <w:bCs/>
          <w:spacing w:val="10"/>
          <w:lang w:val="es-ES_tradnl" w:eastAsia="es-ES"/>
        </w:rPr>
        <w:t xml:space="preserve"> fue de </w:t>
      </w:r>
      <w:r w:rsidR="00281D55">
        <w:rPr>
          <w:rFonts w:ascii="Arial" w:eastAsia="Times New Roman" w:hAnsi="Arial" w:cs="Arial"/>
          <w:bCs/>
          <w:spacing w:val="10"/>
          <w:lang w:val="es-ES_tradnl" w:eastAsia="es-ES"/>
        </w:rPr>
        <w:t>3.</w:t>
      </w:r>
      <w:r w:rsidR="00E37215">
        <w:rPr>
          <w:rFonts w:ascii="Arial" w:eastAsia="Times New Roman" w:hAnsi="Arial" w:cs="Arial"/>
          <w:bCs/>
          <w:spacing w:val="10"/>
          <w:lang w:val="es-ES_tradnl" w:eastAsia="es-ES"/>
        </w:rPr>
        <w:t>4</w:t>
      </w:r>
      <w:r w:rsidR="0037146B">
        <w:rPr>
          <w:rFonts w:ascii="Arial" w:eastAsia="Times New Roman" w:hAnsi="Arial" w:cs="Arial"/>
          <w:bCs/>
          <w:spacing w:val="10"/>
          <w:lang w:val="es-ES_tradnl" w:eastAsia="es-ES"/>
        </w:rPr>
        <w:t xml:space="preserve"> </w:t>
      </w:r>
      <w:r w:rsidR="00520245">
        <w:rPr>
          <w:rFonts w:ascii="Arial" w:eastAsia="Times New Roman" w:hAnsi="Arial" w:cs="Arial"/>
          <w:bCs/>
          <w:spacing w:val="10"/>
          <w:lang w:val="es-ES_tradnl" w:eastAsia="es-ES"/>
        </w:rPr>
        <w:t>por ciento.</w:t>
      </w:r>
      <w:r w:rsidR="00263175">
        <w:rPr>
          <w:rFonts w:ascii="Arial" w:eastAsia="Times New Roman" w:hAnsi="Arial" w:cs="Arial"/>
          <w:bCs/>
          <w:spacing w:val="10"/>
          <w:lang w:val="es-ES_tradnl" w:eastAsia="es-ES"/>
        </w:rPr>
        <w:t xml:space="preserve"> En términos absolutos, la población desocupada </w:t>
      </w:r>
      <w:r w:rsidR="0037146B">
        <w:rPr>
          <w:rFonts w:ascii="Arial" w:eastAsia="Times New Roman" w:hAnsi="Arial" w:cs="Arial"/>
          <w:bCs/>
          <w:spacing w:val="10"/>
          <w:lang w:val="es-ES_tradnl" w:eastAsia="es-ES"/>
        </w:rPr>
        <w:t xml:space="preserve">fue de </w:t>
      </w:r>
      <w:r w:rsidR="00263175">
        <w:rPr>
          <w:rFonts w:ascii="Arial" w:eastAsia="Times New Roman" w:hAnsi="Arial" w:cs="Arial"/>
          <w:bCs/>
          <w:spacing w:val="10"/>
          <w:lang w:val="es-ES_tradnl" w:eastAsia="es-ES"/>
        </w:rPr>
        <w:t>2.</w:t>
      </w:r>
      <w:r w:rsidR="00116539">
        <w:rPr>
          <w:rFonts w:ascii="Arial" w:eastAsia="Times New Roman" w:hAnsi="Arial" w:cs="Arial"/>
          <w:bCs/>
          <w:spacing w:val="10"/>
          <w:lang w:val="es-ES_tradnl" w:eastAsia="es-ES"/>
        </w:rPr>
        <w:t xml:space="preserve">4 </w:t>
      </w:r>
      <w:r w:rsidR="00263175">
        <w:rPr>
          <w:rFonts w:ascii="Arial" w:eastAsia="Times New Roman" w:hAnsi="Arial" w:cs="Arial"/>
          <w:bCs/>
          <w:spacing w:val="10"/>
          <w:lang w:val="es-ES_tradnl" w:eastAsia="es-ES"/>
        </w:rPr>
        <w:t>millones</w:t>
      </w:r>
      <w:r w:rsidR="0037146B">
        <w:rPr>
          <w:rFonts w:ascii="Arial" w:eastAsia="Times New Roman" w:hAnsi="Arial" w:cs="Arial"/>
          <w:bCs/>
          <w:spacing w:val="10"/>
          <w:lang w:val="es-ES_tradnl" w:eastAsia="es-ES"/>
        </w:rPr>
        <w:t xml:space="preserve"> de personas, </w:t>
      </w:r>
      <w:r w:rsidR="002756BF">
        <w:rPr>
          <w:rFonts w:ascii="Arial" w:eastAsia="Times New Roman" w:hAnsi="Arial" w:cs="Arial"/>
          <w:bCs/>
          <w:spacing w:val="10"/>
          <w:lang w:val="es-ES_tradnl" w:eastAsia="es-ES"/>
        </w:rPr>
        <w:t xml:space="preserve">monto superior en </w:t>
      </w:r>
      <w:r w:rsidR="00116539">
        <w:rPr>
          <w:rFonts w:ascii="Arial" w:eastAsia="Times New Roman" w:hAnsi="Arial" w:cs="Arial"/>
          <w:bCs/>
          <w:spacing w:val="10"/>
          <w:lang w:val="es-ES_tradnl" w:eastAsia="es-ES"/>
        </w:rPr>
        <w:t xml:space="preserve">455 </w:t>
      </w:r>
      <w:r w:rsidR="002756BF">
        <w:rPr>
          <w:rFonts w:ascii="Arial" w:eastAsia="Times New Roman" w:hAnsi="Arial" w:cs="Arial"/>
          <w:bCs/>
          <w:spacing w:val="10"/>
          <w:lang w:val="es-ES_tradnl" w:eastAsia="es-ES"/>
        </w:rPr>
        <w:t xml:space="preserve">mil personas comparado con el </w:t>
      </w:r>
      <w:r w:rsidR="00177B20">
        <w:rPr>
          <w:rFonts w:ascii="Arial" w:eastAsia="Times New Roman" w:hAnsi="Arial" w:cs="Arial"/>
          <w:bCs/>
          <w:spacing w:val="10"/>
          <w:lang w:val="es-ES_tradnl" w:eastAsia="es-ES"/>
        </w:rPr>
        <w:t>primer</w:t>
      </w:r>
      <w:r w:rsidR="002756BF">
        <w:rPr>
          <w:rFonts w:ascii="Arial" w:eastAsia="Times New Roman" w:hAnsi="Arial" w:cs="Arial"/>
          <w:bCs/>
          <w:spacing w:val="10"/>
          <w:lang w:val="es-ES_tradnl" w:eastAsia="es-ES"/>
        </w:rPr>
        <w:t xml:space="preserve"> trimestre de </w:t>
      </w:r>
      <w:r w:rsidR="00177B20">
        <w:rPr>
          <w:rFonts w:ascii="Arial" w:eastAsia="Times New Roman" w:hAnsi="Arial" w:cs="Arial"/>
          <w:bCs/>
          <w:spacing w:val="10"/>
          <w:lang w:val="es-ES_tradnl" w:eastAsia="es-ES"/>
        </w:rPr>
        <w:t>2020</w:t>
      </w:r>
      <w:r w:rsidR="00B934A9">
        <w:rPr>
          <w:rFonts w:ascii="Arial" w:eastAsia="Times New Roman" w:hAnsi="Arial" w:cs="Arial"/>
          <w:bCs/>
          <w:spacing w:val="10"/>
          <w:lang w:val="es-ES_tradnl" w:eastAsia="es-ES"/>
        </w:rPr>
        <w:t>.</w:t>
      </w:r>
    </w:p>
    <w:p w14:paraId="05187825" w14:textId="77777777" w:rsidR="00D52BA7" w:rsidRDefault="00D52BA7" w:rsidP="009749DA">
      <w:pPr>
        <w:spacing w:after="0" w:line="240" w:lineRule="auto"/>
        <w:ind w:right="49"/>
        <w:jc w:val="both"/>
        <w:rPr>
          <w:rFonts w:ascii="Arial" w:eastAsia="Times New Roman" w:hAnsi="Arial" w:cs="Arial"/>
          <w:bCs/>
          <w:spacing w:val="10"/>
          <w:lang w:val="es-ES_tradnl" w:eastAsia="es-ES"/>
        </w:rPr>
      </w:pPr>
    </w:p>
    <w:p w14:paraId="16C5DD5D" w14:textId="30EE713A" w:rsidR="00AF4C4B" w:rsidRDefault="002756BF" w:rsidP="009749DA">
      <w:pPr>
        <w:spacing w:after="0" w:line="240" w:lineRule="auto"/>
        <w:ind w:right="49"/>
        <w:jc w:val="both"/>
        <w:rPr>
          <w:rFonts w:ascii="Arial" w:eastAsia="Times New Roman" w:hAnsi="Arial" w:cs="Arial"/>
          <w:bCs/>
          <w:spacing w:val="10"/>
          <w:lang w:val="es-ES_tradnl" w:eastAsia="es-ES"/>
        </w:rPr>
      </w:pPr>
      <w:r>
        <w:rPr>
          <w:rFonts w:ascii="Arial" w:eastAsia="Times New Roman" w:hAnsi="Arial" w:cs="Arial"/>
          <w:bCs/>
          <w:spacing w:val="10"/>
          <w:lang w:val="es-ES_tradnl" w:eastAsia="es-ES"/>
        </w:rPr>
        <w:t>Los hombres desocupados ascendieron a 1.</w:t>
      </w:r>
      <w:r w:rsidR="003F06B0">
        <w:rPr>
          <w:rFonts w:ascii="Arial" w:eastAsia="Times New Roman" w:hAnsi="Arial" w:cs="Arial"/>
          <w:bCs/>
          <w:spacing w:val="10"/>
          <w:lang w:val="es-ES_tradnl" w:eastAsia="es-ES"/>
        </w:rPr>
        <w:t xml:space="preserve">5 </w:t>
      </w:r>
      <w:r>
        <w:rPr>
          <w:rFonts w:ascii="Arial" w:eastAsia="Times New Roman" w:hAnsi="Arial" w:cs="Arial"/>
          <w:bCs/>
          <w:spacing w:val="10"/>
          <w:lang w:val="es-ES_tradnl" w:eastAsia="es-ES"/>
        </w:rPr>
        <w:t xml:space="preserve">millones, </w:t>
      </w:r>
      <w:r w:rsidR="003F06B0">
        <w:rPr>
          <w:rFonts w:ascii="Arial" w:eastAsia="Times New Roman" w:hAnsi="Arial" w:cs="Arial"/>
          <w:bCs/>
          <w:spacing w:val="10"/>
          <w:lang w:val="es-ES_tradnl" w:eastAsia="es-ES"/>
        </w:rPr>
        <w:t xml:space="preserve">338 </w:t>
      </w:r>
      <w:r>
        <w:rPr>
          <w:rFonts w:ascii="Arial" w:eastAsia="Times New Roman" w:hAnsi="Arial" w:cs="Arial"/>
          <w:bCs/>
          <w:spacing w:val="10"/>
          <w:lang w:val="es-ES_tradnl" w:eastAsia="es-ES"/>
        </w:rPr>
        <w:t xml:space="preserve">mil más que en el </w:t>
      </w:r>
      <w:r w:rsidR="00592464">
        <w:rPr>
          <w:rFonts w:ascii="Arial" w:eastAsia="Times New Roman" w:hAnsi="Arial" w:cs="Arial"/>
          <w:bCs/>
          <w:spacing w:val="10"/>
          <w:lang w:val="es-ES_tradnl" w:eastAsia="es-ES"/>
        </w:rPr>
        <w:t>primer</w:t>
      </w:r>
      <w:r w:rsidR="001125B3">
        <w:rPr>
          <w:rFonts w:ascii="Arial" w:eastAsia="Times New Roman" w:hAnsi="Arial" w:cs="Arial"/>
          <w:bCs/>
          <w:spacing w:val="10"/>
          <w:lang w:val="es-ES_tradnl" w:eastAsia="es-ES"/>
        </w:rPr>
        <w:t xml:space="preserve"> </w:t>
      </w:r>
      <w:r>
        <w:rPr>
          <w:rFonts w:ascii="Arial" w:eastAsia="Times New Roman" w:hAnsi="Arial" w:cs="Arial"/>
          <w:bCs/>
          <w:spacing w:val="10"/>
          <w:lang w:val="es-ES_tradnl" w:eastAsia="es-ES"/>
        </w:rPr>
        <w:t xml:space="preserve">trimestre de </w:t>
      </w:r>
      <w:r w:rsidR="00177B20">
        <w:rPr>
          <w:rFonts w:ascii="Arial" w:eastAsia="Times New Roman" w:hAnsi="Arial" w:cs="Arial"/>
          <w:bCs/>
          <w:spacing w:val="10"/>
          <w:lang w:val="es-ES_tradnl" w:eastAsia="es-ES"/>
        </w:rPr>
        <w:t>2020</w:t>
      </w:r>
      <w:r>
        <w:rPr>
          <w:rFonts w:ascii="Arial" w:eastAsia="Times New Roman" w:hAnsi="Arial" w:cs="Arial"/>
          <w:bCs/>
          <w:spacing w:val="10"/>
          <w:lang w:val="es-ES_tradnl" w:eastAsia="es-ES"/>
        </w:rPr>
        <w:t xml:space="preserve">, las mujeres desocupadas por su parte fueron </w:t>
      </w:r>
      <w:r w:rsidR="003F06B0">
        <w:rPr>
          <w:rFonts w:ascii="Arial" w:eastAsia="Times New Roman" w:hAnsi="Arial" w:cs="Arial"/>
          <w:bCs/>
          <w:spacing w:val="10"/>
          <w:lang w:val="es-ES_tradnl" w:eastAsia="es-ES"/>
        </w:rPr>
        <w:t xml:space="preserve">894 </w:t>
      </w:r>
      <w:r>
        <w:rPr>
          <w:rFonts w:ascii="Arial" w:eastAsia="Times New Roman" w:hAnsi="Arial" w:cs="Arial"/>
          <w:bCs/>
          <w:spacing w:val="10"/>
          <w:lang w:val="es-ES_tradnl" w:eastAsia="es-ES"/>
        </w:rPr>
        <w:t xml:space="preserve">mil, </w:t>
      </w:r>
      <w:r w:rsidR="00853A21">
        <w:rPr>
          <w:rFonts w:ascii="Arial" w:eastAsia="Times New Roman" w:hAnsi="Arial" w:cs="Arial"/>
          <w:bCs/>
          <w:spacing w:val="10"/>
          <w:lang w:val="es-ES_tradnl" w:eastAsia="es-ES"/>
        </w:rPr>
        <w:t xml:space="preserve">con un incremento de </w:t>
      </w:r>
      <w:r w:rsidR="003F06B0">
        <w:rPr>
          <w:rFonts w:ascii="Arial" w:eastAsia="Times New Roman" w:hAnsi="Arial" w:cs="Arial"/>
          <w:bCs/>
          <w:spacing w:val="10"/>
          <w:lang w:val="es-ES_tradnl" w:eastAsia="es-ES"/>
        </w:rPr>
        <w:t xml:space="preserve">117 </w:t>
      </w:r>
      <w:r w:rsidR="00853A21">
        <w:rPr>
          <w:rFonts w:ascii="Arial" w:eastAsia="Times New Roman" w:hAnsi="Arial" w:cs="Arial"/>
          <w:bCs/>
          <w:spacing w:val="10"/>
          <w:lang w:val="es-ES_tradnl" w:eastAsia="es-ES"/>
        </w:rPr>
        <w:t>mil personas</w:t>
      </w:r>
      <w:r>
        <w:rPr>
          <w:rFonts w:ascii="Arial" w:eastAsia="Times New Roman" w:hAnsi="Arial" w:cs="Arial"/>
          <w:bCs/>
          <w:spacing w:val="10"/>
          <w:lang w:val="es-ES_tradnl" w:eastAsia="es-ES"/>
        </w:rPr>
        <w:t xml:space="preserve"> </w:t>
      </w:r>
      <w:r w:rsidR="00853A21">
        <w:rPr>
          <w:rFonts w:ascii="Arial" w:eastAsia="Times New Roman" w:hAnsi="Arial" w:cs="Arial"/>
          <w:bCs/>
          <w:spacing w:val="10"/>
          <w:lang w:val="es-ES_tradnl" w:eastAsia="es-ES"/>
        </w:rPr>
        <w:t xml:space="preserve">en el mismo periodo. La tasa de desocupación masculina en el </w:t>
      </w:r>
      <w:r w:rsidR="00177B20">
        <w:rPr>
          <w:rFonts w:ascii="Arial" w:eastAsia="Times New Roman" w:hAnsi="Arial" w:cs="Arial"/>
          <w:bCs/>
          <w:spacing w:val="10"/>
          <w:lang w:val="es-ES_tradnl" w:eastAsia="es-ES"/>
        </w:rPr>
        <w:t>primer</w:t>
      </w:r>
      <w:r w:rsidR="00853A21">
        <w:rPr>
          <w:rFonts w:ascii="Arial" w:eastAsia="Times New Roman" w:hAnsi="Arial" w:cs="Arial"/>
          <w:bCs/>
          <w:spacing w:val="10"/>
          <w:lang w:val="es-ES_tradnl" w:eastAsia="es-ES"/>
        </w:rPr>
        <w:t xml:space="preserve"> trimestre de </w:t>
      </w:r>
      <w:r w:rsidR="00177B20">
        <w:rPr>
          <w:rFonts w:ascii="Arial" w:eastAsia="Times New Roman" w:hAnsi="Arial" w:cs="Arial"/>
          <w:bCs/>
          <w:spacing w:val="10"/>
          <w:lang w:val="es-ES_tradnl" w:eastAsia="es-ES"/>
        </w:rPr>
        <w:t>2021</w:t>
      </w:r>
      <w:r w:rsidR="00853A21">
        <w:rPr>
          <w:rFonts w:ascii="Arial" w:eastAsia="Times New Roman" w:hAnsi="Arial" w:cs="Arial"/>
          <w:bCs/>
          <w:spacing w:val="10"/>
          <w:lang w:val="es-ES_tradnl" w:eastAsia="es-ES"/>
        </w:rPr>
        <w:t xml:space="preserve"> fue de </w:t>
      </w:r>
      <w:r w:rsidR="00D301FB">
        <w:rPr>
          <w:rFonts w:ascii="Arial" w:eastAsia="Times New Roman" w:hAnsi="Arial" w:cs="Arial"/>
          <w:bCs/>
          <w:spacing w:val="10"/>
          <w:lang w:val="es-ES_tradnl" w:eastAsia="es-ES"/>
        </w:rPr>
        <w:t>4.</w:t>
      </w:r>
      <w:r w:rsidR="00877CC9">
        <w:rPr>
          <w:rFonts w:ascii="Arial" w:eastAsia="Times New Roman" w:hAnsi="Arial" w:cs="Arial"/>
          <w:bCs/>
          <w:spacing w:val="10"/>
          <w:lang w:val="es-ES_tradnl" w:eastAsia="es-ES"/>
        </w:rPr>
        <w:t>4</w:t>
      </w:r>
      <w:r w:rsidR="00D301FB">
        <w:rPr>
          <w:rFonts w:ascii="Arial" w:eastAsia="Times New Roman" w:hAnsi="Arial" w:cs="Arial"/>
          <w:bCs/>
          <w:spacing w:val="10"/>
          <w:lang w:val="es-ES_tradnl" w:eastAsia="es-ES"/>
        </w:rPr>
        <w:t>%, 1</w:t>
      </w:r>
      <w:r w:rsidR="00853A21">
        <w:rPr>
          <w:rFonts w:ascii="Arial" w:eastAsia="Times New Roman" w:hAnsi="Arial" w:cs="Arial"/>
          <w:bCs/>
          <w:spacing w:val="10"/>
          <w:lang w:val="es-ES_tradnl" w:eastAsia="es-ES"/>
        </w:rPr>
        <w:t xml:space="preserve"> punto porcentual superior a la de igual periodo de </w:t>
      </w:r>
      <w:r w:rsidR="00177B20">
        <w:rPr>
          <w:rFonts w:ascii="Arial" w:eastAsia="Times New Roman" w:hAnsi="Arial" w:cs="Arial"/>
          <w:bCs/>
          <w:spacing w:val="10"/>
          <w:lang w:val="es-ES_tradnl" w:eastAsia="es-ES"/>
        </w:rPr>
        <w:t>2020</w:t>
      </w:r>
      <w:r w:rsidR="00853A21">
        <w:rPr>
          <w:rFonts w:ascii="Arial" w:eastAsia="Times New Roman" w:hAnsi="Arial" w:cs="Arial"/>
          <w:bCs/>
          <w:spacing w:val="10"/>
          <w:lang w:val="es-ES_tradnl" w:eastAsia="es-ES"/>
        </w:rPr>
        <w:t>, mientras que la tasa de desocupación femenina fue de 4.</w:t>
      </w:r>
      <w:r w:rsidR="00877CC9">
        <w:rPr>
          <w:rFonts w:ascii="Arial" w:eastAsia="Times New Roman" w:hAnsi="Arial" w:cs="Arial"/>
          <w:bCs/>
          <w:spacing w:val="10"/>
          <w:lang w:val="es-ES_tradnl" w:eastAsia="es-ES"/>
        </w:rPr>
        <w:t>2</w:t>
      </w:r>
      <w:r w:rsidR="00853A21">
        <w:rPr>
          <w:rFonts w:ascii="Arial" w:eastAsia="Times New Roman" w:hAnsi="Arial" w:cs="Arial"/>
          <w:bCs/>
          <w:spacing w:val="10"/>
          <w:lang w:val="es-ES_tradnl" w:eastAsia="es-ES"/>
        </w:rPr>
        <w:t xml:space="preserve">%, </w:t>
      </w:r>
      <w:r w:rsidR="00D301FB">
        <w:rPr>
          <w:rFonts w:ascii="Arial" w:eastAsia="Times New Roman" w:hAnsi="Arial" w:cs="Arial"/>
          <w:bCs/>
          <w:spacing w:val="10"/>
          <w:lang w:val="es-ES_tradnl" w:eastAsia="es-ES"/>
        </w:rPr>
        <w:t>0.</w:t>
      </w:r>
      <w:r w:rsidR="00877CC9">
        <w:rPr>
          <w:rFonts w:ascii="Arial" w:eastAsia="Times New Roman" w:hAnsi="Arial" w:cs="Arial"/>
          <w:bCs/>
          <w:spacing w:val="10"/>
          <w:lang w:val="es-ES_tradnl" w:eastAsia="es-ES"/>
        </w:rPr>
        <w:t xml:space="preserve">8 </w:t>
      </w:r>
      <w:r w:rsidR="00853A21">
        <w:rPr>
          <w:rFonts w:ascii="Arial" w:eastAsia="Times New Roman" w:hAnsi="Arial" w:cs="Arial"/>
          <w:bCs/>
          <w:spacing w:val="10"/>
          <w:lang w:val="es-ES_tradnl" w:eastAsia="es-ES"/>
        </w:rPr>
        <w:t>puntos porcentuales más en el mismo lapso.</w:t>
      </w:r>
    </w:p>
    <w:p w14:paraId="3B9C9CD4" w14:textId="77777777" w:rsidR="00AF4C4B" w:rsidRDefault="00AF4C4B">
      <w:pPr>
        <w:rPr>
          <w:rFonts w:ascii="Arial" w:eastAsia="Times New Roman" w:hAnsi="Arial" w:cs="Arial"/>
          <w:bCs/>
          <w:spacing w:val="10"/>
          <w:lang w:val="es-ES_tradnl" w:eastAsia="es-ES"/>
        </w:rPr>
      </w:pPr>
      <w:r>
        <w:rPr>
          <w:rFonts w:ascii="Arial" w:eastAsia="Times New Roman" w:hAnsi="Arial" w:cs="Arial"/>
          <w:bCs/>
          <w:spacing w:val="10"/>
          <w:lang w:val="es-ES_tradnl" w:eastAsia="es-ES"/>
        </w:rPr>
        <w:br w:type="page"/>
      </w:r>
    </w:p>
    <w:p w14:paraId="3FC9FBEC" w14:textId="77777777" w:rsidR="002756BF" w:rsidRDefault="002756BF" w:rsidP="009749DA">
      <w:pPr>
        <w:spacing w:after="0" w:line="240" w:lineRule="auto"/>
        <w:ind w:right="49"/>
        <w:jc w:val="both"/>
        <w:rPr>
          <w:rFonts w:ascii="Arial" w:eastAsia="Times New Roman" w:hAnsi="Arial" w:cs="Arial"/>
          <w:bCs/>
          <w:spacing w:val="10"/>
          <w:lang w:val="es-ES_tradnl" w:eastAsia="es-ES"/>
        </w:rPr>
      </w:pPr>
    </w:p>
    <w:p w14:paraId="42D25CFC" w14:textId="6574FF6B" w:rsidR="00DE4311" w:rsidRPr="001A1D45" w:rsidRDefault="00AF485F" w:rsidP="009749DA">
      <w:pPr>
        <w:pStyle w:val="n0"/>
        <w:keepLines w:val="0"/>
        <w:spacing w:before="0"/>
        <w:ind w:left="0" w:right="51" w:firstLine="0"/>
        <w:jc w:val="center"/>
        <w:rPr>
          <w:b/>
          <w:smallCaps/>
          <w:color w:val="auto"/>
          <w:sz w:val="22"/>
          <w:szCs w:val="22"/>
        </w:rPr>
      </w:pPr>
      <w:r>
        <w:rPr>
          <w:b/>
          <w:smallCaps/>
          <w:color w:val="auto"/>
          <w:sz w:val="22"/>
          <w:szCs w:val="22"/>
        </w:rPr>
        <w:t>Gráfico 5</w:t>
      </w:r>
      <w:r w:rsidR="00DE4311" w:rsidRPr="001A1D45">
        <w:rPr>
          <w:b/>
          <w:smallCaps/>
          <w:color w:val="auto"/>
          <w:sz w:val="22"/>
          <w:szCs w:val="22"/>
        </w:rPr>
        <w:t xml:space="preserve">. </w:t>
      </w:r>
      <w:r w:rsidR="00DE4311">
        <w:rPr>
          <w:b/>
          <w:smallCaps/>
          <w:color w:val="auto"/>
          <w:sz w:val="22"/>
          <w:szCs w:val="22"/>
        </w:rPr>
        <w:t xml:space="preserve">Tasa de desocupación </w:t>
      </w:r>
      <w:r w:rsidR="00DE4311" w:rsidRPr="001A1D45">
        <w:rPr>
          <w:b/>
          <w:smallCaps/>
          <w:color w:val="auto"/>
          <w:sz w:val="22"/>
          <w:szCs w:val="22"/>
        </w:rPr>
        <w:t>por sexo E</w:t>
      </w:r>
      <w:r w:rsidR="00DE4311">
        <w:rPr>
          <w:b/>
          <w:smallCaps/>
          <w:color w:val="auto"/>
          <w:sz w:val="22"/>
          <w:szCs w:val="22"/>
        </w:rPr>
        <w:t>N</w:t>
      </w:r>
      <w:r w:rsidR="00DE4311" w:rsidRPr="001A1D45">
        <w:rPr>
          <w:b/>
          <w:smallCaps/>
          <w:color w:val="auto"/>
          <w:sz w:val="22"/>
          <w:szCs w:val="22"/>
        </w:rPr>
        <w:t>OE</w:t>
      </w:r>
      <w:r w:rsidR="00DE4311">
        <w:rPr>
          <w:b/>
          <w:smallCaps/>
          <w:color w:val="auto"/>
          <w:sz w:val="22"/>
          <w:szCs w:val="22"/>
          <w:vertAlign w:val="superscript"/>
        </w:rPr>
        <w:t>N</w:t>
      </w:r>
      <w:r w:rsidR="00DE4311" w:rsidRPr="001A1D45">
        <w:rPr>
          <w:b/>
          <w:smallCaps/>
          <w:color w:val="auto"/>
          <w:sz w:val="22"/>
          <w:szCs w:val="22"/>
        </w:rPr>
        <w:t xml:space="preserve"> al </w:t>
      </w:r>
      <w:r w:rsidR="00177B20">
        <w:rPr>
          <w:b/>
          <w:smallCaps/>
          <w:color w:val="auto"/>
          <w:sz w:val="22"/>
          <w:szCs w:val="22"/>
        </w:rPr>
        <w:t>primer</w:t>
      </w:r>
      <w:r w:rsidR="00DE4311">
        <w:rPr>
          <w:b/>
          <w:smallCaps/>
          <w:color w:val="auto"/>
          <w:sz w:val="22"/>
          <w:szCs w:val="22"/>
        </w:rPr>
        <w:t xml:space="preserve"> trimestre</w:t>
      </w:r>
      <w:r w:rsidR="00DE4311" w:rsidRPr="001A1D45">
        <w:rPr>
          <w:b/>
          <w:smallCaps/>
          <w:color w:val="auto"/>
          <w:sz w:val="22"/>
          <w:szCs w:val="22"/>
        </w:rPr>
        <w:t xml:space="preserve"> de </w:t>
      </w:r>
      <w:r w:rsidR="00177B20">
        <w:rPr>
          <w:b/>
          <w:smallCaps/>
          <w:color w:val="auto"/>
          <w:sz w:val="22"/>
          <w:szCs w:val="22"/>
        </w:rPr>
        <w:t>2021</w:t>
      </w:r>
    </w:p>
    <w:p w14:paraId="2B7F9849" w14:textId="6075BFA7" w:rsidR="00226089" w:rsidRDefault="00DE4311" w:rsidP="00226089">
      <w:pPr>
        <w:pStyle w:val="n0"/>
        <w:keepLines w:val="0"/>
        <w:spacing w:before="0"/>
        <w:ind w:left="0" w:right="49" w:firstLine="0"/>
        <w:jc w:val="center"/>
        <w:rPr>
          <w:b/>
          <w:smallCaps/>
          <w:color w:val="auto"/>
          <w:sz w:val="22"/>
          <w:szCs w:val="22"/>
        </w:rPr>
      </w:pPr>
      <w:r w:rsidRPr="000C73EB">
        <w:rPr>
          <w:b/>
          <w:smallCaps/>
          <w:color w:val="auto"/>
          <w:sz w:val="22"/>
          <w:szCs w:val="22"/>
        </w:rPr>
        <w:t>(</w:t>
      </w:r>
      <w:r>
        <w:rPr>
          <w:b/>
          <w:smallCaps/>
          <w:color w:val="auto"/>
          <w:sz w:val="22"/>
          <w:szCs w:val="22"/>
        </w:rPr>
        <w:t>porcentaje respecto a la pea</w:t>
      </w:r>
      <w:r w:rsidRPr="000C73EB">
        <w:rPr>
          <w:b/>
          <w:smallCaps/>
          <w:color w:val="auto"/>
          <w:sz w:val="22"/>
          <w:szCs w:val="22"/>
        </w:rPr>
        <w:t>)</w:t>
      </w:r>
    </w:p>
    <w:p w14:paraId="4D6CFA84" w14:textId="5A00C060" w:rsidR="00DE4311" w:rsidRDefault="00A42494" w:rsidP="009749DA">
      <w:pPr>
        <w:spacing w:after="0" w:line="240" w:lineRule="auto"/>
        <w:ind w:right="49"/>
        <w:jc w:val="center"/>
        <w:rPr>
          <w:rFonts w:ascii="Arial" w:eastAsia="Times New Roman" w:hAnsi="Arial" w:cs="Arial"/>
          <w:bCs/>
          <w:spacing w:val="10"/>
          <w:lang w:val="es-ES_tradnl" w:eastAsia="es-ES"/>
        </w:rPr>
      </w:pPr>
      <w:r>
        <w:rPr>
          <w:rFonts w:ascii="Arial" w:eastAsia="Times New Roman" w:hAnsi="Arial" w:cs="Arial"/>
          <w:bCs/>
          <w:noProof/>
          <w:spacing w:val="10"/>
          <w:lang w:eastAsia="es-MX"/>
        </w:rPr>
        <w:drawing>
          <wp:inline distT="0" distB="0" distL="0" distR="0" wp14:anchorId="6F37CC4F" wp14:editId="45940140">
            <wp:extent cx="5242560" cy="2910840"/>
            <wp:effectExtent l="0" t="0" r="0" b="381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242560" cy="2910840"/>
                    </a:xfrm>
                    <a:prstGeom prst="rect">
                      <a:avLst/>
                    </a:prstGeom>
                    <a:noFill/>
                  </pic:spPr>
                </pic:pic>
              </a:graphicData>
            </a:graphic>
          </wp:inline>
        </w:drawing>
      </w:r>
    </w:p>
    <w:p w14:paraId="425BED42" w14:textId="77777777" w:rsidR="004B3013" w:rsidRDefault="004B3013" w:rsidP="004B3013">
      <w:pPr>
        <w:spacing w:after="0" w:line="240" w:lineRule="auto"/>
        <w:ind w:left="284" w:right="333" w:hanging="142"/>
        <w:jc w:val="both"/>
        <w:rPr>
          <w:rFonts w:ascii="Arial" w:hAnsi="Arial" w:cs="Arial"/>
          <w:noProof/>
          <w:sz w:val="14"/>
          <w:szCs w:val="14"/>
          <w:lang w:val="es-ES" w:eastAsia="es-ES"/>
        </w:rPr>
      </w:pPr>
      <w:r>
        <w:rPr>
          <w:rFonts w:ascii="Arial" w:hAnsi="Arial" w:cs="Arial"/>
          <w:noProof/>
          <w:sz w:val="14"/>
          <w:szCs w:val="14"/>
          <w:lang w:val="es-ES" w:eastAsia="es-ES"/>
        </w:rPr>
        <w:t>Intervalos de confianza al 90 por ciento.</w:t>
      </w:r>
    </w:p>
    <w:p w14:paraId="44ABBE0B" w14:textId="77777777" w:rsidR="006E302F" w:rsidRDefault="006E302F" w:rsidP="006E302F">
      <w:pPr>
        <w:tabs>
          <w:tab w:val="left" w:pos="851"/>
        </w:tabs>
        <w:spacing w:after="0" w:line="240" w:lineRule="auto"/>
        <w:ind w:left="142" w:right="333"/>
        <w:rPr>
          <w:rFonts w:ascii="Arial" w:hAnsi="Arial" w:cs="Arial"/>
          <w:noProof/>
          <w:sz w:val="14"/>
          <w:szCs w:val="14"/>
          <w:lang w:val="es-ES" w:eastAsia="es-ES"/>
        </w:rPr>
      </w:pPr>
      <w:r>
        <w:rPr>
          <w:rFonts w:ascii="Arial" w:hAnsi="Arial" w:cs="Arial"/>
          <w:noProof/>
          <w:sz w:val="14"/>
          <w:szCs w:val="14"/>
          <w:lang w:val="es-ES" w:eastAsia="es-ES"/>
        </w:rPr>
        <w:t>Fuente:</w:t>
      </w:r>
      <w:r>
        <w:rPr>
          <w:rFonts w:ascii="Arial" w:hAnsi="Arial" w:cs="Arial"/>
          <w:noProof/>
          <w:sz w:val="14"/>
          <w:szCs w:val="14"/>
          <w:lang w:val="es-ES" w:eastAsia="es-ES"/>
        </w:rPr>
        <w:tab/>
        <w:t>INEGI. Encuesta Nacional de Ocupación y Empleo. Nueva Edición, primer trimestre de 2021.</w:t>
      </w:r>
    </w:p>
    <w:p w14:paraId="0BA68983" w14:textId="77777777" w:rsidR="006E302F" w:rsidRDefault="006E302F" w:rsidP="006E302F">
      <w:pPr>
        <w:tabs>
          <w:tab w:val="left" w:pos="851"/>
        </w:tabs>
        <w:spacing w:after="0" w:line="240" w:lineRule="auto"/>
        <w:ind w:left="142" w:right="333"/>
      </w:pPr>
      <w:r>
        <w:rPr>
          <w:rFonts w:ascii="Arial" w:hAnsi="Arial" w:cs="Arial"/>
          <w:noProof/>
          <w:sz w:val="14"/>
          <w:szCs w:val="14"/>
          <w:lang w:val="es-ES" w:eastAsia="es-ES"/>
        </w:rPr>
        <w:tab/>
        <w:t>INEGI. Encuesta Nacional de Ocupación y Empleo, primer trimestre de 2020.</w:t>
      </w:r>
    </w:p>
    <w:p w14:paraId="0F837E4F" w14:textId="77777777" w:rsidR="00DE4311" w:rsidRDefault="00DE4311" w:rsidP="009749DA">
      <w:pPr>
        <w:spacing w:after="0" w:line="240" w:lineRule="auto"/>
        <w:ind w:right="49"/>
        <w:jc w:val="both"/>
        <w:rPr>
          <w:rFonts w:ascii="Arial" w:eastAsia="Times New Roman" w:hAnsi="Arial" w:cs="Arial"/>
          <w:bCs/>
          <w:spacing w:val="10"/>
          <w:lang w:val="es-ES_tradnl" w:eastAsia="es-ES"/>
        </w:rPr>
      </w:pPr>
    </w:p>
    <w:p w14:paraId="429168C0" w14:textId="77777777" w:rsidR="002756BF" w:rsidRDefault="002756BF" w:rsidP="009749DA">
      <w:pPr>
        <w:spacing w:after="0" w:line="240" w:lineRule="auto"/>
        <w:ind w:right="49"/>
        <w:jc w:val="both"/>
        <w:rPr>
          <w:rFonts w:ascii="Arial" w:eastAsia="Times New Roman" w:hAnsi="Arial" w:cs="Arial"/>
          <w:bCs/>
          <w:spacing w:val="10"/>
          <w:lang w:val="es-ES_tradnl" w:eastAsia="es-ES"/>
        </w:rPr>
      </w:pPr>
    </w:p>
    <w:p w14:paraId="5F6C7599" w14:textId="15E19FF2" w:rsidR="00674B11" w:rsidRDefault="000F0B17" w:rsidP="009749DA">
      <w:pPr>
        <w:jc w:val="both"/>
        <w:rPr>
          <w:rFonts w:ascii="Arial" w:eastAsia="Times New Roman" w:hAnsi="Arial" w:cs="Arial"/>
          <w:bCs/>
          <w:spacing w:val="10"/>
          <w:lang w:val="es-ES_tradnl" w:eastAsia="es-ES"/>
        </w:rPr>
      </w:pPr>
      <w:r>
        <w:rPr>
          <w:rFonts w:ascii="Arial" w:eastAsia="Times New Roman" w:hAnsi="Arial" w:cs="Arial"/>
          <w:bCs/>
          <w:spacing w:val="10"/>
          <w:lang w:val="es-ES_tradnl" w:eastAsia="es-ES"/>
        </w:rPr>
        <w:t xml:space="preserve">En el </w:t>
      </w:r>
      <w:r w:rsidR="00177B20">
        <w:rPr>
          <w:rFonts w:ascii="Arial" w:eastAsia="Times New Roman" w:hAnsi="Arial" w:cs="Arial"/>
          <w:bCs/>
          <w:spacing w:val="10"/>
          <w:lang w:val="es-ES_tradnl" w:eastAsia="es-ES"/>
        </w:rPr>
        <w:t>primer</w:t>
      </w:r>
      <w:r>
        <w:rPr>
          <w:rFonts w:ascii="Arial" w:eastAsia="Times New Roman" w:hAnsi="Arial" w:cs="Arial"/>
          <w:bCs/>
          <w:spacing w:val="10"/>
          <w:lang w:val="es-ES_tradnl" w:eastAsia="es-ES"/>
        </w:rPr>
        <w:t xml:space="preserve"> trimestre de </w:t>
      </w:r>
      <w:r w:rsidR="00177B20">
        <w:rPr>
          <w:rFonts w:ascii="Arial" w:eastAsia="Times New Roman" w:hAnsi="Arial" w:cs="Arial"/>
          <w:bCs/>
          <w:spacing w:val="10"/>
          <w:lang w:val="es-ES_tradnl" w:eastAsia="es-ES"/>
        </w:rPr>
        <w:t>2021</w:t>
      </w:r>
      <w:r>
        <w:rPr>
          <w:rFonts w:ascii="Arial" w:eastAsia="Times New Roman" w:hAnsi="Arial" w:cs="Arial"/>
          <w:bCs/>
          <w:spacing w:val="10"/>
          <w:lang w:val="es-ES_tradnl" w:eastAsia="es-ES"/>
        </w:rPr>
        <w:t>, l</w:t>
      </w:r>
      <w:r w:rsidR="00252EDE" w:rsidRPr="00F60DD2">
        <w:rPr>
          <w:rFonts w:ascii="Arial" w:eastAsia="Times New Roman" w:hAnsi="Arial" w:cs="Arial"/>
          <w:bCs/>
          <w:spacing w:val="10"/>
          <w:lang w:val="es-ES_tradnl" w:eastAsia="es-ES"/>
        </w:rPr>
        <w:t xml:space="preserve">as personas </w:t>
      </w:r>
      <w:r w:rsidR="006C2E61">
        <w:rPr>
          <w:rFonts w:ascii="Arial" w:eastAsia="Times New Roman" w:hAnsi="Arial" w:cs="Arial"/>
          <w:bCs/>
          <w:spacing w:val="10"/>
          <w:lang w:val="es-ES_tradnl" w:eastAsia="es-ES"/>
        </w:rPr>
        <w:t xml:space="preserve">desocupadas </w:t>
      </w:r>
      <w:r w:rsidR="00252EDE" w:rsidRPr="00F60DD2">
        <w:rPr>
          <w:rFonts w:ascii="Arial" w:eastAsia="Times New Roman" w:hAnsi="Arial" w:cs="Arial"/>
          <w:bCs/>
          <w:spacing w:val="10"/>
          <w:lang w:val="es-ES_tradnl" w:eastAsia="es-ES"/>
        </w:rPr>
        <w:t xml:space="preserve">de 25 a 44 </w:t>
      </w:r>
      <w:r w:rsidR="00724EAC" w:rsidRPr="00F60DD2">
        <w:rPr>
          <w:rFonts w:ascii="Arial" w:eastAsia="Times New Roman" w:hAnsi="Arial" w:cs="Arial"/>
          <w:bCs/>
          <w:spacing w:val="10"/>
          <w:lang w:val="es-ES_tradnl" w:eastAsia="es-ES"/>
        </w:rPr>
        <w:t>años</w:t>
      </w:r>
      <w:r w:rsidR="00252EDE" w:rsidRPr="00F60DD2">
        <w:rPr>
          <w:rFonts w:ascii="Arial" w:eastAsia="Times New Roman" w:hAnsi="Arial" w:cs="Arial"/>
          <w:bCs/>
          <w:spacing w:val="10"/>
          <w:lang w:val="es-ES_tradnl" w:eastAsia="es-ES"/>
        </w:rPr>
        <w:t xml:space="preserve"> </w:t>
      </w:r>
      <w:r w:rsidR="006C2E61">
        <w:rPr>
          <w:rFonts w:ascii="Arial" w:eastAsia="Times New Roman" w:hAnsi="Arial" w:cs="Arial"/>
          <w:bCs/>
          <w:spacing w:val="10"/>
          <w:lang w:val="es-ES_tradnl" w:eastAsia="es-ES"/>
        </w:rPr>
        <w:t>representaron</w:t>
      </w:r>
      <w:r w:rsidR="006C2E61" w:rsidRPr="00F60DD2">
        <w:rPr>
          <w:rFonts w:ascii="Arial" w:eastAsia="Times New Roman" w:hAnsi="Arial" w:cs="Arial"/>
          <w:bCs/>
          <w:spacing w:val="10"/>
          <w:lang w:val="es-ES_tradnl" w:eastAsia="es-ES"/>
        </w:rPr>
        <w:t xml:space="preserve"> </w:t>
      </w:r>
      <w:r w:rsidR="00252EDE" w:rsidRPr="00F60DD2">
        <w:rPr>
          <w:rFonts w:ascii="Arial" w:eastAsia="Times New Roman" w:hAnsi="Arial" w:cs="Arial"/>
          <w:bCs/>
          <w:spacing w:val="10"/>
          <w:lang w:val="es-ES_tradnl" w:eastAsia="es-ES"/>
        </w:rPr>
        <w:t xml:space="preserve">el </w:t>
      </w:r>
      <w:r w:rsidR="009C2032">
        <w:rPr>
          <w:rFonts w:ascii="Arial" w:eastAsia="Times New Roman" w:hAnsi="Arial" w:cs="Arial"/>
          <w:bCs/>
          <w:spacing w:val="10"/>
          <w:lang w:val="es-ES_tradnl" w:eastAsia="es-ES"/>
        </w:rPr>
        <w:t>45.7</w:t>
      </w:r>
      <w:r w:rsidR="00252EDE" w:rsidRPr="00F60DD2">
        <w:rPr>
          <w:rFonts w:ascii="Arial" w:eastAsia="Times New Roman" w:hAnsi="Arial" w:cs="Arial"/>
          <w:bCs/>
          <w:spacing w:val="10"/>
          <w:lang w:val="es-ES_tradnl" w:eastAsia="es-ES"/>
        </w:rPr>
        <w:t>%, seguid</w:t>
      </w:r>
      <w:r w:rsidR="00E03C5E">
        <w:rPr>
          <w:rFonts w:ascii="Arial" w:eastAsia="Times New Roman" w:hAnsi="Arial" w:cs="Arial"/>
          <w:bCs/>
          <w:spacing w:val="10"/>
          <w:lang w:val="es-ES_tradnl" w:eastAsia="es-ES"/>
        </w:rPr>
        <w:t>as</w:t>
      </w:r>
      <w:r w:rsidR="00252EDE" w:rsidRPr="00F60DD2">
        <w:rPr>
          <w:rFonts w:ascii="Arial" w:eastAsia="Times New Roman" w:hAnsi="Arial" w:cs="Arial"/>
          <w:bCs/>
          <w:spacing w:val="10"/>
          <w:lang w:val="es-ES_tradnl" w:eastAsia="es-ES"/>
        </w:rPr>
        <w:t xml:space="preserve"> del grupo de </w:t>
      </w:r>
      <w:r w:rsidR="0037146B">
        <w:rPr>
          <w:rFonts w:ascii="Arial" w:eastAsia="Times New Roman" w:hAnsi="Arial" w:cs="Arial"/>
          <w:bCs/>
          <w:spacing w:val="10"/>
          <w:lang w:val="es-ES_tradnl" w:eastAsia="es-ES"/>
        </w:rPr>
        <w:t>15 a 24</w:t>
      </w:r>
      <w:r w:rsidR="00252EDE" w:rsidRPr="00F60DD2">
        <w:rPr>
          <w:rFonts w:ascii="Arial" w:eastAsia="Times New Roman" w:hAnsi="Arial" w:cs="Arial"/>
          <w:bCs/>
          <w:spacing w:val="10"/>
          <w:lang w:val="es-ES_tradnl" w:eastAsia="es-ES"/>
        </w:rPr>
        <w:t xml:space="preserve"> </w:t>
      </w:r>
      <w:r w:rsidR="00724EAC" w:rsidRPr="00F60DD2">
        <w:rPr>
          <w:rFonts w:ascii="Arial" w:eastAsia="Times New Roman" w:hAnsi="Arial" w:cs="Arial"/>
          <w:bCs/>
          <w:spacing w:val="10"/>
          <w:lang w:val="es-ES_tradnl" w:eastAsia="es-ES"/>
        </w:rPr>
        <w:t>años</w:t>
      </w:r>
      <w:r w:rsidR="00252EDE" w:rsidRPr="00F60DD2">
        <w:rPr>
          <w:rFonts w:ascii="Arial" w:eastAsia="Times New Roman" w:hAnsi="Arial" w:cs="Arial"/>
          <w:bCs/>
          <w:spacing w:val="10"/>
          <w:lang w:val="es-ES_tradnl" w:eastAsia="es-ES"/>
        </w:rPr>
        <w:t xml:space="preserve"> con </w:t>
      </w:r>
      <w:r w:rsidR="009C2032">
        <w:rPr>
          <w:rFonts w:ascii="Arial" w:eastAsia="Times New Roman" w:hAnsi="Arial" w:cs="Arial"/>
          <w:bCs/>
          <w:spacing w:val="10"/>
          <w:lang w:val="es-ES_tradnl" w:eastAsia="es-ES"/>
        </w:rPr>
        <w:t>31.4</w:t>
      </w:r>
      <w:r w:rsidR="0037146B">
        <w:rPr>
          <w:rFonts w:ascii="Arial" w:eastAsia="Times New Roman" w:hAnsi="Arial" w:cs="Arial"/>
          <w:bCs/>
          <w:spacing w:val="10"/>
          <w:lang w:val="es-ES_tradnl" w:eastAsia="es-ES"/>
        </w:rPr>
        <w:t xml:space="preserve"> </w:t>
      </w:r>
      <w:r w:rsidR="004626B9">
        <w:rPr>
          <w:rFonts w:ascii="Arial" w:eastAsia="Times New Roman" w:hAnsi="Arial" w:cs="Arial"/>
          <w:bCs/>
          <w:spacing w:val="10"/>
          <w:lang w:val="es-ES_tradnl" w:eastAsia="es-ES"/>
        </w:rPr>
        <w:t>por ciento</w:t>
      </w:r>
      <w:r w:rsidR="00B934A9">
        <w:rPr>
          <w:rFonts w:ascii="Arial" w:eastAsia="Times New Roman" w:hAnsi="Arial" w:cs="Arial"/>
          <w:bCs/>
          <w:spacing w:val="10"/>
          <w:lang w:val="es-ES_tradnl" w:eastAsia="es-ES"/>
        </w:rPr>
        <w:t>; e</w:t>
      </w:r>
      <w:r>
        <w:rPr>
          <w:rFonts w:ascii="Arial" w:eastAsia="Times New Roman" w:hAnsi="Arial" w:cs="Arial"/>
          <w:bCs/>
          <w:spacing w:val="10"/>
          <w:lang w:val="es-ES_tradnl" w:eastAsia="es-ES"/>
        </w:rPr>
        <w:t xml:space="preserve">l </w:t>
      </w:r>
      <w:r w:rsidR="00B934A9">
        <w:rPr>
          <w:rFonts w:ascii="Arial" w:eastAsia="Times New Roman" w:hAnsi="Arial" w:cs="Arial"/>
          <w:bCs/>
          <w:spacing w:val="10"/>
          <w:lang w:val="es-ES_tradnl" w:eastAsia="es-ES"/>
        </w:rPr>
        <w:t xml:space="preserve">primer </w:t>
      </w:r>
      <w:r>
        <w:rPr>
          <w:rFonts w:ascii="Arial" w:eastAsia="Times New Roman" w:hAnsi="Arial" w:cs="Arial"/>
          <w:bCs/>
          <w:spacing w:val="10"/>
          <w:lang w:val="es-ES_tradnl" w:eastAsia="es-ES"/>
        </w:rPr>
        <w:t>grupo en comparación con el mismo periodo del año pasado aument</w:t>
      </w:r>
      <w:r w:rsidR="00FE4C0A">
        <w:rPr>
          <w:rFonts w:ascii="Arial" w:eastAsia="Times New Roman" w:hAnsi="Arial" w:cs="Arial"/>
          <w:bCs/>
          <w:spacing w:val="10"/>
          <w:lang w:val="es-ES_tradnl" w:eastAsia="es-ES"/>
        </w:rPr>
        <w:t>ó</w:t>
      </w:r>
      <w:r>
        <w:rPr>
          <w:rFonts w:ascii="Arial" w:eastAsia="Times New Roman" w:hAnsi="Arial" w:cs="Arial"/>
          <w:bCs/>
          <w:spacing w:val="10"/>
          <w:lang w:val="es-ES_tradnl" w:eastAsia="es-ES"/>
        </w:rPr>
        <w:t xml:space="preserve"> en </w:t>
      </w:r>
      <w:r w:rsidR="009C2032">
        <w:rPr>
          <w:rFonts w:ascii="Arial" w:eastAsia="Times New Roman" w:hAnsi="Arial" w:cs="Arial"/>
          <w:bCs/>
          <w:spacing w:val="10"/>
          <w:lang w:val="es-ES_tradnl" w:eastAsia="es-ES"/>
        </w:rPr>
        <w:t xml:space="preserve">166 </w:t>
      </w:r>
      <w:r>
        <w:rPr>
          <w:rFonts w:ascii="Arial" w:eastAsia="Times New Roman" w:hAnsi="Arial" w:cs="Arial"/>
          <w:bCs/>
          <w:spacing w:val="10"/>
          <w:lang w:val="es-ES_tradnl" w:eastAsia="es-ES"/>
        </w:rPr>
        <w:t>mil personas</w:t>
      </w:r>
      <w:r w:rsidR="00B934A9">
        <w:rPr>
          <w:rFonts w:ascii="Arial" w:eastAsia="Times New Roman" w:hAnsi="Arial" w:cs="Arial"/>
          <w:bCs/>
          <w:spacing w:val="10"/>
          <w:lang w:val="es-ES_tradnl" w:eastAsia="es-ES"/>
        </w:rPr>
        <w:t xml:space="preserve"> y el segundo </w:t>
      </w:r>
      <w:r>
        <w:rPr>
          <w:rFonts w:ascii="Arial" w:eastAsia="Times New Roman" w:hAnsi="Arial" w:cs="Arial"/>
          <w:bCs/>
          <w:spacing w:val="10"/>
          <w:lang w:val="es-ES_tradnl" w:eastAsia="es-ES"/>
        </w:rPr>
        <w:t xml:space="preserve">grupo </w:t>
      </w:r>
      <w:r w:rsidR="00943874">
        <w:rPr>
          <w:rFonts w:ascii="Arial" w:eastAsia="Times New Roman" w:hAnsi="Arial" w:cs="Arial"/>
          <w:bCs/>
          <w:spacing w:val="10"/>
          <w:lang w:val="es-ES_tradnl" w:eastAsia="es-ES"/>
        </w:rPr>
        <w:t xml:space="preserve">tuvo un crecimiento de </w:t>
      </w:r>
      <w:r w:rsidR="000F1730">
        <w:rPr>
          <w:rFonts w:ascii="Arial" w:eastAsia="Times New Roman" w:hAnsi="Arial" w:cs="Arial"/>
          <w:bCs/>
          <w:spacing w:val="10"/>
          <w:lang w:val="es-ES_tradnl" w:eastAsia="es-ES"/>
        </w:rPr>
        <w:t>98</w:t>
      </w:r>
      <w:r w:rsidR="009C2032">
        <w:rPr>
          <w:rFonts w:ascii="Arial" w:eastAsia="Times New Roman" w:hAnsi="Arial" w:cs="Arial"/>
          <w:bCs/>
          <w:spacing w:val="10"/>
          <w:lang w:val="es-ES_tradnl" w:eastAsia="es-ES"/>
        </w:rPr>
        <w:t xml:space="preserve"> </w:t>
      </w:r>
      <w:r>
        <w:rPr>
          <w:rFonts w:ascii="Arial" w:eastAsia="Times New Roman" w:hAnsi="Arial" w:cs="Arial"/>
          <w:bCs/>
          <w:spacing w:val="10"/>
          <w:lang w:val="es-ES_tradnl" w:eastAsia="es-ES"/>
        </w:rPr>
        <w:t xml:space="preserve">mil personas en igual periodo. Las personas de 15 a 24 años, en cambio disminuyeron su participación en </w:t>
      </w:r>
      <w:r w:rsidR="00E845EC">
        <w:rPr>
          <w:rFonts w:ascii="Arial" w:eastAsia="Times New Roman" w:hAnsi="Arial" w:cs="Arial"/>
          <w:bCs/>
          <w:spacing w:val="10"/>
          <w:lang w:val="es-ES_tradnl" w:eastAsia="es-ES"/>
        </w:rPr>
        <w:t>2.3</w:t>
      </w:r>
      <w:r>
        <w:rPr>
          <w:rFonts w:ascii="Arial" w:eastAsia="Times New Roman" w:hAnsi="Arial" w:cs="Arial"/>
          <w:bCs/>
          <w:spacing w:val="10"/>
          <w:lang w:val="es-ES_tradnl" w:eastAsia="es-ES"/>
        </w:rPr>
        <w:t xml:space="preserve"> puntos porcentuales al pasar de </w:t>
      </w:r>
      <w:r w:rsidR="00E845EC">
        <w:rPr>
          <w:rFonts w:ascii="Arial" w:eastAsia="Times New Roman" w:hAnsi="Arial" w:cs="Arial"/>
          <w:bCs/>
          <w:spacing w:val="10"/>
          <w:lang w:val="es-ES_tradnl" w:eastAsia="es-ES"/>
        </w:rPr>
        <w:t>33.7</w:t>
      </w:r>
      <w:r>
        <w:rPr>
          <w:rFonts w:ascii="Arial" w:eastAsia="Times New Roman" w:hAnsi="Arial" w:cs="Arial"/>
          <w:bCs/>
          <w:spacing w:val="10"/>
          <w:lang w:val="es-ES_tradnl" w:eastAsia="es-ES"/>
        </w:rPr>
        <w:t xml:space="preserve">% en el </w:t>
      </w:r>
      <w:r w:rsidR="00177B20">
        <w:rPr>
          <w:rFonts w:ascii="Arial" w:eastAsia="Times New Roman" w:hAnsi="Arial" w:cs="Arial"/>
          <w:bCs/>
          <w:spacing w:val="10"/>
          <w:lang w:val="es-ES_tradnl" w:eastAsia="es-ES"/>
        </w:rPr>
        <w:t>primer</w:t>
      </w:r>
      <w:r>
        <w:rPr>
          <w:rFonts w:ascii="Arial" w:eastAsia="Times New Roman" w:hAnsi="Arial" w:cs="Arial"/>
          <w:bCs/>
          <w:spacing w:val="10"/>
          <w:lang w:val="es-ES_tradnl" w:eastAsia="es-ES"/>
        </w:rPr>
        <w:t xml:space="preserve"> trimestre de </w:t>
      </w:r>
      <w:r w:rsidR="00177B20">
        <w:rPr>
          <w:rFonts w:ascii="Arial" w:eastAsia="Times New Roman" w:hAnsi="Arial" w:cs="Arial"/>
          <w:bCs/>
          <w:spacing w:val="10"/>
          <w:lang w:val="es-ES_tradnl" w:eastAsia="es-ES"/>
        </w:rPr>
        <w:t>2020</w:t>
      </w:r>
      <w:r>
        <w:rPr>
          <w:rFonts w:ascii="Arial" w:eastAsia="Times New Roman" w:hAnsi="Arial" w:cs="Arial"/>
          <w:bCs/>
          <w:spacing w:val="10"/>
          <w:lang w:val="es-ES_tradnl" w:eastAsia="es-ES"/>
        </w:rPr>
        <w:t xml:space="preserve"> a </w:t>
      </w:r>
      <w:r w:rsidR="00E845EC">
        <w:rPr>
          <w:rFonts w:ascii="Arial" w:eastAsia="Times New Roman" w:hAnsi="Arial" w:cs="Arial"/>
          <w:bCs/>
          <w:spacing w:val="10"/>
          <w:lang w:val="es-ES_tradnl" w:eastAsia="es-ES"/>
        </w:rPr>
        <w:t>31.4</w:t>
      </w:r>
      <w:r>
        <w:rPr>
          <w:rFonts w:ascii="Arial" w:eastAsia="Times New Roman" w:hAnsi="Arial" w:cs="Arial"/>
          <w:bCs/>
          <w:spacing w:val="10"/>
          <w:lang w:val="es-ES_tradnl" w:eastAsia="es-ES"/>
        </w:rPr>
        <w:t xml:space="preserve">% en el </w:t>
      </w:r>
      <w:r w:rsidR="001327FB">
        <w:rPr>
          <w:rFonts w:ascii="Arial" w:eastAsia="Times New Roman" w:hAnsi="Arial" w:cs="Arial"/>
          <w:bCs/>
          <w:spacing w:val="10"/>
          <w:lang w:val="es-ES_tradnl" w:eastAsia="es-ES"/>
        </w:rPr>
        <w:t xml:space="preserve">mismo </w:t>
      </w:r>
      <w:r>
        <w:rPr>
          <w:rFonts w:ascii="Arial" w:eastAsia="Times New Roman" w:hAnsi="Arial" w:cs="Arial"/>
          <w:bCs/>
          <w:spacing w:val="10"/>
          <w:lang w:val="es-ES_tradnl" w:eastAsia="es-ES"/>
        </w:rPr>
        <w:t xml:space="preserve">trimestre de </w:t>
      </w:r>
      <w:r w:rsidR="00177B20">
        <w:rPr>
          <w:rFonts w:ascii="Arial" w:eastAsia="Times New Roman" w:hAnsi="Arial" w:cs="Arial"/>
          <w:bCs/>
          <w:spacing w:val="10"/>
          <w:lang w:val="es-ES_tradnl" w:eastAsia="es-ES"/>
        </w:rPr>
        <w:t>2021</w:t>
      </w:r>
      <w:r>
        <w:rPr>
          <w:rFonts w:ascii="Arial" w:eastAsia="Times New Roman" w:hAnsi="Arial" w:cs="Arial"/>
          <w:bCs/>
          <w:spacing w:val="10"/>
          <w:lang w:val="es-ES_tradnl" w:eastAsia="es-ES"/>
        </w:rPr>
        <w:t>. La situación anterior refleja mayores dificultades de la población en edad adulta para incorporarse al mercado laboral ante la reducción de las oportunidades de empleo derivadas de la contingencia sanitaria</w:t>
      </w:r>
      <w:r w:rsidR="00C315D2">
        <w:rPr>
          <w:rFonts w:ascii="Arial" w:eastAsia="Times New Roman" w:hAnsi="Arial" w:cs="Arial"/>
          <w:bCs/>
          <w:spacing w:val="10"/>
          <w:lang w:val="es-ES_tradnl" w:eastAsia="es-ES"/>
        </w:rPr>
        <w:t>.</w:t>
      </w:r>
    </w:p>
    <w:p w14:paraId="403DB42C" w14:textId="02394D42" w:rsidR="00AF4C4B" w:rsidRDefault="00AF4C4B">
      <w:pPr>
        <w:rPr>
          <w:rFonts w:ascii="Arial" w:eastAsia="Times New Roman" w:hAnsi="Arial" w:cs="Arial"/>
          <w:bCs/>
          <w:spacing w:val="10"/>
          <w:lang w:val="es-ES_tradnl" w:eastAsia="es-ES"/>
        </w:rPr>
      </w:pPr>
      <w:r>
        <w:rPr>
          <w:rFonts w:ascii="Arial" w:eastAsia="Times New Roman" w:hAnsi="Arial" w:cs="Arial"/>
          <w:bCs/>
          <w:spacing w:val="10"/>
          <w:lang w:val="es-ES_tradnl" w:eastAsia="es-ES"/>
        </w:rPr>
        <w:br w:type="page"/>
      </w:r>
    </w:p>
    <w:p w14:paraId="1484B6FD" w14:textId="77777777" w:rsidR="0074035D" w:rsidRDefault="00252EDE" w:rsidP="009749DA">
      <w:pPr>
        <w:pStyle w:val="n0"/>
        <w:keepLines w:val="0"/>
        <w:spacing w:before="0"/>
        <w:ind w:left="0" w:right="49" w:firstLine="0"/>
        <w:jc w:val="center"/>
        <w:rPr>
          <w:b/>
          <w:smallCaps/>
          <w:color w:val="auto"/>
          <w:sz w:val="22"/>
          <w:szCs w:val="22"/>
        </w:rPr>
      </w:pPr>
      <w:r w:rsidRPr="00707308">
        <w:rPr>
          <w:b/>
          <w:smallCaps/>
          <w:color w:val="auto"/>
          <w:sz w:val="22"/>
          <w:szCs w:val="22"/>
        </w:rPr>
        <w:lastRenderedPageBreak/>
        <w:t>Población desocupada según grupos de edad</w:t>
      </w:r>
    </w:p>
    <w:p w14:paraId="426CCF78" w14:textId="45623E7E" w:rsidR="00252EDE" w:rsidRDefault="00252EDE" w:rsidP="009749DA">
      <w:pPr>
        <w:pStyle w:val="n0"/>
        <w:keepLines w:val="0"/>
        <w:spacing w:before="0"/>
        <w:ind w:left="0" w:right="49" w:firstLine="0"/>
        <w:jc w:val="center"/>
        <w:rPr>
          <w:b/>
          <w:smallCaps/>
          <w:color w:val="auto"/>
          <w:sz w:val="22"/>
          <w:szCs w:val="22"/>
        </w:rPr>
      </w:pPr>
      <w:r w:rsidRPr="00707308">
        <w:rPr>
          <w:b/>
          <w:smallCaps/>
          <w:color w:val="auto"/>
          <w:sz w:val="22"/>
          <w:szCs w:val="22"/>
        </w:rPr>
        <w:t xml:space="preserve">durante </w:t>
      </w:r>
      <w:r w:rsidR="00177695">
        <w:rPr>
          <w:b/>
          <w:smallCaps/>
          <w:color w:val="auto"/>
          <w:sz w:val="22"/>
          <w:szCs w:val="22"/>
        </w:rPr>
        <w:t xml:space="preserve">el </w:t>
      </w:r>
      <w:r w:rsidR="00177B20">
        <w:rPr>
          <w:b/>
          <w:smallCaps/>
          <w:color w:val="auto"/>
          <w:sz w:val="22"/>
          <w:szCs w:val="22"/>
        </w:rPr>
        <w:t>primer</w:t>
      </w:r>
      <w:r w:rsidR="00177695">
        <w:rPr>
          <w:b/>
          <w:smallCaps/>
          <w:color w:val="auto"/>
          <w:sz w:val="22"/>
          <w:szCs w:val="22"/>
        </w:rPr>
        <w:t xml:space="preserve"> trimestre</w:t>
      </w:r>
      <w:r w:rsidRPr="00707308">
        <w:rPr>
          <w:b/>
          <w:smallCaps/>
          <w:color w:val="auto"/>
          <w:sz w:val="22"/>
          <w:szCs w:val="22"/>
        </w:rPr>
        <w:t xml:space="preserve"> de </w:t>
      </w:r>
      <w:r w:rsidR="00177B20">
        <w:rPr>
          <w:b/>
          <w:smallCaps/>
          <w:color w:val="auto"/>
          <w:sz w:val="22"/>
          <w:szCs w:val="22"/>
        </w:rPr>
        <w:t>2021</w:t>
      </w:r>
    </w:p>
    <w:p w14:paraId="635FF3FA" w14:textId="16E0038E" w:rsidR="00CC5E3A" w:rsidRPr="003A795B" w:rsidRDefault="003A795B" w:rsidP="009749DA">
      <w:pPr>
        <w:spacing w:after="0" w:line="240" w:lineRule="auto"/>
        <w:ind w:right="51"/>
        <w:jc w:val="center"/>
        <w:rPr>
          <w:rFonts w:ascii="Arial" w:hAnsi="Arial" w:cs="Arial"/>
          <w:smallCaps/>
          <w:sz w:val="16"/>
          <w:szCs w:val="18"/>
        </w:rPr>
      </w:pPr>
      <w:r w:rsidRPr="003A795B">
        <w:rPr>
          <w:rFonts w:ascii="Arial" w:hAnsi="Arial" w:cs="Arial"/>
          <w:smallCaps/>
          <w:sz w:val="16"/>
          <w:szCs w:val="18"/>
        </w:rPr>
        <w:t>(PERSONAS Y PORCENTAJE)</w:t>
      </w:r>
    </w:p>
    <w:p w14:paraId="731F9F4D" w14:textId="363251A5" w:rsidR="0039067D" w:rsidRDefault="0044404D" w:rsidP="009749DA">
      <w:pPr>
        <w:spacing w:after="0" w:line="240" w:lineRule="auto"/>
        <w:ind w:right="51"/>
        <w:jc w:val="center"/>
        <w:rPr>
          <w:rFonts w:ascii="Arial" w:hAnsi="Arial" w:cs="Arial"/>
          <w:smallCaps/>
        </w:rPr>
      </w:pPr>
      <w:r w:rsidRPr="0044404D">
        <w:rPr>
          <w:noProof/>
        </w:rPr>
        <w:drawing>
          <wp:inline distT="0" distB="0" distL="0" distR="0" wp14:anchorId="12FCFD74" wp14:editId="1D7F42CC">
            <wp:extent cx="5610225" cy="1905000"/>
            <wp:effectExtent l="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610225" cy="1905000"/>
                    </a:xfrm>
                    <a:prstGeom prst="rect">
                      <a:avLst/>
                    </a:prstGeom>
                    <a:noFill/>
                    <a:ln>
                      <a:noFill/>
                    </a:ln>
                  </pic:spPr>
                </pic:pic>
              </a:graphicData>
            </a:graphic>
          </wp:inline>
        </w:drawing>
      </w:r>
    </w:p>
    <w:p w14:paraId="1DA9E57E" w14:textId="77777777" w:rsidR="006E302F" w:rsidRDefault="006E302F" w:rsidP="006E302F">
      <w:pPr>
        <w:tabs>
          <w:tab w:val="left" w:pos="851"/>
        </w:tabs>
        <w:spacing w:after="0" w:line="240" w:lineRule="auto"/>
        <w:ind w:left="142" w:right="333"/>
        <w:rPr>
          <w:rFonts w:ascii="Arial" w:hAnsi="Arial" w:cs="Arial"/>
          <w:noProof/>
          <w:sz w:val="14"/>
          <w:szCs w:val="14"/>
          <w:lang w:val="es-ES" w:eastAsia="es-ES"/>
        </w:rPr>
      </w:pPr>
      <w:r>
        <w:rPr>
          <w:rFonts w:ascii="Arial" w:hAnsi="Arial" w:cs="Arial"/>
          <w:noProof/>
          <w:sz w:val="14"/>
          <w:szCs w:val="14"/>
          <w:lang w:val="es-ES" w:eastAsia="es-ES"/>
        </w:rPr>
        <w:t>Fuente:</w:t>
      </w:r>
      <w:r>
        <w:rPr>
          <w:rFonts w:ascii="Arial" w:hAnsi="Arial" w:cs="Arial"/>
          <w:noProof/>
          <w:sz w:val="14"/>
          <w:szCs w:val="14"/>
          <w:lang w:val="es-ES" w:eastAsia="es-ES"/>
        </w:rPr>
        <w:tab/>
        <w:t>INEGI. Encuesta Nacional de Ocupación y Empleo. Nueva Edición, primer trimestre de 2021.</w:t>
      </w:r>
    </w:p>
    <w:p w14:paraId="19D5D28A" w14:textId="77777777" w:rsidR="006E302F" w:rsidRDefault="006E302F" w:rsidP="006E302F">
      <w:pPr>
        <w:tabs>
          <w:tab w:val="left" w:pos="851"/>
        </w:tabs>
        <w:spacing w:after="0" w:line="240" w:lineRule="auto"/>
        <w:ind w:left="142" w:right="333"/>
      </w:pPr>
      <w:r>
        <w:rPr>
          <w:rFonts w:ascii="Arial" w:hAnsi="Arial" w:cs="Arial"/>
          <w:noProof/>
          <w:sz w:val="14"/>
          <w:szCs w:val="14"/>
          <w:lang w:val="es-ES" w:eastAsia="es-ES"/>
        </w:rPr>
        <w:tab/>
        <w:t>INEGI. Encuesta Nacional de Ocupación y Empleo, primer trimestre de 2020.</w:t>
      </w:r>
    </w:p>
    <w:p w14:paraId="3AFAC1B7" w14:textId="77777777" w:rsidR="006E302F" w:rsidRDefault="006E302F" w:rsidP="006E302F">
      <w:pPr>
        <w:spacing w:after="0" w:line="240" w:lineRule="auto"/>
        <w:ind w:right="49"/>
        <w:jc w:val="both"/>
        <w:rPr>
          <w:rFonts w:ascii="Arial" w:eastAsia="Times New Roman" w:hAnsi="Arial" w:cs="Arial"/>
          <w:bCs/>
          <w:spacing w:val="10"/>
          <w:lang w:val="es-ES_tradnl" w:eastAsia="es-ES"/>
        </w:rPr>
      </w:pPr>
    </w:p>
    <w:p w14:paraId="00FA2E96" w14:textId="77777777" w:rsidR="00252EDE" w:rsidRDefault="00252EDE" w:rsidP="009749DA">
      <w:pPr>
        <w:spacing w:after="0" w:line="240" w:lineRule="auto"/>
        <w:ind w:right="49"/>
        <w:rPr>
          <w:rFonts w:ascii="Arial" w:hAnsi="Arial" w:cs="Arial"/>
          <w:b/>
        </w:rPr>
      </w:pPr>
    </w:p>
    <w:p w14:paraId="18D9EE76" w14:textId="582C5C77" w:rsidR="00E84930" w:rsidRDefault="00252EDE" w:rsidP="009749DA">
      <w:pPr>
        <w:spacing w:after="0" w:line="240" w:lineRule="auto"/>
        <w:ind w:right="49"/>
        <w:jc w:val="both"/>
        <w:rPr>
          <w:rFonts w:ascii="Arial" w:eastAsia="Times New Roman" w:hAnsi="Arial" w:cs="Arial"/>
          <w:bCs/>
          <w:spacing w:val="10"/>
          <w:lang w:val="es-ES_tradnl" w:eastAsia="es-ES"/>
        </w:rPr>
      </w:pPr>
      <w:r w:rsidRPr="00F60DD2">
        <w:rPr>
          <w:rFonts w:ascii="Arial" w:eastAsia="Times New Roman" w:hAnsi="Arial" w:cs="Arial"/>
          <w:bCs/>
          <w:spacing w:val="10"/>
          <w:lang w:val="es-ES_tradnl" w:eastAsia="es-ES"/>
        </w:rPr>
        <w:t xml:space="preserve">En </w:t>
      </w:r>
      <w:r w:rsidR="00491C7C">
        <w:rPr>
          <w:rFonts w:ascii="Arial" w:eastAsia="Times New Roman" w:hAnsi="Arial" w:cs="Arial"/>
          <w:bCs/>
          <w:spacing w:val="10"/>
          <w:lang w:val="es-ES_tradnl" w:eastAsia="es-ES"/>
        </w:rPr>
        <w:t>México</w:t>
      </w:r>
      <w:r w:rsidRPr="00F60DD2">
        <w:rPr>
          <w:rFonts w:ascii="Arial" w:eastAsia="Times New Roman" w:hAnsi="Arial" w:cs="Arial"/>
          <w:bCs/>
          <w:spacing w:val="10"/>
          <w:lang w:val="es-ES_tradnl" w:eastAsia="es-ES"/>
        </w:rPr>
        <w:t xml:space="preserve">, </w:t>
      </w:r>
      <w:r w:rsidR="00C315D2">
        <w:rPr>
          <w:rFonts w:ascii="Arial" w:eastAsia="Times New Roman" w:hAnsi="Arial" w:cs="Arial"/>
          <w:bCs/>
          <w:spacing w:val="10"/>
          <w:lang w:val="es-ES_tradnl" w:eastAsia="es-ES"/>
        </w:rPr>
        <w:t xml:space="preserve">el nivel de desocupación </w:t>
      </w:r>
      <w:r w:rsidR="00FC54DE">
        <w:rPr>
          <w:rFonts w:ascii="Arial" w:eastAsia="Times New Roman" w:hAnsi="Arial" w:cs="Arial"/>
          <w:bCs/>
          <w:spacing w:val="10"/>
          <w:lang w:val="es-ES_tradnl" w:eastAsia="es-ES"/>
        </w:rPr>
        <w:t xml:space="preserve">abierta ha sido históricamente </w:t>
      </w:r>
      <w:r w:rsidR="00C315D2">
        <w:rPr>
          <w:rFonts w:ascii="Arial" w:eastAsia="Times New Roman" w:hAnsi="Arial" w:cs="Arial"/>
          <w:bCs/>
          <w:spacing w:val="10"/>
          <w:lang w:val="es-ES_tradnl" w:eastAsia="es-ES"/>
        </w:rPr>
        <w:t>baj</w:t>
      </w:r>
      <w:r w:rsidR="008B5E20">
        <w:rPr>
          <w:rFonts w:ascii="Arial" w:eastAsia="Times New Roman" w:hAnsi="Arial" w:cs="Arial"/>
          <w:bCs/>
          <w:spacing w:val="10"/>
          <w:lang w:val="es-ES_tradnl" w:eastAsia="es-ES"/>
        </w:rPr>
        <w:t>o</w:t>
      </w:r>
      <w:r w:rsidR="00C315D2">
        <w:rPr>
          <w:rFonts w:ascii="Arial" w:eastAsia="Times New Roman" w:hAnsi="Arial" w:cs="Arial"/>
          <w:bCs/>
          <w:spacing w:val="10"/>
          <w:lang w:val="es-ES_tradnl" w:eastAsia="es-ES"/>
        </w:rPr>
        <w:t xml:space="preserve"> y </w:t>
      </w:r>
      <w:r w:rsidRPr="00F60DD2">
        <w:rPr>
          <w:rFonts w:ascii="Arial" w:eastAsia="Times New Roman" w:hAnsi="Arial" w:cs="Arial"/>
          <w:bCs/>
          <w:spacing w:val="10"/>
          <w:lang w:val="es-ES_tradnl" w:eastAsia="es-ES"/>
        </w:rPr>
        <w:t xml:space="preserve">la duración </w:t>
      </w:r>
      <w:r w:rsidR="00C315D2">
        <w:rPr>
          <w:rFonts w:ascii="Arial" w:eastAsia="Times New Roman" w:hAnsi="Arial" w:cs="Arial"/>
          <w:bCs/>
          <w:spacing w:val="10"/>
          <w:lang w:val="es-ES_tradnl" w:eastAsia="es-ES"/>
        </w:rPr>
        <w:t xml:space="preserve">de la población en esa situación </w:t>
      </w:r>
      <w:r w:rsidRPr="00F60DD2">
        <w:rPr>
          <w:rFonts w:ascii="Arial" w:eastAsia="Times New Roman" w:hAnsi="Arial" w:cs="Arial"/>
          <w:bCs/>
          <w:spacing w:val="10"/>
          <w:lang w:val="es-ES_tradnl" w:eastAsia="es-ES"/>
        </w:rPr>
        <w:t>es generalmente corta,</w:t>
      </w:r>
      <w:r w:rsidR="00491C7C">
        <w:rPr>
          <w:rFonts w:ascii="Arial" w:eastAsia="Times New Roman" w:hAnsi="Arial" w:cs="Arial"/>
          <w:bCs/>
          <w:spacing w:val="10"/>
          <w:lang w:val="es-ES_tradnl" w:eastAsia="es-ES"/>
        </w:rPr>
        <w:t xml:space="preserve"> a </w:t>
      </w:r>
      <w:r w:rsidR="00E828E9">
        <w:rPr>
          <w:rFonts w:ascii="Arial" w:eastAsia="Times New Roman" w:hAnsi="Arial" w:cs="Arial"/>
          <w:bCs/>
          <w:spacing w:val="10"/>
          <w:lang w:val="es-ES_tradnl" w:eastAsia="es-ES"/>
        </w:rPr>
        <w:t xml:space="preserve">diferencia </w:t>
      </w:r>
      <w:r w:rsidR="00E828E9" w:rsidRPr="00F60DD2">
        <w:rPr>
          <w:rFonts w:ascii="Arial" w:eastAsia="Times New Roman" w:hAnsi="Arial" w:cs="Arial"/>
          <w:bCs/>
          <w:spacing w:val="10"/>
          <w:lang w:val="es-ES_tradnl" w:eastAsia="es-ES"/>
        </w:rPr>
        <w:t>de</w:t>
      </w:r>
      <w:r w:rsidR="00491C7C">
        <w:rPr>
          <w:rFonts w:ascii="Arial" w:eastAsia="Times New Roman" w:hAnsi="Arial" w:cs="Arial"/>
          <w:bCs/>
          <w:spacing w:val="10"/>
          <w:lang w:val="es-ES_tradnl" w:eastAsia="es-ES"/>
        </w:rPr>
        <w:t xml:space="preserve"> otros países donde existe</w:t>
      </w:r>
      <w:r w:rsidRPr="00F60DD2">
        <w:rPr>
          <w:rFonts w:ascii="Arial" w:eastAsia="Times New Roman" w:hAnsi="Arial" w:cs="Arial"/>
          <w:bCs/>
          <w:spacing w:val="10"/>
          <w:lang w:val="es-ES_tradnl" w:eastAsia="es-ES"/>
        </w:rPr>
        <w:t xml:space="preserve"> un seguro de desempleo. En </w:t>
      </w:r>
      <w:r w:rsidR="00177695">
        <w:rPr>
          <w:rFonts w:ascii="Arial" w:eastAsia="Times New Roman" w:hAnsi="Arial" w:cs="Arial"/>
          <w:bCs/>
          <w:spacing w:val="10"/>
          <w:lang w:val="es-ES_tradnl" w:eastAsia="es-ES"/>
        </w:rPr>
        <w:t xml:space="preserve">el </w:t>
      </w:r>
      <w:r w:rsidR="00177B20">
        <w:rPr>
          <w:rFonts w:ascii="Arial" w:eastAsia="Times New Roman" w:hAnsi="Arial" w:cs="Arial"/>
          <w:bCs/>
          <w:spacing w:val="10"/>
          <w:lang w:val="es-ES_tradnl" w:eastAsia="es-ES"/>
        </w:rPr>
        <w:t>primer</w:t>
      </w:r>
      <w:r w:rsidR="00177695">
        <w:rPr>
          <w:rFonts w:ascii="Arial" w:eastAsia="Times New Roman" w:hAnsi="Arial" w:cs="Arial"/>
          <w:bCs/>
          <w:spacing w:val="10"/>
          <w:lang w:val="es-ES_tradnl" w:eastAsia="es-ES"/>
        </w:rPr>
        <w:t xml:space="preserve"> trimestre</w:t>
      </w:r>
      <w:r w:rsidR="006C025C">
        <w:rPr>
          <w:rFonts w:ascii="Arial" w:eastAsia="Times New Roman" w:hAnsi="Arial" w:cs="Arial"/>
          <w:bCs/>
          <w:spacing w:val="10"/>
          <w:lang w:val="es-ES_tradnl" w:eastAsia="es-ES"/>
        </w:rPr>
        <w:t xml:space="preserve"> </w:t>
      </w:r>
      <w:r w:rsidRPr="00F60DD2">
        <w:rPr>
          <w:rFonts w:ascii="Arial" w:eastAsia="Times New Roman" w:hAnsi="Arial" w:cs="Arial"/>
          <w:bCs/>
          <w:spacing w:val="10"/>
          <w:lang w:val="es-ES_tradnl" w:eastAsia="es-ES"/>
        </w:rPr>
        <w:t xml:space="preserve">de </w:t>
      </w:r>
      <w:r w:rsidR="00177B20">
        <w:rPr>
          <w:rFonts w:ascii="Arial" w:eastAsia="Times New Roman" w:hAnsi="Arial" w:cs="Arial"/>
          <w:bCs/>
          <w:spacing w:val="10"/>
          <w:lang w:val="es-ES_tradnl" w:eastAsia="es-ES"/>
        </w:rPr>
        <w:t>2021</w:t>
      </w:r>
      <w:r w:rsidRPr="00F60DD2">
        <w:rPr>
          <w:rFonts w:ascii="Arial" w:eastAsia="Times New Roman" w:hAnsi="Arial" w:cs="Arial"/>
          <w:bCs/>
          <w:spacing w:val="10"/>
          <w:lang w:val="es-ES_tradnl" w:eastAsia="es-ES"/>
        </w:rPr>
        <w:t xml:space="preserve">, la </w:t>
      </w:r>
      <w:r w:rsidR="00F60DD2">
        <w:rPr>
          <w:rFonts w:ascii="Arial" w:eastAsia="Times New Roman" w:hAnsi="Arial" w:cs="Arial"/>
          <w:bCs/>
          <w:spacing w:val="10"/>
          <w:lang w:val="es-ES_tradnl" w:eastAsia="es-ES"/>
        </w:rPr>
        <w:t xml:space="preserve">proporción de los </w:t>
      </w:r>
      <w:r w:rsidRPr="00F60DD2">
        <w:rPr>
          <w:rFonts w:ascii="Arial" w:eastAsia="Times New Roman" w:hAnsi="Arial" w:cs="Arial"/>
          <w:bCs/>
          <w:spacing w:val="10"/>
          <w:lang w:val="es-ES_tradnl" w:eastAsia="es-ES"/>
        </w:rPr>
        <w:t>desocupa</w:t>
      </w:r>
      <w:r w:rsidR="00F60DD2">
        <w:rPr>
          <w:rFonts w:ascii="Arial" w:eastAsia="Times New Roman" w:hAnsi="Arial" w:cs="Arial"/>
          <w:bCs/>
          <w:spacing w:val="10"/>
          <w:lang w:val="es-ES_tradnl" w:eastAsia="es-ES"/>
        </w:rPr>
        <w:t>dos</w:t>
      </w:r>
      <w:r w:rsidRPr="00F60DD2">
        <w:rPr>
          <w:rFonts w:ascii="Arial" w:eastAsia="Times New Roman" w:hAnsi="Arial" w:cs="Arial"/>
          <w:bCs/>
          <w:spacing w:val="10"/>
          <w:lang w:val="es-ES_tradnl" w:eastAsia="es-ES"/>
        </w:rPr>
        <w:t xml:space="preserve"> </w:t>
      </w:r>
      <w:r w:rsidR="00F60DD2">
        <w:rPr>
          <w:rFonts w:ascii="Arial" w:eastAsia="Times New Roman" w:hAnsi="Arial" w:cs="Arial"/>
          <w:bCs/>
          <w:spacing w:val="10"/>
          <w:lang w:val="es-ES_tradnl" w:eastAsia="es-ES"/>
        </w:rPr>
        <w:t>se concentró</w:t>
      </w:r>
      <w:r w:rsidR="00B13F2F">
        <w:rPr>
          <w:rFonts w:ascii="Arial" w:eastAsia="Times New Roman" w:hAnsi="Arial" w:cs="Arial"/>
          <w:bCs/>
          <w:spacing w:val="10"/>
          <w:lang w:val="es-ES_tradnl" w:eastAsia="es-ES"/>
        </w:rPr>
        <w:t xml:space="preserve"> </w:t>
      </w:r>
      <w:r w:rsidR="00B13F2F" w:rsidRPr="00A83689">
        <w:rPr>
          <w:rFonts w:ascii="Arial" w:eastAsia="Times New Roman" w:hAnsi="Arial" w:cs="Arial"/>
          <w:bCs/>
          <w:spacing w:val="10"/>
          <w:lang w:val="es-ES_tradnl" w:eastAsia="es-ES"/>
        </w:rPr>
        <w:t>en</w:t>
      </w:r>
      <w:r w:rsidR="00F60DD2">
        <w:rPr>
          <w:rFonts w:ascii="Arial" w:eastAsia="Times New Roman" w:hAnsi="Arial" w:cs="Arial"/>
          <w:bCs/>
          <w:spacing w:val="10"/>
          <w:lang w:val="es-ES_tradnl" w:eastAsia="es-ES"/>
        </w:rPr>
        <w:t xml:space="preserve"> </w:t>
      </w:r>
      <w:r w:rsidR="00E20C94">
        <w:rPr>
          <w:rFonts w:ascii="Arial" w:eastAsia="Times New Roman" w:hAnsi="Arial" w:cs="Arial"/>
          <w:bCs/>
          <w:spacing w:val="10"/>
          <w:lang w:val="es-ES_tradnl" w:eastAsia="es-ES"/>
        </w:rPr>
        <w:t xml:space="preserve">las personas que tienen </w:t>
      </w:r>
      <w:r w:rsidR="00281D55">
        <w:rPr>
          <w:rFonts w:ascii="Arial" w:eastAsia="Times New Roman" w:hAnsi="Arial" w:cs="Arial"/>
          <w:bCs/>
          <w:spacing w:val="10"/>
          <w:lang w:val="es-ES_tradnl" w:eastAsia="es-ES"/>
        </w:rPr>
        <w:t>hasta un</w:t>
      </w:r>
      <w:r w:rsidR="00F60DD2">
        <w:rPr>
          <w:rFonts w:ascii="Arial" w:eastAsia="Times New Roman" w:hAnsi="Arial" w:cs="Arial"/>
          <w:bCs/>
          <w:spacing w:val="10"/>
          <w:lang w:val="es-ES_tradnl" w:eastAsia="es-ES"/>
        </w:rPr>
        <w:t xml:space="preserve"> mes</w:t>
      </w:r>
      <w:r w:rsidR="00C315D2">
        <w:rPr>
          <w:rFonts w:ascii="Arial" w:eastAsia="Times New Roman" w:hAnsi="Arial" w:cs="Arial"/>
          <w:bCs/>
          <w:spacing w:val="10"/>
          <w:lang w:val="es-ES_tradnl" w:eastAsia="es-ES"/>
        </w:rPr>
        <w:t xml:space="preserve"> </w:t>
      </w:r>
      <w:r w:rsidR="00E20C94">
        <w:rPr>
          <w:rFonts w:ascii="Arial" w:eastAsia="Times New Roman" w:hAnsi="Arial" w:cs="Arial"/>
          <w:bCs/>
          <w:spacing w:val="10"/>
          <w:lang w:val="es-ES_tradnl" w:eastAsia="es-ES"/>
        </w:rPr>
        <w:t>buscando trabajo</w:t>
      </w:r>
      <w:r w:rsidR="00B13F2F">
        <w:rPr>
          <w:rFonts w:ascii="Arial" w:eastAsia="Times New Roman" w:hAnsi="Arial" w:cs="Arial"/>
          <w:bCs/>
          <w:spacing w:val="10"/>
          <w:lang w:val="es-ES_tradnl" w:eastAsia="es-ES"/>
        </w:rPr>
        <w:t xml:space="preserve"> </w:t>
      </w:r>
      <w:r w:rsidR="00F60DD2">
        <w:rPr>
          <w:rFonts w:ascii="Arial" w:eastAsia="Times New Roman" w:hAnsi="Arial" w:cs="Arial"/>
          <w:bCs/>
          <w:spacing w:val="10"/>
          <w:lang w:val="es-ES_tradnl" w:eastAsia="es-ES"/>
        </w:rPr>
        <w:t xml:space="preserve">con </w:t>
      </w:r>
      <w:r w:rsidR="00E845EC">
        <w:rPr>
          <w:rFonts w:ascii="Arial" w:eastAsia="Times New Roman" w:hAnsi="Arial" w:cs="Arial"/>
          <w:bCs/>
          <w:spacing w:val="10"/>
          <w:lang w:val="es-ES_tradnl" w:eastAsia="es-ES"/>
        </w:rPr>
        <w:t>36.9</w:t>
      </w:r>
      <w:r w:rsidR="00F60DD2">
        <w:rPr>
          <w:rFonts w:ascii="Arial" w:eastAsia="Times New Roman" w:hAnsi="Arial" w:cs="Arial"/>
          <w:bCs/>
          <w:spacing w:val="10"/>
          <w:lang w:val="es-ES_tradnl" w:eastAsia="es-ES"/>
        </w:rPr>
        <w:t xml:space="preserve">%, cifra </w:t>
      </w:r>
      <w:r w:rsidR="00E845EC">
        <w:rPr>
          <w:rFonts w:ascii="Arial" w:eastAsia="Times New Roman" w:hAnsi="Arial" w:cs="Arial"/>
          <w:bCs/>
          <w:spacing w:val="10"/>
          <w:lang w:val="es-ES_tradnl" w:eastAsia="es-ES"/>
        </w:rPr>
        <w:t>4.8</w:t>
      </w:r>
      <w:r w:rsidR="00B11292">
        <w:rPr>
          <w:rFonts w:ascii="Arial" w:eastAsia="Times New Roman" w:hAnsi="Arial" w:cs="Arial"/>
          <w:bCs/>
          <w:spacing w:val="10"/>
          <w:lang w:val="es-ES_tradnl" w:eastAsia="es-ES"/>
        </w:rPr>
        <w:t xml:space="preserve"> </w:t>
      </w:r>
      <w:r w:rsidR="00F60DD2">
        <w:rPr>
          <w:rFonts w:ascii="Arial" w:eastAsia="Times New Roman" w:hAnsi="Arial" w:cs="Arial"/>
          <w:bCs/>
          <w:spacing w:val="10"/>
          <w:lang w:val="es-ES_tradnl" w:eastAsia="es-ES"/>
        </w:rPr>
        <w:t>punto</w:t>
      </w:r>
      <w:r w:rsidR="00281D55">
        <w:rPr>
          <w:rFonts w:ascii="Arial" w:eastAsia="Times New Roman" w:hAnsi="Arial" w:cs="Arial"/>
          <w:bCs/>
          <w:spacing w:val="10"/>
          <w:lang w:val="es-ES_tradnl" w:eastAsia="es-ES"/>
        </w:rPr>
        <w:t>s</w:t>
      </w:r>
      <w:r w:rsidR="00F60DD2">
        <w:rPr>
          <w:rFonts w:ascii="Arial" w:eastAsia="Times New Roman" w:hAnsi="Arial" w:cs="Arial"/>
          <w:bCs/>
          <w:spacing w:val="10"/>
          <w:lang w:val="es-ES_tradnl" w:eastAsia="es-ES"/>
        </w:rPr>
        <w:t xml:space="preserve"> porcentual</w:t>
      </w:r>
      <w:r w:rsidR="00281D55">
        <w:rPr>
          <w:rFonts w:ascii="Arial" w:eastAsia="Times New Roman" w:hAnsi="Arial" w:cs="Arial"/>
          <w:bCs/>
          <w:spacing w:val="10"/>
          <w:lang w:val="es-ES_tradnl" w:eastAsia="es-ES"/>
        </w:rPr>
        <w:t>es</w:t>
      </w:r>
      <w:r w:rsidR="00F60DD2">
        <w:rPr>
          <w:rFonts w:ascii="Arial" w:eastAsia="Times New Roman" w:hAnsi="Arial" w:cs="Arial"/>
          <w:bCs/>
          <w:spacing w:val="10"/>
          <w:lang w:val="es-ES_tradnl" w:eastAsia="es-ES"/>
        </w:rPr>
        <w:t xml:space="preserve"> </w:t>
      </w:r>
      <w:r w:rsidR="00F44A4A">
        <w:rPr>
          <w:rFonts w:ascii="Arial" w:eastAsia="Times New Roman" w:hAnsi="Arial" w:cs="Arial"/>
          <w:bCs/>
          <w:spacing w:val="10"/>
          <w:lang w:val="es-ES_tradnl" w:eastAsia="es-ES"/>
        </w:rPr>
        <w:t>inferior</w:t>
      </w:r>
      <w:r w:rsidR="00F60DD2">
        <w:rPr>
          <w:rFonts w:ascii="Arial" w:eastAsia="Times New Roman" w:hAnsi="Arial" w:cs="Arial"/>
          <w:bCs/>
          <w:spacing w:val="10"/>
          <w:lang w:val="es-ES_tradnl" w:eastAsia="es-ES"/>
        </w:rPr>
        <w:t xml:space="preserve"> </w:t>
      </w:r>
      <w:r w:rsidR="00B96E1D">
        <w:rPr>
          <w:rFonts w:ascii="Arial" w:eastAsia="Times New Roman" w:hAnsi="Arial" w:cs="Arial"/>
          <w:bCs/>
          <w:spacing w:val="10"/>
          <w:lang w:val="es-ES_tradnl" w:eastAsia="es-ES"/>
        </w:rPr>
        <w:t xml:space="preserve">a </w:t>
      </w:r>
      <w:r w:rsidR="00AD79BC">
        <w:rPr>
          <w:rFonts w:ascii="Arial" w:eastAsia="Times New Roman" w:hAnsi="Arial" w:cs="Arial"/>
          <w:bCs/>
          <w:spacing w:val="10"/>
          <w:lang w:val="es-ES_tradnl" w:eastAsia="es-ES"/>
        </w:rPr>
        <w:t>la de</w:t>
      </w:r>
      <w:r w:rsidR="006C025C">
        <w:rPr>
          <w:rFonts w:ascii="Arial" w:eastAsia="Times New Roman" w:hAnsi="Arial" w:cs="Arial"/>
          <w:bCs/>
          <w:spacing w:val="10"/>
          <w:lang w:val="es-ES_tradnl" w:eastAsia="es-ES"/>
        </w:rPr>
        <w:t xml:space="preserve">l </w:t>
      </w:r>
      <w:r w:rsidR="00C315D2">
        <w:rPr>
          <w:rFonts w:ascii="Arial" w:eastAsia="Times New Roman" w:hAnsi="Arial" w:cs="Arial"/>
          <w:bCs/>
          <w:spacing w:val="10"/>
          <w:lang w:val="es-ES_tradnl" w:eastAsia="es-ES"/>
        </w:rPr>
        <w:t xml:space="preserve">mismo trimestre de </w:t>
      </w:r>
      <w:r w:rsidR="00177B20">
        <w:rPr>
          <w:rFonts w:ascii="Arial" w:eastAsia="Times New Roman" w:hAnsi="Arial" w:cs="Arial"/>
          <w:bCs/>
          <w:spacing w:val="10"/>
          <w:lang w:val="es-ES_tradnl" w:eastAsia="es-ES"/>
        </w:rPr>
        <w:t>2020</w:t>
      </w:r>
      <w:r w:rsidR="00C315D2">
        <w:rPr>
          <w:rFonts w:ascii="Arial" w:eastAsia="Times New Roman" w:hAnsi="Arial" w:cs="Arial"/>
          <w:bCs/>
          <w:spacing w:val="10"/>
          <w:lang w:val="es-ES_tradnl" w:eastAsia="es-ES"/>
        </w:rPr>
        <w:t>.</w:t>
      </w:r>
    </w:p>
    <w:p w14:paraId="7B9DE0A8" w14:textId="77777777" w:rsidR="00792F92" w:rsidRDefault="00792F92" w:rsidP="009749DA">
      <w:pPr>
        <w:spacing w:after="0" w:line="240" w:lineRule="auto"/>
        <w:ind w:right="49"/>
        <w:jc w:val="both"/>
        <w:rPr>
          <w:rFonts w:ascii="Arial" w:eastAsia="Times New Roman" w:hAnsi="Arial" w:cs="Arial"/>
          <w:bCs/>
          <w:spacing w:val="10"/>
          <w:lang w:val="es-ES_tradnl" w:eastAsia="es-ES"/>
        </w:rPr>
      </w:pPr>
    </w:p>
    <w:p w14:paraId="72C096C9" w14:textId="77777777" w:rsidR="0074035D" w:rsidRDefault="00252EDE" w:rsidP="009749DA">
      <w:pPr>
        <w:pStyle w:val="n0"/>
        <w:keepLines w:val="0"/>
        <w:spacing w:before="0"/>
        <w:ind w:left="0" w:right="49" w:firstLine="0"/>
        <w:jc w:val="center"/>
        <w:rPr>
          <w:b/>
          <w:smallCaps/>
          <w:color w:val="auto"/>
          <w:sz w:val="22"/>
          <w:szCs w:val="22"/>
        </w:rPr>
      </w:pPr>
      <w:r w:rsidRPr="0046490F">
        <w:rPr>
          <w:b/>
          <w:smallCaps/>
          <w:color w:val="auto"/>
          <w:sz w:val="22"/>
          <w:szCs w:val="22"/>
        </w:rPr>
        <w:t xml:space="preserve">Población </w:t>
      </w:r>
      <w:r>
        <w:rPr>
          <w:b/>
          <w:smallCaps/>
          <w:color w:val="auto"/>
          <w:sz w:val="22"/>
          <w:szCs w:val="22"/>
        </w:rPr>
        <w:t>des</w:t>
      </w:r>
      <w:r w:rsidRPr="0046490F">
        <w:rPr>
          <w:b/>
          <w:smallCaps/>
          <w:color w:val="auto"/>
          <w:sz w:val="22"/>
          <w:szCs w:val="22"/>
        </w:rPr>
        <w:t xml:space="preserve">ocupada según </w:t>
      </w:r>
      <w:r>
        <w:rPr>
          <w:b/>
          <w:smallCaps/>
          <w:color w:val="auto"/>
          <w:sz w:val="22"/>
          <w:szCs w:val="22"/>
        </w:rPr>
        <w:t>duración en la desocupación</w:t>
      </w:r>
    </w:p>
    <w:p w14:paraId="61658817" w14:textId="0351697B" w:rsidR="00252EDE" w:rsidRPr="0046490F" w:rsidRDefault="00252EDE" w:rsidP="009749DA">
      <w:pPr>
        <w:pStyle w:val="n0"/>
        <w:keepLines w:val="0"/>
        <w:spacing w:before="0"/>
        <w:ind w:left="0" w:right="49" w:firstLine="0"/>
        <w:jc w:val="center"/>
        <w:rPr>
          <w:b/>
          <w:smallCaps/>
          <w:color w:val="auto"/>
          <w:sz w:val="22"/>
          <w:szCs w:val="22"/>
        </w:rPr>
      </w:pPr>
      <w:r>
        <w:rPr>
          <w:b/>
          <w:smallCaps/>
          <w:color w:val="auto"/>
          <w:sz w:val="22"/>
          <w:szCs w:val="22"/>
        </w:rPr>
        <w:t xml:space="preserve">durante </w:t>
      </w:r>
      <w:r w:rsidR="00177695">
        <w:rPr>
          <w:b/>
          <w:smallCaps/>
          <w:color w:val="auto"/>
          <w:sz w:val="22"/>
          <w:szCs w:val="22"/>
        </w:rPr>
        <w:t xml:space="preserve">el </w:t>
      </w:r>
      <w:r w:rsidR="00177B20">
        <w:rPr>
          <w:b/>
          <w:smallCaps/>
          <w:color w:val="auto"/>
          <w:sz w:val="22"/>
          <w:szCs w:val="22"/>
        </w:rPr>
        <w:t>primer</w:t>
      </w:r>
      <w:r w:rsidR="00177695">
        <w:rPr>
          <w:b/>
          <w:smallCaps/>
          <w:color w:val="auto"/>
          <w:sz w:val="22"/>
          <w:szCs w:val="22"/>
        </w:rPr>
        <w:t xml:space="preserve"> trimestre</w:t>
      </w:r>
      <w:r w:rsidRPr="0046490F">
        <w:rPr>
          <w:b/>
          <w:smallCaps/>
          <w:color w:val="auto"/>
          <w:sz w:val="22"/>
          <w:szCs w:val="22"/>
        </w:rPr>
        <w:t xml:space="preserve"> de </w:t>
      </w:r>
      <w:r w:rsidR="00177B20">
        <w:rPr>
          <w:b/>
          <w:smallCaps/>
          <w:color w:val="auto"/>
          <w:sz w:val="22"/>
          <w:szCs w:val="22"/>
        </w:rPr>
        <w:t>2021</w:t>
      </w:r>
    </w:p>
    <w:p w14:paraId="0F22C9ED" w14:textId="1578305C" w:rsidR="00CC5E3A" w:rsidRPr="003A795B" w:rsidRDefault="003A795B" w:rsidP="009749DA">
      <w:pPr>
        <w:spacing w:after="0" w:line="240" w:lineRule="auto"/>
        <w:ind w:right="51"/>
        <w:jc w:val="center"/>
        <w:rPr>
          <w:rFonts w:ascii="Arial" w:hAnsi="Arial" w:cs="Arial"/>
          <w:smallCaps/>
          <w:sz w:val="16"/>
          <w:szCs w:val="18"/>
        </w:rPr>
      </w:pPr>
      <w:r w:rsidRPr="003A795B">
        <w:rPr>
          <w:rFonts w:ascii="Arial" w:hAnsi="Arial" w:cs="Arial"/>
          <w:smallCaps/>
          <w:sz w:val="16"/>
          <w:szCs w:val="18"/>
        </w:rPr>
        <w:t>(PERSONAS Y PORCENTAJE)</w:t>
      </w:r>
    </w:p>
    <w:p w14:paraId="44A94E55" w14:textId="256ABFDD" w:rsidR="0039067D" w:rsidRDefault="0044404D" w:rsidP="009749DA">
      <w:pPr>
        <w:spacing w:after="0" w:line="240" w:lineRule="auto"/>
        <w:ind w:right="51"/>
        <w:jc w:val="center"/>
        <w:rPr>
          <w:rFonts w:ascii="Arial" w:hAnsi="Arial" w:cs="Arial"/>
          <w:smallCaps/>
          <w:sz w:val="20"/>
        </w:rPr>
      </w:pPr>
      <w:r w:rsidRPr="0044404D">
        <w:rPr>
          <w:noProof/>
        </w:rPr>
        <w:drawing>
          <wp:inline distT="0" distB="0" distL="0" distR="0" wp14:anchorId="2C018BD7" wp14:editId="14769CD1">
            <wp:extent cx="5610225" cy="2057400"/>
            <wp:effectExtent l="0" t="0" r="952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610225" cy="2057400"/>
                    </a:xfrm>
                    <a:prstGeom prst="rect">
                      <a:avLst/>
                    </a:prstGeom>
                    <a:noFill/>
                    <a:ln>
                      <a:noFill/>
                    </a:ln>
                  </pic:spPr>
                </pic:pic>
              </a:graphicData>
            </a:graphic>
          </wp:inline>
        </w:drawing>
      </w:r>
    </w:p>
    <w:p w14:paraId="40E64B31" w14:textId="77777777" w:rsidR="006E302F" w:rsidRDefault="006E302F" w:rsidP="006E302F">
      <w:pPr>
        <w:tabs>
          <w:tab w:val="left" w:pos="851"/>
        </w:tabs>
        <w:spacing w:after="0" w:line="240" w:lineRule="auto"/>
        <w:ind w:left="142" w:right="333"/>
        <w:rPr>
          <w:rFonts w:ascii="Arial" w:hAnsi="Arial" w:cs="Arial"/>
          <w:noProof/>
          <w:sz w:val="14"/>
          <w:szCs w:val="14"/>
          <w:lang w:val="es-ES" w:eastAsia="es-ES"/>
        </w:rPr>
      </w:pPr>
      <w:r>
        <w:rPr>
          <w:rFonts w:ascii="Arial" w:hAnsi="Arial" w:cs="Arial"/>
          <w:noProof/>
          <w:sz w:val="14"/>
          <w:szCs w:val="14"/>
          <w:lang w:val="es-ES" w:eastAsia="es-ES"/>
        </w:rPr>
        <w:t>Fuente:</w:t>
      </w:r>
      <w:r>
        <w:rPr>
          <w:rFonts w:ascii="Arial" w:hAnsi="Arial" w:cs="Arial"/>
          <w:noProof/>
          <w:sz w:val="14"/>
          <w:szCs w:val="14"/>
          <w:lang w:val="es-ES" w:eastAsia="es-ES"/>
        </w:rPr>
        <w:tab/>
        <w:t>INEGI. Encuesta Nacional de Ocupación y Empleo. Nueva Edición, primer trimestre de 2021.</w:t>
      </w:r>
    </w:p>
    <w:p w14:paraId="5DDF7C1A" w14:textId="77777777" w:rsidR="006E302F" w:rsidRDefault="006E302F" w:rsidP="006E302F">
      <w:pPr>
        <w:tabs>
          <w:tab w:val="left" w:pos="851"/>
        </w:tabs>
        <w:spacing w:after="0" w:line="240" w:lineRule="auto"/>
        <w:ind w:left="142" w:right="333"/>
      </w:pPr>
      <w:r>
        <w:rPr>
          <w:rFonts w:ascii="Arial" w:hAnsi="Arial" w:cs="Arial"/>
          <w:noProof/>
          <w:sz w:val="14"/>
          <w:szCs w:val="14"/>
          <w:lang w:val="es-ES" w:eastAsia="es-ES"/>
        </w:rPr>
        <w:tab/>
        <w:t>INEGI. Encuesta Nacional de Ocupación y Empleo, primer trimestre de 2020.</w:t>
      </w:r>
    </w:p>
    <w:p w14:paraId="61A8E176" w14:textId="77777777" w:rsidR="006E302F" w:rsidRDefault="006E302F" w:rsidP="006E302F">
      <w:pPr>
        <w:spacing w:after="0" w:line="240" w:lineRule="auto"/>
        <w:ind w:right="49"/>
        <w:jc w:val="both"/>
        <w:rPr>
          <w:rFonts w:ascii="Arial" w:eastAsia="Times New Roman" w:hAnsi="Arial" w:cs="Arial"/>
          <w:bCs/>
          <w:spacing w:val="10"/>
          <w:lang w:val="es-ES_tradnl" w:eastAsia="es-ES"/>
        </w:rPr>
      </w:pPr>
    </w:p>
    <w:p w14:paraId="439D8287" w14:textId="77777777" w:rsidR="001F4770" w:rsidRDefault="001F4770" w:rsidP="009749DA">
      <w:pPr>
        <w:pStyle w:val="n0"/>
        <w:keepLines w:val="0"/>
        <w:spacing w:before="0"/>
        <w:ind w:left="0" w:right="49" w:firstLine="0"/>
        <w:jc w:val="left"/>
        <w:rPr>
          <w:b/>
          <w:smallCaps/>
          <w:color w:val="auto"/>
          <w:sz w:val="22"/>
          <w:szCs w:val="22"/>
        </w:rPr>
      </w:pPr>
    </w:p>
    <w:p w14:paraId="0CA54A2A" w14:textId="771935D6" w:rsidR="00C315D2" w:rsidRDefault="00C315D2" w:rsidP="009749DA">
      <w:pPr>
        <w:spacing w:after="0" w:line="240" w:lineRule="auto"/>
        <w:ind w:right="49"/>
        <w:jc w:val="both"/>
        <w:rPr>
          <w:rFonts w:ascii="Arial" w:eastAsia="Times New Roman" w:hAnsi="Arial" w:cs="Arial"/>
          <w:bCs/>
          <w:spacing w:val="10"/>
          <w:lang w:val="es-ES_tradnl" w:eastAsia="es-ES"/>
        </w:rPr>
      </w:pPr>
      <w:r>
        <w:rPr>
          <w:rFonts w:ascii="Arial" w:eastAsia="Times New Roman" w:hAnsi="Arial" w:cs="Arial"/>
          <w:bCs/>
          <w:spacing w:val="10"/>
          <w:lang w:val="es-ES_tradnl" w:eastAsia="es-ES"/>
        </w:rPr>
        <w:t>En términos absolutos, el increment</w:t>
      </w:r>
      <w:r w:rsidR="00FE4C0A">
        <w:rPr>
          <w:rFonts w:ascii="Arial" w:eastAsia="Times New Roman" w:hAnsi="Arial" w:cs="Arial"/>
          <w:bCs/>
          <w:spacing w:val="10"/>
          <w:lang w:val="es-ES_tradnl" w:eastAsia="es-ES"/>
        </w:rPr>
        <w:t>o</w:t>
      </w:r>
      <w:r>
        <w:rPr>
          <w:rFonts w:ascii="Arial" w:eastAsia="Times New Roman" w:hAnsi="Arial" w:cs="Arial"/>
          <w:bCs/>
          <w:spacing w:val="10"/>
          <w:lang w:val="es-ES_tradnl" w:eastAsia="es-ES"/>
        </w:rPr>
        <w:t xml:space="preserve"> mayor </w:t>
      </w:r>
      <w:r w:rsidR="001327FB">
        <w:rPr>
          <w:rFonts w:ascii="Arial" w:eastAsia="Times New Roman" w:hAnsi="Arial" w:cs="Arial"/>
          <w:bCs/>
          <w:spacing w:val="10"/>
          <w:lang w:val="es-ES_tradnl" w:eastAsia="es-ES"/>
        </w:rPr>
        <w:t xml:space="preserve">se presentó </w:t>
      </w:r>
      <w:r w:rsidR="008B5E20">
        <w:rPr>
          <w:rFonts w:ascii="Arial" w:eastAsia="Times New Roman" w:hAnsi="Arial" w:cs="Arial"/>
          <w:bCs/>
          <w:spacing w:val="10"/>
          <w:lang w:val="es-ES_tradnl" w:eastAsia="es-ES"/>
        </w:rPr>
        <w:t>en</w:t>
      </w:r>
      <w:r>
        <w:rPr>
          <w:rFonts w:ascii="Arial" w:eastAsia="Times New Roman" w:hAnsi="Arial" w:cs="Arial"/>
          <w:bCs/>
          <w:spacing w:val="10"/>
          <w:lang w:val="es-ES_tradnl" w:eastAsia="es-ES"/>
        </w:rPr>
        <w:t xml:space="preserve"> la duración de la desocupación por más de 6 meses</w:t>
      </w:r>
      <w:r w:rsidR="00D301FB">
        <w:rPr>
          <w:rFonts w:ascii="Arial" w:eastAsia="Times New Roman" w:hAnsi="Arial" w:cs="Arial"/>
          <w:bCs/>
          <w:spacing w:val="10"/>
          <w:lang w:val="es-ES_tradnl" w:eastAsia="es-ES"/>
        </w:rPr>
        <w:t xml:space="preserve"> hasta un año</w:t>
      </w:r>
      <w:r>
        <w:rPr>
          <w:rFonts w:ascii="Arial" w:eastAsia="Times New Roman" w:hAnsi="Arial" w:cs="Arial"/>
          <w:bCs/>
          <w:spacing w:val="10"/>
          <w:lang w:val="es-ES_tradnl" w:eastAsia="es-ES"/>
        </w:rPr>
        <w:t xml:space="preserve">, con </w:t>
      </w:r>
      <w:r w:rsidR="00E845EC">
        <w:rPr>
          <w:rFonts w:ascii="Arial" w:eastAsia="Times New Roman" w:hAnsi="Arial" w:cs="Arial"/>
          <w:bCs/>
          <w:spacing w:val="10"/>
          <w:lang w:val="es-ES_tradnl" w:eastAsia="es-ES"/>
        </w:rPr>
        <w:t xml:space="preserve">155 </w:t>
      </w:r>
      <w:r>
        <w:rPr>
          <w:rFonts w:ascii="Arial" w:eastAsia="Times New Roman" w:hAnsi="Arial" w:cs="Arial"/>
          <w:bCs/>
          <w:spacing w:val="10"/>
          <w:lang w:val="es-ES_tradnl" w:eastAsia="es-ES"/>
        </w:rPr>
        <w:t xml:space="preserve">mil personas más en comparación con el </w:t>
      </w:r>
      <w:r w:rsidR="00177B20">
        <w:rPr>
          <w:rFonts w:ascii="Arial" w:eastAsia="Times New Roman" w:hAnsi="Arial" w:cs="Arial"/>
          <w:bCs/>
          <w:spacing w:val="10"/>
          <w:lang w:val="es-ES_tradnl" w:eastAsia="es-ES"/>
        </w:rPr>
        <w:t>primer</w:t>
      </w:r>
      <w:r>
        <w:rPr>
          <w:rFonts w:ascii="Arial" w:eastAsia="Times New Roman" w:hAnsi="Arial" w:cs="Arial"/>
          <w:bCs/>
          <w:spacing w:val="10"/>
          <w:lang w:val="es-ES_tradnl" w:eastAsia="es-ES"/>
        </w:rPr>
        <w:t xml:space="preserve"> trimestre de </w:t>
      </w:r>
      <w:r w:rsidR="00177B20">
        <w:rPr>
          <w:rFonts w:ascii="Arial" w:eastAsia="Times New Roman" w:hAnsi="Arial" w:cs="Arial"/>
          <w:bCs/>
          <w:spacing w:val="10"/>
          <w:lang w:val="es-ES_tradnl" w:eastAsia="es-ES"/>
        </w:rPr>
        <w:t>2020</w:t>
      </w:r>
      <w:r>
        <w:rPr>
          <w:rFonts w:ascii="Arial" w:eastAsia="Times New Roman" w:hAnsi="Arial" w:cs="Arial"/>
          <w:bCs/>
          <w:spacing w:val="10"/>
          <w:lang w:val="es-ES_tradnl" w:eastAsia="es-ES"/>
        </w:rPr>
        <w:t xml:space="preserve">, seguido por la duración de más de </w:t>
      </w:r>
      <w:r w:rsidR="00D301FB">
        <w:rPr>
          <w:rFonts w:ascii="Arial" w:eastAsia="Times New Roman" w:hAnsi="Arial" w:cs="Arial"/>
          <w:bCs/>
          <w:spacing w:val="10"/>
          <w:lang w:val="es-ES_tradnl" w:eastAsia="es-ES"/>
        </w:rPr>
        <w:t>3 a 6</w:t>
      </w:r>
      <w:r>
        <w:rPr>
          <w:rFonts w:ascii="Arial" w:eastAsia="Times New Roman" w:hAnsi="Arial" w:cs="Arial"/>
          <w:bCs/>
          <w:spacing w:val="10"/>
          <w:lang w:val="es-ES_tradnl" w:eastAsia="es-ES"/>
        </w:rPr>
        <w:t xml:space="preserve"> meses de desocupación</w:t>
      </w:r>
      <w:r w:rsidR="007F456F">
        <w:rPr>
          <w:rFonts w:ascii="Arial" w:eastAsia="Times New Roman" w:hAnsi="Arial" w:cs="Arial"/>
          <w:bCs/>
          <w:spacing w:val="10"/>
          <w:lang w:val="es-ES_tradnl" w:eastAsia="es-ES"/>
        </w:rPr>
        <w:t xml:space="preserve"> con un incremento en el mismo periodo de </w:t>
      </w:r>
      <w:r w:rsidR="00E845EC">
        <w:rPr>
          <w:rFonts w:ascii="Arial" w:eastAsia="Times New Roman" w:hAnsi="Arial" w:cs="Arial"/>
          <w:bCs/>
          <w:spacing w:val="10"/>
          <w:lang w:val="es-ES_tradnl" w:eastAsia="es-ES"/>
        </w:rPr>
        <w:t xml:space="preserve">118 </w:t>
      </w:r>
      <w:r w:rsidR="007F456F">
        <w:rPr>
          <w:rFonts w:ascii="Arial" w:eastAsia="Times New Roman" w:hAnsi="Arial" w:cs="Arial"/>
          <w:bCs/>
          <w:spacing w:val="10"/>
          <w:lang w:val="es-ES_tradnl" w:eastAsia="es-ES"/>
        </w:rPr>
        <w:t xml:space="preserve">mil </w:t>
      </w:r>
      <w:r w:rsidR="00943874">
        <w:rPr>
          <w:rFonts w:ascii="Arial" w:eastAsia="Times New Roman" w:hAnsi="Arial" w:cs="Arial"/>
          <w:bCs/>
          <w:spacing w:val="10"/>
          <w:lang w:val="es-ES_tradnl" w:eastAsia="es-ES"/>
        </w:rPr>
        <w:t xml:space="preserve">personas </w:t>
      </w:r>
      <w:r w:rsidR="007F456F">
        <w:rPr>
          <w:rFonts w:ascii="Arial" w:eastAsia="Times New Roman" w:hAnsi="Arial" w:cs="Arial"/>
          <w:bCs/>
          <w:spacing w:val="10"/>
          <w:lang w:val="es-ES_tradnl" w:eastAsia="es-ES"/>
        </w:rPr>
        <w:t>d</w:t>
      </w:r>
      <w:r w:rsidR="00943874">
        <w:rPr>
          <w:rFonts w:ascii="Arial" w:eastAsia="Times New Roman" w:hAnsi="Arial" w:cs="Arial"/>
          <w:bCs/>
          <w:spacing w:val="10"/>
          <w:lang w:val="es-ES_tradnl" w:eastAsia="es-ES"/>
        </w:rPr>
        <w:t>esocupada</w:t>
      </w:r>
      <w:r w:rsidR="007F456F">
        <w:rPr>
          <w:rFonts w:ascii="Arial" w:eastAsia="Times New Roman" w:hAnsi="Arial" w:cs="Arial"/>
          <w:bCs/>
          <w:spacing w:val="10"/>
          <w:lang w:val="es-ES_tradnl" w:eastAsia="es-ES"/>
        </w:rPr>
        <w:t>s</w:t>
      </w:r>
      <w:r>
        <w:rPr>
          <w:rFonts w:ascii="Arial" w:eastAsia="Times New Roman" w:hAnsi="Arial" w:cs="Arial"/>
          <w:bCs/>
          <w:spacing w:val="10"/>
          <w:lang w:val="es-ES_tradnl" w:eastAsia="es-ES"/>
        </w:rPr>
        <w:t>. Dicho comportamiento muestra que durante el periodo de contingencia sanitaria se amplió la duración de la desocupación, es decir, las personas están tardando mayor tiempo para insertarse en el mercado laboral</w:t>
      </w:r>
      <w:r w:rsidR="00FE4C0A">
        <w:rPr>
          <w:rFonts w:ascii="Arial" w:eastAsia="Times New Roman" w:hAnsi="Arial" w:cs="Arial"/>
          <w:bCs/>
          <w:spacing w:val="10"/>
          <w:lang w:val="es-ES_tradnl" w:eastAsia="es-ES"/>
        </w:rPr>
        <w:t>.</w:t>
      </w:r>
    </w:p>
    <w:p w14:paraId="0786993E" w14:textId="77777777" w:rsidR="00252EDE" w:rsidRPr="00C63172" w:rsidRDefault="00252EDE" w:rsidP="009749DA">
      <w:pPr>
        <w:pStyle w:val="n0"/>
        <w:keepLines w:val="0"/>
        <w:spacing w:before="0"/>
        <w:ind w:left="0" w:right="49" w:firstLine="0"/>
        <w:jc w:val="left"/>
        <w:rPr>
          <w:b/>
          <w:smallCaps/>
          <w:color w:val="auto"/>
          <w:sz w:val="22"/>
          <w:szCs w:val="22"/>
        </w:rPr>
      </w:pPr>
      <w:r w:rsidRPr="007E2E7F">
        <w:rPr>
          <w:b/>
          <w:smallCaps/>
          <w:color w:val="auto"/>
          <w:sz w:val="22"/>
          <w:szCs w:val="22"/>
        </w:rPr>
        <w:lastRenderedPageBreak/>
        <w:t>tasas complementarias</w:t>
      </w:r>
    </w:p>
    <w:p w14:paraId="51B1A308" w14:textId="77777777" w:rsidR="00252EDE" w:rsidRPr="006E2E20" w:rsidRDefault="00252EDE" w:rsidP="009749DA">
      <w:pPr>
        <w:pStyle w:val="n0"/>
        <w:keepLines w:val="0"/>
        <w:spacing w:before="0"/>
        <w:ind w:left="0" w:right="49" w:firstLine="0"/>
        <w:rPr>
          <w:b/>
          <w:smallCaps/>
          <w:color w:val="auto"/>
          <w:sz w:val="22"/>
          <w:szCs w:val="22"/>
        </w:rPr>
      </w:pPr>
    </w:p>
    <w:p w14:paraId="4C3054C2" w14:textId="2F9F84F4" w:rsidR="00D301FB" w:rsidRDefault="00D23113" w:rsidP="009749DA">
      <w:pPr>
        <w:pStyle w:val="n0"/>
        <w:keepLines w:val="0"/>
        <w:spacing w:before="0"/>
        <w:ind w:left="0" w:right="51" w:firstLine="0"/>
        <w:contextualSpacing/>
        <w:rPr>
          <w:bCs/>
          <w:color w:val="auto"/>
          <w:spacing w:val="10"/>
          <w:sz w:val="22"/>
          <w:szCs w:val="22"/>
        </w:rPr>
      </w:pPr>
      <w:r>
        <w:rPr>
          <w:bCs/>
          <w:color w:val="auto"/>
          <w:spacing w:val="10"/>
          <w:sz w:val="22"/>
          <w:szCs w:val="22"/>
        </w:rPr>
        <w:t xml:space="preserve">En </w:t>
      </w:r>
      <w:r w:rsidR="007775FD">
        <w:rPr>
          <w:bCs/>
          <w:color w:val="auto"/>
          <w:spacing w:val="10"/>
          <w:sz w:val="22"/>
          <w:szCs w:val="22"/>
        </w:rPr>
        <w:t xml:space="preserve">adición </w:t>
      </w:r>
      <w:r w:rsidR="00252EDE" w:rsidRPr="00BD02DC">
        <w:rPr>
          <w:bCs/>
          <w:color w:val="auto"/>
          <w:spacing w:val="10"/>
          <w:sz w:val="22"/>
          <w:szCs w:val="22"/>
        </w:rPr>
        <w:t xml:space="preserve">a las tasas </w:t>
      </w:r>
      <w:r w:rsidR="007775FD">
        <w:rPr>
          <w:bCs/>
          <w:color w:val="auto"/>
          <w:spacing w:val="10"/>
          <w:sz w:val="22"/>
          <w:szCs w:val="22"/>
        </w:rPr>
        <w:t>anteriores</w:t>
      </w:r>
      <w:r w:rsidR="00252EDE" w:rsidRPr="00BD02DC">
        <w:rPr>
          <w:bCs/>
          <w:color w:val="auto"/>
          <w:spacing w:val="10"/>
          <w:sz w:val="22"/>
          <w:szCs w:val="22"/>
        </w:rPr>
        <w:t xml:space="preserve">, </w:t>
      </w:r>
      <w:r w:rsidR="00E828E9">
        <w:rPr>
          <w:bCs/>
          <w:color w:val="auto"/>
          <w:spacing w:val="10"/>
          <w:sz w:val="22"/>
          <w:szCs w:val="22"/>
        </w:rPr>
        <w:t xml:space="preserve">a </w:t>
      </w:r>
      <w:r w:rsidR="007775FD">
        <w:rPr>
          <w:bCs/>
          <w:color w:val="auto"/>
          <w:spacing w:val="10"/>
          <w:sz w:val="22"/>
          <w:szCs w:val="22"/>
        </w:rPr>
        <w:t>continuación</w:t>
      </w:r>
      <w:r w:rsidR="00E828E9">
        <w:rPr>
          <w:bCs/>
          <w:color w:val="auto"/>
          <w:spacing w:val="10"/>
          <w:sz w:val="22"/>
          <w:szCs w:val="22"/>
        </w:rPr>
        <w:t xml:space="preserve"> se presenta un conjunto de tasas complementarias </w:t>
      </w:r>
      <w:r w:rsidR="00252EDE" w:rsidRPr="00BD02DC">
        <w:rPr>
          <w:bCs/>
          <w:color w:val="auto"/>
          <w:spacing w:val="10"/>
          <w:sz w:val="22"/>
          <w:szCs w:val="22"/>
        </w:rPr>
        <w:t>que permiten ampliar el análisis de la ocupación y el empleo</w:t>
      </w:r>
      <w:r w:rsidR="00F44A4A">
        <w:rPr>
          <w:bCs/>
          <w:color w:val="auto"/>
          <w:spacing w:val="10"/>
          <w:sz w:val="22"/>
          <w:szCs w:val="22"/>
        </w:rPr>
        <w:t xml:space="preserve"> durante </w:t>
      </w:r>
      <w:r w:rsidR="00177695">
        <w:rPr>
          <w:bCs/>
          <w:color w:val="auto"/>
          <w:spacing w:val="10"/>
          <w:sz w:val="22"/>
          <w:szCs w:val="22"/>
        </w:rPr>
        <w:t xml:space="preserve">el </w:t>
      </w:r>
      <w:r w:rsidR="00177B20">
        <w:rPr>
          <w:bCs/>
          <w:color w:val="auto"/>
          <w:spacing w:val="10"/>
          <w:sz w:val="22"/>
          <w:szCs w:val="22"/>
        </w:rPr>
        <w:t>primer</w:t>
      </w:r>
      <w:r w:rsidR="00177695">
        <w:rPr>
          <w:bCs/>
          <w:color w:val="auto"/>
          <w:spacing w:val="10"/>
          <w:sz w:val="22"/>
          <w:szCs w:val="22"/>
        </w:rPr>
        <w:t xml:space="preserve"> trimestre</w:t>
      </w:r>
      <w:r w:rsidR="00F44A4A">
        <w:rPr>
          <w:bCs/>
          <w:color w:val="auto"/>
          <w:spacing w:val="10"/>
          <w:sz w:val="22"/>
          <w:szCs w:val="22"/>
        </w:rPr>
        <w:t xml:space="preserve"> de </w:t>
      </w:r>
      <w:r w:rsidR="00177B20">
        <w:rPr>
          <w:bCs/>
          <w:color w:val="auto"/>
          <w:spacing w:val="10"/>
          <w:sz w:val="22"/>
          <w:szCs w:val="22"/>
        </w:rPr>
        <w:t>2021</w:t>
      </w:r>
      <w:r w:rsidR="00D301FB">
        <w:rPr>
          <w:bCs/>
          <w:color w:val="auto"/>
          <w:spacing w:val="10"/>
          <w:sz w:val="22"/>
          <w:szCs w:val="22"/>
        </w:rPr>
        <w:t>.</w:t>
      </w:r>
    </w:p>
    <w:p w14:paraId="5E4BE55B" w14:textId="77777777" w:rsidR="00D301FB" w:rsidRDefault="00D301FB" w:rsidP="009749DA">
      <w:pPr>
        <w:pStyle w:val="n0"/>
        <w:keepLines w:val="0"/>
        <w:spacing w:before="0"/>
        <w:ind w:left="0" w:right="51" w:firstLine="0"/>
        <w:contextualSpacing/>
        <w:rPr>
          <w:bCs/>
          <w:color w:val="auto"/>
          <w:spacing w:val="10"/>
          <w:sz w:val="22"/>
          <w:szCs w:val="22"/>
        </w:rPr>
      </w:pPr>
    </w:p>
    <w:p w14:paraId="144825FF" w14:textId="6CD6631A" w:rsidR="00DC4022" w:rsidRDefault="007775FD" w:rsidP="00D301FB">
      <w:pPr>
        <w:pStyle w:val="n0"/>
        <w:keepLines w:val="0"/>
        <w:spacing w:before="0"/>
        <w:ind w:left="0" w:right="51" w:firstLine="0"/>
        <w:contextualSpacing/>
        <w:rPr>
          <w:bCs/>
          <w:color w:val="auto"/>
          <w:spacing w:val="10"/>
          <w:sz w:val="22"/>
          <w:szCs w:val="22"/>
        </w:rPr>
      </w:pPr>
      <w:r>
        <w:rPr>
          <w:bCs/>
          <w:color w:val="auto"/>
          <w:spacing w:val="10"/>
          <w:sz w:val="22"/>
          <w:szCs w:val="22"/>
        </w:rPr>
        <w:t xml:space="preserve">Con </w:t>
      </w:r>
      <w:r w:rsidR="00252EDE">
        <w:rPr>
          <w:bCs/>
          <w:color w:val="auto"/>
          <w:spacing w:val="10"/>
          <w:sz w:val="22"/>
          <w:szCs w:val="22"/>
        </w:rPr>
        <w:t>relación a l</w:t>
      </w:r>
      <w:r w:rsidR="00252EDE" w:rsidRPr="00BD02DC">
        <w:rPr>
          <w:bCs/>
          <w:color w:val="auto"/>
          <w:spacing w:val="10"/>
          <w:sz w:val="22"/>
          <w:szCs w:val="22"/>
        </w:rPr>
        <w:t xml:space="preserve">a presión sobre el mercado laboral, </w:t>
      </w:r>
      <w:r w:rsidR="008B5E20">
        <w:rPr>
          <w:bCs/>
          <w:color w:val="auto"/>
          <w:spacing w:val="10"/>
          <w:sz w:val="22"/>
          <w:szCs w:val="22"/>
        </w:rPr>
        <w:t>se tiene</w:t>
      </w:r>
      <w:r w:rsidR="008B5E20" w:rsidRPr="00BD02DC">
        <w:rPr>
          <w:bCs/>
          <w:color w:val="auto"/>
          <w:spacing w:val="10"/>
          <w:sz w:val="22"/>
          <w:szCs w:val="22"/>
        </w:rPr>
        <w:t xml:space="preserve"> </w:t>
      </w:r>
      <w:r w:rsidR="00252EDE" w:rsidRPr="00BD02DC">
        <w:rPr>
          <w:bCs/>
          <w:color w:val="auto"/>
          <w:spacing w:val="10"/>
          <w:sz w:val="22"/>
          <w:szCs w:val="22"/>
        </w:rPr>
        <w:t xml:space="preserve">la </w:t>
      </w:r>
      <w:r w:rsidR="0026789D">
        <w:rPr>
          <w:bCs/>
          <w:color w:val="auto"/>
          <w:spacing w:val="10"/>
          <w:sz w:val="22"/>
          <w:szCs w:val="22"/>
        </w:rPr>
        <w:t>T</w:t>
      </w:r>
      <w:r w:rsidR="00252EDE" w:rsidRPr="00BD02DC">
        <w:rPr>
          <w:bCs/>
          <w:color w:val="auto"/>
          <w:spacing w:val="10"/>
          <w:sz w:val="22"/>
          <w:szCs w:val="22"/>
        </w:rPr>
        <w:t xml:space="preserve">asa de </w:t>
      </w:r>
      <w:r w:rsidR="0026789D">
        <w:rPr>
          <w:bCs/>
          <w:color w:val="auto"/>
          <w:spacing w:val="10"/>
          <w:sz w:val="22"/>
          <w:szCs w:val="22"/>
        </w:rPr>
        <w:t>O</w:t>
      </w:r>
      <w:r w:rsidR="0026789D" w:rsidRPr="00BD02DC">
        <w:rPr>
          <w:bCs/>
          <w:color w:val="auto"/>
          <w:spacing w:val="10"/>
          <w:sz w:val="22"/>
          <w:szCs w:val="22"/>
        </w:rPr>
        <w:t xml:space="preserve">cupación </w:t>
      </w:r>
      <w:r w:rsidR="0026789D">
        <w:rPr>
          <w:bCs/>
          <w:color w:val="auto"/>
          <w:spacing w:val="10"/>
          <w:sz w:val="22"/>
          <w:szCs w:val="22"/>
        </w:rPr>
        <w:t>P</w:t>
      </w:r>
      <w:r w:rsidR="00252EDE" w:rsidRPr="00BD02DC">
        <w:rPr>
          <w:bCs/>
          <w:color w:val="auto"/>
          <w:spacing w:val="10"/>
          <w:sz w:val="22"/>
          <w:szCs w:val="22"/>
        </w:rPr>
        <w:t xml:space="preserve">arcial y </w:t>
      </w:r>
      <w:r w:rsidR="0026789D">
        <w:rPr>
          <w:bCs/>
          <w:color w:val="auto"/>
          <w:spacing w:val="10"/>
          <w:sz w:val="22"/>
          <w:szCs w:val="22"/>
        </w:rPr>
        <w:t>D</w:t>
      </w:r>
      <w:r w:rsidR="0026789D" w:rsidRPr="00BD02DC">
        <w:rPr>
          <w:bCs/>
          <w:color w:val="auto"/>
          <w:spacing w:val="10"/>
          <w:sz w:val="22"/>
          <w:szCs w:val="22"/>
        </w:rPr>
        <w:t xml:space="preserve">esocupación </w:t>
      </w:r>
      <w:r w:rsidR="00252EDE" w:rsidRPr="00BD02DC">
        <w:rPr>
          <w:bCs/>
          <w:color w:val="auto"/>
          <w:spacing w:val="10"/>
          <w:sz w:val="22"/>
          <w:szCs w:val="22"/>
        </w:rPr>
        <w:t xml:space="preserve">y la </w:t>
      </w:r>
      <w:r w:rsidR="0026789D">
        <w:rPr>
          <w:bCs/>
          <w:color w:val="auto"/>
          <w:spacing w:val="10"/>
          <w:sz w:val="22"/>
          <w:szCs w:val="22"/>
        </w:rPr>
        <w:t>T</w:t>
      </w:r>
      <w:r w:rsidR="0026789D" w:rsidRPr="00BD02DC">
        <w:rPr>
          <w:bCs/>
          <w:color w:val="auto"/>
          <w:spacing w:val="10"/>
          <w:sz w:val="22"/>
          <w:szCs w:val="22"/>
        </w:rPr>
        <w:t xml:space="preserve">asa </w:t>
      </w:r>
      <w:r w:rsidR="00252EDE" w:rsidRPr="00BD02DC">
        <w:rPr>
          <w:bCs/>
          <w:color w:val="auto"/>
          <w:spacing w:val="10"/>
          <w:sz w:val="22"/>
          <w:szCs w:val="22"/>
        </w:rPr>
        <w:t xml:space="preserve">de </w:t>
      </w:r>
      <w:r w:rsidR="0026789D">
        <w:rPr>
          <w:bCs/>
          <w:color w:val="auto"/>
          <w:spacing w:val="10"/>
          <w:sz w:val="22"/>
          <w:szCs w:val="22"/>
        </w:rPr>
        <w:t>P</w:t>
      </w:r>
      <w:r w:rsidR="0026789D" w:rsidRPr="00BD02DC">
        <w:rPr>
          <w:bCs/>
          <w:color w:val="auto"/>
          <w:spacing w:val="10"/>
          <w:sz w:val="22"/>
          <w:szCs w:val="22"/>
        </w:rPr>
        <w:t xml:space="preserve">resión </w:t>
      </w:r>
      <w:r w:rsidR="0026789D">
        <w:rPr>
          <w:bCs/>
          <w:color w:val="auto"/>
          <w:spacing w:val="10"/>
          <w:sz w:val="22"/>
          <w:szCs w:val="22"/>
        </w:rPr>
        <w:t>G</w:t>
      </w:r>
      <w:r w:rsidR="0026789D" w:rsidRPr="00BD02DC">
        <w:rPr>
          <w:bCs/>
          <w:color w:val="auto"/>
          <w:spacing w:val="10"/>
          <w:sz w:val="22"/>
          <w:szCs w:val="22"/>
        </w:rPr>
        <w:t>eneral</w:t>
      </w:r>
      <w:r w:rsidR="00252EDE" w:rsidRPr="00BD02DC">
        <w:rPr>
          <w:bCs/>
          <w:color w:val="auto"/>
          <w:spacing w:val="10"/>
          <w:sz w:val="22"/>
          <w:szCs w:val="22"/>
        </w:rPr>
        <w:t>.</w:t>
      </w:r>
      <w:r w:rsidR="00D301FB">
        <w:rPr>
          <w:bCs/>
          <w:color w:val="auto"/>
          <w:spacing w:val="10"/>
          <w:sz w:val="22"/>
          <w:szCs w:val="22"/>
        </w:rPr>
        <w:t xml:space="preserve"> </w:t>
      </w:r>
      <w:r w:rsidR="00252EDE" w:rsidRPr="00BD02DC">
        <w:rPr>
          <w:bCs/>
          <w:color w:val="auto"/>
          <w:spacing w:val="10"/>
          <w:sz w:val="22"/>
          <w:szCs w:val="22"/>
        </w:rPr>
        <w:t xml:space="preserve">La Tasa de Ocupación Parcial y Desocupación (TOPD1) considera a la población desocupada y la ocupada que trabajó menos de 15 horas a la semana, respecto a </w:t>
      </w:r>
      <w:r w:rsidR="00252EDE" w:rsidRPr="00D23113">
        <w:rPr>
          <w:bCs/>
          <w:color w:val="auto"/>
          <w:spacing w:val="10"/>
          <w:sz w:val="22"/>
          <w:szCs w:val="22"/>
        </w:rPr>
        <w:t xml:space="preserve">la población económicamente activa. </w:t>
      </w:r>
      <w:r w:rsidR="00E20C94">
        <w:rPr>
          <w:bCs/>
          <w:color w:val="auto"/>
          <w:spacing w:val="10"/>
          <w:sz w:val="22"/>
          <w:szCs w:val="22"/>
        </w:rPr>
        <w:t xml:space="preserve">Durante el </w:t>
      </w:r>
      <w:r w:rsidR="00177B20">
        <w:rPr>
          <w:bCs/>
          <w:color w:val="auto"/>
          <w:spacing w:val="10"/>
          <w:sz w:val="22"/>
          <w:szCs w:val="22"/>
        </w:rPr>
        <w:t>primer</w:t>
      </w:r>
      <w:r w:rsidR="00177695">
        <w:rPr>
          <w:bCs/>
          <w:color w:val="auto"/>
          <w:spacing w:val="10"/>
          <w:sz w:val="22"/>
          <w:szCs w:val="22"/>
        </w:rPr>
        <w:t xml:space="preserve"> trimestre</w:t>
      </w:r>
      <w:r w:rsidR="00E20C94">
        <w:rPr>
          <w:bCs/>
          <w:color w:val="auto"/>
          <w:spacing w:val="10"/>
          <w:sz w:val="22"/>
          <w:szCs w:val="22"/>
        </w:rPr>
        <w:t xml:space="preserve"> </w:t>
      </w:r>
      <w:r w:rsidR="006B5D82">
        <w:rPr>
          <w:bCs/>
          <w:color w:val="auto"/>
          <w:spacing w:val="10"/>
          <w:sz w:val="22"/>
          <w:szCs w:val="22"/>
        </w:rPr>
        <w:t xml:space="preserve">de </w:t>
      </w:r>
      <w:r w:rsidR="00177B20">
        <w:rPr>
          <w:bCs/>
          <w:color w:val="auto"/>
          <w:spacing w:val="10"/>
          <w:sz w:val="22"/>
          <w:szCs w:val="22"/>
        </w:rPr>
        <w:t>2021</w:t>
      </w:r>
      <w:r w:rsidR="006B5D82">
        <w:rPr>
          <w:bCs/>
          <w:color w:val="auto"/>
          <w:spacing w:val="10"/>
          <w:sz w:val="22"/>
          <w:szCs w:val="22"/>
        </w:rPr>
        <w:t xml:space="preserve"> </w:t>
      </w:r>
      <w:r w:rsidR="00E20C94">
        <w:rPr>
          <w:bCs/>
          <w:color w:val="auto"/>
          <w:spacing w:val="10"/>
          <w:sz w:val="22"/>
          <w:szCs w:val="22"/>
        </w:rPr>
        <w:t xml:space="preserve">esta tasa fue de </w:t>
      </w:r>
      <w:r w:rsidR="009832E8">
        <w:rPr>
          <w:bCs/>
          <w:color w:val="auto"/>
          <w:spacing w:val="10"/>
          <w:sz w:val="22"/>
          <w:szCs w:val="22"/>
        </w:rPr>
        <w:t>10.7</w:t>
      </w:r>
      <w:r w:rsidR="00252EDE" w:rsidRPr="00D23113">
        <w:rPr>
          <w:bCs/>
          <w:color w:val="auto"/>
          <w:spacing w:val="10"/>
          <w:sz w:val="22"/>
          <w:szCs w:val="22"/>
        </w:rPr>
        <w:t>%</w:t>
      </w:r>
      <w:r w:rsidR="00E20C94">
        <w:rPr>
          <w:bCs/>
          <w:color w:val="auto"/>
          <w:spacing w:val="10"/>
          <w:sz w:val="22"/>
          <w:szCs w:val="22"/>
        </w:rPr>
        <w:t>,</w:t>
      </w:r>
      <w:r w:rsidR="00252EDE" w:rsidRPr="00D23113">
        <w:rPr>
          <w:bCs/>
          <w:color w:val="auto"/>
          <w:spacing w:val="10"/>
          <w:sz w:val="22"/>
          <w:szCs w:val="22"/>
        </w:rPr>
        <w:t xml:space="preserve"> </w:t>
      </w:r>
      <w:r w:rsidR="009832E8">
        <w:rPr>
          <w:bCs/>
          <w:color w:val="auto"/>
          <w:spacing w:val="10"/>
          <w:sz w:val="22"/>
          <w:szCs w:val="22"/>
        </w:rPr>
        <w:t>1.5</w:t>
      </w:r>
      <w:r w:rsidR="006B5D82">
        <w:rPr>
          <w:bCs/>
          <w:color w:val="auto"/>
          <w:spacing w:val="10"/>
          <w:sz w:val="22"/>
          <w:szCs w:val="22"/>
        </w:rPr>
        <w:t xml:space="preserve"> puntos porcentuales mayor que la del </w:t>
      </w:r>
      <w:r w:rsidR="00177B20">
        <w:rPr>
          <w:bCs/>
          <w:color w:val="auto"/>
          <w:spacing w:val="10"/>
          <w:sz w:val="22"/>
          <w:szCs w:val="22"/>
        </w:rPr>
        <w:t>primer</w:t>
      </w:r>
      <w:r w:rsidR="006B5D82">
        <w:rPr>
          <w:bCs/>
          <w:color w:val="auto"/>
          <w:spacing w:val="10"/>
          <w:sz w:val="22"/>
          <w:szCs w:val="22"/>
        </w:rPr>
        <w:t xml:space="preserve"> trimestre de </w:t>
      </w:r>
      <w:r w:rsidR="00177B20">
        <w:rPr>
          <w:bCs/>
          <w:color w:val="auto"/>
          <w:spacing w:val="10"/>
          <w:sz w:val="22"/>
          <w:szCs w:val="22"/>
        </w:rPr>
        <w:t>2020</w:t>
      </w:r>
      <w:r w:rsidR="006B5D82">
        <w:rPr>
          <w:bCs/>
          <w:color w:val="auto"/>
          <w:spacing w:val="10"/>
          <w:sz w:val="22"/>
          <w:szCs w:val="22"/>
        </w:rPr>
        <w:t xml:space="preserve">; por su parte esta tasa en </w:t>
      </w:r>
      <w:r w:rsidR="0025075E">
        <w:rPr>
          <w:bCs/>
          <w:color w:val="auto"/>
          <w:spacing w:val="10"/>
          <w:sz w:val="22"/>
          <w:szCs w:val="22"/>
        </w:rPr>
        <w:t xml:space="preserve">los hombres </w:t>
      </w:r>
      <w:r w:rsidR="000044E4">
        <w:rPr>
          <w:bCs/>
          <w:color w:val="auto"/>
          <w:spacing w:val="10"/>
          <w:sz w:val="22"/>
          <w:szCs w:val="22"/>
        </w:rPr>
        <w:t xml:space="preserve">fue </w:t>
      </w:r>
      <w:r w:rsidR="0025075E">
        <w:rPr>
          <w:bCs/>
          <w:color w:val="auto"/>
          <w:spacing w:val="10"/>
          <w:sz w:val="22"/>
          <w:szCs w:val="22"/>
        </w:rPr>
        <w:t xml:space="preserve">de </w:t>
      </w:r>
      <w:r w:rsidR="009832E8">
        <w:rPr>
          <w:bCs/>
          <w:color w:val="auto"/>
          <w:spacing w:val="10"/>
          <w:sz w:val="22"/>
          <w:szCs w:val="22"/>
        </w:rPr>
        <w:t>8</w:t>
      </w:r>
      <w:r w:rsidR="00F44A4A">
        <w:rPr>
          <w:bCs/>
          <w:color w:val="auto"/>
          <w:spacing w:val="10"/>
          <w:sz w:val="22"/>
          <w:szCs w:val="22"/>
        </w:rPr>
        <w:t>.</w:t>
      </w:r>
      <w:r w:rsidR="00DD4B6D">
        <w:rPr>
          <w:bCs/>
          <w:color w:val="auto"/>
          <w:spacing w:val="10"/>
          <w:sz w:val="22"/>
          <w:szCs w:val="22"/>
        </w:rPr>
        <w:t>2</w:t>
      </w:r>
      <w:r w:rsidR="0025075E">
        <w:rPr>
          <w:bCs/>
          <w:color w:val="auto"/>
          <w:spacing w:val="10"/>
          <w:sz w:val="22"/>
          <w:szCs w:val="22"/>
        </w:rPr>
        <w:t xml:space="preserve">% y en las mujeres de </w:t>
      </w:r>
      <w:r w:rsidR="009832E8">
        <w:rPr>
          <w:bCs/>
          <w:color w:val="auto"/>
          <w:spacing w:val="10"/>
          <w:sz w:val="22"/>
          <w:szCs w:val="22"/>
        </w:rPr>
        <w:t>14.9</w:t>
      </w:r>
      <w:r w:rsidR="00C807A6">
        <w:rPr>
          <w:bCs/>
          <w:color w:val="auto"/>
          <w:spacing w:val="10"/>
          <w:sz w:val="22"/>
          <w:szCs w:val="22"/>
        </w:rPr>
        <w:t xml:space="preserve">%, cifras </w:t>
      </w:r>
      <w:r w:rsidR="009832E8">
        <w:rPr>
          <w:bCs/>
          <w:color w:val="auto"/>
          <w:spacing w:val="10"/>
          <w:sz w:val="22"/>
          <w:szCs w:val="22"/>
        </w:rPr>
        <w:t>1.5</w:t>
      </w:r>
      <w:r w:rsidR="00C807A6">
        <w:rPr>
          <w:bCs/>
          <w:color w:val="auto"/>
          <w:spacing w:val="10"/>
          <w:sz w:val="22"/>
          <w:szCs w:val="22"/>
        </w:rPr>
        <w:t xml:space="preserve"> y </w:t>
      </w:r>
      <w:r w:rsidR="00DD4B6D">
        <w:rPr>
          <w:bCs/>
          <w:color w:val="auto"/>
          <w:spacing w:val="10"/>
          <w:sz w:val="22"/>
          <w:szCs w:val="22"/>
        </w:rPr>
        <w:t>1.</w:t>
      </w:r>
      <w:r w:rsidR="009832E8">
        <w:rPr>
          <w:bCs/>
          <w:color w:val="auto"/>
          <w:spacing w:val="10"/>
          <w:sz w:val="22"/>
          <w:szCs w:val="22"/>
        </w:rPr>
        <w:t xml:space="preserve">8 </w:t>
      </w:r>
      <w:r w:rsidR="00C807A6">
        <w:rPr>
          <w:bCs/>
          <w:color w:val="auto"/>
          <w:spacing w:val="10"/>
          <w:sz w:val="22"/>
          <w:szCs w:val="22"/>
        </w:rPr>
        <w:t xml:space="preserve">puntos porcentuales mayores que el mismo trimestre </w:t>
      </w:r>
      <w:r w:rsidR="00DD4B6D">
        <w:rPr>
          <w:bCs/>
          <w:color w:val="auto"/>
          <w:spacing w:val="10"/>
          <w:sz w:val="22"/>
          <w:szCs w:val="22"/>
        </w:rPr>
        <w:t xml:space="preserve">de </w:t>
      </w:r>
      <w:r w:rsidR="00177B20">
        <w:rPr>
          <w:bCs/>
          <w:color w:val="auto"/>
          <w:spacing w:val="10"/>
          <w:sz w:val="22"/>
          <w:szCs w:val="22"/>
        </w:rPr>
        <w:t>2020</w:t>
      </w:r>
      <w:r w:rsidR="0025075E">
        <w:rPr>
          <w:bCs/>
          <w:color w:val="auto"/>
          <w:spacing w:val="10"/>
          <w:sz w:val="22"/>
          <w:szCs w:val="22"/>
        </w:rPr>
        <w:t>.</w:t>
      </w:r>
    </w:p>
    <w:p w14:paraId="2EE65AD0" w14:textId="77777777" w:rsidR="00DF0204" w:rsidRDefault="00DF0204" w:rsidP="009749DA">
      <w:pPr>
        <w:pStyle w:val="n0"/>
        <w:keepLines w:val="0"/>
        <w:spacing w:before="0"/>
        <w:ind w:left="0" w:right="49" w:firstLine="0"/>
        <w:contextualSpacing/>
        <w:rPr>
          <w:bCs/>
          <w:color w:val="auto"/>
          <w:spacing w:val="10"/>
          <w:sz w:val="22"/>
          <w:szCs w:val="22"/>
        </w:rPr>
      </w:pPr>
    </w:p>
    <w:p w14:paraId="5636B9B9" w14:textId="3B642ED9" w:rsidR="00252EDE" w:rsidRDefault="00252EDE" w:rsidP="009749DA">
      <w:pPr>
        <w:pStyle w:val="n0"/>
        <w:keepLines w:val="0"/>
        <w:spacing w:before="0"/>
        <w:ind w:left="0" w:right="49" w:firstLine="0"/>
        <w:contextualSpacing/>
        <w:rPr>
          <w:bCs/>
          <w:color w:val="auto"/>
          <w:spacing w:val="10"/>
          <w:sz w:val="22"/>
          <w:szCs w:val="22"/>
        </w:rPr>
      </w:pPr>
      <w:r w:rsidRPr="00D23113">
        <w:rPr>
          <w:bCs/>
          <w:color w:val="auto"/>
          <w:spacing w:val="10"/>
          <w:sz w:val="22"/>
          <w:szCs w:val="22"/>
        </w:rPr>
        <w:t>La Tasa de Presión General (TP</w:t>
      </w:r>
      <w:r w:rsidR="00B11292">
        <w:rPr>
          <w:bCs/>
          <w:color w:val="auto"/>
          <w:spacing w:val="10"/>
          <w:sz w:val="22"/>
          <w:szCs w:val="22"/>
        </w:rPr>
        <w:t>R</w:t>
      </w:r>
      <w:r w:rsidRPr="00D23113">
        <w:rPr>
          <w:bCs/>
          <w:color w:val="auto"/>
          <w:spacing w:val="10"/>
          <w:sz w:val="22"/>
          <w:szCs w:val="22"/>
        </w:rPr>
        <w:t xml:space="preserve">G), </w:t>
      </w:r>
      <w:r w:rsidR="00943874">
        <w:rPr>
          <w:bCs/>
          <w:color w:val="auto"/>
          <w:spacing w:val="10"/>
          <w:sz w:val="22"/>
          <w:szCs w:val="22"/>
        </w:rPr>
        <w:t xml:space="preserve">que </w:t>
      </w:r>
      <w:r w:rsidRPr="00D23113">
        <w:rPr>
          <w:bCs/>
          <w:color w:val="auto"/>
          <w:spacing w:val="10"/>
          <w:sz w:val="22"/>
          <w:szCs w:val="22"/>
        </w:rPr>
        <w:t xml:space="preserve">comprende a </w:t>
      </w:r>
      <w:r w:rsidR="00173607">
        <w:rPr>
          <w:bCs/>
          <w:color w:val="auto"/>
          <w:spacing w:val="10"/>
          <w:sz w:val="22"/>
          <w:szCs w:val="22"/>
        </w:rPr>
        <w:t xml:space="preserve">quienes están en desocupación abierta </w:t>
      </w:r>
      <w:r w:rsidRPr="00D23113">
        <w:rPr>
          <w:bCs/>
          <w:color w:val="auto"/>
          <w:spacing w:val="10"/>
          <w:sz w:val="22"/>
          <w:szCs w:val="22"/>
        </w:rPr>
        <w:t>y a los ocupados que buscan empleo adicional o para cambiar el actual</w:t>
      </w:r>
      <w:r w:rsidR="00AF2073" w:rsidRPr="00A83689">
        <w:rPr>
          <w:bCs/>
          <w:color w:val="auto"/>
          <w:spacing w:val="10"/>
          <w:sz w:val="22"/>
          <w:szCs w:val="22"/>
        </w:rPr>
        <w:t>,</w:t>
      </w:r>
      <w:r w:rsidRPr="00D23113">
        <w:rPr>
          <w:bCs/>
          <w:color w:val="auto"/>
          <w:spacing w:val="10"/>
          <w:sz w:val="22"/>
          <w:szCs w:val="22"/>
        </w:rPr>
        <w:t xml:space="preserve"> como proporción de la población económicamente activa. </w:t>
      </w:r>
      <w:r w:rsidR="00DE46F9">
        <w:rPr>
          <w:bCs/>
          <w:color w:val="auto"/>
          <w:spacing w:val="10"/>
          <w:sz w:val="22"/>
          <w:szCs w:val="22"/>
        </w:rPr>
        <w:t>E</w:t>
      </w:r>
      <w:r w:rsidRPr="00D23113">
        <w:rPr>
          <w:bCs/>
          <w:color w:val="auto"/>
          <w:spacing w:val="10"/>
          <w:sz w:val="22"/>
          <w:szCs w:val="22"/>
        </w:rPr>
        <w:t xml:space="preserve">sta tasa </w:t>
      </w:r>
      <w:r w:rsidR="00E20C94">
        <w:rPr>
          <w:bCs/>
          <w:color w:val="auto"/>
          <w:spacing w:val="10"/>
          <w:sz w:val="22"/>
          <w:szCs w:val="22"/>
        </w:rPr>
        <w:t>fue de</w:t>
      </w:r>
      <w:r w:rsidRPr="00D23113">
        <w:rPr>
          <w:bCs/>
          <w:color w:val="auto"/>
          <w:spacing w:val="10"/>
          <w:sz w:val="22"/>
          <w:szCs w:val="22"/>
        </w:rPr>
        <w:t xml:space="preserve"> </w:t>
      </w:r>
      <w:r w:rsidR="007F456F">
        <w:rPr>
          <w:bCs/>
          <w:color w:val="auto"/>
          <w:spacing w:val="10"/>
          <w:sz w:val="22"/>
          <w:szCs w:val="22"/>
        </w:rPr>
        <w:t>8.</w:t>
      </w:r>
      <w:r w:rsidR="00CE17DE">
        <w:rPr>
          <w:bCs/>
          <w:color w:val="auto"/>
          <w:spacing w:val="10"/>
          <w:sz w:val="22"/>
          <w:szCs w:val="22"/>
        </w:rPr>
        <w:t>1</w:t>
      </w:r>
      <w:r w:rsidRPr="00D23113">
        <w:rPr>
          <w:bCs/>
          <w:color w:val="auto"/>
          <w:spacing w:val="10"/>
          <w:sz w:val="22"/>
          <w:szCs w:val="22"/>
        </w:rPr>
        <w:t xml:space="preserve">% de la PEA en </w:t>
      </w:r>
      <w:r w:rsidR="00177695">
        <w:rPr>
          <w:bCs/>
          <w:color w:val="auto"/>
          <w:spacing w:val="10"/>
          <w:sz w:val="22"/>
          <w:szCs w:val="22"/>
        </w:rPr>
        <w:t xml:space="preserve">el </w:t>
      </w:r>
      <w:r w:rsidR="00177B20">
        <w:rPr>
          <w:bCs/>
          <w:color w:val="auto"/>
          <w:spacing w:val="10"/>
          <w:sz w:val="22"/>
          <w:szCs w:val="22"/>
        </w:rPr>
        <w:t>primer</w:t>
      </w:r>
      <w:r w:rsidR="00177695">
        <w:rPr>
          <w:bCs/>
          <w:color w:val="auto"/>
          <w:spacing w:val="10"/>
          <w:sz w:val="22"/>
          <w:szCs w:val="22"/>
        </w:rPr>
        <w:t xml:space="preserve"> trimestre</w:t>
      </w:r>
      <w:r w:rsidRPr="00D23113">
        <w:rPr>
          <w:bCs/>
          <w:color w:val="auto"/>
          <w:spacing w:val="10"/>
          <w:sz w:val="22"/>
          <w:szCs w:val="22"/>
        </w:rPr>
        <w:t xml:space="preserve"> </w:t>
      </w:r>
      <w:r w:rsidR="00DD4B6D">
        <w:rPr>
          <w:bCs/>
          <w:color w:val="auto"/>
          <w:spacing w:val="10"/>
          <w:sz w:val="22"/>
          <w:szCs w:val="22"/>
        </w:rPr>
        <w:t xml:space="preserve">de </w:t>
      </w:r>
      <w:r w:rsidR="00177B20">
        <w:rPr>
          <w:bCs/>
          <w:color w:val="auto"/>
          <w:spacing w:val="10"/>
          <w:sz w:val="22"/>
          <w:szCs w:val="22"/>
        </w:rPr>
        <w:t>2021</w:t>
      </w:r>
      <w:r w:rsidR="00E20C94">
        <w:rPr>
          <w:bCs/>
          <w:color w:val="auto"/>
          <w:spacing w:val="10"/>
          <w:sz w:val="22"/>
          <w:szCs w:val="22"/>
        </w:rPr>
        <w:t>, observándose una</w:t>
      </w:r>
      <w:r w:rsidR="0025075E">
        <w:rPr>
          <w:bCs/>
          <w:color w:val="auto"/>
          <w:spacing w:val="10"/>
          <w:sz w:val="22"/>
          <w:szCs w:val="22"/>
        </w:rPr>
        <w:t xml:space="preserve"> TP</w:t>
      </w:r>
      <w:r w:rsidR="00B62178">
        <w:rPr>
          <w:bCs/>
          <w:color w:val="auto"/>
          <w:spacing w:val="10"/>
          <w:sz w:val="22"/>
          <w:szCs w:val="22"/>
        </w:rPr>
        <w:t>R</w:t>
      </w:r>
      <w:r w:rsidR="0025075E">
        <w:rPr>
          <w:bCs/>
          <w:color w:val="auto"/>
          <w:spacing w:val="10"/>
          <w:sz w:val="22"/>
          <w:szCs w:val="22"/>
        </w:rPr>
        <w:t xml:space="preserve">G masculina de </w:t>
      </w:r>
      <w:r w:rsidR="00CE17DE">
        <w:rPr>
          <w:bCs/>
          <w:color w:val="auto"/>
          <w:spacing w:val="10"/>
          <w:sz w:val="22"/>
          <w:szCs w:val="22"/>
        </w:rPr>
        <w:t>8.5</w:t>
      </w:r>
      <w:r w:rsidR="0025075E">
        <w:rPr>
          <w:bCs/>
          <w:color w:val="auto"/>
          <w:spacing w:val="10"/>
          <w:sz w:val="22"/>
          <w:szCs w:val="22"/>
        </w:rPr>
        <w:t>%, mientras que la femenina</w:t>
      </w:r>
      <w:r w:rsidR="00E20C94">
        <w:rPr>
          <w:bCs/>
          <w:color w:val="auto"/>
          <w:spacing w:val="10"/>
          <w:sz w:val="22"/>
          <w:szCs w:val="22"/>
        </w:rPr>
        <w:t xml:space="preserve"> fue de</w:t>
      </w:r>
      <w:r w:rsidR="0025075E">
        <w:rPr>
          <w:bCs/>
          <w:color w:val="auto"/>
          <w:spacing w:val="10"/>
          <w:sz w:val="22"/>
          <w:szCs w:val="22"/>
        </w:rPr>
        <w:t xml:space="preserve"> </w:t>
      </w:r>
      <w:r w:rsidR="00947708">
        <w:rPr>
          <w:bCs/>
          <w:color w:val="auto"/>
          <w:spacing w:val="10"/>
          <w:sz w:val="22"/>
          <w:szCs w:val="22"/>
        </w:rPr>
        <w:t>7.</w:t>
      </w:r>
      <w:r w:rsidR="00CE17DE">
        <w:rPr>
          <w:bCs/>
          <w:color w:val="auto"/>
          <w:spacing w:val="10"/>
          <w:sz w:val="22"/>
          <w:szCs w:val="22"/>
        </w:rPr>
        <w:t xml:space="preserve">5 </w:t>
      </w:r>
      <w:r w:rsidR="0025075E">
        <w:rPr>
          <w:bCs/>
          <w:color w:val="auto"/>
          <w:spacing w:val="10"/>
          <w:sz w:val="22"/>
          <w:szCs w:val="22"/>
        </w:rPr>
        <w:t>por ciento.</w:t>
      </w:r>
      <w:r w:rsidR="00BF7845">
        <w:rPr>
          <w:bCs/>
          <w:color w:val="auto"/>
          <w:spacing w:val="10"/>
          <w:sz w:val="22"/>
          <w:szCs w:val="22"/>
        </w:rPr>
        <w:t xml:space="preserve"> En términos porcentuales, la presión sobre el mercado laboral en demanda de un empleo aumentó 1.</w:t>
      </w:r>
      <w:r w:rsidR="00E1201D">
        <w:rPr>
          <w:bCs/>
          <w:color w:val="auto"/>
          <w:spacing w:val="10"/>
          <w:sz w:val="22"/>
          <w:szCs w:val="22"/>
        </w:rPr>
        <w:t xml:space="preserve">2 </w:t>
      </w:r>
      <w:r w:rsidR="00BF7845">
        <w:rPr>
          <w:bCs/>
          <w:color w:val="auto"/>
          <w:spacing w:val="10"/>
          <w:sz w:val="22"/>
          <w:szCs w:val="22"/>
        </w:rPr>
        <w:t xml:space="preserve">puntos porcentuales en el total, siendo </w:t>
      </w:r>
      <w:r w:rsidR="00943874">
        <w:rPr>
          <w:bCs/>
          <w:color w:val="auto"/>
          <w:spacing w:val="10"/>
          <w:sz w:val="22"/>
          <w:szCs w:val="22"/>
        </w:rPr>
        <w:t>igual</w:t>
      </w:r>
      <w:r w:rsidR="00BF7845">
        <w:rPr>
          <w:bCs/>
          <w:color w:val="auto"/>
          <w:spacing w:val="10"/>
          <w:sz w:val="22"/>
          <w:szCs w:val="22"/>
        </w:rPr>
        <w:t xml:space="preserve"> en los hombres con </w:t>
      </w:r>
      <w:r w:rsidR="007F456F">
        <w:rPr>
          <w:bCs/>
          <w:color w:val="auto"/>
          <w:spacing w:val="10"/>
          <w:sz w:val="22"/>
          <w:szCs w:val="22"/>
        </w:rPr>
        <w:t>1.</w:t>
      </w:r>
      <w:r w:rsidR="00E1201D">
        <w:rPr>
          <w:bCs/>
          <w:color w:val="auto"/>
          <w:spacing w:val="10"/>
          <w:sz w:val="22"/>
          <w:szCs w:val="22"/>
        </w:rPr>
        <w:t xml:space="preserve">2 </w:t>
      </w:r>
      <w:r w:rsidR="00BF7845">
        <w:rPr>
          <w:bCs/>
          <w:color w:val="auto"/>
          <w:spacing w:val="10"/>
          <w:sz w:val="22"/>
          <w:szCs w:val="22"/>
        </w:rPr>
        <w:t xml:space="preserve">puntos porcentuales frente a un aumento de </w:t>
      </w:r>
      <w:r w:rsidR="00DD4B6D">
        <w:rPr>
          <w:bCs/>
          <w:color w:val="auto"/>
          <w:spacing w:val="10"/>
          <w:sz w:val="22"/>
          <w:szCs w:val="22"/>
        </w:rPr>
        <w:t>1.</w:t>
      </w:r>
      <w:r w:rsidR="00E1201D">
        <w:rPr>
          <w:bCs/>
          <w:color w:val="auto"/>
          <w:spacing w:val="10"/>
          <w:sz w:val="22"/>
          <w:szCs w:val="22"/>
        </w:rPr>
        <w:t xml:space="preserve">1 </w:t>
      </w:r>
      <w:r w:rsidR="00BF7845">
        <w:rPr>
          <w:bCs/>
          <w:color w:val="auto"/>
          <w:spacing w:val="10"/>
          <w:sz w:val="22"/>
          <w:szCs w:val="22"/>
        </w:rPr>
        <w:t>punto</w:t>
      </w:r>
      <w:r w:rsidR="00DD4B6D">
        <w:rPr>
          <w:bCs/>
          <w:color w:val="auto"/>
          <w:spacing w:val="10"/>
          <w:sz w:val="22"/>
          <w:szCs w:val="22"/>
        </w:rPr>
        <w:t>s</w:t>
      </w:r>
      <w:r w:rsidR="00BF7845">
        <w:rPr>
          <w:bCs/>
          <w:color w:val="auto"/>
          <w:spacing w:val="10"/>
          <w:sz w:val="22"/>
          <w:szCs w:val="22"/>
        </w:rPr>
        <w:t xml:space="preserve"> porcentual</w:t>
      </w:r>
      <w:r w:rsidR="00DD4B6D">
        <w:rPr>
          <w:bCs/>
          <w:color w:val="auto"/>
          <w:spacing w:val="10"/>
          <w:sz w:val="22"/>
          <w:szCs w:val="22"/>
        </w:rPr>
        <w:t>es</w:t>
      </w:r>
      <w:r w:rsidR="00BF7845">
        <w:rPr>
          <w:bCs/>
          <w:color w:val="auto"/>
          <w:spacing w:val="10"/>
          <w:sz w:val="22"/>
          <w:szCs w:val="22"/>
        </w:rPr>
        <w:t xml:space="preserve"> en la</w:t>
      </w:r>
      <w:r w:rsidR="00BE6BA6">
        <w:rPr>
          <w:bCs/>
          <w:color w:val="auto"/>
          <w:spacing w:val="10"/>
          <w:sz w:val="22"/>
          <w:szCs w:val="22"/>
        </w:rPr>
        <w:t>s</w:t>
      </w:r>
      <w:r w:rsidR="00BF7845">
        <w:rPr>
          <w:bCs/>
          <w:color w:val="auto"/>
          <w:spacing w:val="10"/>
          <w:sz w:val="22"/>
          <w:szCs w:val="22"/>
        </w:rPr>
        <w:t xml:space="preserve"> mujeres, entre el </w:t>
      </w:r>
      <w:r w:rsidR="00177B20">
        <w:rPr>
          <w:bCs/>
          <w:color w:val="auto"/>
          <w:spacing w:val="10"/>
          <w:sz w:val="22"/>
          <w:szCs w:val="22"/>
        </w:rPr>
        <w:t>primer</w:t>
      </w:r>
      <w:r w:rsidR="00BF7845">
        <w:rPr>
          <w:bCs/>
          <w:color w:val="auto"/>
          <w:spacing w:val="10"/>
          <w:sz w:val="22"/>
          <w:szCs w:val="22"/>
        </w:rPr>
        <w:t xml:space="preserve"> trimestre de </w:t>
      </w:r>
      <w:r w:rsidR="00177B20">
        <w:rPr>
          <w:bCs/>
          <w:color w:val="auto"/>
          <w:spacing w:val="10"/>
          <w:sz w:val="22"/>
          <w:szCs w:val="22"/>
        </w:rPr>
        <w:t>2020</w:t>
      </w:r>
      <w:r w:rsidR="00BF7845">
        <w:rPr>
          <w:bCs/>
          <w:color w:val="auto"/>
          <w:spacing w:val="10"/>
          <w:sz w:val="22"/>
          <w:szCs w:val="22"/>
        </w:rPr>
        <w:t xml:space="preserve"> y el </w:t>
      </w:r>
      <w:r w:rsidR="00177B20">
        <w:rPr>
          <w:bCs/>
          <w:color w:val="auto"/>
          <w:spacing w:val="10"/>
          <w:sz w:val="22"/>
          <w:szCs w:val="22"/>
        </w:rPr>
        <w:t>primer</w:t>
      </w:r>
      <w:r w:rsidR="00BF7845">
        <w:rPr>
          <w:bCs/>
          <w:color w:val="auto"/>
          <w:spacing w:val="10"/>
          <w:sz w:val="22"/>
          <w:szCs w:val="22"/>
        </w:rPr>
        <w:t xml:space="preserve"> trimestre de </w:t>
      </w:r>
      <w:r w:rsidR="00177B20">
        <w:rPr>
          <w:bCs/>
          <w:color w:val="auto"/>
          <w:spacing w:val="10"/>
          <w:sz w:val="22"/>
          <w:szCs w:val="22"/>
        </w:rPr>
        <w:t>2021</w:t>
      </w:r>
      <w:r w:rsidR="00BF7845">
        <w:rPr>
          <w:bCs/>
          <w:color w:val="auto"/>
          <w:spacing w:val="10"/>
          <w:sz w:val="22"/>
          <w:szCs w:val="22"/>
        </w:rPr>
        <w:t>.</w:t>
      </w:r>
    </w:p>
    <w:p w14:paraId="0C7FD816" w14:textId="77777777" w:rsidR="00252EDE" w:rsidRDefault="00252EDE" w:rsidP="009749DA">
      <w:pPr>
        <w:pStyle w:val="n0"/>
        <w:keepLines w:val="0"/>
        <w:spacing w:before="0"/>
        <w:ind w:left="0" w:right="49" w:firstLine="0"/>
        <w:contextualSpacing/>
        <w:rPr>
          <w:bCs/>
          <w:color w:val="auto"/>
          <w:spacing w:val="10"/>
          <w:sz w:val="22"/>
          <w:szCs w:val="22"/>
        </w:rPr>
      </w:pPr>
    </w:p>
    <w:p w14:paraId="1F916A5C" w14:textId="1EC3ECB6" w:rsidR="00D77606" w:rsidRPr="000044E4" w:rsidRDefault="00F44A4A" w:rsidP="009749DA">
      <w:pPr>
        <w:pStyle w:val="n0"/>
        <w:keepLines w:val="0"/>
        <w:spacing w:before="0"/>
        <w:ind w:left="0" w:right="49" w:firstLine="0"/>
        <w:contextualSpacing/>
        <w:rPr>
          <w:bCs/>
          <w:color w:val="auto"/>
          <w:spacing w:val="10"/>
          <w:sz w:val="22"/>
          <w:szCs w:val="22"/>
        </w:rPr>
      </w:pPr>
      <w:r>
        <w:rPr>
          <w:bCs/>
          <w:color w:val="auto"/>
          <w:spacing w:val="10"/>
          <w:sz w:val="22"/>
          <w:szCs w:val="22"/>
        </w:rPr>
        <w:t>El</w:t>
      </w:r>
      <w:r w:rsidR="00252EDE">
        <w:rPr>
          <w:bCs/>
          <w:color w:val="auto"/>
          <w:spacing w:val="10"/>
          <w:sz w:val="22"/>
          <w:szCs w:val="22"/>
        </w:rPr>
        <w:t xml:space="preserve"> conjunto de tasas que ofrecen una mirada sobre la ocupación informal y la ocupación en el sector informal en todas las actividades económicas</w:t>
      </w:r>
      <w:r>
        <w:rPr>
          <w:bCs/>
          <w:color w:val="auto"/>
          <w:spacing w:val="10"/>
          <w:sz w:val="22"/>
          <w:szCs w:val="22"/>
        </w:rPr>
        <w:t xml:space="preserve"> son: l</w:t>
      </w:r>
      <w:r w:rsidR="00252EDE">
        <w:rPr>
          <w:bCs/>
          <w:color w:val="auto"/>
          <w:spacing w:val="10"/>
          <w:sz w:val="22"/>
          <w:szCs w:val="22"/>
        </w:rPr>
        <w:t xml:space="preserve">a </w:t>
      </w:r>
      <w:r w:rsidR="00252EDE" w:rsidRPr="000044E4">
        <w:rPr>
          <w:bCs/>
          <w:color w:val="auto"/>
          <w:spacing w:val="10"/>
          <w:sz w:val="22"/>
          <w:szCs w:val="22"/>
        </w:rPr>
        <w:t>Tasa de Informalidad Laboral 1 (TIL1), que comprende a los ocupados que son laboralmente vulnerables por la naturaleza de la unidad económica para la que trabajan</w:t>
      </w:r>
      <w:r w:rsidR="00121E72" w:rsidRPr="000044E4">
        <w:rPr>
          <w:bCs/>
          <w:color w:val="auto"/>
          <w:spacing w:val="10"/>
          <w:sz w:val="22"/>
          <w:szCs w:val="22"/>
        </w:rPr>
        <w:t>,</w:t>
      </w:r>
      <w:r w:rsidR="00AF4D07" w:rsidRPr="000044E4">
        <w:rPr>
          <w:bCs/>
          <w:color w:val="auto"/>
          <w:spacing w:val="10"/>
          <w:sz w:val="22"/>
          <w:szCs w:val="22"/>
        </w:rPr>
        <w:t xml:space="preserve"> así</w:t>
      </w:r>
      <w:r w:rsidR="00252EDE" w:rsidRPr="000044E4">
        <w:rPr>
          <w:bCs/>
          <w:color w:val="auto"/>
          <w:spacing w:val="10"/>
          <w:sz w:val="22"/>
          <w:szCs w:val="22"/>
        </w:rPr>
        <w:t xml:space="preserve"> como aquellos cuyo vínculo o dependencia laboral no es reconocido por su fuente de trabajo. </w:t>
      </w:r>
      <w:r w:rsidR="00E20C94" w:rsidRPr="000044E4">
        <w:rPr>
          <w:bCs/>
          <w:color w:val="auto"/>
          <w:spacing w:val="10"/>
          <w:sz w:val="22"/>
          <w:szCs w:val="22"/>
        </w:rPr>
        <w:t xml:space="preserve">Durante </w:t>
      </w:r>
      <w:r w:rsidR="00177695" w:rsidRPr="000044E4">
        <w:rPr>
          <w:bCs/>
          <w:color w:val="auto"/>
          <w:spacing w:val="10"/>
          <w:sz w:val="22"/>
          <w:szCs w:val="22"/>
        </w:rPr>
        <w:t xml:space="preserve">el </w:t>
      </w:r>
      <w:r w:rsidR="00177B20">
        <w:rPr>
          <w:bCs/>
          <w:color w:val="auto"/>
          <w:spacing w:val="10"/>
          <w:sz w:val="22"/>
          <w:szCs w:val="22"/>
        </w:rPr>
        <w:t>primer</w:t>
      </w:r>
      <w:r w:rsidR="00177695" w:rsidRPr="000044E4">
        <w:rPr>
          <w:bCs/>
          <w:color w:val="auto"/>
          <w:spacing w:val="10"/>
          <w:sz w:val="22"/>
          <w:szCs w:val="22"/>
        </w:rPr>
        <w:t xml:space="preserve"> trimestre</w:t>
      </w:r>
      <w:r w:rsidR="00E20C94" w:rsidRPr="000044E4">
        <w:rPr>
          <w:bCs/>
          <w:color w:val="auto"/>
          <w:spacing w:val="10"/>
          <w:sz w:val="22"/>
          <w:szCs w:val="22"/>
        </w:rPr>
        <w:t xml:space="preserve"> </w:t>
      </w:r>
      <w:r w:rsidRPr="000044E4">
        <w:rPr>
          <w:bCs/>
          <w:color w:val="auto"/>
          <w:spacing w:val="10"/>
          <w:sz w:val="22"/>
          <w:szCs w:val="22"/>
        </w:rPr>
        <w:t xml:space="preserve">de </w:t>
      </w:r>
      <w:r w:rsidR="00177B20">
        <w:rPr>
          <w:bCs/>
          <w:color w:val="auto"/>
          <w:spacing w:val="10"/>
          <w:sz w:val="22"/>
          <w:szCs w:val="22"/>
        </w:rPr>
        <w:t>2021</w:t>
      </w:r>
      <w:r w:rsidRPr="000044E4">
        <w:rPr>
          <w:bCs/>
          <w:color w:val="auto"/>
          <w:spacing w:val="10"/>
          <w:sz w:val="22"/>
          <w:szCs w:val="22"/>
        </w:rPr>
        <w:t xml:space="preserve"> </w:t>
      </w:r>
      <w:r w:rsidR="00E20C94" w:rsidRPr="000044E4">
        <w:rPr>
          <w:bCs/>
          <w:color w:val="auto"/>
          <w:spacing w:val="10"/>
          <w:sz w:val="22"/>
          <w:szCs w:val="22"/>
        </w:rPr>
        <w:t>la TIL1 fue de</w:t>
      </w:r>
      <w:r w:rsidR="00252EDE" w:rsidRPr="000044E4">
        <w:rPr>
          <w:bCs/>
          <w:color w:val="auto"/>
          <w:spacing w:val="10"/>
          <w:sz w:val="22"/>
          <w:szCs w:val="22"/>
        </w:rPr>
        <w:t xml:space="preserve"> </w:t>
      </w:r>
      <w:r w:rsidR="00CF0A25" w:rsidRPr="000044E4">
        <w:rPr>
          <w:bCs/>
          <w:color w:val="auto"/>
          <w:spacing w:val="10"/>
          <w:sz w:val="22"/>
          <w:szCs w:val="22"/>
        </w:rPr>
        <w:t>5</w:t>
      </w:r>
      <w:r w:rsidR="00DD4B6D">
        <w:rPr>
          <w:bCs/>
          <w:color w:val="auto"/>
          <w:spacing w:val="10"/>
          <w:sz w:val="22"/>
          <w:szCs w:val="22"/>
        </w:rPr>
        <w:t>5.</w:t>
      </w:r>
      <w:r w:rsidR="001C0FEB">
        <w:rPr>
          <w:bCs/>
          <w:color w:val="auto"/>
          <w:spacing w:val="10"/>
          <w:sz w:val="22"/>
          <w:szCs w:val="22"/>
        </w:rPr>
        <w:t>1</w:t>
      </w:r>
      <w:r w:rsidR="00252EDE" w:rsidRPr="000044E4">
        <w:rPr>
          <w:bCs/>
          <w:color w:val="auto"/>
          <w:spacing w:val="10"/>
          <w:sz w:val="22"/>
          <w:szCs w:val="22"/>
        </w:rPr>
        <w:t xml:space="preserve">% de la población ocupada, </w:t>
      </w:r>
      <w:r w:rsidR="00DD4B6D">
        <w:rPr>
          <w:bCs/>
          <w:color w:val="auto"/>
          <w:spacing w:val="10"/>
          <w:sz w:val="22"/>
          <w:szCs w:val="22"/>
        </w:rPr>
        <w:t>0.</w:t>
      </w:r>
      <w:r w:rsidR="001C0FEB">
        <w:rPr>
          <w:bCs/>
          <w:color w:val="auto"/>
          <w:spacing w:val="10"/>
          <w:sz w:val="22"/>
          <w:szCs w:val="22"/>
        </w:rPr>
        <w:t>8</w:t>
      </w:r>
      <w:r w:rsidR="001C0FEB" w:rsidRPr="000044E4">
        <w:rPr>
          <w:bCs/>
          <w:color w:val="auto"/>
          <w:spacing w:val="10"/>
          <w:sz w:val="22"/>
          <w:szCs w:val="22"/>
        </w:rPr>
        <w:t xml:space="preserve"> </w:t>
      </w:r>
      <w:r w:rsidR="00252EDE" w:rsidRPr="000044E4">
        <w:rPr>
          <w:bCs/>
          <w:color w:val="auto"/>
          <w:spacing w:val="10"/>
          <w:sz w:val="22"/>
          <w:szCs w:val="22"/>
        </w:rPr>
        <w:t xml:space="preserve">puntos porcentuales </w:t>
      </w:r>
      <w:r w:rsidR="00CF0A25" w:rsidRPr="000044E4">
        <w:rPr>
          <w:bCs/>
          <w:color w:val="auto"/>
          <w:spacing w:val="10"/>
          <w:sz w:val="22"/>
          <w:szCs w:val="22"/>
        </w:rPr>
        <w:t>menor</w:t>
      </w:r>
      <w:r w:rsidR="00252EDE" w:rsidRPr="000044E4">
        <w:rPr>
          <w:bCs/>
          <w:color w:val="auto"/>
          <w:spacing w:val="10"/>
          <w:sz w:val="22"/>
          <w:szCs w:val="22"/>
        </w:rPr>
        <w:t xml:space="preserve"> </w:t>
      </w:r>
      <w:r w:rsidR="001125B3">
        <w:rPr>
          <w:bCs/>
          <w:color w:val="auto"/>
          <w:spacing w:val="10"/>
          <w:sz w:val="22"/>
          <w:szCs w:val="22"/>
        </w:rPr>
        <w:t>que</w:t>
      </w:r>
      <w:r w:rsidR="001125B3" w:rsidRPr="000044E4">
        <w:rPr>
          <w:bCs/>
          <w:color w:val="auto"/>
          <w:spacing w:val="10"/>
          <w:sz w:val="22"/>
          <w:szCs w:val="22"/>
        </w:rPr>
        <w:t xml:space="preserve"> </w:t>
      </w:r>
      <w:r w:rsidR="00252EDE" w:rsidRPr="000044E4">
        <w:rPr>
          <w:bCs/>
          <w:color w:val="auto"/>
          <w:spacing w:val="10"/>
          <w:sz w:val="22"/>
          <w:szCs w:val="22"/>
        </w:rPr>
        <w:t xml:space="preserve">la del </w:t>
      </w:r>
      <w:r w:rsidR="00177B20">
        <w:rPr>
          <w:bCs/>
          <w:color w:val="auto"/>
          <w:spacing w:val="10"/>
          <w:sz w:val="22"/>
          <w:szCs w:val="22"/>
        </w:rPr>
        <w:t>primer</w:t>
      </w:r>
      <w:r w:rsidR="00BF7845" w:rsidRPr="000044E4">
        <w:rPr>
          <w:bCs/>
          <w:color w:val="auto"/>
          <w:spacing w:val="10"/>
          <w:sz w:val="22"/>
          <w:szCs w:val="22"/>
        </w:rPr>
        <w:t xml:space="preserve"> trimestre de </w:t>
      </w:r>
      <w:r w:rsidR="00177B20">
        <w:rPr>
          <w:bCs/>
          <w:color w:val="auto"/>
          <w:spacing w:val="10"/>
          <w:sz w:val="22"/>
          <w:szCs w:val="22"/>
        </w:rPr>
        <w:t>2020</w:t>
      </w:r>
      <w:r w:rsidR="00556C7A" w:rsidRPr="000044E4">
        <w:rPr>
          <w:bCs/>
          <w:color w:val="auto"/>
          <w:spacing w:val="10"/>
          <w:sz w:val="22"/>
          <w:szCs w:val="22"/>
        </w:rPr>
        <w:t>.</w:t>
      </w:r>
      <w:r w:rsidR="00D77606" w:rsidRPr="000044E4">
        <w:rPr>
          <w:bCs/>
          <w:color w:val="auto"/>
          <w:spacing w:val="10"/>
          <w:sz w:val="22"/>
          <w:szCs w:val="22"/>
        </w:rPr>
        <w:t xml:space="preserve"> </w:t>
      </w:r>
      <w:r w:rsidR="00E20C94" w:rsidRPr="000044E4">
        <w:rPr>
          <w:bCs/>
          <w:color w:val="auto"/>
          <w:spacing w:val="10"/>
          <w:sz w:val="22"/>
          <w:szCs w:val="22"/>
        </w:rPr>
        <w:t xml:space="preserve">Por sexo, </w:t>
      </w:r>
      <w:r w:rsidR="00E20C94">
        <w:rPr>
          <w:bCs/>
          <w:color w:val="auto"/>
          <w:spacing w:val="10"/>
          <w:sz w:val="22"/>
          <w:szCs w:val="22"/>
        </w:rPr>
        <w:t xml:space="preserve">la </w:t>
      </w:r>
      <w:r w:rsidR="00D77606" w:rsidRPr="000044E4">
        <w:rPr>
          <w:bCs/>
          <w:color w:val="auto"/>
          <w:spacing w:val="10"/>
          <w:sz w:val="22"/>
          <w:szCs w:val="22"/>
        </w:rPr>
        <w:t xml:space="preserve">TIL1 en los hombres fue de </w:t>
      </w:r>
      <w:r w:rsidR="00CF0A25" w:rsidRPr="000044E4">
        <w:rPr>
          <w:bCs/>
          <w:color w:val="auto"/>
          <w:spacing w:val="10"/>
          <w:sz w:val="22"/>
          <w:szCs w:val="22"/>
        </w:rPr>
        <w:t>55.</w:t>
      </w:r>
      <w:r w:rsidR="001C0FEB">
        <w:rPr>
          <w:bCs/>
          <w:color w:val="auto"/>
          <w:spacing w:val="10"/>
          <w:sz w:val="22"/>
          <w:szCs w:val="22"/>
        </w:rPr>
        <w:t>4</w:t>
      </w:r>
      <w:r w:rsidR="00D77606" w:rsidRPr="000044E4">
        <w:rPr>
          <w:bCs/>
          <w:color w:val="auto"/>
          <w:spacing w:val="10"/>
          <w:sz w:val="22"/>
          <w:szCs w:val="22"/>
        </w:rPr>
        <w:t xml:space="preserve">% y en las mujeres de </w:t>
      </w:r>
      <w:r w:rsidR="001C0FEB" w:rsidRPr="000044E4">
        <w:rPr>
          <w:bCs/>
          <w:color w:val="auto"/>
          <w:spacing w:val="10"/>
          <w:sz w:val="22"/>
          <w:szCs w:val="22"/>
        </w:rPr>
        <w:t>5</w:t>
      </w:r>
      <w:r w:rsidR="001C0FEB">
        <w:rPr>
          <w:bCs/>
          <w:color w:val="auto"/>
          <w:spacing w:val="10"/>
          <w:sz w:val="22"/>
          <w:szCs w:val="22"/>
        </w:rPr>
        <w:t>4</w:t>
      </w:r>
      <w:r w:rsidR="00DD4B6D">
        <w:rPr>
          <w:bCs/>
          <w:color w:val="auto"/>
          <w:spacing w:val="10"/>
          <w:sz w:val="22"/>
          <w:szCs w:val="22"/>
        </w:rPr>
        <w:t>.5</w:t>
      </w:r>
      <w:r w:rsidR="00D77606" w:rsidRPr="000044E4">
        <w:rPr>
          <w:bCs/>
          <w:color w:val="auto"/>
          <w:spacing w:val="10"/>
          <w:sz w:val="22"/>
          <w:szCs w:val="22"/>
        </w:rPr>
        <w:t>%</w:t>
      </w:r>
      <w:r w:rsidR="00E20C94" w:rsidRPr="000044E4">
        <w:rPr>
          <w:bCs/>
          <w:color w:val="auto"/>
          <w:spacing w:val="10"/>
          <w:sz w:val="22"/>
          <w:szCs w:val="22"/>
        </w:rPr>
        <w:t xml:space="preserve">; siendo </w:t>
      </w:r>
      <w:r w:rsidR="00DD4B6D">
        <w:rPr>
          <w:bCs/>
          <w:color w:val="auto"/>
          <w:spacing w:val="10"/>
          <w:sz w:val="22"/>
          <w:szCs w:val="22"/>
        </w:rPr>
        <w:t>superior en los hombres con 0.</w:t>
      </w:r>
      <w:r w:rsidR="00943874">
        <w:rPr>
          <w:bCs/>
          <w:color w:val="auto"/>
          <w:spacing w:val="10"/>
          <w:sz w:val="22"/>
          <w:szCs w:val="22"/>
        </w:rPr>
        <w:t>2</w:t>
      </w:r>
      <w:r w:rsidR="001C0FEB" w:rsidRPr="000044E4">
        <w:rPr>
          <w:bCs/>
          <w:color w:val="auto"/>
          <w:spacing w:val="10"/>
          <w:sz w:val="22"/>
          <w:szCs w:val="22"/>
        </w:rPr>
        <w:t xml:space="preserve"> </w:t>
      </w:r>
      <w:r w:rsidR="00CF0A25" w:rsidRPr="000044E4">
        <w:rPr>
          <w:bCs/>
          <w:color w:val="auto"/>
          <w:spacing w:val="10"/>
          <w:sz w:val="22"/>
          <w:szCs w:val="22"/>
        </w:rPr>
        <w:t xml:space="preserve">puntos porcentuales </w:t>
      </w:r>
      <w:r w:rsidR="00DD4B6D">
        <w:rPr>
          <w:bCs/>
          <w:color w:val="auto"/>
          <w:spacing w:val="10"/>
          <w:sz w:val="22"/>
          <w:szCs w:val="22"/>
        </w:rPr>
        <w:t>e inferior en las mujeres con 2.</w:t>
      </w:r>
      <w:r w:rsidR="001C0FEB">
        <w:rPr>
          <w:bCs/>
          <w:color w:val="auto"/>
          <w:spacing w:val="10"/>
          <w:sz w:val="22"/>
          <w:szCs w:val="22"/>
        </w:rPr>
        <w:t>2</w:t>
      </w:r>
      <w:r w:rsidR="001C0FEB" w:rsidRPr="000044E4">
        <w:rPr>
          <w:bCs/>
          <w:color w:val="auto"/>
          <w:spacing w:val="10"/>
          <w:sz w:val="22"/>
          <w:szCs w:val="22"/>
        </w:rPr>
        <w:t xml:space="preserve"> </w:t>
      </w:r>
      <w:r w:rsidR="00D77606" w:rsidRPr="000044E4">
        <w:rPr>
          <w:bCs/>
          <w:color w:val="auto"/>
          <w:spacing w:val="10"/>
          <w:sz w:val="22"/>
          <w:szCs w:val="22"/>
        </w:rPr>
        <w:t xml:space="preserve">puntos porcentuales, comparada con </w:t>
      </w:r>
      <w:r w:rsidR="00B62178" w:rsidRPr="000044E4">
        <w:rPr>
          <w:bCs/>
          <w:color w:val="auto"/>
          <w:spacing w:val="10"/>
          <w:sz w:val="22"/>
          <w:szCs w:val="22"/>
        </w:rPr>
        <w:t>la d</w:t>
      </w:r>
      <w:r w:rsidR="00D77606" w:rsidRPr="000044E4">
        <w:rPr>
          <w:bCs/>
          <w:color w:val="auto"/>
          <w:spacing w:val="10"/>
          <w:sz w:val="22"/>
          <w:szCs w:val="22"/>
        </w:rPr>
        <w:t xml:space="preserve">el </w:t>
      </w:r>
      <w:r w:rsidR="00BF7845" w:rsidRPr="000044E4">
        <w:rPr>
          <w:bCs/>
          <w:color w:val="auto"/>
          <w:spacing w:val="10"/>
          <w:sz w:val="22"/>
          <w:szCs w:val="22"/>
        </w:rPr>
        <w:t xml:space="preserve">mismo trimestre de </w:t>
      </w:r>
      <w:r w:rsidR="00177B20">
        <w:rPr>
          <w:bCs/>
          <w:color w:val="auto"/>
          <w:spacing w:val="10"/>
          <w:sz w:val="22"/>
          <w:szCs w:val="22"/>
        </w:rPr>
        <w:t>2020</w:t>
      </w:r>
      <w:r w:rsidR="00D77606" w:rsidRPr="000044E4">
        <w:rPr>
          <w:bCs/>
          <w:color w:val="auto"/>
          <w:spacing w:val="10"/>
          <w:sz w:val="22"/>
          <w:szCs w:val="22"/>
        </w:rPr>
        <w:t>.</w:t>
      </w:r>
    </w:p>
    <w:p w14:paraId="28A9FEE6" w14:textId="77777777" w:rsidR="00DF0204" w:rsidRDefault="00DF0204" w:rsidP="009749DA">
      <w:pPr>
        <w:pStyle w:val="n0"/>
        <w:keepLines w:val="0"/>
        <w:spacing w:before="0"/>
        <w:ind w:left="0" w:right="49" w:firstLine="0"/>
        <w:contextualSpacing/>
        <w:rPr>
          <w:color w:val="auto"/>
          <w:sz w:val="22"/>
          <w:szCs w:val="22"/>
        </w:rPr>
      </w:pPr>
    </w:p>
    <w:p w14:paraId="1CA48F3B" w14:textId="3098F1EC" w:rsidR="00D77606" w:rsidRPr="000044E4" w:rsidRDefault="00252EDE" w:rsidP="009749DA">
      <w:pPr>
        <w:pStyle w:val="n0"/>
        <w:keepLines w:val="0"/>
        <w:spacing w:before="0"/>
        <w:ind w:left="0" w:right="49" w:firstLine="0"/>
        <w:contextualSpacing/>
        <w:rPr>
          <w:bCs/>
          <w:color w:val="auto"/>
          <w:spacing w:val="10"/>
          <w:sz w:val="22"/>
          <w:szCs w:val="22"/>
        </w:rPr>
      </w:pPr>
      <w:r w:rsidRPr="000044E4">
        <w:rPr>
          <w:bCs/>
          <w:color w:val="auto"/>
          <w:spacing w:val="10"/>
          <w:sz w:val="22"/>
          <w:szCs w:val="22"/>
        </w:rPr>
        <w:t>La Tasa de Ocupación en el Sector Informal 1 (TOSI1) considera a todas las personas que trabajan para unidades económicas no agropecuarias operadas sin registros contables y sin que se constituya</w:t>
      </w:r>
      <w:r w:rsidR="00FC54DE">
        <w:rPr>
          <w:bCs/>
          <w:color w:val="auto"/>
          <w:spacing w:val="10"/>
          <w:sz w:val="22"/>
          <w:szCs w:val="22"/>
        </w:rPr>
        <w:t>n</w:t>
      </w:r>
      <w:r w:rsidRPr="000044E4">
        <w:rPr>
          <w:bCs/>
          <w:color w:val="auto"/>
          <w:spacing w:val="10"/>
          <w:sz w:val="22"/>
          <w:szCs w:val="22"/>
        </w:rPr>
        <w:t xml:space="preserve"> como empresa</w:t>
      </w:r>
      <w:r w:rsidR="00FC54DE">
        <w:rPr>
          <w:bCs/>
          <w:color w:val="auto"/>
          <w:spacing w:val="10"/>
          <w:sz w:val="22"/>
          <w:szCs w:val="22"/>
        </w:rPr>
        <w:t>s</w:t>
      </w:r>
      <w:r w:rsidRPr="000044E4">
        <w:rPr>
          <w:bCs/>
          <w:color w:val="auto"/>
          <w:spacing w:val="10"/>
          <w:sz w:val="22"/>
          <w:szCs w:val="22"/>
        </w:rPr>
        <w:t xml:space="preserve">, </w:t>
      </w:r>
      <w:r w:rsidR="00FC54DE">
        <w:rPr>
          <w:bCs/>
          <w:color w:val="auto"/>
          <w:spacing w:val="10"/>
          <w:sz w:val="22"/>
          <w:szCs w:val="22"/>
        </w:rPr>
        <w:t>actividades</w:t>
      </w:r>
      <w:r w:rsidRPr="000044E4">
        <w:rPr>
          <w:bCs/>
          <w:color w:val="auto"/>
          <w:spacing w:val="10"/>
          <w:sz w:val="22"/>
          <w:szCs w:val="22"/>
        </w:rPr>
        <w:t xml:space="preserve"> que por lo mismo tiende</w:t>
      </w:r>
      <w:r w:rsidR="00FC54DE">
        <w:rPr>
          <w:bCs/>
          <w:color w:val="auto"/>
          <w:spacing w:val="10"/>
          <w:sz w:val="22"/>
          <w:szCs w:val="22"/>
        </w:rPr>
        <w:t>n</w:t>
      </w:r>
      <w:r w:rsidRPr="000044E4">
        <w:rPr>
          <w:bCs/>
          <w:color w:val="auto"/>
          <w:spacing w:val="10"/>
          <w:sz w:val="22"/>
          <w:szCs w:val="22"/>
        </w:rPr>
        <w:t xml:space="preserve"> a concretarse en una muy pequeña escala de operación. </w:t>
      </w:r>
      <w:r w:rsidR="00E20C94" w:rsidRPr="000044E4">
        <w:rPr>
          <w:bCs/>
          <w:color w:val="auto"/>
          <w:spacing w:val="10"/>
          <w:sz w:val="22"/>
          <w:szCs w:val="22"/>
        </w:rPr>
        <w:t xml:space="preserve">La TOSI1 durante </w:t>
      </w:r>
      <w:r w:rsidR="00177695" w:rsidRPr="000044E4">
        <w:rPr>
          <w:bCs/>
          <w:color w:val="auto"/>
          <w:spacing w:val="10"/>
          <w:sz w:val="22"/>
          <w:szCs w:val="22"/>
        </w:rPr>
        <w:t xml:space="preserve">el </w:t>
      </w:r>
      <w:r w:rsidR="00177B20">
        <w:rPr>
          <w:bCs/>
          <w:color w:val="auto"/>
          <w:spacing w:val="10"/>
          <w:sz w:val="22"/>
          <w:szCs w:val="22"/>
        </w:rPr>
        <w:t>primer</w:t>
      </w:r>
      <w:r w:rsidR="00177695" w:rsidRPr="000044E4">
        <w:rPr>
          <w:bCs/>
          <w:color w:val="auto"/>
          <w:spacing w:val="10"/>
          <w:sz w:val="22"/>
          <w:szCs w:val="22"/>
        </w:rPr>
        <w:t xml:space="preserve"> trimestre</w:t>
      </w:r>
      <w:r w:rsidR="00E20C94" w:rsidRPr="000044E4">
        <w:rPr>
          <w:bCs/>
          <w:color w:val="auto"/>
          <w:spacing w:val="10"/>
          <w:sz w:val="22"/>
          <w:szCs w:val="22"/>
        </w:rPr>
        <w:t xml:space="preserve"> </w:t>
      </w:r>
      <w:r w:rsidR="00516F2C" w:rsidRPr="000044E4">
        <w:rPr>
          <w:bCs/>
          <w:color w:val="auto"/>
          <w:spacing w:val="10"/>
          <w:sz w:val="22"/>
          <w:szCs w:val="22"/>
        </w:rPr>
        <w:t xml:space="preserve">de </w:t>
      </w:r>
      <w:r w:rsidR="00177B20">
        <w:rPr>
          <w:bCs/>
          <w:color w:val="auto"/>
          <w:spacing w:val="10"/>
          <w:sz w:val="22"/>
          <w:szCs w:val="22"/>
        </w:rPr>
        <w:t>2021</w:t>
      </w:r>
      <w:r w:rsidR="00516F2C" w:rsidRPr="000044E4">
        <w:rPr>
          <w:bCs/>
          <w:color w:val="auto"/>
          <w:spacing w:val="10"/>
          <w:sz w:val="22"/>
          <w:szCs w:val="22"/>
        </w:rPr>
        <w:t xml:space="preserve"> </w:t>
      </w:r>
      <w:r w:rsidR="00E20C94" w:rsidRPr="000044E4">
        <w:rPr>
          <w:bCs/>
          <w:color w:val="auto"/>
          <w:spacing w:val="10"/>
          <w:sz w:val="22"/>
          <w:szCs w:val="22"/>
        </w:rPr>
        <w:t>fue de</w:t>
      </w:r>
      <w:r w:rsidRPr="000044E4">
        <w:rPr>
          <w:bCs/>
          <w:color w:val="auto"/>
          <w:spacing w:val="10"/>
          <w:sz w:val="22"/>
          <w:szCs w:val="22"/>
        </w:rPr>
        <w:t xml:space="preserve"> </w:t>
      </w:r>
      <w:r w:rsidR="006C6854" w:rsidRPr="000044E4">
        <w:rPr>
          <w:bCs/>
          <w:color w:val="auto"/>
          <w:spacing w:val="10"/>
          <w:sz w:val="22"/>
          <w:szCs w:val="22"/>
        </w:rPr>
        <w:t>2</w:t>
      </w:r>
      <w:r w:rsidR="00B03CE3">
        <w:rPr>
          <w:bCs/>
          <w:color w:val="auto"/>
          <w:spacing w:val="10"/>
          <w:sz w:val="22"/>
          <w:szCs w:val="22"/>
        </w:rPr>
        <w:t>8</w:t>
      </w:r>
      <w:r w:rsidRPr="000044E4">
        <w:rPr>
          <w:bCs/>
          <w:color w:val="auto"/>
          <w:spacing w:val="10"/>
          <w:sz w:val="22"/>
          <w:szCs w:val="22"/>
        </w:rPr>
        <w:t xml:space="preserve">% de la población ocupada, tasa </w:t>
      </w:r>
      <w:r w:rsidR="00DD4B6D">
        <w:rPr>
          <w:bCs/>
          <w:color w:val="auto"/>
          <w:spacing w:val="10"/>
          <w:sz w:val="22"/>
          <w:szCs w:val="22"/>
        </w:rPr>
        <w:t>superior</w:t>
      </w:r>
      <w:r w:rsidR="00556C7A" w:rsidRPr="000044E4">
        <w:rPr>
          <w:bCs/>
          <w:color w:val="auto"/>
          <w:spacing w:val="10"/>
          <w:sz w:val="22"/>
          <w:szCs w:val="22"/>
        </w:rPr>
        <w:t xml:space="preserve"> </w:t>
      </w:r>
      <w:r w:rsidR="00E03C5E" w:rsidRPr="000044E4">
        <w:rPr>
          <w:bCs/>
          <w:color w:val="auto"/>
          <w:spacing w:val="10"/>
          <w:sz w:val="22"/>
          <w:szCs w:val="22"/>
        </w:rPr>
        <w:t xml:space="preserve">en </w:t>
      </w:r>
      <w:r w:rsidR="00DD4B6D">
        <w:rPr>
          <w:bCs/>
          <w:color w:val="auto"/>
          <w:spacing w:val="10"/>
          <w:sz w:val="22"/>
          <w:szCs w:val="22"/>
        </w:rPr>
        <w:t>0.5</w:t>
      </w:r>
      <w:r w:rsidR="000E293B">
        <w:rPr>
          <w:bCs/>
          <w:color w:val="auto"/>
          <w:spacing w:val="10"/>
          <w:sz w:val="22"/>
          <w:szCs w:val="22"/>
        </w:rPr>
        <w:t xml:space="preserve"> </w:t>
      </w:r>
      <w:r w:rsidRPr="000044E4">
        <w:rPr>
          <w:bCs/>
          <w:color w:val="auto"/>
          <w:spacing w:val="10"/>
          <w:sz w:val="22"/>
          <w:szCs w:val="22"/>
        </w:rPr>
        <w:t>punto</w:t>
      </w:r>
      <w:r w:rsidR="00C714C5" w:rsidRPr="000044E4">
        <w:rPr>
          <w:bCs/>
          <w:color w:val="auto"/>
          <w:spacing w:val="10"/>
          <w:sz w:val="22"/>
          <w:szCs w:val="22"/>
        </w:rPr>
        <w:t>s</w:t>
      </w:r>
      <w:r w:rsidRPr="000044E4">
        <w:rPr>
          <w:bCs/>
          <w:color w:val="auto"/>
          <w:spacing w:val="10"/>
          <w:sz w:val="22"/>
          <w:szCs w:val="22"/>
        </w:rPr>
        <w:t xml:space="preserve"> porcentual</w:t>
      </w:r>
      <w:r w:rsidR="00C714C5" w:rsidRPr="000044E4">
        <w:rPr>
          <w:bCs/>
          <w:color w:val="auto"/>
          <w:spacing w:val="10"/>
          <w:sz w:val="22"/>
          <w:szCs w:val="22"/>
        </w:rPr>
        <w:t>es</w:t>
      </w:r>
      <w:r w:rsidR="00B11292" w:rsidRPr="000044E4">
        <w:rPr>
          <w:bCs/>
          <w:color w:val="auto"/>
          <w:spacing w:val="10"/>
          <w:sz w:val="22"/>
          <w:szCs w:val="22"/>
        </w:rPr>
        <w:t xml:space="preserve"> </w:t>
      </w:r>
      <w:r w:rsidRPr="000044E4">
        <w:rPr>
          <w:bCs/>
          <w:color w:val="auto"/>
          <w:spacing w:val="10"/>
          <w:sz w:val="22"/>
          <w:szCs w:val="22"/>
        </w:rPr>
        <w:t>respecto a</w:t>
      </w:r>
      <w:r w:rsidR="00F04CC3" w:rsidRPr="000044E4">
        <w:rPr>
          <w:bCs/>
          <w:color w:val="auto"/>
          <w:spacing w:val="10"/>
          <w:sz w:val="22"/>
          <w:szCs w:val="22"/>
        </w:rPr>
        <w:t xml:space="preserve"> </w:t>
      </w:r>
      <w:r w:rsidRPr="000044E4">
        <w:rPr>
          <w:bCs/>
          <w:color w:val="auto"/>
          <w:spacing w:val="10"/>
          <w:sz w:val="22"/>
          <w:szCs w:val="22"/>
        </w:rPr>
        <w:t>l</w:t>
      </w:r>
      <w:r w:rsidR="00F04CC3" w:rsidRPr="000044E4">
        <w:rPr>
          <w:bCs/>
          <w:color w:val="auto"/>
          <w:spacing w:val="10"/>
          <w:sz w:val="22"/>
          <w:szCs w:val="22"/>
        </w:rPr>
        <w:t>a</w:t>
      </w:r>
      <w:r w:rsidRPr="000044E4">
        <w:rPr>
          <w:bCs/>
          <w:color w:val="auto"/>
          <w:spacing w:val="10"/>
          <w:sz w:val="22"/>
          <w:szCs w:val="22"/>
        </w:rPr>
        <w:t xml:space="preserve"> </w:t>
      </w:r>
      <w:r w:rsidR="00F04CC3" w:rsidRPr="000044E4">
        <w:rPr>
          <w:bCs/>
          <w:color w:val="auto"/>
          <w:spacing w:val="10"/>
          <w:sz w:val="22"/>
          <w:szCs w:val="22"/>
        </w:rPr>
        <w:t xml:space="preserve">del </w:t>
      </w:r>
      <w:r w:rsidR="00177B20">
        <w:rPr>
          <w:bCs/>
          <w:color w:val="auto"/>
          <w:spacing w:val="10"/>
          <w:sz w:val="22"/>
          <w:szCs w:val="22"/>
        </w:rPr>
        <w:t>primer</w:t>
      </w:r>
      <w:r w:rsidR="000E293B" w:rsidRPr="000044E4">
        <w:rPr>
          <w:bCs/>
          <w:color w:val="auto"/>
          <w:spacing w:val="10"/>
          <w:sz w:val="22"/>
          <w:szCs w:val="22"/>
        </w:rPr>
        <w:t xml:space="preserve"> trimestre de </w:t>
      </w:r>
      <w:r w:rsidR="00177B20">
        <w:rPr>
          <w:bCs/>
          <w:color w:val="auto"/>
          <w:spacing w:val="10"/>
          <w:sz w:val="22"/>
          <w:szCs w:val="22"/>
        </w:rPr>
        <w:t>2020</w:t>
      </w:r>
      <w:r w:rsidRPr="000044E4">
        <w:rPr>
          <w:bCs/>
          <w:color w:val="auto"/>
          <w:spacing w:val="10"/>
          <w:sz w:val="22"/>
          <w:szCs w:val="22"/>
        </w:rPr>
        <w:t>.</w:t>
      </w:r>
      <w:r w:rsidR="00D77606" w:rsidRPr="000044E4">
        <w:rPr>
          <w:bCs/>
          <w:color w:val="auto"/>
          <w:spacing w:val="10"/>
          <w:sz w:val="22"/>
          <w:szCs w:val="22"/>
        </w:rPr>
        <w:t xml:space="preserve"> </w:t>
      </w:r>
      <w:r w:rsidR="00D77606">
        <w:rPr>
          <w:bCs/>
          <w:color w:val="auto"/>
          <w:spacing w:val="10"/>
          <w:sz w:val="22"/>
          <w:szCs w:val="22"/>
        </w:rPr>
        <w:t xml:space="preserve">La </w:t>
      </w:r>
      <w:r w:rsidR="00D77606" w:rsidRPr="000044E4">
        <w:rPr>
          <w:bCs/>
          <w:color w:val="auto"/>
          <w:spacing w:val="10"/>
          <w:sz w:val="22"/>
          <w:szCs w:val="22"/>
        </w:rPr>
        <w:t xml:space="preserve">TOSI1 masculina fue de </w:t>
      </w:r>
      <w:r w:rsidR="00C714C5" w:rsidRPr="000044E4">
        <w:rPr>
          <w:bCs/>
          <w:color w:val="auto"/>
          <w:spacing w:val="10"/>
          <w:sz w:val="22"/>
          <w:szCs w:val="22"/>
        </w:rPr>
        <w:t>2</w:t>
      </w:r>
      <w:r w:rsidR="00DD4B6D">
        <w:rPr>
          <w:bCs/>
          <w:color w:val="auto"/>
          <w:spacing w:val="10"/>
          <w:sz w:val="22"/>
          <w:szCs w:val="22"/>
        </w:rPr>
        <w:t>7</w:t>
      </w:r>
      <w:r w:rsidR="00B03CE3">
        <w:rPr>
          <w:bCs/>
          <w:color w:val="auto"/>
          <w:spacing w:val="10"/>
          <w:sz w:val="22"/>
          <w:szCs w:val="22"/>
        </w:rPr>
        <w:t>.7</w:t>
      </w:r>
      <w:r w:rsidR="00D77606" w:rsidRPr="000044E4">
        <w:rPr>
          <w:bCs/>
          <w:color w:val="auto"/>
          <w:spacing w:val="10"/>
          <w:sz w:val="22"/>
          <w:szCs w:val="22"/>
        </w:rPr>
        <w:t xml:space="preserve">% y </w:t>
      </w:r>
      <w:r w:rsidR="000A5ABC" w:rsidRPr="000044E4">
        <w:rPr>
          <w:bCs/>
          <w:color w:val="auto"/>
          <w:spacing w:val="10"/>
          <w:sz w:val="22"/>
          <w:szCs w:val="22"/>
        </w:rPr>
        <w:t xml:space="preserve">la femenina de </w:t>
      </w:r>
      <w:r w:rsidR="00DD4B6D">
        <w:rPr>
          <w:bCs/>
          <w:color w:val="auto"/>
          <w:spacing w:val="10"/>
          <w:sz w:val="22"/>
          <w:szCs w:val="22"/>
        </w:rPr>
        <w:t>2</w:t>
      </w:r>
      <w:r w:rsidR="00B03CE3">
        <w:rPr>
          <w:bCs/>
          <w:color w:val="auto"/>
          <w:spacing w:val="10"/>
          <w:sz w:val="22"/>
          <w:szCs w:val="22"/>
        </w:rPr>
        <w:t>8.5</w:t>
      </w:r>
      <w:r w:rsidR="00D77606" w:rsidRPr="000044E4">
        <w:rPr>
          <w:bCs/>
          <w:color w:val="auto"/>
          <w:spacing w:val="10"/>
          <w:sz w:val="22"/>
          <w:szCs w:val="22"/>
        </w:rPr>
        <w:t xml:space="preserve">% en </w:t>
      </w:r>
      <w:r w:rsidR="00177695" w:rsidRPr="000044E4">
        <w:rPr>
          <w:bCs/>
          <w:color w:val="auto"/>
          <w:spacing w:val="10"/>
          <w:sz w:val="22"/>
          <w:szCs w:val="22"/>
        </w:rPr>
        <w:t xml:space="preserve">el </w:t>
      </w:r>
      <w:r w:rsidR="00177B20">
        <w:rPr>
          <w:bCs/>
          <w:color w:val="auto"/>
          <w:spacing w:val="10"/>
          <w:sz w:val="22"/>
          <w:szCs w:val="22"/>
        </w:rPr>
        <w:t>primer</w:t>
      </w:r>
      <w:r w:rsidR="00177695" w:rsidRPr="000044E4">
        <w:rPr>
          <w:bCs/>
          <w:color w:val="auto"/>
          <w:spacing w:val="10"/>
          <w:sz w:val="22"/>
          <w:szCs w:val="22"/>
        </w:rPr>
        <w:t xml:space="preserve"> trimestre</w:t>
      </w:r>
      <w:r w:rsidR="00D77606" w:rsidRPr="000044E4">
        <w:rPr>
          <w:bCs/>
          <w:color w:val="auto"/>
          <w:spacing w:val="10"/>
          <w:sz w:val="22"/>
          <w:szCs w:val="22"/>
        </w:rPr>
        <w:t xml:space="preserve"> de </w:t>
      </w:r>
      <w:r w:rsidR="00177B20">
        <w:rPr>
          <w:bCs/>
          <w:color w:val="auto"/>
          <w:spacing w:val="10"/>
          <w:sz w:val="22"/>
          <w:szCs w:val="22"/>
        </w:rPr>
        <w:t>2021</w:t>
      </w:r>
      <w:r w:rsidR="000E293B" w:rsidRPr="000044E4">
        <w:rPr>
          <w:bCs/>
          <w:color w:val="auto"/>
          <w:spacing w:val="10"/>
          <w:sz w:val="22"/>
          <w:szCs w:val="22"/>
        </w:rPr>
        <w:t xml:space="preserve">, las cuales, comparadas con igual periodo de </w:t>
      </w:r>
      <w:r w:rsidR="00177B20">
        <w:rPr>
          <w:bCs/>
          <w:color w:val="auto"/>
          <w:spacing w:val="10"/>
          <w:sz w:val="22"/>
          <w:szCs w:val="22"/>
        </w:rPr>
        <w:t>2020</w:t>
      </w:r>
      <w:r w:rsidR="000E293B" w:rsidRPr="000044E4">
        <w:rPr>
          <w:bCs/>
          <w:color w:val="auto"/>
          <w:spacing w:val="10"/>
          <w:sz w:val="22"/>
          <w:szCs w:val="22"/>
        </w:rPr>
        <w:t xml:space="preserve">, </w:t>
      </w:r>
      <w:r w:rsidR="00B03CE3">
        <w:rPr>
          <w:bCs/>
          <w:color w:val="auto"/>
          <w:spacing w:val="10"/>
          <w:sz w:val="22"/>
          <w:szCs w:val="22"/>
        </w:rPr>
        <w:t>es</w:t>
      </w:r>
      <w:r w:rsidR="00B03CE3" w:rsidRPr="000044E4">
        <w:rPr>
          <w:bCs/>
          <w:color w:val="auto"/>
          <w:spacing w:val="10"/>
          <w:sz w:val="22"/>
          <w:szCs w:val="22"/>
        </w:rPr>
        <w:t xml:space="preserve"> </w:t>
      </w:r>
      <w:r w:rsidR="00DD4B6D">
        <w:rPr>
          <w:bCs/>
          <w:color w:val="auto"/>
          <w:spacing w:val="10"/>
          <w:sz w:val="22"/>
          <w:szCs w:val="22"/>
        </w:rPr>
        <w:t>superior</w:t>
      </w:r>
      <w:r w:rsidR="005B551E" w:rsidRPr="000044E4">
        <w:rPr>
          <w:bCs/>
          <w:color w:val="auto"/>
          <w:spacing w:val="10"/>
          <w:sz w:val="22"/>
          <w:szCs w:val="22"/>
        </w:rPr>
        <w:t xml:space="preserve"> en </w:t>
      </w:r>
      <w:r w:rsidR="00943874">
        <w:rPr>
          <w:bCs/>
          <w:color w:val="auto"/>
          <w:spacing w:val="10"/>
          <w:sz w:val="22"/>
          <w:szCs w:val="22"/>
        </w:rPr>
        <w:t>1</w:t>
      </w:r>
      <w:r w:rsidR="00AB390F">
        <w:rPr>
          <w:bCs/>
          <w:color w:val="auto"/>
          <w:spacing w:val="10"/>
          <w:sz w:val="22"/>
          <w:szCs w:val="22"/>
        </w:rPr>
        <w:t xml:space="preserve"> </w:t>
      </w:r>
      <w:r w:rsidR="000E293B" w:rsidRPr="000044E4">
        <w:rPr>
          <w:bCs/>
          <w:color w:val="auto"/>
          <w:spacing w:val="10"/>
          <w:sz w:val="22"/>
          <w:szCs w:val="22"/>
        </w:rPr>
        <w:t xml:space="preserve">punto porcentual </w:t>
      </w:r>
      <w:r w:rsidR="00B03CE3">
        <w:rPr>
          <w:bCs/>
          <w:color w:val="auto"/>
          <w:spacing w:val="10"/>
          <w:sz w:val="22"/>
          <w:szCs w:val="22"/>
        </w:rPr>
        <w:t xml:space="preserve">en los hombres </w:t>
      </w:r>
      <w:r w:rsidR="000E293B" w:rsidRPr="000044E4">
        <w:rPr>
          <w:bCs/>
          <w:color w:val="auto"/>
          <w:spacing w:val="10"/>
          <w:sz w:val="22"/>
          <w:szCs w:val="22"/>
        </w:rPr>
        <w:t xml:space="preserve">y </w:t>
      </w:r>
      <w:r w:rsidR="00B03CE3">
        <w:rPr>
          <w:bCs/>
          <w:color w:val="auto"/>
          <w:spacing w:val="10"/>
          <w:sz w:val="22"/>
          <w:szCs w:val="22"/>
        </w:rPr>
        <w:t xml:space="preserve">una disminución </w:t>
      </w:r>
      <w:r w:rsidR="00507CD0">
        <w:rPr>
          <w:bCs/>
          <w:color w:val="auto"/>
          <w:spacing w:val="10"/>
          <w:sz w:val="22"/>
          <w:szCs w:val="22"/>
        </w:rPr>
        <w:t>en las mujeres de</w:t>
      </w:r>
      <w:r w:rsidR="00B03CE3">
        <w:rPr>
          <w:bCs/>
          <w:color w:val="auto"/>
          <w:spacing w:val="10"/>
          <w:sz w:val="22"/>
          <w:szCs w:val="22"/>
        </w:rPr>
        <w:t xml:space="preserve"> </w:t>
      </w:r>
      <w:r w:rsidR="00943874">
        <w:rPr>
          <w:bCs/>
          <w:color w:val="auto"/>
          <w:spacing w:val="10"/>
          <w:sz w:val="22"/>
          <w:szCs w:val="22"/>
        </w:rPr>
        <w:t>0</w:t>
      </w:r>
      <w:r w:rsidR="00AB390F">
        <w:rPr>
          <w:bCs/>
          <w:color w:val="auto"/>
          <w:spacing w:val="10"/>
          <w:sz w:val="22"/>
          <w:szCs w:val="22"/>
        </w:rPr>
        <w:t>.2</w:t>
      </w:r>
      <w:r w:rsidR="000E293B">
        <w:rPr>
          <w:bCs/>
          <w:color w:val="auto"/>
          <w:spacing w:val="10"/>
          <w:sz w:val="22"/>
          <w:szCs w:val="22"/>
        </w:rPr>
        <w:t xml:space="preserve"> puntos porcentuales</w:t>
      </w:r>
      <w:r w:rsidR="006C6854" w:rsidRPr="000044E4">
        <w:rPr>
          <w:bCs/>
          <w:color w:val="auto"/>
          <w:spacing w:val="10"/>
          <w:sz w:val="22"/>
          <w:szCs w:val="22"/>
        </w:rPr>
        <w:t>.</w:t>
      </w:r>
    </w:p>
    <w:p w14:paraId="70177D75" w14:textId="77777777" w:rsidR="00556C7A" w:rsidRDefault="00556C7A" w:rsidP="009749DA">
      <w:pPr>
        <w:pStyle w:val="n0"/>
        <w:keepLines w:val="0"/>
        <w:spacing w:before="0"/>
        <w:ind w:left="0" w:right="49" w:firstLine="0"/>
        <w:contextualSpacing/>
        <w:rPr>
          <w:bCs/>
          <w:color w:val="auto"/>
          <w:spacing w:val="10"/>
          <w:sz w:val="22"/>
          <w:szCs w:val="22"/>
        </w:rPr>
      </w:pPr>
    </w:p>
    <w:p w14:paraId="5034E617" w14:textId="0007A9B0" w:rsidR="000A5ABC" w:rsidRPr="000044E4" w:rsidRDefault="00252EDE" w:rsidP="009749DA">
      <w:pPr>
        <w:pStyle w:val="n0"/>
        <w:keepLines w:val="0"/>
        <w:spacing w:before="0"/>
        <w:ind w:left="0" w:right="49" w:firstLine="0"/>
        <w:contextualSpacing/>
        <w:rPr>
          <w:bCs/>
          <w:color w:val="auto"/>
          <w:spacing w:val="10"/>
          <w:sz w:val="22"/>
          <w:szCs w:val="22"/>
        </w:rPr>
      </w:pPr>
      <w:r w:rsidRPr="000044E4">
        <w:rPr>
          <w:bCs/>
          <w:color w:val="auto"/>
          <w:spacing w:val="10"/>
          <w:sz w:val="22"/>
          <w:szCs w:val="22"/>
        </w:rPr>
        <w:t>Dejando fuera a las actividades agropecuarias</w:t>
      </w:r>
      <w:r w:rsidR="00556C7A" w:rsidRPr="000044E4">
        <w:rPr>
          <w:bCs/>
          <w:color w:val="auto"/>
          <w:spacing w:val="10"/>
          <w:sz w:val="22"/>
          <w:szCs w:val="22"/>
        </w:rPr>
        <w:t>,</w:t>
      </w:r>
      <w:r w:rsidRPr="000044E4">
        <w:rPr>
          <w:bCs/>
          <w:color w:val="auto"/>
          <w:spacing w:val="10"/>
          <w:sz w:val="22"/>
          <w:szCs w:val="22"/>
        </w:rPr>
        <w:t xml:space="preserve"> la Tasa de Informalidad Laboral 2 (TIL2), </w:t>
      </w:r>
      <w:r w:rsidR="00E27274" w:rsidRPr="000044E4">
        <w:rPr>
          <w:bCs/>
          <w:color w:val="auto"/>
          <w:spacing w:val="10"/>
          <w:sz w:val="22"/>
          <w:szCs w:val="22"/>
        </w:rPr>
        <w:t xml:space="preserve">en </w:t>
      </w:r>
      <w:r w:rsidR="00177695" w:rsidRPr="000044E4">
        <w:rPr>
          <w:bCs/>
          <w:color w:val="auto"/>
          <w:spacing w:val="10"/>
          <w:sz w:val="22"/>
          <w:szCs w:val="22"/>
        </w:rPr>
        <w:t xml:space="preserve">el </w:t>
      </w:r>
      <w:r w:rsidR="00177B20">
        <w:rPr>
          <w:bCs/>
          <w:color w:val="auto"/>
          <w:spacing w:val="10"/>
          <w:sz w:val="22"/>
          <w:szCs w:val="22"/>
        </w:rPr>
        <w:t>primer</w:t>
      </w:r>
      <w:r w:rsidR="00177695" w:rsidRPr="000044E4">
        <w:rPr>
          <w:bCs/>
          <w:color w:val="auto"/>
          <w:spacing w:val="10"/>
          <w:sz w:val="22"/>
          <w:szCs w:val="22"/>
        </w:rPr>
        <w:t xml:space="preserve"> trimestre</w:t>
      </w:r>
      <w:r w:rsidR="00E27274" w:rsidRPr="000044E4">
        <w:rPr>
          <w:bCs/>
          <w:color w:val="auto"/>
          <w:spacing w:val="10"/>
          <w:sz w:val="22"/>
          <w:szCs w:val="22"/>
        </w:rPr>
        <w:t xml:space="preserve"> </w:t>
      </w:r>
      <w:r w:rsidR="00516F2C" w:rsidRPr="000044E4">
        <w:rPr>
          <w:bCs/>
          <w:color w:val="auto"/>
          <w:spacing w:val="10"/>
          <w:sz w:val="22"/>
          <w:szCs w:val="22"/>
        </w:rPr>
        <w:t xml:space="preserve">de </w:t>
      </w:r>
      <w:r w:rsidR="00177B20">
        <w:rPr>
          <w:bCs/>
          <w:color w:val="auto"/>
          <w:spacing w:val="10"/>
          <w:sz w:val="22"/>
          <w:szCs w:val="22"/>
        </w:rPr>
        <w:t>2021</w:t>
      </w:r>
      <w:r w:rsidR="00516F2C" w:rsidRPr="000044E4">
        <w:rPr>
          <w:bCs/>
          <w:color w:val="auto"/>
          <w:spacing w:val="10"/>
          <w:sz w:val="22"/>
          <w:szCs w:val="22"/>
        </w:rPr>
        <w:t xml:space="preserve"> </w:t>
      </w:r>
      <w:r w:rsidR="00E27274" w:rsidRPr="000044E4">
        <w:rPr>
          <w:bCs/>
          <w:color w:val="auto"/>
          <w:spacing w:val="10"/>
          <w:sz w:val="22"/>
          <w:szCs w:val="22"/>
        </w:rPr>
        <w:t>fue de</w:t>
      </w:r>
      <w:r w:rsidRPr="000044E4">
        <w:rPr>
          <w:bCs/>
          <w:color w:val="auto"/>
          <w:spacing w:val="10"/>
          <w:sz w:val="22"/>
          <w:szCs w:val="22"/>
        </w:rPr>
        <w:t xml:space="preserve"> </w:t>
      </w:r>
      <w:r w:rsidR="00AB390F">
        <w:rPr>
          <w:bCs/>
          <w:color w:val="auto"/>
          <w:spacing w:val="10"/>
          <w:sz w:val="22"/>
          <w:szCs w:val="22"/>
        </w:rPr>
        <w:t>5</w:t>
      </w:r>
      <w:r w:rsidR="007D4D96">
        <w:rPr>
          <w:bCs/>
          <w:color w:val="auto"/>
          <w:spacing w:val="10"/>
          <w:sz w:val="22"/>
          <w:szCs w:val="22"/>
        </w:rPr>
        <w:t>0.8</w:t>
      </w:r>
      <w:r w:rsidR="00140AB5" w:rsidRPr="000044E4">
        <w:rPr>
          <w:bCs/>
          <w:color w:val="auto"/>
          <w:spacing w:val="10"/>
          <w:sz w:val="22"/>
          <w:szCs w:val="22"/>
        </w:rPr>
        <w:t>%</w:t>
      </w:r>
      <w:r w:rsidRPr="000044E4">
        <w:rPr>
          <w:bCs/>
          <w:color w:val="auto"/>
          <w:spacing w:val="10"/>
          <w:sz w:val="22"/>
          <w:szCs w:val="22"/>
        </w:rPr>
        <w:t xml:space="preserve"> de la población ocupada no agropecuaria, </w:t>
      </w:r>
      <w:r w:rsidR="007D4D96">
        <w:rPr>
          <w:bCs/>
          <w:color w:val="auto"/>
          <w:spacing w:val="10"/>
          <w:sz w:val="22"/>
          <w:szCs w:val="22"/>
        </w:rPr>
        <w:t>1</w:t>
      </w:r>
      <w:r w:rsidR="00516F2C">
        <w:rPr>
          <w:bCs/>
          <w:color w:val="auto"/>
          <w:spacing w:val="10"/>
          <w:sz w:val="22"/>
          <w:szCs w:val="22"/>
        </w:rPr>
        <w:t xml:space="preserve"> </w:t>
      </w:r>
      <w:r w:rsidRPr="000044E4">
        <w:rPr>
          <w:bCs/>
          <w:color w:val="auto"/>
          <w:spacing w:val="10"/>
          <w:sz w:val="22"/>
          <w:szCs w:val="22"/>
        </w:rPr>
        <w:t xml:space="preserve">punto porcentual </w:t>
      </w:r>
      <w:r w:rsidR="00516F2C" w:rsidRPr="000044E4">
        <w:rPr>
          <w:bCs/>
          <w:color w:val="auto"/>
          <w:spacing w:val="10"/>
          <w:sz w:val="22"/>
          <w:szCs w:val="22"/>
        </w:rPr>
        <w:t xml:space="preserve">inferior </w:t>
      </w:r>
      <w:r w:rsidRPr="000044E4">
        <w:rPr>
          <w:bCs/>
          <w:color w:val="auto"/>
          <w:spacing w:val="10"/>
          <w:sz w:val="22"/>
          <w:szCs w:val="22"/>
        </w:rPr>
        <w:t xml:space="preserve">a la del </w:t>
      </w:r>
      <w:r w:rsidR="00516F2C" w:rsidRPr="000044E4">
        <w:rPr>
          <w:bCs/>
          <w:color w:val="auto"/>
          <w:spacing w:val="10"/>
          <w:sz w:val="22"/>
          <w:szCs w:val="22"/>
        </w:rPr>
        <w:t xml:space="preserve">mismo periodo de </w:t>
      </w:r>
      <w:r w:rsidR="00177B20">
        <w:rPr>
          <w:bCs/>
          <w:color w:val="auto"/>
          <w:spacing w:val="10"/>
          <w:sz w:val="22"/>
          <w:szCs w:val="22"/>
        </w:rPr>
        <w:t>2020</w:t>
      </w:r>
      <w:r w:rsidRPr="000044E4">
        <w:rPr>
          <w:bCs/>
          <w:color w:val="auto"/>
          <w:spacing w:val="10"/>
          <w:sz w:val="22"/>
          <w:szCs w:val="22"/>
        </w:rPr>
        <w:t>.</w:t>
      </w:r>
      <w:r w:rsidR="000A5ABC" w:rsidRPr="000044E4">
        <w:rPr>
          <w:bCs/>
          <w:color w:val="auto"/>
          <w:spacing w:val="10"/>
          <w:sz w:val="22"/>
          <w:szCs w:val="22"/>
        </w:rPr>
        <w:t xml:space="preserve"> </w:t>
      </w:r>
      <w:r w:rsidR="00E27274" w:rsidRPr="000044E4">
        <w:rPr>
          <w:bCs/>
          <w:color w:val="auto"/>
          <w:spacing w:val="10"/>
          <w:sz w:val="22"/>
          <w:szCs w:val="22"/>
        </w:rPr>
        <w:t xml:space="preserve">Por sexo, </w:t>
      </w:r>
      <w:r w:rsidR="000A5ABC" w:rsidRPr="000044E4">
        <w:rPr>
          <w:bCs/>
          <w:color w:val="auto"/>
          <w:spacing w:val="10"/>
          <w:sz w:val="22"/>
          <w:szCs w:val="22"/>
        </w:rPr>
        <w:t>l</w:t>
      </w:r>
      <w:r w:rsidR="000A5ABC">
        <w:rPr>
          <w:bCs/>
          <w:color w:val="auto"/>
          <w:spacing w:val="10"/>
          <w:sz w:val="22"/>
          <w:szCs w:val="22"/>
        </w:rPr>
        <w:t xml:space="preserve">a </w:t>
      </w:r>
      <w:r w:rsidR="000A5ABC" w:rsidRPr="000044E4">
        <w:rPr>
          <w:bCs/>
          <w:color w:val="auto"/>
          <w:spacing w:val="10"/>
          <w:sz w:val="22"/>
          <w:szCs w:val="22"/>
        </w:rPr>
        <w:t xml:space="preserve">TIL2 masculina fue de </w:t>
      </w:r>
      <w:r w:rsidR="00793D7D" w:rsidRPr="000044E4">
        <w:rPr>
          <w:bCs/>
          <w:color w:val="auto"/>
          <w:spacing w:val="10"/>
          <w:sz w:val="22"/>
          <w:szCs w:val="22"/>
        </w:rPr>
        <w:t>4</w:t>
      </w:r>
      <w:r w:rsidR="00AB390F">
        <w:rPr>
          <w:bCs/>
          <w:color w:val="auto"/>
          <w:spacing w:val="10"/>
          <w:sz w:val="22"/>
          <w:szCs w:val="22"/>
        </w:rPr>
        <w:t>8</w:t>
      </w:r>
      <w:r w:rsidR="00793D7D" w:rsidRPr="000044E4">
        <w:rPr>
          <w:bCs/>
          <w:color w:val="auto"/>
          <w:spacing w:val="10"/>
          <w:sz w:val="22"/>
          <w:szCs w:val="22"/>
        </w:rPr>
        <w:t>.</w:t>
      </w:r>
      <w:r w:rsidR="007D4D96">
        <w:rPr>
          <w:bCs/>
          <w:color w:val="auto"/>
          <w:spacing w:val="10"/>
          <w:sz w:val="22"/>
          <w:szCs w:val="22"/>
        </w:rPr>
        <w:t>9</w:t>
      </w:r>
      <w:r w:rsidR="000A5ABC" w:rsidRPr="000044E4">
        <w:rPr>
          <w:bCs/>
          <w:color w:val="auto"/>
          <w:spacing w:val="10"/>
          <w:sz w:val="22"/>
          <w:szCs w:val="22"/>
        </w:rPr>
        <w:t xml:space="preserve">% y la femenina de </w:t>
      </w:r>
      <w:r w:rsidR="007D4D96" w:rsidRPr="000044E4">
        <w:rPr>
          <w:bCs/>
          <w:color w:val="auto"/>
          <w:spacing w:val="10"/>
          <w:sz w:val="22"/>
          <w:szCs w:val="22"/>
        </w:rPr>
        <w:t>5</w:t>
      </w:r>
      <w:r w:rsidR="007D4D96">
        <w:rPr>
          <w:bCs/>
          <w:color w:val="auto"/>
          <w:spacing w:val="10"/>
          <w:sz w:val="22"/>
          <w:szCs w:val="22"/>
        </w:rPr>
        <w:t>3</w:t>
      </w:r>
      <w:r w:rsidR="005B551E" w:rsidRPr="000044E4">
        <w:rPr>
          <w:bCs/>
          <w:color w:val="auto"/>
          <w:spacing w:val="10"/>
          <w:sz w:val="22"/>
          <w:szCs w:val="22"/>
        </w:rPr>
        <w:t>.3</w:t>
      </w:r>
      <w:r w:rsidR="000A5ABC" w:rsidRPr="000044E4">
        <w:rPr>
          <w:bCs/>
          <w:color w:val="auto"/>
          <w:spacing w:val="10"/>
          <w:sz w:val="22"/>
          <w:szCs w:val="22"/>
        </w:rPr>
        <w:t xml:space="preserve">% en </w:t>
      </w:r>
      <w:r w:rsidR="00177695" w:rsidRPr="000044E4">
        <w:rPr>
          <w:bCs/>
          <w:color w:val="auto"/>
          <w:spacing w:val="10"/>
          <w:sz w:val="22"/>
          <w:szCs w:val="22"/>
        </w:rPr>
        <w:t xml:space="preserve">el </w:t>
      </w:r>
      <w:r w:rsidR="00177B20">
        <w:rPr>
          <w:bCs/>
          <w:color w:val="auto"/>
          <w:spacing w:val="10"/>
          <w:sz w:val="22"/>
          <w:szCs w:val="22"/>
        </w:rPr>
        <w:t>primer</w:t>
      </w:r>
      <w:r w:rsidR="00177695" w:rsidRPr="000044E4">
        <w:rPr>
          <w:bCs/>
          <w:color w:val="auto"/>
          <w:spacing w:val="10"/>
          <w:sz w:val="22"/>
          <w:szCs w:val="22"/>
        </w:rPr>
        <w:t xml:space="preserve"> trimestre</w:t>
      </w:r>
      <w:r w:rsidR="000A5ABC" w:rsidRPr="000044E4">
        <w:rPr>
          <w:bCs/>
          <w:color w:val="auto"/>
          <w:spacing w:val="10"/>
          <w:sz w:val="22"/>
          <w:szCs w:val="22"/>
        </w:rPr>
        <w:t xml:space="preserve"> </w:t>
      </w:r>
      <w:r w:rsidR="00C714C5" w:rsidRPr="000044E4">
        <w:rPr>
          <w:bCs/>
          <w:color w:val="auto"/>
          <w:spacing w:val="10"/>
          <w:sz w:val="22"/>
          <w:szCs w:val="22"/>
        </w:rPr>
        <w:t xml:space="preserve">de </w:t>
      </w:r>
      <w:r w:rsidR="00177B20">
        <w:rPr>
          <w:bCs/>
          <w:color w:val="auto"/>
          <w:spacing w:val="10"/>
          <w:sz w:val="22"/>
          <w:szCs w:val="22"/>
        </w:rPr>
        <w:lastRenderedPageBreak/>
        <w:t>2021</w:t>
      </w:r>
      <w:r w:rsidR="00DA1607" w:rsidRPr="000044E4">
        <w:rPr>
          <w:bCs/>
          <w:color w:val="auto"/>
          <w:spacing w:val="10"/>
          <w:sz w:val="22"/>
          <w:szCs w:val="22"/>
        </w:rPr>
        <w:t xml:space="preserve">, </w:t>
      </w:r>
      <w:r w:rsidR="00AB390F">
        <w:rPr>
          <w:bCs/>
          <w:color w:val="auto"/>
          <w:spacing w:val="10"/>
          <w:sz w:val="22"/>
          <w:szCs w:val="22"/>
        </w:rPr>
        <w:t>siendo en el caso de los hombres superior en 0.</w:t>
      </w:r>
      <w:r w:rsidR="007D4D96">
        <w:rPr>
          <w:bCs/>
          <w:color w:val="auto"/>
          <w:spacing w:val="10"/>
          <w:sz w:val="22"/>
          <w:szCs w:val="22"/>
        </w:rPr>
        <w:t xml:space="preserve">2 </w:t>
      </w:r>
      <w:r w:rsidR="00AB390F">
        <w:rPr>
          <w:bCs/>
          <w:color w:val="auto"/>
          <w:spacing w:val="10"/>
          <w:sz w:val="22"/>
          <w:szCs w:val="22"/>
        </w:rPr>
        <w:t>puntos porcentuales e inferior en el caso de las mujeres en 2.</w:t>
      </w:r>
      <w:r w:rsidR="007D4D96">
        <w:rPr>
          <w:bCs/>
          <w:color w:val="auto"/>
          <w:spacing w:val="10"/>
          <w:sz w:val="22"/>
          <w:szCs w:val="22"/>
        </w:rPr>
        <w:t>4</w:t>
      </w:r>
      <w:r w:rsidR="007D4D96" w:rsidRPr="000044E4">
        <w:rPr>
          <w:bCs/>
          <w:color w:val="auto"/>
          <w:spacing w:val="10"/>
          <w:sz w:val="22"/>
          <w:szCs w:val="22"/>
        </w:rPr>
        <w:t xml:space="preserve"> </w:t>
      </w:r>
      <w:r w:rsidR="00DA1607" w:rsidRPr="000044E4">
        <w:rPr>
          <w:bCs/>
          <w:color w:val="auto"/>
          <w:spacing w:val="10"/>
          <w:sz w:val="22"/>
          <w:szCs w:val="22"/>
        </w:rPr>
        <w:t>puntos porcentuales</w:t>
      </w:r>
      <w:r w:rsidR="00AB390F">
        <w:rPr>
          <w:bCs/>
          <w:color w:val="auto"/>
          <w:spacing w:val="10"/>
          <w:sz w:val="22"/>
          <w:szCs w:val="22"/>
        </w:rPr>
        <w:t xml:space="preserve">, </w:t>
      </w:r>
      <w:r w:rsidR="00DA1607" w:rsidRPr="000044E4">
        <w:rPr>
          <w:bCs/>
          <w:color w:val="auto"/>
          <w:spacing w:val="10"/>
          <w:sz w:val="22"/>
          <w:szCs w:val="22"/>
        </w:rPr>
        <w:t>en el mismo periodo</w:t>
      </w:r>
      <w:r w:rsidR="006C6854" w:rsidRPr="000044E4">
        <w:rPr>
          <w:bCs/>
          <w:color w:val="auto"/>
          <w:spacing w:val="10"/>
          <w:sz w:val="22"/>
          <w:szCs w:val="22"/>
        </w:rPr>
        <w:t>.</w:t>
      </w:r>
    </w:p>
    <w:p w14:paraId="186BF279" w14:textId="77777777" w:rsidR="000A5ABC" w:rsidRPr="000044E4" w:rsidRDefault="000A5ABC" w:rsidP="009749DA">
      <w:pPr>
        <w:pStyle w:val="n0"/>
        <w:keepLines w:val="0"/>
        <w:spacing w:before="0"/>
        <w:ind w:left="0" w:right="49" w:firstLine="0"/>
        <w:contextualSpacing/>
        <w:rPr>
          <w:bCs/>
          <w:color w:val="auto"/>
          <w:spacing w:val="10"/>
          <w:sz w:val="22"/>
          <w:szCs w:val="22"/>
        </w:rPr>
      </w:pPr>
    </w:p>
    <w:p w14:paraId="0041D7F0" w14:textId="5B812574" w:rsidR="00252EDE" w:rsidRPr="000044E4" w:rsidRDefault="000A5ABC" w:rsidP="009749DA">
      <w:pPr>
        <w:pStyle w:val="n0"/>
        <w:keepLines w:val="0"/>
        <w:spacing w:before="0"/>
        <w:ind w:left="0" w:right="49" w:firstLine="0"/>
        <w:contextualSpacing/>
        <w:rPr>
          <w:bCs/>
          <w:color w:val="auto"/>
          <w:spacing w:val="10"/>
          <w:sz w:val="22"/>
          <w:szCs w:val="22"/>
        </w:rPr>
      </w:pPr>
      <w:r w:rsidRPr="000044E4">
        <w:rPr>
          <w:bCs/>
          <w:color w:val="auto"/>
          <w:spacing w:val="10"/>
          <w:sz w:val="22"/>
          <w:szCs w:val="22"/>
        </w:rPr>
        <w:t>L</w:t>
      </w:r>
      <w:r w:rsidR="00252EDE" w:rsidRPr="000044E4">
        <w:rPr>
          <w:bCs/>
          <w:color w:val="auto"/>
          <w:spacing w:val="10"/>
          <w:sz w:val="22"/>
          <w:szCs w:val="22"/>
        </w:rPr>
        <w:t xml:space="preserve">a Tasa de Ocupación en el Sector Informal 2 (TOSI2), </w:t>
      </w:r>
      <w:r w:rsidR="00E27274" w:rsidRPr="000044E4">
        <w:rPr>
          <w:bCs/>
          <w:color w:val="auto"/>
          <w:spacing w:val="10"/>
          <w:sz w:val="22"/>
          <w:szCs w:val="22"/>
        </w:rPr>
        <w:t xml:space="preserve">fue de </w:t>
      </w:r>
      <w:r w:rsidR="005B551E" w:rsidRPr="000044E4">
        <w:rPr>
          <w:bCs/>
          <w:color w:val="auto"/>
          <w:spacing w:val="10"/>
          <w:sz w:val="22"/>
          <w:szCs w:val="22"/>
        </w:rPr>
        <w:t>3</w:t>
      </w:r>
      <w:r w:rsidR="00AB390F">
        <w:rPr>
          <w:bCs/>
          <w:color w:val="auto"/>
          <w:spacing w:val="10"/>
          <w:sz w:val="22"/>
          <w:szCs w:val="22"/>
        </w:rPr>
        <w:t>1.</w:t>
      </w:r>
      <w:r w:rsidR="006F40C2">
        <w:rPr>
          <w:bCs/>
          <w:color w:val="auto"/>
          <w:spacing w:val="10"/>
          <w:sz w:val="22"/>
          <w:szCs w:val="22"/>
        </w:rPr>
        <w:t>9</w:t>
      </w:r>
      <w:r w:rsidR="00252EDE" w:rsidRPr="000044E4">
        <w:rPr>
          <w:bCs/>
          <w:color w:val="auto"/>
          <w:spacing w:val="10"/>
          <w:sz w:val="22"/>
          <w:szCs w:val="22"/>
        </w:rPr>
        <w:t xml:space="preserve">% de la población ocupada no agropecuaria durante </w:t>
      </w:r>
      <w:r w:rsidR="00177695" w:rsidRPr="000044E4">
        <w:rPr>
          <w:bCs/>
          <w:color w:val="auto"/>
          <w:spacing w:val="10"/>
          <w:sz w:val="22"/>
          <w:szCs w:val="22"/>
        </w:rPr>
        <w:t xml:space="preserve">el </w:t>
      </w:r>
      <w:r w:rsidR="00177B20">
        <w:rPr>
          <w:bCs/>
          <w:color w:val="auto"/>
          <w:spacing w:val="10"/>
          <w:sz w:val="22"/>
          <w:szCs w:val="22"/>
        </w:rPr>
        <w:t>primer</w:t>
      </w:r>
      <w:r w:rsidR="00177695" w:rsidRPr="000044E4">
        <w:rPr>
          <w:bCs/>
          <w:color w:val="auto"/>
          <w:spacing w:val="10"/>
          <w:sz w:val="22"/>
          <w:szCs w:val="22"/>
        </w:rPr>
        <w:t xml:space="preserve"> trimestre</w:t>
      </w:r>
      <w:r w:rsidR="00DA1607" w:rsidRPr="000044E4">
        <w:rPr>
          <w:bCs/>
          <w:color w:val="auto"/>
          <w:spacing w:val="10"/>
          <w:sz w:val="22"/>
          <w:szCs w:val="22"/>
        </w:rPr>
        <w:t xml:space="preserve"> de </w:t>
      </w:r>
      <w:r w:rsidR="00177B20">
        <w:rPr>
          <w:bCs/>
          <w:color w:val="auto"/>
          <w:spacing w:val="10"/>
          <w:sz w:val="22"/>
          <w:szCs w:val="22"/>
        </w:rPr>
        <w:t>2021</w:t>
      </w:r>
      <w:r w:rsidR="00252EDE" w:rsidRPr="000044E4">
        <w:rPr>
          <w:bCs/>
          <w:color w:val="auto"/>
          <w:spacing w:val="10"/>
          <w:sz w:val="22"/>
          <w:szCs w:val="22"/>
        </w:rPr>
        <w:t xml:space="preserve">, tasa </w:t>
      </w:r>
      <w:r w:rsidR="00AB390F">
        <w:rPr>
          <w:bCs/>
          <w:color w:val="auto"/>
          <w:spacing w:val="10"/>
          <w:sz w:val="22"/>
          <w:szCs w:val="22"/>
        </w:rPr>
        <w:t xml:space="preserve">superior en </w:t>
      </w:r>
      <w:r w:rsidR="00793D7D" w:rsidRPr="000044E4">
        <w:rPr>
          <w:bCs/>
          <w:color w:val="auto"/>
          <w:spacing w:val="10"/>
          <w:sz w:val="22"/>
          <w:szCs w:val="22"/>
        </w:rPr>
        <w:t>0.</w:t>
      </w:r>
      <w:r w:rsidR="006F40C2">
        <w:rPr>
          <w:bCs/>
          <w:color w:val="auto"/>
          <w:spacing w:val="10"/>
          <w:sz w:val="22"/>
          <w:szCs w:val="22"/>
        </w:rPr>
        <w:t>7</w:t>
      </w:r>
      <w:r w:rsidR="006F40C2" w:rsidRPr="000044E4">
        <w:rPr>
          <w:bCs/>
          <w:color w:val="auto"/>
          <w:spacing w:val="10"/>
          <w:sz w:val="22"/>
          <w:szCs w:val="22"/>
        </w:rPr>
        <w:t xml:space="preserve"> </w:t>
      </w:r>
      <w:r w:rsidR="00252EDE" w:rsidRPr="000044E4">
        <w:rPr>
          <w:bCs/>
          <w:color w:val="auto"/>
          <w:spacing w:val="10"/>
          <w:sz w:val="22"/>
          <w:szCs w:val="22"/>
        </w:rPr>
        <w:t xml:space="preserve">puntos porcentuales respecto </w:t>
      </w:r>
      <w:r w:rsidR="00556C7A" w:rsidRPr="000044E4">
        <w:rPr>
          <w:bCs/>
          <w:color w:val="auto"/>
          <w:spacing w:val="10"/>
          <w:sz w:val="22"/>
          <w:szCs w:val="22"/>
        </w:rPr>
        <w:t>a</w:t>
      </w:r>
      <w:r w:rsidR="00E27274" w:rsidRPr="000044E4">
        <w:rPr>
          <w:bCs/>
          <w:color w:val="auto"/>
          <w:spacing w:val="10"/>
          <w:sz w:val="22"/>
          <w:szCs w:val="22"/>
        </w:rPr>
        <w:t xml:space="preserve"> </w:t>
      </w:r>
      <w:r w:rsidR="00556C7A" w:rsidRPr="000044E4">
        <w:rPr>
          <w:bCs/>
          <w:color w:val="auto"/>
          <w:spacing w:val="10"/>
          <w:sz w:val="22"/>
          <w:szCs w:val="22"/>
        </w:rPr>
        <w:t>l</w:t>
      </w:r>
      <w:r w:rsidR="00E27274" w:rsidRPr="000044E4">
        <w:rPr>
          <w:bCs/>
          <w:color w:val="auto"/>
          <w:spacing w:val="10"/>
          <w:sz w:val="22"/>
          <w:szCs w:val="22"/>
        </w:rPr>
        <w:t xml:space="preserve">a observada en </w:t>
      </w:r>
      <w:r w:rsidR="001125B3">
        <w:rPr>
          <w:bCs/>
          <w:color w:val="auto"/>
          <w:spacing w:val="10"/>
          <w:sz w:val="22"/>
          <w:szCs w:val="22"/>
        </w:rPr>
        <w:t>igual</w:t>
      </w:r>
      <w:r w:rsidR="00DA1607" w:rsidRPr="000044E4">
        <w:rPr>
          <w:bCs/>
          <w:color w:val="auto"/>
          <w:spacing w:val="10"/>
          <w:sz w:val="22"/>
          <w:szCs w:val="22"/>
        </w:rPr>
        <w:t xml:space="preserve"> trimestre de </w:t>
      </w:r>
      <w:r w:rsidR="00177B20">
        <w:rPr>
          <w:bCs/>
          <w:color w:val="auto"/>
          <w:spacing w:val="10"/>
          <w:sz w:val="22"/>
          <w:szCs w:val="22"/>
        </w:rPr>
        <w:t>2020</w:t>
      </w:r>
      <w:r w:rsidR="00252EDE" w:rsidRPr="000044E4">
        <w:rPr>
          <w:bCs/>
          <w:color w:val="auto"/>
          <w:spacing w:val="10"/>
          <w:sz w:val="22"/>
          <w:szCs w:val="22"/>
        </w:rPr>
        <w:t>.</w:t>
      </w:r>
      <w:r w:rsidR="008D7AE0" w:rsidRPr="000044E4">
        <w:rPr>
          <w:bCs/>
          <w:color w:val="auto"/>
          <w:spacing w:val="10"/>
          <w:sz w:val="22"/>
          <w:szCs w:val="22"/>
        </w:rPr>
        <w:t xml:space="preserve"> En el caso de los hombres, la TOSI2 fue de </w:t>
      </w:r>
      <w:r w:rsidR="006F40C2">
        <w:rPr>
          <w:bCs/>
          <w:color w:val="auto"/>
          <w:spacing w:val="10"/>
          <w:sz w:val="22"/>
          <w:szCs w:val="22"/>
        </w:rPr>
        <w:t>33.5</w:t>
      </w:r>
      <w:r w:rsidR="008D7AE0" w:rsidRPr="000044E4">
        <w:rPr>
          <w:bCs/>
          <w:color w:val="auto"/>
          <w:spacing w:val="10"/>
          <w:sz w:val="22"/>
          <w:szCs w:val="22"/>
        </w:rPr>
        <w:t>%</w:t>
      </w:r>
      <w:r w:rsidR="00F04CC3" w:rsidRPr="000044E4">
        <w:rPr>
          <w:bCs/>
          <w:color w:val="auto"/>
          <w:spacing w:val="10"/>
          <w:sz w:val="22"/>
          <w:szCs w:val="22"/>
        </w:rPr>
        <w:t xml:space="preserve"> y</w:t>
      </w:r>
      <w:r w:rsidR="008D7AE0" w:rsidRPr="000044E4">
        <w:rPr>
          <w:bCs/>
          <w:color w:val="auto"/>
          <w:spacing w:val="10"/>
          <w:sz w:val="22"/>
          <w:szCs w:val="22"/>
        </w:rPr>
        <w:t xml:space="preserve"> la TOSI2 femenina</w:t>
      </w:r>
      <w:r w:rsidR="00E27274" w:rsidRPr="000044E4">
        <w:rPr>
          <w:bCs/>
          <w:color w:val="auto"/>
          <w:spacing w:val="10"/>
          <w:sz w:val="22"/>
          <w:szCs w:val="22"/>
        </w:rPr>
        <w:t xml:space="preserve"> de</w:t>
      </w:r>
      <w:r w:rsidR="008D7AE0" w:rsidRPr="000044E4">
        <w:rPr>
          <w:bCs/>
          <w:color w:val="auto"/>
          <w:spacing w:val="10"/>
          <w:sz w:val="22"/>
          <w:szCs w:val="22"/>
        </w:rPr>
        <w:t xml:space="preserve"> </w:t>
      </w:r>
      <w:r w:rsidR="006F40C2">
        <w:rPr>
          <w:bCs/>
          <w:color w:val="auto"/>
          <w:spacing w:val="10"/>
          <w:sz w:val="22"/>
          <w:szCs w:val="22"/>
        </w:rPr>
        <w:t>29.6</w:t>
      </w:r>
      <w:r w:rsidR="00101BB9" w:rsidRPr="000044E4">
        <w:rPr>
          <w:bCs/>
          <w:color w:val="auto"/>
          <w:spacing w:val="10"/>
          <w:sz w:val="22"/>
          <w:szCs w:val="22"/>
        </w:rPr>
        <w:t xml:space="preserve"> por ciento</w:t>
      </w:r>
      <w:r w:rsidR="00DA1607" w:rsidRPr="000044E4">
        <w:rPr>
          <w:bCs/>
          <w:color w:val="auto"/>
          <w:spacing w:val="10"/>
          <w:sz w:val="22"/>
          <w:szCs w:val="22"/>
        </w:rPr>
        <w:t xml:space="preserve">; dichos porcentajes comparados con el mismo trimestre de </w:t>
      </w:r>
      <w:r w:rsidR="00177B20">
        <w:rPr>
          <w:bCs/>
          <w:color w:val="auto"/>
          <w:spacing w:val="10"/>
          <w:sz w:val="22"/>
          <w:szCs w:val="22"/>
        </w:rPr>
        <w:t>2020</w:t>
      </w:r>
      <w:r w:rsidR="00DA1607" w:rsidRPr="000044E4">
        <w:rPr>
          <w:bCs/>
          <w:color w:val="auto"/>
          <w:spacing w:val="10"/>
          <w:sz w:val="22"/>
          <w:szCs w:val="22"/>
        </w:rPr>
        <w:t xml:space="preserve">, en los hombres </w:t>
      </w:r>
      <w:r w:rsidR="00125876">
        <w:rPr>
          <w:bCs/>
          <w:color w:val="auto"/>
          <w:spacing w:val="10"/>
          <w:sz w:val="22"/>
          <w:szCs w:val="22"/>
        </w:rPr>
        <w:t xml:space="preserve">es </w:t>
      </w:r>
      <w:r w:rsidR="00AB390F">
        <w:rPr>
          <w:bCs/>
          <w:color w:val="auto"/>
          <w:spacing w:val="10"/>
          <w:sz w:val="22"/>
          <w:szCs w:val="22"/>
        </w:rPr>
        <w:t>superio</w:t>
      </w:r>
      <w:r w:rsidR="005B551E" w:rsidRPr="000044E4">
        <w:rPr>
          <w:bCs/>
          <w:color w:val="auto"/>
          <w:spacing w:val="10"/>
          <w:sz w:val="22"/>
          <w:szCs w:val="22"/>
        </w:rPr>
        <w:t>r en</w:t>
      </w:r>
      <w:r w:rsidR="00DA1607" w:rsidRPr="000044E4">
        <w:rPr>
          <w:bCs/>
          <w:color w:val="auto"/>
          <w:spacing w:val="10"/>
          <w:sz w:val="22"/>
          <w:szCs w:val="22"/>
        </w:rPr>
        <w:t xml:space="preserve"> </w:t>
      </w:r>
      <w:r w:rsidR="006F40C2">
        <w:rPr>
          <w:bCs/>
          <w:color w:val="auto"/>
          <w:spacing w:val="10"/>
          <w:sz w:val="22"/>
          <w:szCs w:val="22"/>
        </w:rPr>
        <w:t xml:space="preserve">1.3 </w:t>
      </w:r>
      <w:r w:rsidR="00DA1607" w:rsidRPr="000044E4">
        <w:rPr>
          <w:bCs/>
          <w:color w:val="auto"/>
          <w:spacing w:val="10"/>
          <w:sz w:val="22"/>
          <w:szCs w:val="22"/>
        </w:rPr>
        <w:t xml:space="preserve">puntos porcentuales y en las mujeres </w:t>
      </w:r>
      <w:r w:rsidR="006F40C2">
        <w:rPr>
          <w:bCs/>
          <w:color w:val="auto"/>
          <w:spacing w:val="10"/>
          <w:sz w:val="22"/>
          <w:szCs w:val="22"/>
        </w:rPr>
        <w:t>menor en</w:t>
      </w:r>
      <w:r w:rsidR="006F40C2" w:rsidRPr="000044E4">
        <w:rPr>
          <w:bCs/>
          <w:color w:val="auto"/>
          <w:spacing w:val="10"/>
          <w:sz w:val="22"/>
          <w:szCs w:val="22"/>
        </w:rPr>
        <w:t xml:space="preserve"> </w:t>
      </w:r>
      <w:r w:rsidR="00AB390F">
        <w:rPr>
          <w:bCs/>
          <w:color w:val="auto"/>
          <w:spacing w:val="10"/>
          <w:sz w:val="22"/>
          <w:szCs w:val="22"/>
        </w:rPr>
        <w:t>0.2</w:t>
      </w:r>
      <w:r w:rsidR="00DA1607" w:rsidRPr="000044E4">
        <w:rPr>
          <w:bCs/>
          <w:color w:val="auto"/>
          <w:spacing w:val="10"/>
          <w:sz w:val="22"/>
          <w:szCs w:val="22"/>
        </w:rPr>
        <w:t xml:space="preserve"> puntos porcentuales.</w:t>
      </w:r>
    </w:p>
    <w:p w14:paraId="7905CCB4" w14:textId="77777777" w:rsidR="0000569C" w:rsidRDefault="0000569C" w:rsidP="009749DA">
      <w:pPr>
        <w:rPr>
          <w:rFonts w:ascii="Arial" w:eastAsia="Times New Roman" w:hAnsi="Arial" w:cs="Arial"/>
          <w:b/>
          <w:smallCaps/>
          <w:lang w:val="es-ES_tradnl" w:eastAsia="es-ES"/>
        </w:rPr>
      </w:pPr>
    </w:p>
    <w:p w14:paraId="6E8B1046" w14:textId="4289D964" w:rsidR="00252EDE" w:rsidRPr="00FF73EB" w:rsidRDefault="00252EDE" w:rsidP="009749DA">
      <w:pPr>
        <w:pStyle w:val="n0"/>
        <w:keepLines w:val="0"/>
        <w:spacing w:before="0"/>
        <w:ind w:left="0" w:right="49" w:firstLine="0"/>
        <w:jc w:val="center"/>
        <w:rPr>
          <w:b/>
          <w:smallCaps/>
          <w:color w:val="auto"/>
          <w:sz w:val="22"/>
          <w:szCs w:val="22"/>
        </w:rPr>
      </w:pPr>
      <w:r w:rsidRPr="00FF73EB">
        <w:rPr>
          <w:b/>
          <w:smallCaps/>
          <w:color w:val="auto"/>
          <w:sz w:val="22"/>
          <w:szCs w:val="22"/>
        </w:rPr>
        <w:t xml:space="preserve">tasas de ocupación y empleo durante </w:t>
      </w:r>
      <w:r w:rsidR="00177695">
        <w:rPr>
          <w:b/>
          <w:smallCaps/>
          <w:color w:val="auto"/>
          <w:sz w:val="22"/>
          <w:szCs w:val="22"/>
        </w:rPr>
        <w:t xml:space="preserve">el </w:t>
      </w:r>
      <w:r w:rsidR="00177B20">
        <w:rPr>
          <w:b/>
          <w:smallCaps/>
          <w:color w:val="auto"/>
          <w:sz w:val="22"/>
          <w:szCs w:val="22"/>
        </w:rPr>
        <w:t>primer</w:t>
      </w:r>
      <w:r w:rsidR="00177695">
        <w:rPr>
          <w:b/>
          <w:smallCaps/>
          <w:color w:val="auto"/>
          <w:sz w:val="22"/>
          <w:szCs w:val="22"/>
        </w:rPr>
        <w:t xml:space="preserve"> trimestre</w:t>
      </w:r>
      <w:r w:rsidRPr="00FF73EB">
        <w:rPr>
          <w:b/>
          <w:smallCaps/>
          <w:color w:val="auto"/>
          <w:sz w:val="22"/>
          <w:szCs w:val="22"/>
        </w:rPr>
        <w:t xml:space="preserve"> de </w:t>
      </w:r>
      <w:r w:rsidR="00177B20">
        <w:rPr>
          <w:b/>
          <w:smallCaps/>
          <w:color w:val="auto"/>
          <w:sz w:val="22"/>
          <w:szCs w:val="22"/>
        </w:rPr>
        <w:t>2021</w:t>
      </w:r>
    </w:p>
    <w:p w14:paraId="67FC3175" w14:textId="6092EAB6" w:rsidR="008F6E9A" w:rsidRPr="003A795B" w:rsidRDefault="003A795B" w:rsidP="009749DA">
      <w:pPr>
        <w:spacing w:after="0" w:line="240" w:lineRule="auto"/>
        <w:ind w:right="51"/>
        <w:jc w:val="center"/>
        <w:rPr>
          <w:rFonts w:ascii="Arial" w:hAnsi="Arial" w:cs="Arial"/>
          <w:smallCaps/>
          <w:sz w:val="16"/>
          <w:szCs w:val="18"/>
        </w:rPr>
      </w:pPr>
      <w:r>
        <w:rPr>
          <w:rFonts w:ascii="Arial" w:hAnsi="Arial" w:cs="Arial"/>
          <w:smallCaps/>
          <w:sz w:val="16"/>
          <w:szCs w:val="18"/>
        </w:rPr>
        <w:t>(</w:t>
      </w:r>
      <w:r w:rsidRPr="003A795B">
        <w:rPr>
          <w:rFonts w:ascii="Arial" w:hAnsi="Arial" w:cs="Arial"/>
          <w:smallCaps/>
          <w:sz w:val="16"/>
          <w:szCs w:val="18"/>
        </w:rPr>
        <w:t>PORCENTAJE)</w:t>
      </w:r>
    </w:p>
    <w:p w14:paraId="51024239" w14:textId="4B7E3A11" w:rsidR="00870211" w:rsidRPr="00E33F09" w:rsidRDefault="0044404D">
      <w:pPr>
        <w:spacing w:after="0" w:line="240" w:lineRule="auto"/>
        <w:ind w:right="51"/>
        <w:jc w:val="center"/>
        <w:rPr>
          <w:rFonts w:ascii="Arial" w:hAnsi="Arial" w:cs="Arial"/>
          <w:smallCaps/>
          <w:sz w:val="18"/>
          <w:szCs w:val="18"/>
        </w:rPr>
      </w:pPr>
      <w:r w:rsidRPr="0044404D">
        <w:rPr>
          <w:noProof/>
        </w:rPr>
        <w:drawing>
          <wp:inline distT="0" distB="0" distL="0" distR="0" wp14:anchorId="316A5A39" wp14:editId="31134657">
            <wp:extent cx="4019550" cy="352425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019550" cy="3524250"/>
                    </a:xfrm>
                    <a:prstGeom prst="rect">
                      <a:avLst/>
                    </a:prstGeom>
                    <a:noFill/>
                    <a:ln>
                      <a:noFill/>
                    </a:ln>
                  </pic:spPr>
                </pic:pic>
              </a:graphicData>
            </a:graphic>
          </wp:inline>
        </w:drawing>
      </w:r>
    </w:p>
    <w:p w14:paraId="5EB3740D" w14:textId="77777777" w:rsidR="00671F29" w:rsidRPr="00657781" w:rsidRDefault="00671F29" w:rsidP="007D5091">
      <w:pPr>
        <w:tabs>
          <w:tab w:val="left" w:pos="851"/>
        </w:tabs>
        <w:spacing w:after="0" w:line="240" w:lineRule="auto"/>
        <w:ind w:left="1843" w:right="333" w:hanging="567"/>
        <w:rPr>
          <w:rFonts w:ascii="Arial" w:hAnsi="Arial" w:cs="Arial"/>
          <w:noProof/>
          <w:sz w:val="14"/>
          <w:szCs w:val="14"/>
          <w:lang w:val="es-ES" w:eastAsia="es-ES"/>
        </w:rPr>
      </w:pPr>
      <w:r w:rsidRPr="00657781">
        <w:rPr>
          <w:rFonts w:ascii="Arial" w:hAnsi="Arial" w:cs="Arial"/>
          <w:noProof/>
          <w:sz w:val="14"/>
          <w:szCs w:val="14"/>
          <w:lang w:val="es-ES" w:eastAsia="es-ES"/>
        </w:rPr>
        <w:t>* Se omite la comparación con el año previo por el cambio en los niveles del salario mínimo.</w:t>
      </w:r>
    </w:p>
    <w:p w14:paraId="26DE5AEA" w14:textId="77777777" w:rsidR="006E302F" w:rsidRDefault="006E302F" w:rsidP="007D5091">
      <w:pPr>
        <w:tabs>
          <w:tab w:val="left" w:pos="851"/>
        </w:tabs>
        <w:spacing w:after="0" w:line="240" w:lineRule="auto"/>
        <w:ind w:left="1843" w:right="333" w:hanging="567"/>
        <w:rPr>
          <w:rFonts w:ascii="Arial" w:hAnsi="Arial" w:cs="Arial"/>
          <w:noProof/>
          <w:sz w:val="14"/>
          <w:szCs w:val="14"/>
          <w:lang w:val="es-ES" w:eastAsia="es-ES"/>
        </w:rPr>
      </w:pPr>
      <w:r>
        <w:rPr>
          <w:rFonts w:ascii="Arial" w:hAnsi="Arial" w:cs="Arial"/>
          <w:noProof/>
          <w:sz w:val="14"/>
          <w:szCs w:val="14"/>
          <w:lang w:val="es-ES" w:eastAsia="es-ES"/>
        </w:rPr>
        <w:t>Fuente:</w:t>
      </w:r>
      <w:r>
        <w:rPr>
          <w:rFonts w:ascii="Arial" w:hAnsi="Arial" w:cs="Arial"/>
          <w:noProof/>
          <w:sz w:val="14"/>
          <w:szCs w:val="14"/>
          <w:lang w:val="es-ES" w:eastAsia="es-ES"/>
        </w:rPr>
        <w:tab/>
        <w:t>INEGI. Encuesta Nacional de Ocupación y Empleo. Nueva Edición, primer trimestre de 2021.</w:t>
      </w:r>
    </w:p>
    <w:p w14:paraId="3B527DD4" w14:textId="77777777" w:rsidR="006E302F" w:rsidRDefault="006E302F" w:rsidP="007D5091">
      <w:pPr>
        <w:tabs>
          <w:tab w:val="left" w:pos="851"/>
        </w:tabs>
        <w:spacing w:after="0" w:line="240" w:lineRule="auto"/>
        <w:ind w:left="1843" w:right="333" w:hanging="567"/>
      </w:pPr>
      <w:r>
        <w:rPr>
          <w:rFonts w:ascii="Arial" w:hAnsi="Arial" w:cs="Arial"/>
          <w:noProof/>
          <w:sz w:val="14"/>
          <w:szCs w:val="14"/>
          <w:lang w:val="es-ES" w:eastAsia="es-ES"/>
        </w:rPr>
        <w:tab/>
        <w:t>INEGI. Encuesta Nacional de Ocupación y Empleo, primer trimestre de 2020.</w:t>
      </w:r>
    </w:p>
    <w:p w14:paraId="66B1F80B" w14:textId="77777777" w:rsidR="006E302F" w:rsidRDefault="006E302F" w:rsidP="006E302F">
      <w:pPr>
        <w:spacing w:after="0" w:line="240" w:lineRule="auto"/>
        <w:ind w:right="49"/>
        <w:jc w:val="both"/>
        <w:rPr>
          <w:rFonts w:ascii="Arial" w:eastAsia="Times New Roman" w:hAnsi="Arial" w:cs="Arial"/>
          <w:bCs/>
          <w:spacing w:val="10"/>
          <w:lang w:val="es-ES_tradnl" w:eastAsia="es-ES"/>
        </w:rPr>
      </w:pPr>
    </w:p>
    <w:p w14:paraId="017D5E88" w14:textId="77777777" w:rsidR="008C75BC" w:rsidRDefault="008C75BC" w:rsidP="009749DA">
      <w:pPr>
        <w:spacing w:after="0" w:line="240" w:lineRule="auto"/>
        <w:ind w:right="49"/>
        <w:rPr>
          <w:rFonts w:ascii="Arial" w:hAnsi="Arial" w:cs="Arial"/>
        </w:rPr>
      </w:pPr>
    </w:p>
    <w:p w14:paraId="410D13FB" w14:textId="1D33484F" w:rsidR="00AB390F" w:rsidRDefault="00E212F9" w:rsidP="009749DA">
      <w:pPr>
        <w:spacing w:after="0" w:line="240" w:lineRule="auto"/>
        <w:ind w:right="49"/>
        <w:jc w:val="both"/>
        <w:rPr>
          <w:rFonts w:ascii="Arial" w:hAnsi="Arial" w:cs="Arial"/>
        </w:rPr>
      </w:pPr>
      <w:r>
        <w:rPr>
          <w:rFonts w:ascii="Arial" w:hAnsi="Arial" w:cs="Arial"/>
        </w:rPr>
        <w:t xml:space="preserve">La </w:t>
      </w:r>
      <w:r w:rsidR="0026789D">
        <w:rPr>
          <w:rFonts w:ascii="Arial" w:hAnsi="Arial" w:cs="Arial"/>
        </w:rPr>
        <w:t xml:space="preserve">Tasa </w:t>
      </w:r>
      <w:r>
        <w:rPr>
          <w:rFonts w:ascii="Arial" w:hAnsi="Arial" w:cs="Arial"/>
        </w:rPr>
        <w:t xml:space="preserve">de </w:t>
      </w:r>
      <w:r w:rsidR="0026789D">
        <w:rPr>
          <w:rFonts w:ascii="Arial" w:hAnsi="Arial" w:cs="Arial"/>
        </w:rPr>
        <w:t xml:space="preserve">Condiciones Críticas </w:t>
      </w:r>
      <w:r>
        <w:rPr>
          <w:rFonts w:ascii="Arial" w:hAnsi="Arial" w:cs="Arial"/>
        </w:rPr>
        <w:t xml:space="preserve">de </w:t>
      </w:r>
      <w:r w:rsidR="0026789D">
        <w:rPr>
          <w:rFonts w:ascii="Arial" w:hAnsi="Arial" w:cs="Arial"/>
        </w:rPr>
        <w:t xml:space="preserve">Ocupación </w:t>
      </w:r>
      <w:r>
        <w:rPr>
          <w:rFonts w:ascii="Arial" w:hAnsi="Arial" w:cs="Arial"/>
        </w:rPr>
        <w:t>(TCCO), que comprende a los ocupados que laboraron menos de 35 horas por razones de mercado, a los que trabajaron entre 35 y 48 horas semanales percibiendo ingresos de hasta un salario mínimo y a los ocupados en jornadas de trabajo por más de 48 horas semanales e ingresos entre uno y d</w:t>
      </w:r>
      <w:r w:rsidR="00AB390F">
        <w:rPr>
          <w:rFonts w:ascii="Arial" w:hAnsi="Arial" w:cs="Arial"/>
        </w:rPr>
        <w:t xml:space="preserve">os salarios mínimos, fue de </w:t>
      </w:r>
      <w:r w:rsidR="00ED59AC">
        <w:rPr>
          <w:rFonts w:ascii="Arial" w:hAnsi="Arial" w:cs="Arial"/>
        </w:rPr>
        <w:t>25.8</w:t>
      </w:r>
      <w:r>
        <w:rPr>
          <w:rFonts w:ascii="Arial" w:hAnsi="Arial" w:cs="Arial"/>
        </w:rPr>
        <w:t xml:space="preserve">% en el </w:t>
      </w:r>
      <w:r w:rsidR="00177B20">
        <w:rPr>
          <w:rFonts w:ascii="Arial" w:hAnsi="Arial" w:cs="Arial"/>
        </w:rPr>
        <w:t>primer</w:t>
      </w:r>
      <w:r>
        <w:rPr>
          <w:rFonts w:ascii="Arial" w:hAnsi="Arial" w:cs="Arial"/>
        </w:rPr>
        <w:t xml:space="preserve"> trimestre de </w:t>
      </w:r>
      <w:r w:rsidR="00177B20">
        <w:rPr>
          <w:rFonts w:ascii="Arial" w:hAnsi="Arial" w:cs="Arial"/>
        </w:rPr>
        <w:t>2021</w:t>
      </w:r>
      <w:r>
        <w:rPr>
          <w:rFonts w:ascii="Arial" w:hAnsi="Arial" w:cs="Arial"/>
        </w:rPr>
        <w:t xml:space="preserve">; correspondiendo a los hombres una tasa de </w:t>
      </w:r>
      <w:r w:rsidR="00ED59AC">
        <w:rPr>
          <w:rFonts w:ascii="Arial" w:hAnsi="Arial" w:cs="Arial"/>
        </w:rPr>
        <w:t>27.5</w:t>
      </w:r>
      <w:r>
        <w:rPr>
          <w:rFonts w:ascii="Arial" w:hAnsi="Arial" w:cs="Arial"/>
        </w:rPr>
        <w:t xml:space="preserve">% y a </w:t>
      </w:r>
      <w:r w:rsidR="00AB390F">
        <w:rPr>
          <w:rFonts w:ascii="Arial" w:hAnsi="Arial" w:cs="Arial"/>
        </w:rPr>
        <w:t>las mujeres de 23 por ciento.</w:t>
      </w:r>
    </w:p>
    <w:p w14:paraId="5369B206" w14:textId="77777777" w:rsidR="00314301" w:rsidRDefault="00314301" w:rsidP="009749DA">
      <w:pPr>
        <w:spacing w:after="0" w:line="240" w:lineRule="auto"/>
        <w:ind w:right="49"/>
        <w:jc w:val="both"/>
        <w:rPr>
          <w:rFonts w:ascii="Arial" w:hAnsi="Arial" w:cs="Arial"/>
        </w:rPr>
      </w:pPr>
    </w:p>
    <w:p w14:paraId="3CA64EC4" w14:textId="58ADED96" w:rsidR="00EB4832" w:rsidRDefault="00FF12F7" w:rsidP="009749DA">
      <w:pPr>
        <w:spacing w:after="0" w:line="240" w:lineRule="auto"/>
        <w:ind w:right="49"/>
        <w:jc w:val="both"/>
        <w:rPr>
          <w:rFonts w:ascii="Arial" w:hAnsi="Arial" w:cs="Arial"/>
        </w:rPr>
      </w:pPr>
      <w:r w:rsidRPr="005B5647">
        <w:rPr>
          <w:rFonts w:ascii="Arial" w:hAnsi="Arial" w:cs="Arial"/>
        </w:rPr>
        <w:t>L</w:t>
      </w:r>
      <w:r w:rsidR="00EB4832" w:rsidRPr="005B5647">
        <w:rPr>
          <w:rFonts w:ascii="Arial" w:hAnsi="Arial" w:cs="Arial"/>
        </w:rPr>
        <w:t xml:space="preserve">a </w:t>
      </w:r>
      <w:r w:rsidR="0026789D">
        <w:rPr>
          <w:rFonts w:ascii="Arial" w:hAnsi="Arial" w:cs="Arial"/>
        </w:rPr>
        <w:t>T</w:t>
      </w:r>
      <w:r w:rsidR="0026789D" w:rsidRPr="005B5647">
        <w:rPr>
          <w:rFonts w:ascii="Arial" w:hAnsi="Arial" w:cs="Arial"/>
        </w:rPr>
        <w:t xml:space="preserve">asa </w:t>
      </w:r>
      <w:r w:rsidR="00EB4832" w:rsidRPr="005B5647">
        <w:rPr>
          <w:rFonts w:ascii="Arial" w:hAnsi="Arial" w:cs="Arial"/>
        </w:rPr>
        <w:t xml:space="preserve">de </w:t>
      </w:r>
      <w:r w:rsidR="0026789D">
        <w:rPr>
          <w:rFonts w:ascii="Arial" w:hAnsi="Arial" w:cs="Arial"/>
        </w:rPr>
        <w:t>S</w:t>
      </w:r>
      <w:r w:rsidR="0026789D" w:rsidRPr="005B5647">
        <w:rPr>
          <w:rFonts w:ascii="Arial" w:hAnsi="Arial" w:cs="Arial"/>
        </w:rPr>
        <w:t xml:space="preserve">ubutilización </w:t>
      </w:r>
      <w:r w:rsidRPr="005B5647">
        <w:rPr>
          <w:rFonts w:ascii="Arial" w:hAnsi="Arial" w:cs="Arial"/>
        </w:rPr>
        <w:t xml:space="preserve">de la </w:t>
      </w:r>
      <w:r w:rsidR="0026789D">
        <w:rPr>
          <w:rFonts w:ascii="Arial" w:hAnsi="Arial" w:cs="Arial"/>
        </w:rPr>
        <w:t>F</w:t>
      </w:r>
      <w:r w:rsidR="0026789D" w:rsidRPr="005B5647">
        <w:rPr>
          <w:rFonts w:ascii="Arial" w:hAnsi="Arial" w:cs="Arial"/>
        </w:rPr>
        <w:t xml:space="preserve">uerza </w:t>
      </w:r>
      <w:r w:rsidRPr="005B5647">
        <w:rPr>
          <w:rFonts w:ascii="Arial" w:hAnsi="Arial" w:cs="Arial"/>
        </w:rPr>
        <w:t xml:space="preserve">de </w:t>
      </w:r>
      <w:r w:rsidR="0026789D">
        <w:rPr>
          <w:rFonts w:ascii="Arial" w:hAnsi="Arial" w:cs="Arial"/>
        </w:rPr>
        <w:t>T</w:t>
      </w:r>
      <w:r w:rsidR="0026789D" w:rsidRPr="005B5647">
        <w:rPr>
          <w:rFonts w:ascii="Arial" w:hAnsi="Arial" w:cs="Arial"/>
        </w:rPr>
        <w:t>rabajo</w:t>
      </w:r>
      <w:r w:rsidR="00F61BF3" w:rsidRPr="005B5647">
        <w:rPr>
          <w:rFonts w:ascii="Arial" w:hAnsi="Arial" w:cs="Arial"/>
        </w:rPr>
        <w:t xml:space="preserve">, que representa </w:t>
      </w:r>
      <w:r w:rsidR="0026789D">
        <w:rPr>
          <w:rFonts w:ascii="Arial" w:hAnsi="Arial" w:cs="Arial"/>
        </w:rPr>
        <w:t xml:space="preserve">a </w:t>
      </w:r>
      <w:r w:rsidR="00F61BF3" w:rsidRPr="005B5647">
        <w:rPr>
          <w:rFonts w:ascii="Arial" w:hAnsi="Arial" w:cs="Arial"/>
        </w:rPr>
        <w:t xml:space="preserve">los desocupados, </w:t>
      </w:r>
      <w:proofErr w:type="spellStart"/>
      <w:r w:rsidR="00F61BF3" w:rsidRPr="005B5647">
        <w:rPr>
          <w:rFonts w:ascii="Arial" w:hAnsi="Arial" w:cs="Arial"/>
        </w:rPr>
        <w:t>subocupados</w:t>
      </w:r>
      <w:proofErr w:type="spellEnd"/>
      <w:r w:rsidR="00F61BF3" w:rsidRPr="005B5647">
        <w:rPr>
          <w:rFonts w:ascii="Arial" w:hAnsi="Arial" w:cs="Arial"/>
        </w:rPr>
        <w:t xml:space="preserve"> y no económicamente activos disponibles para trabajar como porcentaje de la fuerza de trabajo</w:t>
      </w:r>
      <w:r w:rsidRPr="005B5647">
        <w:rPr>
          <w:rFonts w:ascii="Arial" w:hAnsi="Arial" w:cs="Arial"/>
        </w:rPr>
        <w:t xml:space="preserve"> ampliada (población económicamente activa más población no económicamente activa disponible para trabajar)</w:t>
      </w:r>
      <w:r w:rsidR="006974AD" w:rsidRPr="005B5647">
        <w:rPr>
          <w:rFonts w:ascii="Arial" w:hAnsi="Arial" w:cs="Arial"/>
        </w:rPr>
        <w:t xml:space="preserve">, en el </w:t>
      </w:r>
      <w:r w:rsidR="00177B20">
        <w:rPr>
          <w:rFonts w:ascii="Arial" w:hAnsi="Arial" w:cs="Arial"/>
        </w:rPr>
        <w:t>primer</w:t>
      </w:r>
      <w:r w:rsidR="006974AD" w:rsidRPr="005B5647">
        <w:rPr>
          <w:rFonts w:ascii="Arial" w:hAnsi="Arial" w:cs="Arial"/>
        </w:rPr>
        <w:t xml:space="preserve"> trimestre de </w:t>
      </w:r>
      <w:r w:rsidR="00177B20">
        <w:rPr>
          <w:rFonts w:ascii="Arial" w:hAnsi="Arial" w:cs="Arial"/>
        </w:rPr>
        <w:t>2021</w:t>
      </w:r>
      <w:r w:rsidR="006974AD" w:rsidRPr="005B5647">
        <w:rPr>
          <w:rFonts w:ascii="Arial" w:hAnsi="Arial" w:cs="Arial"/>
        </w:rPr>
        <w:t xml:space="preserve"> se ubicó en </w:t>
      </w:r>
      <w:r w:rsidR="00B137FD">
        <w:rPr>
          <w:rFonts w:ascii="Arial" w:hAnsi="Arial" w:cs="Arial"/>
        </w:rPr>
        <w:t>28.4</w:t>
      </w:r>
      <w:r w:rsidR="006974AD" w:rsidRPr="00870F70">
        <w:rPr>
          <w:rFonts w:ascii="Arial" w:hAnsi="Arial" w:cs="Arial"/>
        </w:rPr>
        <w:t xml:space="preserve">%; para los hombres fue de </w:t>
      </w:r>
      <w:r w:rsidR="00B137FD">
        <w:rPr>
          <w:rFonts w:ascii="Arial" w:hAnsi="Arial" w:cs="Arial"/>
        </w:rPr>
        <w:t>24.8</w:t>
      </w:r>
      <w:r w:rsidR="006974AD" w:rsidRPr="00870F70">
        <w:rPr>
          <w:rFonts w:ascii="Arial" w:hAnsi="Arial" w:cs="Arial"/>
        </w:rPr>
        <w:t xml:space="preserve">% y para las mujeres de </w:t>
      </w:r>
      <w:r w:rsidR="00B137FD" w:rsidRPr="00870F70">
        <w:rPr>
          <w:rFonts w:ascii="Arial" w:hAnsi="Arial" w:cs="Arial"/>
        </w:rPr>
        <w:t>3</w:t>
      </w:r>
      <w:r w:rsidR="00B137FD">
        <w:rPr>
          <w:rFonts w:ascii="Arial" w:hAnsi="Arial" w:cs="Arial"/>
        </w:rPr>
        <w:t>3</w:t>
      </w:r>
      <w:r w:rsidR="00870F70" w:rsidRPr="00870F70">
        <w:rPr>
          <w:rFonts w:ascii="Arial" w:hAnsi="Arial" w:cs="Arial"/>
        </w:rPr>
        <w:t>.5</w:t>
      </w:r>
      <w:r w:rsidR="006974AD" w:rsidRPr="00870F70">
        <w:rPr>
          <w:rFonts w:ascii="Arial" w:hAnsi="Arial" w:cs="Arial"/>
        </w:rPr>
        <w:t xml:space="preserve"> por ciento.</w:t>
      </w:r>
    </w:p>
    <w:p w14:paraId="531ECC08" w14:textId="35CDBBB2" w:rsidR="00E56BAF" w:rsidRPr="00FF73EB" w:rsidRDefault="00E56BAF" w:rsidP="009749DA">
      <w:pPr>
        <w:pStyle w:val="n0"/>
        <w:keepLines w:val="0"/>
        <w:spacing w:before="0"/>
        <w:ind w:left="0" w:right="49" w:firstLine="0"/>
        <w:jc w:val="center"/>
        <w:rPr>
          <w:b/>
          <w:smallCaps/>
          <w:color w:val="auto"/>
          <w:sz w:val="22"/>
          <w:szCs w:val="22"/>
        </w:rPr>
      </w:pPr>
      <w:r w:rsidRPr="00FF73EB">
        <w:rPr>
          <w:b/>
          <w:smallCaps/>
          <w:color w:val="auto"/>
          <w:sz w:val="22"/>
          <w:szCs w:val="22"/>
        </w:rPr>
        <w:lastRenderedPageBreak/>
        <w:t xml:space="preserve">tasas de ocupación y empleo </w:t>
      </w:r>
      <w:r>
        <w:rPr>
          <w:b/>
          <w:smallCaps/>
          <w:color w:val="auto"/>
          <w:sz w:val="22"/>
          <w:szCs w:val="22"/>
        </w:rPr>
        <w:t xml:space="preserve">por sexo </w:t>
      </w:r>
      <w:r w:rsidRPr="00FF73EB">
        <w:rPr>
          <w:b/>
          <w:smallCaps/>
          <w:color w:val="auto"/>
          <w:sz w:val="22"/>
          <w:szCs w:val="22"/>
        </w:rPr>
        <w:t xml:space="preserve">durante </w:t>
      </w:r>
      <w:r w:rsidR="00177695">
        <w:rPr>
          <w:b/>
          <w:smallCaps/>
          <w:color w:val="auto"/>
          <w:sz w:val="22"/>
          <w:szCs w:val="22"/>
        </w:rPr>
        <w:t xml:space="preserve">el </w:t>
      </w:r>
      <w:r w:rsidR="00177B20">
        <w:rPr>
          <w:b/>
          <w:smallCaps/>
          <w:color w:val="auto"/>
          <w:sz w:val="22"/>
          <w:szCs w:val="22"/>
        </w:rPr>
        <w:t>primer</w:t>
      </w:r>
      <w:r w:rsidR="00177695">
        <w:rPr>
          <w:b/>
          <w:smallCaps/>
          <w:color w:val="auto"/>
          <w:sz w:val="22"/>
          <w:szCs w:val="22"/>
        </w:rPr>
        <w:t xml:space="preserve"> trimestre</w:t>
      </w:r>
      <w:r w:rsidRPr="00FF73EB">
        <w:rPr>
          <w:b/>
          <w:smallCaps/>
          <w:color w:val="auto"/>
          <w:sz w:val="22"/>
          <w:szCs w:val="22"/>
        </w:rPr>
        <w:t xml:space="preserve"> de </w:t>
      </w:r>
      <w:r w:rsidR="00177B20">
        <w:rPr>
          <w:b/>
          <w:smallCaps/>
          <w:color w:val="auto"/>
          <w:sz w:val="22"/>
          <w:szCs w:val="22"/>
        </w:rPr>
        <w:t>2021</w:t>
      </w:r>
    </w:p>
    <w:p w14:paraId="5F8643B8" w14:textId="39731171" w:rsidR="00E56BAF" w:rsidRPr="003A795B" w:rsidRDefault="003A795B" w:rsidP="009749DA">
      <w:pPr>
        <w:spacing w:after="0" w:line="240" w:lineRule="auto"/>
        <w:ind w:right="51"/>
        <w:jc w:val="center"/>
        <w:rPr>
          <w:rFonts w:ascii="Arial" w:hAnsi="Arial" w:cs="Arial"/>
          <w:smallCaps/>
          <w:sz w:val="16"/>
          <w:szCs w:val="18"/>
        </w:rPr>
      </w:pPr>
      <w:r>
        <w:rPr>
          <w:rFonts w:ascii="Arial" w:hAnsi="Arial" w:cs="Arial"/>
          <w:smallCaps/>
          <w:sz w:val="16"/>
          <w:szCs w:val="18"/>
        </w:rPr>
        <w:t>(P</w:t>
      </w:r>
      <w:r w:rsidRPr="003A795B">
        <w:rPr>
          <w:rFonts w:ascii="Arial" w:hAnsi="Arial" w:cs="Arial"/>
          <w:smallCaps/>
          <w:sz w:val="16"/>
          <w:szCs w:val="18"/>
        </w:rPr>
        <w:t>ORCENTAJE)</w:t>
      </w:r>
    </w:p>
    <w:p w14:paraId="3CE0CA80" w14:textId="1B2BF782" w:rsidR="00E546AE" w:rsidRPr="00E33F09" w:rsidRDefault="0044404D">
      <w:pPr>
        <w:spacing w:after="0" w:line="240" w:lineRule="auto"/>
        <w:ind w:right="51"/>
        <w:jc w:val="center"/>
        <w:rPr>
          <w:rFonts w:ascii="Arial" w:hAnsi="Arial" w:cs="Arial"/>
          <w:smallCaps/>
          <w:sz w:val="18"/>
          <w:szCs w:val="18"/>
        </w:rPr>
      </w:pPr>
      <w:r w:rsidRPr="0044404D">
        <w:rPr>
          <w:noProof/>
        </w:rPr>
        <w:drawing>
          <wp:inline distT="0" distB="0" distL="0" distR="0" wp14:anchorId="1643B1AA" wp14:editId="7971BB50">
            <wp:extent cx="4991100" cy="352425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991100" cy="3524250"/>
                    </a:xfrm>
                    <a:prstGeom prst="rect">
                      <a:avLst/>
                    </a:prstGeom>
                    <a:noFill/>
                    <a:ln>
                      <a:noFill/>
                    </a:ln>
                  </pic:spPr>
                </pic:pic>
              </a:graphicData>
            </a:graphic>
          </wp:inline>
        </w:drawing>
      </w:r>
    </w:p>
    <w:p w14:paraId="16C5767B" w14:textId="77777777" w:rsidR="00A540EA" w:rsidRPr="00657781" w:rsidRDefault="005563F6" w:rsidP="007D5091">
      <w:pPr>
        <w:spacing w:after="0" w:line="240" w:lineRule="auto"/>
        <w:ind w:left="1134" w:right="49" w:hanging="567"/>
        <w:rPr>
          <w:rFonts w:ascii="Arial" w:hAnsi="Arial" w:cs="Arial"/>
          <w:noProof/>
          <w:sz w:val="14"/>
          <w:szCs w:val="14"/>
          <w:lang w:val="es-ES" w:eastAsia="es-ES"/>
        </w:rPr>
      </w:pPr>
      <w:r>
        <w:rPr>
          <w:rFonts w:ascii="Arial" w:hAnsi="Arial" w:cs="Arial"/>
          <w:noProof/>
          <w:sz w:val="14"/>
          <w:szCs w:val="14"/>
          <w:lang w:val="es-ES" w:eastAsia="es-ES"/>
        </w:rPr>
        <w:t xml:space="preserve">       </w:t>
      </w:r>
      <w:r w:rsidR="00A540EA" w:rsidRPr="00657781">
        <w:rPr>
          <w:rFonts w:ascii="Arial" w:hAnsi="Arial" w:cs="Arial"/>
          <w:noProof/>
          <w:sz w:val="14"/>
          <w:szCs w:val="14"/>
          <w:lang w:val="es-ES" w:eastAsia="es-ES"/>
        </w:rPr>
        <w:t>* Se omite la comparación con el año previo por el cambio en los niveles del salario mínimo.</w:t>
      </w:r>
    </w:p>
    <w:p w14:paraId="26C51FE5" w14:textId="77777777" w:rsidR="006E302F" w:rsidRDefault="006E302F" w:rsidP="007D5091">
      <w:pPr>
        <w:tabs>
          <w:tab w:val="left" w:pos="851"/>
        </w:tabs>
        <w:spacing w:after="0" w:line="240" w:lineRule="auto"/>
        <w:ind w:left="1134" w:right="333" w:hanging="567"/>
        <w:rPr>
          <w:rFonts w:ascii="Arial" w:hAnsi="Arial" w:cs="Arial"/>
          <w:noProof/>
          <w:sz w:val="14"/>
          <w:szCs w:val="14"/>
          <w:lang w:val="es-ES" w:eastAsia="es-ES"/>
        </w:rPr>
      </w:pPr>
      <w:r>
        <w:rPr>
          <w:rFonts w:ascii="Arial" w:hAnsi="Arial" w:cs="Arial"/>
          <w:noProof/>
          <w:sz w:val="14"/>
          <w:szCs w:val="14"/>
          <w:lang w:val="es-ES" w:eastAsia="es-ES"/>
        </w:rPr>
        <w:t>Fuente:</w:t>
      </w:r>
      <w:r>
        <w:rPr>
          <w:rFonts w:ascii="Arial" w:hAnsi="Arial" w:cs="Arial"/>
          <w:noProof/>
          <w:sz w:val="14"/>
          <w:szCs w:val="14"/>
          <w:lang w:val="es-ES" w:eastAsia="es-ES"/>
        </w:rPr>
        <w:tab/>
        <w:t>INEGI. Encuesta Nacional de Ocupación y Empleo. Nueva Edición, primer trimestre de 2021.</w:t>
      </w:r>
    </w:p>
    <w:p w14:paraId="73656017" w14:textId="1E2AFE19" w:rsidR="006E302F" w:rsidRDefault="007D5091" w:rsidP="007D5091">
      <w:pPr>
        <w:tabs>
          <w:tab w:val="left" w:pos="851"/>
        </w:tabs>
        <w:spacing w:after="0" w:line="240" w:lineRule="auto"/>
        <w:ind w:left="1134" w:right="333" w:hanging="567"/>
      </w:pPr>
      <w:r>
        <w:rPr>
          <w:rFonts w:ascii="Arial" w:hAnsi="Arial" w:cs="Arial"/>
          <w:noProof/>
          <w:sz w:val="14"/>
          <w:szCs w:val="14"/>
          <w:lang w:val="es-ES" w:eastAsia="es-ES"/>
        </w:rPr>
        <w:tab/>
      </w:r>
      <w:r w:rsidR="006E302F">
        <w:rPr>
          <w:rFonts w:ascii="Arial" w:hAnsi="Arial" w:cs="Arial"/>
          <w:noProof/>
          <w:sz w:val="14"/>
          <w:szCs w:val="14"/>
          <w:lang w:val="es-ES" w:eastAsia="es-ES"/>
        </w:rPr>
        <w:tab/>
        <w:t>INEGI. Encuesta Nacional de Ocupación y Empleo, primer trimestre de 2020.</w:t>
      </w:r>
    </w:p>
    <w:p w14:paraId="132452A3" w14:textId="77777777" w:rsidR="006E302F" w:rsidRDefault="006E302F" w:rsidP="006E302F">
      <w:pPr>
        <w:spacing w:after="0" w:line="240" w:lineRule="auto"/>
        <w:ind w:right="49"/>
        <w:jc w:val="both"/>
        <w:rPr>
          <w:rFonts w:ascii="Arial" w:eastAsia="Times New Roman" w:hAnsi="Arial" w:cs="Arial"/>
          <w:bCs/>
          <w:spacing w:val="10"/>
          <w:lang w:val="es-ES_tradnl" w:eastAsia="es-ES"/>
        </w:rPr>
      </w:pPr>
    </w:p>
    <w:p w14:paraId="1B0FA265" w14:textId="77777777" w:rsidR="008031AA" w:rsidRDefault="008031AA" w:rsidP="009749DA">
      <w:pPr>
        <w:pStyle w:val="n0"/>
        <w:keepLines w:val="0"/>
        <w:spacing w:before="0"/>
        <w:ind w:left="0" w:right="49" w:firstLine="0"/>
        <w:rPr>
          <w:bCs/>
          <w:color w:val="auto"/>
          <w:spacing w:val="10"/>
          <w:sz w:val="22"/>
          <w:szCs w:val="22"/>
        </w:rPr>
      </w:pPr>
      <w:r>
        <w:rPr>
          <w:bCs/>
          <w:color w:val="auto"/>
          <w:spacing w:val="10"/>
          <w:sz w:val="22"/>
          <w:szCs w:val="22"/>
        </w:rPr>
        <w:t>La ENOE</w:t>
      </w:r>
      <w:r w:rsidRPr="008031AA">
        <w:rPr>
          <w:bCs/>
          <w:color w:val="auto"/>
          <w:spacing w:val="10"/>
          <w:sz w:val="22"/>
          <w:szCs w:val="22"/>
          <w:vertAlign w:val="superscript"/>
        </w:rPr>
        <w:t>N</w:t>
      </w:r>
      <w:r>
        <w:rPr>
          <w:bCs/>
          <w:color w:val="auto"/>
          <w:spacing w:val="10"/>
          <w:sz w:val="22"/>
          <w:szCs w:val="22"/>
        </w:rPr>
        <w:t xml:space="preserve"> trimestral ofrece además información para diferentes dominios, entre ellos por tamaño de la localidad, entidad federativa y ciudades. En los siguientes apartados se presenta información básica sobre la ocupación y el empleo para dichos dominios.</w:t>
      </w:r>
    </w:p>
    <w:p w14:paraId="13CC1199" w14:textId="77777777" w:rsidR="001125B3" w:rsidRDefault="001125B3">
      <w:pPr>
        <w:rPr>
          <w:rFonts w:ascii="Arial" w:eastAsia="Times New Roman" w:hAnsi="Arial" w:cs="Arial"/>
          <w:b/>
          <w:smallCaps/>
          <w:lang w:val="es-ES_tradnl" w:eastAsia="es-ES"/>
        </w:rPr>
      </w:pPr>
      <w:r>
        <w:rPr>
          <w:b/>
          <w:smallCaps/>
        </w:rPr>
        <w:br w:type="page"/>
      </w:r>
    </w:p>
    <w:p w14:paraId="3DF47863" w14:textId="2D14D8C0" w:rsidR="00350F1A" w:rsidRPr="00C63172" w:rsidRDefault="00350F1A" w:rsidP="009749DA">
      <w:pPr>
        <w:pStyle w:val="n0"/>
        <w:keepLines w:val="0"/>
        <w:spacing w:before="0"/>
        <w:ind w:left="0" w:right="49" w:firstLine="0"/>
        <w:jc w:val="left"/>
        <w:rPr>
          <w:b/>
          <w:smallCaps/>
          <w:color w:val="auto"/>
          <w:sz w:val="22"/>
          <w:szCs w:val="22"/>
        </w:rPr>
      </w:pPr>
      <w:r>
        <w:rPr>
          <w:b/>
          <w:smallCaps/>
          <w:color w:val="auto"/>
          <w:sz w:val="22"/>
          <w:szCs w:val="22"/>
        </w:rPr>
        <w:lastRenderedPageBreak/>
        <w:t xml:space="preserve">indicadores de ocupación y empleo </w:t>
      </w:r>
      <w:r w:rsidR="008031AA">
        <w:rPr>
          <w:b/>
          <w:smallCaps/>
          <w:color w:val="auto"/>
          <w:sz w:val="22"/>
          <w:szCs w:val="22"/>
        </w:rPr>
        <w:t>por tamaño de la localidad</w:t>
      </w:r>
    </w:p>
    <w:p w14:paraId="66BB4E2C" w14:textId="77777777" w:rsidR="00350F1A" w:rsidRPr="006E2E20" w:rsidRDefault="00350F1A" w:rsidP="009749DA">
      <w:pPr>
        <w:pStyle w:val="n0"/>
        <w:keepLines w:val="0"/>
        <w:spacing w:before="0"/>
        <w:ind w:left="0" w:right="49" w:firstLine="0"/>
        <w:rPr>
          <w:b/>
          <w:smallCaps/>
          <w:color w:val="auto"/>
          <w:sz w:val="22"/>
          <w:szCs w:val="22"/>
        </w:rPr>
      </w:pPr>
    </w:p>
    <w:p w14:paraId="3AB2D084" w14:textId="735AF8AD" w:rsidR="00314BF4" w:rsidRDefault="000E19FE" w:rsidP="009749DA">
      <w:pPr>
        <w:pStyle w:val="n0"/>
        <w:keepLines w:val="0"/>
        <w:spacing w:before="0"/>
        <w:ind w:left="0" w:right="51" w:firstLine="0"/>
        <w:contextualSpacing/>
        <w:rPr>
          <w:bCs/>
          <w:color w:val="auto"/>
          <w:spacing w:val="10"/>
          <w:sz w:val="22"/>
          <w:szCs w:val="22"/>
        </w:rPr>
      </w:pPr>
      <w:r>
        <w:rPr>
          <w:bCs/>
          <w:color w:val="auto"/>
          <w:spacing w:val="10"/>
          <w:sz w:val="22"/>
          <w:szCs w:val="22"/>
        </w:rPr>
        <w:t xml:space="preserve">Considerando el tamaño de la localidad </w:t>
      </w:r>
      <w:r w:rsidR="001327FB">
        <w:rPr>
          <w:bCs/>
          <w:color w:val="auto"/>
          <w:spacing w:val="10"/>
          <w:sz w:val="22"/>
          <w:szCs w:val="22"/>
        </w:rPr>
        <w:t>se observan</w:t>
      </w:r>
      <w:r>
        <w:rPr>
          <w:bCs/>
          <w:color w:val="auto"/>
          <w:spacing w:val="10"/>
          <w:sz w:val="22"/>
          <w:szCs w:val="22"/>
        </w:rPr>
        <w:t xml:space="preserve"> tasa</w:t>
      </w:r>
      <w:r w:rsidR="006A352A">
        <w:rPr>
          <w:bCs/>
          <w:color w:val="auto"/>
          <w:spacing w:val="10"/>
          <w:sz w:val="22"/>
          <w:szCs w:val="22"/>
        </w:rPr>
        <w:t>s</w:t>
      </w:r>
      <w:r>
        <w:rPr>
          <w:bCs/>
          <w:color w:val="auto"/>
          <w:spacing w:val="10"/>
          <w:sz w:val="22"/>
          <w:szCs w:val="22"/>
        </w:rPr>
        <w:t xml:space="preserve"> de participación económica más bajas en contextos rurales, la</w:t>
      </w:r>
      <w:r w:rsidR="00E67D43">
        <w:rPr>
          <w:bCs/>
          <w:color w:val="auto"/>
          <w:spacing w:val="10"/>
          <w:sz w:val="22"/>
          <w:szCs w:val="22"/>
        </w:rPr>
        <w:t>s</w:t>
      </w:r>
      <w:r>
        <w:rPr>
          <w:bCs/>
          <w:color w:val="auto"/>
          <w:spacing w:val="10"/>
          <w:sz w:val="22"/>
          <w:szCs w:val="22"/>
        </w:rPr>
        <w:t xml:space="preserve"> cual</w:t>
      </w:r>
      <w:r w:rsidR="00E67D43">
        <w:rPr>
          <w:bCs/>
          <w:color w:val="auto"/>
          <w:spacing w:val="10"/>
          <w:sz w:val="22"/>
          <w:szCs w:val="22"/>
        </w:rPr>
        <w:t>es</w:t>
      </w:r>
      <w:r>
        <w:rPr>
          <w:bCs/>
          <w:color w:val="auto"/>
          <w:spacing w:val="10"/>
          <w:sz w:val="22"/>
          <w:szCs w:val="22"/>
        </w:rPr>
        <w:t xml:space="preserve"> aumenta</w:t>
      </w:r>
      <w:r w:rsidR="00E67D43">
        <w:rPr>
          <w:bCs/>
          <w:color w:val="auto"/>
          <w:spacing w:val="10"/>
          <w:sz w:val="22"/>
          <w:szCs w:val="22"/>
        </w:rPr>
        <w:t>n</w:t>
      </w:r>
      <w:r>
        <w:rPr>
          <w:bCs/>
          <w:color w:val="auto"/>
          <w:spacing w:val="10"/>
          <w:sz w:val="22"/>
          <w:szCs w:val="22"/>
        </w:rPr>
        <w:t xml:space="preserve"> a medida que el grado de urbanización es mayor; así </w:t>
      </w:r>
      <w:r w:rsidR="000D654B">
        <w:rPr>
          <w:bCs/>
          <w:color w:val="auto"/>
          <w:spacing w:val="10"/>
          <w:sz w:val="22"/>
          <w:szCs w:val="22"/>
        </w:rPr>
        <w:t xml:space="preserve">se tiene </w:t>
      </w:r>
      <w:r>
        <w:rPr>
          <w:bCs/>
          <w:color w:val="auto"/>
          <w:spacing w:val="10"/>
          <w:sz w:val="22"/>
          <w:szCs w:val="22"/>
        </w:rPr>
        <w:t xml:space="preserve">que en las localidades rurales el </w:t>
      </w:r>
      <w:r w:rsidR="000851E5">
        <w:rPr>
          <w:bCs/>
          <w:color w:val="auto"/>
          <w:spacing w:val="10"/>
          <w:sz w:val="22"/>
          <w:szCs w:val="22"/>
        </w:rPr>
        <w:t>54.7</w:t>
      </w:r>
      <w:r>
        <w:rPr>
          <w:bCs/>
          <w:color w:val="auto"/>
          <w:spacing w:val="10"/>
          <w:sz w:val="22"/>
          <w:szCs w:val="22"/>
        </w:rPr>
        <w:t>% de la población de 15 y más años participa en activi</w:t>
      </w:r>
      <w:r w:rsidR="005B5647">
        <w:rPr>
          <w:bCs/>
          <w:color w:val="auto"/>
          <w:spacing w:val="10"/>
          <w:sz w:val="22"/>
          <w:szCs w:val="22"/>
        </w:rPr>
        <w:t xml:space="preserve">dades económicas, frente al </w:t>
      </w:r>
      <w:r w:rsidR="000851E5">
        <w:rPr>
          <w:bCs/>
          <w:color w:val="auto"/>
          <w:spacing w:val="10"/>
          <w:sz w:val="22"/>
          <w:szCs w:val="22"/>
        </w:rPr>
        <w:t>57.4</w:t>
      </w:r>
      <w:r>
        <w:rPr>
          <w:bCs/>
          <w:color w:val="auto"/>
          <w:spacing w:val="10"/>
          <w:sz w:val="22"/>
          <w:szCs w:val="22"/>
        </w:rPr>
        <w:t xml:space="preserve">% en las localidades de 100 mil </w:t>
      </w:r>
      <w:r w:rsidR="008B7EB4">
        <w:rPr>
          <w:bCs/>
          <w:color w:val="auto"/>
          <w:spacing w:val="10"/>
          <w:sz w:val="22"/>
          <w:szCs w:val="22"/>
        </w:rPr>
        <w:t xml:space="preserve">y más </w:t>
      </w:r>
      <w:r>
        <w:rPr>
          <w:bCs/>
          <w:color w:val="auto"/>
          <w:spacing w:val="10"/>
          <w:sz w:val="22"/>
          <w:szCs w:val="22"/>
        </w:rPr>
        <w:t>habitantes</w:t>
      </w:r>
      <w:r w:rsidR="00314BF4">
        <w:rPr>
          <w:bCs/>
          <w:color w:val="auto"/>
          <w:spacing w:val="10"/>
          <w:sz w:val="22"/>
          <w:szCs w:val="22"/>
        </w:rPr>
        <w:t xml:space="preserve">. La situación según sexo en el caso de las mujeres es </w:t>
      </w:r>
      <w:r w:rsidR="000851E5">
        <w:rPr>
          <w:bCs/>
          <w:color w:val="auto"/>
          <w:spacing w:val="10"/>
          <w:sz w:val="22"/>
          <w:szCs w:val="22"/>
        </w:rPr>
        <w:t>de 31.6% y 45.2% respectivamente</w:t>
      </w:r>
      <w:r w:rsidR="00314BF4">
        <w:rPr>
          <w:bCs/>
          <w:color w:val="auto"/>
          <w:spacing w:val="10"/>
          <w:sz w:val="22"/>
          <w:szCs w:val="22"/>
        </w:rPr>
        <w:t xml:space="preserve">, mientras que en los hombres la tasa de participación económica es más elevada en las localidades rurales </w:t>
      </w:r>
      <w:r w:rsidR="000B256D">
        <w:rPr>
          <w:bCs/>
          <w:color w:val="auto"/>
          <w:spacing w:val="10"/>
          <w:sz w:val="22"/>
          <w:szCs w:val="22"/>
        </w:rPr>
        <w:t xml:space="preserve">(79.3%) </w:t>
      </w:r>
      <w:r w:rsidR="00314BF4">
        <w:rPr>
          <w:bCs/>
          <w:color w:val="auto"/>
          <w:spacing w:val="10"/>
          <w:sz w:val="22"/>
          <w:szCs w:val="22"/>
        </w:rPr>
        <w:t>en comparación con las áreas más urbanizadas</w:t>
      </w:r>
      <w:r w:rsidR="000B256D">
        <w:rPr>
          <w:bCs/>
          <w:color w:val="auto"/>
          <w:spacing w:val="10"/>
          <w:sz w:val="22"/>
          <w:szCs w:val="22"/>
        </w:rPr>
        <w:t xml:space="preserve"> (71%)</w:t>
      </w:r>
      <w:r w:rsidR="00314BF4">
        <w:rPr>
          <w:bCs/>
          <w:color w:val="auto"/>
          <w:spacing w:val="10"/>
          <w:sz w:val="22"/>
          <w:szCs w:val="22"/>
        </w:rPr>
        <w:t>.</w:t>
      </w:r>
    </w:p>
    <w:p w14:paraId="78F62C52" w14:textId="77777777" w:rsidR="00314BF4" w:rsidRDefault="00314BF4" w:rsidP="009749DA">
      <w:pPr>
        <w:pStyle w:val="n0"/>
        <w:keepLines w:val="0"/>
        <w:spacing w:before="0"/>
        <w:ind w:left="0" w:right="51" w:firstLine="0"/>
        <w:contextualSpacing/>
        <w:rPr>
          <w:bCs/>
          <w:color w:val="auto"/>
          <w:spacing w:val="10"/>
          <w:sz w:val="22"/>
          <w:szCs w:val="22"/>
        </w:rPr>
      </w:pPr>
    </w:p>
    <w:p w14:paraId="170F33DD" w14:textId="77777777" w:rsidR="00EB42D1" w:rsidRDefault="00314BF4" w:rsidP="00194332">
      <w:pPr>
        <w:pStyle w:val="n0"/>
        <w:keepLines w:val="0"/>
        <w:spacing w:before="0"/>
        <w:ind w:left="0" w:right="51" w:firstLine="0"/>
        <w:contextualSpacing/>
        <w:rPr>
          <w:bCs/>
          <w:color w:val="auto"/>
          <w:spacing w:val="10"/>
          <w:sz w:val="22"/>
          <w:szCs w:val="22"/>
        </w:rPr>
      </w:pPr>
      <w:r>
        <w:rPr>
          <w:bCs/>
          <w:color w:val="auto"/>
          <w:spacing w:val="10"/>
          <w:sz w:val="22"/>
          <w:szCs w:val="22"/>
        </w:rPr>
        <w:t xml:space="preserve">Por su parte, </w:t>
      </w:r>
      <w:r w:rsidR="000E19FE">
        <w:rPr>
          <w:bCs/>
          <w:color w:val="auto"/>
          <w:spacing w:val="10"/>
          <w:sz w:val="22"/>
          <w:szCs w:val="22"/>
        </w:rPr>
        <w:t>el nivel de desocupación e</w:t>
      </w:r>
      <w:r>
        <w:rPr>
          <w:bCs/>
          <w:color w:val="auto"/>
          <w:spacing w:val="10"/>
          <w:sz w:val="22"/>
          <w:szCs w:val="22"/>
        </w:rPr>
        <w:t>s</w:t>
      </w:r>
      <w:r w:rsidR="000E19FE">
        <w:rPr>
          <w:bCs/>
          <w:color w:val="auto"/>
          <w:spacing w:val="10"/>
          <w:sz w:val="22"/>
          <w:szCs w:val="22"/>
        </w:rPr>
        <w:t xml:space="preserve"> menor en los mercados de trabajo rurales comparados con los mercado</w:t>
      </w:r>
      <w:r>
        <w:rPr>
          <w:bCs/>
          <w:color w:val="auto"/>
          <w:spacing w:val="10"/>
          <w:sz w:val="22"/>
          <w:szCs w:val="22"/>
        </w:rPr>
        <w:t>s urbanos, los cuales presentan un mayor grado de desarrollo y diversificación de las actividades productivas; y dicho comportamiento es similar, tanto para el total nacional como en su división por sexo.</w:t>
      </w:r>
    </w:p>
    <w:p w14:paraId="7D7534ED" w14:textId="77777777" w:rsidR="00C7495D" w:rsidRPr="00C7495D" w:rsidRDefault="00C7495D" w:rsidP="00194332">
      <w:pPr>
        <w:pStyle w:val="n0"/>
        <w:keepLines w:val="0"/>
        <w:spacing w:before="0"/>
        <w:ind w:left="0" w:right="51" w:firstLine="0"/>
        <w:contextualSpacing/>
        <w:rPr>
          <w:bCs/>
          <w:color w:val="auto"/>
          <w:spacing w:val="10"/>
          <w:sz w:val="22"/>
          <w:szCs w:val="22"/>
        </w:rPr>
      </w:pPr>
    </w:p>
    <w:p w14:paraId="3D455251" w14:textId="15056D14" w:rsidR="00CB6162" w:rsidRPr="007E2E7F" w:rsidRDefault="00FA6FA1" w:rsidP="009749DA">
      <w:pPr>
        <w:pStyle w:val="n0"/>
        <w:keepLines w:val="0"/>
        <w:spacing w:before="0"/>
        <w:ind w:left="0" w:right="49" w:firstLine="0"/>
        <w:jc w:val="center"/>
        <w:rPr>
          <w:b/>
          <w:smallCaps/>
          <w:color w:val="auto"/>
          <w:sz w:val="22"/>
          <w:szCs w:val="22"/>
        </w:rPr>
      </w:pPr>
      <w:r w:rsidRPr="007E2E7F">
        <w:rPr>
          <w:b/>
          <w:smallCaps/>
          <w:color w:val="auto"/>
          <w:sz w:val="22"/>
          <w:szCs w:val="22"/>
        </w:rPr>
        <w:t>C</w:t>
      </w:r>
      <w:r w:rsidR="00CB6162" w:rsidRPr="007E2E7F">
        <w:rPr>
          <w:b/>
          <w:smallCaps/>
          <w:color w:val="auto"/>
          <w:sz w:val="22"/>
          <w:szCs w:val="22"/>
        </w:rPr>
        <w:t xml:space="preserve">ondición de actividad, de ocupación y </w:t>
      </w:r>
      <w:r w:rsidRPr="007E2E7F">
        <w:rPr>
          <w:b/>
          <w:smallCaps/>
          <w:color w:val="auto"/>
          <w:sz w:val="22"/>
          <w:szCs w:val="22"/>
        </w:rPr>
        <w:t xml:space="preserve">disponibilidad para trabajar </w:t>
      </w:r>
      <w:r w:rsidR="00CB6162" w:rsidRPr="007E2E7F">
        <w:rPr>
          <w:b/>
          <w:smallCaps/>
          <w:color w:val="auto"/>
          <w:sz w:val="22"/>
          <w:szCs w:val="22"/>
        </w:rPr>
        <w:br/>
        <w:t xml:space="preserve">por tamaño de la localidad durante el </w:t>
      </w:r>
      <w:r w:rsidR="00177B20" w:rsidRPr="007E2E7F">
        <w:rPr>
          <w:b/>
          <w:smallCaps/>
          <w:color w:val="auto"/>
          <w:sz w:val="22"/>
          <w:szCs w:val="22"/>
        </w:rPr>
        <w:t>primer</w:t>
      </w:r>
      <w:r w:rsidR="00CB6162" w:rsidRPr="007E2E7F">
        <w:rPr>
          <w:b/>
          <w:smallCaps/>
          <w:color w:val="auto"/>
          <w:sz w:val="22"/>
          <w:szCs w:val="22"/>
        </w:rPr>
        <w:t xml:space="preserve"> trimestre de </w:t>
      </w:r>
      <w:r w:rsidR="00177B20" w:rsidRPr="007E2E7F">
        <w:rPr>
          <w:b/>
          <w:smallCaps/>
          <w:color w:val="auto"/>
          <w:sz w:val="22"/>
          <w:szCs w:val="22"/>
        </w:rPr>
        <w:t>2021</w:t>
      </w:r>
    </w:p>
    <w:p w14:paraId="2773CDA3" w14:textId="77777777" w:rsidR="00FA6FA1" w:rsidRPr="00FA6FA1" w:rsidRDefault="00FA6FA1" w:rsidP="009749DA">
      <w:pPr>
        <w:pStyle w:val="n0"/>
        <w:keepLines w:val="0"/>
        <w:spacing w:before="0"/>
        <w:ind w:left="0" w:right="49" w:firstLine="0"/>
        <w:jc w:val="center"/>
        <w:rPr>
          <w:smallCaps/>
          <w:color w:val="auto"/>
          <w:sz w:val="22"/>
          <w:szCs w:val="22"/>
        </w:rPr>
      </w:pPr>
      <w:r w:rsidRPr="007E2E7F">
        <w:rPr>
          <w:smallCaps/>
          <w:color w:val="auto"/>
          <w:sz w:val="22"/>
          <w:szCs w:val="22"/>
        </w:rPr>
        <w:t>(personas y porcentaje)</w:t>
      </w:r>
    </w:p>
    <w:p w14:paraId="44691871" w14:textId="3502DF21" w:rsidR="00C30B97" w:rsidRDefault="0044404D" w:rsidP="009749DA">
      <w:pPr>
        <w:pStyle w:val="n0"/>
        <w:keepLines w:val="0"/>
        <w:spacing w:before="0"/>
        <w:ind w:left="0" w:right="49" w:firstLine="0"/>
        <w:jc w:val="center"/>
        <w:rPr>
          <w:b/>
          <w:smallCaps/>
          <w:color w:val="auto"/>
          <w:sz w:val="22"/>
          <w:szCs w:val="22"/>
        </w:rPr>
      </w:pPr>
      <w:r w:rsidRPr="0044404D">
        <w:rPr>
          <w:noProof/>
        </w:rPr>
        <w:drawing>
          <wp:inline distT="0" distB="0" distL="0" distR="0" wp14:anchorId="53EBFDE6" wp14:editId="54241316">
            <wp:extent cx="5760720" cy="3790539"/>
            <wp:effectExtent l="0" t="0" r="0" b="63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60720" cy="3790539"/>
                    </a:xfrm>
                    <a:prstGeom prst="rect">
                      <a:avLst/>
                    </a:prstGeom>
                    <a:noFill/>
                    <a:ln>
                      <a:noFill/>
                    </a:ln>
                  </pic:spPr>
                </pic:pic>
              </a:graphicData>
            </a:graphic>
          </wp:inline>
        </w:drawing>
      </w:r>
    </w:p>
    <w:p w14:paraId="66F65DF8" w14:textId="77777777" w:rsidR="0095099D" w:rsidRPr="00EF27C2" w:rsidRDefault="0095099D" w:rsidP="009749DA">
      <w:pPr>
        <w:pStyle w:val="n0"/>
        <w:keepLines w:val="0"/>
        <w:tabs>
          <w:tab w:val="left" w:pos="567"/>
          <w:tab w:val="left" w:pos="1350"/>
          <w:tab w:val="left" w:pos="2190"/>
          <w:tab w:val="left" w:pos="3752"/>
        </w:tabs>
        <w:spacing w:before="0"/>
        <w:ind w:left="284" w:right="191" w:hanging="284"/>
        <w:jc w:val="left"/>
        <w:rPr>
          <w:color w:val="auto"/>
          <w:sz w:val="14"/>
          <w:szCs w:val="16"/>
        </w:rPr>
      </w:pPr>
      <w:r w:rsidRPr="00EF27C2">
        <w:rPr>
          <w:color w:val="auto"/>
          <w:sz w:val="16"/>
          <w:szCs w:val="18"/>
          <w:vertAlign w:val="superscript"/>
        </w:rPr>
        <w:t>1/</w:t>
      </w:r>
      <w:r w:rsidRPr="00EF27C2">
        <w:rPr>
          <w:color w:val="auto"/>
          <w:sz w:val="16"/>
          <w:szCs w:val="18"/>
          <w:vertAlign w:val="superscript"/>
        </w:rPr>
        <w:tab/>
      </w:r>
      <w:r>
        <w:rPr>
          <w:color w:val="000000" w:themeColor="text1"/>
          <w:sz w:val="14"/>
          <w:szCs w:val="16"/>
        </w:rPr>
        <w:t>Localidades de 100 mil y más habitantes.</w:t>
      </w:r>
    </w:p>
    <w:p w14:paraId="147FE12B" w14:textId="77777777" w:rsidR="0095099D" w:rsidRPr="00EF27C2" w:rsidRDefault="0095099D" w:rsidP="009749DA">
      <w:pPr>
        <w:pStyle w:val="n0"/>
        <w:keepLines w:val="0"/>
        <w:tabs>
          <w:tab w:val="left" w:pos="567"/>
          <w:tab w:val="left" w:pos="1350"/>
          <w:tab w:val="left" w:pos="2190"/>
          <w:tab w:val="left" w:pos="3752"/>
        </w:tabs>
        <w:spacing w:before="0"/>
        <w:ind w:left="284" w:right="191" w:hanging="284"/>
        <w:jc w:val="left"/>
        <w:rPr>
          <w:color w:val="auto"/>
          <w:sz w:val="14"/>
          <w:szCs w:val="16"/>
        </w:rPr>
      </w:pPr>
      <w:r w:rsidRPr="00EF27C2">
        <w:rPr>
          <w:color w:val="auto"/>
          <w:sz w:val="16"/>
          <w:szCs w:val="18"/>
          <w:vertAlign w:val="superscript"/>
        </w:rPr>
        <w:t>2/</w:t>
      </w:r>
      <w:r w:rsidRPr="00EF27C2">
        <w:rPr>
          <w:color w:val="auto"/>
          <w:sz w:val="14"/>
          <w:szCs w:val="16"/>
          <w:vertAlign w:val="superscript"/>
        </w:rPr>
        <w:tab/>
      </w:r>
      <w:r>
        <w:rPr>
          <w:color w:val="000000" w:themeColor="text1"/>
          <w:sz w:val="14"/>
          <w:szCs w:val="16"/>
        </w:rPr>
        <w:t>Localidades de 15 mil a menos de 100 mil habitantes.</w:t>
      </w:r>
    </w:p>
    <w:p w14:paraId="08EDDB95" w14:textId="77777777" w:rsidR="005802F2" w:rsidRDefault="0095099D" w:rsidP="009749DA">
      <w:pPr>
        <w:pStyle w:val="n0"/>
        <w:keepLines w:val="0"/>
        <w:spacing w:before="0"/>
        <w:ind w:left="284" w:right="49" w:hanging="284"/>
        <w:rPr>
          <w:color w:val="000000" w:themeColor="text1"/>
          <w:sz w:val="14"/>
          <w:szCs w:val="16"/>
        </w:rPr>
      </w:pPr>
      <w:r w:rsidRPr="00EF27C2">
        <w:rPr>
          <w:color w:val="auto"/>
          <w:sz w:val="16"/>
          <w:szCs w:val="18"/>
          <w:vertAlign w:val="superscript"/>
        </w:rPr>
        <w:t>3/</w:t>
      </w:r>
      <w:r>
        <w:rPr>
          <w:color w:val="auto"/>
          <w:sz w:val="16"/>
          <w:szCs w:val="18"/>
          <w:vertAlign w:val="superscript"/>
        </w:rPr>
        <w:tab/>
      </w:r>
      <w:r>
        <w:rPr>
          <w:color w:val="000000" w:themeColor="text1"/>
          <w:sz w:val="14"/>
          <w:szCs w:val="16"/>
        </w:rPr>
        <w:t>Localidades de 2,500 a menos de 15 mil habitantes</w:t>
      </w:r>
    </w:p>
    <w:p w14:paraId="280D9602" w14:textId="77777777" w:rsidR="0095099D" w:rsidRDefault="0095099D" w:rsidP="009749DA">
      <w:pPr>
        <w:pStyle w:val="n0"/>
        <w:keepLines w:val="0"/>
        <w:spacing w:before="0"/>
        <w:ind w:left="284" w:right="49" w:hanging="284"/>
        <w:rPr>
          <w:color w:val="000000" w:themeColor="text1"/>
          <w:sz w:val="14"/>
          <w:szCs w:val="16"/>
        </w:rPr>
      </w:pPr>
      <w:r>
        <w:rPr>
          <w:color w:val="auto"/>
          <w:sz w:val="16"/>
          <w:szCs w:val="18"/>
          <w:vertAlign w:val="superscript"/>
        </w:rPr>
        <w:t>4</w:t>
      </w:r>
      <w:r w:rsidRPr="00EF27C2">
        <w:rPr>
          <w:color w:val="auto"/>
          <w:sz w:val="16"/>
          <w:szCs w:val="18"/>
          <w:vertAlign w:val="superscript"/>
        </w:rPr>
        <w:t>/</w:t>
      </w:r>
      <w:r>
        <w:rPr>
          <w:color w:val="auto"/>
          <w:sz w:val="16"/>
          <w:szCs w:val="18"/>
          <w:vertAlign w:val="superscript"/>
        </w:rPr>
        <w:tab/>
      </w:r>
      <w:r>
        <w:rPr>
          <w:color w:val="000000" w:themeColor="text1"/>
          <w:sz w:val="14"/>
          <w:szCs w:val="16"/>
        </w:rPr>
        <w:t>Localidades menores de 2,500 habitantes</w:t>
      </w:r>
    </w:p>
    <w:p w14:paraId="2C408B04" w14:textId="18E236C3" w:rsidR="0095099D" w:rsidRDefault="0095099D" w:rsidP="009749DA">
      <w:pPr>
        <w:tabs>
          <w:tab w:val="left" w:pos="851"/>
        </w:tabs>
        <w:spacing w:after="0" w:line="240" w:lineRule="auto"/>
        <w:ind w:left="142" w:right="333"/>
        <w:rPr>
          <w:rFonts w:ascii="Arial" w:hAnsi="Arial" w:cs="Arial"/>
          <w:noProof/>
          <w:sz w:val="14"/>
          <w:szCs w:val="14"/>
          <w:lang w:val="es-ES" w:eastAsia="es-ES"/>
        </w:rPr>
      </w:pPr>
      <w:r>
        <w:rPr>
          <w:rFonts w:ascii="Arial" w:hAnsi="Arial" w:cs="Arial"/>
          <w:noProof/>
          <w:sz w:val="14"/>
          <w:szCs w:val="14"/>
          <w:lang w:val="es-ES" w:eastAsia="es-ES"/>
        </w:rPr>
        <w:t>Fuente:</w:t>
      </w:r>
      <w:r>
        <w:rPr>
          <w:rFonts w:ascii="Arial" w:hAnsi="Arial" w:cs="Arial"/>
          <w:noProof/>
          <w:sz w:val="14"/>
          <w:szCs w:val="14"/>
          <w:lang w:val="es-ES" w:eastAsia="es-ES"/>
        </w:rPr>
        <w:tab/>
        <w:t xml:space="preserve">INEGI. Encuesta Nacional de Ocupación y Empleo. Nueva Edición, </w:t>
      </w:r>
      <w:r w:rsidR="00177B20">
        <w:rPr>
          <w:rFonts w:ascii="Arial" w:hAnsi="Arial" w:cs="Arial"/>
          <w:noProof/>
          <w:sz w:val="14"/>
          <w:szCs w:val="14"/>
          <w:lang w:val="es-ES" w:eastAsia="es-ES"/>
        </w:rPr>
        <w:t>primer</w:t>
      </w:r>
      <w:r>
        <w:rPr>
          <w:rFonts w:ascii="Arial" w:hAnsi="Arial" w:cs="Arial"/>
          <w:noProof/>
          <w:sz w:val="14"/>
          <w:szCs w:val="14"/>
          <w:lang w:val="es-ES" w:eastAsia="es-ES"/>
        </w:rPr>
        <w:t xml:space="preserve"> trimestre de </w:t>
      </w:r>
      <w:r w:rsidR="00177B20">
        <w:rPr>
          <w:rFonts w:ascii="Arial" w:hAnsi="Arial" w:cs="Arial"/>
          <w:noProof/>
          <w:sz w:val="14"/>
          <w:szCs w:val="14"/>
          <w:lang w:val="es-ES" w:eastAsia="es-ES"/>
        </w:rPr>
        <w:t>2021</w:t>
      </w:r>
      <w:r>
        <w:rPr>
          <w:rFonts w:ascii="Arial" w:hAnsi="Arial" w:cs="Arial"/>
          <w:noProof/>
          <w:sz w:val="14"/>
          <w:szCs w:val="14"/>
          <w:lang w:val="es-ES" w:eastAsia="es-ES"/>
        </w:rPr>
        <w:t>.</w:t>
      </w:r>
    </w:p>
    <w:p w14:paraId="4321EC73" w14:textId="77777777" w:rsidR="0095099D" w:rsidRDefault="0095099D" w:rsidP="009749DA">
      <w:pPr>
        <w:pStyle w:val="n0"/>
        <w:keepLines w:val="0"/>
        <w:spacing w:before="0"/>
        <w:ind w:left="0" w:right="51" w:firstLine="0"/>
        <w:contextualSpacing/>
        <w:rPr>
          <w:bCs/>
          <w:color w:val="auto"/>
          <w:spacing w:val="10"/>
          <w:sz w:val="22"/>
          <w:szCs w:val="22"/>
        </w:rPr>
      </w:pPr>
    </w:p>
    <w:p w14:paraId="060556BD" w14:textId="77777777" w:rsidR="00314301" w:rsidRDefault="00314301" w:rsidP="009749DA">
      <w:pPr>
        <w:pStyle w:val="n0"/>
        <w:keepLines w:val="0"/>
        <w:spacing w:before="0"/>
        <w:ind w:left="0" w:right="51" w:firstLine="0"/>
        <w:contextualSpacing/>
        <w:rPr>
          <w:bCs/>
          <w:color w:val="auto"/>
          <w:spacing w:val="10"/>
          <w:sz w:val="22"/>
          <w:szCs w:val="22"/>
        </w:rPr>
      </w:pPr>
    </w:p>
    <w:p w14:paraId="6263E8B6" w14:textId="77777777" w:rsidR="00314301" w:rsidRDefault="00314301" w:rsidP="009749DA">
      <w:pPr>
        <w:pStyle w:val="n0"/>
        <w:keepLines w:val="0"/>
        <w:spacing w:before="0"/>
        <w:ind w:left="0" w:right="51" w:firstLine="0"/>
        <w:contextualSpacing/>
        <w:rPr>
          <w:bCs/>
          <w:color w:val="auto"/>
          <w:spacing w:val="10"/>
          <w:sz w:val="22"/>
          <w:szCs w:val="22"/>
        </w:rPr>
      </w:pPr>
    </w:p>
    <w:p w14:paraId="5062D76D" w14:textId="77777777" w:rsidR="00314301" w:rsidRDefault="00314301" w:rsidP="009749DA">
      <w:pPr>
        <w:pStyle w:val="n0"/>
        <w:keepLines w:val="0"/>
        <w:spacing w:before="0"/>
        <w:ind w:left="0" w:right="51" w:firstLine="0"/>
        <w:contextualSpacing/>
        <w:rPr>
          <w:bCs/>
          <w:color w:val="auto"/>
          <w:spacing w:val="10"/>
          <w:sz w:val="22"/>
          <w:szCs w:val="22"/>
        </w:rPr>
      </w:pPr>
    </w:p>
    <w:p w14:paraId="0778C302" w14:textId="18DF7A48" w:rsidR="00B42E4E" w:rsidRDefault="00B42E4E" w:rsidP="009749DA">
      <w:pPr>
        <w:pStyle w:val="n0"/>
        <w:keepLines w:val="0"/>
        <w:spacing w:before="0"/>
        <w:ind w:left="0" w:right="51" w:firstLine="0"/>
        <w:contextualSpacing/>
        <w:rPr>
          <w:bCs/>
          <w:color w:val="auto"/>
          <w:spacing w:val="10"/>
          <w:sz w:val="22"/>
          <w:szCs w:val="22"/>
        </w:rPr>
      </w:pPr>
      <w:r>
        <w:rPr>
          <w:bCs/>
          <w:color w:val="auto"/>
          <w:spacing w:val="10"/>
          <w:sz w:val="22"/>
          <w:szCs w:val="22"/>
        </w:rPr>
        <w:lastRenderedPageBreak/>
        <w:t>En las localidades urbanas, los indicadores relacionados con un grado de desarrollo mayor del mercado de trabajo, co</w:t>
      </w:r>
      <w:r w:rsidR="00125876">
        <w:rPr>
          <w:bCs/>
          <w:color w:val="auto"/>
          <w:spacing w:val="10"/>
          <w:sz w:val="22"/>
          <w:szCs w:val="22"/>
        </w:rPr>
        <w:t>mo</w:t>
      </w:r>
      <w:r>
        <w:rPr>
          <w:bCs/>
          <w:color w:val="auto"/>
          <w:spacing w:val="10"/>
          <w:sz w:val="22"/>
          <w:szCs w:val="22"/>
        </w:rPr>
        <w:t xml:space="preserve"> son las tasas vinculadas a la búsqueda de trabajo o el empleo asalariado son más significativas y características de dichos mercados</w:t>
      </w:r>
      <w:r w:rsidR="000D654B">
        <w:rPr>
          <w:bCs/>
          <w:color w:val="auto"/>
          <w:spacing w:val="10"/>
          <w:sz w:val="22"/>
          <w:szCs w:val="22"/>
        </w:rPr>
        <w:t>. E</w:t>
      </w:r>
      <w:r>
        <w:rPr>
          <w:bCs/>
          <w:color w:val="auto"/>
          <w:spacing w:val="10"/>
          <w:sz w:val="22"/>
          <w:szCs w:val="22"/>
        </w:rPr>
        <w:t xml:space="preserve">n </w:t>
      </w:r>
      <w:r w:rsidR="002C3635">
        <w:rPr>
          <w:bCs/>
          <w:color w:val="auto"/>
          <w:spacing w:val="10"/>
          <w:sz w:val="22"/>
          <w:szCs w:val="22"/>
        </w:rPr>
        <w:t>cambio,</w:t>
      </w:r>
      <w:r>
        <w:rPr>
          <w:bCs/>
          <w:color w:val="auto"/>
          <w:spacing w:val="10"/>
          <w:sz w:val="22"/>
          <w:szCs w:val="22"/>
        </w:rPr>
        <w:t xml:space="preserve"> en mercados de trabajo menos desarrollados, las relaciones de trabajo asalariadas están menos extendidas y las tasas vinculadas a las condiciones laborales como la informalidad laboral o la de condiciones críticas de ocupación, son más relevantes para explicar la situación de la ocupación y el empleo </w:t>
      </w:r>
      <w:r w:rsidR="00125876">
        <w:rPr>
          <w:bCs/>
          <w:color w:val="auto"/>
          <w:spacing w:val="10"/>
          <w:sz w:val="22"/>
          <w:szCs w:val="22"/>
        </w:rPr>
        <w:t xml:space="preserve">en </w:t>
      </w:r>
      <w:r>
        <w:rPr>
          <w:bCs/>
          <w:color w:val="auto"/>
          <w:spacing w:val="10"/>
          <w:sz w:val="22"/>
          <w:szCs w:val="22"/>
        </w:rPr>
        <w:t>localidades rurales o con menor grado de urbanización.</w:t>
      </w:r>
    </w:p>
    <w:p w14:paraId="3EDDE54A" w14:textId="77777777" w:rsidR="00B42E4E" w:rsidRPr="00314BF4" w:rsidRDefault="00B42E4E" w:rsidP="009749DA">
      <w:pPr>
        <w:pStyle w:val="n0"/>
        <w:keepLines w:val="0"/>
        <w:spacing w:before="0"/>
        <w:ind w:left="0" w:right="51" w:firstLine="0"/>
        <w:contextualSpacing/>
        <w:rPr>
          <w:bCs/>
          <w:color w:val="auto"/>
          <w:spacing w:val="10"/>
          <w:sz w:val="22"/>
          <w:szCs w:val="22"/>
        </w:rPr>
      </w:pPr>
    </w:p>
    <w:p w14:paraId="0965AC26" w14:textId="340B365B" w:rsidR="00F059CA" w:rsidRDefault="00F059CA" w:rsidP="009749DA">
      <w:pPr>
        <w:pStyle w:val="n0"/>
        <w:keepLines w:val="0"/>
        <w:spacing w:before="0"/>
        <w:ind w:left="0" w:right="49" w:firstLine="0"/>
        <w:jc w:val="center"/>
        <w:rPr>
          <w:b/>
          <w:smallCaps/>
          <w:color w:val="auto"/>
          <w:sz w:val="22"/>
          <w:szCs w:val="22"/>
        </w:rPr>
      </w:pPr>
      <w:r w:rsidRPr="007E2E7F">
        <w:rPr>
          <w:b/>
          <w:smallCaps/>
          <w:color w:val="auto"/>
          <w:sz w:val="22"/>
          <w:szCs w:val="22"/>
        </w:rPr>
        <w:t>Tasas complementarias de ocupación y desocupación</w:t>
      </w:r>
      <w:r w:rsidRPr="007E2E7F">
        <w:rPr>
          <w:b/>
          <w:smallCaps/>
          <w:color w:val="auto"/>
          <w:sz w:val="22"/>
          <w:szCs w:val="22"/>
        </w:rPr>
        <w:br/>
        <w:t xml:space="preserve">por </w:t>
      </w:r>
      <w:r w:rsidR="008031AA" w:rsidRPr="007E2E7F">
        <w:rPr>
          <w:b/>
          <w:smallCaps/>
          <w:color w:val="auto"/>
          <w:sz w:val="22"/>
          <w:szCs w:val="22"/>
        </w:rPr>
        <w:t>tamaño de la localidad</w:t>
      </w:r>
      <w:r w:rsidRPr="007E2E7F">
        <w:rPr>
          <w:b/>
          <w:smallCaps/>
          <w:color w:val="auto"/>
          <w:sz w:val="22"/>
          <w:szCs w:val="22"/>
        </w:rPr>
        <w:t xml:space="preserve"> durante el </w:t>
      </w:r>
      <w:r w:rsidR="00177B20" w:rsidRPr="007E2E7F">
        <w:rPr>
          <w:b/>
          <w:smallCaps/>
          <w:color w:val="auto"/>
          <w:sz w:val="22"/>
          <w:szCs w:val="22"/>
        </w:rPr>
        <w:t>primer</w:t>
      </w:r>
      <w:r w:rsidRPr="007E2E7F">
        <w:rPr>
          <w:b/>
          <w:smallCaps/>
          <w:color w:val="auto"/>
          <w:sz w:val="22"/>
          <w:szCs w:val="22"/>
        </w:rPr>
        <w:t xml:space="preserve"> trimestre de </w:t>
      </w:r>
      <w:r w:rsidR="00177B20" w:rsidRPr="007E2E7F">
        <w:rPr>
          <w:b/>
          <w:smallCaps/>
          <w:color w:val="auto"/>
          <w:sz w:val="22"/>
          <w:szCs w:val="22"/>
        </w:rPr>
        <w:t>2021</w:t>
      </w:r>
    </w:p>
    <w:p w14:paraId="1C89F5BD" w14:textId="541605DC" w:rsidR="00350F1A" w:rsidRDefault="0044404D">
      <w:pPr>
        <w:pStyle w:val="n0"/>
        <w:keepLines w:val="0"/>
        <w:spacing w:before="0"/>
        <w:ind w:left="0" w:right="49" w:firstLine="0"/>
        <w:jc w:val="center"/>
        <w:rPr>
          <w:b/>
          <w:smallCaps/>
          <w:color w:val="auto"/>
          <w:sz w:val="22"/>
          <w:szCs w:val="22"/>
        </w:rPr>
      </w:pPr>
      <w:r w:rsidRPr="0044404D">
        <w:rPr>
          <w:noProof/>
        </w:rPr>
        <w:drawing>
          <wp:inline distT="0" distB="0" distL="0" distR="0" wp14:anchorId="0F1E286F" wp14:editId="257C5E92">
            <wp:extent cx="5760720" cy="3806939"/>
            <wp:effectExtent l="0" t="0" r="0" b="317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760720" cy="3806939"/>
                    </a:xfrm>
                    <a:prstGeom prst="rect">
                      <a:avLst/>
                    </a:prstGeom>
                    <a:noFill/>
                    <a:ln>
                      <a:noFill/>
                    </a:ln>
                  </pic:spPr>
                </pic:pic>
              </a:graphicData>
            </a:graphic>
          </wp:inline>
        </w:drawing>
      </w:r>
    </w:p>
    <w:p w14:paraId="1F37828F" w14:textId="77777777" w:rsidR="00F059CA" w:rsidRPr="00EF27C2" w:rsidRDefault="00F059CA" w:rsidP="009749DA">
      <w:pPr>
        <w:pStyle w:val="n0"/>
        <w:keepLines w:val="0"/>
        <w:tabs>
          <w:tab w:val="left" w:pos="567"/>
          <w:tab w:val="left" w:pos="1350"/>
          <w:tab w:val="left" w:pos="2190"/>
          <w:tab w:val="left" w:pos="3752"/>
        </w:tabs>
        <w:spacing w:before="0"/>
        <w:ind w:left="284" w:right="191" w:hanging="284"/>
        <w:jc w:val="left"/>
        <w:rPr>
          <w:color w:val="auto"/>
          <w:sz w:val="14"/>
          <w:szCs w:val="16"/>
        </w:rPr>
      </w:pPr>
      <w:r w:rsidRPr="00EF27C2">
        <w:rPr>
          <w:color w:val="auto"/>
          <w:sz w:val="16"/>
          <w:szCs w:val="18"/>
          <w:vertAlign w:val="superscript"/>
        </w:rPr>
        <w:t>1/</w:t>
      </w:r>
      <w:r w:rsidRPr="00EF27C2">
        <w:rPr>
          <w:color w:val="auto"/>
          <w:sz w:val="16"/>
          <w:szCs w:val="18"/>
          <w:vertAlign w:val="superscript"/>
        </w:rPr>
        <w:tab/>
      </w:r>
      <w:r w:rsidRPr="00EF27C2">
        <w:rPr>
          <w:color w:val="000000" w:themeColor="text1"/>
          <w:sz w:val="14"/>
          <w:szCs w:val="16"/>
        </w:rPr>
        <w:t>Población Económicamente Activa como porcentaje de la población de 15 años y más</w:t>
      </w:r>
      <w:r w:rsidRPr="00EF27C2">
        <w:rPr>
          <w:color w:val="auto"/>
          <w:sz w:val="14"/>
          <w:szCs w:val="16"/>
        </w:rPr>
        <w:t>.</w:t>
      </w:r>
    </w:p>
    <w:p w14:paraId="2F986983" w14:textId="77777777" w:rsidR="00F059CA" w:rsidRPr="00EF27C2" w:rsidRDefault="00F059CA" w:rsidP="009749DA">
      <w:pPr>
        <w:pStyle w:val="n0"/>
        <w:keepLines w:val="0"/>
        <w:tabs>
          <w:tab w:val="left" w:pos="567"/>
          <w:tab w:val="left" w:pos="1350"/>
          <w:tab w:val="left" w:pos="2190"/>
          <w:tab w:val="left" w:pos="3752"/>
        </w:tabs>
        <w:spacing w:before="0"/>
        <w:ind w:left="284" w:right="191" w:hanging="284"/>
        <w:jc w:val="left"/>
        <w:rPr>
          <w:color w:val="auto"/>
          <w:sz w:val="14"/>
          <w:szCs w:val="16"/>
        </w:rPr>
      </w:pPr>
      <w:r w:rsidRPr="00EF27C2">
        <w:rPr>
          <w:color w:val="auto"/>
          <w:sz w:val="16"/>
          <w:szCs w:val="18"/>
          <w:vertAlign w:val="superscript"/>
        </w:rPr>
        <w:t>2/</w:t>
      </w:r>
      <w:r w:rsidRPr="00EF27C2">
        <w:rPr>
          <w:color w:val="auto"/>
          <w:sz w:val="14"/>
          <w:szCs w:val="16"/>
          <w:vertAlign w:val="superscript"/>
        </w:rPr>
        <w:tab/>
      </w:r>
      <w:r w:rsidRPr="00EF27C2">
        <w:rPr>
          <w:color w:val="000000" w:themeColor="text1"/>
          <w:sz w:val="14"/>
          <w:szCs w:val="16"/>
        </w:rPr>
        <w:t>Porcentaje respecto a la Población Económicamente Activa</w:t>
      </w:r>
      <w:r w:rsidRPr="00EF27C2">
        <w:rPr>
          <w:color w:val="auto"/>
          <w:sz w:val="14"/>
          <w:szCs w:val="16"/>
        </w:rPr>
        <w:t>.</w:t>
      </w:r>
    </w:p>
    <w:p w14:paraId="05149DF6" w14:textId="77777777" w:rsidR="00F059CA" w:rsidRDefault="00F059CA" w:rsidP="009749DA">
      <w:pPr>
        <w:pStyle w:val="n0"/>
        <w:keepLines w:val="0"/>
        <w:tabs>
          <w:tab w:val="left" w:pos="567"/>
          <w:tab w:val="left" w:pos="1350"/>
          <w:tab w:val="left" w:pos="2190"/>
          <w:tab w:val="left" w:pos="3752"/>
        </w:tabs>
        <w:spacing w:before="0"/>
        <w:ind w:left="284" w:right="191" w:hanging="284"/>
        <w:rPr>
          <w:color w:val="auto"/>
          <w:sz w:val="14"/>
          <w:szCs w:val="16"/>
        </w:rPr>
      </w:pPr>
      <w:r w:rsidRPr="00EF27C2">
        <w:rPr>
          <w:color w:val="auto"/>
          <w:sz w:val="16"/>
          <w:szCs w:val="18"/>
          <w:vertAlign w:val="superscript"/>
        </w:rPr>
        <w:t>3/</w:t>
      </w:r>
      <w:r w:rsidRPr="00EF27C2">
        <w:rPr>
          <w:color w:val="auto"/>
          <w:sz w:val="16"/>
          <w:szCs w:val="18"/>
          <w:vertAlign w:val="superscript"/>
        </w:rPr>
        <w:tab/>
      </w:r>
      <w:r w:rsidRPr="00EF27C2">
        <w:rPr>
          <w:color w:val="000000" w:themeColor="text1"/>
          <w:sz w:val="14"/>
          <w:szCs w:val="16"/>
        </w:rPr>
        <w:t>Porcentaje respecto a la Población Ocupada</w:t>
      </w:r>
      <w:r w:rsidRPr="00EF27C2">
        <w:rPr>
          <w:color w:val="auto"/>
          <w:sz w:val="14"/>
          <w:szCs w:val="16"/>
        </w:rPr>
        <w:t>. Por construcción, los indicadores de la Encuesta Nacional de Ocupación y Empleo que involucran a la población ocupada u otra variable clasificada en rangos de salarios mínimos son sensibles a los cambios en dichos salarios.</w:t>
      </w:r>
    </w:p>
    <w:p w14:paraId="02FC91E8" w14:textId="77777777" w:rsidR="0037407A" w:rsidRDefault="0037407A" w:rsidP="00194332">
      <w:pPr>
        <w:pStyle w:val="n0"/>
        <w:keepLines w:val="0"/>
        <w:tabs>
          <w:tab w:val="left" w:pos="-284"/>
          <w:tab w:val="left" w:pos="1350"/>
          <w:tab w:val="left" w:pos="2190"/>
          <w:tab w:val="left" w:pos="3752"/>
          <w:tab w:val="left" w:pos="8647"/>
        </w:tabs>
        <w:spacing w:before="0"/>
        <w:ind w:left="284" w:right="191" w:hanging="284"/>
        <w:rPr>
          <w:color w:val="auto"/>
          <w:sz w:val="14"/>
          <w:szCs w:val="16"/>
        </w:rPr>
      </w:pPr>
      <w:r>
        <w:rPr>
          <w:color w:val="auto"/>
          <w:sz w:val="16"/>
          <w:szCs w:val="18"/>
          <w:vertAlign w:val="superscript"/>
        </w:rPr>
        <w:t>4</w:t>
      </w:r>
      <w:r w:rsidRPr="0095099D">
        <w:rPr>
          <w:color w:val="auto"/>
          <w:sz w:val="16"/>
          <w:szCs w:val="18"/>
          <w:vertAlign w:val="superscript"/>
        </w:rPr>
        <w:t>/</w:t>
      </w:r>
      <w:r w:rsidRPr="0095099D">
        <w:rPr>
          <w:color w:val="auto"/>
          <w:sz w:val="16"/>
          <w:szCs w:val="18"/>
          <w:vertAlign w:val="superscript"/>
        </w:rPr>
        <w:tab/>
      </w:r>
      <w:r w:rsidRPr="0095099D">
        <w:rPr>
          <w:color w:val="000000" w:themeColor="text1"/>
          <w:sz w:val="14"/>
          <w:szCs w:val="16"/>
        </w:rPr>
        <w:t xml:space="preserve">Porcentaje </w:t>
      </w:r>
      <w:r>
        <w:rPr>
          <w:color w:val="000000" w:themeColor="text1"/>
          <w:sz w:val="14"/>
          <w:szCs w:val="16"/>
        </w:rPr>
        <w:t>de</w:t>
      </w:r>
      <w:r w:rsidRPr="0095099D">
        <w:rPr>
          <w:color w:val="000000" w:themeColor="text1"/>
          <w:sz w:val="14"/>
          <w:szCs w:val="16"/>
        </w:rPr>
        <w:t xml:space="preserve"> la </w:t>
      </w:r>
      <w:r>
        <w:rPr>
          <w:color w:val="000000" w:themeColor="text1"/>
          <w:sz w:val="14"/>
          <w:szCs w:val="16"/>
        </w:rPr>
        <w:t xml:space="preserve">fuerza de trabajo </w:t>
      </w:r>
      <w:r w:rsidRPr="00E04FB8">
        <w:rPr>
          <w:color w:val="auto"/>
          <w:sz w:val="14"/>
          <w:szCs w:val="16"/>
        </w:rPr>
        <w:t xml:space="preserve">ampliada (población económicamente activa más población no económicamente activa disponible para trabajar) que representan los desocupados, </w:t>
      </w:r>
      <w:proofErr w:type="spellStart"/>
      <w:r w:rsidRPr="00E04FB8">
        <w:rPr>
          <w:color w:val="auto"/>
          <w:sz w:val="14"/>
          <w:szCs w:val="16"/>
        </w:rPr>
        <w:t>subocupados</w:t>
      </w:r>
      <w:proofErr w:type="spellEnd"/>
      <w:r w:rsidRPr="00E04FB8">
        <w:rPr>
          <w:color w:val="auto"/>
          <w:sz w:val="14"/>
          <w:szCs w:val="16"/>
        </w:rPr>
        <w:t xml:space="preserve"> y no económicamente activos disponibles para trabajar.</w:t>
      </w:r>
    </w:p>
    <w:p w14:paraId="2E7612DA" w14:textId="77777777" w:rsidR="0095099D" w:rsidRPr="00EF27C2" w:rsidRDefault="0037407A" w:rsidP="009749DA">
      <w:pPr>
        <w:pStyle w:val="n0"/>
        <w:keepLines w:val="0"/>
        <w:tabs>
          <w:tab w:val="left" w:pos="567"/>
          <w:tab w:val="left" w:pos="1350"/>
          <w:tab w:val="left" w:pos="2190"/>
          <w:tab w:val="left" w:pos="3752"/>
        </w:tabs>
        <w:spacing w:before="0"/>
        <w:ind w:left="284" w:right="191" w:hanging="284"/>
        <w:jc w:val="left"/>
        <w:rPr>
          <w:color w:val="auto"/>
          <w:sz w:val="14"/>
          <w:szCs w:val="16"/>
        </w:rPr>
      </w:pPr>
      <w:r>
        <w:rPr>
          <w:color w:val="auto"/>
          <w:sz w:val="16"/>
          <w:szCs w:val="18"/>
          <w:vertAlign w:val="superscript"/>
        </w:rPr>
        <w:t>5</w:t>
      </w:r>
      <w:r w:rsidR="0095099D" w:rsidRPr="00EF27C2">
        <w:rPr>
          <w:color w:val="auto"/>
          <w:sz w:val="16"/>
          <w:szCs w:val="18"/>
          <w:vertAlign w:val="superscript"/>
        </w:rPr>
        <w:t>/</w:t>
      </w:r>
      <w:r w:rsidR="0095099D" w:rsidRPr="00EF27C2">
        <w:rPr>
          <w:color w:val="auto"/>
          <w:sz w:val="16"/>
          <w:szCs w:val="18"/>
          <w:vertAlign w:val="superscript"/>
        </w:rPr>
        <w:tab/>
      </w:r>
      <w:r w:rsidR="0095099D">
        <w:rPr>
          <w:color w:val="000000" w:themeColor="text1"/>
          <w:sz w:val="14"/>
          <w:szCs w:val="16"/>
        </w:rPr>
        <w:t>Localidades de 100 mil y más habitantes.</w:t>
      </w:r>
    </w:p>
    <w:p w14:paraId="02BDF710" w14:textId="77777777" w:rsidR="0095099D" w:rsidRPr="00EF27C2" w:rsidRDefault="0037407A" w:rsidP="009749DA">
      <w:pPr>
        <w:pStyle w:val="n0"/>
        <w:keepLines w:val="0"/>
        <w:tabs>
          <w:tab w:val="left" w:pos="567"/>
          <w:tab w:val="left" w:pos="1350"/>
          <w:tab w:val="left" w:pos="2190"/>
          <w:tab w:val="left" w:pos="3752"/>
        </w:tabs>
        <w:spacing w:before="0"/>
        <w:ind w:left="284" w:right="191" w:hanging="284"/>
        <w:jc w:val="left"/>
        <w:rPr>
          <w:color w:val="auto"/>
          <w:sz w:val="14"/>
          <w:szCs w:val="16"/>
        </w:rPr>
      </w:pPr>
      <w:r>
        <w:rPr>
          <w:color w:val="auto"/>
          <w:sz w:val="16"/>
          <w:szCs w:val="18"/>
          <w:vertAlign w:val="superscript"/>
        </w:rPr>
        <w:t>6</w:t>
      </w:r>
      <w:r w:rsidR="0095099D" w:rsidRPr="00EF27C2">
        <w:rPr>
          <w:color w:val="auto"/>
          <w:sz w:val="16"/>
          <w:szCs w:val="18"/>
          <w:vertAlign w:val="superscript"/>
        </w:rPr>
        <w:t>/</w:t>
      </w:r>
      <w:r w:rsidR="0095099D" w:rsidRPr="00EF27C2">
        <w:rPr>
          <w:color w:val="auto"/>
          <w:sz w:val="14"/>
          <w:szCs w:val="16"/>
          <w:vertAlign w:val="superscript"/>
        </w:rPr>
        <w:tab/>
      </w:r>
      <w:r w:rsidR="0095099D">
        <w:rPr>
          <w:color w:val="000000" w:themeColor="text1"/>
          <w:sz w:val="14"/>
          <w:szCs w:val="16"/>
        </w:rPr>
        <w:t>Localidades de 15 mil a menos de 100 mil habitantes.</w:t>
      </w:r>
    </w:p>
    <w:p w14:paraId="4CBBDE54" w14:textId="77777777" w:rsidR="0095099D" w:rsidRDefault="0037407A" w:rsidP="009749DA">
      <w:pPr>
        <w:pStyle w:val="n0"/>
        <w:keepLines w:val="0"/>
        <w:spacing w:before="0"/>
        <w:ind w:left="284" w:right="49" w:hanging="284"/>
        <w:rPr>
          <w:color w:val="000000" w:themeColor="text1"/>
          <w:sz w:val="14"/>
          <w:szCs w:val="16"/>
        </w:rPr>
      </w:pPr>
      <w:r>
        <w:rPr>
          <w:color w:val="auto"/>
          <w:sz w:val="16"/>
          <w:szCs w:val="18"/>
          <w:vertAlign w:val="superscript"/>
        </w:rPr>
        <w:t>7</w:t>
      </w:r>
      <w:r w:rsidR="0095099D" w:rsidRPr="00EF27C2">
        <w:rPr>
          <w:color w:val="auto"/>
          <w:sz w:val="16"/>
          <w:szCs w:val="18"/>
          <w:vertAlign w:val="superscript"/>
        </w:rPr>
        <w:t>/</w:t>
      </w:r>
      <w:r w:rsidR="0095099D">
        <w:rPr>
          <w:color w:val="auto"/>
          <w:sz w:val="16"/>
          <w:szCs w:val="18"/>
          <w:vertAlign w:val="superscript"/>
        </w:rPr>
        <w:tab/>
      </w:r>
      <w:r w:rsidR="0095099D">
        <w:rPr>
          <w:color w:val="000000" w:themeColor="text1"/>
          <w:sz w:val="14"/>
          <w:szCs w:val="16"/>
        </w:rPr>
        <w:t>Localidades de 2,500 a menos de 15 mil habitantes</w:t>
      </w:r>
    </w:p>
    <w:p w14:paraId="5E4D1B3A" w14:textId="77777777" w:rsidR="0095099D" w:rsidRDefault="0037407A" w:rsidP="009749DA">
      <w:pPr>
        <w:pStyle w:val="n0"/>
        <w:keepLines w:val="0"/>
        <w:spacing w:before="0"/>
        <w:ind w:left="284" w:right="49" w:hanging="284"/>
        <w:rPr>
          <w:color w:val="000000" w:themeColor="text1"/>
          <w:sz w:val="14"/>
          <w:szCs w:val="16"/>
        </w:rPr>
      </w:pPr>
      <w:r>
        <w:rPr>
          <w:color w:val="auto"/>
          <w:sz w:val="16"/>
          <w:szCs w:val="18"/>
          <w:vertAlign w:val="superscript"/>
        </w:rPr>
        <w:t>8</w:t>
      </w:r>
      <w:r w:rsidR="0095099D" w:rsidRPr="00EF27C2">
        <w:rPr>
          <w:color w:val="auto"/>
          <w:sz w:val="16"/>
          <w:szCs w:val="18"/>
          <w:vertAlign w:val="superscript"/>
        </w:rPr>
        <w:t>/</w:t>
      </w:r>
      <w:r w:rsidR="0095099D">
        <w:rPr>
          <w:color w:val="auto"/>
          <w:sz w:val="16"/>
          <w:szCs w:val="18"/>
          <w:vertAlign w:val="superscript"/>
        </w:rPr>
        <w:tab/>
      </w:r>
      <w:r w:rsidR="0095099D">
        <w:rPr>
          <w:color w:val="000000" w:themeColor="text1"/>
          <w:sz w:val="14"/>
          <w:szCs w:val="16"/>
        </w:rPr>
        <w:t>Localidades menores de 2,500 habitantes</w:t>
      </w:r>
    </w:p>
    <w:p w14:paraId="4F1A6154" w14:textId="4B97ACA1" w:rsidR="0095099D" w:rsidRDefault="0095099D" w:rsidP="009749DA">
      <w:pPr>
        <w:tabs>
          <w:tab w:val="left" w:pos="851"/>
        </w:tabs>
        <w:spacing w:after="0" w:line="240" w:lineRule="auto"/>
        <w:ind w:right="333"/>
        <w:rPr>
          <w:rFonts w:ascii="Arial" w:hAnsi="Arial" w:cs="Arial"/>
          <w:noProof/>
          <w:sz w:val="14"/>
          <w:szCs w:val="14"/>
          <w:lang w:val="es-ES" w:eastAsia="es-ES"/>
        </w:rPr>
      </w:pPr>
      <w:r>
        <w:rPr>
          <w:rFonts w:ascii="Arial" w:hAnsi="Arial" w:cs="Arial"/>
          <w:noProof/>
          <w:sz w:val="14"/>
          <w:szCs w:val="14"/>
          <w:lang w:val="es-ES" w:eastAsia="es-ES"/>
        </w:rPr>
        <w:t>Fuente:</w:t>
      </w:r>
      <w:r>
        <w:rPr>
          <w:rFonts w:ascii="Arial" w:hAnsi="Arial" w:cs="Arial"/>
          <w:noProof/>
          <w:sz w:val="14"/>
          <w:szCs w:val="14"/>
          <w:lang w:val="es-ES" w:eastAsia="es-ES"/>
        </w:rPr>
        <w:tab/>
        <w:t xml:space="preserve">INEGI. Encuesta Nacional de Ocupación y Empleo. Nueva Edición, </w:t>
      </w:r>
      <w:r w:rsidR="00177B20">
        <w:rPr>
          <w:rFonts w:ascii="Arial" w:hAnsi="Arial" w:cs="Arial"/>
          <w:noProof/>
          <w:sz w:val="14"/>
          <w:szCs w:val="14"/>
          <w:lang w:val="es-ES" w:eastAsia="es-ES"/>
        </w:rPr>
        <w:t>primer</w:t>
      </w:r>
      <w:r>
        <w:rPr>
          <w:rFonts w:ascii="Arial" w:hAnsi="Arial" w:cs="Arial"/>
          <w:noProof/>
          <w:sz w:val="14"/>
          <w:szCs w:val="14"/>
          <w:lang w:val="es-ES" w:eastAsia="es-ES"/>
        </w:rPr>
        <w:t xml:space="preserve"> trimestre de </w:t>
      </w:r>
      <w:r w:rsidR="00177B20">
        <w:rPr>
          <w:rFonts w:ascii="Arial" w:hAnsi="Arial" w:cs="Arial"/>
          <w:noProof/>
          <w:sz w:val="14"/>
          <w:szCs w:val="14"/>
          <w:lang w:val="es-ES" w:eastAsia="es-ES"/>
        </w:rPr>
        <w:t>2021</w:t>
      </w:r>
      <w:r>
        <w:rPr>
          <w:rFonts w:ascii="Arial" w:hAnsi="Arial" w:cs="Arial"/>
          <w:noProof/>
          <w:sz w:val="14"/>
          <w:szCs w:val="14"/>
          <w:lang w:val="es-ES" w:eastAsia="es-ES"/>
        </w:rPr>
        <w:t>.</w:t>
      </w:r>
    </w:p>
    <w:p w14:paraId="4214A483" w14:textId="77777777" w:rsidR="00F059CA" w:rsidRDefault="00F059CA" w:rsidP="009749DA">
      <w:pPr>
        <w:pStyle w:val="n0"/>
        <w:keepLines w:val="0"/>
        <w:spacing w:before="0"/>
        <w:ind w:left="0" w:right="49" w:firstLine="0"/>
        <w:rPr>
          <w:b/>
          <w:smallCaps/>
          <w:color w:val="auto"/>
          <w:sz w:val="22"/>
          <w:szCs w:val="22"/>
        </w:rPr>
      </w:pPr>
    </w:p>
    <w:p w14:paraId="478213FD" w14:textId="7AEF3E12" w:rsidR="0026662C" w:rsidRDefault="0026662C" w:rsidP="0026662C">
      <w:pPr>
        <w:pStyle w:val="n0"/>
        <w:keepLines w:val="0"/>
        <w:spacing w:before="0"/>
        <w:ind w:left="0" w:right="51" w:firstLine="0"/>
        <w:contextualSpacing/>
        <w:rPr>
          <w:bCs/>
          <w:color w:val="auto"/>
          <w:spacing w:val="10"/>
          <w:sz w:val="22"/>
          <w:szCs w:val="22"/>
        </w:rPr>
      </w:pPr>
      <w:r>
        <w:rPr>
          <w:bCs/>
          <w:color w:val="auto"/>
          <w:spacing w:val="10"/>
          <w:sz w:val="22"/>
          <w:szCs w:val="22"/>
        </w:rPr>
        <w:t xml:space="preserve">En este contexto tenemos que la tasa de informalidad en las localidades rurales fue de 77.3% en el primer trimestre de 2021, mientras que en las localidades más urbanizadas fue de 42.5%, es decir, 34.8 puntos porcentuales inferior a la de las localidades rurales. En este mismo sentido, la tasa de condiciones críticas de ocupación en las localidades rurales se situó en 30.5% frente a 23% en las áreas más urbanizadas. En contraste, la tasa de trabajo asalariado en las localidades rurales fue de 53.5% contra 71.4% de las áreas más urbanizadas; una situación similar, se aprecia en la tasa de presión general que en las localidades rurales </w:t>
      </w:r>
      <w:r>
        <w:rPr>
          <w:bCs/>
          <w:color w:val="auto"/>
          <w:spacing w:val="10"/>
          <w:sz w:val="22"/>
          <w:szCs w:val="22"/>
        </w:rPr>
        <w:lastRenderedPageBreak/>
        <w:t>alcanz</w:t>
      </w:r>
      <w:r w:rsidR="000F1730">
        <w:rPr>
          <w:bCs/>
          <w:color w:val="auto"/>
          <w:spacing w:val="10"/>
          <w:sz w:val="22"/>
          <w:szCs w:val="22"/>
        </w:rPr>
        <w:t>ó</w:t>
      </w:r>
      <w:r>
        <w:rPr>
          <w:bCs/>
          <w:color w:val="auto"/>
          <w:spacing w:val="10"/>
          <w:sz w:val="22"/>
          <w:szCs w:val="22"/>
        </w:rPr>
        <w:t xml:space="preserve"> un nivel del 5.5% y en las áreas más urbanizadas es mucho más alta con 9.5 por ciento.</w:t>
      </w:r>
    </w:p>
    <w:p w14:paraId="64459E9C" w14:textId="77777777" w:rsidR="0026662C" w:rsidRDefault="0026662C" w:rsidP="0026662C">
      <w:pPr>
        <w:pStyle w:val="n0"/>
        <w:keepLines w:val="0"/>
        <w:spacing w:before="0"/>
        <w:ind w:left="0" w:right="51" w:firstLine="0"/>
        <w:contextualSpacing/>
        <w:rPr>
          <w:bCs/>
          <w:color w:val="auto"/>
          <w:spacing w:val="10"/>
          <w:sz w:val="22"/>
          <w:szCs w:val="22"/>
        </w:rPr>
      </w:pPr>
    </w:p>
    <w:p w14:paraId="651A92E4" w14:textId="77777777" w:rsidR="0026662C" w:rsidRPr="0026662C" w:rsidRDefault="0026662C" w:rsidP="009749DA">
      <w:pPr>
        <w:pStyle w:val="n0"/>
        <w:keepLines w:val="0"/>
        <w:spacing w:before="0"/>
        <w:ind w:left="0" w:right="49" w:firstLine="0"/>
        <w:rPr>
          <w:smallCaps/>
          <w:color w:val="auto"/>
          <w:sz w:val="22"/>
          <w:szCs w:val="22"/>
        </w:rPr>
      </w:pPr>
    </w:p>
    <w:p w14:paraId="457D093A" w14:textId="77777777" w:rsidR="00350F1A" w:rsidRPr="00C63172" w:rsidRDefault="00350F1A" w:rsidP="009749DA">
      <w:pPr>
        <w:pStyle w:val="n0"/>
        <w:keepLines w:val="0"/>
        <w:spacing w:before="0"/>
        <w:ind w:left="0" w:right="49" w:firstLine="0"/>
        <w:jc w:val="left"/>
        <w:rPr>
          <w:b/>
          <w:smallCaps/>
          <w:color w:val="auto"/>
          <w:sz w:val="22"/>
          <w:szCs w:val="22"/>
        </w:rPr>
      </w:pPr>
      <w:r w:rsidRPr="007E2E7F">
        <w:rPr>
          <w:b/>
          <w:smallCaps/>
          <w:color w:val="auto"/>
          <w:sz w:val="22"/>
          <w:szCs w:val="22"/>
        </w:rPr>
        <w:t>indicadores de ocupación y empleo por entidad federativa</w:t>
      </w:r>
    </w:p>
    <w:p w14:paraId="68D7BE73" w14:textId="77777777" w:rsidR="002E29DD" w:rsidRDefault="002E29DD" w:rsidP="009749DA">
      <w:pPr>
        <w:pStyle w:val="n0"/>
        <w:keepLines w:val="0"/>
        <w:spacing w:before="0"/>
        <w:ind w:left="0" w:right="51" w:firstLine="0"/>
        <w:contextualSpacing/>
        <w:rPr>
          <w:bCs/>
          <w:color w:val="auto"/>
          <w:spacing w:val="10"/>
          <w:sz w:val="22"/>
          <w:szCs w:val="22"/>
        </w:rPr>
      </w:pPr>
    </w:p>
    <w:p w14:paraId="37B22D73" w14:textId="77777777" w:rsidR="00EF27C2" w:rsidRDefault="00EF27C2" w:rsidP="009749DA">
      <w:pPr>
        <w:pStyle w:val="n0"/>
        <w:keepLines w:val="0"/>
        <w:spacing w:before="0"/>
        <w:ind w:left="0" w:right="51" w:firstLine="0"/>
        <w:contextualSpacing/>
        <w:rPr>
          <w:bCs/>
          <w:color w:val="auto"/>
          <w:spacing w:val="10"/>
          <w:sz w:val="22"/>
          <w:szCs w:val="22"/>
        </w:rPr>
      </w:pPr>
      <w:r w:rsidRPr="00EF27C2">
        <w:rPr>
          <w:bCs/>
          <w:color w:val="auto"/>
          <w:spacing w:val="10"/>
          <w:sz w:val="22"/>
          <w:szCs w:val="22"/>
        </w:rPr>
        <w:t>Además de registrar de manera permanente el comportamiento del empleo a nivel nacional y para los cuatro tamaños de localidades a los que se acaba de hacer referencia, la Encuesta Nacional de Ocupación y Empleo</w:t>
      </w:r>
      <w:r w:rsidR="00650347">
        <w:rPr>
          <w:bCs/>
          <w:color w:val="auto"/>
          <w:spacing w:val="10"/>
          <w:sz w:val="22"/>
          <w:szCs w:val="22"/>
        </w:rPr>
        <w:t>. Nueva Edición (ENOE</w:t>
      </w:r>
      <w:r w:rsidR="00650347" w:rsidRPr="00650347">
        <w:rPr>
          <w:bCs/>
          <w:color w:val="auto"/>
          <w:spacing w:val="10"/>
          <w:sz w:val="22"/>
          <w:szCs w:val="22"/>
          <w:vertAlign w:val="superscript"/>
        </w:rPr>
        <w:t>N</w:t>
      </w:r>
      <w:r w:rsidR="00650347">
        <w:rPr>
          <w:bCs/>
          <w:color w:val="auto"/>
          <w:spacing w:val="10"/>
          <w:sz w:val="22"/>
          <w:szCs w:val="22"/>
        </w:rPr>
        <w:t>)</w:t>
      </w:r>
      <w:r w:rsidRPr="00EF27C2">
        <w:rPr>
          <w:bCs/>
          <w:color w:val="auto"/>
          <w:spacing w:val="10"/>
          <w:sz w:val="22"/>
          <w:szCs w:val="22"/>
        </w:rPr>
        <w:t xml:space="preserve"> proporciona información para las 32 entidades federativas. De esta forma se puede conocer la complejidad del fenómeno ocupacional en un nivel de desagregación más detallado.</w:t>
      </w:r>
    </w:p>
    <w:p w14:paraId="49866F4A" w14:textId="77777777" w:rsidR="00EF27C2" w:rsidRPr="00EF27C2" w:rsidRDefault="00EF27C2" w:rsidP="009749DA">
      <w:pPr>
        <w:pStyle w:val="n0"/>
        <w:keepLines w:val="0"/>
        <w:spacing w:before="0"/>
        <w:ind w:left="0" w:right="51" w:firstLine="0"/>
        <w:contextualSpacing/>
        <w:rPr>
          <w:bCs/>
          <w:color w:val="auto"/>
          <w:spacing w:val="10"/>
          <w:sz w:val="22"/>
          <w:szCs w:val="22"/>
        </w:rPr>
      </w:pPr>
    </w:p>
    <w:p w14:paraId="456853E8" w14:textId="06B554A2" w:rsidR="00EF27C2" w:rsidRDefault="00EF27C2" w:rsidP="009749DA">
      <w:pPr>
        <w:pStyle w:val="n0"/>
        <w:keepLines w:val="0"/>
        <w:spacing w:before="0"/>
        <w:ind w:left="0" w:right="51" w:firstLine="0"/>
        <w:contextualSpacing/>
        <w:rPr>
          <w:bCs/>
          <w:color w:val="auto"/>
          <w:spacing w:val="10"/>
          <w:sz w:val="22"/>
          <w:szCs w:val="22"/>
        </w:rPr>
      </w:pPr>
      <w:r w:rsidRPr="00EF27C2">
        <w:rPr>
          <w:bCs/>
          <w:color w:val="auto"/>
          <w:spacing w:val="10"/>
          <w:sz w:val="22"/>
          <w:szCs w:val="22"/>
        </w:rPr>
        <w:t xml:space="preserve">Las entidades federativas que tienen las mayores tasas de participación en la actividad económica (cociente entre la PEA y la población de 15 o más </w:t>
      </w:r>
      <w:proofErr w:type="gramStart"/>
      <w:r w:rsidRPr="00EF27C2">
        <w:rPr>
          <w:bCs/>
          <w:color w:val="auto"/>
          <w:spacing w:val="10"/>
          <w:sz w:val="22"/>
          <w:szCs w:val="22"/>
        </w:rPr>
        <w:t>años de edad</w:t>
      </w:r>
      <w:proofErr w:type="gramEnd"/>
      <w:r w:rsidRPr="00EF27C2">
        <w:rPr>
          <w:bCs/>
          <w:color w:val="auto"/>
          <w:spacing w:val="10"/>
          <w:sz w:val="22"/>
          <w:szCs w:val="22"/>
        </w:rPr>
        <w:t xml:space="preserve">) son: </w:t>
      </w:r>
      <w:r w:rsidR="00AA6007">
        <w:rPr>
          <w:bCs/>
          <w:color w:val="auto"/>
          <w:spacing w:val="10"/>
          <w:sz w:val="22"/>
          <w:szCs w:val="22"/>
        </w:rPr>
        <w:t xml:space="preserve">Nayarit </w:t>
      </w:r>
      <w:r w:rsidRPr="00EF27C2">
        <w:rPr>
          <w:bCs/>
          <w:color w:val="auto"/>
          <w:spacing w:val="10"/>
          <w:sz w:val="22"/>
          <w:szCs w:val="22"/>
        </w:rPr>
        <w:t xml:space="preserve">con </w:t>
      </w:r>
      <w:r w:rsidR="008243E3">
        <w:rPr>
          <w:bCs/>
          <w:color w:val="auto"/>
          <w:spacing w:val="10"/>
          <w:sz w:val="22"/>
          <w:szCs w:val="22"/>
        </w:rPr>
        <w:t>69</w:t>
      </w:r>
      <w:r w:rsidRPr="00EF27C2">
        <w:rPr>
          <w:bCs/>
          <w:color w:val="auto"/>
          <w:spacing w:val="10"/>
          <w:sz w:val="22"/>
          <w:szCs w:val="22"/>
        </w:rPr>
        <w:t>%</w:t>
      </w:r>
      <w:r w:rsidR="00AA6007">
        <w:rPr>
          <w:bCs/>
          <w:color w:val="auto"/>
          <w:spacing w:val="10"/>
          <w:sz w:val="22"/>
          <w:szCs w:val="22"/>
        </w:rPr>
        <w:t xml:space="preserve"> y Yucatán con </w:t>
      </w:r>
      <w:r w:rsidR="008243E3">
        <w:rPr>
          <w:bCs/>
          <w:color w:val="auto"/>
          <w:spacing w:val="10"/>
          <w:sz w:val="22"/>
          <w:szCs w:val="22"/>
        </w:rPr>
        <w:t>65.3</w:t>
      </w:r>
      <w:r w:rsidR="008243E3" w:rsidRPr="00EF27C2">
        <w:rPr>
          <w:bCs/>
          <w:color w:val="auto"/>
          <w:spacing w:val="10"/>
          <w:sz w:val="22"/>
          <w:szCs w:val="22"/>
        </w:rPr>
        <w:t xml:space="preserve"> </w:t>
      </w:r>
      <w:r w:rsidRPr="00EF27C2">
        <w:rPr>
          <w:bCs/>
          <w:color w:val="auto"/>
          <w:spacing w:val="10"/>
          <w:sz w:val="22"/>
          <w:szCs w:val="22"/>
        </w:rPr>
        <w:t>por ciento.</w:t>
      </w:r>
      <w:r w:rsidR="00AA6007">
        <w:rPr>
          <w:bCs/>
          <w:color w:val="auto"/>
          <w:spacing w:val="10"/>
          <w:sz w:val="22"/>
          <w:szCs w:val="22"/>
        </w:rPr>
        <w:t xml:space="preserve"> </w:t>
      </w:r>
      <w:r w:rsidRPr="00EF27C2">
        <w:rPr>
          <w:bCs/>
          <w:color w:val="auto"/>
          <w:spacing w:val="10"/>
          <w:sz w:val="22"/>
          <w:szCs w:val="22"/>
        </w:rPr>
        <w:t xml:space="preserve">En el otro extremo se encuentran </w:t>
      </w:r>
      <w:r w:rsidR="008243E3">
        <w:rPr>
          <w:bCs/>
          <w:color w:val="auto"/>
          <w:spacing w:val="10"/>
          <w:sz w:val="22"/>
          <w:szCs w:val="22"/>
        </w:rPr>
        <w:t xml:space="preserve">Morelos </w:t>
      </w:r>
      <w:r w:rsidR="00AA6007">
        <w:rPr>
          <w:bCs/>
          <w:color w:val="auto"/>
          <w:spacing w:val="10"/>
          <w:sz w:val="22"/>
          <w:szCs w:val="22"/>
        </w:rPr>
        <w:t>con 5</w:t>
      </w:r>
      <w:r w:rsidR="00A65854">
        <w:rPr>
          <w:bCs/>
          <w:color w:val="auto"/>
          <w:spacing w:val="10"/>
          <w:sz w:val="22"/>
          <w:szCs w:val="22"/>
        </w:rPr>
        <w:t>2.</w:t>
      </w:r>
      <w:r w:rsidR="008243E3">
        <w:rPr>
          <w:bCs/>
          <w:color w:val="auto"/>
          <w:spacing w:val="10"/>
          <w:sz w:val="22"/>
          <w:szCs w:val="22"/>
        </w:rPr>
        <w:t>4</w:t>
      </w:r>
      <w:r w:rsidR="00AA6007">
        <w:rPr>
          <w:bCs/>
          <w:color w:val="auto"/>
          <w:spacing w:val="10"/>
          <w:sz w:val="22"/>
          <w:szCs w:val="22"/>
        </w:rPr>
        <w:t>%</w:t>
      </w:r>
      <w:r w:rsidR="00A65854">
        <w:rPr>
          <w:bCs/>
          <w:color w:val="auto"/>
          <w:spacing w:val="10"/>
          <w:sz w:val="22"/>
          <w:szCs w:val="22"/>
        </w:rPr>
        <w:t xml:space="preserve">, Veracruz de Ignacio de la Llave con </w:t>
      </w:r>
      <w:r w:rsidR="008243E3">
        <w:rPr>
          <w:bCs/>
          <w:color w:val="auto"/>
          <w:spacing w:val="10"/>
          <w:sz w:val="22"/>
          <w:szCs w:val="22"/>
        </w:rPr>
        <w:t>52.7</w:t>
      </w:r>
      <w:r w:rsidR="00A65854">
        <w:rPr>
          <w:bCs/>
          <w:color w:val="auto"/>
          <w:spacing w:val="10"/>
          <w:sz w:val="22"/>
          <w:szCs w:val="22"/>
        </w:rPr>
        <w:t xml:space="preserve">% y la </w:t>
      </w:r>
      <w:r w:rsidR="00AA6007">
        <w:rPr>
          <w:bCs/>
          <w:color w:val="auto"/>
          <w:spacing w:val="10"/>
          <w:sz w:val="22"/>
          <w:szCs w:val="22"/>
        </w:rPr>
        <w:t xml:space="preserve">Ciudad de México con </w:t>
      </w:r>
      <w:r w:rsidR="008243E3">
        <w:rPr>
          <w:bCs/>
          <w:color w:val="auto"/>
          <w:spacing w:val="10"/>
          <w:sz w:val="22"/>
          <w:szCs w:val="22"/>
        </w:rPr>
        <w:t>53.9</w:t>
      </w:r>
      <w:r w:rsidR="00A65854">
        <w:rPr>
          <w:bCs/>
          <w:color w:val="auto"/>
          <w:spacing w:val="10"/>
          <w:sz w:val="22"/>
          <w:szCs w:val="22"/>
        </w:rPr>
        <w:t xml:space="preserve"> </w:t>
      </w:r>
      <w:r w:rsidR="008243E3">
        <w:rPr>
          <w:bCs/>
          <w:color w:val="auto"/>
          <w:spacing w:val="10"/>
          <w:sz w:val="22"/>
          <w:szCs w:val="22"/>
        </w:rPr>
        <w:t>por ciento</w:t>
      </w:r>
      <w:r w:rsidRPr="00EF27C2">
        <w:rPr>
          <w:bCs/>
          <w:color w:val="auto"/>
          <w:spacing w:val="10"/>
          <w:sz w:val="22"/>
          <w:szCs w:val="22"/>
        </w:rPr>
        <w:t>.</w:t>
      </w:r>
    </w:p>
    <w:p w14:paraId="4E67C5F2" w14:textId="77777777" w:rsidR="00EF27C2" w:rsidRPr="00EF27C2" w:rsidRDefault="00EF27C2" w:rsidP="009749DA">
      <w:pPr>
        <w:pStyle w:val="n0"/>
        <w:keepLines w:val="0"/>
        <w:spacing w:before="0"/>
        <w:ind w:left="0" w:right="51" w:firstLine="0"/>
        <w:contextualSpacing/>
        <w:rPr>
          <w:bCs/>
          <w:color w:val="auto"/>
          <w:spacing w:val="10"/>
          <w:sz w:val="22"/>
          <w:szCs w:val="22"/>
        </w:rPr>
      </w:pPr>
    </w:p>
    <w:p w14:paraId="7E21A682" w14:textId="61E6351A" w:rsidR="00AA6007" w:rsidRDefault="00AA6007" w:rsidP="009749DA">
      <w:pPr>
        <w:pStyle w:val="n0"/>
        <w:keepLines w:val="0"/>
        <w:spacing w:before="0"/>
        <w:ind w:left="0" w:right="51" w:firstLine="0"/>
        <w:contextualSpacing/>
        <w:rPr>
          <w:bCs/>
          <w:color w:val="auto"/>
          <w:spacing w:val="10"/>
          <w:sz w:val="22"/>
          <w:szCs w:val="22"/>
        </w:rPr>
      </w:pPr>
      <w:r>
        <w:rPr>
          <w:bCs/>
          <w:color w:val="auto"/>
          <w:spacing w:val="10"/>
          <w:sz w:val="22"/>
          <w:szCs w:val="22"/>
        </w:rPr>
        <w:t>En nivel de desocupación, las tasa</w:t>
      </w:r>
      <w:r w:rsidR="00125876">
        <w:rPr>
          <w:bCs/>
          <w:color w:val="auto"/>
          <w:spacing w:val="10"/>
          <w:sz w:val="22"/>
          <w:szCs w:val="22"/>
        </w:rPr>
        <w:t>s</w:t>
      </w:r>
      <w:r>
        <w:rPr>
          <w:bCs/>
          <w:color w:val="auto"/>
          <w:spacing w:val="10"/>
          <w:sz w:val="22"/>
          <w:szCs w:val="22"/>
        </w:rPr>
        <w:t xml:space="preserve"> </w:t>
      </w:r>
      <w:r w:rsidR="00EF27C2" w:rsidRPr="00EF27C2">
        <w:rPr>
          <w:bCs/>
          <w:color w:val="auto"/>
          <w:spacing w:val="10"/>
          <w:sz w:val="22"/>
          <w:szCs w:val="22"/>
        </w:rPr>
        <w:t xml:space="preserve">más altas </w:t>
      </w:r>
      <w:r>
        <w:rPr>
          <w:bCs/>
          <w:color w:val="auto"/>
          <w:spacing w:val="10"/>
          <w:sz w:val="22"/>
          <w:szCs w:val="22"/>
        </w:rPr>
        <w:t xml:space="preserve">las reportaron los estados de Quintana Roo con </w:t>
      </w:r>
      <w:r w:rsidR="00A65854">
        <w:rPr>
          <w:bCs/>
          <w:color w:val="auto"/>
          <w:spacing w:val="10"/>
          <w:sz w:val="22"/>
          <w:szCs w:val="22"/>
        </w:rPr>
        <w:t>8.</w:t>
      </w:r>
      <w:r w:rsidR="00307574">
        <w:rPr>
          <w:bCs/>
          <w:color w:val="auto"/>
          <w:spacing w:val="10"/>
          <w:sz w:val="22"/>
          <w:szCs w:val="22"/>
        </w:rPr>
        <w:t>2</w:t>
      </w:r>
      <w:r w:rsidR="00EF27C2" w:rsidRPr="00EF27C2">
        <w:rPr>
          <w:bCs/>
          <w:color w:val="auto"/>
          <w:spacing w:val="10"/>
          <w:sz w:val="22"/>
          <w:szCs w:val="22"/>
        </w:rPr>
        <w:t xml:space="preserve">%, </w:t>
      </w:r>
      <w:r w:rsidR="00307574">
        <w:rPr>
          <w:bCs/>
          <w:color w:val="auto"/>
          <w:spacing w:val="10"/>
          <w:sz w:val="22"/>
          <w:szCs w:val="22"/>
        </w:rPr>
        <w:t xml:space="preserve">Ciudad de México </w:t>
      </w:r>
      <w:r w:rsidR="00A65854">
        <w:rPr>
          <w:bCs/>
          <w:color w:val="auto"/>
          <w:spacing w:val="10"/>
          <w:sz w:val="22"/>
          <w:szCs w:val="22"/>
        </w:rPr>
        <w:t xml:space="preserve">con </w:t>
      </w:r>
      <w:r w:rsidR="00307574">
        <w:rPr>
          <w:bCs/>
          <w:color w:val="auto"/>
          <w:spacing w:val="10"/>
          <w:sz w:val="22"/>
          <w:szCs w:val="22"/>
        </w:rPr>
        <w:t>7.3</w:t>
      </w:r>
      <w:r w:rsidR="00A65854">
        <w:rPr>
          <w:bCs/>
          <w:color w:val="auto"/>
          <w:spacing w:val="10"/>
          <w:sz w:val="22"/>
          <w:szCs w:val="22"/>
        </w:rPr>
        <w:t xml:space="preserve">% y </w:t>
      </w:r>
      <w:r w:rsidR="00307574">
        <w:rPr>
          <w:bCs/>
          <w:color w:val="auto"/>
          <w:spacing w:val="10"/>
          <w:sz w:val="22"/>
          <w:szCs w:val="22"/>
        </w:rPr>
        <w:t xml:space="preserve">Estado de México </w:t>
      </w:r>
      <w:r>
        <w:rPr>
          <w:bCs/>
          <w:color w:val="auto"/>
          <w:spacing w:val="10"/>
          <w:sz w:val="22"/>
          <w:szCs w:val="22"/>
        </w:rPr>
        <w:t xml:space="preserve">con </w:t>
      </w:r>
      <w:r w:rsidR="00307574">
        <w:rPr>
          <w:bCs/>
          <w:color w:val="auto"/>
          <w:spacing w:val="10"/>
          <w:sz w:val="22"/>
          <w:szCs w:val="22"/>
        </w:rPr>
        <w:t>6.5</w:t>
      </w:r>
      <w:r w:rsidR="00EF27C2" w:rsidRPr="00EF27C2">
        <w:rPr>
          <w:bCs/>
          <w:color w:val="auto"/>
          <w:spacing w:val="10"/>
          <w:sz w:val="22"/>
          <w:szCs w:val="22"/>
        </w:rPr>
        <w:t>%</w:t>
      </w:r>
      <w:r>
        <w:rPr>
          <w:bCs/>
          <w:color w:val="auto"/>
          <w:spacing w:val="10"/>
          <w:sz w:val="22"/>
          <w:szCs w:val="22"/>
        </w:rPr>
        <w:t xml:space="preserve"> por ciento. </w:t>
      </w:r>
      <w:r w:rsidR="00EF27C2" w:rsidRPr="00EF27C2">
        <w:rPr>
          <w:bCs/>
          <w:color w:val="auto"/>
          <w:spacing w:val="10"/>
          <w:sz w:val="22"/>
          <w:szCs w:val="22"/>
        </w:rPr>
        <w:t xml:space="preserve">En contraste, las tasas más bajas en este indicador se reportaron en </w:t>
      </w:r>
      <w:r w:rsidR="00A65854">
        <w:rPr>
          <w:bCs/>
          <w:color w:val="auto"/>
          <w:spacing w:val="10"/>
          <w:sz w:val="22"/>
          <w:szCs w:val="22"/>
        </w:rPr>
        <w:t>Oaxaca con 1.</w:t>
      </w:r>
      <w:r w:rsidR="00307574">
        <w:rPr>
          <w:bCs/>
          <w:color w:val="auto"/>
          <w:spacing w:val="10"/>
          <w:sz w:val="22"/>
          <w:szCs w:val="22"/>
        </w:rPr>
        <w:t>5</w:t>
      </w:r>
      <w:r w:rsidR="00A65854">
        <w:rPr>
          <w:bCs/>
          <w:color w:val="auto"/>
          <w:spacing w:val="10"/>
          <w:sz w:val="22"/>
          <w:szCs w:val="22"/>
        </w:rPr>
        <w:t xml:space="preserve">%, </w:t>
      </w:r>
      <w:r w:rsidR="00307574">
        <w:rPr>
          <w:bCs/>
          <w:color w:val="auto"/>
          <w:spacing w:val="10"/>
          <w:sz w:val="22"/>
          <w:szCs w:val="22"/>
        </w:rPr>
        <w:t>Guerrero</w:t>
      </w:r>
      <w:r w:rsidR="00EF27C2" w:rsidRPr="00EF27C2">
        <w:rPr>
          <w:bCs/>
          <w:color w:val="auto"/>
          <w:spacing w:val="10"/>
          <w:sz w:val="22"/>
          <w:szCs w:val="22"/>
        </w:rPr>
        <w:t xml:space="preserve"> con </w:t>
      </w:r>
      <w:r w:rsidR="00307574">
        <w:rPr>
          <w:bCs/>
          <w:color w:val="auto"/>
          <w:spacing w:val="10"/>
          <w:sz w:val="22"/>
          <w:szCs w:val="22"/>
        </w:rPr>
        <w:t>1.7</w:t>
      </w:r>
      <w:r w:rsidR="00EF27C2" w:rsidRPr="00EF27C2">
        <w:rPr>
          <w:bCs/>
          <w:color w:val="auto"/>
          <w:spacing w:val="10"/>
          <w:sz w:val="22"/>
          <w:szCs w:val="22"/>
        </w:rPr>
        <w:t>%</w:t>
      </w:r>
      <w:r w:rsidR="00307574">
        <w:rPr>
          <w:bCs/>
          <w:color w:val="auto"/>
          <w:spacing w:val="10"/>
          <w:sz w:val="22"/>
          <w:szCs w:val="22"/>
        </w:rPr>
        <w:t xml:space="preserve"> </w:t>
      </w:r>
      <w:r w:rsidR="00A65854">
        <w:rPr>
          <w:bCs/>
          <w:color w:val="auto"/>
          <w:spacing w:val="10"/>
          <w:sz w:val="22"/>
          <w:szCs w:val="22"/>
        </w:rPr>
        <w:t xml:space="preserve">y </w:t>
      </w:r>
      <w:r w:rsidR="00307574">
        <w:rPr>
          <w:bCs/>
          <w:color w:val="auto"/>
          <w:spacing w:val="10"/>
          <w:sz w:val="22"/>
          <w:szCs w:val="22"/>
        </w:rPr>
        <w:t xml:space="preserve">Morelos </w:t>
      </w:r>
      <w:r w:rsidR="00A65854">
        <w:rPr>
          <w:bCs/>
          <w:color w:val="auto"/>
          <w:spacing w:val="10"/>
          <w:sz w:val="22"/>
          <w:szCs w:val="22"/>
        </w:rPr>
        <w:t>con 2</w:t>
      </w:r>
      <w:r w:rsidR="00307574">
        <w:rPr>
          <w:bCs/>
          <w:color w:val="auto"/>
          <w:spacing w:val="10"/>
          <w:sz w:val="22"/>
          <w:szCs w:val="22"/>
        </w:rPr>
        <w:t xml:space="preserve"> </w:t>
      </w:r>
      <w:r w:rsidR="00CB4664">
        <w:rPr>
          <w:bCs/>
          <w:color w:val="auto"/>
          <w:spacing w:val="10"/>
          <w:sz w:val="22"/>
          <w:szCs w:val="22"/>
        </w:rPr>
        <w:t>por ciento</w:t>
      </w:r>
      <w:r>
        <w:rPr>
          <w:bCs/>
          <w:color w:val="auto"/>
          <w:spacing w:val="10"/>
          <w:sz w:val="22"/>
          <w:szCs w:val="22"/>
        </w:rPr>
        <w:t>.</w:t>
      </w:r>
    </w:p>
    <w:p w14:paraId="6BFDC202" w14:textId="47207B9D" w:rsidR="000B6644" w:rsidRDefault="000B6644" w:rsidP="009749DA">
      <w:pPr>
        <w:pStyle w:val="n0"/>
        <w:keepLines w:val="0"/>
        <w:spacing w:before="0"/>
        <w:ind w:left="0" w:right="51" w:firstLine="0"/>
        <w:contextualSpacing/>
        <w:rPr>
          <w:bCs/>
          <w:color w:val="auto"/>
          <w:spacing w:val="10"/>
          <w:sz w:val="22"/>
          <w:szCs w:val="22"/>
        </w:rPr>
      </w:pPr>
      <w:r>
        <w:rPr>
          <w:bCs/>
          <w:color w:val="auto"/>
          <w:spacing w:val="10"/>
          <w:sz w:val="22"/>
          <w:szCs w:val="22"/>
        </w:rPr>
        <w:br w:type="page"/>
      </w:r>
    </w:p>
    <w:p w14:paraId="4433156B" w14:textId="77777777" w:rsidR="00AA6007" w:rsidRDefault="00AA6007" w:rsidP="009749DA">
      <w:pPr>
        <w:pStyle w:val="n0"/>
        <w:keepLines w:val="0"/>
        <w:spacing w:before="0"/>
        <w:ind w:left="0" w:right="51" w:firstLine="0"/>
        <w:contextualSpacing/>
        <w:rPr>
          <w:bCs/>
          <w:color w:val="auto"/>
          <w:spacing w:val="10"/>
          <w:sz w:val="22"/>
          <w:szCs w:val="22"/>
        </w:rPr>
      </w:pPr>
    </w:p>
    <w:p w14:paraId="0108BF71" w14:textId="3E1B88CA" w:rsidR="00350F1A" w:rsidRDefault="00350F1A" w:rsidP="009749DA">
      <w:pPr>
        <w:pStyle w:val="n0"/>
        <w:keepLines w:val="0"/>
        <w:spacing w:before="0"/>
        <w:ind w:left="0" w:right="49" w:firstLine="0"/>
        <w:jc w:val="center"/>
        <w:rPr>
          <w:b/>
          <w:smallCaps/>
          <w:color w:val="auto"/>
          <w:sz w:val="22"/>
          <w:szCs w:val="22"/>
        </w:rPr>
      </w:pPr>
      <w:r w:rsidRPr="007E2E7F">
        <w:rPr>
          <w:b/>
          <w:smallCaps/>
          <w:color w:val="auto"/>
          <w:sz w:val="22"/>
          <w:szCs w:val="22"/>
        </w:rPr>
        <w:t>Población y Tasas complementarias de ocupación y desocupación</w:t>
      </w:r>
      <w:r w:rsidRPr="007E2E7F">
        <w:rPr>
          <w:b/>
          <w:smallCaps/>
          <w:color w:val="auto"/>
          <w:sz w:val="22"/>
          <w:szCs w:val="22"/>
        </w:rPr>
        <w:br/>
        <w:t xml:space="preserve">por entidad federativa durante el </w:t>
      </w:r>
      <w:r w:rsidR="00177B20" w:rsidRPr="007E2E7F">
        <w:rPr>
          <w:b/>
          <w:smallCaps/>
          <w:color w:val="auto"/>
          <w:sz w:val="22"/>
          <w:szCs w:val="22"/>
        </w:rPr>
        <w:t>primer</w:t>
      </w:r>
      <w:r w:rsidRPr="007E2E7F">
        <w:rPr>
          <w:b/>
          <w:smallCaps/>
          <w:color w:val="auto"/>
          <w:sz w:val="22"/>
          <w:szCs w:val="22"/>
        </w:rPr>
        <w:t xml:space="preserve"> trimestre de </w:t>
      </w:r>
      <w:r w:rsidR="00177B20" w:rsidRPr="007E2E7F">
        <w:rPr>
          <w:b/>
          <w:smallCaps/>
          <w:color w:val="auto"/>
          <w:sz w:val="22"/>
          <w:szCs w:val="22"/>
        </w:rPr>
        <w:t>2021</w:t>
      </w:r>
    </w:p>
    <w:p w14:paraId="700B6C33" w14:textId="77777777" w:rsidR="00831EED" w:rsidRDefault="00831EED" w:rsidP="00831EED">
      <w:pPr>
        <w:keepNext/>
        <w:keepLines/>
        <w:spacing w:after="0" w:line="240" w:lineRule="auto"/>
        <w:ind w:right="-6"/>
        <w:jc w:val="center"/>
        <w:rPr>
          <w:b/>
          <w:smallCaps/>
        </w:rPr>
      </w:pPr>
    </w:p>
    <w:tbl>
      <w:tblPr>
        <w:tblW w:w="11316" w:type="dxa"/>
        <w:tblInd w:w="-1261" w:type="dxa"/>
        <w:tblLayout w:type="fixed"/>
        <w:tblCellMar>
          <w:left w:w="70" w:type="dxa"/>
          <w:right w:w="70" w:type="dxa"/>
        </w:tblCellMar>
        <w:tblLook w:val="04A0" w:firstRow="1" w:lastRow="0" w:firstColumn="1" w:lastColumn="0" w:noHBand="0" w:noVBand="1"/>
      </w:tblPr>
      <w:tblGrid>
        <w:gridCol w:w="1843"/>
        <w:gridCol w:w="992"/>
        <w:gridCol w:w="1110"/>
        <w:gridCol w:w="639"/>
        <w:gridCol w:w="801"/>
        <w:gridCol w:w="828"/>
        <w:gridCol w:w="708"/>
        <w:gridCol w:w="709"/>
        <w:gridCol w:w="567"/>
        <w:gridCol w:w="851"/>
        <w:gridCol w:w="708"/>
        <w:gridCol w:w="709"/>
        <w:gridCol w:w="851"/>
      </w:tblGrid>
      <w:tr w:rsidR="00831EED" w:rsidRPr="00513E8F" w14:paraId="54069AC3" w14:textId="77777777" w:rsidTr="00831EED">
        <w:trPr>
          <w:trHeight w:val="247"/>
        </w:trPr>
        <w:tc>
          <w:tcPr>
            <w:tcW w:w="1843" w:type="dxa"/>
            <w:vMerge w:val="restart"/>
            <w:tcBorders>
              <w:top w:val="single" w:sz="8" w:space="0" w:color="376091"/>
              <w:left w:val="single" w:sz="8" w:space="0" w:color="376091"/>
              <w:bottom w:val="single" w:sz="8" w:space="0" w:color="376091"/>
              <w:right w:val="single" w:sz="8" w:space="0" w:color="376091"/>
            </w:tcBorders>
            <w:shd w:val="clear" w:color="000000" w:fill="ABC3DF"/>
            <w:vAlign w:val="center"/>
            <w:hideMark/>
          </w:tcPr>
          <w:p w14:paraId="0142C276" w14:textId="77777777" w:rsidR="00831EED" w:rsidRPr="00E7630F" w:rsidRDefault="00831EED" w:rsidP="00831EED">
            <w:pPr>
              <w:spacing w:after="0" w:line="240" w:lineRule="auto"/>
              <w:jc w:val="center"/>
              <w:rPr>
                <w:rFonts w:ascii="Arial" w:eastAsia="Times New Roman" w:hAnsi="Arial" w:cs="Arial"/>
                <w:b/>
                <w:bCs/>
                <w:color w:val="000000"/>
                <w:sz w:val="16"/>
                <w:szCs w:val="16"/>
                <w:lang w:eastAsia="es-MX"/>
              </w:rPr>
            </w:pPr>
            <w:r w:rsidRPr="00E7630F">
              <w:rPr>
                <w:rFonts w:ascii="Arial" w:eastAsia="Times New Roman" w:hAnsi="Arial" w:cs="Arial"/>
                <w:b/>
                <w:bCs/>
                <w:color w:val="000000"/>
                <w:sz w:val="16"/>
                <w:szCs w:val="16"/>
                <w:lang w:eastAsia="es-MX"/>
              </w:rPr>
              <w:t>Entidad Federativa</w:t>
            </w:r>
          </w:p>
        </w:tc>
        <w:tc>
          <w:tcPr>
            <w:tcW w:w="2102" w:type="dxa"/>
            <w:gridSpan w:val="2"/>
            <w:tcBorders>
              <w:top w:val="single" w:sz="8" w:space="0" w:color="376091"/>
              <w:left w:val="nil"/>
              <w:bottom w:val="single" w:sz="8" w:space="0" w:color="376091"/>
              <w:right w:val="single" w:sz="8" w:space="0" w:color="376091"/>
            </w:tcBorders>
            <w:shd w:val="clear" w:color="000000" w:fill="ABC3DF"/>
            <w:noWrap/>
            <w:vAlign w:val="center"/>
            <w:hideMark/>
          </w:tcPr>
          <w:p w14:paraId="792AEBED" w14:textId="77777777" w:rsidR="00831EED" w:rsidRPr="00E7630F" w:rsidRDefault="00831EED" w:rsidP="00831EED">
            <w:pPr>
              <w:spacing w:after="0" w:line="240" w:lineRule="auto"/>
              <w:jc w:val="center"/>
              <w:rPr>
                <w:rFonts w:ascii="Arial" w:eastAsia="Times New Roman" w:hAnsi="Arial" w:cs="Arial"/>
                <w:b/>
                <w:bCs/>
                <w:color w:val="000000"/>
                <w:sz w:val="18"/>
                <w:szCs w:val="18"/>
                <w:lang w:eastAsia="es-MX"/>
              </w:rPr>
            </w:pPr>
            <w:r w:rsidRPr="00E7630F">
              <w:rPr>
                <w:rFonts w:ascii="Arial" w:eastAsia="Times New Roman" w:hAnsi="Arial" w:cs="Arial"/>
                <w:b/>
                <w:bCs/>
                <w:color w:val="000000"/>
                <w:sz w:val="18"/>
                <w:szCs w:val="18"/>
                <w:lang w:eastAsia="es-MX"/>
              </w:rPr>
              <w:t>Población</w:t>
            </w:r>
          </w:p>
        </w:tc>
        <w:tc>
          <w:tcPr>
            <w:tcW w:w="7371" w:type="dxa"/>
            <w:gridSpan w:val="10"/>
            <w:tcBorders>
              <w:top w:val="single" w:sz="8" w:space="0" w:color="376091"/>
              <w:left w:val="nil"/>
              <w:bottom w:val="single" w:sz="8" w:space="0" w:color="376091"/>
              <w:right w:val="single" w:sz="8" w:space="0" w:color="376091"/>
            </w:tcBorders>
            <w:shd w:val="clear" w:color="000000" w:fill="ABC3DF"/>
            <w:vAlign w:val="center"/>
            <w:hideMark/>
          </w:tcPr>
          <w:p w14:paraId="7EA9D2BD" w14:textId="77777777" w:rsidR="00831EED" w:rsidRPr="00E7630F" w:rsidRDefault="00831EED" w:rsidP="00831EED">
            <w:pPr>
              <w:spacing w:after="0" w:line="240" w:lineRule="auto"/>
              <w:jc w:val="center"/>
              <w:rPr>
                <w:rFonts w:ascii="Arial" w:eastAsia="Times New Roman" w:hAnsi="Arial" w:cs="Arial"/>
                <w:b/>
                <w:bCs/>
                <w:color w:val="000000"/>
                <w:sz w:val="18"/>
                <w:szCs w:val="18"/>
                <w:lang w:eastAsia="es-MX"/>
              </w:rPr>
            </w:pPr>
            <w:r w:rsidRPr="00E7630F">
              <w:rPr>
                <w:rFonts w:ascii="Arial" w:eastAsia="Times New Roman" w:hAnsi="Arial" w:cs="Arial"/>
                <w:b/>
                <w:bCs/>
                <w:color w:val="000000"/>
                <w:sz w:val="18"/>
                <w:szCs w:val="18"/>
                <w:lang w:eastAsia="es-MX"/>
              </w:rPr>
              <w:t>Tasa de:</w:t>
            </w:r>
          </w:p>
        </w:tc>
      </w:tr>
      <w:tr w:rsidR="00831EED" w:rsidRPr="00513E8F" w14:paraId="7F5EDF7B" w14:textId="77777777" w:rsidTr="00831EED">
        <w:trPr>
          <w:trHeight w:val="690"/>
        </w:trPr>
        <w:tc>
          <w:tcPr>
            <w:tcW w:w="1843" w:type="dxa"/>
            <w:vMerge/>
            <w:tcBorders>
              <w:top w:val="single" w:sz="8" w:space="0" w:color="376091"/>
              <w:left w:val="single" w:sz="8" w:space="0" w:color="376091"/>
              <w:bottom w:val="single" w:sz="8" w:space="0" w:color="376091"/>
              <w:right w:val="single" w:sz="8" w:space="0" w:color="376091"/>
            </w:tcBorders>
            <w:vAlign w:val="center"/>
            <w:hideMark/>
          </w:tcPr>
          <w:p w14:paraId="1C6C1FA8" w14:textId="77777777" w:rsidR="00831EED" w:rsidRPr="00EA6098" w:rsidRDefault="00831EED" w:rsidP="00831EED">
            <w:pPr>
              <w:spacing w:after="0" w:line="240" w:lineRule="auto"/>
              <w:rPr>
                <w:rFonts w:ascii="Arial" w:eastAsia="Times New Roman" w:hAnsi="Arial" w:cs="Arial"/>
                <w:bCs/>
                <w:color w:val="000000"/>
                <w:sz w:val="16"/>
                <w:szCs w:val="16"/>
                <w:lang w:eastAsia="es-MX"/>
              </w:rPr>
            </w:pPr>
          </w:p>
        </w:tc>
        <w:tc>
          <w:tcPr>
            <w:tcW w:w="992" w:type="dxa"/>
            <w:tcBorders>
              <w:top w:val="nil"/>
              <w:left w:val="nil"/>
              <w:bottom w:val="single" w:sz="8" w:space="0" w:color="376091"/>
              <w:right w:val="single" w:sz="8" w:space="0" w:color="376091"/>
            </w:tcBorders>
            <w:shd w:val="clear" w:color="000000" w:fill="ABC3DF"/>
            <w:vAlign w:val="center"/>
            <w:hideMark/>
          </w:tcPr>
          <w:p w14:paraId="7B072A52" w14:textId="77777777" w:rsidR="00831EED" w:rsidRPr="00EA6098" w:rsidRDefault="00831EED" w:rsidP="00831EED">
            <w:pPr>
              <w:spacing w:after="0" w:line="240" w:lineRule="auto"/>
              <w:jc w:val="center"/>
              <w:rPr>
                <w:rFonts w:ascii="Arial" w:eastAsia="Times New Roman" w:hAnsi="Arial" w:cs="Arial"/>
                <w:bCs/>
                <w:color w:val="000000"/>
                <w:sz w:val="16"/>
                <w:szCs w:val="16"/>
                <w:lang w:eastAsia="es-MX"/>
              </w:rPr>
            </w:pPr>
            <w:r w:rsidRPr="00EA6098">
              <w:rPr>
                <w:rFonts w:ascii="Arial" w:eastAsia="Times New Roman" w:hAnsi="Arial" w:cs="Arial"/>
                <w:bCs/>
                <w:color w:val="000000"/>
                <w:sz w:val="16"/>
                <w:szCs w:val="16"/>
                <w:lang w:eastAsia="es-MX"/>
              </w:rPr>
              <w:t>Ocupada</w:t>
            </w:r>
          </w:p>
        </w:tc>
        <w:tc>
          <w:tcPr>
            <w:tcW w:w="1110" w:type="dxa"/>
            <w:tcBorders>
              <w:top w:val="nil"/>
              <w:left w:val="nil"/>
              <w:bottom w:val="single" w:sz="8" w:space="0" w:color="376091"/>
              <w:right w:val="single" w:sz="8" w:space="0" w:color="376091"/>
            </w:tcBorders>
            <w:shd w:val="clear" w:color="000000" w:fill="ABC3DF"/>
            <w:vAlign w:val="center"/>
            <w:hideMark/>
          </w:tcPr>
          <w:p w14:paraId="5CEF9821" w14:textId="77777777" w:rsidR="00831EED" w:rsidRPr="00E22622" w:rsidRDefault="00831EED" w:rsidP="00831EED">
            <w:pPr>
              <w:spacing w:after="0" w:line="240" w:lineRule="auto"/>
              <w:jc w:val="center"/>
              <w:rPr>
                <w:rFonts w:ascii="Arial" w:eastAsia="Times New Roman" w:hAnsi="Arial" w:cs="Arial"/>
                <w:bCs/>
                <w:color w:val="000000"/>
                <w:sz w:val="16"/>
                <w:szCs w:val="16"/>
                <w:lang w:eastAsia="es-MX"/>
              </w:rPr>
            </w:pPr>
            <w:proofErr w:type="spellStart"/>
            <w:r w:rsidRPr="00E22622">
              <w:rPr>
                <w:rFonts w:ascii="Arial" w:eastAsia="Times New Roman" w:hAnsi="Arial" w:cs="Arial"/>
                <w:bCs/>
                <w:color w:val="000000"/>
                <w:sz w:val="16"/>
                <w:szCs w:val="16"/>
                <w:lang w:eastAsia="es-MX"/>
              </w:rPr>
              <w:t>Desocu</w:t>
            </w:r>
            <w:proofErr w:type="spellEnd"/>
            <w:r w:rsidRPr="00E22622">
              <w:rPr>
                <w:rFonts w:ascii="Arial" w:eastAsia="Times New Roman" w:hAnsi="Arial" w:cs="Arial"/>
                <w:bCs/>
                <w:color w:val="000000"/>
                <w:sz w:val="16"/>
                <w:szCs w:val="16"/>
                <w:lang w:eastAsia="es-MX"/>
              </w:rPr>
              <w:t>-pada</w:t>
            </w:r>
          </w:p>
        </w:tc>
        <w:tc>
          <w:tcPr>
            <w:tcW w:w="639" w:type="dxa"/>
            <w:tcBorders>
              <w:top w:val="nil"/>
              <w:left w:val="nil"/>
              <w:bottom w:val="single" w:sz="8" w:space="0" w:color="376091"/>
              <w:right w:val="single" w:sz="8" w:space="0" w:color="376091"/>
            </w:tcBorders>
            <w:shd w:val="clear" w:color="000000" w:fill="ABC3DF"/>
            <w:vAlign w:val="center"/>
            <w:hideMark/>
          </w:tcPr>
          <w:p w14:paraId="6EAC0C11" w14:textId="77777777" w:rsidR="00831EED" w:rsidRPr="00E22622" w:rsidRDefault="00831EED" w:rsidP="00831EED">
            <w:pPr>
              <w:spacing w:after="0" w:line="240" w:lineRule="auto"/>
              <w:jc w:val="center"/>
              <w:rPr>
                <w:rFonts w:ascii="Arial" w:eastAsia="Times New Roman" w:hAnsi="Arial" w:cs="Arial"/>
                <w:bCs/>
                <w:color w:val="000000"/>
                <w:sz w:val="16"/>
                <w:szCs w:val="16"/>
                <w:lang w:eastAsia="es-MX"/>
              </w:rPr>
            </w:pPr>
            <w:r w:rsidRPr="00E22622">
              <w:rPr>
                <w:rFonts w:ascii="Arial" w:eastAsia="Times New Roman" w:hAnsi="Arial" w:cs="Arial"/>
                <w:bCs/>
                <w:color w:val="000000"/>
                <w:sz w:val="16"/>
                <w:szCs w:val="16"/>
                <w:lang w:eastAsia="es-MX"/>
              </w:rPr>
              <w:t>Partici-pación</w:t>
            </w:r>
            <w:r w:rsidRPr="00E22622">
              <w:rPr>
                <w:rFonts w:ascii="Arial" w:eastAsia="Times New Roman" w:hAnsi="Arial" w:cs="Arial"/>
                <w:bCs/>
                <w:color w:val="000000"/>
                <w:sz w:val="18"/>
                <w:szCs w:val="18"/>
                <w:vertAlign w:val="superscript"/>
                <w:lang w:eastAsia="es-MX"/>
              </w:rPr>
              <w:t>1/</w:t>
            </w:r>
          </w:p>
        </w:tc>
        <w:tc>
          <w:tcPr>
            <w:tcW w:w="801" w:type="dxa"/>
            <w:tcBorders>
              <w:top w:val="nil"/>
              <w:left w:val="nil"/>
              <w:bottom w:val="single" w:sz="8" w:space="0" w:color="376091"/>
              <w:right w:val="single" w:sz="8" w:space="0" w:color="376091"/>
            </w:tcBorders>
            <w:shd w:val="clear" w:color="000000" w:fill="ABC3DF"/>
            <w:vAlign w:val="center"/>
            <w:hideMark/>
          </w:tcPr>
          <w:p w14:paraId="5957DF76" w14:textId="77777777" w:rsidR="00831EED" w:rsidRPr="00E22622" w:rsidRDefault="00831EED" w:rsidP="00831EED">
            <w:pPr>
              <w:spacing w:after="0" w:line="240" w:lineRule="auto"/>
              <w:jc w:val="center"/>
              <w:rPr>
                <w:rFonts w:ascii="Arial" w:eastAsia="Times New Roman" w:hAnsi="Arial" w:cs="Arial"/>
                <w:bCs/>
                <w:color w:val="000000"/>
                <w:sz w:val="16"/>
                <w:szCs w:val="16"/>
                <w:lang w:eastAsia="es-MX"/>
              </w:rPr>
            </w:pPr>
            <w:r w:rsidRPr="00E22622">
              <w:rPr>
                <w:rFonts w:ascii="Arial" w:eastAsia="Times New Roman" w:hAnsi="Arial" w:cs="Arial"/>
                <w:bCs/>
                <w:color w:val="000000"/>
                <w:sz w:val="16"/>
                <w:szCs w:val="16"/>
                <w:lang w:eastAsia="es-MX"/>
              </w:rPr>
              <w:t>Desocu-pación</w:t>
            </w:r>
            <w:r w:rsidRPr="00E22622">
              <w:rPr>
                <w:rFonts w:ascii="Arial" w:eastAsia="Times New Roman" w:hAnsi="Arial" w:cs="Arial"/>
                <w:bCs/>
                <w:color w:val="000000"/>
                <w:sz w:val="18"/>
                <w:szCs w:val="18"/>
                <w:vertAlign w:val="superscript"/>
                <w:lang w:eastAsia="es-MX"/>
              </w:rPr>
              <w:t>2/</w:t>
            </w:r>
          </w:p>
        </w:tc>
        <w:tc>
          <w:tcPr>
            <w:tcW w:w="828" w:type="dxa"/>
            <w:tcBorders>
              <w:top w:val="nil"/>
              <w:left w:val="nil"/>
              <w:bottom w:val="single" w:sz="8" w:space="0" w:color="376091"/>
              <w:right w:val="single" w:sz="8" w:space="0" w:color="376091"/>
            </w:tcBorders>
            <w:shd w:val="clear" w:color="000000" w:fill="ABC3DF"/>
            <w:vAlign w:val="center"/>
            <w:hideMark/>
          </w:tcPr>
          <w:p w14:paraId="1B24924D" w14:textId="77777777" w:rsidR="00831EED" w:rsidRPr="00E22622" w:rsidRDefault="00831EED" w:rsidP="00831EED">
            <w:pPr>
              <w:spacing w:after="0" w:line="240" w:lineRule="auto"/>
              <w:jc w:val="center"/>
              <w:rPr>
                <w:rFonts w:ascii="Arial" w:eastAsia="Times New Roman" w:hAnsi="Arial" w:cs="Arial"/>
                <w:bCs/>
                <w:color w:val="000000"/>
                <w:sz w:val="16"/>
                <w:szCs w:val="16"/>
                <w:lang w:eastAsia="es-MX"/>
              </w:rPr>
            </w:pPr>
            <w:r w:rsidRPr="00E22622">
              <w:rPr>
                <w:rFonts w:ascii="Arial" w:eastAsia="Times New Roman" w:hAnsi="Arial" w:cs="Arial"/>
                <w:bCs/>
                <w:color w:val="000000"/>
                <w:sz w:val="16"/>
                <w:szCs w:val="16"/>
                <w:lang w:eastAsia="es-MX"/>
              </w:rPr>
              <w:t>Ocupa</w:t>
            </w:r>
            <w:r>
              <w:rPr>
                <w:rFonts w:ascii="Arial" w:eastAsia="Times New Roman" w:hAnsi="Arial" w:cs="Arial"/>
                <w:bCs/>
                <w:color w:val="000000"/>
                <w:sz w:val="16"/>
                <w:szCs w:val="16"/>
                <w:lang w:eastAsia="es-MX"/>
              </w:rPr>
              <w:t>-</w:t>
            </w:r>
            <w:proofErr w:type="spellStart"/>
            <w:r w:rsidRPr="00E22622">
              <w:rPr>
                <w:rFonts w:ascii="Arial" w:eastAsia="Times New Roman" w:hAnsi="Arial" w:cs="Arial"/>
                <w:bCs/>
                <w:color w:val="000000"/>
                <w:sz w:val="16"/>
                <w:szCs w:val="16"/>
                <w:lang w:eastAsia="es-MX"/>
              </w:rPr>
              <w:t>ción</w:t>
            </w:r>
            <w:proofErr w:type="spellEnd"/>
            <w:r w:rsidRPr="00E22622">
              <w:rPr>
                <w:rFonts w:ascii="Arial" w:eastAsia="Times New Roman" w:hAnsi="Arial" w:cs="Arial"/>
                <w:bCs/>
                <w:color w:val="000000"/>
                <w:sz w:val="16"/>
                <w:szCs w:val="16"/>
                <w:lang w:eastAsia="es-MX"/>
              </w:rPr>
              <w:t xml:space="preserve"> Parcial y Desocu-pación</w:t>
            </w:r>
            <w:r w:rsidRPr="00E22622">
              <w:rPr>
                <w:rFonts w:ascii="Arial" w:eastAsia="Times New Roman" w:hAnsi="Arial" w:cs="Arial"/>
                <w:bCs/>
                <w:color w:val="000000"/>
                <w:sz w:val="18"/>
                <w:szCs w:val="18"/>
                <w:vertAlign w:val="superscript"/>
                <w:lang w:eastAsia="es-MX"/>
              </w:rPr>
              <w:t>2/</w:t>
            </w:r>
          </w:p>
        </w:tc>
        <w:tc>
          <w:tcPr>
            <w:tcW w:w="708" w:type="dxa"/>
            <w:tcBorders>
              <w:top w:val="nil"/>
              <w:left w:val="nil"/>
              <w:bottom w:val="single" w:sz="8" w:space="0" w:color="376091"/>
              <w:right w:val="single" w:sz="8" w:space="0" w:color="376091"/>
            </w:tcBorders>
            <w:shd w:val="clear" w:color="000000" w:fill="ABC3DF"/>
            <w:vAlign w:val="center"/>
            <w:hideMark/>
          </w:tcPr>
          <w:p w14:paraId="650D650B" w14:textId="77777777" w:rsidR="00831EED" w:rsidRPr="00E22622" w:rsidRDefault="00831EED" w:rsidP="00831EED">
            <w:pPr>
              <w:spacing w:after="0" w:line="240" w:lineRule="auto"/>
              <w:jc w:val="center"/>
              <w:rPr>
                <w:rFonts w:ascii="Arial" w:eastAsia="Times New Roman" w:hAnsi="Arial" w:cs="Arial"/>
                <w:bCs/>
                <w:color w:val="000000"/>
                <w:sz w:val="16"/>
                <w:szCs w:val="16"/>
                <w:lang w:eastAsia="es-MX"/>
              </w:rPr>
            </w:pPr>
            <w:r w:rsidRPr="00E22622">
              <w:rPr>
                <w:rFonts w:ascii="Arial" w:eastAsia="Times New Roman" w:hAnsi="Arial" w:cs="Arial"/>
                <w:bCs/>
                <w:color w:val="000000"/>
                <w:sz w:val="16"/>
                <w:szCs w:val="16"/>
                <w:lang w:eastAsia="es-MX"/>
              </w:rPr>
              <w:t>Presión Gener</w:t>
            </w:r>
            <w:r>
              <w:rPr>
                <w:rFonts w:ascii="Arial" w:eastAsia="Times New Roman" w:hAnsi="Arial" w:cs="Arial"/>
                <w:bCs/>
                <w:color w:val="000000"/>
                <w:sz w:val="16"/>
                <w:szCs w:val="16"/>
                <w:lang w:eastAsia="es-MX"/>
              </w:rPr>
              <w:t>-</w:t>
            </w:r>
            <w:r w:rsidRPr="00E22622">
              <w:rPr>
                <w:rFonts w:ascii="Arial" w:eastAsia="Times New Roman" w:hAnsi="Arial" w:cs="Arial"/>
                <w:bCs/>
                <w:color w:val="000000"/>
                <w:sz w:val="16"/>
                <w:szCs w:val="16"/>
                <w:lang w:eastAsia="es-MX"/>
              </w:rPr>
              <w:t>al</w:t>
            </w:r>
            <w:r w:rsidRPr="00E22622">
              <w:rPr>
                <w:rFonts w:ascii="Arial" w:eastAsia="Times New Roman" w:hAnsi="Arial" w:cs="Arial"/>
                <w:bCs/>
                <w:color w:val="000000"/>
                <w:sz w:val="18"/>
                <w:szCs w:val="18"/>
                <w:vertAlign w:val="superscript"/>
                <w:lang w:eastAsia="es-MX"/>
              </w:rPr>
              <w:t>2/</w:t>
            </w:r>
          </w:p>
        </w:tc>
        <w:tc>
          <w:tcPr>
            <w:tcW w:w="709" w:type="dxa"/>
            <w:tcBorders>
              <w:top w:val="nil"/>
              <w:left w:val="nil"/>
              <w:bottom w:val="single" w:sz="8" w:space="0" w:color="376091"/>
              <w:right w:val="single" w:sz="8" w:space="0" w:color="376091"/>
            </w:tcBorders>
            <w:shd w:val="clear" w:color="000000" w:fill="ABC3DF"/>
            <w:vAlign w:val="center"/>
            <w:hideMark/>
          </w:tcPr>
          <w:p w14:paraId="4DEA455D" w14:textId="77777777" w:rsidR="00831EED" w:rsidRPr="00E22622" w:rsidRDefault="00831EED" w:rsidP="00831EED">
            <w:pPr>
              <w:spacing w:after="0" w:line="240" w:lineRule="auto"/>
              <w:jc w:val="center"/>
              <w:rPr>
                <w:rFonts w:ascii="Arial" w:eastAsia="Times New Roman" w:hAnsi="Arial" w:cs="Arial"/>
                <w:bCs/>
                <w:color w:val="000000"/>
                <w:sz w:val="16"/>
                <w:szCs w:val="16"/>
                <w:lang w:eastAsia="es-MX"/>
              </w:rPr>
            </w:pPr>
            <w:r w:rsidRPr="00E22622">
              <w:rPr>
                <w:rFonts w:ascii="Arial" w:eastAsia="Times New Roman" w:hAnsi="Arial" w:cs="Arial"/>
                <w:bCs/>
                <w:color w:val="000000"/>
                <w:sz w:val="16"/>
                <w:szCs w:val="16"/>
                <w:lang w:eastAsia="es-MX"/>
              </w:rPr>
              <w:t>Trabajo Asala-riado</w:t>
            </w:r>
            <w:r w:rsidRPr="00E22622">
              <w:rPr>
                <w:rFonts w:ascii="Arial" w:eastAsia="Times New Roman" w:hAnsi="Arial" w:cs="Arial"/>
                <w:bCs/>
                <w:color w:val="000000"/>
                <w:sz w:val="18"/>
                <w:szCs w:val="18"/>
                <w:vertAlign w:val="superscript"/>
                <w:lang w:eastAsia="es-MX"/>
              </w:rPr>
              <w:t>3/</w:t>
            </w:r>
          </w:p>
        </w:tc>
        <w:tc>
          <w:tcPr>
            <w:tcW w:w="567" w:type="dxa"/>
            <w:tcBorders>
              <w:top w:val="nil"/>
              <w:left w:val="nil"/>
              <w:bottom w:val="single" w:sz="8" w:space="0" w:color="376091"/>
              <w:right w:val="single" w:sz="8" w:space="0" w:color="376091"/>
            </w:tcBorders>
            <w:shd w:val="clear" w:color="000000" w:fill="ABC3DF"/>
            <w:vAlign w:val="center"/>
            <w:hideMark/>
          </w:tcPr>
          <w:p w14:paraId="2F73EFFB" w14:textId="77777777" w:rsidR="00831EED" w:rsidRDefault="00831EED" w:rsidP="00831EED">
            <w:pPr>
              <w:spacing w:after="0" w:line="240" w:lineRule="auto"/>
              <w:jc w:val="center"/>
              <w:rPr>
                <w:rFonts w:ascii="Arial" w:eastAsia="Times New Roman" w:hAnsi="Arial" w:cs="Arial"/>
                <w:bCs/>
                <w:color w:val="000000"/>
                <w:sz w:val="16"/>
                <w:szCs w:val="16"/>
                <w:lang w:eastAsia="es-MX"/>
              </w:rPr>
            </w:pPr>
            <w:r w:rsidRPr="00E22622">
              <w:rPr>
                <w:rFonts w:ascii="Arial" w:eastAsia="Times New Roman" w:hAnsi="Arial" w:cs="Arial"/>
                <w:bCs/>
                <w:color w:val="000000"/>
                <w:sz w:val="16"/>
                <w:szCs w:val="16"/>
                <w:lang w:eastAsia="es-MX"/>
              </w:rPr>
              <w:t>Sub</w:t>
            </w:r>
            <w:r>
              <w:rPr>
                <w:rFonts w:ascii="Arial" w:eastAsia="Times New Roman" w:hAnsi="Arial" w:cs="Arial"/>
                <w:bCs/>
                <w:color w:val="000000"/>
                <w:sz w:val="16"/>
                <w:szCs w:val="16"/>
                <w:lang w:eastAsia="es-MX"/>
              </w:rPr>
              <w:t>-</w:t>
            </w:r>
          </w:p>
          <w:p w14:paraId="0DCA38F1" w14:textId="77777777" w:rsidR="00831EED" w:rsidRDefault="00831EED" w:rsidP="00831EED">
            <w:pPr>
              <w:spacing w:after="0" w:line="240" w:lineRule="auto"/>
              <w:jc w:val="center"/>
              <w:rPr>
                <w:rFonts w:ascii="Arial" w:eastAsia="Times New Roman" w:hAnsi="Arial" w:cs="Arial"/>
                <w:bCs/>
                <w:color w:val="000000"/>
                <w:sz w:val="16"/>
                <w:szCs w:val="16"/>
                <w:lang w:eastAsia="es-MX"/>
              </w:rPr>
            </w:pPr>
            <w:proofErr w:type="spellStart"/>
            <w:r w:rsidRPr="00E22622">
              <w:rPr>
                <w:rFonts w:ascii="Arial" w:eastAsia="Times New Roman" w:hAnsi="Arial" w:cs="Arial"/>
                <w:bCs/>
                <w:color w:val="000000"/>
                <w:sz w:val="16"/>
                <w:szCs w:val="16"/>
                <w:lang w:eastAsia="es-MX"/>
              </w:rPr>
              <w:t>ocpa</w:t>
            </w:r>
            <w:proofErr w:type="spellEnd"/>
            <w:r>
              <w:rPr>
                <w:rFonts w:ascii="Arial" w:eastAsia="Times New Roman" w:hAnsi="Arial" w:cs="Arial"/>
                <w:bCs/>
                <w:color w:val="000000"/>
                <w:sz w:val="16"/>
                <w:szCs w:val="16"/>
                <w:lang w:eastAsia="es-MX"/>
              </w:rPr>
              <w:t>-</w:t>
            </w:r>
          </w:p>
          <w:p w14:paraId="21F73757" w14:textId="77777777" w:rsidR="00831EED" w:rsidRPr="00E22622" w:rsidRDefault="00831EED" w:rsidP="00831EED">
            <w:pPr>
              <w:spacing w:after="0" w:line="240" w:lineRule="auto"/>
              <w:jc w:val="center"/>
              <w:rPr>
                <w:rFonts w:ascii="Arial" w:eastAsia="Times New Roman" w:hAnsi="Arial" w:cs="Arial"/>
                <w:bCs/>
                <w:color w:val="000000"/>
                <w:sz w:val="16"/>
                <w:szCs w:val="16"/>
                <w:lang w:eastAsia="es-MX"/>
              </w:rPr>
            </w:pPr>
            <w:r w:rsidRPr="00E22622">
              <w:rPr>
                <w:rFonts w:ascii="Arial" w:eastAsia="Times New Roman" w:hAnsi="Arial" w:cs="Arial"/>
                <w:bCs/>
                <w:color w:val="000000"/>
                <w:sz w:val="16"/>
                <w:szCs w:val="16"/>
                <w:lang w:eastAsia="es-MX"/>
              </w:rPr>
              <w:t>ción</w:t>
            </w:r>
            <w:r w:rsidRPr="00E22622">
              <w:rPr>
                <w:rFonts w:ascii="Arial" w:eastAsia="Times New Roman" w:hAnsi="Arial" w:cs="Arial"/>
                <w:bCs/>
                <w:color w:val="000000"/>
                <w:sz w:val="18"/>
                <w:szCs w:val="18"/>
                <w:vertAlign w:val="superscript"/>
                <w:lang w:eastAsia="es-MX"/>
              </w:rPr>
              <w:t>3/</w:t>
            </w:r>
          </w:p>
        </w:tc>
        <w:tc>
          <w:tcPr>
            <w:tcW w:w="851" w:type="dxa"/>
            <w:tcBorders>
              <w:top w:val="nil"/>
              <w:left w:val="nil"/>
              <w:bottom w:val="single" w:sz="8" w:space="0" w:color="376091"/>
              <w:right w:val="single" w:sz="8" w:space="0" w:color="376091"/>
            </w:tcBorders>
            <w:shd w:val="clear" w:color="000000" w:fill="ABC3DF"/>
            <w:vAlign w:val="center"/>
            <w:hideMark/>
          </w:tcPr>
          <w:p w14:paraId="2412CA84" w14:textId="77777777" w:rsidR="00831EED" w:rsidRPr="00E22622" w:rsidRDefault="00831EED" w:rsidP="00831EED">
            <w:pPr>
              <w:spacing w:after="0" w:line="240" w:lineRule="auto"/>
              <w:jc w:val="center"/>
              <w:rPr>
                <w:rFonts w:ascii="Arial" w:eastAsia="Times New Roman" w:hAnsi="Arial" w:cs="Arial"/>
                <w:bCs/>
                <w:color w:val="000000"/>
                <w:sz w:val="16"/>
                <w:szCs w:val="16"/>
                <w:lang w:eastAsia="es-MX"/>
              </w:rPr>
            </w:pPr>
            <w:proofErr w:type="spellStart"/>
            <w:r w:rsidRPr="00E22622">
              <w:rPr>
                <w:rFonts w:ascii="Arial" w:eastAsia="Times New Roman" w:hAnsi="Arial" w:cs="Arial"/>
                <w:bCs/>
                <w:color w:val="000000"/>
                <w:sz w:val="16"/>
                <w:szCs w:val="16"/>
                <w:lang w:eastAsia="es-MX"/>
              </w:rPr>
              <w:t>Condicio</w:t>
            </w:r>
            <w:r>
              <w:rPr>
                <w:rFonts w:ascii="Arial" w:eastAsia="Times New Roman" w:hAnsi="Arial" w:cs="Arial"/>
                <w:bCs/>
                <w:color w:val="000000"/>
                <w:sz w:val="16"/>
                <w:szCs w:val="16"/>
                <w:lang w:eastAsia="es-MX"/>
              </w:rPr>
              <w:t>-</w:t>
            </w:r>
            <w:r w:rsidRPr="00E22622">
              <w:rPr>
                <w:rFonts w:ascii="Arial" w:eastAsia="Times New Roman" w:hAnsi="Arial" w:cs="Arial"/>
                <w:bCs/>
                <w:color w:val="000000"/>
                <w:sz w:val="16"/>
                <w:szCs w:val="16"/>
                <w:lang w:eastAsia="es-MX"/>
              </w:rPr>
              <w:t>nes</w:t>
            </w:r>
            <w:proofErr w:type="spellEnd"/>
            <w:r w:rsidRPr="00E22622">
              <w:rPr>
                <w:rFonts w:ascii="Arial" w:eastAsia="Times New Roman" w:hAnsi="Arial" w:cs="Arial"/>
                <w:bCs/>
                <w:color w:val="000000"/>
                <w:sz w:val="16"/>
                <w:szCs w:val="16"/>
                <w:lang w:eastAsia="es-MX"/>
              </w:rPr>
              <w:t xml:space="preserve"> Críticas de Ocupa</w:t>
            </w:r>
            <w:r>
              <w:rPr>
                <w:rFonts w:ascii="Arial" w:eastAsia="Times New Roman" w:hAnsi="Arial" w:cs="Arial"/>
                <w:bCs/>
                <w:color w:val="000000"/>
                <w:sz w:val="16"/>
                <w:szCs w:val="16"/>
                <w:lang w:eastAsia="es-MX"/>
              </w:rPr>
              <w:t>-</w:t>
            </w:r>
            <w:r w:rsidRPr="00E22622">
              <w:rPr>
                <w:rFonts w:ascii="Arial" w:eastAsia="Times New Roman" w:hAnsi="Arial" w:cs="Arial"/>
                <w:bCs/>
                <w:color w:val="000000"/>
                <w:sz w:val="16"/>
                <w:szCs w:val="16"/>
                <w:lang w:eastAsia="es-MX"/>
              </w:rPr>
              <w:t>ción</w:t>
            </w:r>
            <w:r w:rsidRPr="00E22622">
              <w:rPr>
                <w:rFonts w:ascii="Arial" w:eastAsia="Times New Roman" w:hAnsi="Arial" w:cs="Arial"/>
                <w:bCs/>
                <w:color w:val="000000"/>
                <w:sz w:val="18"/>
                <w:szCs w:val="18"/>
                <w:vertAlign w:val="superscript"/>
                <w:lang w:eastAsia="es-MX"/>
              </w:rPr>
              <w:t>3/</w:t>
            </w:r>
          </w:p>
        </w:tc>
        <w:tc>
          <w:tcPr>
            <w:tcW w:w="708" w:type="dxa"/>
            <w:tcBorders>
              <w:top w:val="nil"/>
              <w:left w:val="nil"/>
              <w:bottom w:val="single" w:sz="8" w:space="0" w:color="376091"/>
              <w:right w:val="single" w:sz="8" w:space="0" w:color="376091"/>
            </w:tcBorders>
            <w:shd w:val="clear" w:color="000000" w:fill="ABC3DF"/>
            <w:vAlign w:val="center"/>
            <w:hideMark/>
          </w:tcPr>
          <w:p w14:paraId="7FEFEF7C" w14:textId="77777777" w:rsidR="00831EED" w:rsidRPr="00E22622" w:rsidRDefault="00831EED" w:rsidP="00831EED">
            <w:pPr>
              <w:spacing w:after="0" w:line="240" w:lineRule="auto"/>
              <w:jc w:val="center"/>
              <w:rPr>
                <w:rFonts w:ascii="Arial" w:eastAsia="Times New Roman" w:hAnsi="Arial" w:cs="Arial"/>
                <w:bCs/>
                <w:color w:val="000000"/>
                <w:sz w:val="16"/>
                <w:szCs w:val="16"/>
                <w:lang w:eastAsia="es-MX"/>
              </w:rPr>
            </w:pPr>
            <w:r w:rsidRPr="00E22622">
              <w:rPr>
                <w:rFonts w:ascii="Arial" w:eastAsia="Times New Roman" w:hAnsi="Arial" w:cs="Arial"/>
                <w:bCs/>
                <w:color w:val="000000"/>
                <w:sz w:val="16"/>
                <w:szCs w:val="16"/>
                <w:lang w:eastAsia="es-MX"/>
              </w:rPr>
              <w:t>Informa-</w:t>
            </w:r>
            <w:proofErr w:type="spellStart"/>
            <w:r w:rsidRPr="00E22622">
              <w:rPr>
                <w:rFonts w:ascii="Arial" w:eastAsia="Times New Roman" w:hAnsi="Arial" w:cs="Arial"/>
                <w:bCs/>
                <w:color w:val="000000"/>
                <w:sz w:val="16"/>
                <w:szCs w:val="16"/>
                <w:lang w:eastAsia="es-MX"/>
              </w:rPr>
              <w:t>lidad</w:t>
            </w:r>
            <w:proofErr w:type="spellEnd"/>
            <w:r w:rsidRPr="00E22622">
              <w:rPr>
                <w:rFonts w:ascii="Arial" w:eastAsia="Times New Roman" w:hAnsi="Arial" w:cs="Arial"/>
                <w:bCs/>
                <w:color w:val="000000"/>
                <w:sz w:val="16"/>
                <w:szCs w:val="16"/>
                <w:lang w:eastAsia="es-MX"/>
              </w:rPr>
              <w:t xml:space="preserve"> Laboral 1</w:t>
            </w:r>
            <w:r w:rsidRPr="00E22622">
              <w:rPr>
                <w:rFonts w:ascii="Arial" w:eastAsia="Times New Roman" w:hAnsi="Arial" w:cs="Arial"/>
                <w:bCs/>
                <w:color w:val="000000"/>
                <w:sz w:val="18"/>
                <w:szCs w:val="18"/>
                <w:vertAlign w:val="superscript"/>
                <w:lang w:eastAsia="es-MX"/>
              </w:rPr>
              <w:t>3/</w:t>
            </w:r>
          </w:p>
        </w:tc>
        <w:tc>
          <w:tcPr>
            <w:tcW w:w="709" w:type="dxa"/>
            <w:tcBorders>
              <w:top w:val="nil"/>
              <w:left w:val="nil"/>
              <w:bottom w:val="single" w:sz="8" w:space="0" w:color="376091"/>
              <w:right w:val="single" w:sz="8" w:space="0" w:color="376091"/>
            </w:tcBorders>
            <w:shd w:val="clear" w:color="000000" w:fill="ABC3DF"/>
            <w:vAlign w:val="center"/>
            <w:hideMark/>
          </w:tcPr>
          <w:p w14:paraId="32C35777" w14:textId="77777777" w:rsidR="00831EED" w:rsidRPr="00E22622" w:rsidRDefault="00831EED" w:rsidP="00831EED">
            <w:pPr>
              <w:spacing w:after="0" w:line="240" w:lineRule="auto"/>
              <w:jc w:val="center"/>
              <w:rPr>
                <w:rFonts w:ascii="Arial" w:eastAsia="Times New Roman" w:hAnsi="Arial" w:cs="Arial"/>
                <w:bCs/>
                <w:color w:val="000000"/>
                <w:sz w:val="16"/>
                <w:szCs w:val="16"/>
                <w:lang w:eastAsia="es-MX"/>
              </w:rPr>
            </w:pPr>
            <w:r w:rsidRPr="00E22622">
              <w:rPr>
                <w:rFonts w:ascii="Arial" w:eastAsia="Times New Roman" w:hAnsi="Arial" w:cs="Arial"/>
                <w:bCs/>
                <w:color w:val="000000"/>
                <w:sz w:val="16"/>
                <w:szCs w:val="16"/>
                <w:lang w:eastAsia="es-MX"/>
              </w:rPr>
              <w:t>Ocupa</w:t>
            </w:r>
            <w:r>
              <w:rPr>
                <w:rFonts w:ascii="Arial" w:eastAsia="Times New Roman" w:hAnsi="Arial" w:cs="Arial"/>
                <w:bCs/>
                <w:color w:val="000000"/>
                <w:sz w:val="16"/>
                <w:szCs w:val="16"/>
                <w:lang w:eastAsia="es-MX"/>
              </w:rPr>
              <w:t>-</w:t>
            </w:r>
            <w:proofErr w:type="spellStart"/>
            <w:r w:rsidRPr="00E22622">
              <w:rPr>
                <w:rFonts w:ascii="Arial" w:eastAsia="Times New Roman" w:hAnsi="Arial" w:cs="Arial"/>
                <w:bCs/>
                <w:color w:val="000000"/>
                <w:sz w:val="16"/>
                <w:szCs w:val="16"/>
                <w:lang w:eastAsia="es-MX"/>
              </w:rPr>
              <w:t>ción</w:t>
            </w:r>
            <w:proofErr w:type="spellEnd"/>
            <w:r w:rsidRPr="00E22622">
              <w:rPr>
                <w:rFonts w:ascii="Arial" w:eastAsia="Times New Roman" w:hAnsi="Arial" w:cs="Arial"/>
                <w:bCs/>
                <w:color w:val="000000"/>
                <w:sz w:val="16"/>
                <w:szCs w:val="16"/>
                <w:lang w:eastAsia="es-MX"/>
              </w:rPr>
              <w:t xml:space="preserve"> en el Sector </w:t>
            </w:r>
            <w:proofErr w:type="spellStart"/>
            <w:r w:rsidRPr="00E22622">
              <w:rPr>
                <w:rFonts w:ascii="Arial" w:eastAsia="Times New Roman" w:hAnsi="Arial" w:cs="Arial"/>
                <w:bCs/>
                <w:color w:val="000000"/>
                <w:sz w:val="16"/>
                <w:szCs w:val="16"/>
                <w:lang w:eastAsia="es-MX"/>
              </w:rPr>
              <w:t>Infor</w:t>
            </w:r>
            <w:proofErr w:type="spellEnd"/>
            <w:r>
              <w:rPr>
                <w:rFonts w:ascii="Arial" w:eastAsia="Times New Roman" w:hAnsi="Arial" w:cs="Arial"/>
                <w:bCs/>
                <w:color w:val="000000"/>
                <w:sz w:val="16"/>
                <w:szCs w:val="16"/>
                <w:lang w:eastAsia="es-MX"/>
              </w:rPr>
              <w:t>-</w:t>
            </w:r>
            <w:r w:rsidRPr="00E22622">
              <w:rPr>
                <w:rFonts w:ascii="Arial" w:eastAsia="Times New Roman" w:hAnsi="Arial" w:cs="Arial"/>
                <w:bCs/>
                <w:color w:val="000000"/>
                <w:sz w:val="16"/>
                <w:szCs w:val="16"/>
                <w:lang w:eastAsia="es-MX"/>
              </w:rPr>
              <w:t>mal 1</w:t>
            </w:r>
            <w:r w:rsidRPr="00E22622">
              <w:rPr>
                <w:rFonts w:ascii="Arial" w:eastAsia="Times New Roman" w:hAnsi="Arial" w:cs="Arial"/>
                <w:bCs/>
                <w:color w:val="000000"/>
                <w:sz w:val="18"/>
                <w:szCs w:val="18"/>
                <w:vertAlign w:val="superscript"/>
                <w:lang w:eastAsia="es-MX"/>
              </w:rPr>
              <w:t>3/</w:t>
            </w:r>
          </w:p>
        </w:tc>
        <w:tc>
          <w:tcPr>
            <w:tcW w:w="851" w:type="dxa"/>
            <w:tcBorders>
              <w:top w:val="nil"/>
              <w:left w:val="nil"/>
              <w:bottom w:val="single" w:sz="8" w:space="0" w:color="376091"/>
              <w:right w:val="single" w:sz="8" w:space="0" w:color="376091"/>
            </w:tcBorders>
            <w:shd w:val="clear" w:color="000000" w:fill="ABC3DF"/>
          </w:tcPr>
          <w:p w14:paraId="0AFF4DF8" w14:textId="3D82051C" w:rsidR="00831EED" w:rsidRPr="00E22622" w:rsidRDefault="00831EED" w:rsidP="00831EED">
            <w:pPr>
              <w:spacing w:after="0" w:line="240" w:lineRule="auto"/>
              <w:jc w:val="center"/>
              <w:rPr>
                <w:rFonts w:ascii="Arial" w:eastAsia="Times New Roman" w:hAnsi="Arial" w:cs="Arial"/>
                <w:bCs/>
                <w:color w:val="000000"/>
                <w:sz w:val="16"/>
                <w:szCs w:val="16"/>
                <w:lang w:eastAsia="es-MX"/>
              </w:rPr>
            </w:pPr>
            <w:r>
              <w:rPr>
                <w:rFonts w:ascii="Arial" w:eastAsia="Times New Roman" w:hAnsi="Arial" w:cs="Arial"/>
                <w:bCs/>
                <w:color w:val="000000"/>
                <w:sz w:val="16"/>
                <w:szCs w:val="16"/>
                <w:lang w:eastAsia="es-MX"/>
              </w:rPr>
              <w:t>Subutiliza-</w:t>
            </w:r>
            <w:proofErr w:type="spellStart"/>
            <w:r>
              <w:rPr>
                <w:rFonts w:ascii="Arial" w:eastAsia="Times New Roman" w:hAnsi="Arial" w:cs="Arial"/>
                <w:bCs/>
                <w:color w:val="000000"/>
                <w:sz w:val="16"/>
                <w:szCs w:val="16"/>
                <w:lang w:eastAsia="es-MX"/>
              </w:rPr>
              <w:t>ción</w:t>
            </w:r>
            <w:proofErr w:type="spellEnd"/>
            <w:r>
              <w:rPr>
                <w:rFonts w:ascii="Arial" w:eastAsia="Times New Roman" w:hAnsi="Arial" w:cs="Arial"/>
                <w:bCs/>
                <w:color w:val="000000"/>
                <w:sz w:val="16"/>
                <w:szCs w:val="16"/>
                <w:lang w:eastAsia="es-MX"/>
              </w:rPr>
              <w:t xml:space="preserve"> de la fuerza de trabajo</w:t>
            </w:r>
            <w:r>
              <w:rPr>
                <w:rFonts w:ascii="Arial" w:eastAsia="Times New Roman" w:hAnsi="Arial" w:cs="Arial"/>
                <w:bCs/>
                <w:color w:val="000000"/>
                <w:sz w:val="18"/>
                <w:szCs w:val="18"/>
                <w:vertAlign w:val="superscript"/>
                <w:lang w:eastAsia="es-MX"/>
              </w:rPr>
              <w:t>4</w:t>
            </w:r>
            <w:r w:rsidRPr="00E22622">
              <w:rPr>
                <w:rFonts w:ascii="Arial" w:eastAsia="Times New Roman" w:hAnsi="Arial" w:cs="Arial"/>
                <w:bCs/>
                <w:color w:val="000000"/>
                <w:sz w:val="18"/>
                <w:szCs w:val="18"/>
                <w:vertAlign w:val="superscript"/>
                <w:lang w:eastAsia="es-MX"/>
              </w:rPr>
              <w:t>/</w:t>
            </w:r>
          </w:p>
        </w:tc>
      </w:tr>
      <w:tr w:rsidR="00831EED" w:rsidRPr="00513E8F" w14:paraId="1363A091" w14:textId="77777777" w:rsidTr="00831EED">
        <w:trPr>
          <w:trHeight w:val="204"/>
        </w:trPr>
        <w:tc>
          <w:tcPr>
            <w:tcW w:w="1843" w:type="dxa"/>
            <w:vMerge/>
            <w:tcBorders>
              <w:top w:val="single" w:sz="8" w:space="0" w:color="376091"/>
              <w:left w:val="single" w:sz="8" w:space="0" w:color="376091"/>
              <w:bottom w:val="single" w:sz="8" w:space="0" w:color="376091"/>
              <w:right w:val="single" w:sz="8" w:space="0" w:color="376091"/>
            </w:tcBorders>
            <w:vAlign w:val="center"/>
            <w:hideMark/>
          </w:tcPr>
          <w:p w14:paraId="75B08151" w14:textId="77777777" w:rsidR="00831EED" w:rsidRPr="00513E8F" w:rsidRDefault="00831EED" w:rsidP="00831EED">
            <w:pPr>
              <w:spacing w:after="0" w:line="240" w:lineRule="auto"/>
              <w:rPr>
                <w:rFonts w:ascii="Arial" w:eastAsia="Times New Roman" w:hAnsi="Arial" w:cs="Arial"/>
                <w:b/>
                <w:bCs/>
                <w:color w:val="000000"/>
                <w:sz w:val="16"/>
                <w:szCs w:val="16"/>
                <w:lang w:eastAsia="es-MX"/>
              </w:rPr>
            </w:pPr>
          </w:p>
        </w:tc>
        <w:tc>
          <w:tcPr>
            <w:tcW w:w="2102" w:type="dxa"/>
            <w:gridSpan w:val="2"/>
            <w:tcBorders>
              <w:top w:val="single" w:sz="8" w:space="0" w:color="376091"/>
              <w:left w:val="nil"/>
              <w:bottom w:val="single" w:sz="8" w:space="0" w:color="376091"/>
              <w:right w:val="single" w:sz="8" w:space="0" w:color="376091"/>
            </w:tcBorders>
            <w:shd w:val="clear" w:color="000000" w:fill="ABC3DF"/>
            <w:vAlign w:val="center"/>
            <w:hideMark/>
          </w:tcPr>
          <w:p w14:paraId="0F5E0893" w14:textId="77777777" w:rsidR="00831EED" w:rsidRPr="00E22622" w:rsidRDefault="00831EED" w:rsidP="00831EED">
            <w:pPr>
              <w:spacing w:after="0" w:line="240" w:lineRule="auto"/>
              <w:jc w:val="center"/>
              <w:rPr>
                <w:rFonts w:ascii="Arial" w:eastAsia="Times New Roman" w:hAnsi="Arial" w:cs="Arial"/>
                <w:bCs/>
                <w:color w:val="000000"/>
                <w:sz w:val="16"/>
                <w:szCs w:val="16"/>
                <w:lang w:eastAsia="es-MX"/>
              </w:rPr>
            </w:pPr>
            <w:r w:rsidRPr="00E22622">
              <w:rPr>
                <w:rFonts w:ascii="Arial" w:eastAsia="Times New Roman" w:hAnsi="Arial" w:cs="Arial"/>
                <w:bCs/>
                <w:color w:val="000000"/>
                <w:sz w:val="16"/>
                <w:szCs w:val="16"/>
                <w:lang w:eastAsia="es-MX"/>
              </w:rPr>
              <w:t>(Personas)</w:t>
            </w:r>
          </w:p>
        </w:tc>
        <w:tc>
          <w:tcPr>
            <w:tcW w:w="7371" w:type="dxa"/>
            <w:gridSpan w:val="10"/>
            <w:tcBorders>
              <w:top w:val="single" w:sz="8" w:space="0" w:color="376091"/>
              <w:left w:val="nil"/>
              <w:bottom w:val="single" w:sz="8" w:space="0" w:color="376091"/>
              <w:right w:val="single" w:sz="8" w:space="0" w:color="376091"/>
            </w:tcBorders>
            <w:shd w:val="clear" w:color="000000" w:fill="ABC3DF"/>
            <w:vAlign w:val="center"/>
            <w:hideMark/>
          </w:tcPr>
          <w:p w14:paraId="257BA487" w14:textId="77777777" w:rsidR="00831EED" w:rsidRPr="00E22622" w:rsidRDefault="00831EED" w:rsidP="00831EED">
            <w:pPr>
              <w:spacing w:after="0" w:line="240" w:lineRule="auto"/>
              <w:jc w:val="center"/>
              <w:rPr>
                <w:rFonts w:ascii="Arial" w:eastAsia="Times New Roman" w:hAnsi="Arial" w:cs="Arial"/>
                <w:bCs/>
                <w:color w:val="000000"/>
                <w:sz w:val="16"/>
                <w:szCs w:val="16"/>
                <w:lang w:eastAsia="es-MX"/>
              </w:rPr>
            </w:pPr>
            <w:r w:rsidRPr="00E22622">
              <w:rPr>
                <w:rFonts w:ascii="Arial" w:eastAsia="Times New Roman" w:hAnsi="Arial" w:cs="Arial"/>
                <w:bCs/>
                <w:color w:val="000000"/>
                <w:sz w:val="16"/>
                <w:szCs w:val="16"/>
                <w:lang w:eastAsia="es-MX"/>
              </w:rPr>
              <w:t>(Porcentaje)</w:t>
            </w:r>
          </w:p>
        </w:tc>
      </w:tr>
      <w:tr w:rsidR="00831EED" w:rsidRPr="00E7630F" w14:paraId="01F2D86B" w14:textId="77777777" w:rsidTr="00831EED">
        <w:trPr>
          <w:trHeight w:val="102"/>
        </w:trPr>
        <w:tc>
          <w:tcPr>
            <w:tcW w:w="1843" w:type="dxa"/>
            <w:tcBorders>
              <w:top w:val="nil"/>
              <w:left w:val="single" w:sz="8" w:space="0" w:color="376091"/>
              <w:bottom w:val="single" w:sz="8" w:space="0" w:color="C6D9F1"/>
              <w:right w:val="single" w:sz="8" w:space="0" w:color="376091"/>
            </w:tcBorders>
            <w:shd w:val="clear" w:color="auto" w:fill="auto"/>
            <w:vAlign w:val="center"/>
          </w:tcPr>
          <w:p w14:paraId="7013A620" w14:textId="77777777" w:rsidR="00831EED" w:rsidRPr="00E7630F" w:rsidRDefault="00831EED" w:rsidP="00831EED">
            <w:pPr>
              <w:spacing w:after="0" w:line="240" w:lineRule="auto"/>
              <w:rPr>
                <w:rFonts w:ascii="Arial" w:eastAsia="Times New Roman" w:hAnsi="Arial" w:cs="Arial"/>
                <w:color w:val="000000"/>
                <w:sz w:val="8"/>
                <w:szCs w:val="16"/>
                <w:lang w:eastAsia="es-MX"/>
              </w:rPr>
            </w:pPr>
          </w:p>
        </w:tc>
        <w:tc>
          <w:tcPr>
            <w:tcW w:w="992" w:type="dxa"/>
            <w:tcBorders>
              <w:top w:val="nil"/>
              <w:left w:val="nil"/>
              <w:bottom w:val="single" w:sz="8" w:space="0" w:color="C6D9F1"/>
              <w:right w:val="single" w:sz="8" w:space="0" w:color="376091"/>
            </w:tcBorders>
            <w:shd w:val="clear" w:color="auto" w:fill="auto"/>
            <w:vAlign w:val="center"/>
          </w:tcPr>
          <w:p w14:paraId="3CD91675" w14:textId="77777777" w:rsidR="00831EED" w:rsidRPr="00E7630F" w:rsidRDefault="00831EED" w:rsidP="00831EED">
            <w:pPr>
              <w:spacing w:after="0" w:line="240" w:lineRule="auto"/>
              <w:rPr>
                <w:rFonts w:ascii="Arial" w:eastAsia="Times New Roman" w:hAnsi="Arial" w:cs="Arial"/>
                <w:color w:val="000000"/>
                <w:sz w:val="8"/>
                <w:szCs w:val="16"/>
                <w:lang w:eastAsia="es-MX"/>
              </w:rPr>
            </w:pPr>
          </w:p>
        </w:tc>
        <w:tc>
          <w:tcPr>
            <w:tcW w:w="1110" w:type="dxa"/>
            <w:tcBorders>
              <w:top w:val="nil"/>
              <w:left w:val="nil"/>
              <w:bottom w:val="single" w:sz="8" w:space="0" w:color="C6D9F1"/>
              <w:right w:val="single" w:sz="8" w:space="0" w:color="376091"/>
            </w:tcBorders>
            <w:shd w:val="clear" w:color="auto" w:fill="auto"/>
            <w:vAlign w:val="center"/>
          </w:tcPr>
          <w:p w14:paraId="6F3F51A8" w14:textId="77777777" w:rsidR="00831EED" w:rsidRPr="00E7630F" w:rsidRDefault="00831EED" w:rsidP="00831EED">
            <w:pPr>
              <w:spacing w:after="0" w:line="240" w:lineRule="auto"/>
              <w:rPr>
                <w:rFonts w:ascii="Arial" w:eastAsia="Times New Roman" w:hAnsi="Arial" w:cs="Arial"/>
                <w:color w:val="000000"/>
                <w:sz w:val="8"/>
                <w:szCs w:val="16"/>
                <w:lang w:eastAsia="es-MX"/>
              </w:rPr>
            </w:pPr>
          </w:p>
        </w:tc>
        <w:tc>
          <w:tcPr>
            <w:tcW w:w="639" w:type="dxa"/>
            <w:tcBorders>
              <w:top w:val="nil"/>
              <w:left w:val="nil"/>
              <w:bottom w:val="single" w:sz="8" w:space="0" w:color="C6D9F1"/>
              <w:right w:val="single" w:sz="8" w:space="0" w:color="376091"/>
            </w:tcBorders>
            <w:shd w:val="clear" w:color="auto" w:fill="auto"/>
            <w:vAlign w:val="center"/>
          </w:tcPr>
          <w:p w14:paraId="6B2C7AFC" w14:textId="77777777" w:rsidR="00831EED" w:rsidRPr="00E7630F" w:rsidRDefault="00831EED" w:rsidP="00831EED">
            <w:pPr>
              <w:spacing w:after="0" w:line="240" w:lineRule="auto"/>
              <w:rPr>
                <w:rFonts w:ascii="Arial" w:eastAsia="Times New Roman" w:hAnsi="Arial" w:cs="Arial"/>
                <w:color w:val="000000"/>
                <w:sz w:val="8"/>
                <w:szCs w:val="16"/>
                <w:lang w:eastAsia="es-MX"/>
              </w:rPr>
            </w:pPr>
          </w:p>
        </w:tc>
        <w:tc>
          <w:tcPr>
            <w:tcW w:w="801" w:type="dxa"/>
            <w:tcBorders>
              <w:top w:val="nil"/>
              <w:left w:val="nil"/>
              <w:bottom w:val="single" w:sz="8" w:space="0" w:color="C6D9F1"/>
              <w:right w:val="single" w:sz="8" w:space="0" w:color="376091"/>
            </w:tcBorders>
            <w:shd w:val="clear" w:color="auto" w:fill="auto"/>
            <w:vAlign w:val="center"/>
          </w:tcPr>
          <w:p w14:paraId="2477178D" w14:textId="77777777" w:rsidR="00831EED" w:rsidRPr="00E7630F" w:rsidRDefault="00831EED" w:rsidP="00831EED">
            <w:pPr>
              <w:spacing w:after="0" w:line="240" w:lineRule="auto"/>
              <w:rPr>
                <w:rFonts w:ascii="Arial" w:eastAsia="Times New Roman" w:hAnsi="Arial" w:cs="Arial"/>
                <w:color w:val="000000"/>
                <w:sz w:val="8"/>
                <w:szCs w:val="16"/>
                <w:lang w:eastAsia="es-MX"/>
              </w:rPr>
            </w:pPr>
          </w:p>
        </w:tc>
        <w:tc>
          <w:tcPr>
            <w:tcW w:w="828" w:type="dxa"/>
            <w:tcBorders>
              <w:top w:val="nil"/>
              <w:left w:val="nil"/>
              <w:bottom w:val="single" w:sz="8" w:space="0" w:color="C6D9F1"/>
              <w:right w:val="single" w:sz="8" w:space="0" w:color="376091"/>
            </w:tcBorders>
            <w:shd w:val="clear" w:color="auto" w:fill="auto"/>
            <w:vAlign w:val="center"/>
          </w:tcPr>
          <w:p w14:paraId="07CF3566" w14:textId="77777777" w:rsidR="00831EED" w:rsidRPr="00E7630F" w:rsidRDefault="00831EED" w:rsidP="00831EED">
            <w:pPr>
              <w:spacing w:after="0" w:line="240" w:lineRule="auto"/>
              <w:rPr>
                <w:rFonts w:ascii="Arial" w:eastAsia="Times New Roman" w:hAnsi="Arial" w:cs="Arial"/>
                <w:color w:val="000000"/>
                <w:sz w:val="8"/>
                <w:szCs w:val="16"/>
                <w:lang w:eastAsia="es-MX"/>
              </w:rPr>
            </w:pPr>
          </w:p>
        </w:tc>
        <w:tc>
          <w:tcPr>
            <w:tcW w:w="708" w:type="dxa"/>
            <w:tcBorders>
              <w:top w:val="nil"/>
              <w:left w:val="nil"/>
              <w:bottom w:val="single" w:sz="8" w:space="0" w:color="C6D9F1"/>
              <w:right w:val="single" w:sz="8" w:space="0" w:color="376091"/>
            </w:tcBorders>
            <w:shd w:val="clear" w:color="auto" w:fill="auto"/>
            <w:vAlign w:val="center"/>
          </w:tcPr>
          <w:p w14:paraId="33402DDF" w14:textId="77777777" w:rsidR="00831EED" w:rsidRPr="00E7630F" w:rsidRDefault="00831EED" w:rsidP="00831EED">
            <w:pPr>
              <w:spacing w:after="0" w:line="240" w:lineRule="auto"/>
              <w:rPr>
                <w:rFonts w:ascii="Arial" w:eastAsia="Times New Roman" w:hAnsi="Arial" w:cs="Arial"/>
                <w:color w:val="000000"/>
                <w:sz w:val="8"/>
                <w:szCs w:val="16"/>
                <w:lang w:eastAsia="es-MX"/>
              </w:rPr>
            </w:pPr>
          </w:p>
        </w:tc>
        <w:tc>
          <w:tcPr>
            <w:tcW w:w="709" w:type="dxa"/>
            <w:tcBorders>
              <w:top w:val="nil"/>
              <w:left w:val="nil"/>
              <w:bottom w:val="single" w:sz="8" w:space="0" w:color="C6D9F1"/>
              <w:right w:val="single" w:sz="8" w:space="0" w:color="376091"/>
            </w:tcBorders>
            <w:shd w:val="clear" w:color="auto" w:fill="auto"/>
            <w:vAlign w:val="center"/>
          </w:tcPr>
          <w:p w14:paraId="402C971C" w14:textId="77777777" w:rsidR="00831EED" w:rsidRPr="00E7630F" w:rsidRDefault="00831EED" w:rsidP="00831EED">
            <w:pPr>
              <w:spacing w:after="0" w:line="240" w:lineRule="auto"/>
              <w:rPr>
                <w:rFonts w:ascii="Arial" w:eastAsia="Times New Roman" w:hAnsi="Arial" w:cs="Arial"/>
                <w:color w:val="000000"/>
                <w:sz w:val="8"/>
                <w:szCs w:val="16"/>
                <w:lang w:eastAsia="es-MX"/>
              </w:rPr>
            </w:pPr>
          </w:p>
        </w:tc>
        <w:tc>
          <w:tcPr>
            <w:tcW w:w="567" w:type="dxa"/>
            <w:tcBorders>
              <w:top w:val="nil"/>
              <w:left w:val="nil"/>
              <w:bottom w:val="single" w:sz="8" w:space="0" w:color="BDD6EE" w:themeColor="accent5" w:themeTint="66"/>
              <w:right w:val="single" w:sz="8" w:space="0" w:color="376091"/>
            </w:tcBorders>
            <w:shd w:val="clear" w:color="auto" w:fill="auto"/>
            <w:noWrap/>
            <w:vAlign w:val="bottom"/>
          </w:tcPr>
          <w:p w14:paraId="09ADD183" w14:textId="77777777" w:rsidR="00831EED" w:rsidRPr="00E7630F" w:rsidRDefault="00831EED" w:rsidP="00831EED">
            <w:pPr>
              <w:spacing w:after="0" w:line="240" w:lineRule="auto"/>
              <w:rPr>
                <w:rFonts w:ascii="Arial" w:eastAsia="Times New Roman" w:hAnsi="Arial" w:cs="Arial"/>
                <w:color w:val="000000"/>
                <w:sz w:val="8"/>
                <w:szCs w:val="16"/>
                <w:lang w:eastAsia="es-MX"/>
              </w:rPr>
            </w:pPr>
          </w:p>
        </w:tc>
        <w:tc>
          <w:tcPr>
            <w:tcW w:w="851" w:type="dxa"/>
            <w:tcBorders>
              <w:top w:val="nil"/>
              <w:left w:val="nil"/>
              <w:bottom w:val="single" w:sz="8" w:space="0" w:color="BDD6EE" w:themeColor="accent5" w:themeTint="66"/>
              <w:right w:val="single" w:sz="8" w:space="0" w:color="376091"/>
            </w:tcBorders>
            <w:shd w:val="clear" w:color="auto" w:fill="auto"/>
            <w:noWrap/>
            <w:vAlign w:val="bottom"/>
          </w:tcPr>
          <w:p w14:paraId="6C4B34E0" w14:textId="77777777" w:rsidR="00831EED" w:rsidRPr="00E7630F" w:rsidRDefault="00831EED" w:rsidP="00831EED">
            <w:pPr>
              <w:spacing w:after="0" w:line="240" w:lineRule="auto"/>
              <w:rPr>
                <w:rFonts w:ascii="Arial" w:eastAsia="Times New Roman" w:hAnsi="Arial" w:cs="Arial"/>
                <w:color w:val="000000"/>
                <w:sz w:val="8"/>
                <w:szCs w:val="16"/>
                <w:lang w:eastAsia="es-MX"/>
              </w:rPr>
            </w:pPr>
          </w:p>
        </w:tc>
        <w:tc>
          <w:tcPr>
            <w:tcW w:w="708" w:type="dxa"/>
            <w:tcBorders>
              <w:top w:val="nil"/>
              <w:left w:val="nil"/>
              <w:bottom w:val="single" w:sz="8" w:space="0" w:color="BDD6EE" w:themeColor="accent5" w:themeTint="66"/>
              <w:right w:val="single" w:sz="8" w:space="0" w:color="376091"/>
            </w:tcBorders>
            <w:shd w:val="clear" w:color="auto" w:fill="auto"/>
            <w:noWrap/>
            <w:vAlign w:val="bottom"/>
          </w:tcPr>
          <w:p w14:paraId="1C386E9D" w14:textId="77777777" w:rsidR="00831EED" w:rsidRPr="00E7630F" w:rsidRDefault="00831EED" w:rsidP="00831EED">
            <w:pPr>
              <w:spacing w:after="0" w:line="240" w:lineRule="auto"/>
              <w:rPr>
                <w:rFonts w:ascii="Arial" w:eastAsia="Times New Roman" w:hAnsi="Arial" w:cs="Arial"/>
                <w:color w:val="000000"/>
                <w:sz w:val="8"/>
                <w:szCs w:val="16"/>
                <w:lang w:eastAsia="es-MX"/>
              </w:rPr>
            </w:pPr>
          </w:p>
        </w:tc>
        <w:tc>
          <w:tcPr>
            <w:tcW w:w="709" w:type="dxa"/>
            <w:tcBorders>
              <w:top w:val="nil"/>
              <w:left w:val="nil"/>
              <w:bottom w:val="single" w:sz="8" w:space="0" w:color="BDD6EE" w:themeColor="accent5" w:themeTint="66"/>
              <w:right w:val="single" w:sz="8" w:space="0" w:color="376091"/>
            </w:tcBorders>
            <w:shd w:val="clear" w:color="auto" w:fill="auto"/>
            <w:noWrap/>
            <w:vAlign w:val="bottom"/>
          </w:tcPr>
          <w:p w14:paraId="3BF82C9D" w14:textId="77777777" w:rsidR="00831EED" w:rsidRPr="00E7630F" w:rsidRDefault="00831EED" w:rsidP="00831EED">
            <w:pPr>
              <w:spacing w:after="0" w:line="240" w:lineRule="auto"/>
              <w:rPr>
                <w:rFonts w:ascii="Arial" w:eastAsia="Times New Roman" w:hAnsi="Arial" w:cs="Arial"/>
                <w:color w:val="000000"/>
                <w:sz w:val="8"/>
                <w:szCs w:val="16"/>
                <w:lang w:eastAsia="es-MX"/>
              </w:rPr>
            </w:pPr>
          </w:p>
        </w:tc>
        <w:tc>
          <w:tcPr>
            <w:tcW w:w="851" w:type="dxa"/>
            <w:tcBorders>
              <w:top w:val="nil"/>
              <w:left w:val="nil"/>
              <w:bottom w:val="single" w:sz="8" w:space="0" w:color="BDD6EE" w:themeColor="accent5" w:themeTint="66"/>
              <w:right w:val="single" w:sz="8" w:space="0" w:color="376091"/>
            </w:tcBorders>
          </w:tcPr>
          <w:p w14:paraId="3AD469FD" w14:textId="77777777" w:rsidR="00831EED" w:rsidRPr="00E7630F" w:rsidRDefault="00831EED" w:rsidP="00831EED">
            <w:pPr>
              <w:spacing w:after="0" w:line="240" w:lineRule="auto"/>
              <w:rPr>
                <w:rFonts w:ascii="Arial" w:eastAsia="Times New Roman" w:hAnsi="Arial" w:cs="Arial"/>
                <w:color w:val="000000"/>
                <w:sz w:val="8"/>
                <w:szCs w:val="16"/>
                <w:lang w:eastAsia="es-MX"/>
              </w:rPr>
            </w:pPr>
          </w:p>
        </w:tc>
      </w:tr>
      <w:tr w:rsidR="00831EED" w:rsidRPr="00513E8F" w14:paraId="0633F4CD" w14:textId="77777777" w:rsidTr="00831EED">
        <w:trPr>
          <w:trHeight w:val="196"/>
        </w:trPr>
        <w:tc>
          <w:tcPr>
            <w:tcW w:w="1843" w:type="dxa"/>
            <w:tcBorders>
              <w:top w:val="nil"/>
              <w:left w:val="single" w:sz="8" w:space="0" w:color="376091"/>
              <w:bottom w:val="single" w:sz="8" w:space="0" w:color="C6D9F1"/>
              <w:right w:val="single" w:sz="8" w:space="0" w:color="376091"/>
            </w:tcBorders>
            <w:shd w:val="clear" w:color="auto" w:fill="auto"/>
            <w:noWrap/>
            <w:vAlign w:val="center"/>
            <w:hideMark/>
          </w:tcPr>
          <w:p w14:paraId="5C653B9D" w14:textId="77777777" w:rsidR="00831EED" w:rsidRPr="00513E8F" w:rsidRDefault="00831EED" w:rsidP="00831EED">
            <w:pPr>
              <w:spacing w:after="0" w:line="240" w:lineRule="auto"/>
              <w:rPr>
                <w:rFonts w:ascii="Arial" w:eastAsia="Times New Roman" w:hAnsi="Arial" w:cs="Arial"/>
                <w:b/>
                <w:bCs/>
                <w:color w:val="000000"/>
                <w:sz w:val="16"/>
                <w:szCs w:val="16"/>
                <w:lang w:eastAsia="es-MX"/>
              </w:rPr>
            </w:pPr>
            <w:r w:rsidRPr="00513E8F">
              <w:rPr>
                <w:rFonts w:ascii="Arial" w:eastAsia="Times New Roman" w:hAnsi="Arial" w:cs="Arial"/>
                <w:b/>
                <w:bCs/>
                <w:color w:val="000000"/>
                <w:sz w:val="16"/>
                <w:szCs w:val="16"/>
                <w:lang w:eastAsia="es-MX"/>
              </w:rPr>
              <w:t>Estados Unidos Mexicanos</w:t>
            </w:r>
          </w:p>
        </w:tc>
        <w:tc>
          <w:tcPr>
            <w:tcW w:w="992" w:type="dxa"/>
            <w:tcBorders>
              <w:top w:val="nil"/>
              <w:left w:val="nil"/>
              <w:bottom w:val="single" w:sz="8" w:space="0" w:color="C6D9F1"/>
              <w:right w:val="single" w:sz="8" w:space="0" w:color="376091"/>
            </w:tcBorders>
            <w:shd w:val="clear" w:color="auto" w:fill="auto"/>
            <w:vAlign w:val="center"/>
            <w:hideMark/>
          </w:tcPr>
          <w:p w14:paraId="32ACDF76" w14:textId="4C3207C2" w:rsidR="00831EED" w:rsidRPr="00831EED" w:rsidRDefault="00831EED" w:rsidP="00831EED">
            <w:pPr>
              <w:spacing w:after="0" w:line="240" w:lineRule="auto"/>
              <w:jc w:val="center"/>
              <w:rPr>
                <w:rFonts w:ascii="Arial" w:hAnsi="Arial" w:cs="Arial"/>
                <w:color w:val="000000"/>
                <w:sz w:val="16"/>
                <w:szCs w:val="16"/>
              </w:rPr>
            </w:pPr>
            <w:r>
              <w:rPr>
                <w:rFonts w:ascii="Arial" w:hAnsi="Arial" w:cs="Arial"/>
                <w:b/>
                <w:bCs/>
                <w:color w:val="000000"/>
                <w:sz w:val="16"/>
                <w:szCs w:val="16"/>
              </w:rPr>
              <w:t>52,973,270</w:t>
            </w:r>
          </w:p>
        </w:tc>
        <w:tc>
          <w:tcPr>
            <w:tcW w:w="1110" w:type="dxa"/>
            <w:tcBorders>
              <w:top w:val="nil"/>
              <w:left w:val="nil"/>
              <w:bottom w:val="single" w:sz="8" w:space="0" w:color="C6D9F1"/>
              <w:right w:val="single" w:sz="8" w:space="0" w:color="376091"/>
            </w:tcBorders>
            <w:shd w:val="clear" w:color="auto" w:fill="auto"/>
            <w:vAlign w:val="center"/>
            <w:hideMark/>
          </w:tcPr>
          <w:p w14:paraId="2D059227" w14:textId="30498A85" w:rsidR="00831EED" w:rsidRPr="00831EED" w:rsidRDefault="00831EED" w:rsidP="00831EED">
            <w:pPr>
              <w:spacing w:after="0" w:line="240" w:lineRule="auto"/>
              <w:jc w:val="center"/>
              <w:rPr>
                <w:rFonts w:ascii="Arial" w:hAnsi="Arial" w:cs="Arial"/>
                <w:color w:val="000000"/>
                <w:sz w:val="16"/>
                <w:szCs w:val="16"/>
              </w:rPr>
            </w:pPr>
            <w:r>
              <w:rPr>
                <w:rFonts w:ascii="Arial" w:hAnsi="Arial" w:cs="Arial"/>
                <w:b/>
                <w:bCs/>
                <w:color w:val="000000"/>
                <w:sz w:val="16"/>
                <w:szCs w:val="16"/>
              </w:rPr>
              <w:t>2,411,863</w:t>
            </w:r>
          </w:p>
        </w:tc>
        <w:tc>
          <w:tcPr>
            <w:tcW w:w="639" w:type="dxa"/>
            <w:tcBorders>
              <w:top w:val="nil"/>
              <w:left w:val="nil"/>
              <w:bottom w:val="single" w:sz="8" w:space="0" w:color="C6D9F1"/>
              <w:right w:val="single" w:sz="8" w:space="0" w:color="376091"/>
            </w:tcBorders>
            <w:shd w:val="clear" w:color="auto" w:fill="auto"/>
            <w:vAlign w:val="center"/>
            <w:hideMark/>
          </w:tcPr>
          <w:p w14:paraId="49C4A54E" w14:textId="0C4998B0" w:rsidR="00831EED" w:rsidRPr="00513E8F" w:rsidRDefault="00831EED" w:rsidP="00831EED">
            <w:pPr>
              <w:spacing w:after="0" w:line="240" w:lineRule="auto"/>
              <w:jc w:val="center"/>
              <w:rPr>
                <w:rFonts w:ascii="Arial" w:eastAsia="Times New Roman" w:hAnsi="Arial" w:cs="Arial"/>
                <w:b/>
                <w:bCs/>
                <w:color w:val="000000"/>
                <w:sz w:val="16"/>
                <w:szCs w:val="16"/>
                <w:lang w:eastAsia="es-MX"/>
              </w:rPr>
            </w:pPr>
            <w:r>
              <w:rPr>
                <w:rFonts w:ascii="Arial" w:hAnsi="Arial" w:cs="Arial"/>
                <w:b/>
                <w:bCs/>
                <w:color w:val="000000"/>
                <w:sz w:val="16"/>
                <w:szCs w:val="16"/>
              </w:rPr>
              <w:t>57.1</w:t>
            </w:r>
          </w:p>
        </w:tc>
        <w:tc>
          <w:tcPr>
            <w:tcW w:w="801" w:type="dxa"/>
            <w:tcBorders>
              <w:top w:val="nil"/>
              <w:left w:val="nil"/>
              <w:bottom w:val="single" w:sz="8" w:space="0" w:color="C6D9F1"/>
              <w:right w:val="single" w:sz="8" w:space="0" w:color="376091"/>
            </w:tcBorders>
            <w:shd w:val="clear" w:color="auto" w:fill="auto"/>
            <w:vAlign w:val="center"/>
            <w:hideMark/>
          </w:tcPr>
          <w:p w14:paraId="18067196" w14:textId="29126851" w:rsidR="00831EED" w:rsidRPr="00513E8F" w:rsidRDefault="00831EED" w:rsidP="00831EED">
            <w:pPr>
              <w:spacing w:after="0" w:line="240" w:lineRule="auto"/>
              <w:jc w:val="center"/>
              <w:rPr>
                <w:rFonts w:ascii="Arial" w:eastAsia="Times New Roman" w:hAnsi="Arial" w:cs="Arial"/>
                <w:b/>
                <w:bCs/>
                <w:color w:val="000000"/>
                <w:sz w:val="16"/>
                <w:szCs w:val="16"/>
                <w:lang w:eastAsia="es-MX"/>
              </w:rPr>
            </w:pPr>
            <w:r>
              <w:rPr>
                <w:rFonts w:ascii="Arial" w:hAnsi="Arial" w:cs="Arial"/>
                <w:b/>
                <w:bCs/>
                <w:color w:val="000000"/>
                <w:sz w:val="16"/>
                <w:szCs w:val="16"/>
              </w:rPr>
              <w:t>4.4</w:t>
            </w:r>
          </w:p>
        </w:tc>
        <w:tc>
          <w:tcPr>
            <w:tcW w:w="828" w:type="dxa"/>
            <w:tcBorders>
              <w:top w:val="nil"/>
              <w:left w:val="nil"/>
              <w:bottom w:val="single" w:sz="8" w:space="0" w:color="C6D9F1"/>
              <w:right w:val="single" w:sz="8" w:space="0" w:color="376091"/>
            </w:tcBorders>
            <w:shd w:val="clear" w:color="auto" w:fill="auto"/>
            <w:vAlign w:val="center"/>
            <w:hideMark/>
          </w:tcPr>
          <w:p w14:paraId="4A404F93" w14:textId="16C69572" w:rsidR="00831EED" w:rsidRPr="00513E8F" w:rsidRDefault="00831EED" w:rsidP="00831EED">
            <w:pPr>
              <w:spacing w:after="0" w:line="240" w:lineRule="auto"/>
              <w:jc w:val="center"/>
              <w:rPr>
                <w:rFonts w:ascii="Arial" w:eastAsia="Times New Roman" w:hAnsi="Arial" w:cs="Arial"/>
                <w:b/>
                <w:bCs/>
                <w:color w:val="000000"/>
                <w:sz w:val="16"/>
                <w:szCs w:val="16"/>
                <w:lang w:eastAsia="es-MX"/>
              </w:rPr>
            </w:pPr>
            <w:r>
              <w:rPr>
                <w:rFonts w:ascii="Arial" w:hAnsi="Arial" w:cs="Arial"/>
                <w:b/>
                <w:bCs/>
                <w:color w:val="000000"/>
                <w:sz w:val="16"/>
                <w:szCs w:val="16"/>
              </w:rPr>
              <w:t>10.7</w:t>
            </w:r>
          </w:p>
        </w:tc>
        <w:tc>
          <w:tcPr>
            <w:tcW w:w="708" w:type="dxa"/>
            <w:tcBorders>
              <w:top w:val="nil"/>
              <w:left w:val="nil"/>
              <w:bottom w:val="single" w:sz="8" w:space="0" w:color="C6D9F1"/>
              <w:right w:val="single" w:sz="8" w:space="0" w:color="376091"/>
            </w:tcBorders>
            <w:shd w:val="clear" w:color="auto" w:fill="auto"/>
            <w:vAlign w:val="center"/>
            <w:hideMark/>
          </w:tcPr>
          <w:p w14:paraId="20398A34" w14:textId="0DAD32B0" w:rsidR="00831EED" w:rsidRPr="00513E8F" w:rsidRDefault="00831EED" w:rsidP="00831EED">
            <w:pPr>
              <w:spacing w:after="0" w:line="240" w:lineRule="auto"/>
              <w:jc w:val="center"/>
              <w:rPr>
                <w:rFonts w:ascii="Arial" w:eastAsia="Times New Roman" w:hAnsi="Arial" w:cs="Arial"/>
                <w:b/>
                <w:bCs/>
                <w:color w:val="000000"/>
                <w:sz w:val="16"/>
                <w:szCs w:val="16"/>
                <w:lang w:eastAsia="es-MX"/>
              </w:rPr>
            </w:pPr>
            <w:r>
              <w:rPr>
                <w:rFonts w:ascii="Arial" w:hAnsi="Arial" w:cs="Arial"/>
                <w:b/>
                <w:bCs/>
                <w:color w:val="000000"/>
                <w:sz w:val="16"/>
                <w:szCs w:val="16"/>
              </w:rPr>
              <w:t>8.1</w:t>
            </w:r>
          </w:p>
        </w:tc>
        <w:tc>
          <w:tcPr>
            <w:tcW w:w="709" w:type="dxa"/>
            <w:tcBorders>
              <w:top w:val="nil"/>
              <w:left w:val="nil"/>
              <w:bottom w:val="single" w:sz="8" w:space="0" w:color="C6D9F1"/>
              <w:right w:val="single" w:sz="8" w:space="0" w:color="376091"/>
            </w:tcBorders>
            <w:shd w:val="clear" w:color="auto" w:fill="auto"/>
            <w:vAlign w:val="center"/>
            <w:hideMark/>
          </w:tcPr>
          <w:p w14:paraId="5A77B186" w14:textId="2E9C5675" w:rsidR="00831EED" w:rsidRPr="00513E8F" w:rsidRDefault="00831EED" w:rsidP="00831EED">
            <w:pPr>
              <w:spacing w:after="0" w:line="240" w:lineRule="auto"/>
              <w:jc w:val="center"/>
              <w:rPr>
                <w:rFonts w:ascii="Arial" w:eastAsia="Times New Roman" w:hAnsi="Arial" w:cs="Arial"/>
                <w:b/>
                <w:bCs/>
                <w:color w:val="000000"/>
                <w:sz w:val="16"/>
                <w:szCs w:val="16"/>
                <w:lang w:eastAsia="es-MX"/>
              </w:rPr>
            </w:pPr>
            <w:r>
              <w:rPr>
                <w:rFonts w:ascii="Arial" w:hAnsi="Arial" w:cs="Arial"/>
                <w:b/>
                <w:bCs/>
                <w:color w:val="000000"/>
                <w:sz w:val="16"/>
                <w:szCs w:val="16"/>
              </w:rPr>
              <w:t>65.8</w:t>
            </w:r>
          </w:p>
        </w:tc>
        <w:tc>
          <w:tcPr>
            <w:tcW w:w="567" w:type="dxa"/>
            <w:tcBorders>
              <w:top w:val="nil"/>
              <w:left w:val="nil"/>
              <w:bottom w:val="single" w:sz="8" w:space="0" w:color="C6D9F1"/>
              <w:right w:val="single" w:sz="8" w:space="0" w:color="376091"/>
            </w:tcBorders>
            <w:shd w:val="clear" w:color="auto" w:fill="auto"/>
            <w:vAlign w:val="center"/>
            <w:hideMark/>
          </w:tcPr>
          <w:p w14:paraId="3CE24A35" w14:textId="227D8937" w:rsidR="00831EED" w:rsidRPr="00513E8F" w:rsidRDefault="00831EED" w:rsidP="00831EED">
            <w:pPr>
              <w:spacing w:after="0" w:line="240" w:lineRule="auto"/>
              <w:jc w:val="center"/>
              <w:rPr>
                <w:rFonts w:ascii="Arial" w:eastAsia="Times New Roman" w:hAnsi="Arial" w:cs="Arial"/>
                <w:b/>
                <w:bCs/>
                <w:color w:val="000000"/>
                <w:sz w:val="16"/>
                <w:szCs w:val="16"/>
                <w:lang w:eastAsia="es-MX"/>
              </w:rPr>
            </w:pPr>
            <w:r>
              <w:rPr>
                <w:rFonts w:ascii="Arial" w:hAnsi="Arial" w:cs="Arial"/>
                <w:b/>
                <w:bCs/>
                <w:color w:val="000000"/>
                <w:sz w:val="16"/>
                <w:szCs w:val="16"/>
              </w:rPr>
              <w:t>13.8</w:t>
            </w:r>
          </w:p>
        </w:tc>
        <w:tc>
          <w:tcPr>
            <w:tcW w:w="851" w:type="dxa"/>
            <w:tcBorders>
              <w:top w:val="nil"/>
              <w:left w:val="nil"/>
              <w:bottom w:val="single" w:sz="8" w:space="0" w:color="C6D9F1"/>
              <w:right w:val="single" w:sz="8" w:space="0" w:color="376091"/>
            </w:tcBorders>
            <w:shd w:val="clear" w:color="auto" w:fill="auto"/>
            <w:vAlign w:val="center"/>
            <w:hideMark/>
          </w:tcPr>
          <w:p w14:paraId="504595A4" w14:textId="0C263F47" w:rsidR="00831EED" w:rsidRPr="00513E8F" w:rsidRDefault="00831EED" w:rsidP="00831EED">
            <w:pPr>
              <w:spacing w:after="0" w:line="240" w:lineRule="auto"/>
              <w:jc w:val="center"/>
              <w:rPr>
                <w:rFonts w:ascii="Arial" w:eastAsia="Times New Roman" w:hAnsi="Arial" w:cs="Arial"/>
                <w:b/>
                <w:bCs/>
                <w:color w:val="000000"/>
                <w:sz w:val="16"/>
                <w:szCs w:val="16"/>
                <w:lang w:eastAsia="es-MX"/>
              </w:rPr>
            </w:pPr>
            <w:r>
              <w:rPr>
                <w:rFonts w:ascii="Arial" w:hAnsi="Arial" w:cs="Arial"/>
                <w:b/>
                <w:bCs/>
                <w:color w:val="000000"/>
                <w:sz w:val="16"/>
                <w:szCs w:val="16"/>
              </w:rPr>
              <w:t>25.8</w:t>
            </w:r>
          </w:p>
        </w:tc>
        <w:tc>
          <w:tcPr>
            <w:tcW w:w="708" w:type="dxa"/>
            <w:tcBorders>
              <w:top w:val="nil"/>
              <w:left w:val="nil"/>
              <w:bottom w:val="single" w:sz="8" w:space="0" w:color="C6D9F1"/>
              <w:right w:val="single" w:sz="8" w:space="0" w:color="376091"/>
            </w:tcBorders>
            <w:shd w:val="clear" w:color="auto" w:fill="auto"/>
            <w:vAlign w:val="center"/>
            <w:hideMark/>
          </w:tcPr>
          <w:p w14:paraId="188A8BDF" w14:textId="2F6E0D1B" w:rsidR="00831EED" w:rsidRPr="00513E8F" w:rsidRDefault="00831EED" w:rsidP="00831EED">
            <w:pPr>
              <w:spacing w:after="0" w:line="240" w:lineRule="auto"/>
              <w:jc w:val="center"/>
              <w:rPr>
                <w:rFonts w:ascii="Arial" w:eastAsia="Times New Roman" w:hAnsi="Arial" w:cs="Arial"/>
                <w:b/>
                <w:bCs/>
                <w:color w:val="000000"/>
                <w:sz w:val="16"/>
                <w:szCs w:val="16"/>
                <w:lang w:eastAsia="es-MX"/>
              </w:rPr>
            </w:pPr>
            <w:r>
              <w:rPr>
                <w:rFonts w:ascii="Arial" w:hAnsi="Arial" w:cs="Arial"/>
                <w:b/>
                <w:bCs/>
                <w:color w:val="000000"/>
                <w:sz w:val="16"/>
                <w:szCs w:val="16"/>
              </w:rPr>
              <w:t>55.1</w:t>
            </w:r>
          </w:p>
        </w:tc>
        <w:tc>
          <w:tcPr>
            <w:tcW w:w="709" w:type="dxa"/>
            <w:tcBorders>
              <w:top w:val="nil"/>
              <w:left w:val="nil"/>
              <w:bottom w:val="single" w:sz="8" w:space="0" w:color="C6D9F1"/>
              <w:right w:val="single" w:sz="8" w:space="0" w:color="376091"/>
            </w:tcBorders>
            <w:shd w:val="clear" w:color="auto" w:fill="auto"/>
            <w:vAlign w:val="center"/>
            <w:hideMark/>
          </w:tcPr>
          <w:p w14:paraId="1624B4F1" w14:textId="1DECCA28" w:rsidR="00831EED" w:rsidRPr="00513E8F" w:rsidRDefault="00831EED" w:rsidP="00831EED">
            <w:pPr>
              <w:spacing w:after="0" w:line="240" w:lineRule="auto"/>
              <w:jc w:val="center"/>
              <w:rPr>
                <w:rFonts w:ascii="Arial" w:eastAsia="Times New Roman" w:hAnsi="Arial" w:cs="Arial"/>
                <w:b/>
                <w:bCs/>
                <w:color w:val="000000"/>
                <w:sz w:val="16"/>
                <w:szCs w:val="16"/>
                <w:lang w:eastAsia="es-MX"/>
              </w:rPr>
            </w:pPr>
            <w:r>
              <w:rPr>
                <w:rFonts w:ascii="Arial" w:hAnsi="Arial" w:cs="Arial"/>
                <w:b/>
                <w:bCs/>
                <w:color w:val="000000"/>
                <w:sz w:val="16"/>
                <w:szCs w:val="16"/>
              </w:rPr>
              <w:t>28.0</w:t>
            </w:r>
          </w:p>
        </w:tc>
        <w:tc>
          <w:tcPr>
            <w:tcW w:w="851" w:type="dxa"/>
            <w:tcBorders>
              <w:top w:val="nil"/>
              <w:left w:val="nil"/>
              <w:bottom w:val="single" w:sz="8" w:space="0" w:color="C6D9F1"/>
              <w:right w:val="single" w:sz="8" w:space="0" w:color="376091"/>
            </w:tcBorders>
            <w:vAlign w:val="center"/>
          </w:tcPr>
          <w:p w14:paraId="193E4D9B" w14:textId="4127762B" w:rsidR="00831EED" w:rsidRPr="00513E8F" w:rsidRDefault="00831EED" w:rsidP="00831EED">
            <w:pPr>
              <w:spacing w:after="0" w:line="240" w:lineRule="auto"/>
              <w:jc w:val="center"/>
              <w:rPr>
                <w:rFonts w:ascii="Arial" w:eastAsia="Times New Roman" w:hAnsi="Arial" w:cs="Arial"/>
                <w:b/>
                <w:bCs/>
                <w:color w:val="000000"/>
                <w:sz w:val="16"/>
                <w:szCs w:val="16"/>
                <w:lang w:eastAsia="es-MX"/>
              </w:rPr>
            </w:pPr>
            <w:r>
              <w:rPr>
                <w:rFonts w:ascii="Arial" w:hAnsi="Arial" w:cs="Arial"/>
                <w:b/>
                <w:bCs/>
                <w:color w:val="000000"/>
                <w:sz w:val="16"/>
                <w:szCs w:val="16"/>
              </w:rPr>
              <w:t>28.4</w:t>
            </w:r>
          </w:p>
        </w:tc>
      </w:tr>
      <w:tr w:rsidR="00831EED" w:rsidRPr="00E7630F" w14:paraId="4281299B" w14:textId="77777777" w:rsidTr="00831EED">
        <w:trPr>
          <w:trHeight w:val="113"/>
        </w:trPr>
        <w:tc>
          <w:tcPr>
            <w:tcW w:w="1843" w:type="dxa"/>
            <w:tcBorders>
              <w:top w:val="nil"/>
              <w:left w:val="single" w:sz="8" w:space="0" w:color="376091"/>
              <w:bottom w:val="single" w:sz="8" w:space="0" w:color="C6D9F1"/>
              <w:right w:val="single" w:sz="8" w:space="0" w:color="376091"/>
            </w:tcBorders>
            <w:shd w:val="clear" w:color="auto" w:fill="auto"/>
            <w:noWrap/>
            <w:vAlign w:val="center"/>
            <w:hideMark/>
          </w:tcPr>
          <w:p w14:paraId="12430683" w14:textId="77777777" w:rsidR="00831EED" w:rsidRPr="00513E8F" w:rsidRDefault="00831EED" w:rsidP="00831EED">
            <w:pPr>
              <w:spacing w:after="0" w:line="240" w:lineRule="auto"/>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Aguascalientes</w:t>
            </w:r>
          </w:p>
        </w:tc>
        <w:tc>
          <w:tcPr>
            <w:tcW w:w="992" w:type="dxa"/>
            <w:tcBorders>
              <w:top w:val="nil"/>
              <w:left w:val="nil"/>
              <w:bottom w:val="single" w:sz="8" w:space="0" w:color="C6D9F1"/>
              <w:right w:val="single" w:sz="8" w:space="0" w:color="376091"/>
            </w:tcBorders>
            <w:shd w:val="clear" w:color="auto" w:fill="auto"/>
            <w:vAlign w:val="center"/>
            <w:hideMark/>
          </w:tcPr>
          <w:p w14:paraId="305D7F3F" w14:textId="23CC54FD"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595,892</w:t>
            </w:r>
          </w:p>
        </w:tc>
        <w:tc>
          <w:tcPr>
            <w:tcW w:w="1110" w:type="dxa"/>
            <w:tcBorders>
              <w:top w:val="nil"/>
              <w:left w:val="nil"/>
              <w:bottom w:val="single" w:sz="8" w:space="0" w:color="C6D9F1"/>
              <w:right w:val="single" w:sz="8" w:space="0" w:color="376091"/>
            </w:tcBorders>
            <w:shd w:val="clear" w:color="auto" w:fill="auto"/>
            <w:vAlign w:val="center"/>
            <w:hideMark/>
          </w:tcPr>
          <w:p w14:paraId="0DE75B72" w14:textId="229D54DC"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22,397</w:t>
            </w:r>
          </w:p>
        </w:tc>
        <w:tc>
          <w:tcPr>
            <w:tcW w:w="639" w:type="dxa"/>
            <w:tcBorders>
              <w:top w:val="nil"/>
              <w:left w:val="nil"/>
              <w:bottom w:val="single" w:sz="8" w:space="0" w:color="C6D9F1"/>
              <w:right w:val="single" w:sz="8" w:space="0" w:color="376091"/>
            </w:tcBorders>
            <w:shd w:val="clear" w:color="auto" w:fill="auto"/>
            <w:vAlign w:val="center"/>
            <w:hideMark/>
          </w:tcPr>
          <w:p w14:paraId="7FABE9CB" w14:textId="47B37345"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57.8</w:t>
            </w:r>
          </w:p>
        </w:tc>
        <w:tc>
          <w:tcPr>
            <w:tcW w:w="801" w:type="dxa"/>
            <w:tcBorders>
              <w:top w:val="nil"/>
              <w:left w:val="nil"/>
              <w:bottom w:val="single" w:sz="8" w:space="0" w:color="C6D9F1"/>
              <w:right w:val="single" w:sz="8" w:space="0" w:color="376091"/>
            </w:tcBorders>
            <w:shd w:val="clear" w:color="auto" w:fill="auto"/>
            <w:vAlign w:val="center"/>
            <w:hideMark/>
          </w:tcPr>
          <w:p w14:paraId="01351898" w14:textId="7B06743D"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3.6</w:t>
            </w:r>
          </w:p>
        </w:tc>
        <w:tc>
          <w:tcPr>
            <w:tcW w:w="828" w:type="dxa"/>
            <w:tcBorders>
              <w:top w:val="nil"/>
              <w:left w:val="nil"/>
              <w:bottom w:val="single" w:sz="8" w:space="0" w:color="C6D9F1"/>
              <w:right w:val="single" w:sz="8" w:space="0" w:color="376091"/>
            </w:tcBorders>
            <w:shd w:val="clear" w:color="auto" w:fill="auto"/>
            <w:vAlign w:val="center"/>
            <w:hideMark/>
          </w:tcPr>
          <w:p w14:paraId="6CFD3ED5" w14:textId="2401E039"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6.5</w:t>
            </w:r>
          </w:p>
        </w:tc>
        <w:tc>
          <w:tcPr>
            <w:tcW w:w="708" w:type="dxa"/>
            <w:tcBorders>
              <w:top w:val="nil"/>
              <w:left w:val="nil"/>
              <w:bottom w:val="single" w:sz="8" w:space="0" w:color="C6D9F1"/>
              <w:right w:val="single" w:sz="8" w:space="0" w:color="376091"/>
            </w:tcBorders>
            <w:shd w:val="clear" w:color="auto" w:fill="auto"/>
            <w:vAlign w:val="center"/>
            <w:hideMark/>
          </w:tcPr>
          <w:p w14:paraId="4A605363" w14:textId="635945E8"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5.5</w:t>
            </w:r>
          </w:p>
        </w:tc>
        <w:tc>
          <w:tcPr>
            <w:tcW w:w="709" w:type="dxa"/>
            <w:tcBorders>
              <w:top w:val="nil"/>
              <w:left w:val="nil"/>
              <w:bottom w:val="single" w:sz="8" w:space="0" w:color="C6D9F1"/>
              <w:right w:val="single" w:sz="8" w:space="0" w:color="376091"/>
            </w:tcBorders>
            <w:shd w:val="clear" w:color="auto" w:fill="auto"/>
            <w:vAlign w:val="center"/>
            <w:hideMark/>
          </w:tcPr>
          <w:p w14:paraId="6C6BD275" w14:textId="710DC79A"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78.5</w:t>
            </w:r>
          </w:p>
        </w:tc>
        <w:tc>
          <w:tcPr>
            <w:tcW w:w="567" w:type="dxa"/>
            <w:tcBorders>
              <w:top w:val="nil"/>
              <w:left w:val="nil"/>
              <w:bottom w:val="single" w:sz="8" w:space="0" w:color="C6D9F1"/>
              <w:right w:val="single" w:sz="8" w:space="0" w:color="376091"/>
            </w:tcBorders>
            <w:shd w:val="clear" w:color="auto" w:fill="auto"/>
            <w:vAlign w:val="center"/>
            <w:hideMark/>
          </w:tcPr>
          <w:p w14:paraId="7F75B601" w14:textId="3B3282EE"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5.0</w:t>
            </w:r>
          </w:p>
        </w:tc>
        <w:tc>
          <w:tcPr>
            <w:tcW w:w="851" w:type="dxa"/>
            <w:tcBorders>
              <w:top w:val="nil"/>
              <w:left w:val="nil"/>
              <w:bottom w:val="single" w:sz="8" w:space="0" w:color="C6D9F1"/>
              <w:right w:val="single" w:sz="8" w:space="0" w:color="376091"/>
            </w:tcBorders>
            <w:shd w:val="clear" w:color="auto" w:fill="auto"/>
            <w:vAlign w:val="center"/>
            <w:hideMark/>
          </w:tcPr>
          <w:p w14:paraId="61D44CF5" w14:textId="72E0F6E8"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20.6</w:t>
            </w:r>
          </w:p>
        </w:tc>
        <w:tc>
          <w:tcPr>
            <w:tcW w:w="708" w:type="dxa"/>
            <w:tcBorders>
              <w:top w:val="nil"/>
              <w:left w:val="nil"/>
              <w:bottom w:val="single" w:sz="8" w:space="0" w:color="C6D9F1"/>
              <w:right w:val="single" w:sz="8" w:space="0" w:color="376091"/>
            </w:tcBorders>
            <w:shd w:val="clear" w:color="auto" w:fill="auto"/>
            <w:vAlign w:val="center"/>
            <w:hideMark/>
          </w:tcPr>
          <w:p w14:paraId="289931F1" w14:textId="653B1BEF"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38.7</w:t>
            </w:r>
          </w:p>
        </w:tc>
        <w:tc>
          <w:tcPr>
            <w:tcW w:w="709" w:type="dxa"/>
            <w:tcBorders>
              <w:top w:val="nil"/>
              <w:left w:val="nil"/>
              <w:bottom w:val="single" w:sz="8" w:space="0" w:color="C6D9F1"/>
              <w:right w:val="single" w:sz="8" w:space="0" w:color="376091"/>
            </w:tcBorders>
            <w:shd w:val="clear" w:color="auto" w:fill="auto"/>
            <w:vAlign w:val="center"/>
            <w:hideMark/>
          </w:tcPr>
          <w:p w14:paraId="181DA359" w14:textId="787B5F85"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19.4</w:t>
            </w:r>
          </w:p>
        </w:tc>
        <w:tc>
          <w:tcPr>
            <w:tcW w:w="851" w:type="dxa"/>
            <w:tcBorders>
              <w:top w:val="nil"/>
              <w:left w:val="nil"/>
              <w:bottom w:val="single" w:sz="8" w:space="0" w:color="C6D9F1"/>
              <w:right w:val="single" w:sz="8" w:space="0" w:color="376091"/>
            </w:tcBorders>
            <w:vAlign w:val="center"/>
          </w:tcPr>
          <w:p w14:paraId="44105B08" w14:textId="69C79D56"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17.7</w:t>
            </w:r>
          </w:p>
        </w:tc>
      </w:tr>
      <w:tr w:rsidR="00831EED" w:rsidRPr="00E7630F" w14:paraId="1386A22C" w14:textId="77777777" w:rsidTr="00831EED">
        <w:trPr>
          <w:trHeight w:val="113"/>
        </w:trPr>
        <w:tc>
          <w:tcPr>
            <w:tcW w:w="1843" w:type="dxa"/>
            <w:tcBorders>
              <w:top w:val="nil"/>
              <w:left w:val="single" w:sz="8" w:space="0" w:color="376091"/>
              <w:bottom w:val="single" w:sz="8" w:space="0" w:color="C6D9F1"/>
              <w:right w:val="single" w:sz="8" w:space="0" w:color="376091"/>
            </w:tcBorders>
            <w:shd w:val="clear" w:color="auto" w:fill="auto"/>
            <w:noWrap/>
            <w:vAlign w:val="center"/>
            <w:hideMark/>
          </w:tcPr>
          <w:p w14:paraId="70260821" w14:textId="77777777" w:rsidR="00831EED" w:rsidRPr="00513E8F" w:rsidRDefault="00831EED" w:rsidP="00831EED">
            <w:pPr>
              <w:spacing w:after="0" w:line="240" w:lineRule="auto"/>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Baja California</w:t>
            </w:r>
          </w:p>
        </w:tc>
        <w:tc>
          <w:tcPr>
            <w:tcW w:w="992" w:type="dxa"/>
            <w:tcBorders>
              <w:top w:val="nil"/>
              <w:left w:val="nil"/>
              <w:bottom w:val="single" w:sz="8" w:space="0" w:color="C6D9F1"/>
              <w:right w:val="single" w:sz="8" w:space="0" w:color="376091"/>
            </w:tcBorders>
            <w:shd w:val="clear" w:color="auto" w:fill="auto"/>
            <w:vAlign w:val="center"/>
            <w:hideMark/>
          </w:tcPr>
          <w:p w14:paraId="7E12DE9C" w14:textId="5ACC43BB"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1,687,734</w:t>
            </w:r>
          </w:p>
        </w:tc>
        <w:tc>
          <w:tcPr>
            <w:tcW w:w="1110" w:type="dxa"/>
            <w:tcBorders>
              <w:top w:val="nil"/>
              <w:left w:val="nil"/>
              <w:bottom w:val="single" w:sz="8" w:space="0" w:color="C6D9F1"/>
              <w:right w:val="single" w:sz="8" w:space="0" w:color="376091"/>
            </w:tcBorders>
            <w:shd w:val="clear" w:color="auto" w:fill="auto"/>
            <w:vAlign w:val="center"/>
            <w:hideMark/>
          </w:tcPr>
          <w:p w14:paraId="34F2F3FE" w14:textId="21FA58D1"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44,248</w:t>
            </w:r>
          </w:p>
        </w:tc>
        <w:tc>
          <w:tcPr>
            <w:tcW w:w="639" w:type="dxa"/>
            <w:tcBorders>
              <w:top w:val="nil"/>
              <w:left w:val="nil"/>
              <w:bottom w:val="single" w:sz="8" w:space="0" w:color="C6D9F1"/>
              <w:right w:val="single" w:sz="8" w:space="0" w:color="376091"/>
            </w:tcBorders>
            <w:shd w:val="clear" w:color="auto" w:fill="auto"/>
            <w:vAlign w:val="center"/>
            <w:hideMark/>
          </w:tcPr>
          <w:p w14:paraId="678731B6" w14:textId="2BE64403"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58.7</w:t>
            </w:r>
          </w:p>
        </w:tc>
        <w:tc>
          <w:tcPr>
            <w:tcW w:w="801" w:type="dxa"/>
            <w:tcBorders>
              <w:top w:val="nil"/>
              <w:left w:val="nil"/>
              <w:bottom w:val="single" w:sz="8" w:space="0" w:color="C6D9F1"/>
              <w:right w:val="single" w:sz="8" w:space="0" w:color="376091"/>
            </w:tcBorders>
            <w:shd w:val="clear" w:color="auto" w:fill="auto"/>
            <w:vAlign w:val="center"/>
            <w:hideMark/>
          </w:tcPr>
          <w:p w14:paraId="488AF62C" w14:textId="1BF36025"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2.6</w:t>
            </w:r>
          </w:p>
        </w:tc>
        <w:tc>
          <w:tcPr>
            <w:tcW w:w="828" w:type="dxa"/>
            <w:tcBorders>
              <w:top w:val="nil"/>
              <w:left w:val="nil"/>
              <w:bottom w:val="single" w:sz="8" w:space="0" w:color="C6D9F1"/>
              <w:right w:val="single" w:sz="8" w:space="0" w:color="376091"/>
            </w:tcBorders>
            <w:shd w:val="clear" w:color="auto" w:fill="auto"/>
            <w:vAlign w:val="center"/>
            <w:hideMark/>
          </w:tcPr>
          <w:p w14:paraId="1612D4C6" w14:textId="67CF79F6"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6.1</w:t>
            </w:r>
          </w:p>
        </w:tc>
        <w:tc>
          <w:tcPr>
            <w:tcW w:w="708" w:type="dxa"/>
            <w:tcBorders>
              <w:top w:val="nil"/>
              <w:left w:val="nil"/>
              <w:bottom w:val="single" w:sz="8" w:space="0" w:color="C6D9F1"/>
              <w:right w:val="single" w:sz="8" w:space="0" w:color="376091"/>
            </w:tcBorders>
            <w:shd w:val="clear" w:color="auto" w:fill="auto"/>
            <w:vAlign w:val="center"/>
            <w:hideMark/>
          </w:tcPr>
          <w:p w14:paraId="6B795AC9" w14:textId="55497F3D"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4.1</w:t>
            </w:r>
          </w:p>
        </w:tc>
        <w:tc>
          <w:tcPr>
            <w:tcW w:w="709" w:type="dxa"/>
            <w:tcBorders>
              <w:top w:val="nil"/>
              <w:left w:val="nil"/>
              <w:bottom w:val="single" w:sz="8" w:space="0" w:color="C6D9F1"/>
              <w:right w:val="single" w:sz="8" w:space="0" w:color="376091"/>
            </w:tcBorders>
            <w:shd w:val="clear" w:color="auto" w:fill="auto"/>
            <w:vAlign w:val="center"/>
            <w:hideMark/>
          </w:tcPr>
          <w:p w14:paraId="299CCD54" w14:textId="340FC250"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73.7</w:t>
            </w:r>
          </w:p>
        </w:tc>
        <w:tc>
          <w:tcPr>
            <w:tcW w:w="567" w:type="dxa"/>
            <w:tcBorders>
              <w:top w:val="nil"/>
              <w:left w:val="nil"/>
              <w:bottom w:val="single" w:sz="8" w:space="0" w:color="C6D9F1"/>
              <w:right w:val="single" w:sz="8" w:space="0" w:color="376091"/>
            </w:tcBorders>
            <w:shd w:val="clear" w:color="auto" w:fill="auto"/>
            <w:vAlign w:val="center"/>
            <w:hideMark/>
          </w:tcPr>
          <w:p w14:paraId="7F7DD02D" w14:textId="64673605"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4.7</w:t>
            </w:r>
          </w:p>
        </w:tc>
        <w:tc>
          <w:tcPr>
            <w:tcW w:w="851" w:type="dxa"/>
            <w:tcBorders>
              <w:top w:val="nil"/>
              <w:left w:val="nil"/>
              <w:bottom w:val="single" w:sz="8" w:space="0" w:color="C6D9F1"/>
              <w:right w:val="single" w:sz="8" w:space="0" w:color="376091"/>
            </w:tcBorders>
            <w:shd w:val="clear" w:color="auto" w:fill="auto"/>
            <w:vAlign w:val="center"/>
            <w:hideMark/>
          </w:tcPr>
          <w:p w14:paraId="18A84530" w14:textId="45ED771E"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25.2</w:t>
            </w:r>
          </w:p>
        </w:tc>
        <w:tc>
          <w:tcPr>
            <w:tcW w:w="708" w:type="dxa"/>
            <w:tcBorders>
              <w:top w:val="nil"/>
              <w:left w:val="nil"/>
              <w:bottom w:val="single" w:sz="8" w:space="0" w:color="C6D9F1"/>
              <w:right w:val="single" w:sz="8" w:space="0" w:color="376091"/>
            </w:tcBorders>
            <w:shd w:val="clear" w:color="auto" w:fill="auto"/>
            <w:vAlign w:val="center"/>
            <w:hideMark/>
          </w:tcPr>
          <w:p w14:paraId="0A72F937" w14:textId="03E7D5F1"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35.8</w:t>
            </w:r>
          </w:p>
        </w:tc>
        <w:tc>
          <w:tcPr>
            <w:tcW w:w="709" w:type="dxa"/>
            <w:tcBorders>
              <w:top w:val="nil"/>
              <w:left w:val="nil"/>
              <w:bottom w:val="single" w:sz="8" w:space="0" w:color="C6D9F1"/>
              <w:right w:val="single" w:sz="8" w:space="0" w:color="376091"/>
            </w:tcBorders>
            <w:shd w:val="clear" w:color="auto" w:fill="auto"/>
            <w:vAlign w:val="center"/>
            <w:hideMark/>
          </w:tcPr>
          <w:p w14:paraId="77CF5DFC" w14:textId="5DEC15AA"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18.0</w:t>
            </w:r>
          </w:p>
        </w:tc>
        <w:tc>
          <w:tcPr>
            <w:tcW w:w="851" w:type="dxa"/>
            <w:tcBorders>
              <w:top w:val="nil"/>
              <w:left w:val="nil"/>
              <w:bottom w:val="single" w:sz="8" w:space="0" w:color="C6D9F1"/>
              <w:right w:val="single" w:sz="8" w:space="0" w:color="376091"/>
            </w:tcBorders>
            <w:vAlign w:val="center"/>
          </w:tcPr>
          <w:p w14:paraId="695596CA" w14:textId="5E30D864"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19.0</w:t>
            </w:r>
          </w:p>
        </w:tc>
      </w:tr>
      <w:tr w:rsidR="00831EED" w:rsidRPr="00E7630F" w14:paraId="3029F7C5" w14:textId="77777777" w:rsidTr="00831EED">
        <w:trPr>
          <w:trHeight w:val="113"/>
        </w:trPr>
        <w:tc>
          <w:tcPr>
            <w:tcW w:w="1843" w:type="dxa"/>
            <w:tcBorders>
              <w:top w:val="nil"/>
              <w:left w:val="single" w:sz="8" w:space="0" w:color="376091"/>
              <w:bottom w:val="single" w:sz="8" w:space="0" w:color="C6D9F1"/>
              <w:right w:val="single" w:sz="8" w:space="0" w:color="376091"/>
            </w:tcBorders>
            <w:shd w:val="clear" w:color="auto" w:fill="auto"/>
            <w:noWrap/>
            <w:vAlign w:val="center"/>
            <w:hideMark/>
          </w:tcPr>
          <w:p w14:paraId="2F081CD8" w14:textId="77777777" w:rsidR="00831EED" w:rsidRPr="00513E8F" w:rsidRDefault="00831EED" w:rsidP="00831EED">
            <w:pPr>
              <w:spacing w:after="0" w:line="240" w:lineRule="auto"/>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Baja California Sur</w:t>
            </w:r>
          </w:p>
        </w:tc>
        <w:tc>
          <w:tcPr>
            <w:tcW w:w="992" w:type="dxa"/>
            <w:tcBorders>
              <w:top w:val="nil"/>
              <w:left w:val="nil"/>
              <w:bottom w:val="single" w:sz="8" w:space="0" w:color="C6D9F1"/>
              <w:right w:val="single" w:sz="8" w:space="0" w:color="376091"/>
            </w:tcBorders>
            <w:shd w:val="clear" w:color="auto" w:fill="auto"/>
            <w:vAlign w:val="center"/>
            <w:hideMark/>
          </w:tcPr>
          <w:p w14:paraId="65476069" w14:textId="4191DB9F"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383,353</w:t>
            </w:r>
          </w:p>
        </w:tc>
        <w:tc>
          <w:tcPr>
            <w:tcW w:w="1110" w:type="dxa"/>
            <w:tcBorders>
              <w:top w:val="nil"/>
              <w:left w:val="nil"/>
              <w:bottom w:val="single" w:sz="8" w:space="0" w:color="C6D9F1"/>
              <w:right w:val="single" w:sz="8" w:space="0" w:color="376091"/>
            </w:tcBorders>
            <w:shd w:val="clear" w:color="auto" w:fill="auto"/>
            <w:vAlign w:val="center"/>
            <w:hideMark/>
          </w:tcPr>
          <w:p w14:paraId="7E4A8318" w14:textId="77E5B6C9"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20,099</w:t>
            </w:r>
          </w:p>
        </w:tc>
        <w:tc>
          <w:tcPr>
            <w:tcW w:w="639" w:type="dxa"/>
            <w:tcBorders>
              <w:top w:val="nil"/>
              <w:left w:val="nil"/>
              <w:bottom w:val="single" w:sz="8" w:space="0" w:color="C6D9F1"/>
              <w:right w:val="single" w:sz="8" w:space="0" w:color="376091"/>
            </w:tcBorders>
            <w:shd w:val="clear" w:color="auto" w:fill="auto"/>
            <w:vAlign w:val="center"/>
            <w:hideMark/>
          </w:tcPr>
          <w:p w14:paraId="0B941F97" w14:textId="66B73292"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64.8</w:t>
            </w:r>
          </w:p>
        </w:tc>
        <w:tc>
          <w:tcPr>
            <w:tcW w:w="801" w:type="dxa"/>
            <w:tcBorders>
              <w:top w:val="nil"/>
              <w:left w:val="nil"/>
              <w:bottom w:val="single" w:sz="8" w:space="0" w:color="C6D9F1"/>
              <w:right w:val="single" w:sz="8" w:space="0" w:color="376091"/>
            </w:tcBorders>
            <w:shd w:val="clear" w:color="auto" w:fill="auto"/>
            <w:vAlign w:val="center"/>
            <w:hideMark/>
          </w:tcPr>
          <w:p w14:paraId="4C8C9EAC" w14:textId="54F41D35"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5.0</w:t>
            </w:r>
          </w:p>
        </w:tc>
        <w:tc>
          <w:tcPr>
            <w:tcW w:w="828" w:type="dxa"/>
            <w:tcBorders>
              <w:top w:val="nil"/>
              <w:left w:val="nil"/>
              <w:bottom w:val="single" w:sz="8" w:space="0" w:color="C6D9F1"/>
              <w:right w:val="single" w:sz="8" w:space="0" w:color="376091"/>
            </w:tcBorders>
            <w:shd w:val="clear" w:color="auto" w:fill="auto"/>
            <w:vAlign w:val="center"/>
            <w:hideMark/>
          </w:tcPr>
          <w:p w14:paraId="49B01CE0" w14:textId="19357E7C"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13.1</w:t>
            </w:r>
          </w:p>
        </w:tc>
        <w:tc>
          <w:tcPr>
            <w:tcW w:w="708" w:type="dxa"/>
            <w:tcBorders>
              <w:top w:val="nil"/>
              <w:left w:val="nil"/>
              <w:bottom w:val="single" w:sz="8" w:space="0" w:color="C6D9F1"/>
              <w:right w:val="single" w:sz="8" w:space="0" w:color="376091"/>
            </w:tcBorders>
            <w:shd w:val="clear" w:color="auto" w:fill="auto"/>
            <w:vAlign w:val="center"/>
            <w:hideMark/>
          </w:tcPr>
          <w:p w14:paraId="0450A8E7" w14:textId="69A92902"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10.7</w:t>
            </w:r>
          </w:p>
        </w:tc>
        <w:tc>
          <w:tcPr>
            <w:tcW w:w="709" w:type="dxa"/>
            <w:tcBorders>
              <w:top w:val="nil"/>
              <w:left w:val="nil"/>
              <w:bottom w:val="single" w:sz="8" w:space="0" w:color="C6D9F1"/>
              <w:right w:val="single" w:sz="8" w:space="0" w:color="376091"/>
            </w:tcBorders>
            <w:shd w:val="clear" w:color="auto" w:fill="auto"/>
            <w:vAlign w:val="center"/>
            <w:hideMark/>
          </w:tcPr>
          <w:p w14:paraId="256C4C22" w14:textId="549A94B7"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71.0</w:t>
            </w:r>
          </w:p>
        </w:tc>
        <w:tc>
          <w:tcPr>
            <w:tcW w:w="567" w:type="dxa"/>
            <w:tcBorders>
              <w:top w:val="nil"/>
              <w:left w:val="nil"/>
              <w:bottom w:val="single" w:sz="8" w:space="0" w:color="C6D9F1"/>
              <w:right w:val="single" w:sz="8" w:space="0" w:color="376091"/>
            </w:tcBorders>
            <w:shd w:val="clear" w:color="auto" w:fill="auto"/>
            <w:vAlign w:val="center"/>
            <w:hideMark/>
          </w:tcPr>
          <w:p w14:paraId="46B18041" w14:textId="6CD790EA"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18.9</w:t>
            </w:r>
          </w:p>
        </w:tc>
        <w:tc>
          <w:tcPr>
            <w:tcW w:w="851" w:type="dxa"/>
            <w:tcBorders>
              <w:top w:val="nil"/>
              <w:left w:val="nil"/>
              <w:bottom w:val="single" w:sz="8" w:space="0" w:color="C6D9F1"/>
              <w:right w:val="single" w:sz="8" w:space="0" w:color="376091"/>
            </w:tcBorders>
            <w:shd w:val="clear" w:color="auto" w:fill="auto"/>
            <w:vAlign w:val="center"/>
            <w:hideMark/>
          </w:tcPr>
          <w:p w14:paraId="22921788" w14:textId="2625E306"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14.6</w:t>
            </w:r>
          </w:p>
        </w:tc>
        <w:tc>
          <w:tcPr>
            <w:tcW w:w="708" w:type="dxa"/>
            <w:tcBorders>
              <w:top w:val="nil"/>
              <w:left w:val="nil"/>
              <w:bottom w:val="single" w:sz="8" w:space="0" w:color="C6D9F1"/>
              <w:right w:val="single" w:sz="8" w:space="0" w:color="376091"/>
            </w:tcBorders>
            <w:shd w:val="clear" w:color="auto" w:fill="auto"/>
            <w:vAlign w:val="center"/>
            <w:hideMark/>
          </w:tcPr>
          <w:p w14:paraId="599D6EAF" w14:textId="3DA9E8A0"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38.7</w:t>
            </w:r>
          </w:p>
        </w:tc>
        <w:tc>
          <w:tcPr>
            <w:tcW w:w="709" w:type="dxa"/>
            <w:tcBorders>
              <w:top w:val="nil"/>
              <w:left w:val="nil"/>
              <w:bottom w:val="single" w:sz="8" w:space="0" w:color="C6D9F1"/>
              <w:right w:val="single" w:sz="8" w:space="0" w:color="376091"/>
            </w:tcBorders>
            <w:shd w:val="clear" w:color="auto" w:fill="auto"/>
            <w:vAlign w:val="center"/>
            <w:hideMark/>
          </w:tcPr>
          <w:p w14:paraId="07AC04D9" w14:textId="613A8869"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22.5</w:t>
            </w:r>
          </w:p>
        </w:tc>
        <w:tc>
          <w:tcPr>
            <w:tcW w:w="851" w:type="dxa"/>
            <w:tcBorders>
              <w:top w:val="nil"/>
              <w:left w:val="nil"/>
              <w:bottom w:val="single" w:sz="8" w:space="0" w:color="C6D9F1"/>
              <w:right w:val="single" w:sz="8" w:space="0" w:color="376091"/>
            </w:tcBorders>
            <w:vAlign w:val="center"/>
          </w:tcPr>
          <w:p w14:paraId="6D42A111" w14:textId="39E40924"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29.2</w:t>
            </w:r>
          </w:p>
        </w:tc>
      </w:tr>
      <w:tr w:rsidR="00831EED" w:rsidRPr="00E7630F" w14:paraId="24C365C7" w14:textId="77777777" w:rsidTr="00831EED">
        <w:trPr>
          <w:trHeight w:val="113"/>
        </w:trPr>
        <w:tc>
          <w:tcPr>
            <w:tcW w:w="1843" w:type="dxa"/>
            <w:tcBorders>
              <w:top w:val="nil"/>
              <w:left w:val="single" w:sz="8" w:space="0" w:color="376091"/>
              <w:bottom w:val="single" w:sz="8" w:space="0" w:color="C6D9F1"/>
              <w:right w:val="single" w:sz="8" w:space="0" w:color="376091"/>
            </w:tcBorders>
            <w:shd w:val="clear" w:color="auto" w:fill="auto"/>
            <w:noWrap/>
            <w:vAlign w:val="center"/>
            <w:hideMark/>
          </w:tcPr>
          <w:p w14:paraId="55131E4D" w14:textId="77777777" w:rsidR="00831EED" w:rsidRPr="00513E8F" w:rsidRDefault="00831EED" w:rsidP="00831EED">
            <w:pPr>
              <w:spacing w:after="0" w:line="240" w:lineRule="auto"/>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Campeche</w:t>
            </w:r>
          </w:p>
        </w:tc>
        <w:tc>
          <w:tcPr>
            <w:tcW w:w="992" w:type="dxa"/>
            <w:tcBorders>
              <w:top w:val="nil"/>
              <w:left w:val="nil"/>
              <w:bottom w:val="single" w:sz="8" w:space="0" w:color="C6D9F1"/>
              <w:right w:val="single" w:sz="8" w:space="0" w:color="376091"/>
            </w:tcBorders>
            <w:shd w:val="clear" w:color="auto" w:fill="auto"/>
            <w:vAlign w:val="center"/>
            <w:hideMark/>
          </w:tcPr>
          <w:p w14:paraId="597E52BA" w14:textId="28B52293"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426,020</w:t>
            </w:r>
          </w:p>
        </w:tc>
        <w:tc>
          <w:tcPr>
            <w:tcW w:w="1110" w:type="dxa"/>
            <w:tcBorders>
              <w:top w:val="nil"/>
              <w:left w:val="nil"/>
              <w:bottom w:val="single" w:sz="8" w:space="0" w:color="C6D9F1"/>
              <w:right w:val="single" w:sz="8" w:space="0" w:color="376091"/>
            </w:tcBorders>
            <w:shd w:val="clear" w:color="auto" w:fill="auto"/>
            <w:vAlign w:val="center"/>
            <w:hideMark/>
          </w:tcPr>
          <w:p w14:paraId="5E3892D8" w14:textId="3096A0EC"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12,843</w:t>
            </w:r>
          </w:p>
        </w:tc>
        <w:tc>
          <w:tcPr>
            <w:tcW w:w="639" w:type="dxa"/>
            <w:tcBorders>
              <w:top w:val="nil"/>
              <w:left w:val="nil"/>
              <w:bottom w:val="single" w:sz="8" w:space="0" w:color="C6D9F1"/>
              <w:right w:val="single" w:sz="8" w:space="0" w:color="376091"/>
            </w:tcBorders>
            <w:shd w:val="clear" w:color="auto" w:fill="auto"/>
            <w:vAlign w:val="center"/>
            <w:hideMark/>
          </w:tcPr>
          <w:p w14:paraId="3B664A2D" w14:textId="5E6831BF"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62.3</w:t>
            </w:r>
          </w:p>
        </w:tc>
        <w:tc>
          <w:tcPr>
            <w:tcW w:w="801" w:type="dxa"/>
            <w:tcBorders>
              <w:top w:val="nil"/>
              <w:left w:val="nil"/>
              <w:bottom w:val="single" w:sz="8" w:space="0" w:color="C6D9F1"/>
              <w:right w:val="single" w:sz="8" w:space="0" w:color="376091"/>
            </w:tcBorders>
            <w:shd w:val="clear" w:color="auto" w:fill="auto"/>
            <w:vAlign w:val="center"/>
            <w:hideMark/>
          </w:tcPr>
          <w:p w14:paraId="5E3874CA" w14:textId="3C686D1F"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2.9</w:t>
            </w:r>
          </w:p>
        </w:tc>
        <w:tc>
          <w:tcPr>
            <w:tcW w:w="828" w:type="dxa"/>
            <w:tcBorders>
              <w:top w:val="nil"/>
              <w:left w:val="nil"/>
              <w:bottom w:val="single" w:sz="8" w:space="0" w:color="C6D9F1"/>
              <w:right w:val="single" w:sz="8" w:space="0" w:color="376091"/>
            </w:tcBorders>
            <w:shd w:val="clear" w:color="auto" w:fill="auto"/>
            <w:vAlign w:val="center"/>
            <w:hideMark/>
          </w:tcPr>
          <w:p w14:paraId="36E55E6C" w14:textId="629FB069"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12.6</w:t>
            </w:r>
          </w:p>
        </w:tc>
        <w:tc>
          <w:tcPr>
            <w:tcW w:w="708" w:type="dxa"/>
            <w:tcBorders>
              <w:top w:val="nil"/>
              <w:left w:val="nil"/>
              <w:bottom w:val="single" w:sz="8" w:space="0" w:color="C6D9F1"/>
              <w:right w:val="single" w:sz="8" w:space="0" w:color="376091"/>
            </w:tcBorders>
            <w:shd w:val="clear" w:color="auto" w:fill="auto"/>
            <w:vAlign w:val="center"/>
            <w:hideMark/>
          </w:tcPr>
          <w:p w14:paraId="18642470" w14:textId="575FE214"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10.8</w:t>
            </w:r>
          </w:p>
        </w:tc>
        <w:tc>
          <w:tcPr>
            <w:tcW w:w="709" w:type="dxa"/>
            <w:tcBorders>
              <w:top w:val="nil"/>
              <w:left w:val="nil"/>
              <w:bottom w:val="single" w:sz="8" w:space="0" w:color="C6D9F1"/>
              <w:right w:val="single" w:sz="8" w:space="0" w:color="376091"/>
            </w:tcBorders>
            <w:shd w:val="clear" w:color="auto" w:fill="auto"/>
            <w:vAlign w:val="center"/>
            <w:hideMark/>
          </w:tcPr>
          <w:p w14:paraId="54D68FF0" w14:textId="4F55C003"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57.5</w:t>
            </w:r>
          </w:p>
        </w:tc>
        <w:tc>
          <w:tcPr>
            <w:tcW w:w="567" w:type="dxa"/>
            <w:tcBorders>
              <w:top w:val="nil"/>
              <w:left w:val="nil"/>
              <w:bottom w:val="single" w:sz="8" w:space="0" w:color="C6D9F1"/>
              <w:right w:val="single" w:sz="8" w:space="0" w:color="376091"/>
            </w:tcBorders>
            <w:shd w:val="clear" w:color="auto" w:fill="auto"/>
            <w:vAlign w:val="center"/>
            <w:hideMark/>
          </w:tcPr>
          <w:p w14:paraId="465CCD51" w14:textId="3FA06C4F"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19.1</w:t>
            </w:r>
          </w:p>
        </w:tc>
        <w:tc>
          <w:tcPr>
            <w:tcW w:w="851" w:type="dxa"/>
            <w:tcBorders>
              <w:top w:val="nil"/>
              <w:left w:val="nil"/>
              <w:bottom w:val="single" w:sz="8" w:space="0" w:color="C6D9F1"/>
              <w:right w:val="single" w:sz="8" w:space="0" w:color="376091"/>
            </w:tcBorders>
            <w:shd w:val="clear" w:color="auto" w:fill="auto"/>
            <w:vAlign w:val="center"/>
            <w:hideMark/>
          </w:tcPr>
          <w:p w14:paraId="713D822D" w14:textId="14748C9F"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32.7</w:t>
            </w:r>
          </w:p>
        </w:tc>
        <w:tc>
          <w:tcPr>
            <w:tcW w:w="708" w:type="dxa"/>
            <w:tcBorders>
              <w:top w:val="nil"/>
              <w:left w:val="nil"/>
              <w:bottom w:val="single" w:sz="8" w:space="0" w:color="C6D9F1"/>
              <w:right w:val="single" w:sz="8" w:space="0" w:color="376091"/>
            </w:tcBorders>
            <w:shd w:val="clear" w:color="auto" w:fill="auto"/>
            <w:vAlign w:val="center"/>
            <w:hideMark/>
          </w:tcPr>
          <w:p w14:paraId="5FB7EBD0" w14:textId="71FDEFEF"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64.1</w:t>
            </w:r>
          </w:p>
        </w:tc>
        <w:tc>
          <w:tcPr>
            <w:tcW w:w="709" w:type="dxa"/>
            <w:tcBorders>
              <w:top w:val="nil"/>
              <w:left w:val="nil"/>
              <w:bottom w:val="single" w:sz="8" w:space="0" w:color="C6D9F1"/>
              <w:right w:val="single" w:sz="8" w:space="0" w:color="376091"/>
            </w:tcBorders>
            <w:shd w:val="clear" w:color="auto" w:fill="auto"/>
            <w:vAlign w:val="center"/>
            <w:hideMark/>
          </w:tcPr>
          <w:p w14:paraId="2DDE60F5" w14:textId="03254F01"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27.6</w:t>
            </w:r>
          </w:p>
        </w:tc>
        <w:tc>
          <w:tcPr>
            <w:tcW w:w="851" w:type="dxa"/>
            <w:tcBorders>
              <w:top w:val="nil"/>
              <w:left w:val="nil"/>
              <w:bottom w:val="single" w:sz="8" w:space="0" w:color="C6D9F1"/>
              <w:right w:val="single" w:sz="8" w:space="0" w:color="376091"/>
            </w:tcBorders>
            <w:vAlign w:val="center"/>
          </w:tcPr>
          <w:p w14:paraId="473A5B0A" w14:textId="4BC5C49E"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27.8</w:t>
            </w:r>
          </w:p>
        </w:tc>
      </w:tr>
      <w:tr w:rsidR="00831EED" w:rsidRPr="00E7630F" w14:paraId="27B804F8" w14:textId="77777777" w:rsidTr="00831EED">
        <w:trPr>
          <w:trHeight w:val="113"/>
        </w:trPr>
        <w:tc>
          <w:tcPr>
            <w:tcW w:w="1843" w:type="dxa"/>
            <w:tcBorders>
              <w:top w:val="nil"/>
              <w:left w:val="single" w:sz="8" w:space="0" w:color="376091"/>
              <w:bottom w:val="single" w:sz="8" w:space="0" w:color="C6D9F1"/>
              <w:right w:val="single" w:sz="8" w:space="0" w:color="376091"/>
            </w:tcBorders>
            <w:shd w:val="clear" w:color="auto" w:fill="auto"/>
            <w:noWrap/>
            <w:vAlign w:val="center"/>
            <w:hideMark/>
          </w:tcPr>
          <w:p w14:paraId="77244048" w14:textId="77777777" w:rsidR="00831EED" w:rsidRPr="00513E8F" w:rsidRDefault="00831EED" w:rsidP="00831EED">
            <w:pPr>
              <w:spacing w:after="0" w:line="240" w:lineRule="auto"/>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Coahuila de Zaragoza</w:t>
            </w:r>
          </w:p>
        </w:tc>
        <w:tc>
          <w:tcPr>
            <w:tcW w:w="992" w:type="dxa"/>
            <w:tcBorders>
              <w:top w:val="nil"/>
              <w:left w:val="nil"/>
              <w:bottom w:val="single" w:sz="8" w:space="0" w:color="C6D9F1"/>
              <w:right w:val="single" w:sz="8" w:space="0" w:color="376091"/>
            </w:tcBorders>
            <w:shd w:val="clear" w:color="auto" w:fill="auto"/>
            <w:vAlign w:val="center"/>
            <w:hideMark/>
          </w:tcPr>
          <w:p w14:paraId="44C304D0" w14:textId="1D323DEC"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1,346,819</w:t>
            </w:r>
          </w:p>
        </w:tc>
        <w:tc>
          <w:tcPr>
            <w:tcW w:w="1110" w:type="dxa"/>
            <w:tcBorders>
              <w:top w:val="nil"/>
              <w:left w:val="nil"/>
              <w:bottom w:val="single" w:sz="8" w:space="0" w:color="C6D9F1"/>
              <w:right w:val="single" w:sz="8" w:space="0" w:color="376091"/>
            </w:tcBorders>
            <w:shd w:val="clear" w:color="auto" w:fill="auto"/>
            <w:vAlign w:val="center"/>
            <w:hideMark/>
          </w:tcPr>
          <w:p w14:paraId="089C86BE" w14:textId="294EC475"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72,543</w:t>
            </w:r>
          </w:p>
        </w:tc>
        <w:tc>
          <w:tcPr>
            <w:tcW w:w="639" w:type="dxa"/>
            <w:tcBorders>
              <w:top w:val="nil"/>
              <w:left w:val="nil"/>
              <w:bottom w:val="single" w:sz="8" w:space="0" w:color="C6D9F1"/>
              <w:right w:val="single" w:sz="8" w:space="0" w:color="376091"/>
            </w:tcBorders>
            <w:shd w:val="clear" w:color="auto" w:fill="auto"/>
            <w:vAlign w:val="center"/>
            <w:hideMark/>
          </w:tcPr>
          <w:p w14:paraId="77E9DF11" w14:textId="460564A1"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59.3</w:t>
            </w:r>
          </w:p>
        </w:tc>
        <w:tc>
          <w:tcPr>
            <w:tcW w:w="801" w:type="dxa"/>
            <w:tcBorders>
              <w:top w:val="nil"/>
              <w:left w:val="nil"/>
              <w:bottom w:val="single" w:sz="8" w:space="0" w:color="C6D9F1"/>
              <w:right w:val="single" w:sz="8" w:space="0" w:color="376091"/>
            </w:tcBorders>
            <w:shd w:val="clear" w:color="auto" w:fill="auto"/>
            <w:vAlign w:val="center"/>
            <w:hideMark/>
          </w:tcPr>
          <w:p w14:paraId="621F8A48" w14:textId="040A5155"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5.1</w:t>
            </w:r>
          </w:p>
        </w:tc>
        <w:tc>
          <w:tcPr>
            <w:tcW w:w="828" w:type="dxa"/>
            <w:tcBorders>
              <w:top w:val="nil"/>
              <w:left w:val="nil"/>
              <w:bottom w:val="single" w:sz="8" w:space="0" w:color="C6D9F1"/>
              <w:right w:val="single" w:sz="8" w:space="0" w:color="376091"/>
            </w:tcBorders>
            <w:shd w:val="clear" w:color="auto" w:fill="auto"/>
            <w:vAlign w:val="center"/>
            <w:hideMark/>
          </w:tcPr>
          <w:p w14:paraId="6F08D6C7" w14:textId="7238053B"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9.6</w:t>
            </w:r>
          </w:p>
        </w:tc>
        <w:tc>
          <w:tcPr>
            <w:tcW w:w="708" w:type="dxa"/>
            <w:tcBorders>
              <w:top w:val="nil"/>
              <w:left w:val="nil"/>
              <w:bottom w:val="single" w:sz="8" w:space="0" w:color="C6D9F1"/>
              <w:right w:val="single" w:sz="8" w:space="0" w:color="376091"/>
            </w:tcBorders>
            <w:shd w:val="clear" w:color="auto" w:fill="auto"/>
            <w:vAlign w:val="center"/>
            <w:hideMark/>
          </w:tcPr>
          <w:p w14:paraId="41247C57" w14:textId="702D7AB0"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9.7</w:t>
            </w:r>
          </w:p>
        </w:tc>
        <w:tc>
          <w:tcPr>
            <w:tcW w:w="709" w:type="dxa"/>
            <w:tcBorders>
              <w:top w:val="nil"/>
              <w:left w:val="nil"/>
              <w:bottom w:val="single" w:sz="8" w:space="0" w:color="C6D9F1"/>
              <w:right w:val="single" w:sz="8" w:space="0" w:color="376091"/>
            </w:tcBorders>
            <w:shd w:val="clear" w:color="auto" w:fill="auto"/>
            <w:vAlign w:val="center"/>
            <w:hideMark/>
          </w:tcPr>
          <w:p w14:paraId="2FC2ECC0" w14:textId="7E32F7B7"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76.4</w:t>
            </w:r>
          </w:p>
        </w:tc>
        <w:tc>
          <w:tcPr>
            <w:tcW w:w="567" w:type="dxa"/>
            <w:tcBorders>
              <w:top w:val="nil"/>
              <w:left w:val="nil"/>
              <w:bottom w:val="single" w:sz="8" w:space="0" w:color="C6D9F1"/>
              <w:right w:val="single" w:sz="8" w:space="0" w:color="376091"/>
            </w:tcBorders>
            <w:shd w:val="clear" w:color="auto" w:fill="auto"/>
            <w:vAlign w:val="center"/>
            <w:hideMark/>
          </w:tcPr>
          <w:p w14:paraId="64013EBD" w14:textId="76A7E8A1"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8.5</w:t>
            </w:r>
          </w:p>
        </w:tc>
        <w:tc>
          <w:tcPr>
            <w:tcW w:w="851" w:type="dxa"/>
            <w:tcBorders>
              <w:top w:val="nil"/>
              <w:left w:val="nil"/>
              <w:bottom w:val="single" w:sz="8" w:space="0" w:color="C6D9F1"/>
              <w:right w:val="single" w:sz="8" w:space="0" w:color="376091"/>
            </w:tcBorders>
            <w:shd w:val="clear" w:color="auto" w:fill="auto"/>
            <w:vAlign w:val="center"/>
            <w:hideMark/>
          </w:tcPr>
          <w:p w14:paraId="1ED0D352" w14:textId="2F9E615C"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20.3</w:t>
            </w:r>
          </w:p>
        </w:tc>
        <w:tc>
          <w:tcPr>
            <w:tcW w:w="708" w:type="dxa"/>
            <w:tcBorders>
              <w:top w:val="nil"/>
              <w:left w:val="nil"/>
              <w:bottom w:val="single" w:sz="8" w:space="0" w:color="C6D9F1"/>
              <w:right w:val="single" w:sz="8" w:space="0" w:color="376091"/>
            </w:tcBorders>
            <w:shd w:val="clear" w:color="auto" w:fill="auto"/>
            <w:vAlign w:val="center"/>
            <w:hideMark/>
          </w:tcPr>
          <w:p w14:paraId="4C47B187" w14:textId="17B0DEBB"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36.1</w:t>
            </w:r>
          </w:p>
        </w:tc>
        <w:tc>
          <w:tcPr>
            <w:tcW w:w="709" w:type="dxa"/>
            <w:tcBorders>
              <w:top w:val="nil"/>
              <w:left w:val="nil"/>
              <w:bottom w:val="single" w:sz="8" w:space="0" w:color="C6D9F1"/>
              <w:right w:val="single" w:sz="8" w:space="0" w:color="376091"/>
            </w:tcBorders>
            <w:shd w:val="clear" w:color="auto" w:fill="auto"/>
            <w:vAlign w:val="center"/>
            <w:hideMark/>
          </w:tcPr>
          <w:p w14:paraId="75725F7B" w14:textId="558960A6"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22.0</w:t>
            </w:r>
          </w:p>
        </w:tc>
        <w:tc>
          <w:tcPr>
            <w:tcW w:w="851" w:type="dxa"/>
            <w:tcBorders>
              <w:top w:val="nil"/>
              <w:left w:val="nil"/>
              <w:bottom w:val="single" w:sz="8" w:space="0" w:color="C6D9F1"/>
              <w:right w:val="single" w:sz="8" w:space="0" w:color="376091"/>
            </w:tcBorders>
            <w:vAlign w:val="center"/>
          </w:tcPr>
          <w:p w14:paraId="3FC5F0EA" w14:textId="495B29DE"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19.1</w:t>
            </w:r>
          </w:p>
        </w:tc>
      </w:tr>
      <w:tr w:rsidR="00831EED" w:rsidRPr="00E7630F" w14:paraId="7B232736" w14:textId="77777777" w:rsidTr="00831EED">
        <w:trPr>
          <w:trHeight w:val="113"/>
        </w:trPr>
        <w:tc>
          <w:tcPr>
            <w:tcW w:w="1843" w:type="dxa"/>
            <w:tcBorders>
              <w:top w:val="nil"/>
              <w:left w:val="single" w:sz="8" w:space="0" w:color="376091"/>
              <w:bottom w:val="single" w:sz="8" w:space="0" w:color="C6D9F1"/>
              <w:right w:val="single" w:sz="8" w:space="0" w:color="376091"/>
            </w:tcBorders>
            <w:shd w:val="clear" w:color="auto" w:fill="auto"/>
            <w:noWrap/>
            <w:vAlign w:val="center"/>
            <w:hideMark/>
          </w:tcPr>
          <w:p w14:paraId="59A36E44" w14:textId="77777777" w:rsidR="00831EED" w:rsidRPr="00513E8F" w:rsidRDefault="00831EED" w:rsidP="00831EED">
            <w:pPr>
              <w:spacing w:after="0" w:line="240" w:lineRule="auto"/>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Colima</w:t>
            </w:r>
          </w:p>
        </w:tc>
        <w:tc>
          <w:tcPr>
            <w:tcW w:w="992" w:type="dxa"/>
            <w:tcBorders>
              <w:top w:val="nil"/>
              <w:left w:val="nil"/>
              <w:bottom w:val="single" w:sz="8" w:space="0" w:color="C6D9F1"/>
              <w:right w:val="single" w:sz="8" w:space="0" w:color="376091"/>
            </w:tcBorders>
            <w:shd w:val="clear" w:color="auto" w:fill="auto"/>
            <w:vAlign w:val="center"/>
            <w:hideMark/>
          </w:tcPr>
          <w:p w14:paraId="6DCA0E2D" w14:textId="507760B8"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353,554</w:t>
            </w:r>
          </w:p>
        </w:tc>
        <w:tc>
          <w:tcPr>
            <w:tcW w:w="1110" w:type="dxa"/>
            <w:tcBorders>
              <w:top w:val="nil"/>
              <w:left w:val="nil"/>
              <w:bottom w:val="single" w:sz="8" w:space="0" w:color="C6D9F1"/>
              <w:right w:val="single" w:sz="8" w:space="0" w:color="376091"/>
            </w:tcBorders>
            <w:shd w:val="clear" w:color="auto" w:fill="auto"/>
            <w:vAlign w:val="center"/>
            <w:hideMark/>
          </w:tcPr>
          <w:p w14:paraId="7B8ECEA1" w14:textId="69981A50"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11,709</w:t>
            </w:r>
          </w:p>
        </w:tc>
        <w:tc>
          <w:tcPr>
            <w:tcW w:w="639" w:type="dxa"/>
            <w:tcBorders>
              <w:top w:val="nil"/>
              <w:left w:val="nil"/>
              <w:bottom w:val="single" w:sz="8" w:space="0" w:color="C6D9F1"/>
              <w:right w:val="single" w:sz="8" w:space="0" w:color="376091"/>
            </w:tcBorders>
            <w:shd w:val="clear" w:color="auto" w:fill="auto"/>
            <w:vAlign w:val="center"/>
            <w:hideMark/>
          </w:tcPr>
          <w:p w14:paraId="3099E11D" w14:textId="3E01C74C"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63.6</w:t>
            </w:r>
          </w:p>
        </w:tc>
        <w:tc>
          <w:tcPr>
            <w:tcW w:w="801" w:type="dxa"/>
            <w:tcBorders>
              <w:top w:val="nil"/>
              <w:left w:val="nil"/>
              <w:bottom w:val="single" w:sz="8" w:space="0" w:color="C6D9F1"/>
              <w:right w:val="single" w:sz="8" w:space="0" w:color="376091"/>
            </w:tcBorders>
            <w:shd w:val="clear" w:color="auto" w:fill="auto"/>
            <w:vAlign w:val="center"/>
            <w:hideMark/>
          </w:tcPr>
          <w:p w14:paraId="1A5DDB4C" w14:textId="012599AA"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3.2</w:t>
            </w:r>
          </w:p>
        </w:tc>
        <w:tc>
          <w:tcPr>
            <w:tcW w:w="828" w:type="dxa"/>
            <w:tcBorders>
              <w:top w:val="nil"/>
              <w:left w:val="nil"/>
              <w:bottom w:val="single" w:sz="8" w:space="0" w:color="C6D9F1"/>
              <w:right w:val="single" w:sz="8" w:space="0" w:color="376091"/>
            </w:tcBorders>
            <w:shd w:val="clear" w:color="auto" w:fill="auto"/>
            <w:vAlign w:val="center"/>
            <w:hideMark/>
          </w:tcPr>
          <w:p w14:paraId="1DB2AA35" w14:textId="727E0512"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11.6</w:t>
            </w:r>
          </w:p>
        </w:tc>
        <w:tc>
          <w:tcPr>
            <w:tcW w:w="708" w:type="dxa"/>
            <w:tcBorders>
              <w:top w:val="nil"/>
              <w:left w:val="nil"/>
              <w:bottom w:val="single" w:sz="8" w:space="0" w:color="C6D9F1"/>
              <w:right w:val="single" w:sz="8" w:space="0" w:color="376091"/>
            </w:tcBorders>
            <w:shd w:val="clear" w:color="auto" w:fill="auto"/>
            <w:vAlign w:val="center"/>
            <w:hideMark/>
          </w:tcPr>
          <w:p w14:paraId="6A38848D" w14:textId="6BD3C9ED"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6.0</w:t>
            </w:r>
          </w:p>
        </w:tc>
        <w:tc>
          <w:tcPr>
            <w:tcW w:w="709" w:type="dxa"/>
            <w:tcBorders>
              <w:top w:val="nil"/>
              <w:left w:val="nil"/>
              <w:bottom w:val="single" w:sz="8" w:space="0" w:color="C6D9F1"/>
              <w:right w:val="single" w:sz="8" w:space="0" w:color="376091"/>
            </w:tcBorders>
            <w:shd w:val="clear" w:color="auto" w:fill="auto"/>
            <w:vAlign w:val="center"/>
            <w:hideMark/>
          </w:tcPr>
          <w:p w14:paraId="1541F223" w14:textId="26F06F7C"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67.5</w:t>
            </w:r>
          </w:p>
        </w:tc>
        <w:tc>
          <w:tcPr>
            <w:tcW w:w="567" w:type="dxa"/>
            <w:tcBorders>
              <w:top w:val="nil"/>
              <w:left w:val="nil"/>
              <w:bottom w:val="single" w:sz="8" w:space="0" w:color="C6D9F1"/>
              <w:right w:val="single" w:sz="8" w:space="0" w:color="376091"/>
            </w:tcBorders>
            <w:shd w:val="clear" w:color="auto" w:fill="auto"/>
            <w:vAlign w:val="center"/>
            <w:hideMark/>
          </w:tcPr>
          <w:p w14:paraId="1DF2E52F" w14:textId="00A8CCB1"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11.2</w:t>
            </w:r>
          </w:p>
        </w:tc>
        <w:tc>
          <w:tcPr>
            <w:tcW w:w="851" w:type="dxa"/>
            <w:tcBorders>
              <w:top w:val="nil"/>
              <w:left w:val="nil"/>
              <w:bottom w:val="single" w:sz="8" w:space="0" w:color="C6D9F1"/>
              <w:right w:val="single" w:sz="8" w:space="0" w:color="376091"/>
            </w:tcBorders>
            <w:shd w:val="clear" w:color="auto" w:fill="auto"/>
            <w:vAlign w:val="center"/>
            <w:hideMark/>
          </w:tcPr>
          <w:p w14:paraId="0A4F05F5" w14:textId="20D3D2AD"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18.5</w:t>
            </w:r>
          </w:p>
        </w:tc>
        <w:tc>
          <w:tcPr>
            <w:tcW w:w="708" w:type="dxa"/>
            <w:tcBorders>
              <w:top w:val="nil"/>
              <w:left w:val="nil"/>
              <w:bottom w:val="single" w:sz="8" w:space="0" w:color="C6D9F1"/>
              <w:right w:val="single" w:sz="8" w:space="0" w:color="376091"/>
            </w:tcBorders>
            <w:shd w:val="clear" w:color="auto" w:fill="auto"/>
            <w:vAlign w:val="center"/>
            <w:hideMark/>
          </w:tcPr>
          <w:p w14:paraId="14A43F3B" w14:textId="0E1AF736"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50.8</w:t>
            </w:r>
          </w:p>
        </w:tc>
        <w:tc>
          <w:tcPr>
            <w:tcW w:w="709" w:type="dxa"/>
            <w:tcBorders>
              <w:top w:val="nil"/>
              <w:left w:val="nil"/>
              <w:bottom w:val="single" w:sz="8" w:space="0" w:color="C6D9F1"/>
              <w:right w:val="single" w:sz="8" w:space="0" w:color="376091"/>
            </w:tcBorders>
            <w:shd w:val="clear" w:color="auto" w:fill="auto"/>
            <w:vAlign w:val="center"/>
            <w:hideMark/>
          </w:tcPr>
          <w:p w14:paraId="7C1A68E3" w14:textId="4BDF9D0C"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20.4</w:t>
            </w:r>
          </w:p>
        </w:tc>
        <w:tc>
          <w:tcPr>
            <w:tcW w:w="851" w:type="dxa"/>
            <w:tcBorders>
              <w:top w:val="nil"/>
              <w:left w:val="nil"/>
              <w:bottom w:val="single" w:sz="8" w:space="0" w:color="C6D9F1"/>
              <w:right w:val="single" w:sz="8" w:space="0" w:color="376091"/>
            </w:tcBorders>
            <w:vAlign w:val="center"/>
          </w:tcPr>
          <w:p w14:paraId="1C36BDFC" w14:textId="67B152C4"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23.5</w:t>
            </w:r>
          </w:p>
        </w:tc>
      </w:tr>
      <w:tr w:rsidR="00831EED" w:rsidRPr="00E7630F" w14:paraId="724E6782" w14:textId="77777777" w:rsidTr="00831EED">
        <w:trPr>
          <w:trHeight w:val="113"/>
        </w:trPr>
        <w:tc>
          <w:tcPr>
            <w:tcW w:w="1843" w:type="dxa"/>
            <w:tcBorders>
              <w:top w:val="nil"/>
              <w:left w:val="single" w:sz="8" w:space="0" w:color="376091"/>
              <w:bottom w:val="single" w:sz="8" w:space="0" w:color="C6D9F1"/>
              <w:right w:val="single" w:sz="8" w:space="0" w:color="376091"/>
            </w:tcBorders>
            <w:shd w:val="clear" w:color="auto" w:fill="auto"/>
            <w:noWrap/>
            <w:vAlign w:val="center"/>
            <w:hideMark/>
          </w:tcPr>
          <w:p w14:paraId="0EA44B71" w14:textId="77777777" w:rsidR="00831EED" w:rsidRPr="00513E8F" w:rsidRDefault="00831EED" w:rsidP="00831EED">
            <w:pPr>
              <w:spacing w:after="0" w:line="240" w:lineRule="auto"/>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Chiapas</w:t>
            </w:r>
          </w:p>
        </w:tc>
        <w:tc>
          <w:tcPr>
            <w:tcW w:w="992" w:type="dxa"/>
            <w:tcBorders>
              <w:top w:val="nil"/>
              <w:left w:val="nil"/>
              <w:bottom w:val="single" w:sz="8" w:space="0" w:color="C6D9F1"/>
              <w:right w:val="single" w:sz="8" w:space="0" w:color="376091"/>
            </w:tcBorders>
            <w:shd w:val="clear" w:color="auto" w:fill="auto"/>
            <w:vAlign w:val="center"/>
            <w:hideMark/>
          </w:tcPr>
          <w:p w14:paraId="4FEED53D" w14:textId="45025097"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2,063,625</w:t>
            </w:r>
          </w:p>
        </w:tc>
        <w:tc>
          <w:tcPr>
            <w:tcW w:w="1110" w:type="dxa"/>
            <w:tcBorders>
              <w:top w:val="nil"/>
              <w:left w:val="nil"/>
              <w:bottom w:val="single" w:sz="8" w:space="0" w:color="C6D9F1"/>
              <w:right w:val="single" w:sz="8" w:space="0" w:color="376091"/>
            </w:tcBorders>
            <w:shd w:val="clear" w:color="auto" w:fill="auto"/>
            <w:vAlign w:val="center"/>
            <w:hideMark/>
          </w:tcPr>
          <w:p w14:paraId="18775EED" w14:textId="517A4424"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67,650</w:t>
            </w:r>
          </w:p>
        </w:tc>
        <w:tc>
          <w:tcPr>
            <w:tcW w:w="639" w:type="dxa"/>
            <w:tcBorders>
              <w:top w:val="nil"/>
              <w:left w:val="nil"/>
              <w:bottom w:val="single" w:sz="8" w:space="0" w:color="C6D9F1"/>
              <w:right w:val="single" w:sz="8" w:space="0" w:color="376091"/>
            </w:tcBorders>
            <w:shd w:val="clear" w:color="auto" w:fill="auto"/>
            <w:vAlign w:val="center"/>
            <w:hideMark/>
          </w:tcPr>
          <w:p w14:paraId="368174CD" w14:textId="227F4D48"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54.9</w:t>
            </w:r>
          </w:p>
        </w:tc>
        <w:tc>
          <w:tcPr>
            <w:tcW w:w="801" w:type="dxa"/>
            <w:tcBorders>
              <w:top w:val="nil"/>
              <w:left w:val="nil"/>
              <w:bottom w:val="single" w:sz="8" w:space="0" w:color="C6D9F1"/>
              <w:right w:val="single" w:sz="8" w:space="0" w:color="376091"/>
            </w:tcBorders>
            <w:shd w:val="clear" w:color="auto" w:fill="auto"/>
            <w:vAlign w:val="center"/>
            <w:hideMark/>
          </w:tcPr>
          <w:p w14:paraId="1F6AB9FC" w14:textId="779A0D65"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3.2</w:t>
            </w:r>
          </w:p>
        </w:tc>
        <w:tc>
          <w:tcPr>
            <w:tcW w:w="828" w:type="dxa"/>
            <w:tcBorders>
              <w:top w:val="nil"/>
              <w:left w:val="nil"/>
              <w:bottom w:val="single" w:sz="8" w:space="0" w:color="C6D9F1"/>
              <w:right w:val="single" w:sz="8" w:space="0" w:color="376091"/>
            </w:tcBorders>
            <w:shd w:val="clear" w:color="auto" w:fill="auto"/>
            <w:vAlign w:val="center"/>
            <w:hideMark/>
          </w:tcPr>
          <w:p w14:paraId="5C6DC665" w14:textId="7703BD51"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9.1</w:t>
            </w:r>
          </w:p>
        </w:tc>
        <w:tc>
          <w:tcPr>
            <w:tcW w:w="708" w:type="dxa"/>
            <w:tcBorders>
              <w:top w:val="nil"/>
              <w:left w:val="nil"/>
              <w:bottom w:val="single" w:sz="8" w:space="0" w:color="C6D9F1"/>
              <w:right w:val="single" w:sz="8" w:space="0" w:color="376091"/>
            </w:tcBorders>
            <w:shd w:val="clear" w:color="auto" w:fill="auto"/>
            <w:vAlign w:val="center"/>
            <w:hideMark/>
          </w:tcPr>
          <w:p w14:paraId="7A610653" w14:textId="63C92710"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9.9</w:t>
            </w:r>
          </w:p>
        </w:tc>
        <w:tc>
          <w:tcPr>
            <w:tcW w:w="709" w:type="dxa"/>
            <w:tcBorders>
              <w:top w:val="nil"/>
              <w:left w:val="nil"/>
              <w:bottom w:val="single" w:sz="8" w:space="0" w:color="C6D9F1"/>
              <w:right w:val="single" w:sz="8" w:space="0" w:color="376091"/>
            </w:tcBorders>
            <w:shd w:val="clear" w:color="auto" w:fill="auto"/>
            <w:vAlign w:val="center"/>
            <w:hideMark/>
          </w:tcPr>
          <w:p w14:paraId="773CA518" w14:textId="2B5645B5"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46.1</w:t>
            </w:r>
          </w:p>
        </w:tc>
        <w:tc>
          <w:tcPr>
            <w:tcW w:w="567" w:type="dxa"/>
            <w:tcBorders>
              <w:top w:val="nil"/>
              <w:left w:val="nil"/>
              <w:bottom w:val="single" w:sz="8" w:space="0" w:color="C6D9F1"/>
              <w:right w:val="single" w:sz="8" w:space="0" w:color="376091"/>
            </w:tcBorders>
            <w:shd w:val="clear" w:color="auto" w:fill="auto"/>
            <w:vAlign w:val="center"/>
            <w:hideMark/>
          </w:tcPr>
          <w:p w14:paraId="6C968F2A" w14:textId="16164B64"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15.0</w:t>
            </w:r>
          </w:p>
        </w:tc>
        <w:tc>
          <w:tcPr>
            <w:tcW w:w="851" w:type="dxa"/>
            <w:tcBorders>
              <w:top w:val="nil"/>
              <w:left w:val="nil"/>
              <w:bottom w:val="single" w:sz="8" w:space="0" w:color="C6D9F1"/>
              <w:right w:val="single" w:sz="8" w:space="0" w:color="376091"/>
            </w:tcBorders>
            <w:shd w:val="clear" w:color="auto" w:fill="auto"/>
            <w:vAlign w:val="center"/>
            <w:hideMark/>
          </w:tcPr>
          <w:p w14:paraId="66FF2B6D" w14:textId="53A3B488"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48.2</w:t>
            </w:r>
          </w:p>
        </w:tc>
        <w:tc>
          <w:tcPr>
            <w:tcW w:w="708" w:type="dxa"/>
            <w:tcBorders>
              <w:top w:val="nil"/>
              <w:left w:val="nil"/>
              <w:bottom w:val="single" w:sz="8" w:space="0" w:color="C6D9F1"/>
              <w:right w:val="single" w:sz="8" w:space="0" w:color="376091"/>
            </w:tcBorders>
            <w:shd w:val="clear" w:color="auto" w:fill="auto"/>
            <w:vAlign w:val="center"/>
            <w:hideMark/>
          </w:tcPr>
          <w:p w14:paraId="6631E776" w14:textId="38AD41AE"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74.2</w:t>
            </w:r>
          </w:p>
        </w:tc>
        <w:tc>
          <w:tcPr>
            <w:tcW w:w="709" w:type="dxa"/>
            <w:tcBorders>
              <w:top w:val="nil"/>
              <w:left w:val="nil"/>
              <w:bottom w:val="single" w:sz="8" w:space="0" w:color="C6D9F1"/>
              <w:right w:val="single" w:sz="8" w:space="0" w:color="376091"/>
            </w:tcBorders>
            <w:shd w:val="clear" w:color="auto" w:fill="auto"/>
            <w:vAlign w:val="center"/>
            <w:hideMark/>
          </w:tcPr>
          <w:p w14:paraId="2389852B" w14:textId="260CF5EA"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26.8</w:t>
            </w:r>
          </w:p>
        </w:tc>
        <w:tc>
          <w:tcPr>
            <w:tcW w:w="851" w:type="dxa"/>
            <w:tcBorders>
              <w:top w:val="nil"/>
              <w:left w:val="nil"/>
              <w:bottom w:val="single" w:sz="8" w:space="0" w:color="C6D9F1"/>
              <w:right w:val="single" w:sz="8" w:space="0" w:color="376091"/>
            </w:tcBorders>
            <w:vAlign w:val="center"/>
          </w:tcPr>
          <w:p w14:paraId="6DC67A4A" w14:textId="53AC7D85"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26.9</w:t>
            </w:r>
          </w:p>
        </w:tc>
      </w:tr>
      <w:tr w:rsidR="00831EED" w:rsidRPr="00E7630F" w14:paraId="3036FC0C" w14:textId="77777777" w:rsidTr="00831EED">
        <w:trPr>
          <w:trHeight w:val="113"/>
        </w:trPr>
        <w:tc>
          <w:tcPr>
            <w:tcW w:w="1843" w:type="dxa"/>
            <w:tcBorders>
              <w:top w:val="nil"/>
              <w:left w:val="single" w:sz="8" w:space="0" w:color="376091"/>
              <w:bottom w:val="single" w:sz="8" w:space="0" w:color="C6D9F1"/>
              <w:right w:val="single" w:sz="8" w:space="0" w:color="376091"/>
            </w:tcBorders>
            <w:shd w:val="clear" w:color="auto" w:fill="auto"/>
            <w:noWrap/>
            <w:vAlign w:val="center"/>
            <w:hideMark/>
          </w:tcPr>
          <w:p w14:paraId="44E5E588" w14:textId="77777777" w:rsidR="00831EED" w:rsidRPr="00513E8F" w:rsidRDefault="00831EED" w:rsidP="00831EED">
            <w:pPr>
              <w:spacing w:after="0" w:line="240" w:lineRule="auto"/>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Chihuahua</w:t>
            </w:r>
          </w:p>
        </w:tc>
        <w:tc>
          <w:tcPr>
            <w:tcW w:w="992" w:type="dxa"/>
            <w:tcBorders>
              <w:top w:val="nil"/>
              <w:left w:val="nil"/>
              <w:bottom w:val="single" w:sz="8" w:space="0" w:color="C6D9F1"/>
              <w:right w:val="single" w:sz="8" w:space="0" w:color="376091"/>
            </w:tcBorders>
            <w:shd w:val="clear" w:color="auto" w:fill="auto"/>
            <w:vAlign w:val="center"/>
            <w:hideMark/>
          </w:tcPr>
          <w:p w14:paraId="42A35D43" w14:textId="251CF245"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1,604,775</w:t>
            </w:r>
          </w:p>
        </w:tc>
        <w:tc>
          <w:tcPr>
            <w:tcW w:w="1110" w:type="dxa"/>
            <w:tcBorders>
              <w:top w:val="nil"/>
              <w:left w:val="nil"/>
              <w:bottom w:val="single" w:sz="8" w:space="0" w:color="C6D9F1"/>
              <w:right w:val="single" w:sz="8" w:space="0" w:color="376091"/>
            </w:tcBorders>
            <w:shd w:val="clear" w:color="auto" w:fill="auto"/>
            <w:vAlign w:val="center"/>
            <w:hideMark/>
          </w:tcPr>
          <w:p w14:paraId="103D986D" w14:textId="703D74B2"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66,439</w:t>
            </w:r>
          </w:p>
        </w:tc>
        <w:tc>
          <w:tcPr>
            <w:tcW w:w="639" w:type="dxa"/>
            <w:tcBorders>
              <w:top w:val="nil"/>
              <w:left w:val="nil"/>
              <w:bottom w:val="single" w:sz="8" w:space="0" w:color="C6D9F1"/>
              <w:right w:val="single" w:sz="8" w:space="0" w:color="376091"/>
            </w:tcBorders>
            <w:shd w:val="clear" w:color="auto" w:fill="auto"/>
            <w:vAlign w:val="center"/>
            <w:hideMark/>
          </w:tcPr>
          <w:p w14:paraId="260D5335" w14:textId="67E99C0C"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58.6</w:t>
            </w:r>
          </w:p>
        </w:tc>
        <w:tc>
          <w:tcPr>
            <w:tcW w:w="801" w:type="dxa"/>
            <w:tcBorders>
              <w:top w:val="nil"/>
              <w:left w:val="nil"/>
              <w:bottom w:val="single" w:sz="8" w:space="0" w:color="C6D9F1"/>
              <w:right w:val="single" w:sz="8" w:space="0" w:color="376091"/>
            </w:tcBorders>
            <w:shd w:val="clear" w:color="auto" w:fill="auto"/>
            <w:vAlign w:val="center"/>
            <w:hideMark/>
          </w:tcPr>
          <w:p w14:paraId="683DE846" w14:textId="11F24584"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4.0</w:t>
            </w:r>
          </w:p>
        </w:tc>
        <w:tc>
          <w:tcPr>
            <w:tcW w:w="828" w:type="dxa"/>
            <w:tcBorders>
              <w:top w:val="nil"/>
              <w:left w:val="nil"/>
              <w:bottom w:val="single" w:sz="8" w:space="0" w:color="C6D9F1"/>
              <w:right w:val="single" w:sz="8" w:space="0" w:color="376091"/>
            </w:tcBorders>
            <w:shd w:val="clear" w:color="auto" w:fill="auto"/>
            <w:vAlign w:val="center"/>
            <w:hideMark/>
          </w:tcPr>
          <w:p w14:paraId="2A04C555" w14:textId="37D963AF"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8.5</w:t>
            </w:r>
          </w:p>
        </w:tc>
        <w:tc>
          <w:tcPr>
            <w:tcW w:w="708" w:type="dxa"/>
            <w:tcBorders>
              <w:top w:val="nil"/>
              <w:left w:val="nil"/>
              <w:bottom w:val="single" w:sz="8" w:space="0" w:color="C6D9F1"/>
              <w:right w:val="single" w:sz="8" w:space="0" w:color="376091"/>
            </w:tcBorders>
            <w:shd w:val="clear" w:color="auto" w:fill="auto"/>
            <w:vAlign w:val="center"/>
            <w:hideMark/>
          </w:tcPr>
          <w:p w14:paraId="14132A0B" w14:textId="7A2B5313"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7.4</w:t>
            </w:r>
          </w:p>
        </w:tc>
        <w:tc>
          <w:tcPr>
            <w:tcW w:w="709" w:type="dxa"/>
            <w:tcBorders>
              <w:top w:val="nil"/>
              <w:left w:val="nil"/>
              <w:bottom w:val="single" w:sz="8" w:space="0" w:color="C6D9F1"/>
              <w:right w:val="single" w:sz="8" w:space="0" w:color="376091"/>
            </w:tcBorders>
            <w:shd w:val="clear" w:color="auto" w:fill="auto"/>
            <w:vAlign w:val="center"/>
            <w:hideMark/>
          </w:tcPr>
          <w:p w14:paraId="3E40AB82" w14:textId="1BEFC49D"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75.2</w:t>
            </w:r>
          </w:p>
        </w:tc>
        <w:tc>
          <w:tcPr>
            <w:tcW w:w="567" w:type="dxa"/>
            <w:tcBorders>
              <w:top w:val="nil"/>
              <w:left w:val="nil"/>
              <w:bottom w:val="single" w:sz="8" w:space="0" w:color="C6D9F1"/>
              <w:right w:val="single" w:sz="8" w:space="0" w:color="376091"/>
            </w:tcBorders>
            <w:shd w:val="clear" w:color="auto" w:fill="auto"/>
            <w:vAlign w:val="center"/>
            <w:hideMark/>
          </w:tcPr>
          <w:p w14:paraId="520066F4" w14:textId="0A6100A8"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7.5</w:t>
            </w:r>
          </w:p>
        </w:tc>
        <w:tc>
          <w:tcPr>
            <w:tcW w:w="851" w:type="dxa"/>
            <w:tcBorders>
              <w:top w:val="nil"/>
              <w:left w:val="nil"/>
              <w:bottom w:val="single" w:sz="8" w:space="0" w:color="C6D9F1"/>
              <w:right w:val="single" w:sz="8" w:space="0" w:color="376091"/>
            </w:tcBorders>
            <w:shd w:val="clear" w:color="auto" w:fill="auto"/>
            <w:vAlign w:val="center"/>
            <w:hideMark/>
          </w:tcPr>
          <w:p w14:paraId="747A787A" w14:textId="5BC71BD3"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23.5</w:t>
            </w:r>
          </w:p>
        </w:tc>
        <w:tc>
          <w:tcPr>
            <w:tcW w:w="708" w:type="dxa"/>
            <w:tcBorders>
              <w:top w:val="nil"/>
              <w:left w:val="nil"/>
              <w:bottom w:val="single" w:sz="8" w:space="0" w:color="C6D9F1"/>
              <w:right w:val="single" w:sz="8" w:space="0" w:color="376091"/>
            </w:tcBorders>
            <w:shd w:val="clear" w:color="auto" w:fill="auto"/>
            <w:vAlign w:val="center"/>
            <w:hideMark/>
          </w:tcPr>
          <w:p w14:paraId="196CD85C" w14:textId="4C0088E7"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34.3</w:t>
            </w:r>
          </w:p>
        </w:tc>
        <w:tc>
          <w:tcPr>
            <w:tcW w:w="709" w:type="dxa"/>
            <w:tcBorders>
              <w:top w:val="nil"/>
              <w:left w:val="nil"/>
              <w:bottom w:val="single" w:sz="8" w:space="0" w:color="C6D9F1"/>
              <w:right w:val="single" w:sz="8" w:space="0" w:color="376091"/>
            </w:tcBorders>
            <w:shd w:val="clear" w:color="auto" w:fill="auto"/>
            <w:vAlign w:val="center"/>
            <w:hideMark/>
          </w:tcPr>
          <w:p w14:paraId="7FB4F498" w14:textId="12DBD079"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14.6</w:t>
            </w:r>
          </w:p>
        </w:tc>
        <w:tc>
          <w:tcPr>
            <w:tcW w:w="851" w:type="dxa"/>
            <w:tcBorders>
              <w:top w:val="nil"/>
              <w:left w:val="nil"/>
              <w:bottom w:val="single" w:sz="8" w:space="0" w:color="C6D9F1"/>
              <w:right w:val="single" w:sz="8" w:space="0" w:color="376091"/>
            </w:tcBorders>
            <w:vAlign w:val="center"/>
          </w:tcPr>
          <w:p w14:paraId="5C186DBE" w14:textId="527F2931"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21.3</w:t>
            </w:r>
          </w:p>
        </w:tc>
      </w:tr>
      <w:tr w:rsidR="00831EED" w:rsidRPr="00E7630F" w14:paraId="00EA740C" w14:textId="77777777" w:rsidTr="00831EED">
        <w:trPr>
          <w:trHeight w:val="113"/>
        </w:trPr>
        <w:tc>
          <w:tcPr>
            <w:tcW w:w="1843" w:type="dxa"/>
            <w:tcBorders>
              <w:top w:val="nil"/>
              <w:left w:val="single" w:sz="8" w:space="0" w:color="376091"/>
              <w:bottom w:val="single" w:sz="8" w:space="0" w:color="C6D9F1"/>
              <w:right w:val="single" w:sz="8" w:space="0" w:color="376091"/>
            </w:tcBorders>
            <w:shd w:val="clear" w:color="auto" w:fill="auto"/>
            <w:noWrap/>
            <w:vAlign w:val="center"/>
            <w:hideMark/>
          </w:tcPr>
          <w:p w14:paraId="48703306" w14:textId="77777777" w:rsidR="00831EED" w:rsidRPr="00513E8F" w:rsidRDefault="00831EED" w:rsidP="00831EED">
            <w:pPr>
              <w:spacing w:after="0" w:line="240" w:lineRule="auto"/>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Ciudad de México</w:t>
            </w:r>
          </w:p>
        </w:tc>
        <w:tc>
          <w:tcPr>
            <w:tcW w:w="992" w:type="dxa"/>
            <w:tcBorders>
              <w:top w:val="nil"/>
              <w:left w:val="nil"/>
              <w:bottom w:val="single" w:sz="8" w:space="0" w:color="C6D9F1"/>
              <w:right w:val="single" w:sz="8" w:space="0" w:color="376091"/>
            </w:tcBorders>
            <w:shd w:val="clear" w:color="auto" w:fill="auto"/>
            <w:vAlign w:val="center"/>
            <w:hideMark/>
          </w:tcPr>
          <w:p w14:paraId="13623EC8" w14:textId="2E3F4A5D"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3,870,454</w:t>
            </w:r>
          </w:p>
        </w:tc>
        <w:tc>
          <w:tcPr>
            <w:tcW w:w="1110" w:type="dxa"/>
            <w:tcBorders>
              <w:top w:val="nil"/>
              <w:left w:val="nil"/>
              <w:bottom w:val="single" w:sz="8" w:space="0" w:color="C6D9F1"/>
              <w:right w:val="single" w:sz="8" w:space="0" w:color="376091"/>
            </w:tcBorders>
            <w:shd w:val="clear" w:color="auto" w:fill="auto"/>
            <w:vAlign w:val="center"/>
            <w:hideMark/>
          </w:tcPr>
          <w:p w14:paraId="3B0F2AB7" w14:textId="2C737186"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305,203</w:t>
            </w:r>
          </w:p>
        </w:tc>
        <w:tc>
          <w:tcPr>
            <w:tcW w:w="639" w:type="dxa"/>
            <w:tcBorders>
              <w:top w:val="nil"/>
              <w:left w:val="nil"/>
              <w:bottom w:val="single" w:sz="8" w:space="0" w:color="C6D9F1"/>
              <w:right w:val="single" w:sz="8" w:space="0" w:color="376091"/>
            </w:tcBorders>
            <w:shd w:val="clear" w:color="auto" w:fill="auto"/>
            <w:vAlign w:val="center"/>
            <w:hideMark/>
          </w:tcPr>
          <w:p w14:paraId="4FE680D3" w14:textId="47094B2E"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53.9</w:t>
            </w:r>
          </w:p>
        </w:tc>
        <w:tc>
          <w:tcPr>
            <w:tcW w:w="801" w:type="dxa"/>
            <w:tcBorders>
              <w:top w:val="nil"/>
              <w:left w:val="nil"/>
              <w:bottom w:val="single" w:sz="8" w:space="0" w:color="C6D9F1"/>
              <w:right w:val="single" w:sz="8" w:space="0" w:color="376091"/>
            </w:tcBorders>
            <w:shd w:val="clear" w:color="auto" w:fill="auto"/>
            <w:vAlign w:val="center"/>
            <w:hideMark/>
          </w:tcPr>
          <w:p w14:paraId="58E91064" w14:textId="7982C0FE"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7.3</w:t>
            </w:r>
          </w:p>
        </w:tc>
        <w:tc>
          <w:tcPr>
            <w:tcW w:w="828" w:type="dxa"/>
            <w:tcBorders>
              <w:top w:val="nil"/>
              <w:left w:val="nil"/>
              <w:bottom w:val="single" w:sz="8" w:space="0" w:color="C6D9F1"/>
              <w:right w:val="single" w:sz="8" w:space="0" w:color="376091"/>
            </w:tcBorders>
            <w:shd w:val="clear" w:color="auto" w:fill="auto"/>
            <w:vAlign w:val="center"/>
            <w:hideMark/>
          </w:tcPr>
          <w:p w14:paraId="0026C232" w14:textId="3E69819B"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13.8</w:t>
            </w:r>
          </w:p>
        </w:tc>
        <w:tc>
          <w:tcPr>
            <w:tcW w:w="708" w:type="dxa"/>
            <w:tcBorders>
              <w:top w:val="nil"/>
              <w:left w:val="nil"/>
              <w:bottom w:val="single" w:sz="8" w:space="0" w:color="C6D9F1"/>
              <w:right w:val="single" w:sz="8" w:space="0" w:color="376091"/>
            </w:tcBorders>
            <w:shd w:val="clear" w:color="auto" w:fill="auto"/>
            <w:vAlign w:val="center"/>
            <w:hideMark/>
          </w:tcPr>
          <w:p w14:paraId="69F4A0EC" w14:textId="749E02F8"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12.0</w:t>
            </w:r>
          </w:p>
        </w:tc>
        <w:tc>
          <w:tcPr>
            <w:tcW w:w="709" w:type="dxa"/>
            <w:tcBorders>
              <w:top w:val="nil"/>
              <w:left w:val="nil"/>
              <w:bottom w:val="single" w:sz="8" w:space="0" w:color="C6D9F1"/>
              <w:right w:val="single" w:sz="8" w:space="0" w:color="376091"/>
            </w:tcBorders>
            <w:shd w:val="clear" w:color="auto" w:fill="auto"/>
            <w:vAlign w:val="center"/>
            <w:hideMark/>
          </w:tcPr>
          <w:p w14:paraId="68CE76BE" w14:textId="205CB44B"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70.5</w:t>
            </w:r>
          </w:p>
        </w:tc>
        <w:tc>
          <w:tcPr>
            <w:tcW w:w="567" w:type="dxa"/>
            <w:tcBorders>
              <w:top w:val="nil"/>
              <w:left w:val="nil"/>
              <w:bottom w:val="single" w:sz="8" w:space="0" w:color="C6D9F1"/>
              <w:right w:val="single" w:sz="8" w:space="0" w:color="376091"/>
            </w:tcBorders>
            <w:shd w:val="clear" w:color="auto" w:fill="auto"/>
            <w:vAlign w:val="center"/>
            <w:hideMark/>
          </w:tcPr>
          <w:p w14:paraId="53AE4CA9" w14:textId="2AF65787"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22.0</w:t>
            </w:r>
          </w:p>
        </w:tc>
        <w:tc>
          <w:tcPr>
            <w:tcW w:w="851" w:type="dxa"/>
            <w:tcBorders>
              <w:top w:val="nil"/>
              <w:left w:val="nil"/>
              <w:bottom w:val="single" w:sz="8" w:space="0" w:color="C6D9F1"/>
              <w:right w:val="single" w:sz="8" w:space="0" w:color="376091"/>
            </w:tcBorders>
            <w:shd w:val="clear" w:color="auto" w:fill="auto"/>
            <w:vAlign w:val="center"/>
            <w:hideMark/>
          </w:tcPr>
          <w:p w14:paraId="60BFCFFA" w14:textId="61E181FF"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26.3</w:t>
            </w:r>
          </w:p>
        </w:tc>
        <w:tc>
          <w:tcPr>
            <w:tcW w:w="708" w:type="dxa"/>
            <w:tcBorders>
              <w:top w:val="nil"/>
              <w:left w:val="nil"/>
              <w:bottom w:val="single" w:sz="8" w:space="0" w:color="C6D9F1"/>
              <w:right w:val="single" w:sz="8" w:space="0" w:color="376091"/>
            </w:tcBorders>
            <w:shd w:val="clear" w:color="auto" w:fill="auto"/>
            <w:vAlign w:val="center"/>
            <w:hideMark/>
          </w:tcPr>
          <w:p w14:paraId="399A88D5" w14:textId="28511C3C"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46.4</w:t>
            </w:r>
          </w:p>
        </w:tc>
        <w:tc>
          <w:tcPr>
            <w:tcW w:w="709" w:type="dxa"/>
            <w:tcBorders>
              <w:top w:val="nil"/>
              <w:left w:val="nil"/>
              <w:bottom w:val="single" w:sz="8" w:space="0" w:color="C6D9F1"/>
              <w:right w:val="single" w:sz="8" w:space="0" w:color="376091"/>
            </w:tcBorders>
            <w:shd w:val="clear" w:color="auto" w:fill="auto"/>
            <w:vAlign w:val="center"/>
            <w:hideMark/>
          </w:tcPr>
          <w:p w14:paraId="78801324" w14:textId="181252AC"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29.3</w:t>
            </w:r>
          </w:p>
        </w:tc>
        <w:tc>
          <w:tcPr>
            <w:tcW w:w="851" w:type="dxa"/>
            <w:tcBorders>
              <w:top w:val="nil"/>
              <w:left w:val="nil"/>
              <w:bottom w:val="single" w:sz="8" w:space="0" w:color="C6D9F1"/>
              <w:right w:val="single" w:sz="8" w:space="0" w:color="376091"/>
            </w:tcBorders>
            <w:vAlign w:val="center"/>
          </w:tcPr>
          <w:p w14:paraId="646B3C05" w14:textId="4BCB667C"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41.8</w:t>
            </w:r>
          </w:p>
        </w:tc>
      </w:tr>
      <w:tr w:rsidR="00831EED" w:rsidRPr="00E7630F" w14:paraId="6C4495D2" w14:textId="77777777" w:rsidTr="00831EED">
        <w:trPr>
          <w:trHeight w:val="113"/>
        </w:trPr>
        <w:tc>
          <w:tcPr>
            <w:tcW w:w="1843" w:type="dxa"/>
            <w:tcBorders>
              <w:top w:val="nil"/>
              <w:left w:val="single" w:sz="8" w:space="0" w:color="376091"/>
              <w:bottom w:val="single" w:sz="8" w:space="0" w:color="C6D9F1"/>
              <w:right w:val="single" w:sz="8" w:space="0" w:color="376091"/>
            </w:tcBorders>
            <w:shd w:val="clear" w:color="auto" w:fill="auto"/>
            <w:noWrap/>
            <w:vAlign w:val="center"/>
            <w:hideMark/>
          </w:tcPr>
          <w:p w14:paraId="3D7296DF" w14:textId="77777777" w:rsidR="00831EED" w:rsidRPr="00513E8F" w:rsidRDefault="00831EED" w:rsidP="00831EED">
            <w:pPr>
              <w:spacing w:after="0" w:line="240" w:lineRule="auto"/>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Durango</w:t>
            </w:r>
          </w:p>
        </w:tc>
        <w:tc>
          <w:tcPr>
            <w:tcW w:w="992" w:type="dxa"/>
            <w:tcBorders>
              <w:top w:val="nil"/>
              <w:left w:val="nil"/>
              <w:bottom w:val="single" w:sz="8" w:space="0" w:color="C6D9F1"/>
              <w:right w:val="single" w:sz="8" w:space="0" w:color="376091"/>
            </w:tcBorders>
            <w:shd w:val="clear" w:color="auto" w:fill="auto"/>
            <w:vAlign w:val="center"/>
            <w:hideMark/>
          </w:tcPr>
          <w:p w14:paraId="7012D0C9" w14:textId="65A730E1"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770,229</w:t>
            </w:r>
          </w:p>
        </w:tc>
        <w:tc>
          <w:tcPr>
            <w:tcW w:w="1110" w:type="dxa"/>
            <w:tcBorders>
              <w:top w:val="nil"/>
              <w:left w:val="nil"/>
              <w:bottom w:val="single" w:sz="8" w:space="0" w:color="C6D9F1"/>
              <w:right w:val="single" w:sz="8" w:space="0" w:color="376091"/>
            </w:tcBorders>
            <w:shd w:val="clear" w:color="auto" w:fill="auto"/>
            <w:vAlign w:val="center"/>
            <w:hideMark/>
          </w:tcPr>
          <w:p w14:paraId="1CE0AA47" w14:textId="74A14CEA"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33,348</w:t>
            </w:r>
          </w:p>
        </w:tc>
        <w:tc>
          <w:tcPr>
            <w:tcW w:w="639" w:type="dxa"/>
            <w:tcBorders>
              <w:top w:val="nil"/>
              <w:left w:val="nil"/>
              <w:bottom w:val="single" w:sz="8" w:space="0" w:color="C6D9F1"/>
              <w:right w:val="single" w:sz="8" w:space="0" w:color="376091"/>
            </w:tcBorders>
            <w:shd w:val="clear" w:color="auto" w:fill="auto"/>
            <w:vAlign w:val="center"/>
            <w:hideMark/>
          </w:tcPr>
          <w:p w14:paraId="71F137FD" w14:textId="7A617BE5"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58.7</w:t>
            </w:r>
          </w:p>
        </w:tc>
        <w:tc>
          <w:tcPr>
            <w:tcW w:w="801" w:type="dxa"/>
            <w:tcBorders>
              <w:top w:val="nil"/>
              <w:left w:val="nil"/>
              <w:bottom w:val="single" w:sz="8" w:space="0" w:color="C6D9F1"/>
              <w:right w:val="single" w:sz="8" w:space="0" w:color="376091"/>
            </w:tcBorders>
            <w:shd w:val="clear" w:color="auto" w:fill="auto"/>
            <w:vAlign w:val="center"/>
            <w:hideMark/>
          </w:tcPr>
          <w:p w14:paraId="4DFDC8B7" w14:textId="5385C1A1"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4.1</w:t>
            </w:r>
          </w:p>
        </w:tc>
        <w:tc>
          <w:tcPr>
            <w:tcW w:w="828" w:type="dxa"/>
            <w:tcBorders>
              <w:top w:val="nil"/>
              <w:left w:val="nil"/>
              <w:bottom w:val="single" w:sz="8" w:space="0" w:color="C6D9F1"/>
              <w:right w:val="single" w:sz="8" w:space="0" w:color="376091"/>
            </w:tcBorders>
            <w:shd w:val="clear" w:color="auto" w:fill="auto"/>
            <w:vAlign w:val="center"/>
            <w:hideMark/>
          </w:tcPr>
          <w:p w14:paraId="1C09EC39" w14:textId="47E09AC8"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12.1</w:t>
            </w:r>
          </w:p>
        </w:tc>
        <w:tc>
          <w:tcPr>
            <w:tcW w:w="708" w:type="dxa"/>
            <w:tcBorders>
              <w:top w:val="nil"/>
              <w:left w:val="nil"/>
              <w:bottom w:val="single" w:sz="8" w:space="0" w:color="C6D9F1"/>
              <w:right w:val="single" w:sz="8" w:space="0" w:color="376091"/>
            </w:tcBorders>
            <w:shd w:val="clear" w:color="auto" w:fill="auto"/>
            <w:vAlign w:val="center"/>
            <w:hideMark/>
          </w:tcPr>
          <w:p w14:paraId="43B81515" w14:textId="7BEDAD6B"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9.0</w:t>
            </w:r>
          </w:p>
        </w:tc>
        <w:tc>
          <w:tcPr>
            <w:tcW w:w="709" w:type="dxa"/>
            <w:tcBorders>
              <w:top w:val="nil"/>
              <w:left w:val="nil"/>
              <w:bottom w:val="single" w:sz="8" w:space="0" w:color="C6D9F1"/>
              <w:right w:val="single" w:sz="8" w:space="0" w:color="376091"/>
            </w:tcBorders>
            <w:shd w:val="clear" w:color="auto" w:fill="auto"/>
            <w:vAlign w:val="center"/>
            <w:hideMark/>
          </w:tcPr>
          <w:p w14:paraId="080DA052" w14:textId="1B5C3AB1"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68.5</w:t>
            </w:r>
          </w:p>
        </w:tc>
        <w:tc>
          <w:tcPr>
            <w:tcW w:w="567" w:type="dxa"/>
            <w:tcBorders>
              <w:top w:val="nil"/>
              <w:left w:val="nil"/>
              <w:bottom w:val="single" w:sz="8" w:space="0" w:color="C6D9F1"/>
              <w:right w:val="single" w:sz="8" w:space="0" w:color="376091"/>
            </w:tcBorders>
            <w:shd w:val="clear" w:color="auto" w:fill="auto"/>
            <w:vAlign w:val="center"/>
            <w:hideMark/>
          </w:tcPr>
          <w:p w14:paraId="0DCC2D87" w14:textId="2529EB4D"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9.1</w:t>
            </w:r>
          </w:p>
        </w:tc>
        <w:tc>
          <w:tcPr>
            <w:tcW w:w="851" w:type="dxa"/>
            <w:tcBorders>
              <w:top w:val="nil"/>
              <w:left w:val="nil"/>
              <w:bottom w:val="single" w:sz="8" w:space="0" w:color="C6D9F1"/>
              <w:right w:val="single" w:sz="8" w:space="0" w:color="376091"/>
            </w:tcBorders>
            <w:shd w:val="clear" w:color="auto" w:fill="auto"/>
            <w:vAlign w:val="center"/>
            <w:hideMark/>
          </w:tcPr>
          <w:p w14:paraId="6CFB4F4F" w14:textId="03488399"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24.8</w:t>
            </w:r>
          </w:p>
        </w:tc>
        <w:tc>
          <w:tcPr>
            <w:tcW w:w="708" w:type="dxa"/>
            <w:tcBorders>
              <w:top w:val="nil"/>
              <w:left w:val="nil"/>
              <w:bottom w:val="single" w:sz="8" w:space="0" w:color="C6D9F1"/>
              <w:right w:val="single" w:sz="8" w:space="0" w:color="376091"/>
            </w:tcBorders>
            <w:shd w:val="clear" w:color="auto" w:fill="auto"/>
            <w:vAlign w:val="center"/>
            <w:hideMark/>
          </w:tcPr>
          <w:p w14:paraId="001E7D8B" w14:textId="1998141E"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53.1</w:t>
            </w:r>
          </w:p>
        </w:tc>
        <w:tc>
          <w:tcPr>
            <w:tcW w:w="709" w:type="dxa"/>
            <w:tcBorders>
              <w:top w:val="nil"/>
              <w:left w:val="nil"/>
              <w:bottom w:val="single" w:sz="8" w:space="0" w:color="C6D9F1"/>
              <w:right w:val="single" w:sz="8" w:space="0" w:color="376091"/>
            </w:tcBorders>
            <w:shd w:val="clear" w:color="auto" w:fill="auto"/>
            <w:vAlign w:val="center"/>
            <w:hideMark/>
          </w:tcPr>
          <w:p w14:paraId="2CC2EA14" w14:textId="4D13E2F4"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27.0</w:t>
            </w:r>
          </w:p>
        </w:tc>
        <w:tc>
          <w:tcPr>
            <w:tcW w:w="851" w:type="dxa"/>
            <w:tcBorders>
              <w:top w:val="nil"/>
              <w:left w:val="nil"/>
              <w:bottom w:val="single" w:sz="8" w:space="0" w:color="C6D9F1"/>
              <w:right w:val="single" w:sz="8" w:space="0" w:color="376091"/>
            </w:tcBorders>
            <w:vAlign w:val="center"/>
          </w:tcPr>
          <w:p w14:paraId="4C9ADE07" w14:textId="24EB95D6"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24.0</w:t>
            </w:r>
          </w:p>
        </w:tc>
      </w:tr>
      <w:tr w:rsidR="00831EED" w:rsidRPr="00E7630F" w14:paraId="708CF904" w14:textId="77777777" w:rsidTr="00831EED">
        <w:trPr>
          <w:trHeight w:val="113"/>
        </w:trPr>
        <w:tc>
          <w:tcPr>
            <w:tcW w:w="1843" w:type="dxa"/>
            <w:tcBorders>
              <w:top w:val="nil"/>
              <w:left w:val="single" w:sz="8" w:space="0" w:color="376091"/>
              <w:bottom w:val="single" w:sz="8" w:space="0" w:color="C6D9F1"/>
              <w:right w:val="single" w:sz="8" w:space="0" w:color="376091"/>
            </w:tcBorders>
            <w:shd w:val="clear" w:color="auto" w:fill="auto"/>
            <w:noWrap/>
            <w:vAlign w:val="center"/>
            <w:hideMark/>
          </w:tcPr>
          <w:p w14:paraId="1E348CFB" w14:textId="77777777" w:rsidR="00831EED" w:rsidRPr="00513E8F" w:rsidRDefault="00831EED" w:rsidP="00831EED">
            <w:pPr>
              <w:spacing w:after="0" w:line="240" w:lineRule="auto"/>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Guanajuato</w:t>
            </w:r>
          </w:p>
        </w:tc>
        <w:tc>
          <w:tcPr>
            <w:tcW w:w="992" w:type="dxa"/>
            <w:tcBorders>
              <w:top w:val="nil"/>
              <w:left w:val="nil"/>
              <w:bottom w:val="single" w:sz="8" w:space="0" w:color="C6D9F1"/>
              <w:right w:val="single" w:sz="8" w:space="0" w:color="376091"/>
            </w:tcBorders>
            <w:shd w:val="clear" w:color="auto" w:fill="auto"/>
            <w:vAlign w:val="center"/>
            <w:hideMark/>
          </w:tcPr>
          <w:p w14:paraId="61113E0A" w14:textId="3838D9DB"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2,525,622</w:t>
            </w:r>
          </w:p>
        </w:tc>
        <w:tc>
          <w:tcPr>
            <w:tcW w:w="1110" w:type="dxa"/>
            <w:tcBorders>
              <w:top w:val="nil"/>
              <w:left w:val="nil"/>
              <w:bottom w:val="single" w:sz="8" w:space="0" w:color="C6D9F1"/>
              <w:right w:val="single" w:sz="8" w:space="0" w:color="376091"/>
            </w:tcBorders>
            <w:shd w:val="clear" w:color="auto" w:fill="auto"/>
            <w:vAlign w:val="center"/>
            <w:hideMark/>
          </w:tcPr>
          <w:p w14:paraId="6D86030F" w14:textId="45BE9CCC"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158,700</w:t>
            </w:r>
          </w:p>
        </w:tc>
        <w:tc>
          <w:tcPr>
            <w:tcW w:w="639" w:type="dxa"/>
            <w:tcBorders>
              <w:top w:val="nil"/>
              <w:left w:val="nil"/>
              <w:bottom w:val="single" w:sz="8" w:space="0" w:color="C6D9F1"/>
              <w:right w:val="single" w:sz="8" w:space="0" w:color="376091"/>
            </w:tcBorders>
            <w:shd w:val="clear" w:color="auto" w:fill="auto"/>
            <w:vAlign w:val="center"/>
            <w:hideMark/>
          </w:tcPr>
          <w:p w14:paraId="49305933" w14:textId="4A042A17"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58.2</w:t>
            </w:r>
          </w:p>
        </w:tc>
        <w:tc>
          <w:tcPr>
            <w:tcW w:w="801" w:type="dxa"/>
            <w:tcBorders>
              <w:top w:val="nil"/>
              <w:left w:val="nil"/>
              <w:bottom w:val="single" w:sz="8" w:space="0" w:color="C6D9F1"/>
              <w:right w:val="single" w:sz="8" w:space="0" w:color="376091"/>
            </w:tcBorders>
            <w:shd w:val="clear" w:color="auto" w:fill="auto"/>
            <w:vAlign w:val="center"/>
            <w:hideMark/>
          </w:tcPr>
          <w:p w14:paraId="5EDAD204" w14:textId="60E82D56"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5.9</w:t>
            </w:r>
          </w:p>
        </w:tc>
        <w:tc>
          <w:tcPr>
            <w:tcW w:w="828" w:type="dxa"/>
            <w:tcBorders>
              <w:top w:val="nil"/>
              <w:left w:val="nil"/>
              <w:bottom w:val="single" w:sz="8" w:space="0" w:color="C6D9F1"/>
              <w:right w:val="single" w:sz="8" w:space="0" w:color="376091"/>
            </w:tcBorders>
            <w:shd w:val="clear" w:color="auto" w:fill="auto"/>
            <w:vAlign w:val="center"/>
            <w:hideMark/>
          </w:tcPr>
          <w:p w14:paraId="0BB7D127" w14:textId="593DE6D1"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13.0</w:t>
            </w:r>
          </w:p>
        </w:tc>
        <w:tc>
          <w:tcPr>
            <w:tcW w:w="708" w:type="dxa"/>
            <w:tcBorders>
              <w:top w:val="nil"/>
              <w:left w:val="nil"/>
              <w:bottom w:val="single" w:sz="8" w:space="0" w:color="C6D9F1"/>
              <w:right w:val="single" w:sz="8" w:space="0" w:color="376091"/>
            </w:tcBorders>
            <w:shd w:val="clear" w:color="auto" w:fill="auto"/>
            <w:vAlign w:val="center"/>
            <w:hideMark/>
          </w:tcPr>
          <w:p w14:paraId="25DF75A6" w14:textId="66C028B8"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9.1</w:t>
            </w:r>
          </w:p>
        </w:tc>
        <w:tc>
          <w:tcPr>
            <w:tcW w:w="709" w:type="dxa"/>
            <w:tcBorders>
              <w:top w:val="nil"/>
              <w:left w:val="nil"/>
              <w:bottom w:val="single" w:sz="8" w:space="0" w:color="C6D9F1"/>
              <w:right w:val="single" w:sz="8" w:space="0" w:color="376091"/>
            </w:tcBorders>
            <w:shd w:val="clear" w:color="auto" w:fill="auto"/>
            <w:vAlign w:val="center"/>
            <w:hideMark/>
          </w:tcPr>
          <w:p w14:paraId="08B128CA" w14:textId="5D4B17F7"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69.6</w:t>
            </w:r>
          </w:p>
        </w:tc>
        <w:tc>
          <w:tcPr>
            <w:tcW w:w="567" w:type="dxa"/>
            <w:tcBorders>
              <w:top w:val="nil"/>
              <w:left w:val="nil"/>
              <w:bottom w:val="single" w:sz="8" w:space="0" w:color="C6D9F1"/>
              <w:right w:val="single" w:sz="8" w:space="0" w:color="376091"/>
            </w:tcBorders>
            <w:shd w:val="clear" w:color="auto" w:fill="auto"/>
            <w:vAlign w:val="center"/>
            <w:hideMark/>
          </w:tcPr>
          <w:p w14:paraId="0F768BCD" w14:textId="3FC3DF42"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17.9</w:t>
            </w:r>
          </w:p>
        </w:tc>
        <w:tc>
          <w:tcPr>
            <w:tcW w:w="851" w:type="dxa"/>
            <w:tcBorders>
              <w:top w:val="nil"/>
              <w:left w:val="nil"/>
              <w:bottom w:val="single" w:sz="8" w:space="0" w:color="C6D9F1"/>
              <w:right w:val="single" w:sz="8" w:space="0" w:color="376091"/>
            </w:tcBorders>
            <w:shd w:val="clear" w:color="auto" w:fill="auto"/>
            <w:vAlign w:val="center"/>
            <w:hideMark/>
          </w:tcPr>
          <w:p w14:paraId="51DDF6B6" w14:textId="5F4EAA94"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25.9</w:t>
            </w:r>
          </w:p>
        </w:tc>
        <w:tc>
          <w:tcPr>
            <w:tcW w:w="708" w:type="dxa"/>
            <w:tcBorders>
              <w:top w:val="nil"/>
              <w:left w:val="nil"/>
              <w:bottom w:val="single" w:sz="8" w:space="0" w:color="C6D9F1"/>
              <w:right w:val="single" w:sz="8" w:space="0" w:color="376091"/>
            </w:tcBorders>
            <w:shd w:val="clear" w:color="auto" w:fill="auto"/>
            <w:vAlign w:val="center"/>
            <w:hideMark/>
          </w:tcPr>
          <w:p w14:paraId="4B4E89A5" w14:textId="6CB65CBB"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55.1</w:t>
            </w:r>
          </w:p>
        </w:tc>
        <w:tc>
          <w:tcPr>
            <w:tcW w:w="709" w:type="dxa"/>
            <w:tcBorders>
              <w:top w:val="nil"/>
              <w:left w:val="nil"/>
              <w:bottom w:val="single" w:sz="8" w:space="0" w:color="C6D9F1"/>
              <w:right w:val="single" w:sz="8" w:space="0" w:color="376091"/>
            </w:tcBorders>
            <w:shd w:val="clear" w:color="auto" w:fill="auto"/>
            <w:vAlign w:val="center"/>
            <w:hideMark/>
          </w:tcPr>
          <w:p w14:paraId="1F035D81" w14:textId="2E9BD59F"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27.5</w:t>
            </w:r>
          </w:p>
        </w:tc>
        <w:tc>
          <w:tcPr>
            <w:tcW w:w="851" w:type="dxa"/>
            <w:tcBorders>
              <w:top w:val="nil"/>
              <w:left w:val="nil"/>
              <w:bottom w:val="single" w:sz="8" w:space="0" w:color="C6D9F1"/>
              <w:right w:val="single" w:sz="8" w:space="0" w:color="376091"/>
            </w:tcBorders>
            <w:vAlign w:val="center"/>
          </w:tcPr>
          <w:p w14:paraId="5F26DA2E" w14:textId="77306D97"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35.4</w:t>
            </w:r>
          </w:p>
        </w:tc>
      </w:tr>
      <w:tr w:rsidR="00831EED" w:rsidRPr="00E7630F" w14:paraId="6485E0E6" w14:textId="77777777" w:rsidTr="00831EED">
        <w:trPr>
          <w:trHeight w:val="113"/>
        </w:trPr>
        <w:tc>
          <w:tcPr>
            <w:tcW w:w="1843" w:type="dxa"/>
            <w:tcBorders>
              <w:top w:val="nil"/>
              <w:left w:val="single" w:sz="8" w:space="0" w:color="376091"/>
              <w:bottom w:val="single" w:sz="8" w:space="0" w:color="C6D9F1"/>
              <w:right w:val="single" w:sz="8" w:space="0" w:color="376091"/>
            </w:tcBorders>
            <w:shd w:val="clear" w:color="auto" w:fill="auto"/>
            <w:noWrap/>
            <w:vAlign w:val="center"/>
            <w:hideMark/>
          </w:tcPr>
          <w:p w14:paraId="6B39F447" w14:textId="77777777" w:rsidR="00831EED" w:rsidRPr="00513E8F" w:rsidRDefault="00831EED" w:rsidP="00831EED">
            <w:pPr>
              <w:spacing w:after="0" w:line="240" w:lineRule="auto"/>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Guerrero</w:t>
            </w:r>
          </w:p>
        </w:tc>
        <w:tc>
          <w:tcPr>
            <w:tcW w:w="992" w:type="dxa"/>
            <w:tcBorders>
              <w:top w:val="nil"/>
              <w:left w:val="nil"/>
              <w:bottom w:val="single" w:sz="8" w:space="0" w:color="C6D9F1"/>
              <w:right w:val="single" w:sz="8" w:space="0" w:color="376091"/>
            </w:tcBorders>
            <w:shd w:val="clear" w:color="auto" w:fill="auto"/>
            <w:vAlign w:val="center"/>
            <w:hideMark/>
          </w:tcPr>
          <w:p w14:paraId="295D424D" w14:textId="68EF4892"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1,391,987</w:t>
            </w:r>
          </w:p>
        </w:tc>
        <w:tc>
          <w:tcPr>
            <w:tcW w:w="1110" w:type="dxa"/>
            <w:tcBorders>
              <w:top w:val="nil"/>
              <w:left w:val="nil"/>
              <w:bottom w:val="single" w:sz="8" w:space="0" w:color="C6D9F1"/>
              <w:right w:val="single" w:sz="8" w:space="0" w:color="376091"/>
            </w:tcBorders>
            <w:shd w:val="clear" w:color="auto" w:fill="auto"/>
            <w:vAlign w:val="center"/>
            <w:hideMark/>
          </w:tcPr>
          <w:p w14:paraId="79C55D36" w14:textId="66C8115C"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23,954</w:t>
            </w:r>
          </w:p>
        </w:tc>
        <w:tc>
          <w:tcPr>
            <w:tcW w:w="639" w:type="dxa"/>
            <w:tcBorders>
              <w:top w:val="nil"/>
              <w:left w:val="nil"/>
              <w:bottom w:val="single" w:sz="8" w:space="0" w:color="C6D9F1"/>
              <w:right w:val="single" w:sz="8" w:space="0" w:color="376091"/>
            </w:tcBorders>
            <w:shd w:val="clear" w:color="auto" w:fill="auto"/>
            <w:vAlign w:val="center"/>
            <w:hideMark/>
          </w:tcPr>
          <w:p w14:paraId="2395C745" w14:textId="00FCB078"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55.1</w:t>
            </w:r>
          </w:p>
        </w:tc>
        <w:tc>
          <w:tcPr>
            <w:tcW w:w="801" w:type="dxa"/>
            <w:tcBorders>
              <w:top w:val="nil"/>
              <w:left w:val="nil"/>
              <w:bottom w:val="single" w:sz="8" w:space="0" w:color="C6D9F1"/>
              <w:right w:val="single" w:sz="8" w:space="0" w:color="376091"/>
            </w:tcBorders>
            <w:shd w:val="clear" w:color="auto" w:fill="auto"/>
            <w:vAlign w:val="center"/>
            <w:hideMark/>
          </w:tcPr>
          <w:p w14:paraId="440A7636" w14:textId="2823601A"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1.7</w:t>
            </w:r>
          </w:p>
        </w:tc>
        <w:tc>
          <w:tcPr>
            <w:tcW w:w="828" w:type="dxa"/>
            <w:tcBorders>
              <w:top w:val="nil"/>
              <w:left w:val="nil"/>
              <w:bottom w:val="single" w:sz="8" w:space="0" w:color="C6D9F1"/>
              <w:right w:val="single" w:sz="8" w:space="0" w:color="376091"/>
            </w:tcBorders>
            <w:shd w:val="clear" w:color="auto" w:fill="auto"/>
            <w:vAlign w:val="center"/>
            <w:hideMark/>
          </w:tcPr>
          <w:p w14:paraId="6065CEC8" w14:textId="2AA12E0F"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10.6</w:t>
            </w:r>
          </w:p>
        </w:tc>
        <w:tc>
          <w:tcPr>
            <w:tcW w:w="708" w:type="dxa"/>
            <w:tcBorders>
              <w:top w:val="nil"/>
              <w:left w:val="nil"/>
              <w:bottom w:val="single" w:sz="8" w:space="0" w:color="C6D9F1"/>
              <w:right w:val="single" w:sz="8" w:space="0" w:color="376091"/>
            </w:tcBorders>
            <w:shd w:val="clear" w:color="auto" w:fill="auto"/>
            <w:vAlign w:val="center"/>
            <w:hideMark/>
          </w:tcPr>
          <w:p w14:paraId="3CBAAE57" w14:textId="76711FB1"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3.0</w:t>
            </w:r>
          </w:p>
        </w:tc>
        <w:tc>
          <w:tcPr>
            <w:tcW w:w="709" w:type="dxa"/>
            <w:tcBorders>
              <w:top w:val="nil"/>
              <w:left w:val="nil"/>
              <w:bottom w:val="single" w:sz="8" w:space="0" w:color="C6D9F1"/>
              <w:right w:val="single" w:sz="8" w:space="0" w:color="376091"/>
            </w:tcBorders>
            <w:shd w:val="clear" w:color="auto" w:fill="auto"/>
            <w:vAlign w:val="center"/>
            <w:hideMark/>
          </w:tcPr>
          <w:p w14:paraId="60BF17B8" w14:textId="76C711A1"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46.7</w:t>
            </w:r>
          </w:p>
        </w:tc>
        <w:tc>
          <w:tcPr>
            <w:tcW w:w="567" w:type="dxa"/>
            <w:tcBorders>
              <w:top w:val="nil"/>
              <w:left w:val="nil"/>
              <w:bottom w:val="single" w:sz="8" w:space="0" w:color="C6D9F1"/>
              <w:right w:val="single" w:sz="8" w:space="0" w:color="376091"/>
            </w:tcBorders>
            <w:shd w:val="clear" w:color="auto" w:fill="auto"/>
            <w:vAlign w:val="center"/>
            <w:hideMark/>
          </w:tcPr>
          <w:p w14:paraId="1DFDDF10" w14:textId="61D32157"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13.4</w:t>
            </w:r>
          </w:p>
        </w:tc>
        <w:tc>
          <w:tcPr>
            <w:tcW w:w="851" w:type="dxa"/>
            <w:tcBorders>
              <w:top w:val="nil"/>
              <w:left w:val="nil"/>
              <w:bottom w:val="single" w:sz="8" w:space="0" w:color="C6D9F1"/>
              <w:right w:val="single" w:sz="8" w:space="0" w:color="376091"/>
            </w:tcBorders>
            <w:shd w:val="clear" w:color="auto" w:fill="auto"/>
            <w:vAlign w:val="center"/>
            <w:hideMark/>
          </w:tcPr>
          <w:p w14:paraId="2F632DE6" w14:textId="1C66F867"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30.2</w:t>
            </w:r>
          </w:p>
        </w:tc>
        <w:tc>
          <w:tcPr>
            <w:tcW w:w="708" w:type="dxa"/>
            <w:tcBorders>
              <w:top w:val="nil"/>
              <w:left w:val="nil"/>
              <w:bottom w:val="single" w:sz="8" w:space="0" w:color="C6D9F1"/>
              <w:right w:val="single" w:sz="8" w:space="0" w:color="376091"/>
            </w:tcBorders>
            <w:shd w:val="clear" w:color="auto" w:fill="auto"/>
            <w:vAlign w:val="center"/>
            <w:hideMark/>
          </w:tcPr>
          <w:p w14:paraId="0AE4962B" w14:textId="7C9AA6E5"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76.1</w:t>
            </w:r>
          </w:p>
        </w:tc>
        <w:tc>
          <w:tcPr>
            <w:tcW w:w="709" w:type="dxa"/>
            <w:tcBorders>
              <w:top w:val="nil"/>
              <w:left w:val="nil"/>
              <w:bottom w:val="single" w:sz="8" w:space="0" w:color="C6D9F1"/>
              <w:right w:val="single" w:sz="8" w:space="0" w:color="376091"/>
            </w:tcBorders>
            <w:shd w:val="clear" w:color="auto" w:fill="auto"/>
            <w:vAlign w:val="center"/>
            <w:hideMark/>
          </w:tcPr>
          <w:p w14:paraId="7E619947" w14:textId="59C6200C"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34.8</w:t>
            </w:r>
          </w:p>
        </w:tc>
        <w:tc>
          <w:tcPr>
            <w:tcW w:w="851" w:type="dxa"/>
            <w:tcBorders>
              <w:top w:val="nil"/>
              <w:left w:val="nil"/>
              <w:bottom w:val="single" w:sz="8" w:space="0" w:color="C6D9F1"/>
              <w:right w:val="single" w:sz="8" w:space="0" w:color="376091"/>
            </w:tcBorders>
            <w:vAlign w:val="center"/>
          </w:tcPr>
          <w:p w14:paraId="014238B3" w14:textId="3DA74ACC"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28.2</w:t>
            </w:r>
          </w:p>
        </w:tc>
      </w:tr>
      <w:tr w:rsidR="00831EED" w:rsidRPr="00E7630F" w14:paraId="3438399F" w14:textId="77777777" w:rsidTr="00831EED">
        <w:trPr>
          <w:trHeight w:val="113"/>
        </w:trPr>
        <w:tc>
          <w:tcPr>
            <w:tcW w:w="1843" w:type="dxa"/>
            <w:tcBorders>
              <w:top w:val="nil"/>
              <w:left w:val="single" w:sz="8" w:space="0" w:color="376091"/>
              <w:bottom w:val="single" w:sz="8" w:space="0" w:color="C6D9F1"/>
              <w:right w:val="single" w:sz="8" w:space="0" w:color="376091"/>
            </w:tcBorders>
            <w:shd w:val="clear" w:color="auto" w:fill="auto"/>
            <w:noWrap/>
            <w:vAlign w:val="center"/>
            <w:hideMark/>
          </w:tcPr>
          <w:p w14:paraId="7F11C865" w14:textId="77777777" w:rsidR="00831EED" w:rsidRPr="00513E8F" w:rsidRDefault="00831EED" w:rsidP="00831EED">
            <w:pPr>
              <w:spacing w:after="0" w:line="240" w:lineRule="auto"/>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Hidalgo</w:t>
            </w:r>
          </w:p>
        </w:tc>
        <w:tc>
          <w:tcPr>
            <w:tcW w:w="992" w:type="dxa"/>
            <w:tcBorders>
              <w:top w:val="nil"/>
              <w:left w:val="nil"/>
              <w:bottom w:val="single" w:sz="8" w:space="0" w:color="C6D9F1"/>
              <w:right w:val="single" w:sz="8" w:space="0" w:color="376091"/>
            </w:tcBorders>
            <w:shd w:val="clear" w:color="auto" w:fill="auto"/>
            <w:vAlign w:val="center"/>
            <w:hideMark/>
          </w:tcPr>
          <w:p w14:paraId="6841C51F" w14:textId="08C37842"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1,229,000</w:t>
            </w:r>
          </w:p>
        </w:tc>
        <w:tc>
          <w:tcPr>
            <w:tcW w:w="1110" w:type="dxa"/>
            <w:tcBorders>
              <w:top w:val="nil"/>
              <w:left w:val="nil"/>
              <w:bottom w:val="single" w:sz="8" w:space="0" w:color="C6D9F1"/>
              <w:right w:val="single" w:sz="8" w:space="0" w:color="376091"/>
            </w:tcBorders>
            <w:shd w:val="clear" w:color="auto" w:fill="auto"/>
            <w:vAlign w:val="center"/>
            <w:hideMark/>
          </w:tcPr>
          <w:p w14:paraId="3E342EF9" w14:textId="079D11FF"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51,514</w:t>
            </w:r>
          </w:p>
        </w:tc>
        <w:tc>
          <w:tcPr>
            <w:tcW w:w="639" w:type="dxa"/>
            <w:tcBorders>
              <w:top w:val="nil"/>
              <w:left w:val="nil"/>
              <w:bottom w:val="single" w:sz="8" w:space="0" w:color="C6D9F1"/>
              <w:right w:val="single" w:sz="8" w:space="0" w:color="376091"/>
            </w:tcBorders>
            <w:shd w:val="clear" w:color="auto" w:fill="auto"/>
            <w:vAlign w:val="center"/>
            <w:hideMark/>
          </w:tcPr>
          <w:p w14:paraId="72FAD1D5" w14:textId="28683983"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54.1</w:t>
            </w:r>
          </w:p>
        </w:tc>
        <w:tc>
          <w:tcPr>
            <w:tcW w:w="801" w:type="dxa"/>
            <w:tcBorders>
              <w:top w:val="nil"/>
              <w:left w:val="nil"/>
              <w:bottom w:val="single" w:sz="8" w:space="0" w:color="C6D9F1"/>
              <w:right w:val="single" w:sz="8" w:space="0" w:color="376091"/>
            </w:tcBorders>
            <w:shd w:val="clear" w:color="auto" w:fill="auto"/>
            <w:vAlign w:val="center"/>
            <w:hideMark/>
          </w:tcPr>
          <w:p w14:paraId="1B50CE3E" w14:textId="7A3E2754"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4.0</w:t>
            </w:r>
          </w:p>
        </w:tc>
        <w:tc>
          <w:tcPr>
            <w:tcW w:w="828" w:type="dxa"/>
            <w:tcBorders>
              <w:top w:val="nil"/>
              <w:left w:val="nil"/>
              <w:bottom w:val="single" w:sz="8" w:space="0" w:color="C6D9F1"/>
              <w:right w:val="single" w:sz="8" w:space="0" w:color="376091"/>
            </w:tcBorders>
            <w:shd w:val="clear" w:color="auto" w:fill="auto"/>
            <w:vAlign w:val="center"/>
            <w:hideMark/>
          </w:tcPr>
          <w:p w14:paraId="0604EFBA" w14:textId="36919EB1"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13.1</w:t>
            </w:r>
          </w:p>
        </w:tc>
        <w:tc>
          <w:tcPr>
            <w:tcW w:w="708" w:type="dxa"/>
            <w:tcBorders>
              <w:top w:val="nil"/>
              <w:left w:val="nil"/>
              <w:bottom w:val="single" w:sz="8" w:space="0" w:color="C6D9F1"/>
              <w:right w:val="single" w:sz="8" w:space="0" w:color="376091"/>
            </w:tcBorders>
            <w:shd w:val="clear" w:color="auto" w:fill="auto"/>
            <w:vAlign w:val="center"/>
            <w:hideMark/>
          </w:tcPr>
          <w:p w14:paraId="066D65D3" w14:textId="0BEBCCA4"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6.8</w:t>
            </w:r>
          </w:p>
        </w:tc>
        <w:tc>
          <w:tcPr>
            <w:tcW w:w="709" w:type="dxa"/>
            <w:tcBorders>
              <w:top w:val="nil"/>
              <w:left w:val="nil"/>
              <w:bottom w:val="single" w:sz="8" w:space="0" w:color="C6D9F1"/>
              <w:right w:val="single" w:sz="8" w:space="0" w:color="376091"/>
            </w:tcBorders>
            <w:shd w:val="clear" w:color="auto" w:fill="auto"/>
            <w:vAlign w:val="center"/>
            <w:hideMark/>
          </w:tcPr>
          <w:p w14:paraId="2DE80C6C" w14:textId="28FF1DF0"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61.4</w:t>
            </w:r>
          </w:p>
        </w:tc>
        <w:tc>
          <w:tcPr>
            <w:tcW w:w="567" w:type="dxa"/>
            <w:tcBorders>
              <w:top w:val="nil"/>
              <w:left w:val="nil"/>
              <w:bottom w:val="single" w:sz="8" w:space="0" w:color="C6D9F1"/>
              <w:right w:val="single" w:sz="8" w:space="0" w:color="376091"/>
            </w:tcBorders>
            <w:shd w:val="clear" w:color="auto" w:fill="auto"/>
            <w:vAlign w:val="center"/>
            <w:hideMark/>
          </w:tcPr>
          <w:p w14:paraId="3A314AA0" w14:textId="621FC2E9"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12.5</w:t>
            </w:r>
          </w:p>
        </w:tc>
        <w:tc>
          <w:tcPr>
            <w:tcW w:w="851" w:type="dxa"/>
            <w:tcBorders>
              <w:top w:val="nil"/>
              <w:left w:val="nil"/>
              <w:bottom w:val="single" w:sz="8" w:space="0" w:color="C6D9F1"/>
              <w:right w:val="single" w:sz="8" w:space="0" w:color="376091"/>
            </w:tcBorders>
            <w:shd w:val="clear" w:color="auto" w:fill="auto"/>
            <w:vAlign w:val="center"/>
            <w:hideMark/>
          </w:tcPr>
          <w:p w14:paraId="1008A93B" w14:textId="4E4AA640"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27.7</w:t>
            </w:r>
          </w:p>
        </w:tc>
        <w:tc>
          <w:tcPr>
            <w:tcW w:w="708" w:type="dxa"/>
            <w:tcBorders>
              <w:top w:val="nil"/>
              <w:left w:val="nil"/>
              <w:bottom w:val="single" w:sz="8" w:space="0" w:color="C6D9F1"/>
              <w:right w:val="single" w:sz="8" w:space="0" w:color="376091"/>
            </w:tcBorders>
            <w:shd w:val="clear" w:color="auto" w:fill="auto"/>
            <w:vAlign w:val="center"/>
            <w:hideMark/>
          </w:tcPr>
          <w:p w14:paraId="3750EC63" w14:textId="39B3FE29"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70.7</w:t>
            </w:r>
          </w:p>
        </w:tc>
        <w:tc>
          <w:tcPr>
            <w:tcW w:w="709" w:type="dxa"/>
            <w:tcBorders>
              <w:top w:val="nil"/>
              <w:left w:val="nil"/>
              <w:bottom w:val="single" w:sz="8" w:space="0" w:color="C6D9F1"/>
              <w:right w:val="single" w:sz="8" w:space="0" w:color="376091"/>
            </w:tcBorders>
            <w:shd w:val="clear" w:color="auto" w:fill="auto"/>
            <w:vAlign w:val="center"/>
            <w:hideMark/>
          </w:tcPr>
          <w:p w14:paraId="36897565" w14:textId="75DAEF1F"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37.5</w:t>
            </w:r>
          </w:p>
        </w:tc>
        <w:tc>
          <w:tcPr>
            <w:tcW w:w="851" w:type="dxa"/>
            <w:tcBorders>
              <w:top w:val="nil"/>
              <w:left w:val="nil"/>
              <w:bottom w:val="single" w:sz="8" w:space="0" w:color="C6D9F1"/>
              <w:right w:val="single" w:sz="8" w:space="0" w:color="376091"/>
            </w:tcBorders>
            <w:vAlign w:val="center"/>
          </w:tcPr>
          <w:p w14:paraId="52697EF4" w14:textId="093657D0"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28.8</w:t>
            </w:r>
          </w:p>
        </w:tc>
      </w:tr>
      <w:tr w:rsidR="00831EED" w:rsidRPr="00E7630F" w14:paraId="2E015B06" w14:textId="77777777" w:rsidTr="00831EED">
        <w:trPr>
          <w:trHeight w:val="113"/>
        </w:trPr>
        <w:tc>
          <w:tcPr>
            <w:tcW w:w="1843" w:type="dxa"/>
            <w:tcBorders>
              <w:top w:val="nil"/>
              <w:left w:val="single" w:sz="8" w:space="0" w:color="376091"/>
              <w:bottom w:val="single" w:sz="8" w:space="0" w:color="C6D9F1"/>
              <w:right w:val="single" w:sz="8" w:space="0" w:color="376091"/>
            </w:tcBorders>
            <w:shd w:val="clear" w:color="auto" w:fill="auto"/>
            <w:noWrap/>
            <w:vAlign w:val="center"/>
            <w:hideMark/>
          </w:tcPr>
          <w:p w14:paraId="6C076093" w14:textId="77777777" w:rsidR="00831EED" w:rsidRPr="00513E8F" w:rsidRDefault="00831EED" w:rsidP="00831EED">
            <w:pPr>
              <w:spacing w:after="0" w:line="240" w:lineRule="auto"/>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Jalisco</w:t>
            </w:r>
          </w:p>
        </w:tc>
        <w:tc>
          <w:tcPr>
            <w:tcW w:w="992" w:type="dxa"/>
            <w:tcBorders>
              <w:top w:val="nil"/>
              <w:left w:val="nil"/>
              <w:bottom w:val="single" w:sz="8" w:space="0" w:color="C6D9F1"/>
              <w:right w:val="single" w:sz="8" w:space="0" w:color="376091"/>
            </w:tcBorders>
            <w:shd w:val="clear" w:color="auto" w:fill="auto"/>
            <w:vAlign w:val="center"/>
            <w:hideMark/>
          </w:tcPr>
          <w:p w14:paraId="7210E31B" w14:textId="3ED2B0C1"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3,735,596</w:t>
            </w:r>
          </w:p>
        </w:tc>
        <w:tc>
          <w:tcPr>
            <w:tcW w:w="1110" w:type="dxa"/>
            <w:tcBorders>
              <w:top w:val="nil"/>
              <w:left w:val="nil"/>
              <w:bottom w:val="single" w:sz="8" w:space="0" w:color="C6D9F1"/>
              <w:right w:val="single" w:sz="8" w:space="0" w:color="376091"/>
            </w:tcBorders>
            <w:shd w:val="clear" w:color="auto" w:fill="auto"/>
            <w:vAlign w:val="center"/>
            <w:hideMark/>
          </w:tcPr>
          <w:p w14:paraId="0CE57ED2" w14:textId="5CE3D8B5"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144,310</w:t>
            </w:r>
          </w:p>
        </w:tc>
        <w:tc>
          <w:tcPr>
            <w:tcW w:w="639" w:type="dxa"/>
            <w:tcBorders>
              <w:top w:val="nil"/>
              <w:left w:val="nil"/>
              <w:bottom w:val="single" w:sz="8" w:space="0" w:color="C6D9F1"/>
              <w:right w:val="single" w:sz="8" w:space="0" w:color="376091"/>
            </w:tcBorders>
            <w:shd w:val="clear" w:color="auto" w:fill="auto"/>
            <w:vAlign w:val="center"/>
            <w:hideMark/>
          </w:tcPr>
          <w:p w14:paraId="5B3EE314" w14:textId="360419FE"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60.6</w:t>
            </w:r>
          </w:p>
        </w:tc>
        <w:tc>
          <w:tcPr>
            <w:tcW w:w="801" w:type="dxa"/>
            <w:tcBorders>
              <w:top w:val="nil"/>
              <w:left w:val="nil"/>
              <w:bottom w:val="single" w:sz="8" w:space="0" w:color="C6D9F1"/>
              <w:right w:val="single" w:sz="8" w:space="0" w:color="376091"/>
            </w:tcBorders>
            <w:shd w:val="clear" w:color="auto" w:fill="auto"/>
            <w:vAlign w:val="center"/>
            <w:hideMark/>
          </w:tcPr>
          <w:p w14:paraId="169A573A" w14:textId="2294063A"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3.7</w:t>
            </w:r>
          </w:p>
        </w:tc>
        <w:tc>
          <w:tcPr>
            <w:tcW w:w="828" w:type="dxa"/>
            <w:tcBorders>
              <w:top w:val="nil"/>
              <w:left w:val="nil"/>
              <w:bottom w:val="single" w:sz="8" w:space="0" w:color="C6D9F1"/>
              <w:right w:val="single" w:sz="8" w:space="0" w:color="376091"/>
            </w:tcBorders>
            <w:shd w:val="clear" w:color="auto" w:fill="auto"/>
            <w:vAlign w:val="center"/>
            <w:hideMark/>
          </w:tcPr>
          <w:p w14:paraId="3A110132" w14:textId="0879CA1F"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8.4</w:t>
            </w:r>
          </w:p>
        </w:tc>
        <w:tc>
          <w:tcPr>
            <w:tcW w:w="708" w:type="dxa"/>
            <w:tcBorders>
              <w:top w:val="nil"/>
              <w:left w:val="nil"/>
              <w:bottom w:val="single" w:sz="8" w:space="0" w:color="C6D9F1"/>
              <w:right w:val="single" w:sz="8" w:space="0" w:color="376091"/>
            </w:tcBorders>
            <w:shd w:val="clear" w:color="auto" w:fill="auto"/>
            <w:vAlign w:val="center"/>
            <w:hideMark/>
          </w:tcPr>
          <w:p w14:paraId="3967ACB0" w14:textId="496A8BCD"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6.0</w:t>
            </w:r>
          </w:p>
        </w:tc>
        <w:tc>
          <w:tcPr>
            <w:tcW w:w="709" w:type="dxa"/>
            <w:tcBorders>
              <w:top w:val="nil"/>
              <w:left w:val="nil"/>
              <w:bottom w:val="single" w:sz="8" w:space="0" w:color="C6D9F1"/>
              <w:right w:val="single" w:sz="8" w:space="0" w:color="376091"/>
            </w:tcBorders>
            <w:shd w:val="clear" w:color="auto" w:fill="auto"/>
            <w:vAlign w:val="center"/>
            <w:hideMark/>
          </w:tcPr>
          <w:p w14:paraId="5958A764" w14:textId="72D687A1"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69.6</w:t>
            </w:r>
          </w:p>
        </w:tc>
        <w:tc>
          <w:tcPr>
            <w:tcW w:w="567" w:type="dxa"/>
            <w:tcBorders>
              <w:top w:val="nil"/>
              <w:left w:val="nil"/>
              <w:bottom w:val="single" w:sz="8" w:space="0" w:color="C6D9F1"/>
              <w:right w:val="single" w:sz="8" w:space="0" w:color="376091"/>
            </w:tcBorders>
            <w:shd w:val="clear" w:color="auto" w:fill="auto"/>
            <w:vAlign w:val="center"/>
            <w:hideMark/>
          </w:tcPr>
          <w:p w14:paraId="391A7DCC" w14:textId="3EC13F95"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11.1</w:t>
            </w:r>
          </w:p>
        </w:tc>
        <w:tc>
          <w:tcPr>
            <w:tcW w:w="851" w:type="dxa"/>
            <w:tcBorders>
              <w:top w:val="nil"/>
              <w:left w:val="nil"/>
              <w:bottom w:val="single" w:sz="8" w:space="0" w:color="C6D9F1"/>
              <w:right w:val="single" w:sz="8" w:space="0" w:color="376091"/>
            </w:tcBorders>
            <w:shd w:val="clear" w:color="auto" w:fill="auto"/>
            <w:vAlign w:val="center"/>
            <w:hideMark/>
          </w:tcPr>
          <w:p w14:paraId="4858C61D" w14:textId="23631A91"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14.9</w:t>
            </w:r>
          </w:p>
        </w:tc>
        <w:tc>
          <w:tcPr>
            <w:tcW w:w="708" w:type="dxa"/>
            <w:tcBorders>
              <w:top w:val="nil"/>
              <w:left w:val="nil"/>
              <w:bottom w:val="single" w:sz="8" w:space="0" w:color="C6D9F1"/>
              <w:right w:val="single" w:sz="8" w:space="0" w:color="376091"/>
            </w:tcBorders>
            <w:shd w:val="clear" w:color="auto" w:fill="auto"/>
            <w:vAlign w:val="center"/>
            <w:hideMark/>
          </w:tcPr>
          <w:p w14:paraId="10B5198F" w14:textId="6FF1FB69"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48.7</w:t>
            </w:r>
          </w:p>
        </w:tc>
        <w:tc>
          <w:tcPr>
            <w:tcW w:w="709" w:type="dxa"/>
            <w:tcBorders>
              <w:top w:val="nil"/>
              <w:left w:val="nil"/>
              <w:bottom w:val="single" w:sz="8" w:space="0" w:color="C6D9F1"/>
              <w:right w:val="single" w:sz="8" w:space="0" w:color="376091"/>
            </w:tcBorders>
            <w:shd w:val="clear" w:color="auto" w:fill="auto"/>
            <w:vAlign w:val="center"/>
            <w:hideMark/>
          </w:tcPr>
          <w:p w14:paraId="0EA24052" w14:textId="056F8D29"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25.1</w:t>
            </w:r>
          </w:p>
        </w:tc>
        <w:tc>
          <w:tcPr>
            <w:tcW w:w="851" w:type="dxa"/>
            <w:tcBorders>
              <w:top w:val="nil"/>
              <w:left w:val="nil"/>
              <w:bottom w:val="single" w:sz="8" w:space="0" w:color="C6D9F1"/>
              <w:right w:val="single" w:sz="8" w:space="0" w:color="376091"/>
            </w:tcBorders>
            <w:vAlign w:val="center"/>
          </w:tcPr>
          <w:p w14:paraId="018A3434" w14:textId="0DD7F087"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19.4</w:t>
            </w:r>
          </w:p>
        </w:tc>
      </w:tr>
      <w:tr w:rsidR="00831EED" w:rsidRPr="00E7630F" w14:paraId="31837A57" w14:textId="77777777" w:rsidTr="00831EED">
        <w:trPr>
          <w:trHeight w:val="113"/>
        </w:trPr>
        <w:tc>
          <w:tcPr>
            <w:tcW w:w="1843" w:type="dxa"/>
            <w:tcBorders>
              <w:top w:val="nil"/>
              <w:left w:val="single" w:sz="8" w:space="0" w:color="376091"/>
              <w:bottom w:val="single" w:sz="8" w:space="0" w:color="C6D9F1"/>
              <w:right w:val="single" w:sz="8" w:space="0" w:color="376091"/>
            </w:tcBorders>
            <w:shd w:val="clear" w:color="auto" w:fill="auto"/>
            <w:noWrap/>
            <w:vAlign w:val="center"/>
            <w:hideMark/>
          </w:tcPr>
          <w:p w14:paraId="050DCE80" w14:textId="77777777" w:rsidR="00831EED" w:rsidRPr="00513E8F" w:rsidRDefault="00831EED" w:rsidP="00831EED">
            <w:pPr>
              <w:spacing w:after="0" w:line="240" w:lineRule="auto"/>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Estado de México</w:t>
            </w:r>
          </w:p>
        </w:tc>
        <w:tc>
          <w:tcPr>
            <w:tcW w:w="992" w:type="dxa"/>
            <w:tcBorders>
              <w:top w:val="nil"/>
              <w:left w:val="nil"/>
              <w:bottom w:val="single" w:sz="8" w:space="0" w:color="C6D9F1"/>
              <w:right w:val="single" w:sz="8" w:space="0" w:color="376091"/>
            </w:tcBorders>
            <w:shd w:val="clear" w:color="auto" w:fill="auto"/>
            <w:vAlign w:val="center"/>
            <w:hideMark/>
          </w:tcPr>
          <w:p w14:paraId="7DB7B0E4" w14:textId="32801900"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6,784,282</w:t>
            </w:r>
          </w:p>
        </w:tc>
        <w:tc>
          <w:tcPr>
            <w:tcW w:w="1110" w:type="dxa"/>
            <w:tcBorders>
              <w:top w:val="nil"/>
              <w:left w:val="nil"/>
              <w:bottom w:val="single" w:sz="8" w:space="0" w:color="C6D9F1"/>
              <w:right w:val="single" w:sz="8" w:space="0" w:color="376091"/>
            </w:tcBorders>
            <w:shd w:val="clear" w:color="auto" w:fill="auto"/>
            <w:vAlign w:val="center"/>
            <w:hideMark/>
          </w:tcPr>
          <w:p w14:paraId="0B0A1FB8" w14:textId="35D1AE64"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472,365</w:t>
            </w:r>
          </w:p>
        </w:tc>
        <w:tc>
          <w:tcPr>
            <w:tcW w:w="639" w:type="dxa"/>
            <w:tcBorders>
              <w:top w:val="nil"/>
              <w:left w:val="nil"/>
              <w:bottom w:val="single" w:sz="8" w:space="0" w:color="C6D9F1"/>
              <w:right w:val="single" w:sz="8" w:space="0" w:color="376091"/>
            </w:tcBorders>
            <w:shd w:val="clear" w:color="auto" w:fill="auto"/>
            <w:vAlign w:val="center"/>
            <w:hideMark/>
          </w:tcPr>
          <w:p w14:paraId="1E6F7B89" w14:textId="77C956C1"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54.7</w:t>
            </w:r>
          </w:p>
        </w:tc>
        <w:tc>
          <w:tcPr>
            <w:tcW w:w="801" w:type="dxa"/>
            <w:tcBorders>
              <w:top w:val="nil"/>
              <w:left w:val="nil"/>
              <w:bottom w:val="single" w:sz="8" w:space="0" w:color="C6D9F1"/>
              <w:right w:val="single" w:sz="8" w:space="0" w:color="376091"/>
            </w:tcBorders>
            <w:shd w:val="clear" w:color="auto" w:fill="auto"/>
            <w:vAlign w:val="center"/>
            <w:hideMark/>
          </w:tcPr>
          <w:p w14:paraId="35E2F842" w14:textId="0D58BDE7"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6.5</w:t>
            </w:r>
          </w:p>
        </w:tc>
        <w:tc>
          <w:tcPr>
            <w:tcW w:w="828" w:type="dxa"/>
            <w:tcBorders>
              <w:top w:val="nil"/>
              <w:left w:val="nil"/>
              <w:bottom w:val="single" w:sz="8" w:space="0" w:color="C6D9F1"/>
              <w:right w:val="single" w:sz="8" w:space="0" w:color="376091"/>
            </w:tcBorders>
            <w:shd w:val="clear" w:color="auto" w:fill="auto"/>
            <w:vAlign w:val="center"/>
            <w:hideMark/>
          </w:tcPr>
          <w:p w14:paraId="5F5ACC5F" w14:textId="01208D89"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11.6</w:t>
            </w:r>
          </w:p>
        </w:tc>
        <w:tc>
          <w:tcPr>
            <w:tcW w:w="708" w:type="dxa"/>
            <w:tcBorders>
              <w:top w:val="nil"/>
              <w:left w:val="nil"/>
              <w:bottom w:val="single" w:sz="8" w:space="0" w:color="C6D9F1"/>
              <w:right w:val="single" w:sz="8" w:space="0" w:color="376091"/>
            </w:tcBorders>
            <w:shd w:val="clear" w:color="auto" w:fill="auto"/>
            <w:vAlign w:val="center"/>
            <w:hideMark/>
          </w:tcPr>
          <w:p w14:paraId="395F54E5" w14:textId="039ADAAA"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10.2</w:t>
            </w:r>
          </w:p>
        </w:tc>
        <w:tc>
          <w:tcPr>
            <w:tcW w:w="709" w:type="dxa"/>
            <w:tcBorders>
              <w:top w:val="nil"/>
              <w:left w:val="nil"/>
              <w:bottom w:val="single" w:sz="8" w:space="0" w:color="C6D9F1"/>
              <w:right w:val="single" w:sz="8" w:space="0" w:color="376091"/>
            </w:tcBorders>
            <w:shd w:val="clear" w:color="auto" w:fill="auto"/>
            <w:vAlign w:val="center"/>
            <w:hideMark/>
          </w:tcPr>
          <w:p w14:paraId="19489CC0" w14:textId="727C57B2"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67.6</w:t>
            </w:r>
          </w:p>
        </w:tc>
        <w:tc>
          <w:tcPr>
            <w:tcW w:w="567" w:type="dxa"/>
            <w:tcBorders>
              <w:top w:val="nil"/>
              <w:left w:val="nil"/>
              <w:bottom w:val="single" w:sz="8" w:space="0" w:color="C6D9F1"/>
              <w:right w:val="single" w:sz="8" w:space="0" w:color="376091"/>
            </w:tcBorders>
            <w:shd w:val="clear" w:color="auto" w:fill="auto"/>
            <w:vAlign w:val="center"/>
            <w:hideMark/>
          </w:tcPr>
          <w:p w14:paraId="11B23723" w14:textId="738DD1BE"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18.1</w:t>
            </w:r>
          </w:p>
        </w:tc>
        <w:tc>
          <w:tcPr>
            <w:tcW w:w="851" w:type="dxa"/>
            <w:tcBorders>
              <w:top w:val="nil"/>
              <w:left w:val="nil"/>
              <w:bottom w:val="single" w:sz="8" w:space="0" w:color="C6D9F1"/>
              <w:right w:val="single" w:sz="8" w:space="0" w:color="376091"/>
            </w:tcBorders>
            <w:shd w:val="clear" w:color="auto" w:fill="auto"/>
            <w:vAlign w:val="center"/>
            <w:hideMark/>
          </w:tcPr>
          <w:p w14:paraId="7CF9F4D4" w14:textId="7BA34955"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29.9</w:t>
            </w:r>
          </w:p>
        </w:tc>
        <w:tc>
          <w:tcPr>
            <w:tcW w:w="708" w:type="dxa"/>
            <w:tcBorders>
              <w:top w:val="nil"/>
              <w:left w:val="nil"/>
              <w:bottom w:val="single" w:sz="8" w:space="0" w:color="C6D9F1"/>
              <w:right w:val="single" w:sz="8" w:space="0" w:color="376091"/>
            </w:tcBorders>
            <w:shd w:val="clear" w:color="auto" w:fill="auto"/>
            <w:vAlign w:val="center"/>
            <w:hideMark/>
          </w:tcPr>
          <w:p w14:paraId="1C327549" w14:textId="5A942857"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55.5</w:t>
            </w:r>
          </w:p>
        </w:tc>
        <w:tc>
          <w:tcPr>
            <w:tcW w:w="709" w:type="dxa"/>
            <w:tcBorders>
              <w:top w:val="nil"/>
              <w:left w:val="nil"/>
              <w:bottom w:val="single" w:sz="8" w:space="0" w:color="C6D9F1"/>
              <w:right w:val="single" w:sz="8" w:space="0" w:color="376091"/>
            </w:tcBorders>
            <w:shd w:val="clear" w:color="auto" w:fill="auto"/>
            <w:vAlign w:val="center"/>
            <w:hideMark/>
          </w:tcPr>
          <w:p w14:paraId="56CA2631" w14:textId="252C4DE7"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35.3</w:t>
            </w:r>
          </w:p>
        </w:tc>
        <w:tc>
          <w:tcPr>
            <w:tcW w:w="851" w:type="dxa"/>
            <w:tcBorders>
              <w:top w:val="nil"/>
              <w:left w:val="nil"/>
              <w:bottom w:val="single" w:sz="8" w:space="0" w:color="C6D9F1"/>
              <w:right w:val="single" w:sz="8" w:space="0" w:color="376091"/>
            </w:tcBorders>
            <w:vAlign w:val="center"/>
          </w:tcPr>
          <w:p w14:paraId="24281A3E" w14:textId="5E21063E"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33.9</w:t>
            </w:r>
          </w:p>
        </w:tc>
      </w:tr>
      <w:tr w:rsidR="00831EED" w:rsidRPr="00E7630F" w14:paraId="5D32ADA3" w14:textId="77777777" w:rsidTr="00831EED">
        <w:trPr>
          <w:trHeight w:val="113"/>
        </w:trPr>
        <w:tc>
          <w:tcPr>
            <w:tcW w:w="1843" w:type="dxa"/>
            <w:tcBorders>
              <w:top w:val="nil"/>
              <w:left w:val="single" w:sz="8" w:space="0" w:color="376091"/>
              <w:bottom w:val="single" w:sz="8" w:space="0" w:color="C6D9F1"/>
              <w:right w:val="single" w:sz="8" w:space="0" w:color="376091"/>
            </w:tcBorders>
            <w:shd w:val="clear" w:color="auto" w:fill="auto"/>
            <w:noWrap/>
            <w:vAlign w:val="center"/>
            <w:hideMark/>
          </w:tcPr>
          <w:p w14:paraId="1BF92FD4" w14:textId="77777777" w:rsidR="00831EED" w:rsidRPr="00513E8F" w:rsidRDefault="00831EED" w:rsidP="00831EED">
            <w:pPr>
              <w:spacing w:after="0" w:line="240" w:lineRule="auto"/>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Michoacán de Ocampo</w:t>
            </w:r>
          </w:p>
        </w:tc>
        <w:tc>
          <w:tcPr>
            <w:tcW w:w="992" w:type="dxa"/>
            <w:tcBorders>
              <w:top w:val="nil"/>
              <w:left w:val="nil"/>
              <w:bottom w:val="single" w:sz="8" w:space="0" w:color="C6D9F1"/>
              <w:right w:val="single" w:sz="8" w:space="0" w:color="376091"/>
            </w:tcBorders>
            <w:shd w:val="clear" w:color="auto" w:fill="auto"/>
            <w:vAlign w:val="center"/>
            <w:hideMark/>
          </w:tcPr>
          <w:p w14:paraId="41AC91C9" w14:textId="03BA833B"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1,939,107</w:t>
            </w:r>
          </w:p>
        </w:tc>
        <w:tc>
          <w:tcPr>
            <w:tcW w:w="1110" w:type="dxa"/>
            <w:tcBorders>
              <w:top w:val="nil"/>
              <w:left w:val="nil"/>
              <w:bottom w:val="single" w:sz="8" w:space="0" w:color="C6D9F1"/>
              <w:right w:val="single" w:sz="8" w:space="0" w:color="376091"/>
            </w:tcBorders>
            <w:shd w:val="clear" w:color="auto" w:fill="auto"/>
            <w:vAlign w:val="center"/>
            <w:hideMark/>
          </w:tcPr>
          <w:p w14:paraId="1461A796" w14:textId="02EE6A94"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50,593</w:t>
            </w:r>
          </w:p>
        </w:tc>
        <w:tc>
          <w:tcPr>
            <w:tcW w:w="639" w:type="dxa"/>
            <w:tcBorders>
              <w:top w:val="nil"/>
              <w:left w:val="nil"/>
              <w:bottom w:val="single" w:sz="8" w:space="0" w:color="C6D9F1"/>
              <w:right w:val="single" w:sz="8" w:space="0" w:color="376091"/>
            </w:tcBorders>
            <w:shd w:val="clear" w:color="auto" w:fill="auto"/>
            <w:vAlign w:val="center"/>
            <w:hideMark/>
          </w:tcPr>
          <w:p w14:paraId="0166D7A0" w14:textId="0A1FA446"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56.3</w:t>
            </w:r>
          </w:p>
        </w:tc>
        <w:tc>
          <w:tcPr>
            <w:tcW w:w="801" w:type="dxa"/>
            <w:tcBorders>
              <w:top w:val="nil"/>
              <w:left w:val="nil"/>
              <w:bottom w:val="single" w:sz="8" w:space="0" w:color="C6D9F1"/>
              <w:right w:val="single" w:sz="8" w:space="0" w:color="376091"/>
            </w:tcBorders>
            <w:shd w:val="clear" w:color="auto" w:fill="auto"/>
            <w:vAlign w:val="center"/>
            <w:hideMark/>
          </w:tcPr>
          <w:p w14:paraId="616AB617" w14:textId="0D51B959"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2.5</w:t>
            </w:r>
          </w:p>
        </w:tc>
        <w:tc>
          <w:tcPr>
            <w:tcW w:w="828" w:type="dxa"/>
            <w:tcBorders>
              <w:top w:val="nil"/>
              <w:left w:val="nil"/>
              <w:bottom w:val="single" w:sz="8" w:space="0" w:color="C6D9F1"/>
              <w:right w:val="single" w:sz="8" w:space="0" w:color="376091"/>
            </w:tcBorders>
            <w:shd w:val="clear" w:color="auto" w:fill="auto"/>
            <w:vAlign w:val="center"/>
            <w:hideMark/>
          </w:tcPr>
          <w:p w14:paraId="55D88D90" w14:textId="2168EBE0"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9.5</w:t>
            </w:r>
          </w:p>
        </w:tc>
        <w:tc>
          <w:tcPr>
            <w:tcW w:w="708" w:type="dxa"/>
            <w:tcBorders>
              <w:top w:val="nil"/>
              <w:left w:val="nil"/>
              <w:bottom w:val="single" w:sz="8" w:space="0" w:color="C6D9F1"/>
              <w:right w:val="single" w:sz="8" w:space="0" w:color="376091"/>
            </w:tcBorders>
            <w:shd w:val="clear" w:color="auto" w:fill="auto"/>
            <w:vAlign w:val="center"/>
            <w:hideMark/>
          </w:tcPr>
          <w:p w14:paraId="6FBBA041" w14:textId="6188D61F"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5.1</w:t>
            </w:r>
          </w:p>
        </w:tc>
        <w:tc>
          <w:tcPr>
            <w:tcW w:w="709" w:type="dxa"/>
            <w:tcBorders>
              <w:top w:val="nil"/>
              <w:left w:val="nil"/>
              <w:bottom w:val="single" w:sz="8" w:space="0" w:color="C6D9F1"/>
              <w:right w:val="single" w:sz="8" w:space="0" w:color="376091"/>
            </w:tcBorders>
            <w:shd w:val="clear" w:color="auto" w:fill="auto"/>
            <w:vAlign w:val="center"/>
            <w:hideMark/>
          </w:tcPr>
          <w:p w14:paraId="0BFFE0BE" w14:textId="4F51CD7E"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64.3</w:t>
            </w:r>
          </w:p>
        </w:tc>
        <w:tc>
          <w:tcPr>
            <w:tcW w:w="567" w:type="dxa"/>
            <w:tcBorders>
              <w:top w:val="nil"/>
              <w:left w:val="nil"/>
              <w:bottom w:val="single" w:sz="8" w:space="0" w:color="C6D9F1"/>
              <w:right w:val="single" w:sz="8" w:space="0" w:color="376091"/>
            </w:tcBorders>
            <w:shd w:val="clear" w:color="auto" w:fill="auto"/>
            <w:vAlign w:val="center"/>
            <w:hideMark/>
          </w:tcPr>
          <w:p w14:paraId="725D87B3" w14:textId="4CFCDA4E"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15.5</w:t>
            </w:r>
          </w:p>
        </w:tc>
        <w:tc>
          <w:tcPr>
            <w:tcW w:w="851" w:type="dxa"/>
            <w:tcBorders>
              <w:top w:val="nil"/>
              <w:left w:val="nil"/>
              <w:bottom w:val="single" w:sz="8" w:space="0" w:color="C6D9F1"/>
              <w:right w:val="single" w:sz="8" w:space="0" w:color="376091"/>
            </w:tcBorders>
            <w:shd w:val="clear" w:color="auto" w:fill="auto"/>
            <w:vAlign w:val="center"/>
            <w:hideMark/>
          </w:tcPr>
          <w:p w14:paraId="092BE474" w14:textId="5F54409A"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19.6</w:t>
            </w:r>
          </w:p>
        </w:tc>
        <w:tc>
          <w:tcPr>
            <w:tcW w:w="708" w:type="dxa"/>
            <w:tcBorders>
              <w:top w:val="nil"/>
              <w:left w:val="nil"/>
              <w:bottom w:val="single" w:sz="8" w:space="0" w:color="C6D9F1"/>
              <w:right w:val="single" w:sz="8" w:space="0" w:color="376091"/>
            </w:tcBorders>
            <w:shd w:val="clear" w:color="auto" w:fill="auto"/>
            <w:vAlign w:val="center"/>
            <w:hideMark/>
          </w:tcPr>
          <w:p w14:paraId="73E7E485" w14:textId="1A087B78"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65.2</w:t>
            </w:r>
          </w:p>
        </w:tc>
        <w:tc>
          <w:tcPr>
            <w:tcW w:w="709" w:type="dxa"/>
            <w:tcBorders>
              <w:top w:val="nil"/>
              <w:left w:val="nil"/>
              <w:bottom w:val="single" w:sz="8" w:space="0" w:color="C6D9F1"/>
              <w:right w:val="single" w:sz="8" w:space="0" w:color="376091"/>
            </w:tcBorders>
            <w:shd w:val="clear" w:color="auto" w:fill="auto"/>
            <w:vAlign w:val="center"/>
            <w:hideMark/>
          </w:tcPr>
          <w:p w14:paraId="2236ACDE" w14:textId="7CA39ED4"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26.2</w:t>
            </w:r>
          </w:p>
        </w:tc>
        <w:tc>
          <w:tcPr>
            <w:tcW w:w="851" w:type="dxa"/>
            <w:tcBorders>
              <w:top w:val="nil"/>
              <w:left w:val="nil"/>
              <w:bottom w:val="single" w:sz="8" w:space="0" w:color="C6D9F1"/>
              <w:right w:val="single" w:sz="8" w:space="0" w:color="376091"/>
            </w:tcBorders>
            <w:vAlign w:val="center"/>
          </w:tcPr>
          <w:p w14:paraId="26927F84" w14:textId="2707B3DF"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27.8</w:t>
            </w:r>
          </w:p>
        </w:tc>
      </w:tr>
      <w:tr w:rsidR="00831EED" w:rsidRPr="00E7630F" w14:paraId="2729E31F" w14:textId="77777777" w:rsidTr="00831EED">
        <w:trPr>
          <w:trHeight w:val="113"/>
        </w:trPr>
        <w:tc>
          <w:tcPr>
            <w:tcW w:w="1843" w:type="dxa"/>
            <w:tcBorders>
              <w:top w:val="nil"/>
              <w:left w:val="single" w:sz="8" w:space="0" w:color="376091"/>
              <w:bottom w:val="single" w:sz="8" w:space="0" w:color="C6D9F1"/>
              <w:right w:val="single" w:sz="8" w:space="0" w:color="376091"/>
            </w:tcBorders>
            <w:shd w:val="clear" w:color="auto" w:fill="auto"/>
            <w:noWrap/>
            <w:vAlign w:val="center"/>
            <w:hideMark/>
          </w:tcPr>
          <w:p w14:paraId="7C3C3960" w14:textId="77777777" w:rsidR="00831EED" w:rsidRPr="00513E8F" w:rsidRDefault="00831EED" w:rsidP="00831EED">
            <w:pPr>
              <w:spacing w:after="0" w:line="240" w:lineRule="auto"/>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Morelos</w:t>
            </w:r>
          </w:p>
        </w:tc>
        <w:tc>
          <w:tcPr>
            <w:tcW w:w="992" w:type="dxa"/>
            <w:tcBorders>
              <w:top w:val="nil"/>
              <w:left w:val="nil"/>
              <w:bottom w:val="single" w:sz="8" w:space="0" w:color="C6D9F1"/>
              <w:right w:val="single" w:sz="8" w:space="0" w:color="376091"/>
            </w:tcBorders>
            <w:shd w:val="clear" w:color="auto" w:fill="auto"/>
            <w:vAlign w:val="center"/>
            <w:hideMark/>
          </w:tcPr>
          <w:p w14:paraId="2D721F0C" w14:textId="38C2AD54"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806,650</w:t>
            </w:r>
          </w:p>
        </w:tc>
        <w:tc>
          <w:tcPr>
            <w:tcW w:w="1110" w:type="dxa"/>
            <w:tcBorders>
              <w:top w:val="nil"/>
              <w:left w:val="nil"/>
              <w:bottom w:val="single" w:sz="8" w:space="0" w:color="C6D9F1"/>
              <w:right w:val="single" w:sz="8" w:space="0" w:color="376091"/>
            </w:tcBorders>
            <w:shd w:val="clear" w:color="auto" w:fill="auto"/>
            <w:vAlign w:val="center"/>
            <w:hideMark/>
          </w:tcPr>
          <w:p w14:paraId="0E1DDCEA" w14:textId="149F9B5C"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16,536</w:t>
            </w:r>
          </w:p>
        </w:tc>
        <w:tc>
          <w:tcPr>
            <w:tcW w:w="639" w:type="dxa"/>
            <w:tcBorders>
              <w:top w:val="nil"/>
              <w:left w:val="nil"/>
              <w:bottom w:val="single" w:sz="8" w:space="0" w:color="C6D9F1"/>
              <w:right w:val="single" w:sz="8" w:space="0" w:color="376091"/>
            </w:tcBorders>
            <w:shd w:val="clear" w:color="auto" w:fill="auto"/>
            <w:vAlign w:val="center"/>
            <w:hideMark/>
          </w:tcPr>
          <w:p w14:paraId="2AB0B069" w14:textId="0D7D4DA9"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52.4</w:t>
            </w:r>
          </w:p>
        </w:tc>
        <w:tc>
          <w:tcPr>
            <w:tcW w:w="801" w:type="dxa"/>
            <w:tcBorders>
              <w:top w:val="nil"/>
              <w:left w:val="nil"/>
              <w:bottom w:val="single" w:sz="8" w:space="0" w:color="C6D9F1"/>
              <w:right w:val="single" w:sz="8" w:space="0" w:color="376091"/>
            </w:tcBorders>
            <w:shd w:val="clear" w:color="auto" w:fill="auto"/>
            <w:vAlign w:val="center"/>
            <w:hideMark/>
          </w:tcPr>
          <w:p w14:paraId="576C76D9" w14:textId="2BFCBE94"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2.0</w:t>
            </w:r>
          </w:p>
        </w:tc>
        <w:tc>
          <w:tcPr>
            <w:tcW w:w="828" w:type="dxa"/>
            <w:tcBorders>
              <w:top w:val="nil"/>
              <w:left w:val="nil"/>
              <w:bottom w:val="single" w:sz="8" w:space="0" w:color="C6D9F1"/>
              <w:right w:val="single" w:sz="8" w:space="0" w:color="376091"/>
            </w:tcBorders>
            <w:shd w:val="clear" w:color="auto" w:fill="auto"/>
            <w:vAlign w:val="center"/>
            <w:hideMark/>
          </w:tcPr>
          <w:p w14:paraId="77184057" w14:textId="0AADA6DE"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5.9</w:t>
            </w:r>
          </w:p>
        </w:tc>
        <w:tc>
          <w:tcPr>
            <w:tcW w:w="708" w:type="dxa"/>
            <w:tcBorders>
              <w:top w:val="nil"/>
              <w:left w:val="nil"/>
              <w:bottom w:val="single" w:sz="8" w:space="0" w:color="C6D9F1"/>
              <w:right w:val="single" w:sz="8" w:space="0" w:color="376091"/>
            </w:tcBorders>
            <w:shd w:val="clear" w:color="auto" w:fill="auto"/>
            <w:vAlign w:val="center"/>
            <w:hideMark/>
          </w:tcPr>
          <w:p w14:paraId="78693DD1" w14:textId="3E3D8281"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3.3</w:t>
            </w:r>
          </w:p>
        </w:tc>
        <w:tc>
          <w:tcPr>
            <w:tcW w:w="709" w:type="dxa"/>
            <w:tcBorders>
              <w:top w:val="nil"/>
              <w:left w:val="nil"/>
              <w:bottom w:val="single" w:sz="8" w:space="0" w:color="C6D9F1"/>
              <w:right w:val="single" w:sz="8" w:space="0" w:color="376091"/>
            </w:tcBorders>
            <w:shd w:val="clear" w:color="auto" w:fill="auto"/>
            <w:vAlign w:val="center"/>
            <w:hideMark/>
          </w:tcPr>
          <w:p w14:paraId="787570A3" w14:textId="001FE804"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63.7</w:t>
            </w:r>
          </w:p>
        </w:tc>
        <w:tc>
          <w:tcPr>
            <w:tcW w:w="567" w:type="dxa"/>
            <w:tcBorders>
              <w:top w:val="nil"/>
              <w:left w:val="nil"/>
              <w:bottom w:val="single" w:sz="8" w:space="0" w:color="C6D9F1"/>
              <w:right w:val="single" w:sz="8" w:space="0" w:color="376091"/>
            </w:tcBorders>
            <w:shd w:val="clear" w:color="auto" w:fill="auto"/>
            <w:vAlign w:val="center"/>
            <w:hideMark/>
          </w:tcPr>
          <w:p w14:paraId="4C6F04D7" w14:textId="29E12645"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4.8</w:t>
            </w:r>
          </w:p>
        </w:tc>
        <w:tc>
          <w:tcPr>
            <w:tcW w:w="851" w:type="dxa"/>
            <w:tcBorders>
              <w:top w:val="nil"/>
              <w:left w:val="nil"/>
              <w:bottom w:val="single" w:sz="8" w:space="0" w:color="C6D9F1"/>
              <w:right w:val="single" w:sz="8" w:space="0" w:color="376091"/>
            </w:tcBorders>
            <w:shd w:val="clear" w:color="auto" w:fill="auto"/>
            <w:vAlign w:val="center"/>
            <w:hideMark/>
          </w:tcPr>
          <w:p w14:paraId="5A198E09" w14:textId="57DEA3F8"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21.0</w:t>
            </w:r>
          </w:p>
        </w:tc>
        <w:tc>
          <w:tcPr>
            <w:tcW w:w="708" w:type="dxa"/>
            <w:tcBorders>
              <w:top w:val="nil"/>
              <w:left w:val="nil"/>
              <w:bottom w:val="single" w:sz="8" w:space="0" w:color="C6D9F1"/>
              <w:right w:val="single" w:sz="8" w:space="0" w:color="376091"/>
            </w:tcBorders>
            <w:shd w:val="clear" w:color="auto" w:fill="auto"/>
            <w:vAlign w:val="center"/>
            <w:hideMark/>
          </w:tcPr>
          <w:p w14:paraId="216AD89F" w14:textId="65AD098F"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66.2</w:t>
            </w:r>
          </w:p>
        </w:tc>
        <w:tc>
          <w:tcPr>
            <w:tcW w:w="709" w:type="dxa"/>
            <w:tcBorders>
              <w:top w:val="nil"/>
              <w:left w:val="nil"/>
              <w:bottom w:val="single" w:sz="8" w:space="0" w:color="C6D9F1"/>
              <w:right w:val="single" w:sz="8" w:space="0" w:color="376091"/>
            </w:tcBorders>
            <w:shd w:val="clear" w:color="auto" w:fill="auto"/>
            <w:vAlign w:val="center"/>
            <w:hideMark/>
          </w:tcPr>
          <w:p w14:paraId="1B050E13" w14:textId="5A871D96"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35.3</w:t>
            </w:r>
          </w:p>
        </w:tc>
        <w:tc>
          <w:tcPr>
            <w:tcW w:w="851" w:type="dxa"/>
            <w:tcBorders>
              <w:top w:val="nil"/>
              <w:left w:val="nil"/>
              <w:bottom w:val="single" w:sz="8" w:space="0" w:color="C6D9F1"/>
              <w:right w:val="single" w:sz="8" w:space="0" w:color="376091"/>
            </w:tcBorders>
            <w:vAlign w:val="center"/>
          </w:tcPr>
          <w:p w14:paraId="2BF9BF3A" w14:textId="2DCBCD35"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22.9</w:t>
            </w:r>
          </w:p>
        </w:tc>
      </w:tr>
      <w:tr w:rsidR="00831EED" w:rsidRPr="00E7630F" w14:paraId="1864A2D2" w14:textId="77777777" w:rsidTr="00831EED">
        <w:trPr>
          <w:trHeight w:val="113"/>
        </w:trPr>
        <w:tc>
          <w:tcPr>
            <w:tcW w:w="1843" w:type="dxa"/>
            <w:tcBorders>
              <w:top w:val="nil"/>
              <w:left w:val="single" w:sz="8" w:space="0" w:color="376091"/>
              <w:bottom w:val="single" w:sz="8" w:space="0" w:color="C6D9F1"/>
              <w:right w:val="single" w:sz="8" w:space="0" w:color="376091"/>
            </w:tcBorders>
            <w:shd w:val="clear" w:color="auto" w:fill="auto"/>
            <w:noWrap/>
            <w:vAlign w:val="center"/>
            <w:hideMark/>
          </w:tcPr>
          <w:p w14:paraId="0CFAE7F1" w14:textId="77777777" w:rsidR="00831EED" w:rsidRPr="00513E8F" w:rsidRDefault="00831EED" w:rsidP="00831EED">
            <w:pPr>
              <w:spacing w:after="0" w:line="240" w:lineRule="auto"/>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Nayarit</w:t>
            </w:r>
          </w:p>
        </w:tc>
        <w:tc>
          <w:tcPr>
            <w:tcW w:w="992" w:type="dxa"/>
            <w:tcBorders>
              <w:top w:val="nil"/>
              <w:left w:val="nil"/>
              <w:bottom w:val="single" w:sz="8" w:space="0" w:color="C6D9F1"/>
              <w:right w:val="single" w:sz="8" w:space="0" w:color="376091"/>
            </w:tcBorders>
            <w:shd w:val="clear" w:color="auto" w:fill="auto"/>
            <w:vAlign w:val="center"/>
            <w:hideMark/>
          </w:tcPr>
          <w:p w14:paraId="10A0CD90" w14:textId="62A2067B"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634,298</w:t>
            </w:r>
          </w:p>
        </w:tc>
        <w:tc>
          <w:tcPr>
            <w:tcW w:w="1110" w:type="dxa"/>
            <w:tcBorders>
              <w:top w:val="nil"/>
              <w:left w:val="nil"/>
              <w:bottom w:val="single" w:sz="8" w:space="0" w:color="C6D9F1"/>
              <w:right w:val="single" w:sz="8" w:space="0" w:color="376091"/>
            </w:tcBorders>
            <w:shd w:val="clear" w:color="auto" w:fill="auto"/>
            <w:vAlign w:val="center"/>
            <w:hideMark/>
          </w:tcPr>
          <w:p w14:paraId="03FACBF5" w14:textId="257C3137"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17,282</w:t>
            </w:r>
          </w:p>
        </w:tc>
        <w:tc>
          <w:tcPr>
            <w:tcW w:w="639" w:type="dxa"/>
            <w:tcBorders>
              <w:top w:val="nil"/>
              <w:left w:val="nil"/>
              <w:bottom w:val="single" w:sz="8" w:space="0" w:color="C6D9F1"/>
              <w:right w:val="single" w:sz="8" w:space="0" w:color="376091"/>
            </w:tcBorders>
            <w:shd w:val="clear" w:color="auto" w:fill="auto"/>
            <w:vAlign w:val="center"/>
            <w:hideMark/>
          </w:tcPr>
          <w:p w14:paraId="476F23C9" w14:textId="3BB959F8"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69.0</w:t>
            </w:r>
          </w:p>
        </w:tc>
        <w:tc>
          <w:tcPr>
            <w:tcW w:w="801" w:type="dxa"/>
            <w:tcBorders>
              <w:top w:val="nil"/>
              <w:left w:val="nil"/>
              <w:bottom w:val="single" w:sz="8" w:space="0" w:color="C6D9F1"/>
              <w:right w:val="single" w:sz="8" w:space="0" w:color="376091"/>
            </w:tcBorders>
            <w:shd w:val="clear" w:color="auto" w:fill="auto"/>
            <w:vAlign w:val="center"/>
            <w:hideMark/>
          </w:tcPr>
          <w:p w14:paraId="0DBCAF30" w14:textId="0A12659F"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2.7</w:t>
            </w:r>
          </w:p>
        </w:tc>
        <w:tc>
          <w:tcPr>
            <w:tcW w:w="828" w:type="dxa"/>
            <w:tcBorders>
              <w:top w:val="nil"/>
              <w:left w:val="nil"/>
              <w:bottom w:val="single" w:sz="8" w:space="0" w:color="C6D9F1"/>
              <w:right w:val="single" w:sz="8" w:space="0" w:color="376091"/>
            </w:tcBorders>
            <w:shd w:val="clear" w:color="auto" w:fill="auto"/>
            <w:vAlign w:val="center"/>
            <w:hideMark/>
          </w:tcPr>
          <w:p w14:paraId="1A997DC3" w14:textId="3CB4BED5"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11.6</w:t>
            </w:r>
          </w:p>
        </w:tc>
        <w:tc>
          <w:tcPr>
            <w:tcW w:w="708" w:type="dxa"/>
            <w:tcBorders>
              <w:top w:val="nil"/>
              <w:left w:val="nil"/>
              <w:bottom w:val="single" w:sz="8" w:space="0" w:color="C6D9F1"/>
              <w:right w:val="single" w:sz="8" w:space="0" w:color="376091"/>
            </w:tcBorders>
            <w:shd w:val="clear" w:color="auto" w:fill="auto"/>
            <w:vAlign w:val="center"/>
            <w:hideMark/>
          </w:tcPr>
          <w:p w14:paraId="0D7A5398" w14:textId="7914140D"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6.0</w:t>
            </w:r>
          </w:p>
        </w:tc>
        <w:tc>
          <w:tcPr>
            <w:tcW w:w="709" w:type="dxa"/>
            <w:tcBorders>
              <w:top w:val="nil"/>
              <w:left w:val="nil"/>
              <w:bottom w:val="single" w:sz="8" w:space="0" w:color="C6D9F1"/>
              <w:right w:val="single" w:sz="8" w:space="0" w:color="376091"/>
            </w:tcBorders>
            <w:shd w:val="clear" w:color="auto" w:fill="auto"/>
            <w:vAlign w:val="center"/>
            <w:hideMark/>
          </w:tcPr>
          <w:p w14:paraId="28E5B913" w14:textId="75C482D8"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64.5</w:t>
            </w:r>
          </w:p>
        </w:tc>
        <w:tc>
          <w:tcPr>
            <w:tcW w:w="567" w:type="dxa"/>
            <w:tcBorders>
              <w:top w:val="nil"/>
              <w:left w:val="nil"/>
              <w:bottom w:val="single" w:sz="8" w:space="0" w:color="C6D9F1"/>
              <w:right w:val="single" w:sz="8" w:space="0" w:color="376091"/>
            </w:tcBorders>
            <w:shd w:val="clear" w:color="auto" w:fill="auto"/>
            <w:vAlign w:val="center"/>
            <w:hideMark/>
          </w:tcPr>
          <w:p w14:paraId="0FF9D2FD" w14:textId="3DBA88C0"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14.2</w:t>
            </w:r>
          </w:p>
        </w:tc>
        <w:tc>
          <w:tcPr>
            <w:tcW w:w="851" w:type="dxa"/>
            <w:tcBorders>
              <w:top w:val="nil"/>
              <w:left w:val="nil"/>
              <w:bottom w:val="single" w:sz="8" w:space="0" w:color="C6D9F1"/>
              <w:right w:val="single" w:sz="8" w:space="0" w:color="376091"/>
            </w:tcBorders>
            <w:shd w:val="clear" w:color="auto" w:fill="auto"/>
            <w:vAlign w:val="center"/>
            <w:hideMark/>
          </w:tcPr>
          <w:p w14:paraId="7E1FF984" w14:textId="4ABC346B"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20.8</w:t>
            </w:r>
          </w:p>
        </w:tc>
        <w:tc>
          <w:tcPr>
            <w:tcW w:w="708" w:type="dxa"/>
            <w:tcBorders>
              <w:top w:val="nil"/>
              <w:left w:val="nil"/>
              <w:bottom w:val="single" w:sz="8" w:space="0" w:color="C6D9F1"/>
              <w:right w:val="single" w:sz="8" w:space="0" w:color="376091"/>
            </w:tcBorders>
            <w:shd w:val="clear" w:color="auto" w:fill="auto"/>
            <w:vAlign w:val="center"/>
            <w:hideMark/>
          </w:tcPr>
          <w:p w14:paraId="2BB43357" w14:textId="2A5DE5A9"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52.2</w:t>
            </w:r>
          </w:p>
        </w:tc>
        <w:tc>
          <w:tcPr>
            <w:tcW w:w="709" w:type="dxa"/>
            <w:tcBorders>
              <w:top w:val="nil"/>
              <w:left w:val="nil"/>
              <w:bottom w:val="single" w:sz="8" w:space="0" w:color="C6D9F1"/>
              <w:right w:val="single" w:sz="8" w:space="0" w:color="376091"/>
            </w:tcBorders>
            <w:shd w:val="clear" w:color="auto" w:fill="auto"/>
            <w:vAlign w:val="center"/>
            <w:hideMark/>
          </w:tcPr>
          <w:p w14:paraId="3B226A25" w14:textId="12BC9D5C"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22.5</w:t>
            </w:r>
          </w:p>
        </w:tc>
        <w:tc>
          <w:tcPr>
            <w:tcW w:w="851" w:type="dxa"/>
            <w:tcBorders>
              <w:top w:val="nil"/>
              <w:left w:val="nil"/>
              <w:bottom w:val="single" w:sz="8" w:space="0" w:color="C6D9F1"/>
              <w:right w:val="single" w:sz="8" w:space="0" w:color="376091"/>
            </w:tcBorders>
            <w:vAlign w:val="center"/>
          </w:tcPr>
          <w:p w14:paraId="324EE99B" w14:textId="7E55B645"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24.3</w:t>
            </w:r>
          </w:p>
        </w:tc>
      </w:tr>
      <w:tr w:rsidR="00831EED" w:rsidRPr="00E7630F" w14:paraId="2FEF7BEA" w14:textId="77777777" w:rsidTr="00831EED">
        <w:trPr>
          <w:trHeight w:val="113"/>
        </w:trPr>
        <w:tc>
          <w:tcPr>
            <w:tcW w:w="1843" w:type="dxa"/>
            <w:tcBorders>
              <w:top w:val="nil"/>
              <w:left w:val="single" w:sz="8" w:space="0" w:color="376091"/>
              <w:bottom w:val="single" w:sz="8" w:space="0" w:color="C6D9F1"/>
              <w:right w:val="single" w:sz="8" w:space="0" w:color="376091"/>
            </w:tcBorders>
            <w:shd w:val="clear" w:color="auto" w:fill="auto"/>
            <w:noWrap/>
            <w:vAlign w:val="center"/>
            <w:hideMark/>
          </w:tcPr>
          <w:p w14:paraId="67C71F03" w14:textId="77777777" w:rsidR="00831EED" w:rsidRPr="00513E8F" w:rsidRDefault="00831EED" w:rsidP="00831EED">
            <w:pPr>
              <w:spacing w:after="0" w:line="240" w:lineRule="auto"/>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Nuevo León</w:t>
            </w:r>
          </w:p>
        </w:tc>
        <w:tc>
          <w:tcPr>
            <w:tcW w:w="992" w:type="dxa"/>
            <w:tcBorders>
              <w:top w:val="nil"/>
              <w:left w:val="nil"/>
              <w:bottom w:val="single" w:sz="8" w:space="0" w:color="C6D9F1"/>
              <w:right w:val="single" w:sz="8" w:space="0" w:color="376091"/>
            </w:tcBorders>
            <w:shd w:val="clear" w:color="auto" w:fill="auto"/>
            <w:vAlign w:val="center"/>
            <w:hideMark/>
          </w:tcPr>
          <w:p w14:paraId="5CFDB64A" w14:textId="2CDDA18A"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2,649,505</w:t>
            </w:r>
          </w:p>
        </w:tc>
        <w:tc>
          <w:tcPr>
            <w:tcW w:w="1110" w:type="dxa"/>
            <w:tcBorders>
              <w:top w:val="nil"/>
              <w:left w:val="nil"/>
              <w:bottom w:val="single" w:sz="8" w:space="0" w:color="C6D9F1"/>
              <w:right w:val="single" w:sz="8" w:space="0" w:color="376091"/>
            </w:tcBorders>
            <w:shd w:val="clear" w:color="auto" w:fill="auto"/>
            <w:vAlign w:val="center"/>
            <w:hideMark/>
          </w:tcPr>
          <w:p w14:paraId="0C472CEC" w14:textId="653CE4D0"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135,675</w:t>
            </w:r>
          </w:p>
        </w:tc>
        <w:tc>
          <w:tcPr>
            <w:tcW w:w="639" w:type="dxa"/>
            <w:tcBorders>
              <w:top w:val="nil"/>
              <w:left w:val="nil"/>
              <w:bottom w:val="single" w:sz="8" w:space="0" w:color="C6D9F1"/>
              <w:right w:val="single" w:sz="8" w:space="0" w:color="376091"/>
            </w:tcBorders>
            <w:shd w:val="clear" w:color="auto" w:fill="auto"/>
            <w:vAlign w:val="center"/>
            <w:hideMark/>
          </w:tcPr>
          <w:p w14:paraId="21930CC3" w14:textId="1464C345"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59.0</w:t>
            </w:r>
          </w:p>
        </w:tc>
        <w:tc>
          <w:tcPr>
            <w:tcW w:w="801" w:type="dxa"/>
            <w:tcBorders>
              <w:top w:val="nil"/>
              <w:left w:val="nil"/>
              <w:bottom w:val="single" w:sz="8" w:space="0" w:color="C6D9F1"/>
              <w:right w:val="single" w:sz="8" w:space="0" w:color="376091"/>
            </w:tcBorders>
            <w:shd w:val="clear" w:color="auto" w:fill="auto"/>
            <w:vAlign w:val="center"/>
            <w:hideMark/>
          </w:tcPr>
          <w:p w14:paraId="215D6311" w14:textId="40C2F22C"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4.9</w:t>
            </w:r>
          </w:p>
        </w:tc>
        <w:tc>
          <w:tcPr>
            <w:tcW w:w="828" w:type="dxa"/>
            <w:tcBorders>
              <w:top w:val="nil"/>
              <w:left w:val="nil"/>
              <w:bottom w:val="single" w:sz="8" w:space="0" w:color="C6D9F1"/>
              <w:right w:val="single" w:sz="8" w:space="0" w:color="376091"/>
            </w:tcBorders>
            <w:shd w:val="clear" w:color="auto" w:fill="auto"/>
            <w:vAlign w:val="center"/>
            <w:hideMark/>
          </w:tcPr>
          <w:p w14:paraId="16AE4EEE" w14:textId="2497A38A"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9.1</w:t>
            </w:r>
          </w:p>
        </w:tc>
        <w:tc>
          <w:tcPr>
            <w:tcW w:w="708" w:type="dxa"/>
            <w:tcBorders>
              <w:top w:val="nil"/>
              <w:left w:val="nil"/>
              <w:bottom w:val="single" w:sz="8" w:space="0" w:color="C6D9F1"/>
              <w:right w:val="single" w:sz="8" w:space="0" w:color="376091"/>
            </w:tcBorders>
            <w:shd w:val="clear" w:color="auto" w:fill="auto"/>
            <w:vAlign w:val="center"/>
            <w:hideMark/>
          </w:tcPr>
          <w:p w14:paraId="3816CC70" w14:textId="367225F3"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8.0</w:t>
            </w:r>
          </w:p>
        </w:tc>
        <w:tc>
          <w:tcPr>
            <w:tcW w:w="709" w:type="dxa"/>
            <w:tcBorders>
              <w:top w:val="nil"/>
              <w:left w:val="nil"/>
              <w:bottom w:val="single" w:sz="8" w:space="0" w:color="C6D9F1"/>
              <w:right w:val="single" w:sz="8" w:space="0" w:color="376091"/>
            </w:tcBorders>
            <w:shd w:val="clear" w:color="auto" w:fill="auto"/>
            <w:vAlign w:val="center"/>
            <w:hideMark/>
          </w:tcPr>
          <w:p w14:paraId="5DADC591" w14:textId="682DBD8A"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76.5</w:t>
            </w:r>
          </w:p>
        </w:tc>
        <w:tc>
          <w:tcPr>
            <w:tcW w:w="567" w:type="dxa"/>
            <w:tcBorders>
              <w:top w:val="nil"/>
              <w:left w:val="nil"/>
              <w:bottom w:val="single" w:sz="8" w:space="0" w:color="C6D9F1"/>
              <w:right w:val="single" w:sz="8" w:space="0" w:color="376091"/>
            </w:tcBorders>
            <w:shd w:val="clear" w:color="auto" w:fill="auto"/>
            <w:vAlign w:val="center"/>
            <w:hideMark/>
          </w:tcPr>
          <w:p w14:paraId="6E81468E" w14:textId="06CDB040"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8.6</w:t>
            </w:r>
          </w:p>
        </w:tc>
        <w:tc>
          <w:tcPr>
            <w:tcW w:w="851" w:type="dxa"/>
            <w:tcBorders>
              <w:top w:val="nil"/>
              <w:left w:val="nil"/>
              <w:bottom w:val="single" w:sz="8" w:space="0" w:color="C6D9F1"/>
              <w:right w:val="single" w:sz="8" w:space="0" w:color="376091"/>
            </w:tcBorders>
            <w:shd w:val="clear" w:color="auto" w:fill="auto"/>
            <w:vAlign w:val="center"/>
            <w:hideMark/>
          </w:tcPr>
          <w:p w14:paraId="707CB197" w14:textId="42C6CD97"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13.4</w:t>
            </w:r>
          </w:p>
        </w:tc>
        <w:tc>
          <w:tcPr>
            <w:tcW w:w="708" w:type="dxa"/>
            <w:tcBorders>
              <w:top w:val="nil"/>
              <w:left w:val="nil"/>
              <w:bottom w:val="single" w:sz="8" w:space="0" w:color="C6D9F1"/>
              <w:right w:val="single" w:sz="8" w:space="0" w:color="376091"/>
            </w:tcBorders>
            <w:shd w:val="clear" w:color="auto" w:fill="auto"/>
            <w:vAlign w:val="center"/>
            <w:hideMark/>
          </w:tcPr>
          <w:p w14:paraId="7AB5DF5E" w14:textId="5F2FA103"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34.9</w:t>
            </w:r>
          </w:p>
        </w:tc>
        <w:tc>
          <w:tcPr>
            <w:tcW w:w="709" w:type="dxa"/>
            <w:tcBorders>
              <w:top w:val="nil"/>
              <w:left w:val="nil"/>
              <w:bottom w:val="single" w:sz="8" w:space="0" w:color="C6D9F1"/>
              <w:right w:val="single" w:sz="8" w:space="0" w:color="376091"/>
            </w:tcBorders>
            <w:shd w:val="clear" w:color="auto" w:fill="auto"/>
            <w:vAlign w:val="center"/>
            <w:hideMark/>
          </w:tcPr>
          <w:p w14:paraId="2E47208C" w14:textId="6D6D02AF"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20.6</w:t>
            </w:r>
          </w:p>
        </w:tc>
        <w:tc>
          <w:tcPr>
            <w:tcW w:w="851" w:type="dxa"/>
            <w:tcBorders>
              <w:top w:val="nil"/>
              <w:left w:val="nil"/>
              <w:bottom w:val="single" w:sz="8" w:space="0" w:color="C6D9F1"/>
              <w:right w:val="single" w:sz="8" w:space="0" w:color="376091"/>
            </w:tcBorders>
            <w:vAlign w:val="center"/>
          </w:tcPr>
          <w:p w14:paraId="79B85706" w14:textId="29C95AE4"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20.7</w:t>
            </w:r>
          </w:p>
        </w:tc>
      </w:tr>
      <w:tr w:rsidR="00831EED" w:rsidRPr="00E7630F" w14:paraId="537D7658" w14:textId="77777777" w:rsidTr="00831EED">
        <w:trPr>
          <w:trHeight w:val="113"/>
        </w:trPr>
        <w:tc>
          <w:tcPr>
            <w:tcW w:w="1843" w:type="dxa"/>
            <w:tcBorders>
              <w:top w:val="nil"/>
              <w:left w:val="single" w:sz="8" w:space="0" w:color="376091"/>
              <w:bottom w:val="single" w:sz="8" w:space="0" w:color="C6D9F1"/>
              <w:right w:val="single" w:sz="8" w:space="0" w:color="376091"/>
            </w:tcBorders>
            <w:shd w:val="clear" w:color="auto" w:fill="auto"/>
            <w:noWrap/>
            <w:vAlign w:val="center"/>
            <w:hideMark/>
          </w:tcPr>
          <w:p w14:paraId="117187DE" w14:textId="77777777" w:rsidR="00831EED" w:rsidRPr="00513E8F" w:rsidRDefault="00831EED" w:rsidP="00831EED">
            <w:pPr>
              <w:spacing w:after="0" w:line="240" w:lineRule="auto"/>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Oaxaca</w:t>
            </w:r>
          </w:p>
        </w:tc>
        <w:tc>
          <w:tcPr>
            <w:tcW w:w="992" w:type="dxa"/>
            <w:tcBorders>
              <w:top w:val="nil"/>
              <w:left w:val="nil"/>
              <w:bottom w:val="single" w:sz="8" w:space="0" w:color="C6D9F1"/>
              <w:right w:val="single" w:sz="8" w:space="0" w:color="376091"/>
            </w:tcBorders>
            <w:shd w:val="clear" w:color="auto" w:fill="auto"/>
            <w:vAlign w:val="center"/>
            <w:hideMark/>
          </w:tcPr>
          <w:p w14:paraId="4B760A8B" w14:textId="11E0F55B"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1,823,524</w:t>
            </w:r>
          </w:p>
        </w:tc>
        <w:tc>
          <w:tcPr>
            <w:tcW w:w="1110" w:type="dxa"/>
            <w:tcBorders>
              <w:top w:val="nil"/>
              <w:left w:val="nil"/>
              <w:bottom w:val="single" w:sz="8" w:space="0" w:color="C6D9F1"/>
              <w:right w:val="single" w:sz="8" w:space="0" w:color="376091"/>
            </w:tcBorders>
            <w:shd w:val="clear" w:color="auto" w:fill="auto"/>
            <w:vAlign w:val="center"/>
            <w:hideMark/>
          </w:tcPr>
          <w:p w14:paraId="0A7F477F" w14:textId="4975EC39"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28,413</w:t>
            </w:r>
          </w:p>
        </w:tc>
        <w:tc>
          <w:tcPr>
            <w:tcW w:w="639" w:type="dxa"/>
            <w:tcBorders>
              <w:top w:val="nil"/>
              <w:left w:val="nil"/>
              <w:bottom w:val="single" w:sz="8" w:space="0" w:color="C6D9F1"/>
              <w:right w:val="single" w:sz="8" w:space="0" w:color="376091"/>
            </w:tcBorders>
            <w:shd w:val="clear" w:color="auto" w:fill="auto"/>
            <w:vAlign w:val="center"/>
            <w:hideMark/>
          </w:tcPr>
          <w:p w14:paraId="4FE6942D" w14:textId="6D2A4834"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60.3</w:t>
            </w:r>
          </w:p>
        </w:tc>
        <w:tc>
          <w:tcPr>
            <w:tcW w:w="801" w:type="dxa"/>
            <w:tcBorders>
              <w:top w:val="nil"/>
              <w:left w:val="nil"/>
              <w:bottom w:val="single" w:sz="8" w:space="0" w:color="C6D9F1"/>
              <w:right w:val="single" w:sz="8" w:space="0" w:color="376091"/>
            </w:tcBorders>
            <w:shd w:val="clear" w:color="auto" w:fill="auto"/>
            <w:vAlign w:val="center"/>
            <w:hideMark/>
          </w:tcPr>
          <w:p w14:paraId="5BCF4F4C" w14:textId="2CF83305"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1.5</w:t>
            </w:r>
          </w:p>
        </w:tc>
        <w:tc>
          <w:tcPr>
            <w:tcW w:w="828" w:type="dxa"/>
            <w:tcBorders>
              <w:top w:val="nil"/>
              <w:left w:val="nil"/>
              <w:bottom w:val="single" w:sz="8" w:space="0" w:color="C6D9F1"/>
              <w:right w:val="single" w:sz="8" w:space="0" w:color="376091"/>
            </w:tcBorders>
            <w:shd w:val="clear" w:color="auto" w:fill="auto"/>
            <w:vAlign w:val="center"/>
            <w:hideMark/>
          </w:tcPr>
          <w:p w14:paraId="3B22055B" w14:textId="0A376288"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15.1</w:t>
            </w:r>
          </w:p>
        </w:tc>
        <w:tc>
          <w:tcPr>
            <w:tcW w:w="708" w:type="dxa"/>
            <w:tcBorders>
              <w:top w:val="nil"/>
              <w:left w:val="nil"/>
              <w:bottom w:val="single" w:sz="8" w:space="0" w:color="C6D9F1"/>
              <w:right w:val="single" w:sz="8" w:space="0" w:color="376091"/>
            </w:tcBorders>
            <w:shd w:val="clear" w:color="auto" w:fill="auto"/>
            <w:vAlign w:val="center"/>
            <w:hideMark/>
          </w:tcPr>
          <w:p w14:paraId="2334395F" w14:textId="648856B7"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6.2</w:t>
            </w:r>
          </w:p>
        </w:tc>
        <w:tc>
          <w:tcPr>
            <w:tcW w:w="709" w:type="dxa"/>
            <w:tcBorders>
              <w:top w:val="nil"/>
              <w:left w:val="nil"/>
              <w:bottom w:val="single" w:sz="8" w:space="0" w:color="C6D9F1"/>
              <w:right w:val="single" w:sz="8" w:space="0" w:color="376091"/>
            </w:tcBorders>
            <w:shd w:val="clear" w:color="auto" w:fill="auto"/>
            <w:vAlign w:val="center"/>
            <w:hideMark/>
          </w:tcPr>
          <w:p w14:paraId="2589A5AA" w14:textId="34012B74"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45.6</w:t>
            </w:r>
          </w:p>
        </w:tc>
        <w:tc>
          <w:tcPr>
            <w:tcW w:w="567" w:type="dxa"/>
            <w:tcBorders>
              <w:top w:val="nil"/>
              <w:left w:val="nil"/>
              <w:bottom w:val="single" w:sz="8" w:space="0" w:color="C6D9F1"/>
              <w:right w:val="single" w:sz="8" w:space="0" w:color="376091"/>
            </w:tcBorders>
            <w:shd w:val="clear" w:color="auto" w:fill="auto"/>
            <w:vAlign w:val="center"/>
            <w:hideMark/>
          </w:tcPr>
          <w:p w14:paraId="2CA52E6B" w14:textId="36A2977D"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18.6</w:t>
            </w:r>
          </w:p>
        </w:tc>
        <w:tc>
          <w:tcPr>
            <w:tcW w:w="851" w:type="dxa"/>
            <w:tcBorders>
              <w:top w:val="nil"/>
              <w:left w:val="nil"/>
              <w:bottom w:val="single" w:sz="8" w:space="0" w:color="C6D9F1"/>
              <w:right w:val="single" w:sz="8" w:space="0" w:color="376091"/>
            </w:tcBorders>
            <w:shd w:val="clear" w:color="auto" w:fill="auto"/>
            <w:vAlign w:val="center"/>
            <w:hideMark/>
          </w:tcPr>
          <w:p w14:paraId="57F29988" w14:textId="3C97C705"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31.9</w:t>
            </w:r>
          </w:p>
        </w:tc>
        <w:tc>
          <w:tcPr>
            <w:tcW w:w="708" w:type="dxa"/>
            <w:tcBorders>
              <w:top w:val="nil"/>
              <w:left w:val="nil"/>
              <w:bottom w:val="single" w:sz="8" w:space="0" w:color="C6D9F1"/>
              <w:right w:val="single" w:sz="8" w:space="0" w:color="376091"/>
            </w:tcBorders>
            <w:shd w:val="clear" w:color="auto" w:fill="auto"/>
            <w:vAlign w:val="center"/>
            <w:hideMark/>
          </w:tcPr>
          <w:p w14:paraId="10F8EE5F" w14:textId="0C2546C1"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79.7</w:t>
            </w:r>
          </w:p>
        </w:tc>
        <w:tc>
          <w:tcPr>
            <w:tcW w:w="709" w:type="dxa"/>
            <w:tcBorders>
              <w:top w:val="nil"/>
              <w:left w:val="nil"/>
              <w:bottom w:val="single" w:sz="8" w:space="0" w:color="C6D9F1"/>
              <w:right w:val="single" w:sz="8" w:space="0" w:color="376091"/>
            </w:tcBorders>
            <w:shd w:val="clear" w:color="auto" w:fill="auto"/>
            <w:vAlign w:val="center"/>
            <w:hideMark/>
          </w:tcPr>
          <w:p w14:paraId="38DD5E92" w14:textId="6CBA6373"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38.5</w:t>
            </w:r>
          </w:p>
        </w:tc>
        <w:tc>
          <w:tcPr>
            <w:tcW w:w="851" w:type="dxa"/>
            <w:tcBorders>
              <w:top w:val="nil"/>
              <w:left w:val="nil"/>
              <w:bottom w:val="single" w:sz="8" w:space="0" w:color="C6D9F1"/>
              <w:right w:val="single" w:sz="8" w:space="0" w:color="376091"/>
            </w:tcBorders>
            <w:vAlign w:val="center"/>
          </w:tcPr>
          <w:p w14:paraId="1F81D963" w14:textId="4792820A"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32.1</w:t>
            </w:r>
          </w:p>
        </w:tc>
      </w:tr>
      <w:tr w:rsidR="00831EED" w:rsidRPr="00E7630F" w14:paraId="5FAE39ED" w14:textId="77777777" w:rsidTr="00831EED">
        <w:trPr>
          <w:trHeight w:val="113"/>
        </w:trPr>
        <w:tc>
          <w:tcPr>
            <w:tcW w:w="1843" w:type="dxa"/>
            <w:tcBorders>
              <w:top w:val="nil"/>
              <w:left w:val="single" w:sz="8" w:space="0" w:color="376091"/>
              <w:bottom w:val="single" w:sz="8" w:space="0" w:color="C6D9F1"/>
              <w:right w:val="single" w:sz="8" w:space="0" w:color="376091"/>
            </w:tcBorders>
            <w:shd w:val="clear" w:color="auto" w:fill="auto"/>
            <w:noWrap/>
            <w:vAlign w:val="center"/>
            <w:hideMark/>
          </w:tcPr>
          <w:p w14:paraId="0F31DD79" w14:textId="77777777" w:rsidR="00831EED" w:rsidRPr="00513E8F" w:rsidRDefault="00831EED" w:rsidP="00831EED">
            <w:pPr>
              <w:spacing w:after="0" w:line="240" w:lineRule="auto"/>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Puebla</w:t>
            </w:r>
          </w:p>
        </w:tc>
        <w:tc>
          <w:tcPr>
            <w:tcW w:w="992" w:type="dxa"/>
            <w:tcBorders>
              <w:top w:val="nil"/>
              <w:left w:val="nil"/>
              <w:bottom w:val="single" w:sz="8" w:space="0" w:color="C6D9F1"/>
              <w:right w:val="single" w:sz="8" w:space="0" w:color="376091"/>
            </w:tcBorders>
            <w:shd w:val="clear" w:color="auto" w:fill="auto"/>
            <w:vAlign w:val="center"/>
            <w:hideMark/>
          </w:tcPr>
          <w:p w14:paraId="070A13B9" w14:textId="6857141B"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2,777,798</w:t>
            </w:r>
          </w:p>
        </w:tc>
        <w:tc>
          <w:tcPr>
            <w:tcW w:w="1110" w:type="dxa"/>
            <w:tcBorders>
              <w:top w:val="nil"/>
              <w:left w:val="nil"/>
              <w:bottom w:val="single" w:sz="8" w:space="0" w:color="C6D9F1"/>
              <w:right w:val="single" w:sz="8" w:space="0" w:color="376091"/>
            </w:tcBorders>
            <w:shd w:val="clear" w:color="auto" w:fill="auto"/>
            <w:vAlign w:val="center"/>
            <w:hideMark/>
          </w:tcPr>
          <w:p w14:paraId="28A34C7E" w14:textId="1546ED05"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99,471</w:t>
            </w:r>
          </w:p>
        </w:tc>
        <w:tc>
          <w:tcPr>
            <w:tcW w:w="639" w:type="dxa"/>
            <w:tcBorders>
              <w:top w:val="nil"/>
              <w:left w:val="nil"/>
              <w:bottom w:val="single" w:sz="8" w:space="0" w:color="C6D9F1"/>
              <w:right w:val="single" w:sz="8" w:space="0" w:color="376091"/>
            </w:tcBorders>
            <w:shd w:val="clear" w:color="auto" w:fill="auto"/>
            <w:vAlign w:val="center"/>
            <w:hideMark/>
          </w:tcPr>
          <w:p w14:paraId="1BBA3EAA" w14:textId="56D7BB53"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57.8</w:t>
            </w:r>
          </w:p>
        </w:tc>
        <w:tc>
          <w:tcPr>
            <w:tcW w:w="801" w:type="dxa"/>
            <w:tcBorders>
              <w:top w:val="nil"/>
              <w:left w:val="nil"/>
              <w:bottom w:val="single" w:sz="8" w:space="0" w:color="C6D9F1"/>
              <w:right w:val="single" w:sz="8" w:space="0" w:color="376091"/>
            </w:tcBorders>
            <w:shd w:val="clear" w:color="auto" w:fill="auto"/>
            <w:vAlign w:val="center"/>
            <w:hideMark/>
          </w:tcPr>
          <w:p w14:paraId="5302BEC6" w14:textId="3049DBAF"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3.5</w:t>
            </w:r>
          </w:p>
        </w:tc>
        <w:tc>
          <w:tcPr>
            <w:tcW w:w="828" w:type="dxa"/>
            <w:tcBorders>
              <w:top w:val="nil"/>
              <w:left w:val="nil"/>
              <w:bottom w:val="single" w:sz="8" w:space="0" w:color="C6D9F1"/>
              <w:right w:val="single" w:sz="8" w:space="0" w:color="376091"/>
            </w:tcBorders>
            <w:shd w:val="clear" w:color="auto" w:fill="auto"/>
            <w:vAlign w:val="center"/>
            <w:hideMark/>
          </w:tcPr>
          <w:p w14:paraId="2B5D828E" w14:textId="19F21803"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8.3</w:t>
            </w:r>
          </w:p>
        </w:tc>
        <w:tc>
          <w:tcPr>
            <w:tcW w:w="708" w:type="dxa"/>
            <w:tcBorders>
              <w:top w:val="nil"/>
              <w:left w:val="nil"/>
              <w:bottom w:val="single" w:sz="8" w:space="0" w:color="C6D9F1"/>
              <w:right w:val="single" w:sz="8" w:space="0" w:color="376091"/>
            </w:tcBorders>
            <w:shd w:val="clear" w:color="auto" w:fill="auto"/>
            <w:vAlign w:val="center"/>
            <w:hideMark/>
          </w:tcPr>
          <w:p w14:paraId="3D664625" w14:textId="663A6842"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7.6</w:t>
            </w:r>
          </w:p>
        </w:tc>
        <w:tc>
          <w:tcPr>
            <w:tcW w:w="709" w:type="dxa"/>
            <w:tcBorders>
              <w:top w:val="nil"/>
              <w:left w:val="nil"/>
              <w:bottom w:val="single" w:sz="8" w:space="0" w:color="C6D9F1"/>
              <w:right w:val="single" w:sz="8" w:space="0" w:color="376091"/>
            </w:tcBorders>
            <w:shd w:val="clear" w:color="auto" w:fill="auto"/>
            <w:vAlign w:val="center"/>
            <w:hideMark/>
          </w:tcPr>
          <w:p w14:paraId="179DDB00" w14:textId="50A14C3F"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61.3</w:t>
            </w:r>
          </w:p>
        </w:tc>
        <w:tc>
          <w:tcPr>
            <w:tcW w:w="567" w:type="dxa"/>
            <w:tcBorders>
              <w:top w:val="nil"/>
              <w:left w:val="nil"/>
              <w:bottom w:val="single" w:sz="8" w:space="0" w:color="C6D9F1"/>
              <w:right w:val="single" w:sz="8" w:space="0" w:color="376091"/>
            </w:tcBorders>
            <w:shd w:val="clear" w:color="auto" w:fill="auto"/>
            <w:vAlign w:val="center"/>
            <w:hideMark/>
          </w:tcPr>
          <w:p w14:paraId="1DE75583" w14:textId="5BB5DFF2"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14.9</w:t>
            </w:r>
          </w:p>
        </w:tc>
        <w:tc>
          <w:tcPr>
            <w:tcW w:w="851" w:type="dxa"/>
            <w:tcBorders>
              <w:top w:val="nil"/>
              <w:left w:val="nil"/>
              <w:bottom w:val="single" w:sz="8" w:space="0" w:color="C6D9F1"/>
              <w:right w:val="single" w:sz="8" w:space="0" w:color="376091"/>
            </w:tcBorders>
            <w:shd w:val="clear" w:color="auto" w:fill="auto"/>
            <w:vAlign w:val="center"/>
            <w:hideMark/>
          </w:tcPr>
          <w:p w14:paraId="4EC83325" w14:textId="6EB2DE4D"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29.7</w:t>
            </w:r>
          </w:p>
        </w:tc>
        <w:tc>
          <w:tcPr>
            <w:tcW w:w="708" w:type="dxa"/>
            <w:tcBorders>
              <w:top w:val="nil"/>
              <w:left w:val="nil"/>
              <w:bottom w:val="single" w:sz="8" w:space="0" w:color="C6D9F1"/>
              <w:right w:val="single" w:sz="8" w:space="0" w:color="376091"/>
            </w:tcBorders>
            <w:shd w:val="clear" w:color="auto" w:fill="auto"/>
            <w:vAlign w:val="center"/>
            <w:hideMark/>
          </w:tcPr>
          <w:p w14:paraId="715EE0E3" w14:textId="2E7D2660"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72.5</w:t>
            </w:r>
          </w:p>
        </w:tc>
        <w:tc>
          <w:tcPr>
            <w:tcW w:w="709" w:type="dxa"/>
            <w:tcBorders>
              <w:top w:val="nil"/>
              <w:left w:val="nil"/>
              <w:bottom w:val="single" w:sz="8" w:space="0" w:color="C6D9F1"/>
              <w:right w:val="single" w:sz="8" w:space="0" w:color="376091"/>
            </w:tcBorders>
            <w:shd w:val="clear" w:color="auto" w:fill="auto"/>
            <w:vAlign w:val="center"/>
            <w:hideMark/>
          </w:tcPr>
          <w:p w14:paraId="5FE66B7C" w14:textId="3E15025A"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34.0</w:t>
            </w:r>
          </w:p>
        </w:tc>
        <w:tc>
          <w:tcPr>
            <w:tcW w:w="851" w:type="dxa"/>
            <w:tcBorders>
              <w:top w:val="nil"/>
              <w:left w:val="nil"/>
              <w:bottom w:val="single" w:sz="8" w:space="0" w:color="C6D9F1"/>
              <w:right w:val="single" w:sz="8" w:space="0" w:color="376091"/>
            </w:tcBorders>
            <w:vAlign w:val="center"/>
          </w:tcPr>
          <w:p w14:paraId="25B65A2D" w14:textId="1A5E15BB"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32.5</w:t>
            </w:r>
          </w:p>
        </w:tc>
      </w:tr>
      <w:tr w:rsidR="00831EED" w:rsidRPr="00E7630F" w14:paraId="1EA395EF" w14:textId="77777777" w:rsidTr="00831EED">
        <w:trPr>
          <w:trHeight w:val="113"/>
        </w:trPr>
        <w:tc>
          <w:tcPr>
            <w:tcW w:w="1843" w:type="dxa"/>
            <w:tcBorders>
              <w:top w:val="nil"/>
              <w:left w:val="single" w:sz="8" w:space="0" w:color="376091"/>
              <w:bottom w:val="single" w:sz="8" w:space="0" w:color="C6D9F1"/>
              <w:right w:val="single" w:sz="8" w:space="0" w:color="376091"/>
            </w:tcBorders>
            <w:shd w:val="clear" w:color="auto" w:fill="auto"/>
            <w:noWrap/>
            <w:vAlign w:val="center"/>
            <w:hideMark/>
          </w:tcPr>
          <w:p w14:paraId="39F1212C" w14:textId="77777777" w:rsidR="00831EED" w:rsidRPr="00513E8F" w:rsidRDefault="00831EED" w:rsidP="00831EED">
            <w:pPr>
              <w:spacing w:after="0" w:line="240" w:lineRule="auto"/>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Querétaro</w:t>
            </w:r>
          </w:p>
        </w:tc>
        <w:tc>
          <w:tcPr>
            <w:tcW w:w="992" w:type="dxa"/>
            <w:tcBorders>
              <w:top w:val="nil"/>
              <w:left w:val="nil"/>
              <w:bottom w:val="single" w:sz="8" w:space="0" w:color="C6D9F1"/>
              <w:right w:val="single" w:sz="8" w:space="0" w:color="376091"/>
            </w:tcBorders>
            <w:shd w:val="clear" w:color="auto" w:fill="auto"/>
            <w:vAlign w:val="center"/>
            <w:hideMark/>
          </w:tcPr>
          <w:p w14:paraId="72927A49" w14:textId="59D9D303"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960,340</w:t>
            </w:r>
          </w:p>
        </w:tc>
        <w:tc>
          <w:tcPr>
            <w:tcW w:w="1110" w:type="dxa"/>
            <w:tcBorders>
              <w:top w:val="nil"/>
              <w:left w:val="nil"/>
              <w:bottom w:val="single" w:sz="8" w:space="0" w:color="C6D9F1"/>
              <w:right w:val="single" w:sz="8" w:space="0" w:color="376091"/>
            </w:tcBorders>
            <w:shd w:val="clear" w:color="auto" w:fill="auto"/>
            <w:vAlign w:val="center"/>
            <w:hideMark/>
          </w:tcPr>
          <w:p w14:paraId="786A3289" w14:textId="34230BBA"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49,955</w:t>
            </w:r>
          </w:p>
        </w:tc>
        <w:tc>
          <w:tcPr>
            <w:tcW w:w="639" w:type="dxa"/>
            <w:tcBorders>
              <w:top w:val="nil"/>
              <w:left w:val="nil"/>
              <w:bottom w:val="single" w:sz="8" w:space="0" w:color="C6D9F1"/>
              <w:right w:val="single" w:sz="8" w:space="0" w:color="376091"/>
            </w:tcBorders>
            <w:shd w:val="clear" w:color="auto" w:fill="auto"/>
            <w:vAlign w:val="center"/>
            <w:hideMark/>
          </w:tcPr>
          <w:p w14:paraId="1D21A0E4" w14:textId="0562A3F4"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54.4</w:t>
            </w:r>
          </w:p>
        </w:tc>
        <w:tc>
          <w:tcPr>
            <w:tcW w:w="801" w:type="dxa"/>
            <w:tcBorders>
              <w:top w:val="nil"/>
              <w:left w:val="nil"/>
              <w:bottom w:val="single" w:sz="8" w:space="0" w:color="C6D9F1"/>
              <w:right w:val="single" w:sz="8" w:space="0" w:color="376091"/>
            </w:tcBorders>
            <w:shd w:val="clear" w:color="auto" w:fill="auto"/>
            <w:vAlign w:val="center"/>
            <w:hideMark/>
          </w:tcPr>
          <w:p w14:paraId="2E260CB1" w14:textId="75F1DE67"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4.9</w:t>
            </w:r>
          </w:p>
        </w:tc>
        <w:tc>
          <w:tcPr>
            <w:tcW w:w="828" w:type="dxa"/>
            <w:tcBorders>
              <w:top w:val="nil"/>
              <w:left w:val="nil"/>
              <w:bottom w:val="single" w:sz="8" w:space="0" w:color="C6D9F1"/>
              <w:right w:val="single" w:sz="8" w:space="0" w:color="376091"/>
            </w:tcBorders>
            <w:shd w:val="clear" w:color="auto" w:fill="auto"/>
            <w:vAlign w:val="center"/>
            <w:hideMark/>
          </w:tcPr>
          <w:p w14:paraId="04C1AF2E" w14:textId="7ADFE528"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8.8</w:t>
            </w:r>
          </w:p>
        </w:tc>
        <w:tc>
          <w:tcPr>
            <w:tcW w:w="708" w:type="dxa"/>
            <w:tcBorders>
              <w:top w:val="nil"/>
              <w:left w:val="nil"/>
              <w:bottom w:val="single" w:sz="8" w:space="0" w:color="C6D9F1"/>
              <w:right w:val="single" w:sz="8" w:space="0" w:color="376091"/>
            </w:tcBorders>
            <w:shd w:val="clear" w:color="auto" w:fill="auto"/>
            <w:vAlign w:val="center"/>
            <w:hideMark/>
          </w:tcPr>
          <w:p w14:paraId="156A3920" w14:textId="649925DE"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6.7</w:t>
            </w:r>
          </w:p>
        </w:tc>
        <w:tc>
          <w:tcPr>
            <w:tcW w:w="709" w:type="dxa"/>
            <w:tcBorders>
              <w:top w:val="nil"/>
              <w:left w:val="nil"/>
              <w:bottom w:val="single" w:sz="8" w:space="0" w:color="C6D9F1"/>
              <w:right w:val="single" w:sz="8" w:space="0" w:color="376091"/>
            </w:tcBorders>
            <w:shd w:val="clear" w:color="auto" w:fill="auto"/>
            <w:vAlign w:val="center"/>
            <w:hideMark/>
          </w:tcPr>
          <w:p w14:paraId="271E4A0E" w14:textId="7AEEFF90"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71.7</w:t>
            </w:r>
          </w:p>
        </w:tc>
        <w:tc>
          <w:tcPr>
            <w:tcW w:w="567" w:type="dxa"/>
            <w:tcBorders>
              <w:top w:val="nil"/>
              <w:left w:val="nil"/>
              <w:bottom w:val="single" w:sz="8" w:space="0" w:color="C6D9F1"/>
              <w:right w:val="single" w:sz="8" w:space="0" w:color="376091"/>
            </w:tcBorders>
            <w:shd w:val="clear" w:color="auto" w:fill="auto"/>
            <w:vAlign w:val="center"/>
            <w:hideMark/>
          </w:tcPr>
          <w:p w14:paraId="500BD539" w14:textId="4F07F1ED"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6.0</w:t>
            </w:r>
          </w:p>
        </w:tc>
        <w:tc>
          <w:tcPr>
            <w:tcW w:w="851" w:type="dxa"/>
            <w:tcBorders>
              <w:top w:val="nil"/>
              <w:left w:val="nil"/>
              <w:bottom w:val="single" w:sz="8" w:space="0" w:color="C6D9F1"/>
              <w:right w:val="single" w:sz="8" w:space="0" w:color="376091"/>
            </w:tcBorders>
            <w:shd w:val="clear" w:color="auto" w:fill="auto"/>
            <w:vAlign w:val="center"/>
            <w:hideMark/>
          </w:tcPr>
          <w:p w14:paraId="70FFD940" w14:textId="654C0D3E"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16.6</w:t>
            </w:r>
          </w:p>
        </w:tc>
        <w:tc>
          <w:tcPr>
            <w:tcW w:w="708" w:type="dxa"/>
            <w:tcBorders>
              <w:top w:val="nil"/>
              <w:left w:val="nil"/>
              <w:bottom w:val="single" w:sz="8" w:space="0" w:color="C6D9F1"/>
              <w:right w:val="single" w:sz="8" w:space="0" w:color="376091"/>
            </w:tcBorders>
            <w:shd w:val="clear" w:color="auto" w:fill="auto"/>
            <w:vAlign w:val="center"/>
            <w:hideMark/>
          </w:tcPr>
          <w:p w14:paraId="223E5B85" w14:textId="1F0BF098"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42.3</w:t>
            </w:r>
          </w:p>
        </w:tc>
        <w:tc>
          <w:tcPr>
            <w:tcW w:w="709" w:type="dxa"/>
            <w:tcBorders>
              <w:top w:val="nil"/>
              <w:left w:val="nil"/>
              <w:bottom w:val="single" w:sz="8" w:space="0" w:color="C6D9F1"/>
              <w:right w:val="single" w:sz="8" w:space="0" w:color="376091"/>
            </w:tcBorders>
            <w:shd w:val="clear" w:color="auto" w:fill="auto"/>
            <w:vAlign w:val="center"/>
            <w:hideMark/>
          </w:tcPr>
          <w:p w14:paraId="4D49CD1D" w14:textId="7E9BDEF7"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20.7</w:t>
            </w:r>
          </w:p>
        </w:tc>
        <w:tc>
          <w:tcPr>
            <w:tcW w:w="851" w:type="dxa"/>
            <w:tcBorders>
              <w:top w:val="nil"/>
              <w:left w:val="nil"/>
              <w:bottom w:val="single" w:sz="8" w:space="0" w:color="C6D9F1"/>
              <w:right w:val="single" w:sz="8" w:space="0" w:color="376091"/>
            </w:tcBorders>
            <w:vAlign w:val="center"/>
          </w:tcPr>
          <w:p w14:paraId="234EBC89" w14:textId="07A77578"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19.5</w:t>
            </w:r>
          </w:p>
        </w:tc>
      </w:tr>
      <w:tr w:rsidR="00831EED" w:rsidRPr="00E7630F" w14:paraId="5D959B6B" w14:textId="77777777" w:rsidTr="00831EED">
        <w:trPr>
          <w:trHeight w:val="113"/>
        </w:trPr>
        <w:tc>
          <w:tcPr>
            <w:tcW w:w="1843" w:type="dxa"/>
            <w:tcBorders>
              <w:top w:val="nil"/>
              <w:left w:val="single" w:sz="8" w:space="0" w:color="376091"/>
              <w:bottom w:val="single" w:sz="8" w:space="0" w:color="C6D9F1"/>
              <w:right w:val="single" w:sz="8" w:space="0" w:color="376091"/>
            </w:tcBorders>
            <w:shd w:val="clear" w:color="auto" w:fill="auto"/>
            <w:noWrap/>
            <w:vAlign w:val="center"/>
            <w:hideMark/>
          </w:tcPr>
          <w:p w14:paraId="04BBB437" w14:textId="77777777" w:rsidR="00831EED" w:rsidRPr="00513E8F" w:rsidRDefault="00831EED" w:rsidP="00831EED">
            <w:pPr>
              <w:spacing w:after="0" w:line="240" w:lineRule="auto"/>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Quintana Roo</w:t>
            </w:r>
          </w:p>
        </w:tc>
        <w:tc>
          <w:tcPr>
            <w:tcW w:w="992" w:type="dxa"/>
            <w:tcBorders>
              <w:top w:val="nil"/>
              <w:left w:val="nil"/>
              <w:bottom w:val="single" w:sz="8" w:space="0" w:color="C6D9F1"/>
              <w:right w:val="single" w:sz="8" w:space="0" w:color="376091"/>
            </w:tcBorders>
            <w:shd w:val="clear" w:color="auto" w:fill="auto"/>
            <w:vAlign w:val="center"/>
            <w:hideMark/>
          </w:tcPr>
          <w:p w14:paraId="2FFD52E9" w14:textId="72CB8B8B"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843,622</w:t>
            </w:r>
          </w:p>
        </w:tc>
        <w:tc>
          <w:tcPr>
            <w:tcW w:w="1110" w:type="dxa"/>
            <w:tcBorders>
              <w:top w:val="nil"/>
              <w:left w:val="nil"/>
              <w:bottom w:val="single" w:sz="8" w:space="0" w:color="C6D9F1"/>
              <w:right w:val="single" w:sz="8" w:space="0" w:color="376091"/>
            </w:tcBorders>
            <w:shd w:val="clear" w:color="auto" w:fill="auto"/>
            <w:vAlign w:val="center"/>
            <w:hideMark/>
          </w:tcPr>
          <w:p w14:paraId="24627F93" w14:textId="1725398A"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75,437</w:t>
            </w:r>
          </w:p>
        </w:tc>
        <w:tc>
          <w:tcPr>
            <w:tcW w:w="639" w:type="dxa"/>
            <w:tcBorders>
              <w:top w:val="nil"/>
              <w:left w:val="nil"/>
              <w:bottom w:val="single" w:sz="8" w:space="0" w:color="C6D9F1"/>
              <w:right w:val="single" w:sz="8" w:space="0" w:color="376091"/>
            </w:tcBorders>
            <w:shd w:val="clear" w:color="auto" w:fill="auto"/>
            <w:vAlign w:val="center"/>
            <w:hideMark/>
          </w:tcPr>
          <w:p w14:paraId="71C4F674" w14:textId="1BBF3067"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63.8</w:t>
            </w:r>
          </w:p>
        </w:tc>
        <w:tc>
          <w:tcPr>
            <w:tcW w:w="801" w:type="dxa"/>
            <w:tcBorders>
              <w:top w:val="nil"/>
              <w:left w:val="nil"/>
              <w:bottom w:val="single" w:sz="8" w:space="0" w:color="C6D9F1"/>
              <w:right w:val="single" w:sz="8" w:space="0" w:color="376091"/>
            </w:tcBorders>
            <w:shd w:val="clear" w:color="auto" w:fill="auto"/>
            <w:vAlign w:val="center"/>
            <w:hideMark/>
          </w:tcPr>
          <w:p w14:paraId="2C2FA7FE" w14:textId="639DEEBA"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8.2</w:t>
            </w:r>
          </w:p>
        </w:tc>
        <w:tc>
          <w:tcPr>
            <w:tcW w:w="828" w:type="dxa"/>
            <w:tcBorders>
              <w:top w:val="nil"/>
              <w:left w:val="nil"/>
              <w:bottom w:val="single" w:sz="8" w:space="0" w:color="C6D9F1"/>
              <w:right w:val="single" w:sz="8" w:space="0" w:color="376091"/>
            </w:tcBorders>
            <w:shd w:val="clear" w:color="auto" w:fill="auto"/>
            <w:vAlign w:val="center"/>
            <w:hideMark/>
          </w:tcPr>
          <w:p w14:paraId="3B4C8BD2" w14:textId="6B970151"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14.5</w:t>
            </w:r>
          </w:p>
        </w:tc>
        <w:tc>
          <w:tcPr>
            <w:tcW w:w="708" w:type="dxa"/>
            <w:tcBorders>
              <w:top w:val="nil"/>
              <w:left w:val="nil"/>
              <w:bottom w:val="single" w:sz="8" w:space="0" w:color="C6D9F1"/>
              <w:right w:val="single" w:sz="8" w:space="0" w:color="376091"/>
            </w:tcBorders>
            <w:shd w:val="clear" w:color="auto" w:fill="auto"/>
            <w:vAlign w:val="center"/>
            <w:hideMark/>
          </w:tcPr>
          <w:p w14:paraId="029CDB3F" w14:textId="5E6D0435"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12.9</w:t>
            </w:r>
          </w:p>
        </w:tc>
        <w:tc>
          <w:tcPr>
            <w:tcW w:w="709" w:type="dxa"/>
            <w:tcBorders>
              <w:top w:val="nil"/>
              <w:left w:val="nil"/>
              <w:bottom w:val="single" w:sz="8" w:space="0" w:color="C6D9F1"/>
              <w:right w:val="single" w:sz="8" w:space="0" w:color="376091"/>
            </w:tcBorders>
            <w:shd w:val="clear" w:color="auto" w:fill="auto"/>
            <w:vAlign w:val="center"/>
            <w:hideMark/>
          </w:tcPr>
          <w:p w14:paraId="5693BF33" w14:textId="26854847"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66.7</w:t>
            </w:r>
          </w:p>
        </w:tc>
        <w:tc>
          <w:tcPr>
            <w:tcW w:w="567" w:type="dxa"/>
            <w:tcBorders>
              <w:top w:val="nil"/>
              <w:left w:val="nil"/>
              <w:bottom w:val="single" w:sz="8" w:space="0" w:color="C6D9F1"/>
              <w:right w:val="single" w:sz="8" w:space="0" w:color="376091"/>
            </w:tcBorders>
            <w:shd w:val="clear" w:color="auto" w:fill="auto"/>
            <w:vAlign w:val="center"/>
            <w:hideMark/>
          </w:tcPr>
          <w:p w14:paraId="7D1AF406" w14:textId="47322143"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12.3</w:t>
            </w:r>
          </w:p>
        </w:tc>
        <w:tc>
          <w:tcPr>
            <w:tcW w:w="851" w:type="dxa"/>
            <w:tcBorders>
              <w:top w:val="nil"/>
              <w:left w:val="nil"/>
              <w:bottom w:val="single" w:sz="8" w:space="0" w:color="C6D9F1"/>
              <w:right w:val="single" w:sz="8" w:space="0" w:color="376091"/>
            </w:tcBorders>
            <w:shd w:val="clear" w:color="auto" w:fill="auto"/>
            <w:vAlign w:val="center"/>
            <w:hideMark/>
          </w:tcPr>
          <w:p w14:paraId="0E107BA0" w14:textId="619C005F"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26.5</w:t>
            </w:r>
          </w:p>
        </w:tc>
        <w:tc>
          <w:tcPr>
            <w:tcW w:w="708" w:type="dxa"/>
            <w:tcBorders>
              <w:top w:val="nil"/>
              <w:left w:val="nil"/>
              <w:bottom w:val="single" w:sz="8" w:space="0" w:color="C6D9F1"/>
              <w:right w:val="single" w:sz="8" w:space="0" w:color="376091"/>
            </w:tcBorders>
            <w:shd w:val="clear" w:color="auto" w:fill="auto"/>
            <w:vAlign w:val="center"/>
            <w:hideMark/>
          </w:tcPr>
          <w:p w14:paraId="29635CE7" w14:textId="49D39F4E"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49.1</w:t>
            </w:r>
          </w:p>
        </w:tc>
        <w:tc>
          <w:tcPr>
            <w:tcW w:w="709" w:type="dxa"/>
            <w:tcBorders>
              <w:top w:val="nil"/>
              <w:left w:val="nil"/>
              <w:bottom w:val="single" w:sz="8" w:space="0" w:color="C6D9F1"/>
              <w:right w:val="single" w:sz="8" w:space="0" w:color="376091"/>
            </w:tcBorders>
            <w:shd w:val="clear" w:color="auto" w:fill="auto"/>
            <w:vAlign w:val="center"/>
            <w:hideMark/>
          </w:tcPr>
          <w:p w14:paraId="63EFD119" w14:textId="6CD09FD6"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22.7</w:t>
            </w:r>
          </w:p>
        </w:tc>
        <w:tc>
          <w:tcPr>
            <w:tcW w:w="851" w:type="dxa"/>
            <w:tcBorders>
              <w:top w:val="nil"/>
              <w:left w:val="nil"/>
              <w:bottom w:val="single" w:sz="8" w:space="0" w:color="C6D9F1"/>
              <w:right w:val="single" w:sz="8" w:space="0" w:color="376091"/>
            </w:tcBorders>
            <w:vAlign w:val="center"/>
          </w:tcPr>
          <w:p w14:paraId="02359B5B" w14:textId="3D9A23E0"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26.0</w:t>
            </w:r>
          </w:p>
        </w:tc>
      </w:tr>
      <w:tr w:rsidR="00831EED" w:rsidRPr="00E7630F" w14:paraId="1C8311D5" w14:textId="77777777" w:rsidTr="00831EED">
        <w:trPr>
          <w:trHeight w:val="113"/>
        </w:trPr>
        <w:tc>
          <w:tcPr>
            <w:tcW w:w="1843" w:type="dxa"/>
            <w:tcBorders>
              <w:top w:val="nil"/>
              <w:left w:val="single" w:sz="8" w:space="0" w:color="376091"/>
              <w:bottom w:val="single" w:sz="8" w:space="0" w:color="C6D9F1"/>
              <w:right w:val="single" w:sz="8" w:space="0" w:color="376091"/>
            </w:tcBorders>
            <w:shd w:val="clear" w:color="auto" w:fill="auto"/>
            <w:noWrap/>
            <w:vAlign w:val="center"/>
            <w:hideMark/>
          </w:tcPr>
          <w:p w14:paraId="4F783BE7" w14:textId="77777777" w:rsidR="00831EED" w:rsidRPr="00513E8F" w:rsidRDefault="00831EED" w:rsidP="00831EED">
            <w:pPr>
              <w:spacing w:after="0" w:line="240" w:lineRule="auto"/>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San Luis Potosí</w:t>
            </w:r>
          </w:p>
        </w:tc>
        <w:tc>
          <w:tcPr>
            <w:tcW w:w="992" w:type="dxa"/>
            <w:tcBorders>
              <w:top w:val="nil"/>
              <w:left w:val="nil"/>
              <w:bottom w:val="single" w:sz="8" w:space="0" w:color="C6D9F1"/>
              <w:right w:val="single" w:sz="8" w:space="0" w:color="376091"/>
            </w:tcBorders>
            <w:shd w:val="clear" w:color="auto" w:fill="auto"/>
            <w:vAlign w:val="center"/>
            <w:hideMark/>
          </w:tcPr>
          <w:p w14:paraId="529EEA34" w14:textId="265A0206"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1,195,745</w:t>
            </w:r>
          </w:p>
        </w:tc>
        <w:tc>
          <w:tcPr>
            <w:tcW w:w="1110" w:type="dxa"/>
            <w:tcBorders>
              <w:top w:val="nil"/>
              <w:left w:val="nil"/>
              <w:bottom w:val="single" w:sz="8" w:space="0" w:color="C6D9F1"/>
              <w:right w:val="single" w:sz="8" w:space="0" w:color="376091"/>
            </w:tcBorders>
            <w:shd w:val="clear" w:color="auto" w:fill="auto"/>
            <w:vAlign w:val="center"/>
            <w:hideMark/>
          </w:tcPr>
          <w:p w14:paraId="358BAC33" w14:textId="05AF5AA4"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38,085</w:t>
            </w:r>
          </w:p>
        </w:tc>
        <w:tc>
          <w:tcPr>
            <w:tcW w:w="639" w:type="dxa"/>
            <w:tcBorders>
              <w:top w:val="nil"/>
              <w:left w:val="nil"/>
              <w:bottom w:val="single" w:sz="8" w:space="0" w:color="C6D9F1"/>
              <w:right w:val="single" w:sz="8" w:space="0" w:color="376091"/>
            </w:tcBorders>
            <w:shd w:val="clear" w:color="auto" w:fill="auto"/>
            <w:vAlign w:val="center"/>
            <w:hideMark/>
          </w:tcPr>
          <w:p w14:paraId="4A59FC2A" w14:textId="13827168"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56.8</w:t>
            </w:r>
          </w:p>
        </w:tc>
        <w:tc>
          <w:tcPr>
            <w:tcW w:w="801" w:type="dxa"/>
            <w:tcBorders>
              <w:top w:val="nil"/>
              <w:left w:val="nil"/>
              <w:bottom w:val="single" w:sz="8" w:space="0" w:color="C6D9F1"/>
              <w:right w:val="single" w:sz="8" w:space="0" w:color="376091"/>
            </w:tcBorders>
            <w:shd w:val="clear" w:color="auto" w:fill="auto"/>
            <w:vAlign w:val="center"/>
            <w:hideMark/>
          </w:tcPr>
          <w:p w14:paraId="792BB6B7" w14:textId="1569CF62"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3.1</w:t>
            </w:r>
          </w:p>
        </w:tc>
        <w:tc>
          <w:tcPr>
            <w:tcW w:w="828" w:type="dxa"/>
            <w:tcBorders>
              <w:top w:val="nil"/>
              <w:left w:val="nil"/>
              <w:bottom w:val="single" w:sz="8" w:space="0" w:color="C6D9F1"/>
              <w:right w:val="single" w:sz="8" w:space="0" w:color="376091"/>
            </w:tcBorders>
            <w:shd w:val="clear" w:color="auto" w:fill="auto"/>
            <w:vAlign w:val="center"/>
            <w:hideMark/>
          </w:tcPr>
          <w:p w14:paraId="1D0D740F" w14:textId="6627D194"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9.3</w:t>
            </w:r>
          </w:p>
        </w:tc>
        <w:tc>
          <w:tcPr>
            <w:tcW w:w="708" w:type="dxa"/>
            <w:tcBorders>
              <w:top w:val="nil"/>
              <w:left w:val="nil"/>
              <w:bottom w:val="single" w:sz="8" w:space="0" w:color="C6D9F1"/>
              <w:right w:val="single" w:sz="8" w:space="0" w:color="376091"/>
            </w:tcBorders>
            <w:shd w:val="clear" w:color="auto" w:fill="auto"/>
            <w:vAlign w:val="center"/>
            <w:hideMark/>
          </w:tcPr>
          <w:p w14:paraId="282A1461" w14:textId="36EFE805"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7.7</w:t>
            </w:r>
          </w:p>
        </w:tc>
        <w:tc>
          <w:tcPr>
            <w:tcW w:w="709" w:type="dxa"/>
            <w:tcBorders>
              <w:top w:val="nil"/>
              <w:left w:val="nil"/>
              <w:bottom w:val="single" w:sz="8" w:space="0" w:color="C6D9F1"/>
              <w:right w:val="single" w:sz="8" w:space="0" w:color="376091"/>
            </w:tcBorders>
            <w:shd w:val="clear" w:color="auto" w:fill="auto"/>
            <w:vAlign w:val="center"/>
            <w:hideMark/>
          </w:tcPr>
          <w:p w14:paraId="715C982A" w14:textId="4B43E948"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66.3</w:t>
            </w:r>
          </w:p>
        </w:tc>
        <w:tc>
          <w:tcPr>
            <w:tcW w:w="567" w:type="dxa"/>
            <w:tcBorders>
              <w:top w:val="nil"/>
              <w:left w:val="nil"/>
              <w:bottom w:val="single" w:sz="8" w:space="0" w:color="C6D9F1"/>
              <w:right w:val="single" w:sz="8" w:space="0" w:color="376091"/>
            </w:tcBorders>
            <w:shd w:val="clear" w:color="auto" w:fill="auto"/>
            <w:vAlign w:val="center"/>
            <w:hideMark/>
          </w:tcPr>
          <w:p w14:paraId="084675AD" w14:textId="08DBFE98"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14.6</w:t>
            </w:r>
          </w:p>
        </w:tc>
        <w:tc>
          <w:tcPr>
            <w:tcW w:w="851" w:type="dxa"/>
            <w:tcBorders>
              <w:top w:val="nil"/>
              <w:left w:val="nil"/>
              <w:bottom w:val="single" w:sz="8" w:space="0" w:color="C6D9F1"/>
              <w:right w:val="single" w:sz="8" w:space="0" w:color="376091"/>
            </w:tcBorders>
            <w:shd w:val="clear" w:color="auto" w:fill="auto"/>
            <w:vAlign w:val="center"/>
            <w:hideMark/>
          </w:tcPr>
          <w:p w14:paraId="121D2F6A" w14:textId="1DF6CC5D"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21.0</w:t>
            </w:r>
          </w:p>
        </w:tc>
        <w:tc>
          <w:tcPr>
            <w:tcW w:w="708" w:type="dxa"/>
            <w:tcBorders>
              <w:top w:val="nil"/>
              <w:left w:val="nil"/>
              <w:bottom w:val="single" w:sz="8" w:space="0" w:color="C6D9F1"/>
              <w:right w:val="single" w:sz="8" w:space="0" w:color="376091"/>
            </w:tcBorders>
            <w:shd w:val="clear" w:color="auto" w:fill="auto"/>
            <w:vAlign w:val="center"/>
            <w:hideMark/>
          </w:tcPr>
          <w:p w14:paraId="04B0A684" w14:textId="57AE7B21"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51.4</w:t>
            </w:r>
          </w:p>
        </w:tc>
        <w:tc>
          <w:tcPr>
            <w:tcW w:w="709" w:type="dxa"/>
            <w:tcBorders>
              <w:top w:val="nil"/>
              <w:left w:val="nil"/>
              <w:bottom w:val="single" w:sz="8" w:space="0" w:color="C6D9F1"/>
              <w:right w:val="single" w:sz="8" w:space="0" w:color="376091"/>
            </w:tcBorders>
            <w:shd w:val="clear" w:color="auto" w:fill="auto"/>
            <w:vAlign w:val="center"/>
            <w:hideMark/>
          </w:tcPr>
          <w:p w14:paraId="07F0C17D" w14:textId="06F9B5FF"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22.4</w:t>
            </w:r>
          </w:p>
        </w:tc>
        <w:tc>
          <w:tcPr>
            <w:tcW w:w="851" w:type="dxa"/>
            <w:tcBorders>
              <w:top w:val="nil"/>
              <w:left w:val="nil"/>
              <w:bottom w:val="single" w:sz="8" w:space="0" w:color="C6D9F1"/>
              <w:right w:val="single" w:sz="8" w:space="0" w:color="376091"/>
            </w:tcBorders>
            <w:vAlign w:val="center"/>
          </w:tcPr>
          <w:p w14:paraId="3A3BA058" w14:textId="6A4A1139"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28.9</w:t>
            </w:r>
          </w:p>
        </w:tc>
      </w:tr>
      <w:tr w:rsidR="00831EED" w:rsidRPr="00E7630F" w14:paraId="75306282" w14:textId="77777777" w:rsidTr="00831EED">
        <w:trPr>
          <w:trHeight w:val="113"/>
        </w:trPr>
        <w:tc>
          <w:tcPr>
            <w:tcW w:w="1843" w:type="dxa"/>
            <w:tcBorders>
              <w:top w:val="nil"/>
              <w:left w:val="single" w:sz="8" w:space="0" w:color="376091"/>
              <w:bottom w:val="single" w:sz="8" w:space="0" w:color="C6D9F1"/>
              <w:right w:val="single" w:sz="8" w:space="0" w:color="376091"/>
            </w:tcBorders>
            <w:shd w:val="clear" w:color="auto" w:fill="auto"/>
            <w:noWrap/>
            <w:vAlign w:val="center"/>
            <w:hideMark/>
          </w:tcPr>
          <w:p w14:paraId="6B4FE541" w14:textId="77777777" w:rsidR="00831EED" w:rsidRPr="00513E8F" w:rsidRDefault="00831EED" w:rsidP="00831EED">
            <w:pPr>
              <w:spacing w:after="0" w:line="240" w:lineRule="auto"/>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Sinaloa</w:t>
            </w:r>
          </w:p>
        </w:tc>
        <w:tc>
          <w:tcPr>
            <w:tcW w:w="992" w:type="dxa"/>
            <w:tcBorders>
              <w:top w:val="nil"/>
              <w:left w:val="nil"/>
              <w:bottom w:val="single" w:sz="8" w:space="0" w:color="C6D9F1"/>
              <w:right w:val="single" w:sz="8" w:space="0" w:color="376091"/>
            </w:tcBorders>
            <w:shd w:val="clear" w:color="auto" w:fill="auto"/>
            <w:vAlign w:val="center"/>
            <w:hideMark/>
          </w:tcPr>
          <w:p w14:paraId="731AD663" w14:textId="742DCE98"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1,315,271</w:t>
            </w:r>
          </w:p>
        </w:tc>
        <w:tc>
          <w:tcPr>
            <w:tcW w:w="1110" w:type="dxa"/>
            <w:tcBorders>
              <w:top w:val="nil"/>
              <w:left w:val="nil"/>
              <w:bottom w:val="single" w:sz="8" w:space="0" w:color="C6D9F1"/>
              <w:right w:val="single" w:sz="8" w:space="0" w:color="376091"/>
            </w:tcBorders>
            <w:shd w:val="clear" w:color="auto" w:fill="auto"/>
            <w:vAlign w:val="center"/>
            <w:hideMark/>
          </w:tcPr>
          <w:p w14:paraId="679F83D5" w14:textId="7DD076B9"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33,237</w:t>
            </w:r>
          </w:p>
        </w:tc>
        <w:tc>
          <w:tcPr>
            <w:tcW w:w="639" w:type="dxa"/>
            <w:tcBorders>
              <w:top w:val="nil"/>
              <w:left w:val="nil"/>
              <w:bottom w:val="single" w:sz="8" w:space="0" w:color="C6D9F1"/>
              <w:right w:val="single" w:sz="8" w:space="0" w:color="376091"/>
            </w:tcBorders>
            <w:shd w:val="clear" w:color="auto" w:fill="auto"/>
            <w:vAlign w:val="center"/>
            <w:hideMark/>
          </w:tcPr>
          <w:p w14:paraId="6D91638F" w14:textId="4019B271"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57.5</w:t>
            </w:r>
          </w:p>
        </w:tc>
        <w:tc>
          <w:tcPr>
            <w:tcW w:w="801" w:type="dxa"/>
            <w:tcBorders>
              <w:top w:val="nil"/>
              <w:left w:val="nil"/>
              <w:bottom w:val="single" w:sz="8" w:space="0" w:color="C6D9F1"/>
              <w:right w:val="single" w:sz="8" w:space="0" w:color="376091"/>
            </w:tcBorders>
            <w:shd w:val="clear" w:color="auto" w:fill="auto"/>
            <w:vAlign w:val="center"/>
            <w:hideMark/>
          </w:tcPr>
          <w:p w14:paraId="7DA55557" w14:textId="7D9A6BBA"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2.5</w:t>
            </w:r>
          </w:p>
        </w:tc>
        <w:tc>
          <w:tcPr>
            <w:tcW w:w="828" w:type="dxa"/>
            <w:tcBorders>
              <w:top w:val="nil"/>
              <w:left w:val="nil"/>
              <w:bottom w:val="single" w:sz="8" w:space="0" w:color="C6D9F1"/>
              <w:right w:val="single" w:sz="8" w:space="0" w:color="376091"/>
            </w:tcBorders>
            <w:shd w:val="clear" w:color="auto" w:fill="auto"/>
            <w:vAlign w:val="center"/>
            <w:hideMark/>
          </w:tcPr>
          <w:p w14:paraId="4AC7D621" w14:textId="7CED7406"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7.1</w:t>
            </w:r>
          </w:p>
        </w:tc>
        <w:tc>
          <w:tcPr>
            <w:tcW w:w="708" w:type="dxa"/>
            <w:tcBorders>
              <w:top w:val="nil"/>
              <w:left w:val="nil"/>
              <w:bottom w:val="single" w:sz="8" w:space="0" w:color="C6D9F1"/>
              <w:right w:val="single" w:sz="8" w:space="0" w:color="376091"/>
            </w:tcBorders>
            <w:shd w:val="clear" w:color="auto" w:fill="auto"/>
            <w:vAlign w:val="center"/>
            <w:hideMark/>
          </w:tcPr>
          <w:p w14:paraId="6F6E7CA3" w14:textId="6E40DBDD"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5.1</w:t>
            </w:r>
          </w:p>
        </w:tc>
        <w:tc>
          <w:tcPr>
            <w:tcW w:w="709" w:type="dxa"/>
            <w:tcBorders>
              <w:top w:val="nil"/>
              <w:left w:val="nil"/>
              <w:bottom w:val="single" w:sz="8" w:space="0" w:color="C6D9F1"/>
              <w:right w:val="single" w:sz="8" w:space="0" w:color="376091"/>
            </w:tcBorders>
            <w:shd w:val="clear" w:color="auto" w:fill="auto"/>
            <w:vAlign w:val="center"/>
            <w:hideMark/>
          </w:tcPr>
          <w:p w14:paraId="7CB07272" w14:textId="28F29D20"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68.0</w:t>
            </w:r>
          </w:p>
        </w:tc>
        <w:tc>
          <w:tcPr>
            <w:tcW w:w="567" w:type="dxa"/>
            <w:tcBorders>
              <w:top w:val="nil"/>
              <w:left w:val="nil"/>
              <w:bottom w:val="single" w:sz="8" w:space="0" w:color="C6D9F1"/>
              <w:right w:val="single" w:sz="8" w:space="0" w:color="376091"/>
            </w:tcBorders>
            <w:shd w:val="clear" w:color="auto" w:fill="auto"/>
            <w:vAlign w:val="center"/>
            <w:hideMark/>
          </w:tcPr>
          <w:p w14:paraId="18237BB9" w14:textId="72C5A6EE"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5.6</w:t>
            </w:r>
          </w:p>
        </w:tc>
        <w:tc>
          <w:tcPr>
            <w:tcW w:w="851" w:type="dxa"/>
            <w:tcBorders>
              <w:top w:val="nil"/>
              <w:left w:val="nil"/>
              <w:bottom w:val="single" w:sz="8" w:space="0" w:color="C6D9F1"/>
              <w:right w:val="single" w:sz="8" w:space="0" w:color="376091"/>
            </w:tcBorders>
            <w:shd w:val="clear" w:color="auto" w:fill="auto"/>
            <w:vAlign w:val="center"/>
            <w:hideMark/>
          </w:tcPr>
          <w:p w14:paraId="244E28DF" w14:textId="173DA9F9"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13.8</w:t>
            </w:r>
          </w:p>
        </w:tc>
        <w:tc>
          <w:tcPr>
            <w:tcW w:w="708" w:type="dxa"/>
            <w:tcBorders>
              <w:top w:val="nil"/>
              <w:left w:val="nil"/>
              <w:bottom w:val="single" w:sz="8" w:space="0" w:color="C6D9F1"/>
              <w:right w:val="single" w:sz="8" w:space="0" w:color="376091"/>
            </w:tcBorders>
            <w:shd w:val="clear" w:color="auto" w:fill="auto"/>
            <w:vAlign w:val="center"/>
            <w:hideMark/>
          </w:tcPr>
          <w:p w14:paraId="6582C37C" w14:textId="4818A6AC"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47.7</w:t>
            </w:r>
          </w:p>
        </w:tc>
        <w:tc>
          <w:tcPr>
            <w:tcW w:w="709" w:type="dxa"/>
            <w:tcBorders>
              <w:top w:val="nil"/>
              <w:left w:val="nil"/>
              <w:bottom w:val="single" w:sz="8" w:space="0" w:color="C6D9F1"/>
              <w:right w:val="single" w:sz="8" w:space="0" w:color="376091"/>
            </w:tcBorders>
            <w:shd w:val="clear" w:color="auto" w:fill="auto"/>
            <w:vAlign w:val="center"/>
            <w:hideMark/>
          </w:tcPr>
          <w:p w14:paraId="64924908" w14:textId="5D1FC86F"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21.6</w:t>
            </w:r>
          </w:p>
        </w:tc>
        <w:tc>
          <w:tcPr>
            <w:tcW w:w="851" w:type="dxa"/>
            <w:tcBorders>
              <w:top w:val="nil"/>
              <w:left w:val="nil"/>
              <w:bottom w:val="single" w:sz="8" w:space="0" w:color="C6D9F1"/>
              <w:right w:val="single" w:sz="8" w:space="0" w:color="376091"/>
            </w:tcBorders>
            <w:vAlign w:val="center"/>
          </w:tcPr>
          <w:p w14:paraId="5B08A1B4" w14:textId="22FDE339"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19.8</w:t>
            </w:r>
          </w:p>
        </w:tc>
      </w:tr>
      <w:tr w:rsidR="00831EED" w:rsidRPr="00E7630F" w14:paraId="6427C83B" w14:textId="77777777" w:rsidTr="00831EED">
        <w:trPr>
          <w:trHeight w:val="113"/>
        </w:trPr>
        <w:tc>
          <w:tcPr>
            <w:tcW w:w="1843" w:type="dxa"/>
            <w:tcBorders>
              <w:top w:val="nil"/>
              <w:left w:val="single" w:sz="8" w:space="0" w:color="376091"/>
              <w:bottom w:val="single" w:sz="8" w:space="0" w:color="C6D9F1"/>
              <w:right w:val="single" w:sz="8" w:space="0" w:color="376091"/>
            </w:tcBorders>
            <w:shd w:val="clear" w:color="auto" w:fill="auto"/>
            <w:noWrap/>
            <w:vAlign w:val="center"/>
            <w:hideMark/>
          </w:tcPr>
          <w:p w14:paraId="5C40198C" w14:textId="77777777" w:rsidR="00831EED" w:rsidRPr="00513E8F" w:rsidRDefault="00831EED" w:rsidP="00831EED">
            <w:pPr>
              <w:spacing w:after="0" w:line="240" w:lineRule="auto"/>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Sonora</w:t>
            </w:r>
          </w:p>
        </w:tc>
        <w:tc>
          <w:tcPr>
            <w:tcW w:w="992" w:type="dxa"/>
            <w:tcBorders>
              <w:top w:val="nil"/>
              <w:left w:val="nil"/>
              <w:bottom w:val="single" w:sz="8" w:space="0" w:color="C6D9F1"/>
              <w:right w:val="single" w:sz="8" w:space="0" w:color="376091"/>
            </w:tcBorders>
            <w:shd w:val="clear" w:color="auto" w:fill="auto"/>
            <w:vAlign w:val="center"/>
            <w:hideMark/>
          </w:tcPr>
          <w:p w14:paraId="222107AC" w14:textId="6362F5E9"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1,297,082</w:t>
            </w:r>
          </w:p>
        </w:tc>
        <w:tc>
          <w:tcPr>
            <w:tcW w:w="1110" w:type="dxa"/>
            <w:tcBorders>
              <w:top w:val="nil"/>
              <w:left w:val="nil"/>
              <w:bottom w:val="single" w:sz="8" w:space="0" w:color="C6D9F1"/>
              <w:right w:val="single" w:sz="8" w:space="0" w:color="376091"/>
            </w:tcBorders>
            <w:shd w:val="clear" w:color="auto" w:fill="auto"/>
            <w:vAlign w:val="center"/>
            <w:hideMark/>
          </w:tcPr>
          <w:p w14:paraId="683015F7" w14:textId="7A55076E"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60,342</w:t>
            </w:r>
          </w:p>
        </w:tc>
        <w:tc>
          <w:tcPr>
            <w:tcW w:w="639" w:type="dxa"/>
            <w:tcBorders>
              <w:top w:val="nil"/>
              <w:left w:val="nil"/>
              <w:bottom w:val="single" w:sz="8" w:space="0" w:color="C6D9F1"/>
              <w:right w:val="single" w:sz="8" w:space="0" w:color="376091"/>
            </w:tcBorders>
            <w:shd w:val="clear" w:color="auto" w:fill="auto"/>
            <w:vAlign w:val="center"/>
            <w:hideMark/>
          </w:tcPr>
          <w:p w14:paraId="17C7A5AF" w14:textId="61FBFDF8"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60.1</w:t>
            </w:r>
          </w:p>
        </w:tc>
        <w:tc>
          <w:tcPr>
            <w:tcW w:w="801" w:type="dxa"/>
            <w:tcBorders>
              <w:top w:val="nil"/>
              <w:left w:val="nil"/>
              <w:bottom w:val="single" w:sz="8" w:space="0" w:color="C6D9F1"/>
              <w:right w:val="single" w:sz="8" w:space="0" w:color="376091"/>
            </w:tcBorders>
            <w:shd w:val="clear" w:color="auto" w:fill="auto"/>
            <w:vAlign w:val="center"/>
            <w:hideMark/>
          </w:tcPr>
          <w:p w14:paraId="612BF533" w14:textId="288F4F09"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4.4</w:t>
            </w:r>
          </w:p>
        </w:tc>
        <w:tc>
          <w:tcPr>
            <w:tcW w:w="828" w:type="dxa"/>
            <w:tcBorders>
              <w:top w:val="nil"/>
              <w:left w:val="nil"/>
              <w:bottom w:val="single" w:sz="8" w:space="0" w:color="C6D9F1"/>
              <w:right w:val="single" w:sz="8" w:space="0" w:color="376091"/>
            </w:tcBorders>
            <w:shd w:val="clear" w:color="auto" w:fill="auto"/>
            <w:vAlign w:val="center"/>
            <w:hideMark/>
          </w:tcPr>
          <w:p w14:paraId="6E6AA26E" w14:textId="1F228EB0"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11.4</w:t>
            </w:r>
          </w:p>
        </w:tc>
        <w:tc>
          <w:tcPr>
            <w:tcW w:w="708" w:type="dxa"/>
            <w:tcBorders>
              <w:top w:val="nil"/>
              <w:left w:val="nil"/>
              <w:bottom w:val="single" w:sz="8" w:space="0" w:color="C6D9F1"/>
              <w:right w:val="single" w:sz="8" w:space="0" w:color="376091"/>
            </w:tcBorders>
            <w:shd w:val="clear" w:color="auto" w:fill="auto"/>
            <w:vAlign w:val="center"/>
            <w:hideMark/>
          </w:tcPr>
          <w:p w14:paraId="0BE64E4D" w14:textId="2BC4BCEF"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8.7</w:t>
            </w:r>
          </w:p>
        </w:tc>
        <w:tc>
          <w:tcPr>
            <w:tcW w:w="709" w:type="dxa"/>
            <w:tcBorders>
              <w:top w:val="nil"/>
              <w:left w:val="nil"/>
              <w:bottom w:val="single" w:sz="8" w:space="0" w:color="C6D9F1"/>
              <w:right w:val="single" w:sz="8" w:space="0" w:color="376091"/>
            </w:tcBorders>
            <w:shd w:val="clear" w:color="auto" w:fill="auto"/>
            <w:vAlign w:val="center"/>
            <w:hideMark/>
          </w:tcPr>
          <w:p w14:paraId="1D5688A9" w14:textId="102C44CB"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71.1</w:t>
            </w:r>
          </w:p>
        </w:tc>
        <w:tc>
          <w:tcPr>
            <w:tcW w:w="567" w:type="dxa"/>
            <w:tcBorders>
              <w:top w:val="nil"/>
              <w:left w:val="nil"/>
              <w:bottom w:val="single" w:sz="8" w:space="0" w:color="C6D9F1"/>
              <w:right w:val="single" w:sz="8" w:space="0" w:color="376091"/>
            </w:tcBorders>
            <w:shd w:val="clear" w:color="auto" w:fill="auto"/>
            <w:vAlign w:val="center"/>
            <w:hideMark/>
          </w:tcPr>
          <w:p w14:paraId="1BC58713" w14:textId="7F010FD9"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12.5</w:t>
            </w:r>
          </w:p>
        </w:tc>
        <w:tc>
          <w:tcPr>
            <w:tcW w:w="851" w:type="dxa"/>
            <w:tcBorders>
              <w:top w:val="nil"/>
              <w:left w:val="nil"/>
              <w:bottom w:val="single" w:sz="8" w:space="0" w:color="C6D9F1"/>
              <w:right w:val="single" w:sz="8" w:space="0" w:color="376091"/>
            </w:tcBorders>
            <w:shd w:val="clear" w:color="auto" w:fill="auto"/>
            <w:vAlign w:val="center"/>
            <w:hideMark/>
          </w:tcPr>
          <w:p w14:paraId="03DBA8EA" w14:textId="6BE73254"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19.9</w:t>
            </w:r>
          </w:p>
        </w:tc>
        <w:tc>
          <w:tcPr>
            <w:tcW w:w="708" w:type="dxa"/>
            <w:tcBorders>
              <w:top w:val="nil"/>
              <w:left w:val="nil"/>
              <w:bottom w:val="single" w:sz="8" w:space="0" w:color="C6D9F1"/>
              <w:right w:val="single" w:sz="8" w:space="0" w:color="376091"/>
            </w:tcBorders>
            <w:shd w:val="clear" w:color="auto" w:fill="auto"/>
            <w:vAlign w:val="center"/>
            <w:hideMark/>
          </w:tcPr>
          <w:p w14:paraId="1CEBD7A6" w14:textId="74D7D3CB"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41.5</w:t>
            </w:r>
          </w:p>
        </w:tc>
        <w:tc>
          <w:tcPr>
            <w:tcW w:w="709" w:type="dxa"/>
            <w:tcBorders>
              <w:top w:val="nil"/>
              <w:left w:val="nil"/>
              <w:bottom w:val="single" w:sz="8" w:space="0" w:color="C6D9F1"/>
              <w:right w:val="single" w:sz="8" w:space="0" w:color="376091"/>
            </w:tcBorders>
            <w:shd w:val="clear" w:color="auto" w:fill="auto"/>
            <w:vAlign w:val="center"/>
            <w:hideMark/>
          </w:tcPr>
          <w:p w14:paraId="1EBCCF74" w14:textId="6C9EEB66"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19.4</w:t>
            </w:r>
          </w:p>
        </w:tc>
        <w:tc>
          <w:tcPr>
            <w:tcW w:w="851" w:type="dxa"/>
            <w:tcBorders>
              <w:top w:val="nil"/>
              <w:left w:val="nil"/>
              <w:bottom w:val="single" w:sz="8" w:space="0" w:color="C6D9F1"/>
              <w:right w:val="single" w:sz="8" w:space="0" w:color="376091"/>
            </w:tcBorders>
            <w:vAlign w:val="center"/>
          </w:tcPr>
          <w:p w14:paraId="4C6F47F1" w14:textId="17116DF8"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24.8</w:t>
            </w:r>
          </w:p>
        </w:tc>
      </w:tr>
      <w:tr w:rsidR="00831EED" w:rsidRPr="00E7630F" w14:paraId="12DF9A50" w14:textId="77777777" w:rsidTr="00831EED">
        <w:trPr>
          <w:trHeight w:val="113"/>
        </w:trPr>
        <w:tc>
          <w:tcPr>
            <w:tcW w:w="1843" w:type="dxa"/>
            <w:tcBorders>
              <w:top w:val="nil"/>
              <w:left w:val="single" w:sz="8" w:space="0" w:color="376091"/>
              <w:bottom w:val="single" w:sz="8" w:space="0" w:color="C6D9F1"/>
              <w:right w:val="single" w:sz="8" w:space="0" w:color="376091"/>
            </w:tcBorders>
            <w:shd w:val="clear" w:color="auto" w:fill="auto"/>
            <w:noWrap/>
            <w:vAlign w:val="center"/>
            <w:hideMark/>
          </w:tcPr>
          <w:p w14:paraId="65397DE9" w14:textId="77777777" w:rsidR="00831EED" w:rsidRPr="00513E8F" w:rsidRDefault="00831EED" w:rsidP="00831EED">
            <w:pPr>
              <w:spacing w:after="0" w:line="240" w:lineRule="auto"/>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Tabasco</w:t>
            </w:r>
          </w:p>
        </w:tc>
        <w:tc>
          <w:tcPr>
            <w:tcW w:w="992" w:type="dxa"/>
            <w:tcBorders>
              <w:top w:val="nil"/>
              <w:left w:val="nil"/>
              <w:bottom w:val="single" w:sz="8" w:space="0" w:color="C6D9F1"/>
              <w:right w:val="single" w:sz="8" w:space="0" w:color="376091"/>
            </w:tcBorders>
            <w:shd w:val="clear" w:color="auto" w:fill="auto"/>
            <w:vAlign w:val="center"/>
            <w:hideMark/>
          </w:tcPr>
          <w:p w14:paraId="69A044DC" w14:textId="2EF0BF53"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909,425</w:t>
            </w:r>
          </w:p>
        </w:tc>
        <w:tc>
          <w:tcPr>
            <w:tcW w:w="1110" w:type="dxa"/>
            <w:tcBorders>
              <w:top w:val="nil"/>
              <w:left w:val="nil"/>
              <w:bottom w:val="single" w:sz="8" w:space="0" w:color="C6D9F1"/>
              <w:right w:val="single" w:sz="8" w:space="0" w:color="376091"/>
            </w:tcBorders>
            <w:shd w:val="clear" w:color="auto" w:fill="auto"/>
            <w:vAlign w:val="center"/>
            <w:hideMark/>
          </w:tcPr>
          <w:p w14:paraId="447E975E" w14:textId="4DFC358A"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58,212</w:t>
            </w:r>
          </w:p>
        </w:tc>
        <w:tc>
          <w:tcPr>
            <w:tcW w:w="639" w:type="dxa"/>
            <w:tcBorders>
              <w:top w:val="nil"/>
              <w:left w:val="nil"/>
              <w:bottom w:val="single" w:sz="8" w:space="0" w:color="C6D9F1"/>
              <w:right w:val="single" w:sz="8" w:space="0" w:color="376091"/>
            </w:tcBorders>
            <w:shd w:val="clear" w:color="auto" w:fill="auto"/>
            <w:vAlign w:val="center"/>
            <w:hideMark/>
          </w:tcPr>
          <w:p w14:paraId="4781DD1F" w14:textId="699969BD"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55.1</w:t>
            </w:r>
          </w:p>
        </w:tc>
        <w:tc>
          <w:tcPr>
            <w:tcW w:w="801" w:type="dxa"/>
            <w:tcBorders>
              <w:top w:val="nil"/>
              <w:left w:val="nil"/>
              <w:bottom w:val="single" w:sz="8" w:space="0" w:color="C6D9F1"/>
              <w:right w:val="single" w:sz="8" w:space="0" w:color="376091"/>
            </w:tcBorders>
            <w:shd w:val="clear" w:color="auto" w:fill="auto"/>
            <w:vAlign w:val="center"/>
            <w:hideMark/>
          </w:tcPr>
          <w:p w14:paraId="5C0CBE49" w14:textId="1C69A113"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6.0</w:t>
            </w:r>
          </w:p>
        </w:tc>
        <w:tc>
          <w:tcPr>
            <w:tcW w:w="828" w:type="dxa"/>
            <w:tcBorders>
              <w:top w:val="nil"/>
              <w:left w:val="nil"/>
              <w:bottom w:val="single" w:sz="8" w:space="0" w:color="C6D9F1"/>
              <w:right w:val="single" w:sz="8" w:space="0" w:color="376091"/>
            </w:tcBorders>
            <w:shd w:val="clear" w:color="auto" w:fill="auto"/>
            <w:vAlign w:val="center"/>
            <w:hideMark/>
          </w:tcPr>
          <w:p w14:paraId="6FECD00E" w14:textId="2A63A83F"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14.9</w:t>
            </w:r>
          </w:p>
        </w:tc>
        <w:tc>
          <w:tcPr>
            <w:tcW w:w="708" w:type="dxa"/>
            <w:tcBorders>
              <w:top w:val="nil"/>
              <w:left w:val="nil"/>
              <w:bottom w:val="single" w:sz="8" w:space="0" w:color="C6D9F1"/>
              <w:right w:val="single" w:sz="8" w:space="0" w:color="376091"/>
            </w:tcBorders>
            <w:shd w:val="clear" w:color="auto" w:fill="auto"/>
            <w:vAlign w:val="center"/>
            <w:hideMark/>
          </w:tcPr>
          <w:p w14:paraId="6AF6AB9C" w14:textId="70AA8799"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12.2</w:t>
            </w:r>
          </w:p>
        </w:tc>
        <w:tc>
          <w:tcPr>
            <w:tcW w:w="709" w:type="dxa"/>
            <w:tcBorders>
              <w:top w:val="nil"/>
              <w:left w:val="nil"/>
              <w:bottom w:val="single" w:sz="8" w:space="0" w:color="C6D9F1"/>
              <w:right w:val="single" w:sz="8" w:space="0" w:color="376091"/>
            </w:tcBorders>
            <w:shd w:val="clear" w:color="auto" w:fill="auto"/>
            <w:vAlign w:val="center"/>
            <w:hideMark/>
          </w:tcPr>
          <w:p w14:paraId="142269B3" w14:textId="6000B3D5"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61.5</w:t>
            </w:r>
          </w:p>
        </w:tc>
        <w:tc>
          <w:tcPr>
            <w:tcW w:w="567" w:type="dxa"/>
            <w:tcBorders>
              <w:top w:val="nil"/>
              <w:left w:val="nil"/>
              <w:bottom w:val="single" w:sz="8" w:space="0" w:color="C6D9F1"/>
              <w:right w:val="single" w:sz="8" w:space="0" w:color="376091"/>
            </w:tcBorders>
            <w:shd w:val="clear" w:color="auto" w:fill="auto"/>
            <w:vAlign w:val="center"/>
            <w:hideMark/>
          </w:tcPr>
          <w:p w14:paraId="073DAC68" w14:textId="14105213"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16.2</w:t>
            </w:r>
          </w:p>
        </w:tc>
        <w:tc>
          <w:tcPr>
            <w:tcW w:w="851" w:type="dxa"/>
            <w:tcBorders>
              <w:top w:val="nil"/>
              <w:left w:val="nil"/>
              <w:bottom w:val="single" w:sz="8" w:space="0" w:color="C6D9F1"/>
              <w:right w:val="single" w:sz="8" w:space="0" w:color="376091"/>
            </w:tcBorders>
            <w:shd w:val="clear" w:color="auto" w:fill="auto"/>
            <w:vAlign w:val="center"/>
            <w:hideMark/>
          </w:tcPr>
          <w:p w14:paraId="640BC3FB" w14:textId="3C815AC7"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31.0</w:t>
            </w:r>
          </w:p>
        </w:tc>
        <w:tc>
          <w:tcPr>
            <w:tcW w:w="708" w:type="dxa"/>
            <w:tcBorders>
              <w:top w:val="nil"/>
              <w:left w:val="nil"/>
              <w:bottom w:val="single" w:sz="8" w:space="0" w:color="C6D9F1"/>
              <w:right w:val="single" w:sz="8" w:space="0" w:color="376091"/>
            </w:tcBorders>
            <w:shd w:val="clear" w:color="auto" w:fill="auto"/>
            <w:vAlign w:val="center"/>
            <w:hideMark/>
          </w:tcPr>
          <w:p w14:paraId="326A68D9" w14:textId="75DFB2BC"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66.8</w:t>
            </w:r>
          </w:p>
        </w:tc>
        <w:tc>
          <w:tcPr>
            <w:tcW w:w="709" w:type="dxa"/>
            <w:tcBorders>
              <w:top w:val="nil"/>
              <w:left w:val="nil"/>
              <w:bottom w:val="single" w:sz="8" w:space="0" w:color="C6D9F1"/>
              <w:right w:val="single" w:sz="8" w:space="0" w:color="376091"/>
            </w:tcBorders>
            <w:shd w:val="clear" w:color="auto" w:fill="auto"/>
            <w:vAlign w:val="center"/>
            <w:hideMark/>
          </w:tcPr>
          <w:p w14:paraId="37451F8E" w14:textId="18110E02"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30.9</w:t>
            </w:r>
          </w:p>
        </w:tc>
        <w:tc>
          <w:tcPr>
            <w:tcW w:w="851" w:type="dxa"/>
            <w:tcBorders>
              <w:top w:val="nil"/>
              <w:left w:val="nil"/>
              <w:bottom w:val="single" w:sz="8" w:space="0" w:color="C6D9F1"/>
              <w:right w:val="single" w:sz="8" w:space="0" w:color="376091"/>
            </w:tcBorders>
            <w:vAlign w:val="center"/>
          </w:tcPr>
          <w:p w14:paraId="71D85271" w14:textId="4EC09572"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31.9</w:t>
            </w:r>
          </w:p>
        </w:tc>
      </w:tr>
      <w:tr w:rsidR="00831EED" w:rsidRPr="00E7630F" w14:paraId="03438CA0" w14:textId="77777777" w:rsidTr="00831EED">
        <w:trPr>
          <w:trHeight w:val="113"/>
        </w:trPr>
        <w:tc>
          <w:tcPr>
            <w:tcW w:w="1843" w:type="dxa"/>
            <w:tcBorders>
              <w:top w:val="nil"/>
              <w:left w:val="single" w:sz="8" w:space="0" w:color="376091"/>
              <w:bottom w:val="single" w:sz="8" w:space="0" w:color="C6D9F1"/>
              <w:right w:val="single" w:sz="8" w:space="0" w:color="376091"/>
            </w:tcBorders>
            <w:shd w:val="clear" w:color="auto" w:fill="auto"/>
            <w:noWrap/>
            <w:vAlign w:val="center"/>
            <w:hideMark/>
          </w:tcPr>
          <w:p w14:paraId="272F99D9" w14:textId="77777777" w:rsidR="00831EED" w:rsidRPr="00513E8F" w:rsidRDefault="00831EED" w:rsidP="00831EED">
            <w:pPr>
              <w:spacing w:after="0" w:line="240" w:lineRule="auto"/>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Tamaulipas</w:t>
            </w:r>
          </w:p>
        </w:tc>
        <w:tc>
          <w:tcPr>
            <w:tcW w:w="992" w:type="dxa"/>
            <w:tcBorders>
              <w:top w:val="nil"/>
              <w:left w:val="nil"/>
              <w:bottom w:val="single" w:sz="8" w:space="0" w:color="C6D9F1"/>
              <w:right w:val="single" w:sz="8" w:space="0" w:color="376091"/>
            </w:tcBorders>
            <w:shd w:val="clear" w:color="auto" w:fill="auto"/>
            <w:vAlign w:val="center"/>
            <w:hideMark/>
          </w:tcPr>
          <w:p w14:paraId="682DE8CE" w14:textId="158F34D0"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1,525,534</w:t>
            </w:r>
          </w:p>
        </w:tc>
        <w:tc>
          <w:tcPr>
            <w:tcW w:w="1110" w:type="dxa"/>
            <w:tcBorders>
              <w:top w:val="nil"/>
              <w:left w:val="nil"/>
              <w:bottom w:val="single" w:sz="8" w:space="0" w:color="C6D9F1"/>
              <w:right w:val="single" w:sz="8" w:space="0" w:color="376091"/>
            </w:tcBorders>
            <w:shd w:val="clear" w:color="auto" w:fill="auto"/>
            <w:vAlign w:val="center"/>
            <w:hideMark/>
          </w:tcPr>
          <w:p w14:paraId="444911E9" w14:textId="7192B54B"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60,905</w:t>
            </w:r>
          </w:p>
        </w:tc>
        <w:tc>
          <w:tcPr>
            <w:tcW w:w="639" w:type="dxa"/>
            <w:tcBorders>
              <w:top w:val="nil"/>
              <w:left w:val="nil"/>
              <w:bottom w:val="single" w:sz="8" w:space="0" w:color="C6D9F1"/>
              <w:right w:val="single" w:sz="8" w:space="0" w:color="376091"/>
            </w:tcBorders>
            <w:shd w:val="clear" w:color="auto" w:fill="auto"/>
            <w:vAlign w:val="center"/>
            <w:hideMark/>
          </w:tcPr>
          <w:p w14:paraId="4240E0C6" w14:textId="0E2DE89B"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58.2</w:t>
            </w:r>
          </w:p>
        </w:tc>
        <w:tc>
          <w:tcPr>
            <w:tcW w:w="801" w:type="dxa"/>
            <w:tcBorders>
              <w:top w:val="nil"/>
              <w:left w:val="nil"/>
              <w:bottom w:val="single" w:sz="8" w:space="0" w:color="C6D9F1"/>
              <w:right w:val="single" w:sz="8" w:space="0" w:color="376091"/>
            </w:tcBorders>
            <w:shd w:val="clear" w:color="auto" w:fill="auto"/>
            <w:vAlign w:val="center"/>
            <w:hideMark/>
          </w:tcPr>
          <w:p w14:paraId="4DFBF08F" w14:textId="6B854882"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3.8</w:t>
            </w:r>
          </w:p>
        </w:tc>
        <w:tc>
          <w:tcPr>
            <w:tcW w:w="828" w:type="dxa"/>
            <w:tcBorders>
              <w:top w:val="nil"/>
              <w:left w:val="nil"/>
              <w:bottom w:val="single" w:sz="8" w:space="0" w:color="C6D9F1"/>
              <w:right w:val="single" w:sz="8" w:space="0" w:color="376091"/>
            </w:tcBorders>
            <w:shd w:val="clear" w:color="auto" w:fill="auto"/>
            <w:vAlign w:val="center"/>
            <w:hideMark/>
          </w:tcPr>
          <w:p w14:paraId="5548759D" w14:textId="4E4D8EEC"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11.5</w:t>
            </w:r>
          </w:p>
        </w:tc>
        <w:tc>
          <w:tcPr>
            <w:tcW w:w="708" w:type="dxa"/>
            <w:tcBorders>
              <w:top w:val="nil"/>
              <w:left w:val="nil"/>
              <w:bottom w:val="single" w:sz="8" w:space="0" w:color="C6D9F1"/>
              <w:right w:val="single" w:sz="8" w:space="0" w:color="376091"/>
            </w:tcBorders>
            <w:shd w:val="clear" w:color="auto" w:fill="auto"/>
            <w:vAlign w:val="center"/>
            <w:hideMark/>
          </w:tcPr>
          <w:p w14:paraId="57D4F5CE" w14:textId="5337CA50"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7.6</w:t>
            </w:r>
          </w:p>
        </w:tc>
        <w:tc>
          <w:tcPr>
            <w:tcW w:w="709" w:type="dxa"/>
            <w:tcBorders>
              <w:top w:val="nil"/>
              <w:left w:val="nil"/>
              <w:bottom w:val="single" w:sz="8" w:space="0" w:color="C6D9F1"/>
              <w:right w:val="single" w:sz="8" w:space="0" w:color="376091"/>
            </w:tcBorders>
            <w:shd w:val="clear" w:color="auto" w:fill="auto"/>
            <w:vAlign w:val="center"/>
            <w:hideMark/>
          </w:tcPr>
          <w:p w14:paraId="1FE6BDA6" w14:textId="6307E3A3"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71.4</w:t>
            </w:r>
          </w:p>
        </w:tc>
        <w:tc>
          <w:tcPr>
            <w:tcW w:w="567" w:type="dxa"/>
            <w:tcBorders>
              <w:top w:val="nil"/>
              <w:left w:val="nil"/>
              <w:bottom w:val="single" w:sz="8" w:space="0" w:color="C6D9F1"/>
              <w:right w:val="single" w:sz="8" w:space="0" w:color="376091"/>
            </w:tcBorders>
            <w:shd w:val="clear" w:color="auto" w:fill="auto"/>
            <w:vAlign w:val="center"/>
            <w:hideMark/>
          </w:tcPr>
          <w:p w14:paraId="72064CAA" w14:textId="71A3E87A"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15.0</w:t>
            </w:r>
          </w:p>
        </w:tc>
        <w:tc>
          <w:tcPr>
            <w:tcW w:w="851" w:type="dxa"/>
            <w:tcBorders>
              <w:top w:val="nil"/>
              <w:left w:val="nil"/>
              <w:bottom w:val="single" w:sz="8" w:space="0" w:color="C6D9F1"/>
              <w:right w:val="single" w:sz="8" w:space="0" w:color="376091"/>
            </w:tcBorders>
            <w:shd w:val="clear" w:color="auto" w:fill="auto"/>
            <w:vAlign w:val="center"/>
            <w:hideMark/>
          </w:tcPr>
          <w:p w14:paraId="76B7FAE8" w14:textId="6ECDEEEC"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31.4</w:t>
            </w:r>
          </w:p>
        </w:tc>
        <w:tc>
          <w:tcPr>
            <w:tcW w:w="708" w:type="dxa"/>
            <w:tcBorders>
              <w:top w:val="nil"/>
              <w:left w:val="nil"/>
              <w:bottom w:val="single" w:sz="8" w:space="0" w:color="C6D9F1"/>
              <w:right w:val="single" w:sz="8" w:space="0" w:color="376091"/>
            </w:tcBorders>
            <w:shd w:val="clear" w:color="auto" w:fill="auto"/>
            <w:vAlign w:val="center"/>
            <w:hideMark/>
          </w:tcPr>
          <w:p w14:paraId="0B219EE1" w14:textId="439D53DE"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43.7</w:t>
            </w:r>
          </w:p>
        </w:tc>
        <w:tc>
          <w:tcPr>
            <w:tcW w:w="709" w:type="dxa"/>
            <w:tcBorders>
              <w:top w:val="nil"/>
              <w:left w:val="nil"/>
              <w:bottom w:val="single" w:sz="8" w:space="0" w:color="C6D9F1"/>
              <w:right w:val="single" w:sz="8" w:space="0" w:color="376091"/>
            </w:tcBorders>
            <w:shd w:val="clear" w:color="auto" w:fill="auto"/>
            <w:vAlign w:val="center"/>
            <w:hideMark/>
          </w:tcPr>
          <w:p w14:paraId="23D8D650" w14:textId="7EF908DE"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23.3</w:t>
            </w:r>
          </w:p>
        </w:tc>
        <w:tc>
          <w:tcPr>
            <w:tcW w:w="851" w:type="dxa"/>
            <w:tcBorders>
              <w:top w:val="nil"/>
              <w:left w:val="nil"/>
              <w:bottom w:val="single" w:sz="8" w:space="0" w:color="C6D9F1"/>
              <w:right w:val="single" w:sz="8" w:space="0" w:color="376091"/>
            </w:tcBorders>
            <w:vAlign w:val="center"/>
          </w:tcPr>
          <w:p w14:paraId="50A273DC" w14:textId="5FA5A05E"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26.5</w:t>
            </w:r>
          </w:p>
        </w:tc>
      </w:tr>
      <w:tr w:rsidR="00831EED" w:rsidRPr="00E7630F" w14:paraId="60BD38AC" w14:textId="77777777" w:rsidTr="00831EED">
        <w:trPr>
          <w:trHeight w:val="113"/>
        </w:trPr>
        <w:tc>
          <w:tcPr>
            <w:tcW w:w="1843" w:type="dxa"/>
            <w:tcBorders>
              <w:top w:val="nil"/>
              <w:left w:val="single" w:sz="8" w:space="0" w:color="376091"/>
              <w:bottom w:val="single" w:sz="8" w:space="0" w:color="C6D9F1"/>
              <w:right w:val="single" w:sz="8" w:space="0" w:color="376091"/>
            </w:tcBorders>
            <w:shd w:val="clear" w:color="auto" w:fill="auto"/>
            <w:noWrap/>
            <w:vAlign w:val="center"/>
            <w:hideMark/>
          </w:tcPr>
          <w:p w14:paraId="51769776" w14:textId="77777777" w:rsidR="00831EED" w:rsidRPr="00513E8F" w:rsidRDefault="00831EED" w:rsidP="00831EED">
            <w:pPr>
              <w:spacing w:after="0" w:line="240" w:lineRule="auto"/>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Tlaxcala</w:t>
            </w:r>
          </w:p>
        </w:tc>
        <w:tc>
          <w:tcPr>
            <w:tcW w:w="992" w:type="dxa"/>
            <w:tcBorders>
              <w:top w:val="nil"/>
              <w:left w:val="nil"/>
              <w:bottom w:val="single" w:sz="8" w:space="0" w:color="C6D9F1"/>
              <w:right w:val="single" w:sz="8" w:space="0" w:color="376091"/>
            </w:tcBorders>
            <w:shd w:val="clear" w:color="auto" w:fill="auto"/>
            <w:vAlign w:val="center"/>
            <w:hideMark/>
          </w:tcPr>
          <w:p w14:paraId="4D9D72B2" w14:textId="37FE5C46"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551,393</w:t>
            </w:r>
          </w:p>
        </w:tc>
        <w:tc>
          <w:tcPr>
            <w:tcW w:w="1110" w:type="dxa"/>
            <w:tcBorders>
              <w:top w:val="nil"/>
              <w:left w:val="nil"/>
              <w:bottom w:val="single" w:sz="8" w:space="0" w:color="C6D9F1"/>
              <w:right w:val="single" w:sz="8" w:space="0" w:color="376091"/>
            </w:tcBorders>
            <w:shd w:val="clear" w:color="auto" w:fill="auto"/>
            <w:vAlign w:val="center"/>
            <w:hideMark/>
          </w:tcPr>
          <w:p w14:paraId="2C45E591" w14:textId="4F48F24A"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34,327</w:t>
            </w:r>
          </w:p>
        </w:tc>
        <w:tc>
          <w:tcPr>
            <w:tcW w:w="639" w:type="dxa"/>
            <w:tcBorders>
              <w:top w:val="nil"/>
              <w:left w:val="nil"/>
              <w:bottom w:val="single" w:sz="8" w:space="0" w:color="C6D9F1"/>
              <w:right w:val="single" w:sz="8" w:space="0" w:color="376091"/>
            </w:tcBorders>
            <w:shd w:val="clear" w:color="auto" w:fill="auto"/>
            <w:vAlign w:val="center"/>
            <w:hideMark/>
          </w:tcPr>
          <w:p w14:paraId="1084A96B" w14:textId="285C890A"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57.8</w:t>
            </w:r>
          </w:p>
        </w:tc>
        <w:tc>
          <w:tcPr>
            <w:tcW w:w="801" w:type="dxa"/>
            <w:tcBorders>
              <w:top w:val="nil"/>
              <w:left w:val="nil"/>
              <w:bottom w:val="single" w:sz="8" w:space="0" w:color="C6D9F1"/>
              <w:right w:val="single" w:sz="8" w:space="0" w:color="376091"/>
            </w:tcBorders>
            <w:shd w:val="clear" w:color="auto" w:fill="auto"/>
            <w:vAlign w:val="center"/>
            <w:hideMark/>
          </w:tcPr>
          <w:p w14:paraId="4C643B1F" w14:textId="44169627"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5.9</w:t>
            </w:r>
          </w:p>
        </w:tc>
        <w:tc>
          <w:tcPr>
            <w:tcW w:w="828" w:type="dxa"/>
            <w:tcBorders>
              <w:top w:val="nil"/>
              <w:left w:val="nil"/>
              <w:bottom w:val="single" w:sz="8" w:space="0" w:color="C6D9F1"/>
              <w:right w:val="single" w:sz="8" w:space="0" w:color="376091"/>
            </w:tcBorders>
            <w:shd w:val="clear" w:color="auto" w:fill="auto"/>
            <w:vAlign w:val="center"/>
            <w:hideMark/>
          </w:tcPr>
          <w:p w14:paraId="3C3CF884" w14:textId="453EC888"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12.1</w:t>
            </w:r>
          </w:p>
        </w:tc>
        <w:tc>
          <w:tcPr>
            <w:tcW w:w="708" w:type="dxa"/>
            <w:tcBorders>
              <w:top w:val="nil"/>
              <w:left w:val="nil"/>
              <w:bottom w:val="single" w:sz="8" w:space="0" w:color="C6D9F1"/>
              <w:right w:val="single" w:sz="8" w:space="0" w:color="376091"/>
            </w:tcBorders>
            <w:shd w:val="clear" w:color="auto" w:fill="auto"/>
            <w:vAlign w:val="center"/>
            <w:hideMark/>
          </w:tcPr>
          <w:p w14:paraId="0A16BB25" w14:textId="57140015"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13.2</w:t>
            </w:r>
          </w:p>
        </w:tc>
        <w:tc>
          <w:tcPr>
            <w:tcW w:w="709" w:type="dxa"/>
            <w:tcBorders>
              <w:top w:val="nil"/>
              <w:left w:val="nil"/>
              <w:bottom w:val="single" w:sz="8" w:space="0" w:color="C6D9F1"/>
              <w:right w:val="single" w:sz="8" w:space="0" w:color="376091"/>
            </w:tcBorders>
            <w:shd w:val="clear" w:color="auto" w:fill="auto"/>
            <w:vAlign w:val="center"/>
            <w:hideMark/>
          </w:tcPr>
          <w:p w14:paraId="25163018" w14:textId="717C9BC6"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64.0</w:t>
            </w:r>
          </w:p>
        </w:tc>
        <w:tc>
          <w:tcPr>
            <w:tcW w:w="567" w:type="dxa"/>
            <w:tcBorders>
              <w:top w:val="nil"/>
              <w:left w:val="nil"/>
              <w:bottom w:val="single" w:sz="8" w:space="0" w:color="C6D9F1"/>
              <w:right w:val="single" w:sz="8" w:space="0" w:color="376091"/>
            </w:tcBorders>
            <w:shd w:val="clear" w:color="auto" w:fill="auto"/>
            <w:vAlign w:val="center"/>
            <w:hideMark/>
          </w:tcPr>
          <w:p w14:paraId="5F3FBE4A" w14:textId="0AC716E7"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21.8</w:t>
            </w:r>
          </w:p>
        </w:tc>
        <w:tc>
          <w:tcPr>
            <w:tcW w:w="851" w:type="dxa"/>
            <w:tcBorders>
              <w:top w:val="nil"/>
              <w:left w:val="nil"/>
              <w:bottom w:val="single" w:sz="8" w:space="0" w:color="C6D9F1"/>
              <w:right w:val="single" w:sz="8" w:space="0" w:color="376091"/>
            </w:tcBorders>
            <w:shd w:val="clear" w:color="auto" w:fill="auto"/>
            <w:vAlign w:val="center"/>
            <w:hideMark/>
          </w:tcPr>
          <w:p w14:paraId="2B741837" w14:textId="5BBE546C"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37.3</w:t>
            </w:r>
          </w:p>
        </w:tc>
        <w:tc>
          <w:tcPr>
            <w:tcW w:w="708" w:type="dxa"/>
            <w:tcBorders>
              <w:top w:val="nil"/>
              <w:left w:val="nil"/>
              <w:bottom w:val="single" w:sz="8" w:space="0" w:color="C6D9F1"/>
              <w:right w:val="single" w:sz="8" w:space="0" w:color="376091"/>
            </w:tcBorders>
            <w:shd w:val="clear" w:color="auto" w:fill="auto"/>
            <w:vAlign w:val="center"/>
            <w:hideMark/>
          </w:tcPr>
          <w:p w14:paraId="1FD1CF13" w14:textId="01370C19"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69.2</w:t>
            </w:r>
          </w:p>
        </w:tc>
        <w:tc>
          <w:tcPr>
            <w:tcW w:w="709" w:type="dxa"/>
            <w:tcBorders>
              <w:top w:val="nil"/>
              <w:left w:val="nil"/>
              <w:bottom w:val="single" w:sz="8" w:space="0" w:color="C6D9F1"/>
              <w:right w:val="single" w:sz="8" w:space="0" w:color="376091"/>
            </w:tcBorders>
            <w:shd w:val="clear" w:color="auto" w:fill="auto"/>
            <w:vAlign w:val="center"/>
            <w:hideMark/>
          </w:tcPr>
          <w:p w14:paraId="4F01BE41" w14:textId="6C8F3BF5"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39.8</w:t>
            </w:r>
          </w:p>
        </w:tc>
        <w:tc>
          <w:tcPr>
            <w:tcW w:w="851" w:type="dxa"/>
            <w:tcBorders>
              <w:top w:val="nil"/>
              <w:left w:val="nil"/>
              <w:bottom w:val="single" w:sz="8" w:space="0" w:color="C6D9F1"/>
              <w:right w:val="single" w:sz="8" w:space="0" w:color="376091"/>
            </w:tcBorders>
            <w:vAlign w:val="center"/>
          </w:tcPr>
          <w:p w14:paraId="10EC9FDA" w14:textId="5ABD6EBF"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40.1</w:t>
            </w:r>
          </w:p>
        </w:tc>
      </w:tr>
      <w:tr w:rsidR="00831EED" w:rsidRPr="00E7630F" w14:paraId="67EBEA40" w14:textId="77777777" w:rsidTr="00831EED">
        <w:trPr>
          <w:trHeight w:val="240"/>
        </w:trPr>
        <w:tc>
          <w:tcPr>
            <w:tcW w:w="1843" w:type="dxa"/>
            <w:tcBorders>
              <w:top w:val="nil"/>
              <w:left w:val="single" w:sz="8" w:space="0" w:color="376091"/>
              <w:bottom w:val="single" w:sz="8" w:space="0" w:color="C6D9F1"/>
              <w:right w:val="single" w:sz="8" w:space="0" w:color="376091"/>
            </w:tcBorders>
            <w:shd w:val="clear" w:color="auto" w:fill="auto"/>
            <w:noWrap/>
            <w:vAlign w:val="center"/>
            <w:hideMark/>
          </w:tcPr>
          <w:p w14:paraId="56340D74" w14:textId="77777777" w:rsidR="00831EED" w:rsidRPr="00513E8F" w:rsidRDefault="00831EED" w:rsidP="00831EED">
            <w:pPr>
              <w:spacing w:after="0" w:line="240" w:lineRule="auto"/>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Veracruz de Ignacio de la Llave</w:t>
            </w:r>
          </w:p>
        </w:tc>
        <w:tc>
          <w:tcPr>
            <w:tcW w:w="992" w:type="dxa"/>
            <w:tcBorders>
              <w:top w:val="nil"/>
              <w:left w:val="nil"/>
              <w:bottom w:val="single" w:sz="8" w:space="0" w:color="C6D9F1"/>
              <w:right w:val="single" w:sz="8" w:space="0" w:color="376091"/>
            </w:tcBorders>
            <w:shd w:val="clear" w:color="auto" w:fill="auto"/>
            <w:vAlign w:val="center"/>
            <w:hideMark/>
          </w:tcPr>
          <w:p w14:paraId="25F4F55B" w14:textId="4B58BDE4"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3,171,106</w:t>
            </w:r>
          </w:p>
        </w:tc>
        <w:tc>
          <w:tcPr>
            <w:tcW w:w="1110" w:type="dxa"/>
            <w:tcBorders>
              <w:top w:val="nil"/>
              <w:left w:val="nil"/>
              <w:bottom w:val="single" w:sz="8" w:space="0" w:color="C6D9F1"/>
              <w:right w:val="single" w:sz="8" w:space="0" w:color="376091"/>
            </w:tcBorders>
            <w:shd w:val="clear" w:color="auto" w:fill="auto"/>
            <w:vAlign w:val="center"/>
            <w:hideMark/>
          </w:tcPr>
          <w:p w14:paraId="41757236" w14:textId="23A0FAF6"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84,243</w:t>
            </w:r>
          </w:p>
        </w:tc>
        <w:tc>
          <w:tcPr>
            <w:tcW w:w="639" w:type="dxa"/>
            <w:tcBorders>
              <w:top w:val="nil"/>
              <w:left w:val="nil"/>
              <w:bottom w:val="single" w:sz="8" w:space="0" w:color="C6D9F1"/>
              <w:right w:val="single" w:sz="8" w:space="0" w:color="376091"/>
            </w:tcBorders>
            <w:shd w:val="clear" w:color="auto" w:fill="auto"/>
            <w:vAlign w:val="center"/>
            <w:hideMark/>
          </w:tcPr>
          <w:p w14:paraId="51AB4667" w14:textId="31E90E98"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52.7</w:t>
            </w:r>
          </w:p>
        </w:tc>
        <w:tc>
          <w:tcPr>
            <w:tcW w:w="801" w:type="dxa"/>
            <w:tcBorders>
              <w:top w:val="nil"/>
              <w:left w:val="nil"/>
              <w:bottom w:val="single" w:sz="8" w:space="0" w:color="C6D9F1"/>
              <w:right w:val="single" w:sz="8" w:space="0" w:color="376091"/>
            </w:tcBorders>
            <w:shd w:val="clear" w:color="auto" w:fill="auto"/>
            <w:vAlign w:val="center"/>
            <w:hideMark/>
          </w:tcPr>
          <w:p w14:paraId="32B8AD84" w14:textId="72D984E0"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2.6</w:t>
            </w:r>
          </w:p>
        </w:tc>
        <w:tc>
          <w:tcPr>
            <w:tcW w:w="828" w:type="dxa"/>
            <w:tcBorders>
              <w:top w:val="nil"/>
              <w:left w:val="nil"/>
              <w:bottom w:val="single" w:sz="8" w:space="0" w:color="C6D9F1"/>
              <w:right w:val="single" w:sz="8" w:space="0" w:color="376091"/>
            </w:tcBorders>
            <w:shd w:val="clear" w:color="auto" w:fill="auto"/>
            <w:vAlign w:val="center"/>
            <w:hideMark/>
          </w:tcPr>
          <w:p w14:paraId="71E58175" w14:textId="23A81253"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10.2</w:t>
            </w:r>
          </w:p>
        </w:tc>
        <w:tc>
          <w:tcPr>
            <w:tcW w:w="708" w:type="dxa"/>
            <w:tcBorders>
              <w:top w:val="nil"/>
              <w:left w:val="nil"/>
              <w:bottom w:val="single" w:sz="8" w:space="0" w:color="C6D9F1"/>
              <w:right w:val="single" w:sz="8" w:space="0" w:color="376091"/>
            </w:tcBorders>
            <w:shd w:val="clear" w:color="auto" w:fill="auto"/>
            <w:vAlign w:val="center"/>
            <w:hideMark/>
          </w:tcPr>
          <w:p w14:paraId="0CA463E9" w14:textId="34987E8B"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6.0</w:t>
            </w:r>
          </w:p>
        </w:tc>
        <w:tc>
          <w:tcPr>
            <w:tcW w:w="709" w:type="dxa"/>
            <w:tcBorders>
              <w:top w:val="nil"/>
              <w:left w:val="nil"/>
              <w:bottom w:val="single" w:sz="8" w:space="0" w:color="C6D9F1"/>
              <w:right w:val="single" w:sz="8" w:space="0" w:color="376091"/>
            </w:tcBorders>
            <w:shd w:val="clear" w:color="auto" w:fill="auto"/>
            <w:vAlign w:val="center"/>
            <w:hideMark/>
          </w:tcPr>
          <w:p w14:paraId="1999A59B" w14:textId="588094B3"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57.2</w:t>
            </w:r>
          </w:p>
        </w:tc>
        <w:tc>
          <w:tcPr>
            <w:tcW w:w="567" w:type="dxa"/>
            <w:tcBorders>
              <w:top w:val="nil"/>
              <w:left w:val="nil"/>
              <w:bottom w:val="single" w:sz="8" w:space="0" w:color="C6D9F1"/>
              <w:right w:val="single" w:sz="8" w:space="0" w:color="376091"/>
            </w:tcBorders>
            <w:shd w:val="clear" w:color="auto" w:fill="auto"/>
            <w:vAlign w:val="center"/>
            <w:hideMark/>
          </w:tcPr>
          <w:p w14:paraId="3672FB7C" w14:textId="36851636"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10.9</w:t>
            </w:r>
          </w:p>
        </w:tc>
        <w:tc>
          <w:tcPr>
            <w:tcW w:w="851" w:type="dxa"/>
            <w:tcBorders>
              <w:top w:val="nil"/>
              <w:left w:val="nil"/>
              <w:bottom w:val="single" w:sz="8" w:space="0" w:color="C6D9F1"/>
              <w:right w:val="single" w:sz="8" w:space="0" w:color="376091"/>
            </w:tcBorders>
            <w:shd w:val="clear" w:color="auto" w:fill="auto"/>
            <w:vAlign w:val="center"/>
            <w:hideMark/>
          </w:tcPr>
          <w:p w14:paraId="74268528" w14:textId="07646B5E"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32.6</w:t>
            </w:r>
          </w:p>
        </w:tc>
        <w:tc>
          <w:tcPr>
            <w:tcW w:w="708" w:type="dxa"/>
            <w:tcBorders>
              <w:top w:val="nil"/>
              <w:left w:val="nil"/>
              <w:bottom w:val="single" w:sz="8" w:space="0" w:color="C6D9F1"/>
              <w:right w:val="single" w:sz="8" w:space="0" w:color="376091"/>
            </w:tcBorders>
            <w:shd w:val="clear" w:color="auto" w:fill="auto"/>
            <w:vAlign w:val="center"/>
            <w:hideMark/>
          </w:tcPr>
          <w:p w14:paraId="04CF49D1" w14:textId="3655B3BA"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69.7</w:t>
            </w:r>
          </w:p>
        </w:tc>
        <w:tc>
          <w:tcPr>
            <w:tcW w:w="709" w:type="dxa"/>
            <w:tcBorders>
              <w:top w:val="nil"/>
              <w:left w:val="nil"/>
              <w:bottom w:val="single" w:sz="8" w:space="0" w:color="C6D9F1"/>
              <w:right w:val="single" w:sz="8" w:space="0" w:color="376091"/>
            </w:tcBorders>
            <w:shd w:val="clear" w:color="auto" w:fill="auto"/>
            <w:vAlign w:val="center"/>
            <w:hideMark/>
          </w:tcPr>
          <w:p w14:paraId="1F4F9B30" w14:textId="7C0E3902"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32.5</w:t>
            </w:r>
          </w:p>
        </w:tc>
        <w:tc>
          <w:tcPr>
            <w:tcW w:w="851" w:type="dxa"/>
            <w:tcBorders>
              <w:top w:val="nil"/>
              <w:left w:val="nil"/>
              <w:bottom w:val="single" w:sz="8" w:space="0" w:color="C6D9F1"/>
              <w:right w:val="single" w:sz="8" w:space="0" w:color="376091"/>
            </w:tcBorders>
            <w:vAlign w:val="center"/>
          </w:tcPr>
          <w:p w14:paraId="4C01461F" w14:textId="55C96200"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27.2</w:t>
            </w:r>
          </w:p>
        </w:tc>
      </w:tr>
      <w:tr w:rsidR="00831EED" w:rsidRPr="00E7630F" w14:paraId="3C4D3E62" w14:textId="77777777" w:rsidTr="00831EED">
        <w:trPr>
          <w:trHeight w:val="113"/>
        </w:trPr>
        <w:tc>
          <w:tcPr>
            <w:tcW w:w="1843" w:type="dxa"/>
            <w:tcBorders>
              <w:top w:val="nil"/>
              <w:left w:val="single" w:sz="8" w:space="0" w:color="376091"/>
              <w:bottom w:val="single" w:sz="8" w:space="0" w:color="C6D9F1"/>
              <w:right w:val="single" w:sz="8" w:space="0" w:color="376091"/>
            </w:tcBorders>
            <w:shd w:val="clear" w:color="auto" w:fill="auto"/>
            <w:noWrap/>
            <w:vAlign w:val="center"/>
            <w:hideMark/>
          </w:tcPr>
          <w:p w14:paraId="60869508" w14:textId="77777777" w:rsidR="00831EED" w:rsidRPr="00513E8F" w:rsidRDefault="00831EED" w:rsidP="00831EED">
            <w:pPr>
              <w:spacing w:after="0" w:line="240" w:lineRule="auto"/>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Yucatán</w:t>
            </w:r>
          </w:p>
        </w:tc>
        <w:tc>
          <w:tcPr>
            <w:tcW w:w="992" w:type="dxa"/>
            <w:tcBorders>
              <w:top w:val="nil"/>
              <w:left w:val="nil"/>
              <w:bottom w:val="single" w:sz="8" w:space="0" w:color="C6D9F1"/>
              <w:right w:val="single" w:sz="8" w:space="0" w:color="376091"/>
            </w:tcBorders>
            <w:shd w:val="clear" w:color="auto" w:fill="auto"/>
            <w:vAlign w:val="center"/>
            <w:hideMark/>
          </w:tcPr>
          <w:p w14:paraId="26103072" w14:textId="0040515B"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1,148,464</w:t>
            </w:r>
          </w:p>
        </w:tc>
        <w:tc>
          <w:tcPr>
            <w:tcW w:w="1110" w:type="dxa"/>
            <w:tcBorders>
              <w:top w:val="nil"/>
              <w:left w:val="nil"/>
              <w:bottom w:val="single" w:sz="8" w:space="0" w:color="C6D9F1"/>
              <w:right w:val="single" w:sz="8" w:space="0" w:color="376091"/>
            </w:tcBorders>
            <w:shd w:val="clear" w:color="auto" w:fill="auto"/>
            <w:vAlign w:val="center"/>
            <w:hideMark/>
          </w:tcPr>
          <w:p w14:paraId="561F4567" w14:textId="79199812"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35,255</w:t>
            </w:r>
          </w:p>
        </w:tc>
        <w:tc>
          <w:tcPr>
            <w:tcW w:w="639" w:type="dxa"/>
            <w:tcBorders>
              <w:top w:val="nil"/>
              <w:left w:val="nil"/>
              <w:bottom w:val="single" w:sz="8" w:space="0" w:color="C6D9F1"/>
              <w:right w:val="single" w:sz="8" w:space="0" w:color="376091"/>
            </w:tcBorders>
            <w:shd w:val="clear" w:color="auto" w:fill="auto"/>
            <w:vAlign w:val="center"/>
            <w:hideMark/>
          </w:tcPr>
          <w:p w14:paraId="08B65EE8" w14:textId="24E180A2"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65.3</w:t>
            </w:r>
          </w:p>
        </w:tc>
        <w:tc>
          <w:tcPr>
            <w:tcW w:w="801" w:type="dxa"/>
            <w:tcBorders>
              <w:top w:val="nil"/>
              <w:left w:val="nil"/>
              <w:bottom w:val="single" w:sz="8" w:space="0" w:color="C6D9F1"/>
              <w:right w:val="single" w:sz="8" w:space="0" w:color="376091"/>
            </w:tcBorders>
            <w:shd w:val="clear" w:color="auto" w:fill="auto"/>
            <w:vAlign w:val="center"/>
            <w:hideMark/>
          </w:tcPr>
          <w:p w14:paraId="57639FA1" w14:textId="69B82611"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3.0</w:t>
            </w:r>
          </w:p>
        </w:tc>
        <w:tc>
          <w:tcPr>
            <w:tcW w:w="828" w:type="dxa"/>
            <w:tcBorders>
              <w:top w:val="nil"/>
              <w:left w:val="nil"/>
              <w:bottom w:val="single" w:sz="8" w:space="0" w:color="C6D9F1"/>
              <w:right w:val="single" w:sz="8" w:space="0" w:color="376091"/>
            </w:tcBorders>
            <w:shd w:val="clear" w:color="auto" w:fill="auto"/>
            <w:vAlign w:val="center"/>
            <w:hideMark/>
          </w:tcPr>
          <w:p w14:paraId="23EFC9EB" w14:textId="0C7260D4"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15.3</w:t>
            </w:r>
          </w:p>
        </w:tc>
        <w:tc>
          <w:tcPr>
            <w:tcW w:w="708" w:type="dxa"/>
            <w:tcBorders>
              <w:top w:val="nil"/>
              <w:left w:val="nil"/>
              <w:bottom w:val="single" w:sz="8" w:space="0" w:color="C6D9F1"/>
              <w:right w:val="single" w:sz="8" w:space="0" w:color="376091"/>
            </w:tcBorders>
            <w:shd w:val="clear" w:color="auto" w:fill="auto"/>
            <w:vAlign w:val="center"/>
            <w:hideMark/>
          </w:tcPr>
          <w:p w14:paraId="4121FB76" w14:textId="6DD28844"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9.1</w:t>
            </w:r>
          </w:p>
        </w:tc>
        <w:tc>
          <w:tcPr>
            <w:tcW w:w="709" w:type="dxa"/>
            <w:tcBorders>
              <w:top w:val="nil"/>
              <w:left w:val="nil"/>
              <w:bottom w:val="single" w:sz="8" w:space="0" w:color="C6D9F1"/>
              <w:right w:val="single" w:sz="8" w:space="0" w:color="376091"/>
            </w:tcBorders>
            <w:shd w:val="clear" w:color="auto" w:fill="auto"/>
            <w:vAlign w:val="center"/>
            <w:hideMark/>
          </w:tcPr>
          <w:p w14:paraId="4FB8B575" w14:textId="031D9D4B"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64.1</w:t>
            </w:r>
          </w:p>
        </w:tc>
        <w:tc>
          <w:tcPr>
            <w:tcW w:w="567" w:type="dxa"/>
            <w:tcBorders>
              <w:top w:val="nil"/>
              <w:left w:val="nil"/>
              <w:bottom w:val="single" w:sz="8" w:space="0" w:color="C6D9F1"/>
              <w:right w:val="single" w:sz="8" w:space="0" w:color="376091"/>
            </w:tcBorders>
            <w:shd w:val="clear" w:color="auto" w:fill="auto"/>
            <w:vAlign w:val="center"/>
            <w:hideMark/>
          </w:tcPr>
          <w:p w14:paraId="7C16304D" w14:textId="71C0EA18"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14.6</w:t>
            </w:r>
          </w:p>
        </w:tc>
        <w:tc>
          <w:tcPr>
            <w:tcW w:w="851" w:type="dxa"/>
            <w:tcBorders>
              <w:top w:val="nil"/>
              <w:left w:val="nil"/>
              <w:bottom w:val="single" w:sz="8" w:space="0" w:color="C6D9F1"/>
              <w:right w:val="single" w:sz="8" w:space="0" w:color="376091"/>
            </w:tcBorders>
            <w:shd w:val="clear" w:color="auto" w:fill="auto"/>
            <w:vAlign w:val="center"/>
            <w:hideMark/>
          </w:tcPr>
          <w:p w14:paraId="7A480244" w14:textId="3A6E5C91"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26.9</w:t>
            </w:r>
          </w:p>
        </w:tc>
        <w:tc>
          <w:tcPr>
            <w:tcW w:w="708" w:type="dxa"/>
            <w:tcBorders>
              <w:top w:val="nil"/>
              <w:left w:val="nil"/>
              <w:bottom w:val="single" w:sz="8" w:space="0" w:color="C6D9F1"/>
              <w:right w:val="single" w:sz="8" w:space="0" w:color="376091"/>
            </w:tcBorders>
            <w:shd w:val="clear" w:color="auto" w:fill="auto"/>
            <w:vAlign w:val="center"/>
            <w:hideMark/>
          </w:tcPr>
          <w:p w14:paraId="378BD421" w14:textId="17BBF3CF"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58.6</w:t>
            </w:r>
          </w:p>
        </w:tc>
        <w:tc>
          <w:tcPr>
            <w:tcW w:w="709" w:type="dxa"/>
            <w:tcBorders>
              <w:top w:val="nil"/>
              <w:left w:val="nil"/>
              <w:bottom w:val="single" w:sz="8" w:space="0" w:color="C6D9F1"/>
              <w:right w:val="single" w:sz="8" w:space="0" w:color="376091"/>
            </w:tcBorders>
            <w:shd w:val="clear" w:color="auto" w:fill="auto"/>
            <w:vAlign w:val="center"/>
            <w:hideMark/>
          </w:tcPr>
          <w:p w14:paraId="0A55BF59" w14:textId="2A34774E"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31.8</w:t>
            </w:r>
          </w:p>
        </w:tc>
        <w:tc>
          <w:tcPr>
            <w:tcW w:w="851" w:type="dxa"/>
            <w:tcBorders>
              <w:top w:val="nil"/>
              <w:left w:val="nil"/>
              <w:bottom w:val="single" w:sz="8" w:space="0" w:color="C6D9F1"/>
              <w:right w:val="single" w:sz="8" w:space="0" w:color="376091"/>
            </w:tcBorders>
            <w:vAlign w:val="center"/>
          </w:tcPr>
          <w:p w14:paraId="169A6624" w14:textId="3CA92200"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23.4</w:t>
            </w:r>
          </w:p>
        </w:tc>
      </w:tr>
      <w:tr w:rsidR="00831EED" w:rsidRPr="00E7630F" w14:paraId="2B6D86FA" w14:textId="77777777" w:rsidTr="00831EED">
        <w:trPr>
          <w:trHeight w:val="113"/>
        </w:trPr>
        <w:tc>
          <w:tcPr>
            <w:tcW w:w="1843" w:type="dxa"/>
            <w:tcBorders>
              <w:top w:val="nil"/>
              <w:left w:val="single" w:sz="8" w:space="0" w:color="376091"/>
              <w:bottom w:val="single" w:sz="8" w:space="0" w:color="C6D9F1"/>
              <w:right w:val="single" w:sz="8" w:space="0" w:color="376091"/>
            </w:tcBorders>
            <w:shd w:val="clear" w:color="auto" w:fill="auto"/>
            <w:noWrap/>
            <w:vAlign w:val="center"/>
            <w:hideMark/>
          </w:tcPr>
          <w:p w14:paraId="7A5EFE21" w14:textId="77777777" w:rsidR="00831EED" w:rsidRPr="00513E8F" w:rsidRDefault="00831EED" w:rsidP="00831EED">
            <w:pPr>
              <w:spacing w:after="0" w:line="240" w:lineRule="auto"/>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Zacatecas</w:t>
            </w:r>
          </w:p>
        </w:tc>
        <w:tc>
          <w:tcPr>
            <w:tcW w:w="992" w:type="dxa"/>
            <w:tcBorders>
              <w:top w:val="nil"/>
              <w:left w:val="nil"/>
              <w:bottom w:val="single" w:sz="8" w:space="0" w:color="C6D9F1"/>
              <w:right w:val="single" w:sz="8" w:space="0" w:color="376091"/>
            </w:tcBorders>
            <w:shd w:val="clear" w:color="auto" w:fill="auto"/>
            <w:vAlign w:val="center"/>
            <w:hideMark/>
          </w:tcPr>
          <w:p w14:paraId="29483199" w14:textId="306459C6"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655,464</w:t>
            </w:r>
          </w:p>
        </w:tc>
        <w:tc>
          <w:tcPr>
            <w:tcW w:w="1110" w:type="dxa"/>
            <w:tcBorders>
              <w:top w:val="nil"/>
              <w:left w:val="nil"/>
              <w:bottom w:val="single" w:sz="8" w:space="0" w:color="C6D9F1"/>
              <w:right w:val="single" w:sz="8" w:space="0" w:color="376091"/>
            </w:tcBorders>
            <w:shd w:val="clear" w:color="auto" w:fill="auto"/>
            <w:vAlign w:val="center"/>
            <w:hideMark/>
          </w:tcPr>
          <w:p w14:paraId="51A38CED" w14:textId="4515E686"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26,573</w:t>
            </w:r>
          </w:p>
        </w:tc>
        <w:tc>
          <w:tcPr>
            <w:tcW w:w="639" w:type="dxa"/>
            <w:tcBorders>
              <w:top w:val="nil"/>
              <w:left w:val="nil"/>
              <w:bottom w:val="single" w:sz="8" w:space="0" w:color="C6D9F1"/>
              <w:right w:val="single" w:sz="8" w:space="0" w:color="376091"/>
            </w:tcBorders>
            <w:shd w:val="clear" w:color="auto" w:fill="auto"/>
            <w:vAlign w:val="center"/>
            <w:hideMark/>
          </w:tcPr>
          <w:p w14:paraId="0A6251D8" w14:textId="5AE0FDB4"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57.3</w:t>
            </w:r>
          </w:p>
        </w:tc>
        <w:tc>
          <w:tcPr>
            <w:tcW w:w="801" w:type="dxa"/>
            <w:tcBorders>
              <w:top w:val="nil"/>
              <w:left w:val="nil"/>
              <w:bottom w:val="single" w:sz="8" w:space="0" w:color="C6D9F1"/>
              <w:right w:val="single" w:sz="8" w:space="0" w:color="376091"/>
            </w:tcBorders>
            <w:shd w:val="clear" w:color="auto" w:fill="auto"/>
            <w:vAlign w:val="center"/>
            <w:hideMark/>
          </w:tcPr>
          <w:p w14:paraId="78EA749A" w14:textId="1E5F864B"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3.9</w:t>
            </w:r>
          </w:p>
        </w:tc>
        <w:tc>
          <w:tcPr>
            <w:tcW w:w="828" w:type="dxa"/>
            <w:tcBorders>
              <w:top w:val="nil"/>
              <w:left w:val="nil"/>
              <w:bottom w:val="single" w:sz="8" w:space="0" w:color="C6D9F1"/>
              <w:right w:val="single" w:sz="8" w:space="0" w:color="376091"/>
            </w:tcBorders>
            <w:shd w:val="clear" w:color="auto" w:fill="auto"/>
            <w:vAlign w:val="center"/>
            <w:hideMark/>
          </w:tcPr>
          <w:p w14:paraId="55882D6F" w14:textId="59FE6A27"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12.9</w:t>
            </w:r>
          </w:p>
        </w:tc>
        <w:tc>
          <w:tcPr>
            <w:tcW w:w="708" w:type="dxa"/>
            <w:tcBorders>
              <w:top w:val="nil"/>
              <w:left w:val="nil"/>
              <w:bottom w:val="single" w:sz="8" w:space="0" w:color="C6D9F1"/>
              <w:right w:val="single" w:sz="8" w:space="0" w:color="376091"/>
            </w:tcBorders>
            <w:shd w:val="clear" w:color="auto" w:fill="auto"/>
            <w:vAlign w:val="center"/>
            <w:hideMark/>
          </w:tcPr>
          <w:p w14:paraId="6443CDF8" w14:textId="4C9727C2"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9.7</w:t>
            </w:r>
          </w:p>
        </w:tc>
        <w:tc>
          <w:tcPr>
            <w:tcW w:w="709" w:type="dxa"/>
            <w:tcBorders>
              <w:top w:val="nil"/>
              <w:left w:val="nil"/>
              <w:bottom w:val="single" w:sz="8" w:space="0" w:color="C6D9F1"/>
              <w:right w:val="single" w:sz="8" w:space="0" w:color="376091"/>
            </w:tcBorders>
            <w:shd w:val="clear" w:color="auto" w:fill="auto"/>
            <w:vAlign w:val="center"/>
            <w:hideMark/>
          </w:tcPr>
          <w:p w14:paraId="18418A59" w14:textId="0505596A"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65.0</w:t>
            </w:r>
          </w:p>
        </w:tc>
        <w:tc>
          <w:tcPr>
            <w:tcW w:w="567" w:type="dxa"/>
            <w:tcBorders>
              <w:top w:val="nil"/>
              <w:left w:val="nil"/>
              <w:bottom w:val="single" w:sz="8" w:space="0" w:color="C6D9F1"/>
              <w:right w:val="single" w:sz="8" w:space="0" w:color="376091"/>
            </w:tcBorders>
            <w:shd w:val="clear" w:color="auto" w:fill="auto"/>
            <w:vAlign w:val="center"/>
            <w:hideMark/>
          </w:tcPr>
          <w:p w14:paraId="25653759" w14:textId="7C026994"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18.7</w:t>
            </w:r>
          </w:p>
        </w:tc>
        <w:tc>
          <w:tcPr>
            <w:tcW w:w="851" w:type="dxa"/>
            <w:tcBorders>
              <w:top w:val="nil"/>
              <w:left w:val="nil"/>
              <w:bottom w:val="single" w:sz="8" w:space="0" w:color="C6D9F1"/>
              <w:right w:val="single" w:sz="8" w:space="0" w:color="376091"/>
            </w:tcBorders>
            <w:shd w:val="clear" w:color="auto" w:fill="auto"/>
            <w:vAlign w:val="center"/>
            <w:hideMark/>
          </w:tcPr>
          <w:p w14:paraId="370921F5" w14:textId="2D7535CE"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27.3</w:t>
            </w:r>
          </w:p>
        </w:tc>
        <w:tc>
          <w:tcPr>
            <w:tcW w:w="708" w:type="dxa"/>
            <w:tcBorders>
              <w:top w:val="nil"/>
              <w:left w:val="nil"/>
              <w:bottom w:val="single" w:sz="8" w:space="0" w:color="C6D9F1"/>
              <w:right w:val="single" w:sz="8" w:space="0" w:color="376091"/>
            </w:tcBorders>
            <w:shd w:val="clear" w:color="auto" w:fill="auto"/>
            <w:vAlign w:val="center"/>
            <w:hideMark/>
          </w:tcPr>
          <w:p w14:paraId="7468788F" w14:textId="3AA2DD7A"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60.6</w:t>
            </w:r>
          </w:p>
        </w:tc>
        <w:tc>
          <w:tcPr>
            <w:tcW w:w="709" w:type="dxa"/>
            <w:tcBorders>
              <w:top w:val="nil"/>
              <w:left w:val="nil"/>
              <w:bottom w:val="single" w:sz="8" w:space="0" w:color="C6D9F1"/>
              <w:right w:val="single" w:sz="8" w:space="0" w:color="376091"/>
            </w:tcBorders>
            <w:shd w:val="clear" w:color="auto" w:fill="auto"/>
            <w:vAlign w:val="center"/>
            <w:hideMark/>
          </w:tcPr>
          <w:p w14:paraId="66E60DDE" w14:textId="3FF5245E"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25.5</w:t>
            </w:r>
          </w:p>
        </w:tc>
        <w:tc>
          <w:tcPr>
            <w:tcW w:w="851" w:type="dxa"/>
            <w:tcBorders>
              <w:top w:val="nil"/>
              <w:left w:val="nil"/>
              <w:bottom w:val="single" w:sz="8" w:space="0" w:color="C6D9F1"/>
              <w:right w:val="single" w:sz="8" w:space="0" w:color="376091"/>
            </w:tcBorders>
            <w:vAlign w:val="center"/>
          </w:tcPr>
          <w:p w14:paraId="22AEEAAC" w14:textId="00CB065F"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32.9</w:t>
            </w:r>
          </w:p>
        </w:tc>
      </w:tr>
      <w:tr w:rsidR="00831EED" w:rsidRPr="00E7630F" w14:paraId="7ABCBFCC" w14:textId="77777777" w:rsidTr="00831EED">
        <w:trPr>
          <w:trHeight w:val="20"/>
        </w:trPr>
        <w:tc>
          <w:tcPr>
            <w:tcW w:w="1843" w:type="dxa"/>
            <w:tcBorders>
              <w:top w:val="nil"/>
              <w:left w:val="single" w:sz="8" w:space="0" w:color="376091"/>
              <w:bottom w:val="single" w:sz="8" w:space="0" w:color="376091"/>
              <w:right w:val="single" w:sz="8" w:space="0" w:color="376091"/>
            </w:tcBorders>
            <w:shd w:val="clear" w:color="auto" w:fill="auto"/>
            <w:vAlign w:val="center"/>
            <w:hideMark/>
          </w:tcPr>
          <w:p w14:paraId="23DFEB08" w14:textId="77777777" w:rsidR="00831EED" w:rsidRPr="00E7630F" w:rsidRDefault="00831EED" w:rsidP="00831EED">
            <w:pPr>
              <w:spacing w:after="0" w:line="240" w:lineRule="auto"/>
              <w:rPr>
                <w:rFonts w:ascii="Arial" w:eastAsia="Times New Roman" w:hAnsi="Arial" w:cs="Arial"/>
                <w:color w:val="000000"/>
                <w:sz w:val="8"/>
                <w:szCs w:val="16"/>
                <w:lang w:eastAsia="es-MX"/>
              </w:rPr>
            </w:pPr>
            <w:r w:rsidRPr="00E7630F">
              <w:rPr>
                <w:rFonts w:ascii="Arial" w:eastAsia="Times New Roman" w:hAnsi="Arial" w:cs="Arial"/>
                <w:color w:val="000000"/>
                <w:sz w:val="8"/>
                <w:szCs w:val="16"/>
                <w:lang w:eastAsia="es-MX"/>
              </w:rPr>
              <w:t> </w:t>
            </w:r>
          </w:p>
        </w:tc>
        <w:tc>
          <w:tcPr>
            <w:tcW w:w="992" w:type="dxa"/>
            <w:tcBorders>
              <w:top w:val="nil"/>
              <w:left w:val="nil"/>
              <w:bottom w:val="single" w:sz="8" w:space="0" w:color="376091"/>
              <w:right w:val="single" w:sz="8" w:space="0" w:color="376091"/>
            </w:tcBorders>
            <w:shd w:val="clear" w:color="auto" w:fill="auto"/>
            <w:vAlign w:val="center"/>
            <w:hideMark/>
          </w:tcPr>
          <w:p w14:paraId="60484CF3" w14:textId="77777777" w:rsidR="00831EED" w:rsidRPr="00E7630F" w:rsidRDefault="00831EED" w:rsidP="00831EED">
            <w:pPr>
              <w:spacing w:after="0" w:line="240" w:lineRule="auto"/>
              <w:rPr>
                <w:rFonts w:ascii="Arial" w:eastAsia="Times New Roman" w:hAnsi="Arial" w:cs="Arial"/>
                <w:color w:val="000000"/>
                <w:sz w:val="8"/>
                <w:szCs w:val="16"/>
                <w:lang w:eastAsia="es-MX"/>
              </w:rPr>
            </w:pPr>
            <w:r w:rsidRPr="00E7630F">
              <w:rPr>
                <w:rFonts w:ascii="Arial" w:eastAsia="Times New Roman" w:hAnsi="Arial" w:cs="Arial"/>
                <w:color w:val="000000"/>
                <w:sz w:val="8"/>
                <w:szCs w:val="16"/>
                <w:lang w:eastAsia="es-MX"/>
              </w:rPr>
              <w:t> </w:t>
            </w:r>
          </w:p>
        </w:tc>
        <w:tc>
          <w:tcPr>
            <w:tcW w:w="1110" w:type="dxa"/>
            <w:tcBorders>
              <w:top w:val="nil"/>
              <w:left w:val="nil"/>
              <w:bottom w:val="single" w:sz="8" w:space="0" w:color="376091"/>
              <w:right w:val="single" w:sz="8" w:space="0" w:color="376091"/>
            </w:tcBorders>
            <w:shd w:val="clear" w:color="auto" w:fill="auto"/>
            <w:vAlign w:val="center"/>
            <w:hideMark/>
          </w:tcPr>
          <w:p w14:paraId="50BCE536" w14:textId="77777777" w:rsidR="00831EED" w:rsidRPr="00E7630F" w:rsidRDefault="00831EED" w:rsidP="00831EED">
            <w:pPr>
              <w:spacing w:after="0" w:line="240" w:lineRule="auto"/>
              <w:rPr>
                <w:rFonts w:ascii="Arial" w:eastAsia="Times New Roman" w:hAnsi="Arial" w:cs="Arial"/>
                <w:color w:val="000000"/>
                <w:sz w:val="8"/>
                <w:szCs w:val="16"/>
                <w:lang w:eastAsia="es-MX"/>
              </w:rPr>
            </w:pPr>
            <w:r w:rsidRPr="00E7630F">
              <w:rPr>
                <w:rFonts w:ascii="Arial" w:eastAsia="Times New Roman" w:hAnsi="Arial" w:cs="Arial"/>
                <w:color w:val="000000"/>
                <w:sz w:val="8"/>
                <w:szCs w:val="16"/>
                <w:lang w:eastAsia="es-MX"/>
              </w:rPr>
              <w:t> </w:t>
            </w:r>
          </w:p>
        </w:tc>
        <w:tc>
          <w:tcPr>
            <w:tcW w:w="639" w:type="dxa"/>
            <w:tcBorders>
              <w:top w:val="nil"/>
              <w:left w:val="nil"/>
              <w:bottom w:val="single" w:sz="8" w:space="0" w:color="376091"/>
              <w:right w:val="single" w:sz="8" w:space="0" w:color="376091"/>
            </w:tcBorders>
            <w:shd w:val="clear" w:color="auto" w:fill="auto"/>
            <w:vAlign w:val="center"/>
            <w:hideMark/>
          </w:tcPr>
          <w:p w14:paraId="79B227C6" w14:textId="77777777" w:rsidR="00831EED" w:rsidRPr="00E7630F" w:rsidRDefault="00831EED" w:rsidP="00831EED">
            <w:pPr>
              <w:spacing w:after="0" w:line="240" w:lineRule="auto"/>
              <w:rPr>
                <w:rFonts w:ascii="Arial" w:eastAsia="Times New Roman" w:hAnsi="Arial" w:cs="Arial"/>
                <w:color w:val="000000"/>
                <w:sz w:val="8"/>
                <w:szCs w:val="16"/>
                <w:lang w:eastAsia="es-MX"/>
              </w:rPr>
            </w:pPr>
            <w:r w:rsidRPr="00E7630F">
              <w:rPr>
                <w:rFonts w:ascii="Arial" w:eastAsia="Times New Roman" w:hAnsi="Arial" w:cs="Arial"/>
                <w:color w:val="000000"/>
                <w:sz w:val="8"/>
                <w:szCs w:val="16"/>
                <w:lang w:eastAsia="es-MX"/>
              </w:rPr>
              <w:t> </w:t>
            </w:r>
          </w:p>
        </w:tc>
        <w:tc>
          <w:tcPr>
            <w:tcW w:w="801" w:type="dxa"/>
            <w:tcBorders>
              <w:top w:val="nil"/>
              <w:left w:val="nil"/>
              <w:bottom w:val="single" w:sz="8" w:space="0" w:color="376091"/>
              <w:right w:val="single" w:sz="8" w:space="0" w:color="376091"/>
            </w:tcBorders>
            <w:shd w:val="clear" w:color="auto" w:fill="auto"/>
            <w:vAlign w:val="center"/>
            <w:hideMark/>
          </w:tcPr>
          <w:p w14:paraId="42ACCAFE" w14:textId="77777777" w:rsidR="00831EED" w:rsidRPr="00E7630F" w:rsidRDefault="00831EED" w:rsidP="00831EED">
            <w:pPr>
              <w:spacing w:after="0" w:line="240" w:lineRule="auto"/>
              <w:rPr>
                <w:rFonts w:ascii="Arial" w:eastAsia="Times New Roman" w:hAnsi="Arial" w:cs="Arial"/>
                <w:color w:val="000000"/>
                <w:sz w:val="8"/>
                <w:szCs w:val="16"/>
                <w:lang w:eastAsia="es-MX"/>
              </w:rPr>
            </w:pPr>
            <w:r w:rsidRPr="00E7630F">
              <w:rPr>
                <w:rFonts w:ascii="Arial" w:eastAsia="Times New Roman" w:hAnsi="Arial" w:cs="Arial"/>
                <w:color w:val="000000"/>
                <w:sz w:val="8"/>
                <w:szCs w:val="16"/>
                <w:lang w:eastAsia="es-MX"/>
              </w:rPr>
              <w:t> </w:t>
            </w:r>
          </w:p>
        </w:tc>
        <w:tc>
          <w:tcPr>
            <w:tcW w:w="828" w:type="dxa"/>
            <w:tcBorders>
              <w:top w:val="nil"/>
              <w:left w:val="nil"/>
              <w:bottom w:val="single" w:sz="8" w:space="0" w:color="376091"/>
              <w:right w:val="single" w:sz="8" w:space="0" w:color="376091"/>
            </w:tcBorders>
            <w:shd w:val="clear" w:color="auto" w:fill="auto"/>
            <w:vAlign w:val="center"/>
            <w:hideMark/>
          </w:tcPr>
          <w:p w14:paraId="79F45A0C" w14:textId="77777777" w:rsidR="00831EED" w:rsidRPr="00E7630F" w:rsidRDefault="00831EED" w:rsidP="00831EED">
            <w:pPr>
              <w:spacing w:after="0" w:line="240" w:lineRule="auto"/>
              <w:rPr>
                <w:rFonts w:ascii="Arial" w:eastAsia="Times New Roman" w:hAnsi="Arial" w:cs="Arial"/>
                <w:color w:val="000000"/>
                <w:sz w:val="8"/>
                <w:szCs w:val="16"/>
                <w:lang w:eastAsia="es-MX"/>
              </w:rPr>
            </w:pPr>
            <w:r w:rsidRPr="00E7630F">
              <w:rPr>
                <w:rFonts w:ascii="Arial" w:eastAsia="Times New Roman" w:hAnsi="Arial" w:cs="Arial"/>
                <w:color w:val="000000"/>
                <w:sz w:val="8"/>
                <w:szCs w:val="16"/>
                <w:lang w:eastAsia="es-MX"/>
              </w:rPr>
              <w:t> </w:t>
            </w:r>
          </w:p>
        </w:tc>
        <w:tc>
          <w:tcPr>
            <w:tcW w:w="708" w:type="dxa"/>
            <w:tcBorders>
              <w:top w:val="nil"/>
              <w:left w:val="nil"/>
              <w:bottom w:val="single" w:sz="8" w:space="0" w:color="376091"/>
              <w:right w:val="single" w:sz="8" w:space="0" w:color="376091"/>
            </w:tcBorders>
            <w:shd w:val="clear" w:color="auto" w:fill="auto"/>
            <w:vAlign w:val="center"/>
            <w:hideMark/>
          </w:tcPr>
          <w:p w14:paraId="2E2F6E27" w14:textId="77777777" w:rsidR="00831EED" w:rsidRPr="00E7630F" w:rsidRDefault="00831EED" w:rsidP="00831EED">
            <w:pPr>
              <w:spacing w:after="0" w:line="240" w:lineRule="auto"/>
              <w:jc w:val="center"/>
              <w:rPr>
                <w:rFonts w:ascii="Arial" w:eastAsia="Times New Roman" w:hAnsi="Arial" w:cs="Arial"/>
                <w:color w:val="000000"/>
                <w:sz w:val="8"/>
                <w:szCs w:val="16"/>
                <w:lang w:eastAsia="es-MX"/>
              </w:rPr>
            </w:pPr>
            <w:r w:rsidRPr="00E7630F">
              <w:rPr>
                <w:rFonts w:ascii="Arial" w:eastAsia="Times New Roman" w:hAnsi="Arial" w:cs="Arial"/>
                <w:color w:val="000000"/>
                <w:sz w:val="8"/>
                <w:szCs w:val="16"/>
                <w:lang w:eastAsia="es-MX"/>
              </w:rPr>
              <w:t> </w:t>
            </w:r>
          </w:p>
        </w:tc>
        <w:tc>
          <w:tcPr>
            <w:tcW w:w="709" w:type="dxa"/>
            <w:tcBorders>
              <w:top w:val="nil"/>
              <w:left w:val="nil"/>
              <w:bottom w:val="single" w:sz="8" w:space="0" w:color="376091"/>
              <w:right w:val="single" w:sz="8" w:space="0" w:color="376091"/>
            </w:tcBorders>
            <w:shd w:val="clear" w:color="auto" w:fill="auto"/>
            <w:vAlign w:val="center"/>
            <w:hideMark/>
          </w:tcPr>
          <w:p w14:paraId="6CA1A84E" w14:textId="77777777" w:rsidR="00831EED" w:rsidRPr="00E7630F" w:rsidRDefault="00831EED" w:rsidP="00831EED">
            <w:pPr>
              <w:spacing w:after="0" w:line="240" w:lineRule="auto"/>
              <w:jc w:val="center"/>
              <w:rPr>
                <w:rFonts w:ascii="Arial" w:eastAsia="Times New Roman" w:hAnsi="Arial" w:cs="Arial"/>
                <w:color w:val="000000"/>
                <w:sz w:val="8"/>
                <w:szCs w:val="16"/>
                <w:lang w:eastAsia="es-MX"/>
              </w:rPr>
            </w:pPr>
            <w:r w:rsidRPr="00E7630F">
              <w:rPr>
                <w:rFonts w:ascii="Arial" w:eastAsia="Times New Roman" w:hAnsi="Arial" w:cs="Arial"/>
                <w:color w:val="000000"/>
                <w:sz w:val="8"/>
                <w:szCs w:val="16"/>
                <w:lang w:eastAsia="es-MX"/>
              </w:rPr>
              <w:t> </w:t>
            </w:r>
          </w:p>
        </w:tc>
        <w:tc>
          <w:tcPr>
            <w:tcW w:w="567" w:type="dxa"/>
            <w:tcBorders>
              <w:top w:val="nil"/>
              <w:left w:val="nil"/>
              <w:bottom w:val="single" w:sz="8" w:space="0" w:color="376091"/>
              <w:right w:val="single" w:sz="8" w:space="0" w:color="376091"/>
            </w:tcBorders>
            <w:shd w:val="clear" w:color="auto" w:fill="auto"/>
            <w:vAlign w:val="center"/>
            <w:hideMark/>
          </w:tcPr>
          <w:p w14:paraId="10C2A5E2" w14:textId="77777777" w:rsidR="00831EED" w:rsidRPr="00E7630F" w:rsidRDefault="00831EED" w:rsidP="00831EED">
            <w:pPr>
              <w:spacing w:after="0" w:line="240" w:lineRule="auto"/>
              <w:jc w:val="center"/>
              <w:rPr>
                <w:rFonts w:ascii="Arial" w:eastAsia="Times New Roman" w:hAnsi="Arial" w:cs="Arial"/>
                <w:color w:val="000000"/>
                <w:sz w:val="8"/>
                <w:szCs w:val="16"/>
                <w:lang w:eastAsia="es-MX"/>
              </w:rPr>
            </w:pPr>
            <w:r w:rsidRPr="00E7630F">
              <w:rPr>
                <w:rFonts w:ascii="Arial" w:eastAsia="Times New Roman" w:hAnsi="Arial" w:cs="Arial"/>
                <w:color w:val="000000"/>
                <w:sz w:val="8"/>
                <w:szCs w:val="16"/>
                <w:lang w:eastAsia="es-MX"/>
              </w:rPr>
              <w:t> </w:t>
            </w:r>
          </w:p>
        </w:tc>
        <w:tc>
          <w:tcPr>
            <w:tcW w:w="851" w:type="dxa"/>
            <w:tcBorders>
              <w:top w:val="nil"/>
              <w:left w:val="nil"/>
              <w:bottom w:val="single" w:sz="8" w:space="0" w:color="376091"/>
              <w:right w:val="single" w:sz="8" w:space="0" w:color="376091"/>
            </w:tcBorders>
            <w:shd w:val="clear" w:color="auto" w:fill="auto"/>
            <w:vAlign w:val="center"/>
            <w:hideMark/>
          </w:tcPr>
          <w:p w14:paraId="16629829" w14:textId="77777777" w:rsidR="00831EED" w:rsidRPr="00E7630F" w:rsidRDefault="00831EED" w:rsidP="00831EED">
            <w:pPr>
              <w:spacing w:after="0" w:line="240" w:lineRule="auto"/>
              <w:jc w:val="center"/>
              <w:rPr>
                <w:rFonts w:ascii="Arial" w:eastAsia="Times New Roman" w:hAnsi="Arial" w:cs="Arial"/>
                <w:color w:val="000000"/>
                <w:sz w:val="8"/>
                <w:szCs w:val="16"/>
                <w:lang w:eastAsia="es-MX"/>
              </w:rPr>
            </w:pPr>
            <w:r w:rsidRPr="00E7630F">
              <w:rPr>
                <w:rFonts w:ascii="Arial" w:eastAsia="Times New Roman" w:hAnsi="Arial" w:cs="Arial"/>
                <w:color w:val="000000"/>
                <w:sz w:val="8"/>
                <w:szCs w:val="16"/>
                <w:lang w:eastAsia="es-MX"/>
              </w:rPr>
              <w:t> </w:t>
            </w:r>
          </w:p>
        </w:tc>
        <w:tc>
          <w:tcPr>
            <w:tcW w:w="708" w:type="dxa"/>
            <w:tcBorders>
              <w:top w:val="nil"/>
              <w:left w:val="nil"/>
              <w:bottom w:val="single" w:sz="8" w:space="0" w:color="376091"/>
              <w:right w:val="single" w:sz="8" w:space="0" w:color="376091"/>
            </w:tcBorders>
            <w:shd w:val="clear" w:color="auto" w:fill="auto"/>
            <w:vAlign w:val="center"/>
            <w:hideMark/>
          </w:tcPr>
          <w:p w14:paraId="5F741431" w14:textId="77777777" w:rsidR="00831EED" w:rsidRPr="00E7630F" w:rsidRDefault="00831EED" w:rsidP="00831EED">
            <w:pPr>
              <w:spacing w:after="0" w:line="240" w:lineRule="auto"/>
              <w:jc w:val="center"/>
              <w:rPr>
                <w:rFonts w:ascii="Arial" w:eastAsia="Times New Roman" w:hAnsi="Arial" w:cs="Arial"/>
                <w:color w:val="000000"/>
                <w:sz w:val="8"/>
                <w:szCs w:val="16"/>
                <w:lang w:eastAsia="es-MX"/>
              </w:rPr>
            </w:pPr>
            <w:r w:rsidRPr="00E7630F">
              <w:rPr>
                <w:rFonts w:ascii="Arial" w:eastAsia="Times New Roman" w:hAnsi="Arial" w:cs="Arial"/>
                <w:color w:val="000000"/>
                <w:sz w:val="8"/>
                <w:szCs w:val="16"/>
                <w:lang w:eastAsia="es-MX"/>
              </w:rPr>
              <w:t> </w:t>
            </w:r>
          </w:p>
        </w:tc>
        <w:tc>
          <w:tcPr>
            <w:tcW w:w="709" w:type="dxa"/>
            <w:tcBorders>
              <w:top w:val="nil"/>
              <w:left w:val="nil"/>
              <w:bottom w:val="single" w:sz="8" w:space="0" w:color="376091"/>
              <w:right w:val="single" w:sz="8" w:space="0" w:color="376091"/>
            </w:tcBorders>
            <w:shd w:val="clear" w:color="auto" w:fill="auto"/>
            <w:vAlign w:val="center"/>
            <w:hideMark/>
          </w:tcPr>
          <w:p w14:paraId="03377798" w14:textId="77777777" w:rsidR="00831EED" w:rsidRPr="00E7630F" w:rsidRDefault="00831EED" w:rsidP="00831EED">
            <w:pPr>
              <w:spacing w:after="0" w:line="240" w:lineRule="auto"/>
              <w:jc w:val="center"/>
              <w:rPr>
                <w:rFonts w:ascii="Arial" w:eastAsia="Times New Roman" w:hAnsi="Arial" w:cs="Arial"/>
                <w:color w:val="000000"/>
                <w:sz w:val="8"/>
                <w:szCs w:val="16"/>
                <w:lang w:eastAsia="es-MX"/>
              </w:rPr>
            </w:pPr>
            <w:r w:rsidRPr="00E7630F">
              <w:rPr>
                <w:rFonts w:ascii="Arial" w:eastAsia="Times New Roman" w:hAnsi="Arial" w:cs="Arial"/>
                <w:color w:val="000000"/>
                <w:sz w:val="8"/>
                <w:szCs w:val="16"/>
                <w:lang w:eastAsia="es-MX"/>
              </w:rPr>
              <w:t> </w:t>
            </w:r>
          </w:p>
        </w:tc>
        <w:tc>
          <w:tcPr>
            <w:tcW w:w="851" w:type="dxa"/>
            <w:tcBorders>
              <w:top w:val="nil"/>
              <w:left w:val="nil"/>
              <w:bottom w:val="single" w:sz="8" w:space="0" w:color="376091"/>
              <w:right w:val="single" w:sz="8" w:space="0" w:color="376091"/>
            </w:tcBorders>
            <w:vAlign w:val="center"/>
          </w:tcPr>
          <w:p w14:paraId="01F3A2E4" w14:textId="77777777" w:rsidR="00831EED" w:rsidRPr="00E7630F" w:rsidRDefault="00831EED" w:rsidP="00831EED">
            <w:pPr>
              <w:spacing w:after="0" w:line="240" w:lineRule="auto"/>
              <w:jc w:val="center"/>
              <w:rPr>
                <w:rFonts w:ascii="Arial" w:eastAsia="Times New Roman" w:hAnsi="Arial" w:cs="Arial"/>
                <w:color w:val="000000"/>
                <w:sz w:val="8"/>
                <w:szCs w:val="16"/>
                <w:lang w:eastAsia="es-MX"/>
              </w:rPr>
            </w:pPr>
          </w:p>
        </w:tc>
      </w:tr>
    </w:tbl>
    <w:p w14:paraId="1E24054F" w14:textId="77777777" w:rsidR="00350F1A" w:rsidRPr="0095099D" w:rsidRDefault="00350F1A" w:rsidP="009749DA">
      <w:pPr>
        <w:pStyle w:val="n0"/>
        <w:keepLines w:val="0"/>
        <w:tabs>
          <w:tab w:val="left" w:pos="-284"/>
          <w:tab w:val="left" w:pos="1350"/>
          <w:tab w:val="left" w:pos="2190"/>
          <w:tab w:val="left" w:pos="3752"/>
        </w:tabs>
        <w:spacing w:before="0"/>
        <w:ind w:left="-567" w:right="-801" w:hanging="284"/>
        <w:jc w:val="left"/>
        <w:rPr>
          <w:color w:val="auto"/>
          <w:sz w:val="14"/>
          <w:szCs w:val="16"/>
        </w:rPr>
      </w:pPr>
      <w:r w:rsidRPr="0095099D">
        <w:rPr>
          <w:color w:val="auto"/>
          <w:sz w:val="16"/>
          <w:szCs w:val="18"/>
          <w:vertAlign w:val="superscript"/>
        </w:rPr>
        <w:t>1/</w:t>
      </w:r>
      <w:r w:rsidRPr="0095099D">
        <w:rPr>
          <w:color w:val="auto"/>
          <w:sz w:val="16"/>
          <w:szCs w:val="18"/>
          <w:vertAlign w:val="superscript"/>
        </w:rPr>
        <w:tab/>
      </w:r>
      <w:r w:rsidRPr="0095099D">
        <w:rPr>
          <w:color w:val="000000" w:themeColor="text1"/>
          <w:sz w:val="14"/>
          <w:szCs w:val="16"/>
        </w:rPr>
        <w:t>Población Económicamente Activa como porcentaje de la población de 15 años y más</w:t>
      </w:r>
      <w:r w:rsidRPr="0095099D">
        <w:rPr>
          <w:color w:val="auto"/>
          <w:sz w:val="14"/>
          <w:szCs w:val="16"/>
        </w:rPr>
        <w:t>.</w:t>
      </w:r>
    </w:p>
    <w:p w14:paraId="66EC7433" w14:textId="77777777" w:rsidR="00350F1A" w:rsidRPr="0095099D" w:rsidRDefault="00350F1A" w:rsidP="009749DA">
      <w:pPr>
        <w:pStyle w:val="n0"/>
        <w:keepLines w:val="0"/>
        <w:tabs>
          <w:tab w:val="left" w:pos="-284"/>
          <w:tab w:val="left" w:pos="1350"/>
          <w:tab w:val="left" w:pos="2190"/>
          <w:tab w:val="left" w:pos="3752"/>
        </w:tabs>
        <w:spacing w:before="0"/>
        <w:ind w:left="-567" w:right="-801" w:hanging="284"/>
        <w:jc w:val="left"/>
        <w:rPr>
          <w:color w:val="auto"/>
          <w:sz w:val="14"/>
          <w:szCs w:val="16"/>
        </w:rPr>
      </w:pPr>
      <w:r w:rsidRPr="0095099D">
        <w:rPr>
          <w:color w:val="auto"/>
          <w:sz w:val="16"/>
          <w:szCs w:val="18"/>
          <w:vertAlign w:val="superscript"/>
        </w:rPr>
        <w:t>2/</w:t>
      </w:r>
      <w:r w:rsidRPr="0095099D">
        <w:rPr>
          <w:color w:val="auto"/>
          <w:sz w:val="14"/>
          <w:szCs w:val="16"/>
          <w:vertAlign w:val="superscript"/>
        </w:rPr>
        <w:tab/>
      </w:r>
      <w:r w:rsidRPr="0095099D">
        <w:rPr>
          <w:color w:val="000000" w:themeColor="text1"/>
          <w:sz w:val="14"/>
          <w:szCs w:val="16"/>
        </w:rPr>
        <w:t>Porcentaje respecto a la Población Económicamente Activa</w:t>
      </w:r>
      <w:r w:rsidRPr="0095099D">
        <w:rPr>
          <w:color w:val="auto"/>
          <w:sz w:val="14"/>
          <w:szCs w:val="16"/>
        </w:rPr>
        <w:t>.</w:t>
      </w:r>
    </w:p>
    <w:p w14:paraId="1832B3D4" w14:textId="77777777" w:rsidR="00350F1A" w:rsidRDefault="00350F1A" w:rsidP="009749DA">
      <w:pPr>
        <w:pStyle w:val="n0"/>
        <w:keepLines w:val="0"/>
        <w:tabs>
          <w:tab w:val="left" w:pos="-284"/>
          <w:tab w:val="left" w:pos="1350"/>
          <w:tab w:val="left" w:pos="2190"/>
          <w:tab w:val="left" w:pos="3752"/>
        </w:tabs>
        <w:spacing w:before="0"/>
        <w:ind w:left="-567" w:right="-801" w:hanging="284"/>
        <w:rPr>
          <w:color w:val="auto"/>
          <w:sz w:val="14"/>
          <w:szCs w:val="16"/>
        </w:rPr>
      </w:pPr>
      <w:r w:rsidRPr="0095099D">
        <w:rPr>
          <w:color w:val="auto"/>
          <w:sz w:val="16"/>
          <w:szCs w:val="18"/>
          <w:vertAlign w:val="superscript"/>
        </w:rPr>
        <w:t>3/</w:t>
      </w:r>
      <w:r w:rsidRPr="0095099D">
        <w:rPr>
          <w:color w:val="auto"/>
          <w:sz w:val="16"/>
          <w:szCs w:val="18"/>
          <w:vertAlign w:val="superscript"/>
        </w:rPr>
        <w:tab/>
      </w:r>
      <w:r w:rsidRPr="0095099D">
        <w:rPr>
          <w:color w:val="000000" w:themeColor="text1"/>
          <w:sz w:val="14"/>
          <w:szCs w:val="16"/>
        </w:rPr>
        <w:t>Porcentaje respecto a la Población Ocupada</w:t>
      </w:r>
      <w:r w:rsidRPr="0095099D">
        <w:rPr>
          <w:color w:val="auto"/>
          <w:sz w:val="14"/>
          <w:szCs w:val="16"/>
        </w:rPr>
        <w:t xml:space="preserve">. Por construcción, los indicadores de la Encuesta Nacional de Ocupación y Empleo </w:t>
      </w:r>
      <w:r w:rsidR="00EF27C2" w:rsidRPr="0095099D">
        <w:rPr>
          <w:color w:val="auto"/>
          <w:sz w:val="14"/>
          <w:szCs w:val="16"/>
        </w:rPr>
        <w:t>(ENOE) y los de la ENOE</w:t>
      </w:r>
      <w:r w:rsidR="00EF27C2" w:rsidRPr="0095099D">
        <w:rPr>
          <w:color w:val="auto"/>
          <w:sz w:val="14"/>
          <w:szCs w:val="16"/>
          <w:vertAlign w:val="superscript"/>
        </w:rPr>
        <w:t>N</w:t>
      </w:r>
      <w:r w:rsidR="00EF27C2" w:rsidRPr="0095099D">
        <w:rPr>
          <w:color w:val="auto"/>
          <w:sz w:val="14"/>
          <w:szCs w:val="16"/>
        </w:rPr>
        <w:t xml:space="preserve"> </w:t>
      </w:r>
      <w:r w:rsidRPr="0095099D">
        <w:rPr>
          <w:color w:val="auto"/>
          <w:sz w:val="14"/>
          <w:szCs w:val="16"/>
        </w:rPr>
        <w:t>que involucran a la población ocupada u otra variable clasificada en rangos de salarios mínimos son sensibles a los cambios en dichos salarios.</w:t>
      </w:r>
    </w:p>
    <w:p w14:paraId="6C2983AF" w14:textId="77777777" w:rsidR="00331BCE" w:rsidRDefault="00331BCE" w:rsidP="00331BCE">
      <w:pPr>
        <w:pStyle w:val="n0"/>
        <w:keepLines w:val="0"/>
        <w:tabs>
          <w:tab w:val="left" w:pos="-284"/>
          <w:tab w:val="left" w:pos="1350"/>
          <w:tab w:val="left" w:pos="2190"/>
          <w:tab w:val="left" w:pos="3752"/>
          <w:tab w:val="left" w:pos="8647"/>
        </w:tabs>
        <w:spacing w:before="0"/>
        <w:ind w:left="-567" w:right="191" w:hanging="284"/>
        <w:rPr>
          <w:color w:val="auto"/>
          <w:sz w:val="14"/>
          <w:szCs w:val="16"/>
        </w:rPr>
      </w:pPr>
      <w:r>
        <w:rPr>
          <w:color w:val="auto"/>
          <w:sz w:val="16"/>
          <w:szCs w:val="18"/>
          <w:vertAlign w:val="superscript"/>
        </w:rPr>
        <w:t>4</w:t>
      </w:r>
      <w:r w:rsidRPr="0095099D">
        <w:rPr>
          <w:color w:val="auto"/>
          <w:sz w:val="16"/>
          <w:szCs w:val="18"/>
          <w:vertAlign w:val="superscript"/>
        </w:rPr>
        <w:t>/</w:t>
      </w:r>
      <w:r w:rsidRPr="0095099D">
        <w:rPr>
          <w:color w:val="auto"/>
          <w:sz w:val="16"/>
          <w:szCs w:val="18"/>
          <w:vertAlign w:val="superscript"/>
        </w:rPr>
        <w:tab/>
      </w:r>
      <w:r w:rsidRPr="0095099D">
        <w:rPr>
          <w:color w:val="000000" w:themeColor="text1"/>
          <w:sz w:val="14"/>
          <w:szCs w:val="16"/>
        </w:rPr>
        <w:t xml:space="preserve">Porcentaje </w:t>
      </w:r>
      <w:r>
        <w:rPr>
          <w:color w:val="000000" w:themeColor="text1"/>
          <w:sz w:val="14"/>
          <w:szCs w:val="16"/>
        </w:rPr>
        <w:t>de</w:t>
      </w:r>
      <w:r w:rsidRPr="0095099D">
        <w:rPr>
          <w:color w:val="000000" w:themeColor="text1"/>
          <w:sz w:val="14"/>
          <w:szCs w:val="16"/>
        </w:rPr>
        <w:t xml:space="preserve"> la </w:t>
      </w:r>
      <w:r>
        <w:rPr>
          <w:color w:val="000000" w:themeColor="text1"/>
          <w:sz w:val="14"/>
          <w:szCs w:val="16"/>
        </w:rPr>
        <w:t xml:space="preserve">fuerza de trabajo </w:t>
      </w:r>
      <w:r w:rsidRPr="00E04FB8">
        <w:rPr>
          <w:color w:val="auto"/>
          <w:sz w:val="14"/>
          <w:szCs w:val="16"/>
        </w:rPr>
        <w:t xml:space="preserve">ampliada (población económicamente activa más población no económicamente activa disponible para trabajar) que representan los desocupados, </w:t>
      </w:r>
      <w:proofErr w:type="spellStart"/>
      <w:r w:rsidRPr="00E04FB8">
        <w:rPr>
          <w:color w:val="auto"/>
          <w:sz w:val="14"/>
          <w:szCs w:val="16"/>
        </w:rPr>
        <w:t>subocupados</w:t>
      </w:r>
      <w:proofErr w:type="spellEnd"/>
      <w:r w:rsidRPr="00E04FB8">
        <w:rPr>
          <w:color w:val="auto"/>
          <w:sz w:val="14"/>
          <w:szCs w:val="16"/>
        </w:rPr>
        <w:t xml:space="preserve"> y no económicamente activos disponibles para trabajar.</w:t>
      </w:r>
    </w:p>
    <w:p w14:paraId="19F2D6D5" w14:textId="694EEDAC" w:rsidR="0095099D" w:rsidRDefault="0095099D" w:rsidP="009749DA">
      <w:pPr>
        <w:tabs>
          <w:tab w:val="left" w:pos="-284"/>
          <w:tab w:val="left" w:pos="851"/>
        </w:tabs>
        <w:spacing w:after="0" w:line="240" w:lineRule="auto"/>
        <w:ind w:left="-567" w:right="-801" w:hanging="284"/>
        <w:rPr>
          <w:rFonts w:ascii="Arial" w:hAnsi="Arial" w:cs="Arial"/>
          <w:noProof/>
          <w:sz w:val="14"/>
          <w:szCs w:val="14"/>
          <w:lang w:val="es-ES" w:eastAsia="es-ES"/>
        </w:rPr>
      </w:pPr>
      <w:r>
        <w:rPr>
          <w:rFonts w:ascii="Arial" w:hAnsi="Arial" w:cs="Arial"/>
          <w:noProof/>
          <w:sz w:val="14"/>
          <w:szCs w:val="14"/>
          <w:lang w:val="es-ES" w:eastAsia="es-ES"/>
        </w:rPr>
        <w:t>Fuente:</w:t>
      </w:r>
      <w:r>
        <w:rPr>
          <w:rFonts w:ascii="Arial" w:hAnsi="Arial" w:cs="Arial"/>
          <w:noProof/>
          <w:sz w:val="14"/>
          <w:szCs w:val="14"/>
          <w:lang w:val="es-ES" w:eastAsia="es-ES"/>
        </w:rPr>
        <w:tab/>
        <w:t xml:space="preserve">INEGI. Encuesta Nacional de Ocupación y Empleo. Nueva Edición, </w:t>
      </w:r>
      <w:r w:rsidR="00177B20">
        <w:rPr>
          <w:rFonts w:ascii="Arial" w:hAnsi="Arial" w:cs="Arial"/>
          <w:noProof/>
          <w:sz w:val="14"/>
          <w:szCs w:val="14"/>
          <w:lang w:val="es-ES" w:eastAsia="es-ES"/>
        </w:rPr>
        <w:t>primer</w:t>
      </w:r>
      <w:r>
        <w:rPr>
          <w:rFonts w:ascii="Arial" w:hAnsi="Arial" w:cs="Arial"/>
          <w:noProof/>
          <w:sz w:val="14"/>
          <w:szCs w:val="14"/>
          <w:lang w:val="es-ES" w:eastAsia="es-ES"/>
        </w:rPr>
        <w:t xml:space="preserve"> trimestre de </w:t>
      </w:r>
      <w:r w:rsidR="00177B20">
        <w:rPr>
          <w:rFonts w:ascii="Arial" w:hAnsi="Arial" w:cs="Arial"/>
          <w:noProof/>
          <w:sz w:val="14"/>
          <w:szCs w:val="14"/>
          <w:lang w:val="es-ES" w:eastAsia="es-ES"/>
        </w:rPr>
        <w:t>2021</w:t>
      </w:r>
      <w:r>
        <w:rPr>
          <w:rFonts w:ascii="Arial" w:hAnsi="Arial" w:cs="Arial"/>
          <w:noProof/>
          <w:sz w:val="14"/>
          <w:szCs w:val="14"/>
          <w:lang w:val="es-ES" w:eastAsia="es-ES"/>
        </w:rPr>
        <w:t>.</w:t>
      </w:r>
    </w:p>
    <w:p w14:paraId="46C02229" w14:textId="77777777" w:rsidR="0043545F" w:rsidRDefault="0043545F" w:rsidP="00EB42D1">
      <w:pPr>
        <w:pStyle w:val="n0"/>
        <w:keepLines w:val="0"/>
        <w:spacing w:before="0"/>
        <w:ind w:left="0" w:right="51" w:firstLine="0"/>
        <w:contextualSpacing/>
        <w:rPr>
          <w:bCs/>
          <w:color w:val="auto"/>
          <w:spacing w:val="10"/>
          <w:sz w:val="22"/>
          <w:szCs w:val="22"/>
        </w:rPr>
      </w:pPr>
    </w:p>
    <w:p w14:paraId="14287429" w14:textId="4DF6F932" w:rsidR="00EB42D1" w:rsidRDefault="00EB42D1" w:rsidP="00EB42D1">
      <w:pPr>
        <w:pStyle w:val="n0"/>
        <w:keepLines w:val="0"/>
        <w:spacing w:before="0"/>
        <w:ind w:left="0" w:right="51" w:firstLine="0"/>
        <w:contextualSpacing/>
        <w:rPr>
          <w:bCs/>
          <w:color w:val="auto"/>
          <w:spacing w:val="10"/>
          <w:sz w:val="22"/>
          <w:szCs w:val="22"/>
        </w:rPr>
      </w:pPr>
      <w:r>
        <w:rPr>
          <w:bCs/>
          <w:color w:val="auto"/>
          <w:spacing w:val="10"/>
          <w:sz w:val="22"/>
          <w:szCs w:val="22"/>
        </w:rPr>
        <w:t xml:space="preserve">En las tasas de condiciones críticas de ocupación, Chiapas reportó el porcentaje más elevado con </w:t>
      </w:r>
      <w:r w:rsidR="00176375">
        <w:rPr>
          <w:bCs/>
          <w:color w:val="auto"/>
          <w:spacing w:val="10"/>
          <w:sz w:val="22"/>
          <w:szCs w:val="22"/>
        </w:rPr>
        <w:t>48.2</w:t>
      </w:r>
      <w:r>
        <w:rPr>
          <w:bCs/>
          <w:color w:val="auto"/>
          <w:spacing w:val="10"/>
          <w:sz w:val="22"/>
          <w:szCs w:val="22"/>
        </w:rPr>
        <w:t xml:space="preserve">%, seguido de Tlaxcala con </w:t>
      </w:r>
      <w:r w:rsidR="00176375">
        <w:rPr>
          <w:bCs/>
          <w:color w:val="auto"/>
          <w:spacing w:val="10"/>
          <w:sz w:val="22"/>
          <w:szCs w:val="22"/>
        </w:rPr>
        <w:t>37.3</w:t>
      </w:r>
      <w:r>
        <w:rPr>
          <w:bCs/>
          <w:color w:val="auto"/>
          <w:spacing w:val="10"/>
          <w:sz w:val="22"/>
          <w:szCs w:val="22"/>
        </w:rPr>
        <w:t xml:space="preserve">%; por su parte, Nuevo León con </w:t>
      </w:r>
      <w:r w:rsidR="00176375">
        <w:rPr>
          <w:bCs/>
          <w:color w:val="auto"/>
          <w:spacing w:val="10"/>
          <w:sz w:val="22"/>
          <w:szCs w:val="22"/>
        </w:rPr>
        <w:t>13.4</w:t>
      </w:r>
      <w:r>
        <w:rPr>
          <w:bCs/>
          <w:color w:val="auto"/>
          <w:spacing w:val="10"/>
          <w:sz w:val="22"/>
          <w:szCs w:val="22"/>
        </w:rPr>
        <w:t>%</w:t>
      </w:r>
      <w:r w:rsidR="00A65854">
        <w:rPr>
          <w:bCs/>
          <w:color w:val="auto"/>
          <w:spacing w:val="10"/>
          <w:sz w:val="22"/>
          <w:szCs w:val="22"/>
        </w:rPr>
        <w:t xml:space="preserve">, Sinaloa con </w:t>
      </w:r>
      <w:r w:rsidR="00176375">
        <w:rPr>
          <w:bCs/>
          <w:color w:val="auto"/>
          <w:spacing w:val="10"/>
          <w:sz w:val="22"/>
          <w:szCs w:val="22"/>
        </w:rPr>
        <w:t>13</w:t>
      </w:r>
      <w:r w:rsidR="00A65854">
        <w:rPr>
          <w:bCs/>
          <w:color w:val="auto"/>
          <w:spacing w:val="10"/>
          <w:sz w:val="22"/>
          <w:szCs w:val="22"/>
        </w:rPr>
        <w:t xml:space="preserve">.8% y </w:t>
      </w:r>
      <w:r w:rsidR="00176375">
        <w:rPr>
          <w:bCs/>
          <w:color w:val="auto"/>
          <w:spacing w:val="10"/>
          <w:sz w:val="22"/>
          <w:szCs w:val="22"/>
        </w:rPr>
        <w:t xml:space="preserve">Baja California Sur </w:t>
      </w:r>
      <w:r>
        <w:rPr>
          <w:bCs/>
          <w:color w:val="auto"/>
          <w:spacing w:val="10"/>
          <w:sz w:val="22"/>
          <w:szCs w:val="22"/>
        </w:rPr>
        <w:t xml:space="preserve">con </w:t>
      </w:r>
      <w:r w:rsidR="00176375">
        <w:rPr>
          <w:bCs/>
          <w:color w:val="auto"/>
          <w:spacing w:val="10"/>
          <w:sz w:val="22"/>
          <w:szCs w:val="22"/>
        </w:rPr>
        <w:t>14.6</w:t>
      </w:r>
      <w:r>
        <w:rPr>
          <w:bCs/>
          <w:color w:val="auto"/>
          <w:spacing w:val="10"/>
          <w:sz w:val="22"/>
          <w:szCs w:val="22"/>
        </w:rPr>
        <w:t>%, reportaron niveles inferiores de ocupación en situación crítica en materia de ingresos y horas trabajadas.</w:t>
      </w:r>
    </w:p>
    <w:p w14:paraId="6EFD0702" w14:textId="77777777" w:rsidR="00EB42D1" w:rsidRDefault="00EB42D1" w:rsidP="00EB42D1">
      <w:pPr>
        <w:pStyle w:val="n0"/>
        <w:keepLines w:val="0"/>
        <w:spacing w:before="0"/>
        <w:ind w:left="0" w:right="51" w:firstLine="0"/>
        <w:contextualSpacing/>
        <w:rPr>
          <w:bCs/>
          <w:color w:val="auto"/>
          <w:spacing w:val="10"/>
          <w:sz w:val="22"/>
          <w:szCs w:val="22"/>
        </w:rPr>
      </w:pPr>
    </w:p>
    <w:p w14:paraId="7C02C7D1" w14:textId="16C2CA89" w:rsidR="00EB42D1" w:rsidRDefault="00EB42D1" w:rsidP="00EB42D1">
      <w:pPr>
        <w:pStyle w:val="n0"/>
        <w:keepLines w:val="0"/>
        <w:spacing w:before="0"/>
        <w:ind w:left="0" w:right="51" w:firstLine="0"/>
        <w:contextualSpacing/>
        <w:rPr>
          <w:bCs/>
          <w:color w:val="auto"/>
          <w:spacing w:val="10"/>
          <w:sz w:val="22"/>
          <w:szCs w:val="22"/>
        </w:rPr>
      </w:pPr>
      <w:r>
        <w:rPr>
          <w:bCs/>
          <w:color w:val="auto"/>
          <w:spacing w:val="10"/>
          <w:sz w:val="22"/>
          <w:szCs w:val="22"/>
        </w:rPr>
        <w:lastRenderedPageBreak/>
        <w:t xml:space="preserve">En niveles de informalidad, </w:t>
      </w:r>
      <w:r w:rsidR="00A65854">
        <w:rPr>
          <w:bCs/>
          <w:color w:val="auto"/>
          <w:spacing w:val="10"/>
          <w:sz w:val="22"/>
          <w:szCs w:val="22"/>
        </w:rPr>
        <w:t>Oaxaca</w:t>
      </w:r>
      <w:r>
        <w:rPr>
          <w:bCs/>
          <w:color w:val="auto"/>
          <w:spacing w:val="10"/>
          <w:sz w:val="22"/>
          <w:szCs w:val="22"/>
        </w:rPr>
        <w:t xml:space="preserve"> con </w:t>
      </w:r>
      <w:r w:rsidR="00D36DEB">
        <w:rPr>
          <w:bCs/>
          <w:color w:val="auto"/>
          <w:spacing w:val="10"/>
          <w:sz w:val="22"/>
          <w:szCs w:val="22"/>
        </w:rPr>
        <w:t>79.7</w:t>
      </w:r>
      <w:r>
        <w:rPr>
          <w:bCs/>
          <w:color w:val="auto"/>
          <w:spacing w:val="10"/>
          <w:sz w:val="22"/>
          <w:szCs w:val="22"/>
        </w:rPr>
        <w:t xml:space="preserve">%, seguido de </w:t>
      </w:r>
      <w:r w:rsidR="00A65854">
        <w:rPr>
          <w:bCs/>
          <w:color w:val="auto"/>
          <w:spacing w:val="10"/>
          <w:sz w:val="22"/>
          <w:szCs w:val="22"/>
        </w:rPr>
        <w:t>Guerrero</w:t>
      </w:r>
      <w:r>
        <w:rPr>
          <w:bCs/>
          <w:color w:val="auto"/>
          <w:spacing w:val="10"/>
          <w:sz w:val="22"/>
          <w:szCs w:val="22"/>
        </w:rPr>
        <w:t xml:space="preserve"> con </w:t>
      </w:r>
      <w:r w:rsidR="00D36DEB">
        <w:rPr>
          <w:bCs/>
          <w:color w:val="auto"/>
          <w:spacing w:val="10"/>
          <w:sz w:val="22"/>
          <w:szCs w:val="22"/>
        </w:rPr>
        <w:t>76.1</w:t>
      </w:r>
      <w:r>
        <w:rPr>
          <w:bCs/>
          <w:color w:val="auto"/>
          <w:spacing w:val="10"/>
          <w:sz w:val="22"/>
          <w:szCs w:val="22"/>
        </w:rPr>
        <w:t xml:space="preserve">% y Chiapas con </w:t>
      </w:r>
      <w:r w:rsidR="00D36DEB">
        <w:rPr>
          <w:bCs/>
          <w:color w:val="auto"/>
          <w:spacing w:val="10"/>
          <w:sz w:val="22"/>
          <w:szCs w:val="22"/>
        </w:rPr>
        <w:t>74.2</w:t>
      </w:r>
      <w:r>
        <w:rPr>
          <w:bCs/>
          <w:color w:val="auto"/>
          <w:spacing w:val="10"/>
          <w:sz w:val="22"/>
          <w:szCs w:val="22"/>
        </w:rPr>
        <w:t xml:space="preserve">% reportaron los porcentajes más altos de ocupados sin la protección laboral que corresponde a su trabajo o actividad; en cambio, </w:t>
      </w:r>
      <w:r w:rsidR="00D36DEB">
        <w:rPr>
          <w:bCs/>
          <w:color w:val="auto"/>
          <w:spacing w:val="10"/>
          <w:sz w:val="22"/>
          <w:szCs w:val="22"/>
        </w:rPr>
        <w:t>Chihuahua</w:t>
      </w:r>
      <w:r>
        <w:rPr>
          <w:bCs/>
          <w:color w:val="auto"/>
          <w:spacing w:val="10"/>
          <w:sz w:val="22"/>
          <w:szCs w:val="22"/>
        </w:rPr>
        <w:t xml:space="preserve"> con </w:t>
      </w:r>
      <w:r w:rsidR="00D36DEB">
        <w:rPr>
          <w:bCs/>
          <w:color w:val="auto"/>
          <w:spacing w:val="10"/>
          <w:sz w:val="22"/>
          <w:szCs w:val="22"/>
        </w:rPr>
        <w:t>34.3</w:t>
      </w:r>
      <w:r>
        <w:rPr>
          <w:bCs/>
          <w:color w:val="auto"/>
          <w:spacing w:val="10"/>
          <w:sz w:val="22"/>
          <w:szCs w:val="22"/>
        </w:rPr>
        <w:t>%</w:t>
      </w:r>
      <w:r w:rsidR="00A65854">
        <w:rPr>
          <w:bCs/>
          <w:color w:val="auto"/>
          <w:spacing w:val="10"/>
          <w:sz w:val="22"/>
          <w:szCs w:val="22"/>
        </w:rPr>
        <w:t xml:space="preserve">, </w:t>
      </w:r>
      <w:r w:rsidR="00D36DEB">
        <w:rPr>
          <w:bCs/>
          <w:color w:val="auto"/>
          <w:spacing w:val="10"/>
          <w:sz w:val="22"/>
          <w:szCs w:val="22"/>
        </w:rPr>
        <w:t>Nuevo León</w:t>
      </w:r>
      <w:r w:rsidR="00A65854">
        <w:rPr>
          <w:bCs/>
          <w:color w:val="auto"/>
          <w:spacing w:val="10"/>
          <w:sz w:val="22"/>
          <w:szCs w:val="22"/>
        </w:rPr>
        <w:t xml:space="preserve"> con </w:t>
      </w:r>
      <w:r w:rsidR="00D36DEB">
        <w:rPr>
          <w:bCs/>
          <w:color w:val="auto"/>
          <w:spacing w:val="10"/>
          <w:sz w:val="22"/>
          <w:szCs w:val="22"/>
        </w:rPr>
        <w:t>34.9</w:t>
      </w:r>
      <w:r w:rsidR="00A65854">
        <w:rPr>
          <w:bCs/>
          <w:color w:val="auto"/>
          <w:spacing w:val="10"/>
          <w:sz w:val="22"/>
          <w:szCs w:val="22"/>
        </w:rPr>
        <w:t>%</w:t>
      </w:r>
      <w:r w:rsidR="00970B86">
        <w:rPr>
          <w:bCs/>
          <w:color w:val="auto"/>
          <w:spacing w:val="10"/>
          <w:sz w:val="22"/>
          <w:szCs w:val="22"/>
        </w:rPr>
        <w:t xml:space="preserve"> y</w:t>
      </w:r>
      <w:r>
        <w:rPr>
          <w:bCs/>
          <w:color w:val="auto"/>
          <w:spacing w:val="10"/>
          <w:sz w:val="22"/>
          <w:szCs w:val="22"/>
        </w:rPr>
        <w:t xml:space="preserve"> </w:t>
      </w:r>
      <w:r w:rsidR="00D36DEB">
        <w:rPr>
          <w:bCs/>
          <w:color w:val="auto"/>
          <w:spacing w:val="10"/>
          <w:sz w:val="22"/>
          <w:szCs w:val="22"/>
        </w:rPr>
        <w:t xml:space="preserve">Baja California </w:t>
      </w:r>
      <w:r>
        <w:rPr>
          <w:bCs/>
          <w:color w:val="auto"/>
          <w:spacing w:val="10"/>
          <w:sz w:val="22"/>
          <w:szCs w:val="22"/>
        </w:rPr>
        <w:t xml:space="preserve">con </w:t>
      </w:r>
      <w:r w:rsidR="00D36DEB">
        <w:rPr>
          <w:bCs/>
          <w:color w:val="auto"/>
          <w:spacing w:val="10"/>
          <w:sz w:val="22"/>
          <w:szCs w:val="22"/>
        </w:rPr>
        <w:t>35.8</w:t>
      </w:r>
      <w:r>
        <w:rPr>
          <w:bCs/>
          <w:color w:val="auto"/>
          <w:spacing w:val="10"/>
          <w:sz w:val="22"/>
          <w:szCs w:val="22"/>
        </w:rPr>
        <w:t>%</w:t>
      </w:r>
      <w:r w:rsidR="00CB4664">
        <w:rPr>
          <w:bCs/>
          <w:color w:val="auto"/>
          <w:spacing w:val="10"/>
          <w:sz w:val="22"/>
          <w:szCs w:val="22"/>
        </w:rPr>
        <w:t>,</w:t>
      </w:r>
      <w:r>
        <w:rPr>
          <w:bCs/>
          <w:color w:val="auto"/>
          <w:spacing w:val="10"/>
          <w:sz w:val="22"/>
          <w:szCs w:val="22"/>
        </w:rPr>
        <w:t xml:space="preserve"> registraron los menores niveles de informalidad laboral durante el </w:t>
      </w:r>
      <w:r w:rsidR="00177B20">
        <w:rPr>
          <w:bCs/>
          <w:color w:val="auto"/>
          <w:spacing w:val="10"/>
          <w:sz w:val="22"/>
          <w:szCs w:val="22"/>
        </w:rPr>
        <w:t>primer</w:t>
      </w:r>
      <w:r>
        <w:rPr>
          <w:bCs/>
          <w:color w:val="auto"/>
          <w:spacing w:val="10"/>
          <w:sz w:val="22"/>
          <w:szCs w:val="22"/>
        </w:rPr>
        <w:t xml:space="preserve"> trimestre de </w:t>
      </w:r>
      <w:r w:rsidR="00177B20">
        <w:rPr>
          <w:bCs/>
          <w:color w:val="auto"/>
          <w:spacing w:val="10"/>
          <w:sz w:val="22"/>
          <w:szCs w:val="22"/>
        </w:rPr>
        <w:t>2021</w:t>
      </w:r>
      <w:r>
        <w:rPr>
          <w:bCs/>
          <w:color w:val="auto"/>
          <w:spacing w:val="10"/>
          <w:sz w:val="22"/>
          <w:szCs w:val="22"/>
        </w:rPr>
        <w:t>.</w:t>
      </w:r>
    </w:p>
    <w:p w14:paraId="11B892F1" w14:textId="77777777" w:rsidR="00EB42D1" w:rsidRDefault="00EB42D1" w:rsidP="00EB42D1">
      <w:pPr>
        <w:pStyle w:val="n0"/>
        <w:keepLines w:val="0"/>
        <w:spacing w:before="0"/>
        <w:ind w:left="0" w:right="51" w:firstLine="0"/>
        <w:contextualSpacing/>
        <w:rPr>
          <w:bCs/>
          <w:color w:val="auto"/>
          <w:spacing w:val="10"/>
          <w:sz w:val="22"/>
          <w:szCs w:val="22"/>
        </w:rPr>
      </w:pPr>
    </w:p>
    <w:p w14:paraId="70E9DE52" w14:textId="77777777" w:rsidR="00EB42D1" w:rsidRPr="00EF27C2" w:rsidRDefault="00EB42D1" w:rsidP="00EB42D1">
      <w:pPr>
        <w:pStyle w:val="n0"/>
        <w:keepLines w:val="0"/>
        <w:spacing w:before="0"/>
        <w:ind w:left="0" w:right="51" w:firstLine="0"/>
        <w:contextualSpacing/>
        <w:rPr>
          <w:bCs/>
          <w:color w:val="auto"/>
          <w:spacing w:val="10"/>
          <w:sz w:val="22"/>
          <w:szCs w:val="22"/>
        </w:rPr>
      </w:pPr>
      <w:r>
        <w:rPr>
          <w:bCs/>
          <w:color w:val="auto"/>
          <w:spacing w:val="10"/>
          <w:sz w:val="22"/>
          <w:szCs w:val="22"/>
        </w:rPr>
        <w:t xml:space="preserve">Es importante mencionar que el conjunto de </w:t>
      </w:r>
      <w:r w:rsidRPr="00EF27C2">
        <w:rPr>
          <w:bCs/>
          <w:color w:val="auto"/>
          <w:spacing w:val="10"/>
          <w:sz w:val="22"/>
          <w:szCs w:val="22"/>
        </w:rPr>
        <w:t>indicador</w:t>
      </w:r>
      <w:r>
        <w:rPr>
          <w:bCs/>
          <w:color w:val="auto"/>
          <w:spacing w:val="10"/>
          <w:sz w:val="22"/>
          <w:szCs w:val="22"/>
        </w:rPr>
        <w:t xml:space="preserve">es que proporciona la encuesta permite mostrar la </w:t>
      </w:r>
      <w:r w:rsidRPr="00EF27C2">
        <w:rPr>
          <w:bCs/>
          <w:color w:val="auto"/>
          <w:spacing w:val="10"/>
          <w:sz w:val="22"/>
          <w:szCs w:val="22"/>
        </w:rPr>
        <w:t xml:space="preserve">situación de </w:t>
      </w:r>
      <w:r>
        <w:rPr>
          <w:bCs/>
          <w:color w:val="auto"/>
          <w:spacing w:val="10"/>
          <w:sz w:val="22"/>
          <w:szCs w:val="22"/>
        </w:rPr>
        <w:t xml:space="preserve">los mercados de </w:t>
      </w:r>
      <w:r w:rsidRPr="00EF27C2">
        <w:rPr>
          <w:bCs/>
          <w:color w:val="auto"/>
          <w:spacing w:val="10"/>
          <w:sz w:val="22"/>
          <w:szCs w:val="22"/>
        </w:rPr>
        <w:t>trabajo</w:t>
      </w:r>
      <w:r>
        <w:rPr>
          <w:bCs/>
          <w:color w:val="auto"/>
          <w:spacing w:val="10"/>
          <w:sz w:val="22"/>
          <w:szCs w:val="22"/>
        </w:rPr>
        <w:t xml:space="preserve"> estatales en sus diferentes dimensiones, desde los segmentos de la fuerza de trabajo que fijan sus expectativas</w:t>
      </w:r>
      <w:r w:rsidRPr="00EF27C2">
        <w:rPr>
          <w:bCs/>
          <w:color w:val="auto"/>
          <w:spacing w:val="10"/>
          <w:sz w:val="22"/>
          <w:szCs w:val="22"/>
        </w:rPr>
        <w:t xml:space="preserve"> </w:t>
      </w:r>
      <w:r>
        <w:rPr>
          <w:bCs/>
          <w:color w:val="auto"/>
          <w:spacing w:val="10"/>
          <w:sz w:val="22"/>
          <w:szCs w:val="22"/>
        </w:rPr>
        <w:t>en las posibilidades de acceder al mercado laboral</w:t>
      </w:r>
      <w:r w:rsidRPr="00EF27C2">
        <w:rPr>
          <w:bCs/>
          <w:color w:val="auto"/>
          <w:spacing w:val="10"/>
          <w:sz w:val="22"/>
          <w:szCs w:val="22"/>
        </w:rPr>
        <w:t xml:space="preserve">, </w:t>
      </w:r>
      <w:r>
        <w:rPr>
          <w:bCs/>
          <w:color w:val="auto"/>
          <w:spacing w:val="10"/>
          <w:sz w:val="22"/>
          <w:szCs w:val="22"/>
        </w:rPr>
        <w:t>hasta aquellos segmentos que se mantienen en ocupaciones precarias y sin protección laboral en mercados de trabajo con menor grado de desarrollo</w:t>
      </w:r>
      <w:r w:rsidRPr="00EF27C2">
        <w:rPr>
          <w:bCs/>
          <w:color w:val="auto"/>
          <w:spacing w:val="10"/>
          <w:sz w:val="22"/>
          <w:szCs w:val="22"/>
        </w:rPr>
        <w:t xml:space="preserve">. Es por ello </w:t>
      </w:r>
      <w:proofErr w:type="gramStart"/>
      <w:r w:rsidRPr="00EF27C2">
        <w:rPr>
          <w:bCs/>
          <w:color w:val="auto"/>
          <w:spacing w:val="10"/>
          <w:sz w:val="22"/>
          <w:szCs w:val="22"/>
        </w:rPr>
        <w:t>que</w:t>
      </w:r>
      <w:proofErr w:type="gramEnd"/>
      <w:r w:rsidRPr="00EF27C2">
        <w:rPr>
          <w:bCs/>
          <w:color w:val="auto"/>
          <w:spacing w:val="10"/>
          <w:sz w:val="22"/>
          <w:szCs w:val="22"/>
        </w:rPr>
        <w:t xml:space="preserve"> se recomienda </w:t>
      </w:r>
      <w:r>
        <w:rPr>
          <w:bCs/>
          <w:color w:val="auto"/>
          <w:spacing w:val="10"/>
          <w:sz w:val="22"/>
          <w:szCs w:val="22"/>
        </w:rPr>
        <w:t>hacer uso de toda</w:t>
      </w:r>
      <w:r w:rsidRPr="00EF27C2">
        <w:rPr>
          <w:bCs/>
          <w:color w:val="auto"/>
          <w:spacing w:val="10"/>
          <w:sz w:val="22"/>
          <w:szCs w:val="22"/>
        </w:rPr>
        <w:t xml:space="preserve"> la información de que se dispone sobre la participación </w:t>
      </w:r>
      <w:r>
        <w:rPr>
          <w:bCs/>
          <w:color w:val="auto"/>
          <w:spacing w:val="10"/>
          <w:sz w:val="22"/>
          <w:szCs w:val="22"/>
        </w:rPr>
        <w:t>y condiciones laborales de la fuerza de trabajo para tener un conocimiento completo de la situación laboral a nivel estatal y de los dominios para los cuales está diseñada la encuesta.</w:t>
      </w:r>
    </w:p>
    <w:p w14:paraId="7D783E3E" w14:textId="77777777" w:rsidR="008737B6" w:rsidRPr="00EF27C2" w:rsidRDefault="008737B6" w:rsidP="00EB42D1">
      <w:pPr>
        <w:pStyle w:val="n0"/>
        <w:keepLines w:val="0"/>
        <w:spacing w:before="0"/>
        <w:ind w:left="0" w:right="51" w:firstLine="0"/>
        <w:contextualSpacing/>
        <w:rPr>
          <w:bCs/>
          <w:color w:val="auto"/>
          <w:spacing w:val="10"/>
          <w:sz w:val="22"/>
          <w:szCs w:val="22"/>
        </w:rPr>
      </w:pPr>
    </w:p>
    <w:p w14:paraId="29C48367" w14:textId="77777777" w:rsidR="00350F1A" w:rsidRPr="00C63172" w:rsidRDefault="00350F1A" w:rsidP="009749DA">
      <w:pPr>
        <w:pStyle w:val="n0"/>
        <w:keepLines w:val="0"/>
        <w:spacing w:before="0"/>
        <w:ind w:left="0" w:right="49" w:firstLine="0"/>
        <w:jc w:val="left"/>
        <w:rPr>
          <w:b/>
          <w:smallCaps/>
          <w:color w:val="auto"/>
          <w:sz w:val="22"/>
          <w:szCs w:val="22"/>
        </w:rPr>
      </w:pPr>
      <w:r w:rsidRPr="007E2E7F">
        <w:rPr>
          <w:b/>
          <w:smallCaps/>
          <w:color w:val="auto"/>
          <w:sz w:val="22"/>
          <w:szCs w:val="22"/>
        </w:rPr>
        <w:t>indicadores de ocupación y empleo por ciudades</w:t>
      </w:r>
    </w:p>
    <w:p w14:paraId="72F1C86D" w14:textId="77777777" w:rsidR="00350F1A" w:rsidRPr="006E2E20" w:rsidRDefault="00350F1A" w:rsidP="009749DA">
      <w:pPr>
        <w:pStyle w:val="n0"/>
        <w:keepLines w:val="0"/>
        <w:spacing w:before="0"/>
        <w:ind w:left="0" w:right="49" w:firstLine="0"/>
        <w:rPr>
          <w:b/>
          <w:smallCaps/>
          <w:color w:val="auto"/>
          <w:sz w:val="22"/>
          <w:szCs w:val="22"/>
        </w:rPr>
      </w:pPr>
    </w:p>
    <w:p w14:paraId="40A2FEC6" w14:textId="79E0744B" w:rsidR="00EB42D1" w:rsidRDefault="00EF27C2" w:rsidP="009749DA">
      <w:pPr>
        <w:pStyle w:val="Ttulo"/>
        <w:jc w:val="both"/>
        <w:rPr>
          <w:rFonts w:cs="Arial"/>
          <w:b w:val="0"/>
          <w:bCs/>
          <w:spacing w:val="10"/>
          <w:sz w:val="22"/>
          <w:szCs w:val="22"/>
          <w:lang w:val="es-ES_tradnl"/>
        </w:rPr>
      </w:pPr>
      <w:r w:rsidRPr="00EF27C2">
        <w:rPr>
          <w:rFonts w:cs="Arial"/>
          <w:b w:val="0"/>
          <w:bCs/>
          <w:spacing w:val="10"/>
          <w:sz w:val="22"/>
          <w:szCs w:val="22"/>
          <w:lang w:val="es-ES_tradnl"/>
        </w:rPr>
        <w:t xml:space="preserve">En el periodo </w:t>
      </w:r>
      <w:r w:rsidR="0077773A">
        <w:rPr>
          <w:rFonts w:cs="Arial"/>
          <w:b w:val="0"/>
          <w:bCs/>
          <w:spacing w:val="10"/>
          <w:sz w:val="22"/>
          <w:szCs w:val="22"/>
          <w:lang w:val="es-ES_tradnl"/>
        </w:rPr>
        <w:t>enero-marzo</w:t>
      </w:r>
      <w:r w:rsidR="002C35C8">
        <w:rPr>
          <w:rFonts w:cs="Arial"/>
          <w:b w:val="0"/>
          <w:bCs/>
          <w:spacing w:val="10"/>
          <w:sz w:val="22"/>
          <w:szCs w:val="22"/>
          <w:lang w:val="es-ES_tradnl"/>
        </w:rPr>
        <w:t xml:space="preserve"> </w:t>
      </w:r>
      <w:r w:rsidRPr="00EF27C2">
        <w:rPr>
          <w:rFonts w:cs="Arial"/>
          <w:b w:val="0"/>
          <w:bCs/>
          <w:spacing w:val="10"/>
          <w:sz w:val="22"/>
          <w:szCs w:val="22"/>
          <w:lang w:val="es-ES_tradnl"/>
        </w:rPr>
        <w:t xml:space="preserve">de </w:t>
      </w:r>
      <w:r w:rsidR="00177B20">
        <w:rPr>
          <w:rFonts w:cs="Arial"/>
          <w:b w:val="0"/>
          <w:bCs/>
          <w:spacing w:val="10"/>
          <w:sz w:val="22"/>
          <w:szCs w:val="22"/>
          <w:lang w:val="es-ES_tradnl"/>
        </w:rPr>
        <w:t>2021</w:t>
      </w:r>
      <w:r w:rsidRPr="00EF27C2">
        <w:rPr>
          <w:rFonts w:cs="Arial"/>
          <w:b w:val="0"/>
          <w:bCs/>
          <w:spacing w:val="10"/>
          <w:sz w:val="22"/>
          <w:szCs w:val="22"/>
          <w:lang w:val="es-ES_tradnl"/>
        </w:rPr>
        <w:t xml:space="preserve"> la población económicamente activa para el agregado urbano de 39 ciudades fue de </w:t>
      </w:r>
      <w:r w:rsidR="009520D6">
        <w:rPr>
          <w:rFonts w:cs="Arial"/>
          <w:b w:val="0"/>
          <w:bCs/>
          <w:spacing w:val="10"/>
          <w:sz w:val="22"/>
          <w:szCs w:val="22"/>
          <w:lang w:val="es-ES_tradnl"/>
        </w:rPr>
        <w:t>2</w:t>
      </w:r>
      <w:r w:rsidR="00C96045">
        <w:rPr>
          <w:rFonts w:cs="Arial"/>
          <w:b w:val="0"/>
          <w:bCs/>
          <w:spacing w:val="10"/>
          <w:sz w:val="22"/>
          <w:szCs w:val="22"/>
          <w:lang w:val="es-ES_tradnl"/>
        </w:rPr>
        <w:t>6</w:t>
      </w:r>
      <w:r w:rsidR="009520D6">
        <w:rPr>
          <w:rFonts w:cs="Arial"/>
          <w:b w:val="0"/>
          <w:bCs/>
          <w:spacing w:val="10"/>
          <w:sz w:val="22"/>
          <w:szCs w:val="22"/>
          <w:lang w:val="es-ES_tradnl"/>
        </w:rPr>
        <w:t>.</w:t>
      </w:r>
      <w:r w:rsidR="00C96045">
        <w:rPr>
          <w:rFonts w:cs="Arial"/>
          <w:b w:val="0"/>
          <w:bCs/>
          <w:spacing w:val="10"/>
          <w:sz w:val="22"/>
          <w:szCs w:val="22"/>
          <w:lang w:val="es-ES_tradnl"/>
        </w:rPr>
        <w:t>3</w:t>
      </w:r>
      <w:r w:rsidRPr="00EF27C2">
        <w:rPr>
          <w:rFonts w:cs="Arial"/>
          <w:b w:val="0"/>
          <w:bCs/>
          <w:spacing w:val="10"/>
          <w:sz w:val="22"/>
          <w:szCs w:val="22"/>
          <w:lang w:val="es-ES_tradnl"/>
        </w:rPr>
        <w:t xml:space="preserve"> millones de personas y representó una tasa de participación de </w:t>
      </w:r>
      <w:r w:rsidR="009477B7">
        <w:rPr>
          <w:rFonts w:cs="Arial"/>
          <w:b w:val="0"/>
          <w:bCs/>
          <w:spacing w:val="10"/>
          <w:sz w:val="22"/>
          <w:szCs w:val="22"/>
          <w:lang w:val="es-ES_tradnl"/>
        </w:rPr>
        <w:t>5</w:t>
      </w:r>
      <w:r w:rsidR="009520D6">
        <w:rPr>
          <w:rFonts w:cs="Arial"/>
          <w:b w:val="0"/>
          <w:bCs/>
          <w:spacing w:val="10"/>
          <w:sz w:val="22"/>
          <w:szCs w:val="22"/>
          <w:lang w:val="es-ES_tradnl"/>
        </w:rPr>
        <w:t>7.</w:t>
      </w:r>
      <w:r w:rsidR="00C96045">
        <w:rPr>
          <w:rFonts w:cs="Arial"/>
          <w:b w:val="0"/>
          <w:bCs/>
          <w:spacing w:val="10"/>
          <w:sz w:val="22"/>
          <w:szCs w:val="22"/>
          <w:lang w:val="es-ES_tradnl"/>
        </w:rPr>
        <w:t>4</w:t>
      </w:r>
      <w:r w:rsidRPr="00EF27C2">
        <w:rPr>
          <w:rFonts w:cs="Arial"/>
          <w:b w:val="0"/>
          <w:bCs/>
          <w:spacing w:val="10"/>
          <w:sz w:val="22"/>
          <w:szCs w:val="22"/>
          <w:lang w:val="es-ES_tradnl"/>
        </w:rPr>
        <w:t xml:space="preserve"> por ciento.</w:t>
      </w:r>
    </w:p>
    <w:p w14:paraId="4814D177" w14:textId="77777777" w:rsidR="00EF6B2E" w:rsidRDefault="00EF6B2E" w:rsidP="009749DA">
      <w:pPr>
        <w:pStyle w:val="Ttulo"/>
        <w:jc w:val="both"/>
        <w:rPr>
          <w:rFonts w:cs="Arial"/>
          <w:b w:val="0"/>
          <w:bCs/>
          <w:spacing w:val="10"/>
          <w:sz w:val="22"/>
          <w:szCs w:val="22"/>
          <w:lang w:val="es-ES_tradnl"/>
        </w:rPr>
      </w:pPr>
    </w:p>
    <w:p w14:paraId="61B48C68" w14:textId="35831303" w:rsidR="00EF6B2E" w:rsidRDefault="00EF6B2E" w:rsidP="00EF6B2E">
      <w:pPr>
        <w:pStyle w:val="Ttulo"/>
        <w:jc w:val="both"/>
        <w:rPr>
          <w:rFonts w:cs="Arial"/>
          <w:b w:val="0"/>
          <w:bCs/>
          <w:spacing w:val="10"/>
          <w:sz w:val="22"/>
          <w:szCs w:val="22"/>
          <w:lang w:val="es-ES_tradnl"/>
        </w:rPr>
      </w:pPr>
      <w:r>
        <w:rPr>
          <w:rFonts w:cs="Arial"/>
          <w:b w:val="0"/>
          <w:bCs/>
          <w:spacing w:val="10"/>
          <w:sz w:val="22"/>
          <w:szCs w:val="22"/>
          <w:lang w:val="es-ES_tradnl"/>
        </w:rPr>
        <w:t xml:space="preserve">Asimismo, en conjunto las 39 ciudades reportaron una tasa de desocupación de </w:t>
      </w:r>
      <w:r w:rsidR="009520D6">
        <w:rPr>
          <w:rFonts w:cs="Arial"/>
          <w:b w:val="0"/>
          <w:bCs/>
          <w:spacing w:val="10"/>
          <w:sz w:val="22"/>
          <w:szCs w:val="22"/>
          <w:lang w:val="es-ES_tradnl"/>
        </w:rPr>
        <w:t>5.</w:t>
      </w:r>
      <w:r w:rsidR="0048548C">
        <w:rPr>
          <w:rFonts w:cs="Arial"/>
          <w:b w:val="0"/>
          <w:bCs/>
          <w:spacing w:val="10"/>
          <w:sz w:val="22"/>
          <w:szCs w:val="22"/>
          <w:lang w:val="es-ES_tradnl"/>
        </w:rPr>
        <w:t>5</w:t>
      </w:r>
      <w:r>
        <w:rPr>
          <w:rFonts w:cs="Arial"/>
          <w:b w:val="0"/>
          <w:bCs/>
          <w:spacing w:val="10"/>
          <w:sz w:val="22"/>
          <w:szCs w:val="22"/>
          <w:lang w:val="es-ES_tradnl"/>
        </w:rPr>
        <w:t xml:space="preserve">%, una tasa de subocupación de </w:t>
      </w:r>
      <w:r w:rsidR="0048548C">
        <w:rPr>
          <w:rFonts w:cs="Arial"/>
          <w:b w:val="0"/>
          <w:bCs/>
          <w:spacing w:val="10"/>
          <w:sz w:val="22"/>
          <w:szCs w:val="22"/>
          <w:lang w:val="es-ES_tradnl"/>
        </w:rPr>
        <w:t>15.9</w:t>
      </w:r>
      <w:r>
        <w:rPr>
          <w:rFonts w:cs="Arial"/>
          <w:b w:val="0"/>
          <w:bCs/>
          <w:spacing w:val="10"/>
          <w:sz w:val="22"/>
          <w:szCs w:val="22"/>
          <w:lang w:val="es-ES_tradnl"/>
        </w:rPr>
        <w:t xml:space="preserve">%, una tasa de condiciones críticas de ocupación de </w:t>
      </w:r>
      <w:r w:rsidR="0048548C">
        <w:rPr>
          <w:rFonts w:cs="Arial"/>
          <w:b w:val="0"/>
          <w:bCs/>
          <w:spacing w:val="10"/>
          <w:sz w:val="22"/>
          <w:szCs w:val="22"/>
          <w:lang w:val="es-ES_tradnl"/>
        </w:rPr>
        <w:t>23.3</w:t>
      </w:r>
      <w:r>
        <w:rPr>
          <w:rFonts w:cs="Arial"/>
          <w:b w:val="0"/>
          <w:bCs/>
          <w:spacing w:val="10"/>
          <w:sz w:val="22"/>
          <w:szCs w:val="22"/>
          <w:lang w:val="es-ES_tradnl"/>
        </w:rPr>
        <w:t xml:space="preserve">% y una tasa de informalidad laboral de </w:t>
      </w:r>
      <w:r w:rsidR="0048548C">
        <w:rPr>
          <w:rFonts w:cs="Arial"/>
          <w:b w:val="0"/>
          <w:bCs/>
          <w:spacing w:val="10"/>
          <w:sz w:val="22"/>
          <w:szCs w:val="22"/>
          <w:lang w:val="es-ES_tradnl"/>
        </w:rPr>
        <w:t>43.7</w:t>
      </w:r>
      <w:r>
        <w:rPr>
          <w:rFonts w:cs="Arial"/>
          <w:b w:val="0"/>
          <w:bCs/>
          <w:spacing w:val="10"/>
          <w:sz w:val="22"/>
          <w:szCs w:val="22"/>
          <w:lang w:val="es-ES_tradnl"/>
        </w:rPr>
        <w:t xml:space="preserve"> por ciento.</w:t>
      </w:r>
    </w:p>
    <w:p w14:paraId="667B6B3D" w14:textId="77777777" w:rsidR="00EF6B2E" w:rsidRDefault="00EF6B2E" w:rsidP="00EF6B2E">
      <w:pPr>
        <w:pStyle w:val="Ttulo"/>
        <w:jc w:val="both"/>
        <w:rPr>
          <w:rFonts w:cs="Arial"/>
          <w:b w:val="0"/>
          <w:bCs/>
          <w:spacing w:val="10"/>
          <w:sz w:val="22"/>
          <w:szCs w:val="22"/>
          <w:lang w:val="es-ES_tradnl"/>
        </w:rPr>
      </w:pPr>
    </w:p>
    <w:p w14:paraId="27CDEDDC" w14:textId="24A1ED05" w:rsidR="00EF6B2E" w:rsidRPr="00EF27C2" w:rsidRDefault="00EF6B2E" w:rsidP="00EF6B2E">
      <w:pPr>
        <w:pStyle w:val="Ttulo"/>
        <w:jc w:val="both"/>
        <w:rPr>
          <w:rFonts w:cs="Arial"/>
          <w:b w:val="0"/>
          <w:bCs/>
          <w:spacing w:val="10"/>
          <w:sz w:val="22"/>
          <w:szCs w:val="22"/>
          <w:lang w:val="es-ES_tradnl"/>
        </w:rPr>
      </w:pPr>
      <w:r>
        <w:rPr>
          <w:rFonts w:cs="Arial"/>
          <w:b w:val="0"/>
          <w:bCs/>
          <w:spacing w:val="10"/>
          <w:sz w:val="22"/>
          <w:szCs w:val="22"/>
          <w:lang w:val="es-ES_tradnl"/>
        </w:rPr>
        <w:t xml:space="preserve">En este periodo las ciudades que registraron las </w:t>
      </w:r>
      <w:r w:rsidRPr="00EF27C2">
        <w:rPr>
          <w:rFonts w:cs="Arial"/>
          <w:b w:val="0"/>
          <w:bCs/>
          <w:spacing w:val="10"/>
          <w:sz w:val="22"/>
          <w:szCs w:val="22"/>
          <w:lang w:val="es-ES_tradnl"/>
        </w:rPr>
        <w:t>tasa</w:t>
      </w:r>
      <w:r>
        <w:rPr>
          <w:rFonts w:cs="Arial"/>
          <w:b w:val="0"/>
          <w:bCs/>
          <w:spacing w:val="10"/>
          <w:sz w:val="22"/>
          <w:szCs w:val="22"/>
          <w:lang w:val="es-ES_tradnl"/>
        </w:rPr>
        <w:t>s</w:t>
      </w:r>
      <w:r w:rsidRPr="00EF27C2">
        <w:rPr>
          <w:rFonts w:cs="Arial"/>
          <w:b w:val="0"/>
          <w:bCs/>
          <w:spacing w:val="10"/>
          <w:sz w:val="22"/>
          <w:szCs w:val="22"/>
          <w:lang w:val="es-ES_tradnl"/>
        </w:rPr>
        <w:t xml:space="preserve"> de participación </w:t>
      </w:r>
      <w:r>
        <w:rPr>
          <w:rFonts w:cs="Arial"/>
          <w:b w:val="0"/>
          <w:bCs/>
          <w:spacing w:val="10"/>
          <w:sz w:val="22"/>
          <w:szCs w:val="22"/>
          <w:lang w:val="es-ES_tradnl"/>
        </w:rPr>
        <w:t xml:space="preserve">económica más altas fueron </w:t>
      </w:r>
      <w:r w:rsidR="003661C7">
        <w:rPr>
          <w:rFonts w:cs="Arial"/>
          <w:b w:val="0"/>
          <w:bCs/>
          <w:spacing w:val="10"/>
          <w:sz w:val="22"/>
          <w:szCs w:val="22"/>
          <w:lang w:val="es-ES_tradnl"/>
        </w:rPr>
        <w:t>Tepic</w:t>
      </w:r>
      <w:r w:rsidR="003661C7" w:rsidRPr="00EF27C2">
        <w:rPr>
          <w:rFonts w:cs="Arial"/>
          <w:b w:val="0"/>
          <w:bCs/>
          <w:spacing w:val="10"/>
          <w:sz w:val="22"/>
          <w:szCs w:val="22"/>
          <w:lang w:val="es-ES_tradnl"/>
        </w:rPr>
        <w:t xml:space="preserve"> </w:t>
      </w:r>
      <w:r>
        <w:rPr>
          <w:rFonts w:cs="Arial"/>
          <w:b w:val="0"/>
          <w:bCs/>
          <w:spacing w:val="10"/>
          <w:sz w:val="22"/>
          <w:szCs w:val="22"/>
          <w:lang w:val="es-ES_tradnl"/>
        </w:rPr>
        <w:t xml:space="preserve">con </w:t>
      </w:r>
      <w:r w:rsidR="003661C7">
        <w:rPr>
          <w:rFonts w:cs="Arial"/>
          <w:b w:val="0"/>
          <w:bCs/>
          <w:spacing w:val="10"/>
          <w:sz w:val="22"/>
          <w:szCs w:val="22"/>
          <w:lang w:val="es-ES_tradnl"/>
        </w:rPr>
        <w:t>64.8</w:t>
      </w:r>
      <w:r w:rsidRPr="00EF27C2">
        <w:rPr>
          <w:rFonts w:cs="Arial"/>
          <w:b w:val="0"/>
          <w:bCs/>
          <w:spacing w:val="10"/>
          <w:sz w:val="22"/>
          <w:szCs w:val="22"/>
          <w:lang w:val="es-ES_tradnl"/>
        </w:rPr>
        <w:t xml:space="preserve">%, </w:t>
      </w:r>
      <w:r w:rsidR="003661C7">
        <w:rPr>
          <w:rFonts w:cs="Arial"/>
          <w:b w:val="0"/>
          <w:bCs/>
          <w:spacing w:val="10"/>
          <w:sz w:val="22"/>
          <w:szCs w:val="22"/>
          <w:lang w:val="es-ES_tradnl"/>
        </w:rPr>
        <w:t xml:space="preserve">Ciudad del Carmen </w:t>
      </w:r>
      <w:r w:rsidR="009520D6">
        <w:rPr>
          <w:rFonts w:cs="Arial"/>
          <w:b w:val="0"/>
          <w:bCs/>
          <w:spacing w:val="10"/>
          <w:sz w:val="22"/>
          <w:szCs w:val="22"/>
          <w:lang w:val="es-ES_tradnl"/>
        </w:rPr>
        <w:t xml:space="preserve">con </w:t>
      </w:r>
      <w:r w:rsidR="003661C7">
        <w:rPr>
          <w:rFonts w:cs="Arial"/>
          <w:b w:val="0"/>
          <w:bCs/>
          <w:spacing w:val="10"/>
          <w:sz w:val="22"/>
          <w:szCs w:val="22"/>
          <w:lang w:val="es-ES_tradnl"/>
        </w:rPr>
        <w:t>64.5</w:t>
      </w:r>
      <w:r w:rsidR="009520D6">
        <w:rPr>
          <w:rFonts w:cs="Arial"/>
          <w:b w:val="0"/>
          <w:bCs/>
          <w:spacing w:val="10"/>
          <w:sz w:val="22"/>
          <w:szCs w:val="22"/>
          <w:lang w:val="es-ES_tradnl"/>
        </w:rPr>
        <w:t xml:space="preserve">% y </w:t>
      </w:r>
      <w:r w:rsidR="003661C7">
        <w:rPr>
          <w:rFonts w:cs="Arial"/>
          <w:b w:val="0"/>
          <w:bCs/>
          <w:spacing w:val="10"/>
          <w:sz w:val="22"/>
          <w:szCs w:val="22"/>
          <w:lang w:val="es-ES_tradnl"/>
        </w:rPr>
        <w:t>Cancún</w:t>
      </w:r>
      <w:r w:rsidRPr="00EF27C2">
        <w:rPr>
          <w:rFonts w:cs="Arial"/>
          <w:b w:val="0"/>
          <w:bCs/>
          <w:spacing w:val="10"/>
          <w:sz w:val="22"/>
          <w:szCs w:val="22"/>
          <w:lang w:val="es-ES_tradnl"/>
        </w:rPr>
        <w:t xml:space="preserve"> </w:t>
      </w:r>
      <w:r>
        <w:rPr>
          <w:rFonts w:cs="Arial"/>
          <w:b w:val="0"/>
          <w:bCs/>
          <w:spacing w:val="10"/>
          <w:sz w:val="22"/>
          <w:szCs w:val="22"/>
          <w:lang w:val="es-ES_tradnl"/>
        </w:rPr>
        <w:t xml:space="preserve">con </w:t>
      </w:r>
      <w:r w:rsidR="009520D6">
        <w:rPr>
          <w:rFonts w:cs="Arial"/>
          <w:b w:val="0"/>
          <w:bCs/>
          <w:spacing w:val="10"/>
          <w:sz w:val="22"/>
          <w:szCs w:val="22"/>
          <w:lang w:val="es-ES_tradnl"/>
        </w:rPr>
        <w:t>64.</w:t>
      </w:r>
      <w:r w:rsidR="003661C7">
        <w:rPr>
          <w:rFonts w:cs="Arial"/>
          <w:b w:val="0"/>
          <w:bCs/>
          <w:spacing w:val="10"/>
          <w:sz w:val="22"/>
          <w:szCs w:val="22"/>
          <w:lang w:val="es-ES_tradnl"/>
        </w:rPr>
        <w:t>3</w:t>
      </w:r>
      <w:r w:rsidR="009520D6">
        <w:rPr>
          <w:rFonts w:cs="Arial"/>
          <w:b w:val="0"/>
          <w:bCs/>
          <w:spacing w:val="10"/>
          <w:sz w:val="22"/>
          <w:szCs w:val="22"/>
          <w:lang w:val="es-ES_tradnl"/>
        </w:rPr>
        <w:t xml:space="preserve"> </w:t>
      </w:r>
      <w:r>
        <w:rPr>
          <w:rFonts w:cs="Arial"/>
          <w:b w:val="0"/>
          <w:bCs/>
          <w:spacing w:val="10"/>
          <w:sz w:val="22"/>
          <w:szCs w:val="22"/>
          <w:lang w:val="es-ES_tradnl"/>
        </w:rPr>
        <w:t xml:space="preserve">por ciento; en el otro extremo, se ubicaron las ciudades de Veracruz </w:t>
      </w:r>
      <w:r w:rsidR="003661C7">
        <w:rPr>
          <w:rFonts w:cs="Arial"/>
          <w:b w:val="0"/>
          <w:bCs/>
          <w:spacing w:val="10"/>
          <w:sz w:val="22"/>
          <w:szCs w:val="22"/>
          <w:lang w:val="es-ES_tradnl"/>
        </w:rPr>
        <w:t xml:space="preserve">y Cuernavaca </w:t>
      </w:r>
      <w:r>
        <w:rPr>
          <w:rFonts w:cs="Arial"/>
          <w:b w:val="0"/>
          <w:bCs/>
          <w:spacing w:val="10"/>
          <w:sz w:val="22"/>
          <w:szCs w:val="22"/>
          <w:lang w:val="es-ES_tradnl"/>
        </w:rPr>
        <w:t xml:space="preserve">con </w:t>
      </w:r>
      <w:r w:rsidR="009520D6">
        <w:rPr>
          <w:rFonts w:cs="Arial"/>
          <w:b w:val="0"/>
          <w:bCs/>
          <w:spacing w:val="10"/>
          <w:sz w:val="22"/>
          <w:szCs w:val="22"/>
          <w:lang w:val="es-ES_tradnl"/>
        </w:rPr>
        <w:t>5</w:t>
      </w:r>
      <w:r w:rsidR="003661C7">
        <w:rPr>
          <w:rFonts w:cs="Arial"/>
          <w:b w:val="0"/>
          <w:bCs/>
          <w:spacing w:val="10"/>
          <w:sz w:val="22"/>
          <w:szCs w:val="22"/>
          <w:lang w:val="es-ES_tradnl"/>
        </w:rPr>
        <w:t>2.5</w:t>
      </w:r>
      <w:r>
        <w:rPr>
          <w:rFonts w:cs="Arial"/>
          <w:b w:val="0"/>
          <w:bCs/>
          <w:spacing w:val="10"/>
          <w:sz w:val="22"/>
          <w:szCs w:val="22"/>
          <w:lang w:val="es-ES_tradnl"/>
        </w:rPr>
        <w:t>%</w:t>
      </w:r>
      <w:r w:rsidR="003661C7">
        <w:rPr>
          <w:rFonts w:cs="Arial"/>
          <w:b w:val="0"/>
          <w:bCs/>
          <w:spacing w:val="10"/>
          <w:sz w:val="22"/>
          <w:szCs w:val="22"/>
          <w:lang w:val="es-ES_tradnl"/>
        </w:rPr>
        <w:t xml:space="preserve"> cada una</w:t>
      </w:r>
      <w:r>
        <w:rPr>
          <w:rFonts w:cs="Arial"/>
          <w:b w:val="0"/>
          <w:bCs/>
          <w:spacing w:val="10"/>
          <w:sz w:val="22"/>
          <w:szCs w:val="22"/>
          <w:lang w:val="es-ES_tradnl"/>
        </w:rPr>
        <w:t>,</w:t>
      </w:r>
      <w:r w:rsidR="009520D6">
        <w:rPr>
          <w:rFonts w:cs="Arial"/>
          <w:b w:val="0"/>
          <w:bCs/>
          <w:spacing w:val="10"/>
          <w:sz w:val="22"/>
          <w:szCs w:val="22"/>
          <w:lang w:val="es-ES_tradnl"/>
        </w:rPr>
        <w:t xml:space="preserve"> </w:t>
      </w:r>
      <w:r w:rsidR="003661C7">
        <w:rPr>
          <w:rFonts w:cs="Arial"/>
          <w:b w:val="0"/>
          <w:bCs/>
          <w:spacing w:val="10"/>
          <w:sz w:val="22"/>
          <w:szCs w:val="22"/>
          <w:lang w:val="es-ES_tradnl"/>
        </w:rPr>
        <w:t xml:space="preserve">Ciudad de México </w:t>
      </w:r>
      <w:r w:rsidR="009520D6">
        <w:rPr>
          <w:rFonts w:cs="Arial"/>
          <w:b w:val="0"/>
          <w:bCs/>
          <w:spacing w:val="10"/>
          <w:sz w:val="22"/>
          <w:szCs w:val="22"/>
          <w:lang w:val="es-ES_tradnl"/>
        </w:rPr>
        <w:t xml:space="preserve">con 53.9% y </w:t>
      </w:r>
      <w:r w:rsidR="003661C7">
        <w:rPr>
          <w:rFonts w:cs="Arial"/>
          <w:b w:val="0"/>
          <w:bCs/>
          <w:spacing w:val="10"/>
          <w:sz w:val="22"/>
          <w:szCs w:val="22"/>
          <w:lang w:val="es-ES_tradnl"/>
        </w:rPr>
        <w:t>Toluca</w:t>
      </w:r>
      <w:r>
        <w:rPr>
          <w:rFonts w:cs="Arial"/>
          <w:b w:val="0"/>
          <w:bCs/>
          <w:spacing w:val="10"/>
          <w:sz w:val="22"/>
          <w:szCs w:val="22"/>
          <w:lang w:val="es-ES_tradnl"/>
        </w:rPr>
        <w:t xml:space="preserve"> con 5</w:t>
      </w:r>
      <w:r w:rsidR="009520D6">
        <w:rPr>
          <w:rFonts w:cs="Arial"/>
          <w:b w:val="0"/>
          <w:bCs/>
          <w:spacing w:val="10"/>
          <w:sz w:val="22"/>
          <w:szCs w:val="22"/>
          <w:lang w:val="es-ES_tradnl"/>
        </w:rPr>
        <w:t>4</w:t>
      </w:r>
      <w:r>
        <w:rPr>
          <w:rFonts w:cs="Arial"/>
          <w:b w:val="0"/>
          <w:bCs/>
          <w:spacing w:val="10"/>
          <w:sz w:val="22"/>
          <w:szCs w:val="22"/>
          <w:lang w:val="es-ES_tradnl"/>
        </w:rPr>
        <w:t>.</w:t>
      </w:r>
      <w:r w:rsidR="003661C7">
        <w:rPr>
          <w:rFonts w:cs="Arial"/>
          <w:b w:val="0"/>
          <w:bCs/>
          <w:spacing w:val="10"/>
          <w:sz w:val="22"/>
          <w:szCs w:val="22"/>
          <w:lang w:val="es-ES_tradnl"/>
        </w:rPr>
        <w:t xml:space="preserve">5 </w:t>
      </w:r>
      <w:r>
        <w:rPr>
          <w:rFonts w:cs="Arial"/>
          <w:b w:val="0"/>
          <w:bCs/>
          <w:spacing w:val="10"/>
          <w:sz w:val="22"/>
          <w:szCs w:val="22"/>
          <w:lang w:val="es-ES_tradnl"/>
        </w:rPr>
        <w:t>por ciento.</w:t>
      </w:r>
    </w:p>
    <w:p w14:paraId="222ADD93" w14:textId="77777777" w:rsidR="00EF6B2E" w:rsidRDefault="00EF6B2E" w:rsidP="00EF6B2E">
      <w:pPr>
        <w:pStyle w:val="Ttulo"/>
        <w:jc w:val="both"/>
        <w:rPr>
          <w:rFonts w:cs="Arial"/>
          <w:b w:val="0"/>
          <w:bCs/>
          <w:spacing w:val="10"/>
          <w:sz w:val="22"/>
          <w:szCs w:val="22"/>
          <w:lang w:val="es-ES_tradnl"/>
        </w:rPr>
      </w:pPr>
    </w:p>
    <w:p w14:paraId="61832345" w14:textId="2465A57D" w:rsidR="00EF6B2E" w:rsidRDefault="00EF6B2E" w:rsidP="00EF6B2E">
      <w:pPr>
        <w:pStyle w:val="Ttulo"/>
        <w:jc w:val="both"/>
        <w:rPr>
          <w:rFonts w:cs="Arial"/>
          <w:b w:val="0"/>
          <w:bCs/>
          <w:spacing w:val="10"/>
          <w:sz w:val="22"/>
          <w:szCs w:val="22"/>
          <w:lang w:val="es-ES_tradnl"/>
        </w:rPr>
      </w:pPr>
      <w:r>
        <w:rPr>
          <w:rFonts w:cs="Arial"/>
          <w:b w:val="0"/>
          <w:bCs/>
          <w:spacing w:val="10"/>
          <w:sz w:val="22"/>
          <w:szCs w:val="22"/>
          <w:lang w:val="es-ES_tradnl"/>
        </w:rPr>
        <w:t xml:space="preserve">En nivel de desocupación, las ciudades de Cancún con </w:t>
      </w:r>
      <w:r w:rsidR="003442F1">
        <w:rPr>
          <w:rFonts w:cs="Arial"/>
          <w:b w:val="0"/>
          <w:bCs/>
          <w:spacing w:val="10"/>
          <w:sz w:val="22"/>
          <w:szCs w:val="22"/>
          <w:lang w:val="es-ES_tradnl"/>
        </w:rPr>
        <w:t>10</w:t>
      </w:r>
      <w:r w:rsidR="009520D6">
        <w:rPr>
          <w:rFonts w:cs="Arial"/>
          <w:b w:val="0"/>
          <w:bCs/>
          <w:spacing w:val="10"/>
          <w:sz w:val="22"/>
          <w:szCs w:val="22"/>
          <w:lang w:val="es-ES_tradnl"/>
        </w:rPr>
        <w:t>.9</w:t>
      </w:r>
      <w:r>
        <w:rPr>
          <w:rFonts w:cs="Arial"/>
          <w:b w:val="0"/>
          <w:bCs/>
          <w:spacing w:val="10"/>
          <w:sz w:val="22"/>
          <w:szCs w:val="22"/>
          <w:lang w:val="es-ES_tradnl"/>
        </w:rPr>
        <w:t xml:space="preserve">%, </w:t>
      </w:r>
      <w:r w:rsidR="003442F1">
        <w:rPr>
          <w:rFonts w:cs="Arial"/>
          <w:b w:val="0"/>
          <w:bCs/>
          <w:spacing w:val="10"/>
          <w:sz w:val="22"/>
          <w:szCs w:val="22"/>
          <w:lang w:val="es-ES_tradnl"/>
        </w:rPr>
        <w:t xml:space="preserve">Ciudad de México </w:t>
      </w:r>
      <w:r w:rsidR="009520D6">
        <w:rPr>
          <w:rFonts w:cs="Arial"/>
          <w:b w:val="0"/>
          <w:bCs/>
          <w:spacing w:val="10"/>
          <w:sz w:val="22"/>
          <w:szCs w:val="22"/>
          <w:lang w:val="es-ES_tradnl"/>
        </w:rPr>
        <w:t>con 7.</w:t>
      </w:r>
      <w:r w:rsidR="003442F1">
        <w:rPr>
          <w:rFonts w:cs="Arial"/>
          <w:b w:val="0"/>
          <w:bCs/>
          <w:spacing w:val="10"/>
          <w:sz w:val="22"/>
          <w:szCs w:val="22"/>
          <w:lang w:val="es-ES_tradnl"/>
        </w:rPr>
        <w:t>4</w:t>
      </w:r>
      <w:r w:rsidR="009520D6">
        <w:rPr>
          <w:rFonts w:cs="Arial"/>
          <w:b w:val="0"/>
          <w:bCs/>
          <w:spacing w:val="10"/>
          <w:sz w:val="22"/>
          <w:szCs w:val="22"/>
          <w:lang w:val="es-ES_tradnl"/>
        </w:rPr>
        <w:t>%</w:t>
      </w:r>
      <w:r>
        <w:rPr>
          <w:rFonts w:cs="Arial"/>
          <w:b w:val="0"/>
          <w:bCs/>
          <w:spacing w:val="10"/>
          <w:sz w:val="22"/>
          <w:szCs w:val="22"/>
          <w:lang w:val="es-ES_tradnl"/>
        </w:rPr>
        <w:t xml:space="preserve"> y </w:t>
      </w:r>
      <w:r w:rsidR="003442F1">
        <w:rPr>
          <w:rFonts w:cs="Arial"/>
          <w:b w:val="0"/>
          <w:bCs/>
          <w:spacing w:val="10"/>
          <w:sz w:val="22"/>
          <w:szCs w:val="22"/>
          <w:lang w:val="es-ES_tradnl"/>
        </w:rPr>
        <w:t xml:space="preserve">León </w:t>
      </w:r>
      <w:r>
        <w:rPr>
          <w:rFonts w:cs="Arial"/>
          <w:b w:val="0"/>
          <w:bCs/>
          <w:spacing w:val="10"/>
          <w:sz w:val="22"/>
          <w:szCs w:val="22"/>
          <w:lang w:val="es-ES_tradnl"/>
        </w:rPr>
        <w:t xml:space="preserve">con </w:t>
      </w:r>
      <w:r w:rsidR="003442F1">
        <w:rPr>
          <w:rFonts w:cs="Arial"/>
          <w:b w:val="0"/>
          <w:bCs/>
          <w:spacing w:val="10"/>
          <w:sz w:val="22"/>
          <w:szCs w:val="22"/>
          <w:lang w:val="es-ES_tradnl"/>
        </w:rPr>
        <w:t>6.9</w:t>
      </w:r>
      <w:r>
        <w:rPr>
          <w:rFonts w:cs="Arial"/>
          <w:b w:val="0"/>
          <w:bCs/>
          <w:spacing w:val="10"/>
          <w:sz w:val="22"/>
          <w:szCs w:val="22"/>
          <w:lang w:val="es-ES_tradnl"/>
        </w:rPr>
        <w:t xml:space="preserve">% fueron las de mayores tasas; frente a las ciudades de </w:t>
      </w:r>
      <w:r w:rsidR="003442F1">
        <w:rPr>
          <w:rFonts w:cs="Arial"/>
          <w:b w:val="0"/>
          <w:bCs/>
          <w:spacing w:val="10"/>
          <w:sz w:val="22"/>
          <w:szCs w:val="22"/>
          <w:lang w:val="es-ES_tradnl"/>
        </w:rPr>
        <w:t xml:space="preserve">Tijuana </w:t>
      </w:r>
      <w:r w:rsidR="009520D6">
        <w:rPr>
          <w:rFonts w:cs="Arial"/>
          <w:b w:val="0"/>
          <w:bCs/>
          <w:spacing w:val="10"/>
          <w:sz w:val="22"/>
          <w:szCs w:val="22"/>
          <w:lang w:val="es-ES_tradnl"/>
        </w:rPr>
        <w:t xml:space="preserve">con 2%, </w:t>
      </w:r>
      <w:r w:rsidR="003442F1">
        <w:rPr>
          <w:rFonts w:cs="Arial"/>
          <w:b w:val="0"/>
          <w:bCs/>
          <w:spacing w:val="10"/>
          <w:sz w:val="22"/>
          <w:szCs w:val="22"/>
          <w:lang w:val="es-ES_tradnl"/>
        </w:rPr>
        <w:t xml:space="preserve">Cuernavaca </w:t>
      </w:r>
      <w:r w:rsidR="009520D6">
        <w:rPr>
          <w:rFonts w:cs="Arial"/>
          <w:b w:val="0"/>
          <w:bCs/>
          <w:spacing w:val="10"/>
          <w:sz w:val="22"/>
          <w:szCs w:val="22"/>
          <w:lang w:val="es-ES_tradnl"/>
        </w:rPr>
        <w:t>con 2.</w:t>
      </w:r>
      <w:r w:rsidR="003442F1">
        <w:rPr>
          <w:rFonts w:cs="Arial"/>
          <w:b w:val="0"/>
          <w:bCs/>
          <w:spacing w:val="10"/>
          <w:sz w:val="22"/>
          <w:szCs w:val="22"/>
          <w:lang w:val="es-ES_tradnl"/>
        </w:rPr>
        <w:t>2</w:t>
      </w:r>
      <w:r w:rsidR="009520D6">
        <w:rPr>
          <w:rFonts w:cs="Arial"/>
          <w:b w:val="0"/>
          <w:bCs/>
          <w:spacing w:val="10"/>
          <w:sz w:val="22"/>
          <w:szCs w:val="22"/>
          <w:lang w:val="es-ES_tradnl"/>
        </w:rPr>
        <w:t xml:space="preserve">% y </w:t>
      </w:r>
      <w:r w:rsidR="003442F1">
        <w:rPr>
          <w:rFonts w:cs="Arial"/>
          <w:b w:val="0"/>
          <w:bCs/>
          <w:spacing w:val="10"/>
          <w:sz w:val="22"/>
          <w:szCs w:val="22"/>
          <w:lang w:val="es-ES_tradnl"/>
        </w:rPr>
        <w:t xml:space="preserve">Reynosa </w:t>
      </w:r>
      <w:r>
        <w:rPr>
          <w:rFonts w:cs="Arial"/>
          <w:b w:val="0"/>
          <w:bCs/>
          <w:spacing w:val="10"/>
          <w:sz w:val="22"/>
          <w:szCs w:val="22"/>
          <w:lang w:val="es-ES_tradnl"/>
        </w:rPr>
        <w:t>con 2.</w:t>
      </w:r>
      <w:r w:rsidR="003442F1">
        <w:rPr>
          <w:rFonts w:cs="Arial"/>
          <w:b w:val="0"/>
          <w:bCs/>
          <w:spacing w:val="10"/>
          <w:sz w:val="22"/>
          <w:szCs w:val="22"/>
          <w:lang w:val="es-ES_tradnl"/>
        </w:rPr>
        <w:t>6</w:t>
      </w:r>
      <w:r>
        <w:rPr>
          <w:rFonts w:cs="Arial"/>
          <w:b w:val="0"/>
          <w:bCs/>
          <w:spacing w:val="10"/>
          <w:sz w:val="22"/>
          <w:szCs w:val="22"/>
          <w:lang w:val="es-ES_tradnl"/>
        </w:rPr>
        <w:t>%</w:t>
      </w:r>
      <w:r w:rsidR="00775ED7">
        <w:rPr>
          <w:rFonts w:cs="Arial"/>
          <w:b w:val="0"/>
          <w:bCs/>
          <w:spacing w:val="10"/>
          <w:sz w:val="22"/>
          <w:szCs w:val="22"/>
          <w:lang w:val="es-ES_tradnl"/>
        </w:rPr>
        <w:t xml:space="preserve"> </w:t>
      </w:r>
      <w:r>
        <w:rPr>
          <w:rFonts w:cs="Arial"/>
          <w:b w:val="0"/>
          <w:bCs/>
          <w:spacing w:val="10"/>
          <w:sz w:val="22"/>
          <w:szCs w:val="22"/>
          <w:lang w:val="es-ES_tradnl"/>
        </w:rPr>
        <w:t xml:space="preserve">por ciento, que reportaron las tasas de desocupación más bajas en el </w:t>
      </w:r>
      <w:r w:rsidR="00177B20">
        <w:rPr>
          <w:rFonts w:cs="Arial"/>
          <w:b w:val="0"/>
          <w:bCs/>
          <w:spacing w:val="10"/>
          <w:sz w:val="22"/>
          <w:szCs w:val="22"/>
          <w:lang w:val="es-ES_tradnl"/>
        </w:rPr>
        <w:t>primer</w:t>
      </w:r>
      <w:r w:rsidR="00775ED7">
        <w:rPr>
          <w:rFonts w:cs="Arial"/>
          <w:b w:val="0"/>
          <w:bCs/>
          <w:spacing w:val="10"/>
          <w:sz w:val="22"/>
          <w:szCs w:val="22"/>
          <w:lang w:val="es-ES_tradnl"/>
        </w:rPr>
        <w:t xml:space="preserve"> trimestre de </w:t>
      </w:r>
      <w:r w:rsidR="00177B20">
        <w:rPr>
          <w:rFonts w:cs="Arial"/>
          <w:b w:val="0"/>
          <w:bCs/>
          <w:spacing w:val="10"/>
          <w:sz w:val="22"/>
          <w:szCs w:val="22"/>
          <w:lang w:val="es-ES_tradnl"/>
        </w:rPr>
        <w:t>2021</w:t>
      </w:r>
      <w:r>
        <w:rPr>
          <w:rFonts w:cs="Arial"/>
          <w:b w:val="0"/>
          <w:bCs/>
          <w:spacing w:val="10"/>
          <w:sz w:val="22"/>
          <w:szCs w:val="22"/>
          <w:lang w:val="es-ES_tradnl"/>
        </w:rPr>
        <w:t>.</w:t>
      </w:r>
    </w:p>
    <w:p w14:paraId="7EED0A38" w14:textId="77777777" w:rsidR="00EF6B2E" w:rsidRDefault="00EF6B2E" w:rsidP="00EF6B2E">
      <w:pPr>
        <w:pStyle w:val="Ttulo"/>
        <w:jc w:val="both"/>
        <w:rPr>
          <w:rFonts w:cs="Arial"/>
          <w:b w:val="0"/>
          <w:bCs/>
          <w:spacing w:val="10"/>
          <w:sz w:val="22"/>
          <w:szCs w:val="22"/>
          <w:lang w:val="es-ES_tradnl"/>
        </w:rPr>
      </w:pPr>
    </w:p>
    <w:p w14:paraId="66AE05B8" w14:textId="0C2BFB8A" w:rsidR="00EF6B2E" w:rsidRDefault="00EF6B2E" w:rsidP="00EF6B2E">
      <w:pPr>
        <w:pStyle w:val="Ttulo"/>
        <w:jc w:val="both"/>
        <w:rPr>
          <w:rFonts w:cs="Arial"/>
          <w:b w:val="0"/>
          <w:bCs/>
          <w:spacing w:val="10"/>
          <w:sz w:val="22"/>
          <w:szCs w:val="22"/>
          <w:lang w:val="es-ES_tradnl"/>
        </w:rPr>
      </w:pPr>
      <w:r>
        <w:rPr>
          <w:rFonts w:cs="Arial"/>
          <w:b w:val="0"/>
          <w:bCs/>
          <w:spacing w:val="10"/>
          <w:sz w:val="22"/>
          <w:szCs w:val="22"/>
          <w:lang w:val="es-ES_tradnl"/>
        </w:rPr>
        <w:t xml:space="preserve">En el tema de la subocupación, es decir, de los ocupados que </w:t>
      </w:r>
      <w:r w:rsidRPr="007A6A7A">
        <w:rPr>
          <w:rFonts w:cs="Arial"/>
          <w:b w:val="0"/>
          <w:bCs/>
          <w:spacing w:val="10"/>
          <w:sz w:val="22"/>
          <w:szCs w:val="22"/>
          <w:lang w:val="es-ES_tradnl"/>
        </w:rPr>
        <w:t>tienen la necesidad y disponibilidad de ofertar más tiempo de trabajo de lo que su ocupación actual les demanda</w:t>
      </w:r>
      <w:r>
        <w:rPr>
          <w:rFonts w:cs="Arial"/>
          <w:b w:val="0"/>
          <w:bCs/>
          <w:spacing w:val="10"/>
          <w:sz w:val="22"/>
          <w:szCs w:val="22"/>
          <w:lang w:val="es-ES_tradnl"/>
        </w:rPr>
        <w:t xml:space="preserve">, Ciudad del Carmen con </w:t>
      </w:r>
      <w:r w:rsidR="006F0106">
        <w:rPr>
          <w:rFonts w:cs="Arial"/>
          <w:b w:val="0"/>
          <w:bCs/>
          <w:spacing w:val="10"/>
          <w:sz w:val="22"/>
          <w:szCs w:val="22"/>
          <w:lang w:val="es-ES_tradnl"/>
        </w:rPr>
        <w:t>33.8</w:t>
      </w:r>
      <w:r>
        <w:rPr>
          <w:rFonts w:cs="Arial"/>
          <w:b w:val="0"/>
          <w:bCs/>
          <w:spacing w:val="10"/>
          <w:sz w:val="22"/>
          <w:szCs w:val="22"/>
          <w:lang w:val="es-ES_tradnl"/>
        </w:rPr>
        <w:t xml:space="preserve">% y </w:t>
      </w:r>
      <w:r w:rsidR="006F0106">
        <w:rPr>
          <w:rFonts w:cs="Arial"/>
          <w:b w:val="0"/>
          <w:bCs/>
          <w:spacing w:val="10"/>
          <w:sz w:val="22"/>
          <w:szCs w:val="22"/>
          <w:lang w:val="es-ES_tradnl"/>
        </w:rPr>
        <w:t xml:space="preserve">Pachuca </w:t>
      </w:r>
      <w:r>
        <w:rPr>
          <w:rFonts w:cs="Arial"/>
          <w:b w:val="0"/>
          <w:bCs/>
          <w:spacing w:val="10"/>
          <w:sz w:val="22"/>
          <w:szCs w:val="22"/>
          <w:lang w:val="es-ES_tradnl"/>
        </w:rPr>
        <w:t xml:space="preserve">con </w:t>
      </w:r>
      <w:r w:rsidR="006F0106">
        <w:rPr>
          <w:rFonts w:cs="Arial"/>
          <w:b w:val="0"/>
          <w:bCs/>
          <w:spacing w:val="10"/>
          <w:sz w:val="22"/>
          <w:szCs w:val="22"/>
          <w:lang w:val="es-ES_tradnl"/>
        </w:rPr>
        <w:t>24.9</w:t>
      </w:r>
      <w:r>
        <w:rPr>
          <w:rFonts w:cs="Arial"/>
          <w:b w:val="0"/>
          <w:bCs/>
          <w:spacing w:val="10"/>
          <w:sz w:val="22"/>
          <w:szCs w:val="22"/>
          <w:lang w:val="es-ES_tradnl"/>
        </w:rPr>
        <w:t xml:space="preserve">% se situaron en los niveles más altos; mientras que Tijuana con </w:t>
      </w:r>
      <w:r w:rsidR="00775ED7">
        <w:rPr>
          <w:rFonts w:cs="Arial"/>
          <w:b w:val="0"/>
          <w:bCs/>
          <w:spacing w:val="10"/>
          <w:sz w:val="22"/>
          <w:szCs w:val="22"/>
          <w:lang w:val="es-ES_tradnl"/>
        </w:rPr>
        <w:t>4</w:t>
      </w:r>
      <w:r>
        <w:rPr>
          <w:rFonts w:cs="Arial"/>
          <w:b w:val="0"/>
          <w:bCs/>
          <w:spacing w:val="10"/>
          <w:sz w:val="22"/>
          <w:szCs w:val="22"/>
          <w:lang w:val="es-ES_tradnl"/>
        </w:rPr>
        <w:t>%</w:t>
      </w:r>
      <w:r w:rsidR="00775ED7">
        <w:rPr>
          <w:rFonts w:cs="Arial"/>
          <w:b w:val="0"/>
          <w:bCs/>
          <w:spacing w:val="10"/>
          <w:sz w:val="22"/>
          <w:szCs w:val="22"/>
          <w:lang w:val="es-ES_tradnl"/>
        </w:rPr>
        <w:t xml:space="preserve"> y</w:t>
      </w:r>
      <w:r>
        <w:rPr>
          <w:rFonts w:cs="Arial"/>
          <w:b w:val="0"/>
          <w:bCs/>
          <w:spacing w:val="10"/>
          <w:sz w:val="22"/>
          <w:szCs w:val="22"/>
          <w:lang w:val="es-ES_tradnl"/>
        </w:rPr>
        <w:t xml:space="preserve"> </w:t>
      </w:r>
      <w:r w:rsidR="006F0106">
        <w:rPr>
          <w:rFonts w:cs="Arial"/>
          <w:b w:val="0"/>
          <w:bCs/>
          <w:spacing w:val="10"/>
          <w:sz w:val="22"/>
          <w:szCs w:val="22"/>
          <w:lang w:val="es-ES_tradnl"/>
        </w:rPr>
        <w:t xml:space="preserve">Saltillo </w:t>
      </w:r>
      <w:r>
        <w:rPr>
          <w:rFonts w:cs="Arial"/>
          <w:b w:val="0"/>
          <w:bCs/>
          <w:spacing w:val="10"/>
          <w:sz w:val="22"/>
          <w:szCs w:val="22"/>
          <w:lang w:val="es-ES_tradnl"/>
        </w:rPr>
        <w:t xml:space="preserve">con </w:t>
      </w:r>
      <w:r w:rsidR="006F0106">
        <w:rPr>
          <w:rFonts w:cs="Arial"/>
          <w:b w:val="0"/>
          <w:bCs/>
          <w:spacing w:val="10"/>
          <w:sz w:val="22"/>
          <w:szCs w:val="22"/>
          <w:lang w:val="es-ES_tradnl"/>
        </w:rPr>
        <w:t>5</w:t>
      </w:r>
      <w:r>
        <w:rPr>
          <w:rFonts w:cs="Arial"/>
          <w:b w:val="0"/>
          <w:bCs/>
          <w:spacing w:val="10"/>
          <w:sz w:val="22"/>
          <w:szCs w:val="22"/>
          <w:lang w:val="es-ES_tradnl"/>
        </w:rPr>
        <w:t>% se ubicaron en el otro extremo con las tasas de subocupación más bajas.</w:t>
      </w:r>
    </w:p>
    <w:p w14:paraId="73158038" w14:textId="77777777" w:rsidR="00775ED7" w:rsidRDefault="00775ED7" w:rsidP="00775ED7">
      <w:pPr>
        <w:pStyle w:val="Ttulo"/>
        <w:jc w:val="both"/>
        <w:rPr>
          <w:rFonts w:cs="Arial"/>
          <w:b w:val="0"/>
          <w:bCs/>
          <w:spacing w:val="10"/>
          <w:sz w:val="22"/>
          <w:szCs w:val="22"/>
          <w:lang w:val="es-ES_tradnl"/>
        </w:rPr>
      </w:pPr>
    </w:p>
    <w:p w14:paraId="1AE4E154" w14:textId="746B9F82" w:rsidR="00775ED7" w:rsidRDefault="00775ED7" w:rsidP="00775ED7">
      <w:pPr>
        <w:pStyle w:val="Ttulo"/>
        <w:jc w:val="both"/>
        <w:rPr>
          <w:rFonts w:cs="Arial"/>
          <w:b w:val="0"/>
          <w:bCs/>
          <w:spacing w:val="10"/>
          <w:sz w:val="22"/>
          <w:szCs w:val="22"/>
          <w:lang w:val="es-ES_tradnl"/>
        </w:rPr>
      </w:pPr>
      <w:r>
        <w:rPr>
          <w:rFonts w:cs="Arial"/>
          <w:b w:val="0"/>
          <w:bCs/>
          <w:spacing w:val="10"/>
          <w:sz w:val="22"/>
          <w:szCs w:val="22"/>
          <w:lang w:val="es-ES_tradnl"/>
        </w:rPr>
        <w:t xml:space="preserve">En la ocupación en condiciones críticas considerando las horas trabajadas y los ingresos, se encuentran Tapachula con </w:t>
      </w:r>
      <w:r w:rsidR="00B9038B">
        <w:rPr>
          <w:rFonts w:cs="Arial"/>
          <w:b w:val="0"/>
          <w:bCs/>
          <w:spacing w:val="10"/>
          <w:sz w:val="22"/>
          <w:szCs w:val="22"/>
          <w:lang w:val="es-ES_tradnl"/>
        </w:rPr>
        <w:t>41.3</w:t>
      </w:r>
      <w:r w:rsidR="00F90E08">
        <w:rPr>
          <w:rFonts w:cs="Arial"/>
          <w:b w:val="0"/>
          <w:bCs/>
          <w:spacing w:val="10"/>
          <w:sz w:val="22"/>
          <w:szCs w:val="22"/>
          <w:lang w:val="es-ES_tradnl"/>
        </w:rPr>
        <w:t>%</w:t>
      </w:r>
      <w:r w:rsidR="00B9038B">
        <w:rPr>
          <w:rFonts w:cs="Arial"/>
          <w:b w:val="0"/>
          <w:bCs/>
          <w:spacing w:val="10"/>
          <w:sz w:val="22"/>
          <w:szCs w:val="22"/>
          <w:lang w:val="es-ES_tradnl"/>
        </w:rPr>
        <w:t xml:space="preserve"> </w:t>
      </w:r>
      <w:r>
        <w:rPr>
          <w:rFonts w:cs="Arial"/>
          <w:b w:val="0"/>
          <w:bCs/>
          <w:spacing w:val="10"/>
          <w:sz w:val="22"/>
          <w:szCs w:val="22"/>
          <w:lang w:val="es-ES_tradnl"/>
        </w:rPr>
        <w:t xml:space="preserve">y </w:t>
      </w:r>
      <w:r w:rsidR="00B9038B">
        <w:rPr>
          <w:rFonts w:cs="Arial"/>
          <w:b w:val="0"/>
          <w:bCs/>
          <w:spacing w:val="10"/>
          <w:sz w:val="22"/>
          <w:szCs w:val="22"/>
          <w:lang w:val="es-ES_tradnl"/>
        </w:rPr>
        <w:t>Tlaxcala</w:t>
      </w:r>
      <w:r>
        <w:rPr>
          <w:rFonts w:cs="Arial"/>
          <w:b w:val="0"/>
          <w:bCs/>
          <w:spacing w:val="10"/>
          <w:sz w:val="22"/>
          <w:szCs w:val="22"/>
          <w:lang w:val="es-ES_tradnl"/>
        </w:rPr>
        <w:t xml:space="preserve"> con </w:t>
      </w:r>
      <w:r w:rsidR="00B9038B">
        <w:rPr>
          <w:rFonts w:cs="Arial"/>
          <w:b w:val="0"/>
          <w:bCs/>
          <w:spacing w:val="10"/>
          <w:sz w:val="22"/>
          <w:szCs w:val="22"/>
          <w:lang w:val="es-ES_tradnl"/>
        </w:rPr>
        <w:t>37.1</w:t>
      </w:r>
      <w:r>
        <w:rPr>
          <w:rFonts w:cs="Arial"/>
          <w:b w:val="0"/>
          <w:bCs/>
          <w:spacing w:val="10"/>
          <w:sz w:val="22"/>
          <w:szCs w:val="22"/>
          <w:lang w:val="es-ES_tradnl"/>
        </w:rPr>
        <w:t xml:space="preserve">% en el nivel más alto; en cambio, las ciudades de Culiacán con 9.8% y </w:t>
      </w:r>
      <w:r w:rsidR="00B9038B">
        <w:rPr>
          <w:rFonts w:cs="Arial"/>
          <w:b w:val="0"/>
          <w:bCs/>
          <w:spacing w:val="10"/>
          <w:sz w:val="22"/>
          <w:szCs w:val="22"/>
          <w:lang w:val="es-ES_tradnl"/>
        </w:rPr>
        <w:t xml:space="preserve">Querétaro </w:t>
      </w:r>
      <w:r>
        <w:rPr>
          <w:rFonts w:cs="Arial"/>
          <w:b w:val="0"/>
          <w:bCs/>
          <w:spacing w:val="10"/>
          <w:sz w:val="22"/>
          <w:szCs w:val="22"/>
          <w:lang w:val="es-ES_tradnl"/>
        </w:rPr>
        <w:t xml:space="preserve">con </w:t>
      </w:r>
      <w:r w:rsidR="00B9038B">
        <w:rPr>
          <w:rFonts w:cs="Arial"/>
          <w:b w:val="0"/>
          <w:bCs/>
          <w:spacing w:val="10"/>
          <w:sz w:val="22"/>
          <w:szCs w:val="22"/>
          <w:lang w:val="es-ES_tradnl"/>
        </w:rPr>
        <w:t>12.1</w:t>
      </w:r>
      <w:r>
        <w:rPr>
          <w:rFonts w:cs="Arial"/>
          <w:b w:val="0"/>
          <w:bCs/>
          <w:spacing w:val="10"/>
          <w:sz w:val="22"/>
          <w:szCs w:val="22"/>
          <w:lang w:val="es-ES_tradnl"/>
        </w:rPr>
        <w:t>%, son las de menores niveles de ocupación crítica.</w:t>
      </w:r>
    </w:p>
    <w:p w14:paraId="59A50617" w14:textId="77777777" w:rsidR="00775ED7" w:rsidRDefault="00775ED7" w:rsidP="00775ED7">
      <w:pPr>
        <w:pStyle w:val="Ttulo"/>
        <w:jc w:val="both"/>
        <w:rPr>
          <w:rFonts w:cs="Arial"/>
          <w:b w:val="0"/>
          <w:bCs/>
          <w:spacing w:val="10"/>
          <w:sz w:val="22"/>
          <w:szCs w:val="22"/>
          <w:lang w:val="es-ES_tradnl"/>
        </w:rPr>
      </w:pPr>
    </w:p>
    <w:p w14:paraId="2AE79180" w14:textId="6AE6CCD8" w:rsidR="00775ED7" w:rsidRDefault="00775ED7" w:rsidP="00775ED7">
      <w:pPr>
        <w:pStyle w:val="Ttulo"/>
        <w:jc w:val="both"/>
        <w:rPr>
          <w:rFonts w:cs="Arial"/>
          <w:b w:val="0"/>
          <w:bCs/>
          <w:spacing w:val="10"/>
          <w:sz w:val="22"/>
          <w:szCs w:val="22"/>
          <w:lang w:val="es-ES_tradnl"/>
        </w:rPr>
      </w:pPr>
      <w:r>
        <w:rPr>
          <w:rFonts w:cs="Arial"/>
          <w:b w:val="0"/>
          <w:bCs/>
          <w:spacing w:val="10"/>
          <w:sz w:val="22"/>
          <w:szCs w:val="22"/>
          <w:lang w:val="es-ES_tradnl"/>
        </w:rPr>
        <w:t xml:space="preserve">La informalidad laboral, es decir, los ocupados </w:t>
      </w:r>
      <w:r w:rsidRPr="0004410C">
        <w:rPr>
          <w:rFonts w:cs="Arial"/>
          <w:b w:val="0"/>
          <w:bCs/>
          <w:spacing w:val="10"/>
          <w:sz w:val="22"/>
          <w:szCs w:val="22"/>
          <w:lang w:val="es-ES_tradnl"/>
        </w:rPr>
        <w:t xml:space="preserve">que son laboralmente vulnerables </w:t>
      </w:r>
      <w:r>
        <w:rPr>
          <w:rFonts w:cs="Arial"/>
          <w:b w:val="0"/>
          <w:bCs/>
          <w:spacing w:val="10"/>
          <w:sz w:val="22"/>
          <w:szCs w:val="22"/>
          <w:lang w:val="es-ES_tradnl"/>
        </w:rPr>
        <w:t xml:space="preserve">considerando la naturaleza de la </w:t>
      </w:r>
      <w:r w:rsidRPr="0004410C">
        <w:rPr>
          <w:rFonts w:cs="Arial"/>
          <w:b w:val="0"/>
          <w:bCs/>
          <w:spacing w:val="10"/>
          <w:sz w:val="22"/>
          <w:szCs w:val="22"/>
          <w:lang w:val="es-ES_tradnl"/>
        </w:rPr>
        <w:t>unidad económica para la que trabajan</w:t>
      </w:r>
      <w:r>
        <w:rPr>
          <w:rFonts w:cs="Arial"/>
          <w:b w:val="0"/>
          <w:bCs/>
          <w:spacing w:val="10"/>
          <w:sz w:val="22"/>
          <w:szCs w:val="22"/>
          <w:lang w:val="es-ES_tradnl"/>
        </w:rPr>
        <w:t xml:space="preserve"> y/o el </w:t>
      </w:r>
      <w:r w:rsidRPr="0004410C">
        <w:rPr>
          <w:rFonts w:cs="Arial"/>
          <w:b w:val="0"/>
          <w:bCs/>
          <w:spacing w:val="10"/>
          <w:sz w:val="22"/>
          <w:szCs w:val="22"/>
          <w:lang w:val="es-ES_tradnl"/>
        </w:rPr>
        <w:t xml:space="preserve">vínculo laboral </w:t>
      </w:r>
      <w:r>
        <w:rPr>
          <w:rFonts w:cs="Arial"/>
          <w:b w:val="0"/>
          <w:bCs/>
          <w:spacing w:val="10"/>
          <w:sz w:val="22"/>
          <w:szCs w:val="22"/>
          <w:lang w:val="es-ES_tradnl"/>
        </w:rPr>
        <w:t xml:space="preserve">con la unidad empleadora, las ciudades de Tlaxcala con </w:t>
      </w:r>
      <w:r w:rsidR="001C50A0">
        <w:rPr>
          <w:rFonts w:cs="Arial"/>
          <w:b w:val="0"/>
          <w:bCs/>
          <w:spacing w:val="10"/>
          <w:sz w:val="22"/>
          <w:szCs w:val="22"/>
          <w:lang w:val="es-ES_tradnl"/>
        </w:rPr>
        <w:t>63.7</w:t>
      </w:r>
      <w:r>
        <w:rPr>
          <w:rFonts w:cs="Arial"/>
          <w:b w:val="0"/>
          <w:bCs/>
          <w:spacing w:val="10"/>
          <w:sz w:val="22"/>
          <w:szCs w:val="22"/>
          <w:lang w:val="es-ES_tradnl"/>
        </w:rPr>
        <w:t xml:space="preserve">% y Acapulco con </w:t>
      </w:r>
      <w:r w:rsidR="001C50A0">
        <w:rPr>
          <w:rFonts w:cs="Arial"/>
          <w:b w:val="0"/>
          <w:bCs/>
          <w:spacing w:val="10"/>
          <w:sz w:val="22"/>
          <w:szCs w:val="22"/>
          <w:lang w:val="es-ES_tradnl"/>
        </w:rPr>
        <w:t>63.2</w:t>
      </w:r>
      <w:r>
        <w:rPr>
          <w:rFonts w:cs="Arial"/>
          <w:b w:val="0"/>
          <w:bCs/>
          <w:spacing w:val="10"/>
          <w:sz w:val="22"/>
          <w:szCs w:val="22"/>
          <w:lang w:val="es-ES_tradnl"/>
        </w:rPr>
        <w:t xml:space="preserve">% se colocaron como las ciudades con mayores niveles de ocupación </w:t>
      </w:r>
      <w:r>
        <w:rPr>
          <w:rFonts w:cs="Arial"/>
          <w:b w:val="0"/>
          <w:bCs/>
          <w:spacing w:val="10"/>
          <w:sz w:val="22"/>
          <w:szCs w:val="22"/>
          <w:lang w:val="es-ES_tradnl"/>
        </w:rPr>
        <w:lastRenderedPageBreak/>
        <w:t xml:space="preserve">informal; más del doble, comparadas con las ciudades de Saltillo </w:t>
      </w:r>
      <w:r w:rsidR="001C50A0">
        <w:rPr>
          <w:rFonts w:cs="Arial"/>
          <w:b w:val="0"/>
          <w:bCs/>
          <w:spacing w:val="10"/>
          <w:sz w:val="22"/>
          <w:szCs w:val="22"/>
          <w:lang w:val="es-ES_tradnl"/>
        </w:rPr>
        <w:t xml:space="preserve">y Ciudad Juárez </w:t>
      </w:r>
      <w:r>
        <w:rPr>
          <w:rFonts w:cs="Arial"/>
          <w:b w:val="0"/>
          <w:bCs/>
          <w:spacing w:val="10"/>
          <w:sz w:val="22"/>
          <w:szCs w:val="22"/>
          <w:lang w:val="es-ES_tradnl"/>
        </w:rPr>
        <w:t>(</w:t>
      </w:r>
      <w:r w:rsidR="001C50A0">
        <w:rPr>
          <w:rFonts w:cs="Arial"/>
          <w:b w:val="0"/>
          <w:bCs/>
          <w:spacing w:val="10"/>
          <w:sz w:val="22"/>
          <w:szCs w:val="22"/>
          <w:lang w:val="es-ES_tradnl"/>
        </w:rPr>
        <w:t>26.3</w:t>
      </w:r>
      <w:r>
        <w:rPr>
          <w:rFonts w:cs="Arial"/>
          <w:b w:val="0"/>
          <w:bCs/>
          <w:spacing w:val="10"/>
          <w:sz w:val="22"/>
          <w:szCs w:val="22"/>
          <w:lang w:val="es-ES_tradnl"/>
        </w:rPr>
        <w:t>%)</w:t>
      </w:r>
      <w:r w:rsidR="00E67D43">
        <w:rPr>
          <w:rFonts w:cs="Arial"/>
          <w:b w:val="0"/>
          <w:bCs/>
          <w:spacing w:val="10"/>
          <w:sz w:val="22"/>
          <w:szCs w:val="22"/>
          <w:lang w:val="es-ES_tradnl"/>
        </w:rPr>
        <w:t xml:space="preserve"> y</w:t>
      </w:r>
      <w:r>
        <w:rPr>
          <w:rFonts w:cs="Arial"/>
          <w:b w:val="0"/>
          <w:bCs/>
          <w:spacing w:val="10"/>
          <w:sz w:val="22"/>
          <w:szCs w:val="22"/>
          <w:lang w:val="es-ES_tradnl"/>
        </w:rPr>
        <w:t xml:space="preserve"> Chihuahua (</w:t>
      </w:r>
      <w:r w:rsidR="001C50A0">
        <w:rPr>
          <w:rFonts w:cs="Arial"/>
          <w:b w:val="0"/>
          <w:bCs/>
          <w:spacing w:val="10"/>
          <w:sz w:val="22"/>
          <w:szCs w:val="22"/>
          <w:lang w:val="es-ES_tradnl"/>
        </w:rPr>
        <w:t>28.9</w:t>
      </w:r>
      <w:r>
        <w:rPr>
          <w:rFonts w:cs="Arial"/>
          <w:b w:val="0"/>
          <w:bCs/>
          <w:spacing w:val="10"/>
          <w:sz w:val="22"/>
          <w:szCs w:val="22"/>
          <w:lang w:val="es-ES_tradnl"/>
        </w:rPr>
        <w:t>%), las cuales reportaron los porcentajes de ocupación informal menores.</w:t>
      </w:r>
    </w:p>
    <w:p w14:paraId="10C5999E" w14:textId="77777777" w:rsidR="00775ED7" w:rsidRDefault="00775ED7" w:rsidP="00775ED7">
      <w:pPr>
        <w:pStyle w:val="Ttulo"/>
        <w:jc w:val="both"/>
        <w:rPr>
          <w:rFonts w:cs="Arial"/>
          <w:b w:val="0"/>
          <w:bCs/>
          <w:spacing w:val="10"/>
          <w:sz w:val="22"/>
          <w:szCs w:val="22"/>
          <w:lang w:val="es-ES_tradnl"/>
        </w:rPr>
      </w:pPr>
    </w:p>
    <w:p w14:paraId="4ADBF366" w14:textId="7ECDCB0A" w:rsidR="00775ED7" w:rsidRDefault="00775ED7" w:rsidP="00775ED7">
      <w:pPr>
        <w:pStyle w:val="Ttulo"/>
        <w:jc w:val="both"/>
        <w:rPr>
          <w:rFonts w:cs="Arial"/>
          <w:b w:val="0"/>
          <w:bCs/>
          <w:spacing w:val="10"/>
          <w:sz w:val="22"/>
          <w:szCs w:val="22"/>
          <w:lang w:val="es-ES_tradnl"/>
        </w:rPr>
      </w:pPr>
      <w:r>
        <w:rPr>
          <w:rFonts w:cs="Arial"/>
          <w:b w:val="0"/>
          <w:bCs/>
          <w:spacing w:val="10"/>
          <w:sz w:val="22"/>
          <w:szCs w:val="22"/>
          <w:lang w:val="es-ES_tradnl"/>
        </w:rPr>
        <w:t xml:space="preserve">En relación con la subutilización de la fuerza de trabajo; es decir, el porcentaje de la fuerza de trabajo ampliada </w:t>
      </w:r>
      <w:r w:rsidRPr="00C66AEC">
        <w:rPr>
          <w:rFonts w:cs="Arial"/>
          <w:b w:val="0"/>
          <w:bCs/>
          <w:spacing w:val="10"/>
          <w:sz w:val="22"/>
          <w:szCs w:val="22"/>
          <w:lang w:val="es-ES_tradnl"/>
        </w:rPr>
        <w:t xml:space="preserve">(población económicamente activa más población no económicamente activa disponible para trabajar) que representan los desocupados, </w:t>
      </w:r>
      <w:proofErr w:type="spellStart"/>
      <w:r w:rsidRPr="00C66AEC">
        <w:rPr>
          <w:rFonts w:cs="Arial"/>
          <w:b w:val="0"/>
          <w:bCs/>
          <w:spacing w:val="10"/>
          <w:sz w:val="22"/>
          <w:szCs w:val="22"/>
          <w:lang w:val="es-ES_tradnl"/>
        </w:rPr>
        <w:t>subocupados</w:t>
      </w:r>
      <w:proofErr w:type="spellEnd"/>
      <w:r w:rsidRPr="00C66AEC">
        <w:rPr>
          <w:rFonts w:cs="Arial"/>
          <w:b w:val="0"/>
          <w:bCs/>
          <w:spacing w:val="10"/>
          <w:sz w:val="22"/>
          <w:szCs w:val="22"/>
          <w:lang w:val="es-ES_tradnl"/>
        </w:rPr>
        <w:t xml:space="preserve"> y no económicamente activos disponibles para trabajar</w:t>
      </w:r>
      <w:r w:rsidR="009960A8">
        <w:rPr>
          <w:rFonts w:cs="Arial"/>
          <w:b w:val="0"/>
          <w:bCs/>
          <w:spacing w:val="10"/>
          <w:sz w:val="22"/>
          <w:szCs w:val="22"/>
          <w:lang w:val="es-ES_tradnl"/>
        </w:rPr>
        <w:t>,</w:t>
      </w:r>
      <w:r w:rsidRPr="00C66AEC">
        <w:rPr>
          <w:rFonts w:cs="Arial"/>
          <w:b w:val="0"/>
          <w:bCs/>
          <w:spacing w:val="10"/>
          <w:sz w:val="22"/>
          <w:szCs w:val="22"/>
          <w:lang w:val="es-ES_tradnl"/>
        </w:rPr>
        <w:t xml:space="preserve"> </w:t>
      </w:r>
      <w:r w:rsidR="00C14D5A">
        <w:rPr>
          <w:rFonts w:cs="Arial"/>
          <w:b w:val="0"/>
          <w:bCs/>
          <w:spacing w:val="10"/>
          <w:sz w:val="22"/>
          <w:szCs w:val="22"/>
          <w:lang w:val="es-ES_tradnl"/>
        </w:rPr>
        <w:t>Ciudad del Carme</w:t>
      </w:r>
      <w:r w:rsidR="00C96045">
        <w:rPr>
          <w:rFonts w:cs="Arial"/>
          <w:b w:val="0"/>
          <w:bCs/>
          <w:spacing w:val="10"/>
          <w:sz w:val="22"/>
          <w:szCs w:val="22"/>
          <w:lang w:val="es-ES_tradnl"/>
        </w:rPr>
        <w:t>n</w:t>
      </w:r>
      <w:r w:rsidR="00C14D5A" w:rsidRPr="00C66AEC">
        <w:rPr>
          <w:rFonts w:cs="Arial"/>
          <w:b w:val="0"/>
          <w:bCs/>
          <w:spacing w:val="10"/>
          <w:sz w:val="22"/>
          <w:szCs w:val="22"/>
          <w:lang w:val="es-ES_tradnl"/>
        </w:rPr>
        <w:t xml:space="preserve"> </w:t>
      </w:r>
      <w:r w:rsidRPr="00C66AEC">
        <w:rPr>
          <w:rFonts w:cs="Arial"/>
          <w:b w:val="0"/>
          <w:bCs/>
          <w:spacing w:val="10"/>
          <w:sz w:val="22"/>
          <w:szCs w:val="22"/>
          <w:lang w:val="es-ES_tradnl"/>
        </w:rPr>
        <w:t xml:space="preserve">con </w:t>
      </w:r>
      <w:r>
        <w:rPr>
          <w:rFonts w:cs="Arial"/>
          <w:b w:val="0"/>
          <w:bCs/>
          <w:spacing w:val="10"/>
          <w:sz w:val="22"/>
          <w:szCs w:val="22"/>
          <w:lang w:val="es-ES_tradnl"/>
        </w:rPr>
        <w:t>4</w:t>
      </w:r>
      <w:r w:rsidR="00C14D5A">
        <w:rPr>
          <w:rFonts w:cs="Arial"/>
          <w:b w:val="0"/>
          <w:bCs/>
          <w:spacing w:val="10"/>
          <w:sz w:val="22"/>
          <w:szCs w:val="22"/>
          <w:lang w:val="es-ES_tradnl"/>
        </w:rPr>
        <w:t>2.6</w:t>
      </w:r>
      <w:r w:rsidRPr="00C66AEC">
        <w:rPr>
          <w:rFonts w:cs="Arial"/>
          <w:b w:val="0"/>
          <w:bCs/>
          <w:spacing w:val="10"/>
          <w:sz w:val="22"/>
          <w:szCs w:val="22"/>
          <w:lang w:val="es-ES_tradnl"/>
        </w:rPr>
        <w:t>%</w:t>
      </w:r>
      <w:r>
        <w:rPr>
          <w:rFonts w:cs="Arial"/>
          <w:b w:val="0"/>
          <w:bCs/>
          <w:spacing w:val="10"/>
          <w:sz w:val="22"/>
          <w:szCs w:val="22"/>
          <w:lang w:val="es-ES_tradnl"/>
        </w:rPr>
        <w:t>, la Ciudad de México con 42.</w:t>
      </w:r>
      <w:r w:rsidR="00C14D5A">
        <w:rPr>
          <w:rFonts w:cs="Arial"/>
          <w:b w:val="0"/>
          <w:bCs/>
          <w:spacing w:val="10"/>
          <w:sz w:val="22"/>
          <w:szCs w:val="22"/>
          <w:lang w:val="es-ES_tradnl"/>
        </w:rPr>
        <w:t>3</w:t>
      </w:r>
      <w:r>
        <w:rPr>
          <w:rFonts w:cs="Arial"/>
          <w:b w:val="0"/>
          <w:bCs/>
          <w:spacing w:val="10"/>
          <w:sz w:val="22"/>
          <w:szCs w:val="22"/>
          <w:lang w:val="es-ES_tradnl"/>
        </w:rPr>
        <w:t>% y</w:t>
      </w:r>
      <w:r w:rsidRPr="00C66AEC">
        <w:rPr>
          <w:rFonts w:cs="Arial"/>
          <w:b w:val="0"/>
          <w:bCs/>
          <w:spacing w:val="10"/>
          <w:sz w:val="22"/>
          <w:szCs w:val="22"/>
          <w:lang w:val="es-ES_tradnl"/>
        </w:rPr>
        <w:t xml:space="preserve"> </w:t>
      </w:r>
      <w:r w:rsidR="00C14D5A">
        <w:rPr>
          <w:rFonts w:cs="Arial"/>
          <w:b w:val="0"/>
          <w:bCs/>
          <w:spacing w:val="10"/>
          <w:sz w:val="22"/>
          <w:szCs w:val="22"/>
          <w:lang w:val="es-ES_tradnl"/>
        </w:rPr>
        <w:t>Coatzacoalcos</w:t>
      </w:r>
      <w:r w:rsidRPr="00C66AEC">
        <w:rPr>
          <w:rFonts w:cs="Arial"/>
          <w:b w:val="0"/>
          <w:bCs/>
          <w:spacing w:val="10"/>
          <w:sz w:val="22"/>
          <w:szCs w:val="22"/>
          <w:lang w:val="es-ES_tradnl"/>
        </w:rPr>
        <w:t xml:space="preserve"> con </w:t>
      </w:r>
      <w:r w:rsidR="00C14D5A">
        <w:rPr>
          <w:rFonts w:cs="Arial"/>
          <w:b w:val="0"/>
          <w:bCs/>
          <w:spacing w:val="10"/>
          <w:sz w:val="22"/>
          <w:szCs w:val="22"/>
          <w:lang w:val="es-ES_tradnl"/>
        </w:rPr>
        <w:t>39.1</w:t>
      </w:r>
      <w:r w:rsidRPr="00C66AEC">
        <w:rPr>
          <w:rFonts w:cs="Arial"/>
          <w:b w:val="0"/>
          <w:bCs/>
          <w:spacing w:val="10"/>
          <w:sz w:val="22"/>
          <w:szCs w:val="22"/>
          <w:lang w:val="es-ES_tradnl"/>
        </w:rPr>
        <w:t xml:space="preserve">% </w:t>
      </w:r>
      <w:r>
        <w:rPr>
          <w:rFonts w:cs="Arial"/>
          <w:b w:val="0"/>
          <w:bCs/>
          <w:spacing w:val="10"/>
          <w:sz w:val="22"/>
          <w:szCs w:val="22"/>
          <w:lang w:val="es-ES_tradnl"/>
        </w:rPr>
        <w:t>reportaron</w:t>
      </w:r>
      <w:r w:rsidRPr="00C66AEC">
        <w:rPr>
          <w:rFonts w:cs="Arial"/>
          <w:b w:val="0"/>
          <w:bCs/>
          <w:spacing w:val="10"/>
          <w:sz w:val="22"/>
          <w:szCs w:val="22"/>
          <w:lang w:val="es-ES_tradnl"/>
        </w:rPr>
        <w:t xml:space="preserve"> las mayores tasas de subutilización de la fuerza de trabajo</w:t>
      </w:r>
      <w:r>
        <w:rPr>
          <w:rFonts w:cs="Arial"/>
          <w:b w:val="0"/>
          <w:bCs/>
          <w:spacing w:val="10"/>
          <w:sz w:val="22"/>
          <w:szCs w:val="22"/>
          <w:lang w:val="es-ES_tradnl"/>
        </w:rPr>
        <w:t>, frente a las ciudades de Saltillo</w:t>
      </w:r>
      <w:r w:rsidRPr="00C66AEC">
        <w:rPr>
          <w:rFonts w:cs="Arial"/>
          <w:b w:val="0"/>
          <w:bCs/>
          <w:spacing w:val="10"/>
          <w:sz w:val="22"/>
          <w:szCs w:val="22"/>
          <w:lang w:val="es-ES_tradnl"/>
        </w:rPr>
        <w:t xml:space="preserve"> con </w:t>
      </w:r>
      <w:r w:rsidR="00C14D5A">
        <w:rPr>
          <w:rFonts w:cs="Arial"/>
          <w:b w:val="0"/>
          <w:bCs/>
          <w:spacing w:val="10"/>
          <w:sz w:val="22"/>
          <w:szCs w:val="22"/>
          <w:lang w:val="es-ES_tradnl"/>
        </w:rPr>
        <w:t>13</w:t>
      </w:r>
      <w:r>
        <w:rPr>
          <w:rFonts w:cs="Arial"/>
          <w:b w:val="0"/>
          <w:bCs/>
          <w:spacing w:val="10"/>
          <w:sz w:val="22"/>
          <w:szCs w:val="22"/>
          <w:lang w:val="es-ES_tradnl"/>
        </w:rPr>
        <w:t>.1</w:t>
      </w:r>
      <w:r w:rsidRPr="00C66AEC">
        <w:rPr>
          <w:rFonts w:cs="Arial"/>
          <w:b w:val="0"/>
          <w:bCs/>
          <w:spacing w:val="10"/>
          <w:sz w:val="22"/>
          <w:szCs w:val="22"/>
          <w:lang w:val="es-ES_tradnl"/>
        </w:rPr>
        <w:t>%</w:t>
      </w:r>
      <w:r>
        <w:rPr>
          <w:rFonts w:cs="Arial"/>
          <w:b w:val="0"/>
          <w:bCs/>
          <w:spacing w:val="10"/>
          <w:sz w:val="22"/>
          <w:szCs w:val="22"/>
          <w:lang w:val="es-ES_tradnl"/>
        </w:rPr>
        <w:t xml:space="preserve">, </w:t>
      </w:r>
      <w:r w:rsidRPr="00C66AEC">
        <w:rPr>
          <w:rFonts w:cs="Arial"/>
          <w:b w:val="0"/>
          <w:bCs/>
          <w:spacing w:val="10"/>
          <w:sz w:val="22"/>
          <w:szCs w:val="22"/>
          <w:lang w:val="es-ES_tradnl"/>
        </w:rPr>
        <w:t xml:space="preserve">Aguascalientes con </w:t>
      </w:r>
      <w:r w:rsidR="00C14D5A">
        <w:rPr>
          <w:rFonts w:cs="Arial"/>
          <w:b w:val="0"/>
          <w:bCs/>
          <w:spacing w:val="10"/>
          <w:sz w:val="22"/>
          <w:szCs w:val="22"/>
          <w:lang w:val="es-ES_tradnl"/>
        </w:rPr>
        <w:t>16.4</w:t>
      </w:r>
      <w:r>
        <w:rPr>
          <w:rFonts w:cs="Arial"/>
          <w:b w:val="0"/>
          <w:bCs/>
          <w:spacing w:val="10"/>
          <w:sz w:val="22"/>
          <w:szCs w:val="22"/>
          <w:lang w:val="es-ES_tradnl"/>
        </w:rPr>
        <w:t>%</w:t>
      </w:r>
      <w:r w:rsidR="00C14D5A">
        <w:rPr>
          <w:rFonts w:cs="Arial"/>
          <w:b w:val="0"/>
          <w:bCs/>
          <w:spacing w:val="10"/>
          <w:sz w:val="22"/>
          <w:szCs w:val="22"/>
          <w:lang w:val="es-ES_tradnl"/>
        </w:rPr>
        <w:t xml:space="preserve"> y Ciudad Juárez con 17.6%</w:t>
      </w:r>
      <w:r w:rsidRPr="00C66AEC">
        <w:rPr>
          <w:rFonts w:cs="Arial"/>
          <w:b w:val="0"/>
          <w:bCs/>
          <w:spacing w:val="10"/>
          <w:sz w:val="22"/>
          <w:szCs w:val="22"/>
          <w:lang w:val="es-ES_tradnl"/>
        </w:rPr>
        <w:t xml:space="preserve">, </w:t>
      </w:r>
      <w:r>
        <w:rPr>
          <w:rFonts w:cs="Arial"/>
          <w:b w:val="0"/>
          <w:bCs/>
          <w:spacing w:val="10"/>
          <w:sz w:val="22"/>
          <w:szCs w:val="22"/>
          <w:lang w:val="es-ES_tradnl"/>
        </w:rPr>
        <w:t>las cuales registraron</w:t>
      </w:r>
      <w:r w:rsidRPr="00C66AEC">
        <w:rPr>
          <w:rFonts w:cs="Arial"/>
          <w:b w:val="0"/>
          <w:bCs/>
          <w:spacing w:val="10"/>
          <w:sz w:val="22"/>
          <w:szCs w:val="22"/>
          <w:lang w:val="es-ES_tradnl"/>
        </w:rPr>
        <w:t xml:space="preserve"> las tasas más bajas en el periodo.</w:t>
      </w:r>
    </w:p>
    <w:p w14:paraId="15151DA4" w14:textId="77777777" w:rsidR="00775ED7" w:rsidRDefault="00775ED7" w:rsidP="00775ED7">
      <w:pPr>
        <w:pStyle w:val="Ttulo"/>
        <w:jc w:val="both"/>
        <w:rPr>
          <w:rFonts w:cs="Arial"/>
          <w:b w:val="0"/>
          <w:bCs/>
          <w:spacing w:val="10"/>
          <w:sz w:val="22"/>
          <w:szCs w:val="22"/>
          <w:lang w:val="es-ES_tradnl"/>
        </w:rPr>
      </w:pPr>
    </w:p>
    <w:p w14:paraId="479C1532" w14:textId="77777777" w:rsidR="00775ED7" w:rsidRDefault="00775ED7">
      <w:pPr>
        <w:rPr>
          <w:rFonts w:ascii="Arial" w:eastAsia="Times New Roman" w:hAnsi="Arial" w:cs="Arial"/>
          <w:b/>
          <w:smallCaps/>
          <w:lang w:val="es-ES_tradnl" w:eastAsia="es-ES"/>
        </w:rPr>
      </w:pPr>
      <w:r>
        <w:rPr>
          <w:b/>
          <w:smallCaps/>
        </w:rPr>
        <w:br w:type="page"/>
      </w:r>
    </w:p>
    <w:p w14:paraId="3D1E5BF4" w14:textId="1942BA0F" w:rsidR="007D715A" w:rsidRDefault="007D715A" w:rsidP="009749DA">
      <w:pPr>
        <w:pStyle w:val="n0"/>
        <w:keepLines w:val="0"/>
        <w:spacing w:before="0"/>
        <w:ind w:left="0" w:right="49" w:firstLine="0"/>
        <w:jc w:val="center"/>
        <w:rPr>
          <w:b/>
          <w:smallCaps/>
          <w:color w:val="auto"/>
          <w:sz w:val="22"/>
          <w:szCs w:val="22"/>
        </w:rPr>
      </w:pPr>
      <w:r w:rsidRPr="007E2E7F">
        <w:rPr>
          <w:b/>
          <w:smallCaps/>
          <w:color w:val="auto"/>
          <w:sz w:val="22"/>
          <w:szCs w:val="22"/>
        </w:rPr>
        <w:lastRenderedPageBreak/>
        <w:t>Población y Tasas complementarias de ocupación y desocupación</w:t>
      </w:r>
      <w:r w:rsidRPr="007E2E7F">
        <w:rPr>
          <w:b/>
          <w:smallCaps/>
          <w:color w:val="auto"/>
          <w:sz w:val="22"/>
          <w:szCs w:val="22"/>
        </w:rPr>
        <w:br/>
        <w:t xml:space="preserve">por </w:t>
      </w:r>
      <w:r w:rsidR="008031AA" w:rsidRPr="007E2E7F">
        <w:rPr>
          <w:b/>
          <w:smallCaps/>
          <w:color w:val="auto"/>
          <w:sz w:val="22"/>
          <w:szCs w:val="22"/>
        </w:rPr>
        <w:t>ciudades</w:t>
      </w:r>
      <w:r w:rsidRPr="007E2E7F">
        <w:rPr>
          <w:b/>
          <w:smallCaps/>
          <w:color w:val="auto"/>
          <w:sz w:val="22"/>
          <w:szCs w:val="22"/>
        </w:rPr>
        <w:t xml:space="preserve"> durante el </w:t>
      </w:r>
      <w:r w:rsidR="00177B20" w:rsidRPr="007E2E7F">
        <w:rPr>
          <w:b/>
          <w:smallCaps/>
          <w:color w:val="auto"/>
          <w:sz w:val="22"/>
          <w:szCs w:val="22"/>
        </w:rPr>
        <w:t>primer</w:t>
      </w:r>
      <w:r w:rsidRPr="007E2E7F">
        <w:rPr>
          <w:b/>
          <w:smallCaps/>
          <w:color w:val="auto"/>
          <w:sz w:val="22"/>
          <w:szCs w:val="22"/>
        </w:rPr>
        <w:t xml:space="preserve"> trimestre de </w:t>
      </w:r>
      <w:r w:rsidR="00177B20" w:rsidRPr="007E2E7F">
        <w:rPr>
          <w:b/>
          <w:smallCaps/>
          <w:color w:val="auto"/>
          <w:sz w:val="22"/>
          <w:szCs w:val="22"/>
        </w:rPr>
        <w:t>2021</w:t>
      </w:r>
    </w:p>
    <w:tbl>
      <w:tblPr>
        <w:tblW w:w="11482" w:type="dxa"/>
        <w:tblInd w:w="-1144" w:type="dxa"/>
        <w:tblLayout w:type="fixed"/>
        <w:tblCellMar>
          <w:left w:w="70" w:type="dxa"/>
          <w:right w:w="70" w:type="dxa"/>
        </w:tblCellMar>
        <w:tblLook w:val="04A0" w:firstRow="1" w:lastRow="0" w:firstColumn="1" w:lastColumn="0" w:noHBand="0" w:noVBand="1"/>
      </w:tblPr>
      <w:tblGrid>
        <w:gridCol w:w="1701"/>
        <w:gridCol w:w="993"/>
        <w:gridCol w:w="992"/>
        <w:gridCol w:w="850"/>
        <w:gridCol w:w="849"/>
        <w:gridCol w:w="852"/>
        <w:gridCol w:w="709"/>
        <w:gridCol w:w="709"/>
        <w:gridCol w:w="709"/>
        <w:gridCol w:w="850"/>
        <w:gridCol w:w="709"/>
        <w:gridCol w:w="709"/>
        <w:gridCol w:w="850"/>
      </w:tblGrid>
      <w:tr w:rsidR="00831EED" w:rsidRPr="00E22622" w14:paraId="03A28E03" w14:textId="77777777" w:rsidTr="00831EED">
        <w:trPr>
          <w:trHeight w:val="244"/>
        </w:trPr>
        <w:tc>
          <w:tcPr>
            <w:tcW w:w="1701" w:type="dxa"/>
            <w:vMerge w:val="restart"/>
            <w:tcBorders>
              <w:top w:val="single" w:sz="8" w:space="0" w:color="376091"/>
              <w:left w:val="single" w:sz="8" w:space="0" w:color="376091"/>
              <w:bottom w:val="single" w:sz="8" w:space="0" w:color="376091"/>
              <w:right w:val="single" w:sz="8" w:space="0" w:color="376091"/>
            </w:tcBorders>
            <w:shd w:val="clear" w:color="000000" w:fill="ABC3DF"/>
            <w:vAlign w:val="center"/>
            <w:hideMark/>
          </w:tcPr>
          <w:p w14:paraId="656E5388" w14:textId="77777777" w:rsidR="00831EED" w:rsidRPr="00E7630F" w:rsidRDefault="00831EED" w:rsidP="00831EED">
            <w:pPr>
              <w:spacing w:after="0" w:line="240" w:lineRule="auto"/>
              <w:jc w:val="center"/>
              <w:rPr>
                <w:rFonts w:ascii="Arial" w:eastAsia="Times New Roman" w:hAnsi="Arial" w:cs="Arial"/>
                <w:b/>
                <w:bCs/>
                <w:color w:val="000000"/>
                <w:sz w:val="16"/>
                <w:szCs w:val="16"/>
                <w:lang w:eastAsia="es-MX"/>
              </w:rPr>
            </w:pPr>
            <w:r w:rsidRPr="00E7630F">
              <w:rPr>
                <w:rFonts w:ascii="Arial" w:eastAsia="Times New Roman" w:hAnsi="Arial" w:cs="Arial"/>
                <w:b/>
                <w:bCs/>
                <w:color w:val="000000"/>
                <w:sz w:val="16"/>
                <w:szCs w:val="16"/>
                <w:lang w:eastAsia="es-MX"/>
              </w:rPr>
              <w:t>Ciudad</w:t>
            </w:r>
          </w:p>
        </w:tc>
        <w:tc>
          <w:tcPr>
            <w:tcW w:w="1985" w:type="dxa"/>
            <w:gridSpan w:val="2"/>
            <w:tcBorders>
              <w:top w:val="single" w:sz="8" w:space="0" w:color="376091"/>
              <w:left w:val="nil"/>
              <w:bottom w:val="single" w:sz="8" w:space="0" w:color="376091"/>
              <w:right w:val="single" w:sz="8" w:space="0" w:color="376091"/>
            </w:tcBorders>
            <w:shd w:val="clear" w:color="000000" w:fill="ABC3DF"/>
            <w:noWrap/>
            <w:vAlign w:val="center"/>
            <w:hideMark/>
          </w:tcPr>
          <w:p w14:paraId="54877E91" w14:textId="77777777" w:rsidR="00831EED" w:rsidRPr="00E7630F" w:rsidRDefault="00831EED" w:rsidP="00831EED">
            <w:pPr>
              <w:spacing w:after="0" w:line="240" w:lineRule="auto"/>
              <w:jc w:val="center"/>
              <w:rPr>
                <w:rFonts w:ascii="Arial" w:eastAsia="Times New Roman" w:hAnsi="Arial" w:cs="Arial"/>
                <w:b/>
                <w:bCs/>
                <w:color w:val="000000"/>
                <w:sz w:val="18"/>
                <w:szCs w:val="18"/>
                <w:lang w:eastAsia="es-MX"/>
              </w:rPr>
            </w:pPr>
            <w:r w:rsidRPr="00E7630F">
              <w:rPr>
                <w:rFonts w:ascii="Arial" w:eastAsia="Times New Roman" w:hAnsi="Arial" w:cs="Arial"/>
                <w:b/>
                <w:bCs/>
                <w:color w:val="000000"/>
                <w:sz w:val="18"/>
                <w:szCs w:val="18"/>
                <w:lang w:eastAsia="es-MX"/>
              </w:rPr>
              <w:t>Población</w:t>
            </w:r>
          </w:p>
        </w:tc>
        <w:tc>
          <w:tcPr>
            <w:tcW w:w="7796" w:type="dxa"/>
            <w:gridSpan w:val="10"/>
            <w:tcBorders>
              <w:top w:val="single" w:sz="8" w:space="0" w:color="376091"/>
              <w:left w:val="nil"/>
              <w:bottom w:val="single" w:sz="8" w:space="0" w:color="376091"/>
              <w:right w:val="single" w:sz="8" w:space="0" w:color="376091"/>
            </w:tcBorders>
            <w:shd w:val="clear" w:color="000000" w:fill="ABC3DF"/>
            <w:vAlign w:val="center"/>
            <w:hideMark/>
          </w:tcPr>
          <w:p w14:paraId="6D0F6BAC" w14:textId="77777777" w:rsidR="00831EED" w:rsidRPr="00E7630F" w:rsidRDefault="00831EED" w:rsidP="00831EED">
            <w:pPr>
              <w:spacing w:after="0" w:line="240" w:lineRule="auto"/>
              <w:jc w:val="center"/>
              <w:rPr>
                <w:rFonts w:ascii="Arial" w:eastAsia="Times New Roman" w:hAnsi="Arial" w:cs="Arial"/>
                <w:b/>
                <w:bCs/>
                <w:color w:val="000000"/>
                <w:sz w:val="18"/>
                <w:szCs w:val="18"/>
                <w:lang w:eastAsia="es-MX"/>
              </w:rPr>
            </w:pPr>
            <w:r w:rsidRPr="00E7630F">
              <w:rPr>
                <w:rFonts w:ascii="Arial" w:eastAsia="Times New Roman" w:hAnsi="Arial" w:cs="Arial"/>
                <w:b/>
                <w:bCs/>
                <w:color w:val="000000"/>
                <w:sz w:val="18"/>
                <w:szCs w:val="18"/>
                <w:lang w:eastAsia="es-MX"/>
              </w:rPr>
              <w:t>Tasa de:</w:t>
            </w:r>
          </w:p>
        </w:tc>
      </w:tr>
      <w:tr w:rsidR="00831EED" w:rsidRPr="00E22622" w14:paraId="791E6892" w14:textId="77777777" w:rsidTr="00831EED">
        <w:trPr>
          <w:trHeight w:val="814"/>
        </w:trPr>
        <w:tc>
          <w:tcPr>
            <w:tcW w:w="1701" w:type="dxa"/>
            <w:vMerge/>
            <w:tcBorders>
              <w:top w:val="single" w:sz="8" w:space="0" w:color="376091"/>
              <w:left w:val="single" w:sz="8" w:space="0" w:color="376091"/>
              <w:bottom w:val="single" w:sz="8" w:space="0" w:color="376091"/>
              <w:right w:val="single" w:sz="8" w:space="0" w:color="376091"/>
            </w:tcBorders>
            <w:vAlign w:val="center"/>
            <w:hideMark/>
          </w:tcPr>
          <w:p w14:paraId="0E2ECB8E" w14:textId="77777777" w:rsidR="00831EED" w:rsidRPr="00EA6098" w:rsidRDefault="00831EED" w:rsidP="00831EED">
            <w:pPr>
              <w:spacing w:after="0" w:line="240" w:lineRule="auto"/>
              <w:rPr>
                <w:rFonts w:ascii="Arial" w:eastAsia="Times New Roman" w:hAnsi="Arial" w:cs="Arial"/>
                <w:bCs/>
                <w:color w:val="000000"/>
                <w:sz w:val="16"/>
                <w:szCs w:val="16"/>
                <w:lang w:eastAsia="es-MX"/>
              </w:rPr>
            </w:pPr>
          </w:p>
        </w:tc>
        <w:tc>
          <w:tcPr>
            <w:tcW w:w="993" w:type="dxa"/>
            <w:tcBorders>
              <w:top w:val="nil"/>
              <w:left w:val="nil"/>
              <w:bottom w:val="single" w:sz="8" w:space="0" w:color="376091"/>
              <w:right w:val="single" w:sz="8" w:space="0" w:color="376091"/>
            </w:tcBorders>
            <w:shd w:val="clear" w:color="000000" w:fill="ABC3DF"/>
            <w:vAlign w:val="center"/>
            <w:hideMark/>
          </w:tcPr>
          <w:p w14:paraId="3443BE7C" w14:textId="77777777" w:rsidR="00831EED" w:rsidRPr="00EA6098" w:rsidRDefault="00831EED" w:rsidP="00831EED">
            <w:pPr>
              <w:spacing w:after="0" w:line="240" w:lineRule="auto"/>
              <w:jc w:val="center"/>
              <w:rPr>
                <w:rFonts w:ascii="Arial" w:eastAsia="Times New Roman" w:hAnsi="Arial" w:cs="Arial"/>
                <w:bCs/>
                <w:color w:val="000000"/>
                <w:sz w:val="16"/>
                <w:szCs w:val="16"/>
                <w:lang w:eastAsia="es-MX"/>
              </w:rPr>
            </w:pPr>
            <w:r w:rsidRPr="00EA6098">
              <w:rPr>
                <w:rFonts w:ascii="Arial" w:eastAsia="Times New Roman" w:hAnsi="Arial" w:cs="Arial"/>
                <w:bCs/>
                <w:color w:val="000000"/>
                <w:sz w:val="16"/>
                <w:szCs w:val="16"/>
                <w:lang w:eastAsia="es-MX"/>
              </w:rPr>
              <w:t>Ocupada</w:t>
            </w:r>
          </w:p>
        </w:tc>
        <w:tc>
          <w:tcPr>
            <w:tcW w:w="992" w:type="dxa"/>
            <w:tcBorders>
              <w:top w:val="nil"/>
              <w:left w:val="nil"/>
              <w:bottom w:val="single" w:sz="8" w:space="0" w:color="376091"/>
              <w:right w:val="single" w:sz="8" w:space="0" w:color="376091"/>
            </w:tcBorders>
            <w:shd w:val="clear" w:color="000000" w:fill="ABC3DF"/>
            <w:vAlign w:val="center"/>
            <w:hideMark/>
          </w:tcPr>
          <w:p w14:paraId="25EF61DB" w14:textId="77777777" w:rsidR="00831EED" w:rsidRPr="00E22622" w:rsidRDefault="00831EED" w:rsidP="00831EED">
            <w:pPr>
              <w:spacing w:after="0" w:line="240" w:lineRule="auto"/>
              <w:jc w:val="center"/>
              <w:rPr>
                <w:rFonts w:ascii="Arial" w:eastAsia="Times New Roman" w:hAnsi="Arial" w:cs="Arial"/>
                <w:bCs/>
                <w:color w:val="000000"/>
                <w:sz w:val="16"/>
                <w:szCs w:val="16"/>
                <w:lang w:eastAsia="es-MX"/>
              </w:rPr>
            </w:pPr>
            <w:proofErr w:type="spellStart"/>
            <w:r w:rsidRPr="00E22622">
              <w:rPr>
                <w:rFonts w:ascii="Arial" w:eastAsia="Times New Roman" w:hAnsi="Arial" w:cs="Arial"/>
                <w:bCs/>
                <w:color w:val="000000"/>
                <w:sz w:val="16"/>
                <w:szCs w:val="16"/>
                <w:lang w:eastAsia="es-MX"/>
              </w:rPr>
              <w:t>Desocu</w:t>
            </w:r>
            <w:proofErr w:type="spellEnd"/>
            <w:r w:rsidRPr="00E22622">
              <w:rPr>
                <w:rFonts w:ascii="Arial" w:eastAsia="Times New Roman" w:hAnsi="Arial" w:cs="Arial"/>
                <w:bCs/>
                <w:color w:val="000000"/>
                <w:sz w:val="16"/>
                <w:szCs w:val="16"/>
                <w:lang w:eastAsia="es-MX"/>
              </w:rPr>
              <w:t>-pada</w:t>
            </w:r>
          </w:p>
        </w:tc>
        <w:tc>
          <w:tcPr>
            <w:tcW w:w="850" w:type="dxa"/>
            <w:tcBorders>
              <w:top w:val="nil"/>
              <w:left w:val="nil"/>
              <w:bottom w:val="single" w:sz="8" w:space="0" w:color="376091"/>
              <w:right w:val="single" w:sz="8" w:space="0" w:color="376091"/>
            </w:tcBorders>
            <w:shd w:val="clear" w:color="000000" w:fill="ABC3DF"/>
            <w:vAlign w:val="center"/>
            <w:hideMark/>
          </w:tcPr>
          <w:p w14:paraId="6B89DAFC" w14:textId="77777777" w:rsidR="00831EED" w:rsidRPr="00E22622" w:rsidRDefault="00831EED" w:rsidP="00831EED">
            <w:pPr>
              <w:spacing w:after="0" w:line="240" w:lineRule="auto"/>
              <w:jc w:val="center"/>
              <w:rPr>
                <w:rFonts w:ascii="Arial" w:eastAsia="Times New Roman" w:hAnsi="Arial" w:cs="Arial"/>
                <w:bCs/>
                <w:color w:val="000000"/>
                <w:sz w:val="16"/>
                <w:szCs w:val="16"/>
                <w:lang w:eastAsia="es-MX"/>
              </w:rPr>
            </w:pPr>
            <w:r w:rsidRPr="00E22622">
              <w:rPr>
                <w:rFonts w:ascii="Arial" w:eastAsia="Times New Roman" w:hAnsi="Arial" w:cs="Arial"/>
                <w:bCs/>
                <w:color w:val="000000"/>
                <w:sz w:val="16"/>
                <w:szCs w:val="16"/>
                <w:lang w:eastAsia="es-MX"/>
              </w:rPr>
              <w:t>Partici-pación</w:t>
            </w:r>
            <w:r w:rsidRPr="00E22622">
              <w:rPr>
                <w:rFonts w:ascii="Arial" w:eastAsia="Times New Roman" w:hAnsi="Arial" w:cs="Arial"/>
                <w:bCs/>
                <w:color w:val="000000"/>
                <w:sz w:val="18"/>
                <w:szCs w:val="18"/>
                <w:vertAlign w:val="superscript"/>
                <w:lang w:eastAsia="es-MX"/>
              </w:rPr>
              <w:t>1/</w:t>
            </w:r>
          </w:p>
        </w:tc>
        <w:tc>
          <w:tcPr>
            <w:tcW w:w="849" w:type="dxa"/>
            <w:tcBorders>
              <w:top w:val="nil"/>
              <w:left w:val="nil"/>
              <w:bottom w:val="single" w:sz="8" w:space="0" w:color="376091"/>
              <w:right w:val="single" w:sz="8" w:space="0" w:color="376091"/>
            </w:tcBorders>
            <w:shd w:val="clear" w:color="000000" w:fill="ABC3DF"/>
            <w:vAlign w:val="center"/>
            <w:hideMark/>
          </w:tcPr>
          <w:p w14:paraId="22A2D9E1" w14:textId="77777777" w:rsidR="00831EED" w:rsidRPr="00E22622" w:rsidRDefault="00831EED" w:rsidP="00831EED">
            <w:pPr>
              <w:spacing w:after="0" w:line="240" w:lineRule="auto"/>
              <w:jc w:val="center"/>
              <w:rPr>
                <w:rFonts w:ascii="Arial" w:eastAsia="Times New Roman" w:hAnsi="Arial" w:cs="Arial"/>
                <w:bCs/>
                <w:color w:val="000000"/>
                <w:sz w:val="16"/>
                <w:szCs w:val="16"/>
                <w:lang w:eastAsia="es-MX"/>
              </w:rPr>
            </w:pPr>
            <w:r w:rsidRPr="00E22622">
              <w:rPr>
                <w:rFonts w:ascii="Arial" w:eastAsia="Times New Roman" w:hAnsi="Arial" w:cs="Arial"/>
                <w:bCs/>
                <w:color w:val="000000"/>
                <w:sz w:val="16"/>
                <w:szCs w:val="16"/>
                <w:lang w:eastAsia="es-MX"/>
              </w:rPr>
              <w:t>Desocu-pación</w:t>
            </w:r>
            <w:r w:rsidRPr="00E22622">
              <w:rPr>
                <w:rFonts w:ascii="Arial" w:eastAsia="Times New Roman" w:hAnsi="Arial" w:cs="Arial"/>
                <w:bCs/>
                <w:color w:val="000000"/>
                <w:sz w:val="18"/>
                <w:szCs w:val="18"/>
                <w:vertAlign w:val="superscript"/>
                <w:lang w:eastAsia="es-MX"/>
              </w:rPr>
              <w:t>2/</w:t>
            </w:r>
          </w:p>
        </w:tc>
        <w:tc>
          <w:tcPr>
            <w:tcW w:w="852" w:type="dxa"/>
            <w:tcBorders>
              <w:top w:val="nil"/>
              <w:left w:val="nil"/>
              <w:bottom w:val="single" w:sz="8" w:space="0" w:color="376091"/>
              <w:right w:val="single" w:sz="8" w:space="0" w:color="376091"/>
            </w:tcBorders>
            <w:shd w:val="clear" w:color="000000" w:fill="ABC3DF"/>
            <w:vAlign w:val="center"/>
            <w:hideMark/>
          </w:tcPr>
          <w:p w14:paraId="5C8D489B" w14:textId="77777777" w:rsidR="00831EED" w:rsidRPr="00E22622" w:rsidRDefault="00831EED" w:rsidP="00831EED">
            <w:pPr>
              <w:spacing w:after="0" w:line="240" w:lineRule="auto"/>
              <w:jc w:val="center"/>
              <w:rPr>
                <w:rFonts w:ascii="Arial" w:eastAsia="Times New Roman" w:hAnsi="Arial" w:cs="Arial"/>
                <w:bCs/>
                <w:color w:val="000000"/>
                <w:sz w:val="16"/>
                <w:szCs w:val="16"/>
                <w:lang w:eastAsia="es-MX"/>
              </w:rPr>
            </w:pPr>
            <w:r w:rsidRPr="00E22622">
              <w:rPr>
                <w:rFonts w:ascii="Arial" w:eastAsia="Times New Roman" w:hAnsi="Arial" w:cs="Arial"/>
                <w:bCs/>
                <w:color w:val="000000"/>
                <w:sz w:val="16"/>
                <w:szCs w:val="16"/>
                <w:lang w:eastAsia="es-MX"/>
              </w:rPr>
              <w:t>Ocupa</w:t>
            </w:r>
            <w:r>
              <w:rPr>
                <w:rFonts w:ascii="Arial" w:eastAsia="Times New Roman" w:hAnsi="Arial" w:cs="Arial"/>
                <w:bCs/>
                <w:color w:val="000000"/>
                <w:sz w:val="16"/>
                <w:szCs w:val="16"/>
                <w:lang w:eastAsia="es-MX"/>
              </w:rPr>
              <w:t>-</w:t>
            </w:r>
            <w:proofErr w:type="spellStart"/>
            <w:r w:rsidRPr="00E22622">
              <w:rPr>
                <w:rFonts w:ascii="Arial" w:eastAsia="Times New Roman" w:hAnsi="Arial" w:cs="Arial"/>
                <w:bCs/>
                <w:color w:val="000000"/>
                <w:sz w:val="16"/>
                <w:szCs w:val="16"/>
                <w:lang w:eastAsia="es-MX"/>
              </w:rPr>
              <w:t>ción</w:t>
            </w:r>
            <w:proofErr w:type="spellEnd"/>
            <w:r w:rsidRPr="00E22622">
              <w:rPr>
                <w:rFonts w:ascii="Arial" w:eastAsia="Times New Roman" w:hAnsi="Arial" w:cs="Arial"/>
                <w:bCs/>
                <w:color w:val="000000"/>
                <w:sz w:val="16"/>
                <w:szCs w:val="16"/>
                <w:lang w:eastAsia="es-MX"/>
              </w:rPr>
              <w:t xml:space="preserve"> Parcial y Desocu-pación</w:t>
            </w:r>
            <w:r w:rsidRPr="00E22622">
              <w:rPr>
                <w:rFonts w:ascii="Arial" w:eastAsia="Times New Roman" w:hAnsi="Arial" w:cs="Arial"/>
                <w:bCs/>
                <w:color w:val="000000"/>
                <w:sz w:val="18"/>
                <w:szCs w:val="18"/>
                <w:vertAlign w:val="superscript"/>
                <w:lang w:eastAsia="es-MX"/>
              </w:rPr>
              <w:t>2/</w:t>
            </w:r>
          </w:p>
        </w:tc>
        <w:tc>
          <w:tcPr>
            <w:tcW w:w="709" w:type="dxa"/>
            <w:tcBorders>
              <w:top w:val="nil"/>
              <w:left w:val="nil"/>
              <w:bottom w:val="single" w:sz="8" w:space="0" w:color="376091"/>
              <w:right w:val="single" w:sz="8" w:space="0" w:color="376091"/>
            </w:tcBorders>
            <w:shd w:val="clear" w:color="000000" w:fill="ABC3DF"/>
            <w:vAlign w:val="center"/>
            <w:hideMark/>
          </w:tcPr>
          <w:p w14:paraId="3327412B" w14:textId="77777777" w:rsidR="00831EED" w:rsidRPr="00E22622" w:rsidRDefault="00831EED" w:rsidP="00831EED">
            <w:pPr>
              <w:spacing w:after="0" w:line="240" w:lineRule="auto"/>
              <w:jc w:val="center"/>
              <w:rPr>
                <w:rFonts w:ascii="Arial" w:eastAsia="Times New Roman" w:hAnsi="Arial" w:cs="Arial"/>
                <w:bCs/>
                <w:color w:val="000000"/>
                <w:sz w:val="16"/>
                <w:szCs w:val="16"/>
                <w:lang w:eastAsia="es-MX"/>
              </w:rPr>
            </w:pPr>
            <w:r w:rsidRPr="00E22622">
              <w:rPr>
                <w:rFonts w:ascii="Arial" w:eastAsia="Times New Roman" w:hAnsi="Arial" w:cs="Arial"/>
                <w:bCs/>
                <w:color w:val="000000"/>
                <w:sz w:val="16"/>
                <w:szCs w:val="16"/>
                <w:lang w:eastAsia="es-MX"/>
              </w:rPr>
              <w:t>Presión Gener</w:t>
            </w:r>
            <w:r>
              <w:rPr>
                <w:rFonts w:ascii="Arial" w:eastAsia="Times New Roman" w:hAnsi="Arial" w:cs="Arial"/>
                <w:bCs/>
                <w:color w:val="000000"/>
                <w:sz w:val="16"/>
                <w:szCs w:val="16"/>
                <w:lang w:eastAsia="es-MX"/>
              </w:rPr>
              <w:t>-</w:t>
            </w:r>
            <w:r w:rsidRPr="00E22622">
              <w:rPr>
                <w:rFonts w:ascii="Arial" w:eastAsia="Times New Roman" w:hAnsi="Arial" w:cs="Arial"/>
                <w:bCs/>
                <w:color w:val="000000"/>
                <w:sz w:val="16"/>
                <w:szCs w:val="16"/>
                <w:lang w:eastAsia="es-MX"/>
              </w:rPr>
              <w:t>al</w:t>
            </w:r>
            <w:r w:rsidRPr="00E22622">
              <w:rPr>
                <w:rFonts w:ascii="Arial" w:eastAsia="Times New Roman" w:hAnsi="Arial" w:cs="Arial"/>
                <w:bCs/>
                <w:color w:val="000000"/>
                <w:sz w:val="18"/>
                <w:szCs w:val="18"/>
                <w:vertAlign w:val="superscript"/>
                <w:lang w:eastAsia="es-MX"/>
              </w:rPr>
              <w:t>2/</w:t>
            </w:r>
          </w:p>
        </w:tc>
        <w:tc>
          <w:tcPr>
            <w:tcW w:w="709" w:type="dxa"/>
            <w:tcBorders>
              <w:top w:val="nil"/>
              <w:left w:val="nil"/>
              <w:bottom w:val="single" w:sz="8" w:space="0" w:color="376091"/>
              <w:right w:val="single" w:sz="8" w:space="0" w:color="376091"/>
            </w:tcBorders>
            <w:shd w:val="clear" w:color="000000" w:fill="ABC3DF"/>
            <w:vAlign w:val="center"/>
            <w:hideMark/>
          </w:tcPr>
          <w:p w14:paraId="03FBE6D1" w14:textId="77777777" w:rsidR="00831EED" w:rsidRPr="00E22622" w:rsidRDefault="00831EED" w:rsidP="00831EED">
            <w:pPr>
              <w:spacing w:after="0" w:line="240" w:lineRule="auto"/>
              <w:jc w:val="center"/>
              <w:rPr>
                <w:rFonts w:ascii="Arial" w:eastAsia="Times New Roman" w:hAnsi="Arial" w:cs="Arial"/>
                <w:bCs/>
                <w:color w:val="000000"/>
                <w:sz w:val="16"/>
                <w:szCs w:val="16"/>
                <w:lang w:eastAsia="es-MX"/>
              </w:rPr>
            </w:pPr>
            <w:r w:rsidRPr="00E22622">
              <w:rPr>
                <w:rFonts w:ascii="Arial" w:eastAsia="Times New Roman" w:hAnsi="Arial" w:cs="Arial"/>
                <w:bCs/>
                <w:color w:val="000000"/>
                <w:sz w:val="16"/>
                <w:szCs w:val="16"/>
                <w:lang w:eastAsia="es-MX"/>
              </w:rPr>
              <w:t>Trabajo Asala-riado</w:t>
            </w:r>
            <w:r w:rsidRPr="00E22622">
              <w:rPr>
                <w:rFonts w:ascii="Arial" w:eastAsia="Times New Roman" w:hAnsi="Arial" w:cs="Arial"/>
                <w:bCs/>
                <w:color w:val="000000"/>
                <w:sz w:val="18"/>
                <w:szCs w:val="18"/>
                <w:vertAlign w:val="superscript"/>
                <w:lang w:eastAsia="es-MX"/>
              </w:rPr>
              <w:t>3/</w:t>
            </w:r>
          </w:p>
        </w:tc>
        <w:tc>
          <w:tcPr>
            <w:tcW w:w="709" w:type="dxa"/>
            <w:tcBorders>
              <w:top w:val="nil"/>
              <w:left w:val="nil"/>
              <w:bottom w:val="single" w:sz="8" w:space="0" w:color="376091"/>
              <w:right w:val="single" w:sz="8" w:space="0" w:color="376091"/>
            </w:tcBorders>
            <w:shd w:val="clear" w:color="000000" w:fill="ABC3DF"/>
            <w:vAlign w:val="center"/>
            <w:hideMark/>
          </w:tcPr>
          <w:p w14:paraId="71D28B62" w14:textId="77777777" w:rsidR="00831EED" w:rsidRPr="00E22622" w:rsidRDefault="00831EED" w:rsidP="00831EED">
            <w:pPr>
              <w:spacing w:after="0" w:line="240" w:lineRule="auto"/>
              <w:jc w:val="center"/>
              <w:rPr>
                <w:rFonts w:ascii="Arial" w:eastAsia="Times New Roman" w:hAnsi="Arial" w:cs="Arial"/>
                <w:bCs/>
                <w:color w:val="000000"/>
                <w:sz w:val="16"/>
                <w:szCs w:val="16"/>
                <w:lang w:eastAsia="es-MX"/>
              </w:rPr>
            </w:pPr>
            <w:r w:rsidRPr="00E22622">
              <w:rPr>
                <w:rFonts w:ascii="Arial" w:eastAsia="Times New Roman" w:hAnsi="Arial" w:cs="Arial"/>
                <w:bCs/>
                <w:color w:val="000000"/>
                <w:sz w:val="16"/>
                <w:szCs w:val="16"/>
                <w:lang w:eastAsia="es-MX"/>
              </w:rPr>
              <w:t>Sub</w:t>
            </w:r>
            <w:r>
              <w:rPr>
                <w:rFonts w:ascii="Arial" w:eastAsia="Times New Roman" w:hAnsi="Arial" w:cs="Arial"/>
                <w:bCs/>
                <w:color w:val="000000"/>
                <w:sz w:val="16"/>
                <w:szCs w:val="16"/>
                <w:lang w:eastAsia="es-MX"/>
              </w:rPr>
              <w:t>-</w:t>
            </w:r>
            <w:r w:rsidRPr="00E22622">
              <w:rPr>
                <w:rFonts w:ascii="Arial" w:eastAsia="Times New Roman" w:hAnsi="Arial" w:cs="Arial"/>
                <w:bCs/>
                <w:color w:val="000000"/>
                <w:sz w:val="16"/>
                <w:szCs w:val="16"/>
                <w:lang w:eastAsia="es-MX"/>
              </w:rPr>
              <w:t>ocupa</w:t>
            </w:r>
            <w:r>
              <w:rPr>
                <w:rFonts w:ascii="Arial" w:eastAsia="Times New Roman" w:hAnsi="Arial" w:cs="Arial"/>
                <w:bCs/>
                <w:color w:val="000000"/>
                <w:sz w:val="16"/>
                <w:szCs w:val="16"/>
                <w:lang w:eastAsia="es-MX"/>
              </w:rPr>
              <w:t>-</w:t>
            </w:r>
            <w:r w:rsidRPr="00E22622">
              <w:rPr>
                <w:rFonts w:ascii="Arial" w:eastAsia="Times New Roman" w:hAnsi="Arial" w:cs="Arial"/>
                <w:bCs/>
                <w:color w:val="000000"/>
                <w:sz w:val="16"/>
                <w:szCs w:val="16"/>
                <w:lang w:eastAsia="es-MX"/>
              </w:rPr>
              <w:t>ción</w:t>
            </w:r>
            <w:r w:rsidRPr="00E22622">
              <w:rPr>
                <w:rFonts w:ascii="Arial" w:eastAsia="Times New Roman" w:hAnsi="Arial" w:cs="Arial"/>
                <w:bCs/>
                <w:color w:val="000000"/>
                <w:sz w:val="18"/>
                <w:szCs w:val="18"/>
                <w:vertAlign w:val="superscript"/>
                <w:lang w:eastAsia="es-MX"/>
              </w:rPr>
              <w:t>3/</w:t>
            </w:r>
          </w:p>
        </w:tc>
        <w:tc>
          <w:tcPr>
            <w:tcW w:w="850" w:type="dxa"/>
            <w:tcBorders>
              <w:top w:val="nil"/>
              <w:left w:val="nil"/>
              <w:bottom w:val="single" w:sz="8" w:space="0" w:color="376091"/>
              <w:right w:val="single" w:sz="8" w:space="0" w:color="376091"/>
            </w:tcBorders>
            <w:shd w:val="clear" w:color="000000" w:fill="ABC3DF"/>
            <w:vAlign w:val="center"/>
            <w:hideMark/>
          </w:tcPr>
          <w:p w14:paraId="353A15EE" w14:textId="77777777" w:rsidR="00831EED" w:rsidRPr="00E22622" w:rsidRDefault="00831EED" w:rsidP="00831EED">
            <w:pPr>
              <w:spacing w:after="0" w:line="240" w:lineRule="auto"/>
              <w:jc w:val="center"/>
              <w:rPr>
                <w:rFonts w:ascii="Arial" w:eastAsia="Times New Roman" w:hAnsi="Arial" w:cs="Arial"/>
                <w:bCs/>
                <w:color w:val="000000"/>
                <w:sz w:val="16"/>
                <w:szCs w:val="16"/>
                <w:lang w:eastAsia="es-MX"/>
              </w:rPr>
            </w:pPr>
            <w:proofErr w:type="spellStart"/>
            <w:r w:rsidRPr="00E22622">
              <w:rPr>
                <w:rFonts w:ascii="Arial" w:eastAsia="Times New Roman" w:hAnsi="Arial" w:cs="Arial"/>
                <w:bCs/>
                <w:color w:val="000000"/>
                <w:sz w:val="16"/>
                <w:szCs w:val="16"/>
                <w:lang w:eastAsia="es-MX"/>
              </w:rPr>
              <w:t>Condicio</w:t>
            </w:r>
            <w:r>
              <w:rPr>
                <w:rFonts w:ascii="Arial" w:eastAsia="Times New Roman" w:hAnsi="Arial" w:cs="Arial"/>
                <w:bCs/>
                <w:color w:val="000000"/>
                <w:sz w:val="16"/>
                <w:szCs w:val="16"/>
                <w:lang w:eastAsia="es-MX"/>
              </w:rPr>
              <w:t>-</w:t>
            </w:r>
            <w:r w:rsidRPr="00E22622">
              <w:rPr>
                <w:rFonts w:ascii="Arial" w:eastAsia="Times New Roman" w:hAnsi="Arial" w:cs="Arial"/>
                <w:bCs/>
                <w:color w:val="000000"/>
                <w:sz w:val="16"/>
                <w:szCs w:val="16"/>
                <w:lang w:eastAsia="es-MX"/>
              </w:rPr>
              <w:t>nes</w:t>
            </w:r>
            <w:proofErr w:type="spellEnd"/>
            <w:r w:rsidRPr="00E22622">
              <w:rPr>
                <w:rFonts w:ascii="Arial" w:eastAsia="Times New Roman" w:hAnsi="Arial" w:cs="Arial"/>
                <w:bCs/>
                <w:color w:val="000000"/>
                <w:sz w:val="16"/>
                <w:szCs w:val="16"/>
                <w:lang w:eastAsia="es-MX"/>
              </w:rPr>
              <w:t xml:space="preserve"> Críticas de Ocupa</w:t>
            </w:r>
            <w:r>
              <w:rPr>
                <w:rFonts w:ascii="Arial" w:eastAsia="Times New Roman" w:hAnsi="Arial" w:cs="Arial"/>
                <w:bCs/>
                <w:color w:val="000000"/>
                <w:sz w:val="16"/>
                <w:szCs w:val="16"/>
                <w:lang w:eastAsia="es-MX"/>
              </w:rPr>
              <w:t>-</w:t>
            </w:r>
            <w:r w:rsidRPr="00E22622">
              <w:rPr>
                <w:rFonts w:ascii="Arial" w:eastAsia="Times New Roman" w:hAnsi="Arial" w:cs="Arial"/>
                <w:bCs/>
                <w:color w:val="000000"/>
                <w:sz w:val="16"/>
                <w:szCs w:val="16"/>
                <w:lang w:eastAsia="es-MX"/>
              </w:rPr>
              <w:t>ción</w:t>
            </w:r>
            <w:r w:rsidRPr="00E22622">
              <w:rPr>
                <w:rFonts w:ascii="Arial" w:eastAsia="Times New Roman" w:hAnsi="Arial" w:cs="Arial"/>
                <w:bCs/>
                <w:color w:val="000000"/>
                <w:sz w:val="18"/>
                <w:szCs w:val="18"/>
                <w:vertAlign w:val="superscript"/>
                <w:lang w:eastAsia="es-MX"/>
              </w:rPr>
              <w:t>3/</w:t>
            </w:r>
          </w:p>
        </w:tc>
        <w:tc>
          <w:tcPr>
            <w:tcW w:w="709" w:type="dxa"/>
            <w:tcBorders>
              <w:top w:val="nil"/>
              <w:left w:val="nil"/>
              <w:bottom w:val="single" w:sz="8" w:space="0" w:color="376091"/>
              <w:right w:val="single" w:sz="8" w:space="0" w:color="376091"/>
            </w:tcBorders>
            <w:shd w:val="clear" w:color="000000" w:fill="ABC3DF"/>
            <w:vAlign w:val="center"/>
            <w:hideMark/>
          </w:tcPr>
          <w:p w14:paraId="10681186" w14:textId="77777777" w:rsidR="00831EED" w:rsidRPr="00E22622" w:rsidRDefault="00831EED" w:rsidP="00831EED">
            <w:pPr>
              <w:spacing w:after="0" w:line="240" w:lineRule="auto"/>
              <w:jc w:val="center"/>
              <w:rPr>
                <w:rFonts w:ascii="Arial" w:eastAsia="Times New Roman" w:hAnsi="Arial" w:cs="Arial"/>
                <w:bCs/>
                <w:color w:val="000000"/>
                <w:sz w:val="16"/>
                <w:szCs w:val="16"/>
                <w:lang w:eastAsia="es-MX"/>
              </w:rPr>
            </w:pPr>
            <w:proofErr w:type="spellStart"/>
            <w:r w:rsidRPr="00E22622">
              <w:rPr>
                <w:rFonts w:ascii="Arial" w:eastAsia="Times New Roman" w:hAnsi="Arial" w:cs="Arial"/>
                <w:bCs/>
                <w:color w:val="000000"/>
                <w:sz w:val="16"/>
                <w:szCs w:val="16"/>
                <w:lang w:eastAsia="es-MX"/>
              </w:rPr>
              <w:t>Infor</w:t>
            </w:r>
            <w:r>
              <w:rPr>
                <w:rFonts w:ascii="Arial" w:eastAsia="Times New Roman" w:hAnsi="Arial" w:cs="Arial"/>
                <w:bCs/>
                <w:color w:val="000000"/>
                <w:sz w:val="16"/>
                <w:szCs w:val="16"/>
                <w:lang w:eastAsia="es-MX"/>
              </w:rPr>
              <w:t>-</w:t>
            </w:r>
            <w:r w:rsidRPr="00E22622">
              <w:rPr>
                <w:rFonts w:ascii="Arial" w:eastAsia="Times New Roman" w:hAnsi="Arial" w:cs="Arial"/>
                <w:bCs/>
                <w:color w:val="000000"/>
                <w:sz w:val="16"/>
                <w:szCs w:val="16"/>
                <w:lang w:eastAsia="es-MX"/>
              </w:rPr>
              <w:t>malidad</w:t>
            </w:r>
            <w:proofErr w:type="spellEnd"/>
            <w:r w:rsidRPr="00E22622">
              <w:rPr>
                <w:rFonts w:ascii="Arial" w:eastAsia="Times New Roman" w:hAnsi="Arial" w:cs="Arial"/>
                <w:bCs/>
                <w:color w:val="000000"/>
                <w:sz w:val="16"/>
                <w:szCs w:val="16"/>
                <w:lang w:eastAsia="es-MX"/>
              </w:rPr>
              <w:t xml:space="preserve"> Laboral 1</w:t>
            </w:r>
            <w:r w:rsidRPr="00E22622">
              <w:rPr>
                <w:rFonts w:ascii="Arial" w:eastAsia="Times New Roman" w:hAnsi="Arial" w:cs="Arial"/>
                <w:bCs/>
                <w:color w:val="000000"/>
                <w:sz w:val="18"/>
                <w:szCs w:val="18"/>
                <w:vertAlign w:val="superscript"/>
                <w:lang w:eastAsia="es-MX"/>
              </w:rPr>
              <w:t>3/</w:t>
            </w:r>
          </w:p>
        </w:tc>
        <w:tc>
          <w:tcPr>
            <w:tcW w:w="709" w:type="dxa"/>
            <w:tcBorders>
              <w:top w:val="nil"/>
              <w:left w:val="nil"/>
              <w:bottom w:val="single" w:sz="8" w:space="0" w:color="376091"/>
              <w:right w:val="single" w:sz="8" w:space="0" w:color="376091"/>
            </w:tcBorders>
            <w:shd w:val="clear" w:color="000000" w:fill="ABC3DF"/>
            <w:vAlign w:val="center"/>
            <w:hideMark/>
          </w:tcPr>
          <w:p w14:paraId="0374EECA" w14:textId="77777777" w:rsidR="00831EED" w:rsidRPr="00E22622" w:rsidRDefault="00831EED" w:rsidP="00831EED">
            <w:pPr>
              <w:spacing w:after="0" w:line="240" w:lineRule="auto"/>
              <w:jc w:val="center"/>
              <w:rPr>
                <w:rFonts w:ascii="Arial" w:eastAsia="Times New Roman" w:hAnsi="Arial" w:cs="Arial"/>
                <w:bCs/>
                <w:color w:val="000000"/>
                <w:sz w:val="16"/>
                <w:szCs w:val="16"/>
                <w:lang w:eastAsia="es-MX"/>
              </w:rPr>
            </w:pPr>
            <w:r w:rsidRPr="00E22622">
              <w:rPr>
                <w:rFonts w:ascii="Arial" w:eastAsia="Times New Roman" w:hAnsi="Arial" w:cs="Arial"/>
                <w:bCs/>
                <w:color w:val="000000"/>
                <w:sz w:val="16"/>
                <w:szCs w:val="16"/>
                <w:lang w:eastAsia="es-MX"/>
              </w:rPr>
              <w:t>Ocupa</w:t>
            </w:r>
            <w:r>
              <w:rPr>
                <w:rFonts w:ascii="Arial" w:eastAsia="Times New Roman" w:hAnsi="Arial" w:cs="Arial"/>
                <w:bCs/>
                <w:color w:val="000000"/>
                <w:sz w:val="16"/>
                <w:szCs w:val="16"/>
                <w:lang w:eastAsia="es-MX"/>
              </w:rPr>
              <w:t>-</w:t>
            </w:r>
            <w:proofErr w:type="spellStart"/>
            <w:r w:rsidRPr="00E22622">
              <w:rPr>
                <w:rFonts w:ascii="Arial" w:eastAsia="Times New Roman" w:hAnsi="Arial" w:cs="Arial"/>
                <w:bCs/>
                <w:color w:val="000000"/>
                <w:sz w:val="16"/>
                <w:szCs w:val="16"/>
                <w:lang w:eastAsia="es-MX"/>
              </w:rPr>
              <w:t>ción</w:t>
            </w:r>
            <w:proofErr w:type="spellEnd"/>
            <w:r w:rsidRPr="00E22622">
              <w:rPr>
                <w:rFonts w:ascii="Arial" w:eastAsia="Times New Roman" w:hAnsi="Arial" w:cs="Arial"/>
                <w:bCs/>
                <w:color w:val="000000"/>
                <w:sz w:val="16"/>
                <w:szCs w:val="16"/>
                <w:lang w:eastAsia="es-MX"/>
              </w:rPr>
              <w:t xml:space="preserve"> en el Sector </w:t>
            </w:r>
            <w:proofErr w:type="spellStart"/>
            <w:r w:rsidRPr="00E22622">
              <w:rPr>
                <w:rFonts w:ascii="Arial" w:eastAsia="Times New Roman" w:hAnsi="Arial" w:cs="Arial"/>
                <w:bCs/>
                <w:color w:val="000000"/>
                <w:sz w:val="16"/>
                <w:szCs w:val="16"/>
                <w:lang w:eastAsia="es-MX"/>
              </w:rPr>
              <w:t>Infor</w:t>
            </w:r>
            <w:proofErr w:type="spellEnd"/>
            <w:r>
              <w:rPr>
                <w:rFonts w:ascii="Arial" w:eastAsia="Times New Roman" w:hAnsi="Arial" w:cs="Arial"/>
                <w:bCs/>
                <w:color w:val="000000"/>
                <w:sz w:val="16"/>
                <w:szCs w:val="16"/>
                <w:lang w:eastAsia="es-MX"/>
              </w:rPr>
              <w:t>-</w:t>
            </w:r>
            <w:r w:rsidRPr="00E22622">
              <w:rPr>
                <w:rFonts w:ascii="Arial" w:eastAsia="Times New Roman" w:hAnsi="Arial" w:cs="Arial"/>
                <w:bCs/>
                <w:color w:val="000000"/>
                <w:sz w:val="16"/>
                <w:szCs w:val="16"/>
                <w:lang w:eastAsia="es-MX"/>
              </w:rPr>
              <w:t>mal 1</w:t>
            </w:r>
            <w:r w:rsidRPr="00E22622">
              <w:rPr>
                <w:rFonts w:ascii="Arial" w:eastAsia="Times New Roman" w:hAnsi="Arial" w:cs="Arial"/>
                <w:bCs/>
                <w:color w:val="000000"/>
                <w:sz w:val="18"/>
                <w:szCs w:val="18"/>
                <w:vertAlign w:val="superscript"/>
                <w:lang w:eastAsia="es-MX"/>
              </w:rPr>
              <w:t>3/</w:t>
            </w:r>
          </w:p>
        </w:tc>
        <w:tc>
          <w:tcPr>
            <w:tcW w:w="850" w:type="dxa"/>
            <w:tcBorders>
              <w:top w:val="nil"/>
              <w:left w:val="nil"/>
              <w:bottom w:val="single" w:sz="8" w:space="0" w:color="376091"/>
              <w:right w:val="single" w:sz="8" w:space="0" w:color="376091"/>
            </w:tcBorders>
            <w:shd w:val="clear" w:color="000000" w:fill="ABC3DF"/>
          </w:tcPr>
          <w:p w14:paraId="37F97C32" w14:textId="3F54D10F" w:rsidR="00831EED" w:rsidRPr="00E22622" w:rsidRDefault="00831EED" w:rsidP="00831EED">
            <w:pPr>
              <w:spacing w:after="0" w:line="240" w:lineRule="auto"/>
              <w:jc w:val="center"/>
              <w:rPr>
                <w:rFonts w:ascii="Arial" w:eastAsia="Times New Roman" w:hAnsi="Arial" w:cs="Arial"/>
                <w:bCs/>
                <w:color w:val="000000"/>
                <w:sz w:val="16"/>
                <w:szCs w:val="16"/>
                <w:lang w:eastAsia="es-MX"/>
              </w:rPr>
            </w:pPr>
            <w:r>
              <w:rPr>
                <w:rFonts w:ascii="Arial" w:eastAsia="Times New Roman" w:hAnsi="Arial" w:cs="Arial"/>
                <w:bCs/>
                <w:color w:val="000000"/>
                <w:sz w:val="16"/>
                <w:szCs w:val="16"/>
                <w:lang w:eastAsia="es-MX"/>
              </w:rPr>
              <w:t>Subutiliza-</w:t>
            </w:r>
            <w:proofErr w:type="spellStart"/>
            <w:r>
              <w:rPr>
                <w:rFonts w:ascii="Arial" w:eastAsia="Times New Roman" w:hAnsi="Arial" w:cs="Arial"/>
                <w:bCs/>
                <w:color w:val="000000"/>
                <w:sz w:val="16"/>
                <w:szCs w:val="16"/>
                <w:lang w:eastAsia="es-MX"/>
              </w:rPr>
              <w:t>ción</w:t>
            </w:r>
            <w:proofErr w:type="spellEnd"/>
            <w:r>
              <w:rPr>
                <w:rFonts w:ascii="Arial" w:eastAsia="Times New Roman" w:hAnsi="Arial" w:cs="Arial"/>
                <w:bCs/>
                <w:color w:val="000000"/>
                <w:sz w:val="16"/>
                <w:szCs w:val="16"/>
                <w:lang w:eastAsia="es-MX"/>
              </w:rPr>
              <w:t xml:space="preserve"> de la fuerza de trabajo</w:t>
            </w:r>
            <w:r w:rsidRPr="00B77C92">
              <w:rPr>
                <w:rFonts w:ascii="Arial" w:eastAsia="Times New Roman" w:hAnsi="Arial" w:cs="Arial"/>
                <w:bCs/>
                <w:color w:val="000000"/>
                <w:sz w:val="16"/>
                <w:szCs w:val="16"/>
                <w:vertAlign w:val="superscript"/>
                <w:lang w:eastAsia="es-MX"/>
              </w:rPr>
              <w:t>4</w:t>
            </w:r>
            <w:r>
              <w:rPr>
                <w:rFonts w:ascii="Arial" w:eastAsia="Times New Roman" w:hAnsi="Arial" w:cs="Arial"/>
                <w:bCs/>
                <w:color w:val="000000"/>
                <w:sz w:val="16"/>
                <w:szCs w:val="16"/>
                <w:vertAlign w:val="superscript"/>
                <w:lang w:eastAsia="es-MX"/>
              </w:rPr>
              <w:t>/</w:t>
            </w:r>
          </w:p>
        </w:tc>
      </w:tr>
      <w:tr w:rsidR="00831EED" w:rsidRPr="00E22622" w14:paraId="579A15EA" w14:textId="77777777" w:rsidTr="00831EED">
        <w:trPr>
          <w:trHeight w:val="272"/>
        </w:trPr>
        <w:tc>
          <w:tcPr>
            <w:tcW w:w="1701" w:type="dxa"/>
            <w:vMerge/>
            <w:tcBorders>
              <w:top w:val="single" w:sz="8" w:space="0" w:color="376091"/>
              <w:left w:val="single" w:sz="8" w:space="0" w:color="376091"/>
              <w:bottom w:val="single" w:sz="8" w:space="0" w:color="376091"/>
              <w:right w:val="single" w:sz="8" w:space="0" w:color="376091"/>
            </w:tcBorders>
            <w:vAlign w:val="center"/>
            <w:hideMark/>
          </w:tcPr>
          <w:p w14:paraId="1E9EA426" w14:textId="77777777" w:rsidR="00831EED" w:rsidRPr="00513E8F" w:rsidRDefault="00831EED" w:rsidP="00831EED">
            <w:pPr>
              <w:spacing w:after="0" w:line="240" w:lineRule="auto"/>
              <w:rPr>
                <w:rFonts w:ascii="Arial" w:eastAsia="Times New Roman" w:hAnsi="Arial" w:cs="Arial"/>
                <w:b/>
                <w:bCs/>
                <w:color w:val="000000"/>
                <w:sz w:val="16"/>
                <w:szCs w:val="16"/>
                <w:lang w:eastAsia="es-MX"/>
              </w:rPr>
            </w:pPr>
          </w:p>
        </w:tc>
        <w:tc>
          <w:tcPr>
            <w:tcW w:w="1985" w:type="dxa"/>
            <w:gridSpan w:val="2"/>
            <w:tcBorders>
              <w:top w:val="single" w:sz="8" w:space="0" w:color="376091"/>
              <w:left w:val="nil"/>
              <w:bottom w:val="single" w:sz="8" w:space="0" w:color="376091"/>
              <w:right w:val="single" w:sz="8" w:space="0" w:color="376091"/>
            </w:tcBorders>
            <w:shd w:val="clear" w:color="000000" w:fill="ABC3DF"/>
            <w:vAlign w:val="center"/>
            <w:hideMark/>
          </w:tcPr>
          <w:p w14:paraId="470C0A10" w14:textId="77777777" w:rsidR="00831EED" w:rsidRPr="00E22622" w:rsidRDefault="00831EED" w:rsidP="00831EED">
            <w:pPr>
              <w:spacing w:after="0" w:line="240" w:lineRule="auto"/>
              <w:jc w:val="center"/>
              <w:rPr>
                <w:rFonts w:ascii="Arial" w:eastAsia="Times New Roman" w:hAnsi="Arial" w:cs="Arial"/>
                <w:bCs/>
                <w:color w:val="000000"/>
                <w:sz w:val="16"/>
                <w:szCs w:val="16"/>
                <w:lang w:eastAsia="es-MX"/>
              </w:rPr>
            </w:pPr>
            <w:r w:rsidRPr="00E22622">
              <w:rPr>
                <w:rFonts w:ascii="Arial" w:eastAsia="Times New Roman" w:hAnsi="Arial" w:cs="Arial"/>
                <w:bCs/>
                <w:color w:val="000000"/>
                <w:sz w:val="16"/>
                <w:szCs w:val="16"/>
                <w:lang w:eastAsia="es-MX"/>
              </w:rPr>
              <w:t>(Personas)</w:t>
            </w:r>
          </w:p>
        </w:tc>
        <w:tc>
          <w:tcPr>
            <w:tcW w:w="7796" w:type="dxa"/>
            <w:gridSpan w:val="10"/>
            <w:tcBorders>
              <w:top w:val="single" w:sz="8" w:space="0" w:color="376091"/>
              <w:left w:val="nil"/>
              <w:bottom w:val="single" w:sz="8" w:space="0" w:color="376091"/>
              <w:right w:val="single" w:sz="8" w:space="0" w:color="376091"/>
            </w:tcBorders>
            <w:shd w:val="clear" w:color="000000" w:fill="ABC3DF"/>
            <w:vAlign w:val="center"/>
            <w:hideMark/>
          </w:tcPr>
          <w:p w14:paraId="33EAF3DC" w14:textId="77777777" w:rsidR="00831EED" w:rsidRPr="00E22622" w:rsidRDefault="00831EED" w:rsidP="00831EED">
            <w:pPr>
              <w:spacing w:after="0" w:line="240" w:lineRule="auto"/>
              <w:jc w:val="center"/>
              <w:rPr>
                <w:rFonts w:ascii="Arial" w:eastAsia="Times New Roman" w:hAnsi="Arial" w:cs="Arial"/>
                <w:bCs/>
                <w:color w:val="000000"/>
                <w:sz w:val="16"/>
                <w:szCs w:val="16"/>
                <w:lang w:eastAsia="es-MX"/>
              </w:rPr>
            </w:pPr>
            <w:r w:rsidRPr="00E22622">
              <w:rPr>
                <w:rFonts w:ascii="Arial" w:eastAsia="Times New Roman" w:hAnsi="Arial" w:cs="Arial"/>
                <w:bCs/>
                <w:color w:val="000000"/>
                <w:sz w:val="16"/>
                <w:szCs w:val="16"/>
                <w:lang w:eastAsia="es-MX"/>
              </w:rPr>
              <w:t>(Porcentaje)</w:t>
            </w:r>
          </w:p>
        </w:tc>
      </w:tr>
      <w:tr w:rsidR="00831EED" w:rsidRPr="00E7630F" w14:paraId="264C1599" w14:textId="77777777" w:rsidTr="00831EED">
        <w:trPr>
          <w:trHeight w:val="57"/>
        </w:trPr>
        <w:tc>
          <w:tcPr>
            <w:tcW w:w="1701" w:type="dxa"/>
            <w:tcBorders>
              <w:top w:val="nil"/>
              <w:left w:val="single" w:sz="8" w:space="0" w:color="376091"/>
              <w:bottom w:val="single" w:sz="8" w:space="0" w:color="C6D9F1"/>
              <w:right w:val="single" w:sz="8" w:space="0" w:color="376091"/>
            </w:tcBorders>
            <w:shd w:val="clear" w:color="auto" w:fill="auto"/>
            <w:vAlign w:val="center"/>
          </w:tcPr>
          <w:p w14:paraId="4D47876D" w14:textId="77777777" w:rsidR="00831EED" w:rsidRPr="00E7630F" w:rsidRDefault="00831EED" w:rsidP="00831EED">
            <w:pPr>
              <w:spacing w:after="0" w:line="240" w:lineRule="auto"/>
              <w:rPr>
                <w:rFonts w:ascii="Arial" w:eastAsia="Times New Roman" w:hAnsi="Arial" w:cs="Arial"/>
                <w:color w:val="000000"/>
                <w:sz w:val="8"/>
                <w:szCs w:val="16"/>
                <w:lang w:eastAsia="es-MX"/>
              </w:rPr>
            </w:pPr>
          </w:p>
        </w:tc>
        <w:tc>
          <w:tcPr>
            <w:tcW w:w="993" w:type="dxa"/>
            <w:tcBorders>
              <w:top w:val="nil"/>
              <w:left w:val="nil"/>
              <w:bottom w:val="single" w:sz="8" w:space="0" w:color="C6D9F1"/>
              <w:right w:val="single" w:sz="8" w:space="0" w:color="376091"/>
            </w:tcBorders>
            <w:shd w:val="clear" w:color="auto" w:fill="auto"/>
            <w:vAlign w:val="center"/>
          </w:tcPr>
          <w:p w14:paraId="4C233D22" w14:textId="77777777" w:rsidR="00831EED" w:rsidRPr="00E7630F" w:rsidRDefault="00831EED" w:rsidP="00831EED">
            <w:pPr>
              <w:spacing w:after="0" w:line="240" w:lineRule="auto"/>
              <w:rPr>
                <w:rFonts w:ascii="Arial" w:eastAsia="Times New Roman" w:hAnsi="Arial" w:cs="Arial"/>
                <w:color w:val="000000"/>
                <w:sz w:val="8"/>
                <w:szCs w:val="16"/>
                <w:lang w:eastAsia="es-MX"/>
              </w:rPr>
            </w:pPr>
          </w:p>
        </w:tc>
        <w:tc>
          <w:tcPr>
            <w:tcW w:w="992" w:type="dxa"/>
            <w:tcBorders>
              <w:top w:val="nil"/>
              <w:left w:val="nil"/>
              <w:bottom w:val="single" w:sz="8" w:space="0" w:color="C6D9F1"/>
              <w:right w:val="single" w:sz="8" w:space="0" w:color="376091"/>
            </w:tcBorders>
            <w:shd w:val="clear" w:color="auto" w:fill="auto"/>
            <w:vAlign w:val="center"/>
          </w:tcPr>
          <w:p w14:paraId="7EED27B3" w14:textId="77777777" w:rsidR="00831EED" w:rsidRPr="00E7630F" w:rsidRDefault="00831EED" w:rsidP="00831EED">
            <w:pPr>
              <w:spacing w:after="0" w:line="240" w:lineRule="auto"/>
              <w:rPr>
                <w:rFonts w:ascii="Arial" w:eastAsia="Times New Roman" w:hAnsi="Arial" w:cs="Arial"/>
                <w:color w:val="000000"/>
                <w:sz w:val="8"/>
                <w:szCs w:val="16"/>
                <w:lang w:eastAsia="es-MX"/>
              </w:rPr>
            </w:pPr>
          </w:p>
        </w:tc>
        <w:tc>
          <w:tcPr>
            <w:tcW w:w="850" w:type="dxa"/>
            <w:tcBorders>
              <w:top w:val="nil"/>
              <w:left w:val="nil"/>
              <w:bottom w:val="single" w:sz="8" w:space="0" w:color="C6D9F1"/>
              <w:right w:val="single" w:sz="8" w:space="0" w:color="376091"/>
            </w:tcBorders>
            <w:shd w:val="clear" w:color="auto" w:fill="auto"/>
            <w:vAlign w:val="center"/>
          </w:tcPr>
          <w:p w14:paraId="6B1902DF" w14:textId="77777777" w:rsidR="00831EED" w:rsidRPr="00E7630F" w:rsidRDefault="00831EED" w:rsidP="00831EED">
            <w:pPr>
              <w:spacing w:after="0" w:line="240" w:lineRule="auto"/>
              <w:rPr>
                <w:rFonts w:ascii="Arial" w:eastAsia="Times New Roman" w:hAnsi="Arial" w:cs="Arial"/>
                <w:color w:val="000000"/>
                <w:sz w:val="8"/>
                <w:szCs w:val="16"/>
                <w:lang w:eastAsia="es-MX"/>
              </w:rPr>
            </w:pPr>
          </w:p>
        </w:tc>
        <w:tc>
          <w:tcPr>
            <w:tcW w:w="849" w:type="dxa"/>
            <w:tcBorders>
              <w:top w:val="nil"/>
              <w:left w:val="nil"/>
              <w:bottom w:val="single" w:sz="8" w:space="0" w:color="C6D9F1"/>
              <w:right w:val="single" w:sz="8" w:space="0" w:color="376091"/>
            </w:tcBorders>
            <w:shd w:val="clear" w:color="auto" w:fill="auto"/>
            <w:vAlign w:val="center"/>
          </w:tcPr>
          <w:p w14:paraId="3990272A" w14:textId="77777777" w:rsidR="00831EED" w:rsidRPr="00E7630F" w:rsidRDefault="00831EED" w:rsidP="00831EED">
            <w:pPr>
              <w:spacing w:after="0" w:line="240" w:lineRule="auto"/>
              <w:rPr>
                <w:rFonts w:ascii="Arial" w:eastAsia="Times New Roman" w:hAnsi="Arial" w:cs="Arial"/>
                <w:color w:val="000000"/>
                <w:sz w:val="8"/>
                <w:szCs w:val="16"/>
                <w:lang w:eastAsia="es-MX"/>
              </w:rPr>
            </w:pPr>
          </w:p>
        </w:tc>
        <w:tc>
          <w:tcPr>
            <w:tcW w:w="852" w:type="dxa"/>
            <w:tcBorders>
              <w:top w:val="nil"/>
              <w:left w:val="nil"/>
              <w:bottom w:val="single" w:sz="8" w:space="0" w:color="C6D9F1"/>
              <w:right w:val="single" w:sz="8" w:space="0" w:color="376091"/>
            </w:tcBorders>
            <w:shd w:val="clear" w:color="auto" w:fill="auto"/>
            <w:vAlign w:val="center"/>
          </w:tcPr>
          <w:p w14:paraId="6A3B3D5D" w14:textId="77777777" w:rsidR="00831EED" w:rsidRPr="00E7630F" w:rsidRDefault="00831EED" w:rsidP="00831EED">
            <w:pPr>
              <w:spacing w:after="0" w:line="240" w:lineRule="auto"/>
              <w:rPr>
                <w:rFonts w:ascii="Arial" w:eastAsia="Times New Roman" w:hAnsi="Arial" w:cs="Arial"/>
                <w:color w:val="000000"/>
                <w:sz w:val="8"/>
                <w:szCs w:val="16"/>
                <w:lang w:eastAsia="es-MX"/>
              </w:rPr>
            </w:pPr>
          </w:p>
        </w:tc>
        <w:tc>
          <w:tcPr>
            <w:tcW w:w="709" w:type="dxa"/>
            <w:tcBorders>
              <w:top w:val="nil"/>
              <w:left w:val="nil"/>
              <w:bottom w:val="single" w:sz="8" w:space="0" w:color="C6D9F1"/>
              <w:right w:val="single" w:sz="8" w:space="0" w:color="376091"/>
            </w:tcBorders>
            <w:shd w:val="clear" w:color="auto" w:fill="auto"/>
            <w:vAlign w:val="center"/>
          </w:tcPr>
          <w:p w14:paraId="7DAE0115" w14:textId="77777777" w:rsidR="00831EED" w:rsidRPr="00E7630F" w:rsidRDefault="00831EED" w:rsidP="00831EED">
            <w:pPr>
              <w:spacing w:after="0" w:line="240" w:lineRule="auto"/>
              <w:jc w:val="center"/>
              <w:rPr>
                <w:rFonts w:ascii="Arial" w:eastAsia="Times New Roman" w:hAnsi="Arial" w:cs="Arial"/>
                <w:color w:val="000000"/>
                <w:sz w:val="8"/>
                <w:szCs w:val="16"/>
                <w:lang w:eastAsia="es-MX"/>
              </w:rPr>
            </w:pPr>
          </w:p>
        </w:tc>
        <w:tc>
          <w:tcPr>
            <w:tcW w:w="709" w:type="dxa"/>
            <w:tcBorders>
              <w:top w:val="nil"/>
              <w:left w:val="nil"/>
              <w:bottom w:val="single" w:sz="8" w:space="0" w:color="BDD6EE" w:themeColor="accent5" w:themeTint="66"/>
              <w:right w:val="single" w:sz="8" w:space="0" w:color="376091"/>
            </w:tcBorders>
            <w:shd w:val="clear" w:color="auto" w:fill="auto"/>
            <w:vAlign w:val="center"/>
          </w:tcPr>
          <w:p w14:paraId="176C7CD7" w14:textId="77777777" w:rsidR="00831EED" w:rsidRPr="00E7630F" w:rsidRDefault="00831EED" w:rsidP="00831EED">
            <w:pPr>
              <w:spacing w:after="0" w:line="240" w:lineRule="auto"/>
              <w:jc w:val="center"/>
              <w:rPr>
                <w:rFonts w:ascii="Arial" w:eastAsia="Times New Roman" w:hAnsi="Arial" w:cs="Arial"/>
                <w:color w:val="000000"/>
                <w:sz w:val="8"/>
                <w:szCs w:val="16"/>
                <w:lang w:eastAsia="es-MX"/>
              </w:rPr>
            </w:pPr>
          </w:p>
        </w:tc>
        <w:tc>
          <w:tcPr>
            <w:tcW w:w="709" w:type="dxa"/>
            <w:tcBorders>
              <w:top w:val="nil"/>
              <w:left w:val="nil"/>
              <w:bottom w:val="single" w:sz="8" w:space="0" w:color="BDD6EE" w:themeColor="accent5" w:themeTint="66"/>
              <w:right w:val="single" w:sz="8" w:space="0" w:color="376091"/>
            </w:tcBorders>
            <w:shd w:val="clear" w:color="auto" w:fill="auto"/>
            <w:noWrap/>
            <w:vAlign w:val="bottom"/>
          </w:tcPr>
          <w:p w14:paraId="37FE0179" w14:textId="77777777" w:rsidR="00831EED" w:rsidRPr="00E7630F" w:rsidRDefault="00831EED" w:rsidP="00831EED">
            <w:pPr>
              <w:spacing w:after="0" w:line="240" w:lineRule="auto"/>
              <w:jc w:val="center"/>
              <w:rPr>
                <w:rFonts w:ascii="Arial" w:eastAsia="Times New Roman" w:hAnsi="Arial" w:cs="Arial"/>
                <w:color w:val="000000"/>
                <w:sz w:val="8"/>
                <w:szCs w:val="16"/>
                <w:lang w:eastAsia="es-MX"/>
              </w:rPr>
            </w:pPr>
          </w:p>
        </w:tc>
        <w:tc>
          <w:tcPr>
            <w:tcW w:w="850" w:type="dxa"/>
            <w:tcBorders>
              <w:top w:val="nil"/>
              <w:left w:val="nil"/>
              <w:bottom w:val="single" w:sz="8" w:space="0" w:color="BDD6EE" w:themeColor="accent5" w:themeTint="66"/>
              <w:right w:val="single" w:sz="8" w:space="0" w:color="376091"/>
            </w:tcBorders>
            <w:shd w:val="clear" w:color="auto" w:fill="auto"/>
            <w:noWrap/>
            <w:vAlign w:val="bottom"/>
          </w:tcPr>
          <w:p w14:paraId="268B4FBB" w14:textId="77777777" w:rsidR="00831EED" w:rsidRPr="00E7630F" w:rsidRDefault="00831EED" w:rsidP="00831EED">
            <w:pPr>
              <w:spacing w:after="0" w:line="240" w:lineRule="auto"/>
              <w:jc w:val="center"/>
              <w:rPr>
                <w:rFonts w:ascii="Arial" w:eastAsia="Times New Roman" w:hAnsi="Arial" w:cs="Arial"/>
                <w:color w:val="000000"/>
                <w:sz w:val="8"/>
                <w:szCs w:val="16"/>
                <w:lang w:eastAsia="es-MX"/>
              </w:rPr>
            </w:pPr>
          </w:p>
        </w:tc>
        <w:tc>
          <w:tcPr>
            <w:tcW w:w="709" w:type="dxa"/>
            <w:tcBorders>
              <w:top w:val="nil"/>
              <w:left w:val="nil"/>
              <w:bottom w:val="single" w:sz="8" w:space="0" w:color="BDD6EE" w:themeColor="accent5" w:themeTint="66"/>
              <w:right w:val="single" w:sz="8" w:space="0" w:color="376091"/>
            </w:tcBorders>
            <w:shd w:val="clear" w:color="auto" w:fill="auto"/>
            <w:noWrap/>
            <w:vAlign w:val="bottom"/>
          </w:tcPr>
          <w:p w14:paraId="497E8B6E" w14:textId="77777777" w:rsidR="00831EED" w:rsidRPr="00E7630F" w:rsidRDefault="00831EED" w:rsidP="00831EED">
            <w:pPr>
              <w:spacing w:after="0" w:line="240" w:lineRule="auto"/>
              <w:jc w:val="center"/>
              <w:rPr>
                <w:rFonts w:ascii="Arial" w:eastAsia="Times New Roman" w:hAnsi="Arial" w:cs="Arial"/>
                <w:color w:val="000000"/>
                <w:sz w:val="8"/>
                <w:szCs w:val="16"/>
                <w:lang w:eastAsia="es-MX"/>
              </w:rPr>
            </w:pPr>
          </w:p>
        </w:tc>
        <w:tc>
          <w:tcPr>
            <w:tcW w:w="709" w:type="dxa"/>
            <w:tcBorders>
              <w:top w:val="nil"/>
              <w:left w:val="nil"/>
              <w:bottom w:val="single" w:sz="8" w:space="0" w:color="BDD6EE" w:themeColor="accent5" w:themeTint="66"/>
              <w:right w:val="single" w:sz="8" w:space="0" w:color="376091"/>
            </w:tcBorders>
            <w:shd w:val="clear" w:color="auto" w:fill="auto"/>
            <w:noWrap/>
            <w:vAlign w:val="bottom"/>
          </w:tcPr>
          <w:p w14:paraId="16B7D447" w14:textId="77777777" w:rsidR="00831EED" w:rsidRPr="00E7630F" w:rsidRDefault="00831EED" w:rsidP="00831EED">
            <w:pPr>
              <w:spacing w:after="0" w:line="240" w:lineRule="auto"/>
              <w:jc w:val="center"/>
              <w:rPr>
                <w:rFonts w:ascii="Arial" w:eastAsia="Times New Roman" w:hAnsi="Arial" w:cs="Arial"/>
                <w:color w:val="000000"/>
                <w:sz w:val="8"/>
                <w:szCs w:val="16"/>
                <w:lang w:eastAsia="es-MX"/>
              </w:rPr>
            </w:pPr>
          </w:p>
        </w:tc>
        <w:tc>
          <w:tcPr>
            <w:tcW w:w="850" w:type="dxa"/>
            <w:tcBorders>
              <w:top w:val="nil"/>
              <w:left w:val="nil"/>
              <w:bottom w:val="single" w:sz="8" w:space="0" w:color="BDD6EE" w:themeColor="accent5" w:themeTint="66"/>
              <w:right w:val="single" w:sz="8" w:space="0" w:color="376091"/>
            </w:tcBorders>
          </w:tcPr>
          <w:p w14:paraId="25576F0D" w14:textId="77777777" w:rsidR="00831EED" w:rsidRPr="00E7630F" w:rsidRDefault="00831EED" w:rsidP="00831EED">
            <w:pPr>
              <w:spacing w:after="0" w:line="240" w:lineRule="auto"/>
              <w:jc w:val="center"/>
              <w:rPr>
                <w:rFonts w:ascii="Arial" w:eastAsia="Times New Roman" w:hAnsi="Arial" w:cs="Arial"/>
                <w:color w:val="000000"/>
                <w:sz w:val="8"/>
                <w:szCs w:val="16"/>
                <w:lang w:eastAsia="es-MX"/>
              </w:rPr>
            </w:pPr>
          </w:p>
        </w:tc>
      </w:tr>
      <w:tr w:rsidR="00831EED" w:rsidRPr="00513E8F" w14:paraId="1323A1E6" w14:textId="77777777" w:rsidTr="00831EED">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14:paraId="4FE55A2F" w14:textId="77777777" w:rsidR="00831EED" w:rsidRPr="00513E8F" w:rsidRDefault="00831EED" w:rsidP="00831EED">
            <w:pPr>
              <w:spacing w:after="0" w:line="240" w:lineRule="auto"/>
              <w:rPr>
                <w:rFonts w:ascii="Arial" w:eastAsia="Times New Roman" w:hAnsi="Arial" w:cs="Arial"/>
                <w:b/>
                <w:bCs/>
                <w:color w:val="000000"/>
                <w:sz w:val="16"/>
                <w:szCs w:val="16"/>
                <w:lang w:eastAsia="es-MX"/>
              </w:rPr>
            </w:pPr>
            <w:r>
              <w:rPr>
                <w:rFonts w:ascii="Arial" w:hAnsi="Arial" w:cs="Arial"/>
                <w:b/>
                <w:bCs/>
                <w:color w:val="000000"/>
                <w:sz w:val="16"/>
                <w:szCs w:val="16"/>
              </w:rPr>
              <w:t>Agregado 39 Ciudades</w:t>
            </w:r>
          </w:p>
        </w:tc>
        <w:tc>
          <w:tcPr>
            <w:tcW w:w="993" w:type="dxa"/>
            <w:tcBorders>
              <w:top w:val="nil"/>
              <w:left w:val="nil"/>
              <w:bottom w:val="single" w:sz="8" w:space="0" w:color="C6D9F1"/>
              <w:right w:val="single" w:sz="8" w:space="0" w:color="376091"/>
            </w:tcBorders>
            <w:shd w:val="clear" w:color="auto" w:fill="auto"/>
            <w:vAlign w:val="center"/>
          </w:tcPr>
          <w:p w14:paraId="2CC1A17B" w14:textId="01335BD5" w:rsidR="00831EED" w:rsidRPr="00513E8F" w:rsidRDefault="00831EED" w:rsidP="00831EED">
            <w:pPr>
              <w:spacing w:after="0" w:line="240" w:lineRule="auto"/>
              <w:jc w:val="center"/>
              <w:rPr>
                <w:rFonts w:ascii="Arial" w:eastAsia="Times New Roman" w:hAnsi="Arial" w:cs="Arial"/>
                <w:b/>
                <w:bCs/>
                <w:color w:val="000000"/>
                <w:sz w:val="16"/>
                <w:szCs w:val="16"/>
                <w:lang w:eastAsia="es-MX"/>
              </w:rPr>
            </w:pPr>
            <w:r>
              <w:rPr>
                <w:rFonts w:ascii="Arial" w:hAnsi="Arial" w:cs="Arial"/>
                <w:b/>
                <w:bCs/>
                <w:color w:val="000000"/>
                <w:sz w:val="16"/>
                <w:szCs w:val="16"/>
              </w:rPr>
              <w:t>24,866,988</w:t>
            </w:r>
          </w:p>
        </w:tc>
        <w:tc>
          <w:tcPr>
            <w:tcW w:w="992" w:type="dxa"/>
            <w:tcBorders>
              <w:top w:val="nil"/>
              <w:left w:val="nil"/>
              <w:bottom w:val="single" w:sz="8" w:space="0" w:color="C6D9F1"/>
              <w:right w:val="single" w:sz="8" w:space="0" w:color="376091"/>
            </w:tcBorders>
            <w:shd w:val="clear" w:color="auto" w:fill="auto"/>
            <w:vAlign w:val="center"/>
          </w:tcPr>
          <w:p w14:paraId="1B5CAE73" w14:textId="5C24678A" w:rsidR="00831EED" w:rsidRPr="00513E8F" w:rsidRDefault="00831EED" w:rsidP="00831EED">
            <w:pPr>
              <w:spacing w:after="0" w:line="240" w:lineRule="auto"/>
              <w:jc w:val="center"/>
              <w:rPr>
                <w:rFonts w:ascii="Arial" w:eastAsia="Times New Roman" w:hAnsi="Arial" w:cs="Arial"/>
                <w:b/>
                <w:bCs/>
                <w:color w:val="000000"/>
                <w:sz w:val="16"/>
                <w:szCs w:val="16"/>
                <w:lang w:eastAsia="es-MX"/>
              </w:rPr>
            </w:pPr>
            <w:r>
              <w:rPr>
                <w:rFonts w:ascii="Arial" w:hAnsi="Arial" w:cs="Arial"/>
                <w:b/>
                <w:bCs/>
                <w:color w:val="000000"/>
                <w:sz w:val="16"/>
                <w:szCs w:val="16"/>
              </w:rPr>
              <w:t>1,461,099</w:t>
            </w:r>
          </w:p>
        </w:tc>
        <w:tc>
          <w:tcPr>
            <w:tcW w:w="850" w:type="dxa"/>
            <w:tcBorders>
              <w:top w:val="nil"/>
              <w:left w:val="nil"/>
              <w:bottom w:val="single" w:sz="8" w:space="0" w:color="C6D9F1"/>
              <w:right w:val="single" w:sz="8" w:space="0" w:color="376091"/>
            </w:tcBorders>
            <w:shd w:val="clear" w:color="auto" w:fill="auto"/>
            <w:vAlign w:val="center"/>
          </w:tcPr>
          <w:p w14:paraId="4D9D1F2F" w14:textId="029E1583" w:rsidR="00831EED" w:rsidRPr="00513E8F" w:rsidRDefault="00831EED" w:rsidP="00831EED">
            <w:pPr>
              <w:spacing w:after="0" w:line="240" w:lineRule="auto"/>
              <w:jc w:val="center"/>
              <w:rPr>
                <w:rFonts w:ascii="Arial" w:eastAsia="Times New Roman" w:hAnsi="Arial" w:cs="Arial"/>
                <w:b/>
                <w:bCs/>
                <w:color w:val="000000"/>
                <w:sz w:val="16"/>
                <w:szCs w:val="16"/>
                <w:lang w:eastAsia="es-MX"/>
              </w:rPr>
            </w:pPr>
            <w:r>
              <w:rPr>
                <w:rFonts w:ascii="Arial" w:hAnsi="Arial" w:cs="Arial"/>
                <w:b/>
                <w:bCs/>
                <w:color w:val="000000"/>
                <w:sz w:val="16"/>
                <w:szCs w:val="16"/>
              </w:rPr>
              <w:t>57.4</w:t>
            </w:r>
          </w:p>
        </w:tc>
        <w:tc>
          <w:tcPr>
            <w:tcW w:w="849" w:type="dxa"/>
            <w:tcBorders>
              <w:top w:val="nil"/>
              <w:left w:val="nil"/>
              <w:bottom w:val="single" w:sz="8" w:space="0" w:color="C6D9F1"/>
              <w:right w:val="single" w:sz="8" w:space="0" w:color="376091"/>
            </w:tcBorders>
            <w:shd w:val="clear" w:color="auto" w:fill="auto"/>
            <w:vAlign w:val="center"/>
          </w:tcPr>
          <w:p w14:paraId="1FC22AC3" w14:textId="2E70D9DB" w:rsidR="00831EED" w:rsidRPr="00513E8F" w:rsidRDefault="00831EED" w:rsidP="00831EED">
            <w:pPr>
              <w:spacing w:after="0" w:line="240" w:lineRule="auto"/>
              <w:jc w:val="center"/>
              <w:rPr>
                <w:rFonts w:ascii="Arial" w:eastAsia="Times New Roman" w:hAnsi="Arial" w:cs="Arial"/>
                <w:b/>
                <w:bCs/>
                <w:color w:val="000000"/>
                <w:sz w:val="16"/>
                <w:szCs w:val="16"/>
                <w:lang w:eastAsia="es-MX"/>
              </w:rPr>
            </w:pPr>
            <w:r>
              <w:rPr>
                <w:rFonts w:ascii="Arial" w:hAnsi="Arial" w:cs="Arial"/>
                <w:b/>
                <w:bCs/>
                <w:color w:val="000000"/>
                <w:sz w:val="16"/>
                <w:szCs w:val="16"/>
              </w:rPr>
              <w:t>5.5</w:t>
            </w:r>
          </w:p>
        </w:tc>
        <w:tc>
          <w:tcPr>
            <w:tcW w:w="852" w:type="dxa"/>
            <w:tcBorders>
              <w:top w:val="nil"/>
              <w:left w:val="nil"/>
              <w:bottom w:val="single" w:sz="8" w:space="0" w:color="C6D9F1"/>
              <w:right w:val="single" w:sz="8" w:space="0" w:color="376091"/>
            </w:tcBorders>
            <w:shd w:val="clear" w:color="auto" w:fill="auto"/>
            <w:vAlign w:val="center"/>
          </w:tcPr>
          <w:p w14:paraId="76EF48C3" w14:textId="6D12BF36" w:rsidR="00831EED" w:rsidRPr="00513E8F" w:rsidRDefault="00831EED" w:rsidP="00831EED">
            <w:pPr>
              <w:spacing w:after="0" w:line="240" w:lineRule="auto"/>
              <w:jc w:val="center"/>
              <w:rPr>
                <w:rFonts w:ascii="Arial" w:eastAsia="Times New Roman" w:hAnsi="Arial" w:cs="Arial"/>
                <w:b/>
                <w:bCs/>
                <w:color w:val="000000"/>
                <w:sz w:val="16"/>
                <w:szCs w:val="16"/>
                <w:lang w:eastAsia="es-MX"/>
              </w:rPr>
            </w:pPr>
            <w:r>
              <w:rPr>
                <w:rFonts w:ascii="Arial" w:hAnsi="Arial" w:cs="Arial"/>
                <w:b/>
                <w:bCs/>
                <w:color w:val="000000"/>
                <w:sz w:val="16"/>
                <w:szCs w:val="16"/>
              </w:rPr>
              <w:t>11.2</w:t>
            </w:r>
          </w:p>
        </w:tc>
        <w:tc>
          <w:tcPr>
            <w:tcW w:w="709" w:type="dxa"/>
            <w:tcBorders>
              <w:top w:val="nil"/>
              <w:left w:val="nil"/>
              <w:bottom w:val="single" w:sz="8" w:space="0" w:color="C6D9F1"/>
              <w:right w:val="single" w:sz="8" w:space="0" w:color="376091"/>
            </w:tcBorders>
            <w:shd w:val="clear" w:color="auto" w:fill="auto"/>
            <w:vAlign w:val="center"/>
          </w:tcPr>
          <w:p w14:paraId="54C75D72" w14:textId="0C069DFA" w:rsidR="00831EED" w:rsidRPr="00513E8F" w:rsidRDefault="00831EED" w:rsidP="00831EED">
            <w:pPr>
              <w:spacing w:after="0" w:line="240" w:lineRule="auto"/>
              <w:jc w:val="center"/>
              <w:rPr>
                <w:rFonts w:ascii="Arial" w:eastAsia="Times New Roman" w:hAnsi="Arial" w:cs="Arial"/>
                <w:b/>
                <w:bCs/>
                <w:color w:val="000000"/>
                <w:sz w:val="16"/>
                <w:szCs w:val="16"/>
                <w:lang w:eastAsia="es-MX"/>
              </w:rPr>
            </w:pPr>
            <w:r>
              <w:rPr>
                <w:rFonts w:ascii="Arial" w:hAnsi="Arial" w:cs="Arial"/>
                <w:b/>
                <w:bCs/>
                <w:color w:val="000000"/>
                <w:sz w:val="16"/>
                <w:szCs w:val="16"/>
              </w:rPr>
              <w:t>9.9</w:t>
            </w:r>
          </w:p>
        </w:tc>
        <w:tc>
          <w:tcPr>
            <w:tcW w:w="709" w:type="dxa"/>
            <w:tcBorders>
              <w:top w:val="nil"/>
              <w:left w:val="nil"/>
              <w:bottom w:val="single" w:sz="8" w:space="0" w:color="C6D9F1"/>
              <w:right w:val="single" w:sz="8" w:space="0" w:color="376091"/>
            </w:tcBorders>
            <w:shd w:val="clear" w:color="auto" w:fill="auto"/>
            <w:vAlign w:val="center"/>
          </w:tcPr>
          <w:p w14:paraId="7F58BAF2" w14:textId="6609635E" w:rsidR="00831EED" w:rsidRPr="00513E8F" w:rsidRDefault="00831EED" w:rsidP="00831EED">
            <w:pPr>
              <w:spacing w:after="0" w:line="240" w:lineRule="auto"/>
              <w:jc w:val="center"/>
              <w:rPr>
                <w:rFonts w:ascii="Arial" w:eastAsia="Times New Roman" w:hAnsi="Arial" w:cs="Arial"/>
                <w:b/>
                <w:bCs/>
                <w:color w:val="000000"/>
                <w:sz w:val="16"/>
                <w:szCs w:val="16"/>
                <w:lang w:eastAsia="es-MX"/>
              </w:rPr>
            </w:pPr>
            <w:r>
              <w:rPr>
                <w:rFonts w:ascii="Arial" w:hAnsi="Arial" w:cs="Arial"/>
                <w:b/>
                <w:bCs/>
                <w:color w:val="000000"/>
                <w:sz w:val="16"/>
                <w:szCs w:val="16"/>
              </w:rPr>
              <w:t>70.8</w:t>
            </w:r>
          </w:p>
        </w:tc>
        <w:tc>
          <w:tcPr>
            <w:tcW w:w="709" w:type="dxa"/>
            <w:tcBorders>
              <w:top w:val="nil"/>
              <w:left w:val="nil"/>
              <w:bottom w:val="single" w:sz="8" w:space="0" w:color="C6D9F1"/>
              <w:right w:val="single" w:sz="8" w:space="0" w:color="376091"/>
            </w:tcBorders>
            <w:shd w:val="clear" w:color="auto" w:fill="auto"/>
            <w:vAlign w:val="center"/>
          </w:tcPr>
          <w:p w14:paraId="0A08E2A2" w14:textId="5CC00003" w:rsidR="00831EED" w:rsidRPr="00513E8F" w:rsidRDefault="00831EED" w:rsidP="00831EED">
            <w:pPr>
              <w:spacing w:after="0" w:line="240" w:lineRule="auto"/>
              <w:jc w:val="center"/>
              <w:rPr>
                <w:rFonts w:ascii="Arial" w:eastAsia="Times New Roman" w:hAnsi="Arial" w:cs="Arial"/>
                <w:b/>
                <w:bCs/>
                <w:color w:val="000000"/>
                <w:sz w:val="16"/>
                <w:szCs w:val="16"/>
                <w:lang w:eastAsia="es-MX"/>
              </w:rPr>
            </w:pPr>
            <w:r>
              <w:rPr>
                <w:rFonts w:ascii="Arial" w:hAnsi="Arial" w:cs="Arial"/>
                <w:b/>
                <w:bCs/>
                <w:color w:val="000000"/>
                <w:sz w:val="16"/>
                <w:szCs w:val="16"/>
              </w:rPr>
              <w:t>15.9</w:t>
            </w:r>
          </w:p>
        </w:tc>
        <w:tc>
          <w:tcPr>
            <w:tcW w:w="850" w:type="dxa"/>
            <w:tcBorders>
              <w:top w:val="nil"/>
              <w:left w:val="nil"/>
              <w:bottom w:val="single" w:sz="8" w:space="0" w:color="C6D9F1"/>
              <w:right w:val="single" w:sz="8" w:space="0" w:color="376091"/>
            </w:tcBorders>
            <w:shd w:val="clear" w:color="auto" w:fill="auto"/>
            <w:vAlign w:val="center"/>
          </w:tcPr>
          <w:p w14:paraId="11EB1920" w14:textId="7B46958B" w:rsidR="00831EED" w:rsidRPr="00513E8F" w:rsidRDefault="00831EED" w:rsidP="00831EED">
            <w:pPr>
              <w:spacing w:after="0" w:line="240" w:lineRule="auto"/>
              <w:jc w:val="center"/>
              <w:rPr>
                <w:rFonts w:ascii="Arial" w:eastAsia="Times New Roman" w:hAnsi="Arial" w:cs="Arial"/>
                <w:b/>
                <w:bCs/>
                <w:color w:val="000000"/>
                <w:sz w:val="16"/>
                <w:szCs w:val="16"/>
                <w:lang w:eastAsia="es-MX"/>
              </w:rPr>
            </w:pPr>
            <w:r>
              <w:rPr>
                <w:rFonts w:ascii="Arial" w:hAnsi="Arial" w:cs="Arial"/>
                <w:b/>
                <w:bCs/>
                <w:color w:val="000000"/>
                <w:sz w:val="16"/>
                <w:szCs w:val="16"/>
              </w:rPr>
              <w:t>23.3</w:t>
            </w:r>
          </w:p>
        </w:tc>
        <w:tc>
          <w:tcPr>
            <w:tcW w:w="709" w:type="dxa"/>
            <w:tcBorders>
              <w:top w:val="nil"/>
              <w:left w:val="nil"/>
              <w:bottom w:val="single" w:sz="8" w:space="0" w:color="C6D9F1"/>
              <w:right w:val="single" w:sz="8" w:space="0" w:color="376091"/>
            </w:tcBorders>
            <w:shd w:val="clear" w:color="auto" w:fill="auto"/>
            <w:vAlign w:val="center"/>
          </w:tcPr>
          <w:p w14:paraId="032FA3EA" w14:textId="0C69F062" w:rsidR="00831EED" w:rsidRPr="00513E8F" w:rsidRDefault="00831EED" w:rsidP="00831EED">
            <w:pPr>
              <w:spacing w:after="0" w:line="240" w:lineRule="auto"/>
              <w:jc w:val="center"/>
              <w:rPr>
                <w:rFonts w:ascii="Arial" w:eastAsia="Times New Roman" w:hAnsi="Arial" w:cs="Arial"/>
                <w:b/>
                <w:bCs/>
                <w:color w:val="000000"/>
                <w:sz w:val="16"/>
                <w:szCs w:val="16"/>
                <w:lang w:eastAsia="es-MX"/>
              </w:rPr>
            </w:pPr>
            <w:r>
              <w:rPr>
                <w:rFonts w:ascii="Arial" w:hAnsi="Arial" w:cs="Arial"/>
                <w:b/>
                <w:bCs/>
                <w:color w:val="000000"/>
                <w:sz w:val="16"/>
                <w:szCs w:val="16"/>
              </w:rPr>
              <w:t>43.7</w:t>
            </w:r>
          </w:p>
        </w:tc>
        <w:tc>
          <w:tcPr>
            <w:tcW w:w="709" w:type="dxa"/>
            <w:tcBorders>
              <w:top w:val="nil"/>
              <w:left w:val="nil"/>
              <w:bottom w:val="single" w:sz="8" w:space="0" w:color="C6D9F1"/>
              <w:right w:val="single" w:sz="8" w:space="0" w:color="376091"/>
            </w:tcBorders>
            <w:shd w:val="clear" w:color="auto" w:fill="auto"/>
            <w:vAlign w:val="center"/>
          </w:tcPr>
          <w:p w14:paraId="55AFFFD4" w14:textId="09F2995D" w:rsidR="00831EED" w:rsidRPr="00513E8F" w:rsidRDefault="00831EED" w:rsidP="00831EED">
            <w:pPr>
              <w:spacing w:after="0" w:line="240" w:lineRule="auto"/>
              <w:jc w:val="center"/>
              <w:rPr>
                <w:rFonts w:ascii="Arial" w:eastAsia="Times New Roman" w:hAnsi="Arial" w:cs="Arial"/>
                <w:b/>
                <w:bCs/>
                <w:color w:val="000000"/>
                <w:sz w:val="16"/>
                <w:szCs w:val="16"/>
                <w:lang w:eastAsia="es-MX"/>
              </w:rPr>
            </w:pPr>
            <w:r>
              <w:rPr>
                <w:rFonts w:ascii="Arial" w:hAnsi="Arial" w:cs="Arial"/>
                <w:b/>
                <w:bCs/>
                <w:color w:val="000000"/>
                <w:sz w:val="16"/>
                <w:szCs w:val="16"/>
              </w:rPr>
              <w:t>26.6</w:t>
            </w:r>
          </w:p>
        </w:tc>
        <w:tc>
          <w:tcPr>
            <w:tcW w:w="850" w:type="dxa"/>
            <w:tcBorders>
              <w:top w:val="nil"/>
              <w:left w:val="nil"/>
              <w:bottom w:val="single" w:sz="8" w:space="0" w:color="C6D9F1"/>
              <w:right w:val="single" w:sz="8" w:space="0" w:color="376091"/>
            </w:tcBorders>
            <w:vAlign w:val="center"/>
          </w:tcPr>
          <w:p w14:paraId="5BF64E38" w14:textId="7A5F48C2" w:rsidR="00831EED" w:rsidRPr="00B77C92" w:rsidRDefault="00831EED" w:rsidP="00831EED">
            <w:pPr>
              <w:spacing w:after="0" w:line="240" w:lineRule="auto"/>
              <w:jc w:val="center"/>
              <w:rPr>
                <w:rFonts w:ascii="Arial" w:hAnsi="Arial" w:cs="Arial"/>
                <w:bCs/>
                <w:color w:val="000000"/>
                <w:sz w:val="16"/>
                <w:szCs w:val="16"/>
              </w:rPr>
            </w:pPr>
            <w:r>
              <w:rPr>
                <w:rFonts w:ascii="Arial" w:hAnsi="Arial" w:cs="Arial"/>
                <w:b/>
                <w:bCs/>
                <w:color w:val="000000"/>
                <w:sz w:val="16"/>
                <w:szCs w:val="16"/>
              </w:rPr>
              <w:t>31.1</w:t>
            </w:r>
          </w:p>
        </w:tc>
      </w:tr>
      <w:tr w:rsidR="00831EED" w:rsidRPr="00513E8F" w14:paraId="18B3FCA2" w14:textId="77777777" w:rsidTr="00831EED">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14:paraId="5906A914" w14:textId="77777777" w:rsidR="00831EED" w:rsidRPr="00513E8F" w:rsidRDefault="00831EED" w:rsidP="00831EED">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Aguascalientes (Ags.)</w:t>
            </w:r>
          </w:p>
        </w:tc>
        <w:tc>
          <w:tcPr>
            <w:tcW w:w="993" w:type="dxa"/>
            <w:tcBorders>
              <w:top w:val="nil"/>
              <w:left w:val="nil"/>
              <w:bottom w:val="single" w:sz="8" w:space="0" w:color="C6D9F1"/>
              <w:right w:val="single" w:sz="8" w:space="0" w:color="376091"/>
            </w:tcBorders>
            <w:shd w:val="clear" w:color="auto" w:fill="auto"/>
            <w:vAlign w:val="center"/>
          </w:tcPr>
          <w:p w14:paraId="6F914AC4" w14:textId="5B04EE8C"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407,432</w:t>
            </w:r>
          </w:p>
        </w:tc>
        <w:tc>
          <w:tcPr>
            <w:tcW w:w="992" w:type="dxa"/>
            <w:tcBorders>
              <w:top w:val="nil"/>
              <w:left w:val="nil"/>
              <w:bottom w:val="single" w:sz="8" w:space="0" w:color="C6D9F1"/>
              <w:right w:val="single" w:sz="8" w:space="0" w:color="376091"/>
            </w:tcBorders>
            <w:shd w:val="clear" w:color="auto" w:fill="auto"/>
            <w:vAlign w:val="center"/>
          </w:tcPr>
          <w:p w14:paraId="33EE2DA0" w14:textId="2C35FBE5"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15,992</w:t>
            </w:r>
          </w:p>
        </w:tc>
        <w:tc>
          <w:tcPr>
            <w:tcW w:w="850" w:type="dxa"/>
            <w:tcBorders>
              <w:top w:val="nil"/>
              <w:left w:val="nil"/>
              <w:bottom w:val="single" w:sz="8" w:space="0" w:color="C6D9F1"/>
              <w:right w:val="single" w:sz="8" w:space="0" w:color="376091"/>
            </w:tcBorders>
            <w:shd w:val="clear" w:color="auto" w:fill="auto"/>
            <w:vAlign w:val="center"/>
          </w:tcPr>
          <w:p w14:paraId="535926AB" w14:textId="4DFF3C36"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58.6</w:t>
            </w:r>
          </w:p>
        </w:tc>
        <w:tc>
          <w:tcPr>
            <w:tcW w:w="849" w:type="dxa"/>
            <w:tcBorders>
              <w:top w:val="nil"/>
              <w:left w:val="nil"/>
              <w:bottom w:val="single" w:sz="8" w:space="0" w:color="C6D9F1"/>
              <w:right w:val="single" w:sz="8" w:space="0" w:color="376091"/>
            </w:tcBorders>
            <w:shd w:val="clear" w:color="auto" w:fill="auto"/>
            <w:vAlign w:val="center"/>
          </w:tcPr>
          <w:p w14:paraId="1E2D5C45" w14:textId="7F9F12BF"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3.8</w:t>
            </w:r>
          </w:p>
        </w:tc>
        <w:tc>
          <w:tcPr>
            <w:tcW w:w="852" w:type="dxa"/>
            <w:tcBorders>
              <w:top w:val="nil"/>
              <w:left w:val="nil"/>
              <w:bottom w:val="single" w:sz="8" w:space="0" w:color="C6D9F1"/>
              <w:right w:val="single" w:sz="8" w:space="0" w:color="376091"/>
            </w:tcBorders>
            <w:shd w:val="clear" w:color="auto" w:fill="auto"/>
            <w:vAlign w:val="center"/>
          </w:tcPr>
          <w:p w14:paraId="4D3976FE" w14:textId="3B0820A3"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6.4</w:t>
            </w:r>
          </w:p>
        </w:tc>
        <w:tc>
          <w:tcPr>
            <w:tcW w:w="709" w:type="dxa"/>
            <w:tcBorders>
              <w:top w:val="nil"/>
              <w:left w:val="nil"/>
              <w:bottom w:val="single" w:sz="8" w:space="0" w:color="C6D9F1"/>
              <w:right w:val="single" w:sz="8" w:space="0" w:color="376091"/>
            </w:tcBorders>
            <w:shd w:val="clear" w:color="auto" w:fill="auto"/>
            <w:vAlign w:val="center"/>
          </w:tcPr>
          <w:p w14:paraId="3096C365" w14:textId="38FF7771"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5.8</w:t>
            </w:r>
          </w:p>
        </w:tc>
        <w:tc>
          <w:tcPr>
            <w:tcW w:w="709" w:type="dxa"/>
            <w:tcBorders>
              <w:top w:val="nil"/>
              <w:left w:val="nil"/>
              <w:bottom w:val="single" w:sz="8" w:space="0" w:color="C6D9F1"/>
              <w:right w:val="single" w:sz="8" w:space="0" w:color="376091"/>
            </w:tcBorders>
            <w:shd w:val="clear" w:color="auto" w:fill="auto"/>
            <w:vAlign w:val="center"/>
          </w:tcPr>
          <w:p w14:paraId="22D2BA5B" w14:textId="01969C3E"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77.8</w:t>
            </w:r>
          </w:p>
        </w:tc>
        <w:tc>
          <w:tcPr>
            <w:tcW w:w="709" w:type="dxa"/>
            <w:tcBorders>
              <w:top w:val="nil"/>
              <w:left w:val="nil"/>
              <w:bottom w:val="single" w:sz="8" w:space="0" w:color="C6D9F1"/>
              <w:right w:val="single" w:sz="8" w:space="0" w:color="376091"/>
            </w:tcBorders>
            <w:shd w:val="clear" w:color="auto" w:fill="auto"/>
            <w:vAlign w:val="center"/>
          </w:tcPr>
          <w:p w14:paraId="09440589" w14:textId="092ABF30"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5.6</w:t>
            </w:r>
          </w:p>
        </w:tc>
        <w:tc>
          <w:tcPr>
            <w:tcW w:w="850" w:type="dxa"/>
            <w:tcBorders>
              <w:top w:val="nil"/>
              <w:left w:val="nil"/>
              <w:bottom w:val="single" w:sz="8" w:space="0" w:color="C6D9F1"/>
              <w:right w:val="single" w:sz="8" w:space="0" w:color="376091"/>
            </w:tcBorders>
            <w:shd w:val="clear" w:color="auto" w:fill="auto"/>
            <w:vAlign w:val="center"/>
          </w:tcPr>
          <w:p w14:paraId="11950F65" w14:textId="26F5E7B4"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18.3</w:t>
            </w:r>
          </w:p>
        </w:tc>
        <w:tc>
          <w:tcPr>
            <w:tcW w:w="709" w:type="dxa"/>
            <w:tcBorders>
              <w:top w:val="nil"/>
              <w:left w:val="nil"/>
              <w:bottom w:val="single" w:sz="8" w:space="0" w:color="C6D9F1"/>
              <w:right w:val="single" w:sz="8" w:space="0" w:color="376091"/>
            </w:tcBorders>
            <w:shd w:val="clear" w:color="auto" w:fill="auto"/>
            <w:vAlign w:val="center"/>
          </w:tcPr>
          <w:p w14:paraId="1E7C5921" w14:textId="5C6B9B64"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34.4</w:t>
            </w:r>
          </w:p>
        </w:tc>
        <w:tc>
          <w:tcPr>
            <w:tcW w:w="709" w:type="dxa"/>
            <w:tcBorders>
              <w:top w:val="nil"/>
              <w:left w:val="nil"/>
              <w:bottom w:val="single" w:sz="8" w:space="0" w:color="C6D9F1"/>
              <w:right w:val="single" w:sz="8" w:space="0" w:color="376091"/>
            </w:tcBorders>
            <w:shd w:val="clear" w:color="auto" w:fill="auto"/>
            <w:vAlign w:val="center"/>
          </w:tcPr>
          <w:p w14:paraId="23740CC0" w14:textId="3DFC477D"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18.0</w:t>
            </w:r>
          </w:p>
        </w:tc>
        <w:tc>
          <w:tcPr>
            <w:tcW w:w="850" w:type="dxa"/>
            <w:tcBorders>
              <w:top w:val="nil"/>
              <w:left w:val="nil"/>
              <w:bottom w:val="single" w:sz="8" w:space="0" w:color="C6D9F1"/>
              <w:right w:val="single" w:sz="8" w:space="0" w:color="376091"/>
            </w:tcBorders>
            <w:vAlign w:val="center"/>
          </w:tcPr>
          <w:p w14:paraId="3619D959" w14:textId="0C349184" w:rsidR="00831EED" w:rsidRPr="00B77C92" w:rsidRDefault="00831EED" w:rsidP="00831EED">
            <w:pPr>
              <w:spacing w:after="0" w:line="240" w:lineRule="auto"/>
              <w:jc w:val="center"/>
              <w:rPr>
                <w:rFonts w:ascii="Arial" w:hAnsi="Arial" w:cs="Arial"/>
                <w:bCs/>
                <w:color w:val="000000"/>
                <w:sz w:val="16"/>
                <w:szCs w:val="16"/>
              </w:rPr>
            </w:pPr>
            <w:r>
              <w:rPr>
                <w:rFonts w:ascii="Arial" w:hAnsi="Arial" w:cs="Arial"/>
                <w:color w:val="000000"/>
                <w:sz w:val="16"/>
                <w:szCs w:val="16"/>
              </w:rPr>
              <w:t>16.4</w:t>
            </w:r>
          </w:p>
        </w:tc>
      </w:tr>
      <w:tr w:rsidR="00831EED" w:rsidRPr="00513E8F" w14:paraId="5FAD99B2" w14:textId="77777777" w:rsidTr="00831EED">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14:paraId="4BEF8966" w14:textId="77777777" w:rsidR="00831EED" w:rsidRPr="00513E8F" w:rsidRDefault="00831EED" w:rsidP="00831EED">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Mexicali (B. C.)</w:t>
            </w:r>
          </w:p>
        </w:tc>
        <w:tc>
          <w:tcPr>
            <w:tcW w:w="993" w:type="dxa"/>
            <w:tcBorders>
              <w:top w:val="nil"/>
              <w:left w:val="nil"/>
              <w:bottom w:val="single" w:sz="8" w:space="0" w:color="C6D9F1"/>
              <w:right w:val="single" w:sz="8" w:space="0" w:color="376091"/>
            </w:tcBorders>
            <w:shd w:val="clear" w:color="auto" w:fill="auto"/>
            <w:vAlign w:val="center"/>
          </w:tcPr>
          <w:p w14:paraId="3F76F0E3" w14:textId="5EA0D18D"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400,237</w:t>
            </w:r>
          </w:p>
        </w:tc>
        <w:tc>
          <w:tcPr>
            <w:tcW w:w="992" w:type="dxa"/>
            <w:tcBorders>
              <w:top w:val="nil"/>
              <w:left w:val="nil"/>
              <w:bottom w:val="single" w:sz="8" w:space="0" w:color="C6D9F1"/>
              <w:right w:val="single" w:sz="8" w:space="0" w:color="376091"/>
            </w:tcBorders>
            <w:shd w:val="clear" w:color="auto" w:fill="auto"/>
            <w:vAlign w:val="center"/>
          </w:tcPr>
          <w:p w14:paraId="5103FE58" w14:textId="77545E51"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13,120</w:t>
            </w:r>
          </w:p>
        </w:tc>
        <w:tc>
          <w:tcPr>
            <w:tcW w:w="850" w:type="dxa"/>
            <w:tcBorders>
              <w:top w:val="nil"/>
              <w:left w:val="nil"/>
              <w:bottom w:val="single" w:sz="8" w:space="0" w:color="C6D9F1"/>
              <w:right w:val="single" w:sz="8" w:space="0" w:color="376091"/>
            </w:tcBorders>
            <w:shd w:val="clear" w:color="auto" w:fill="auto"/>
            <w:vAlign w:val="center"/>
          </w:tcPr>
          <w:p w14:paraId="2141538E" w14:textId="4B3C15E3"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60.4</w:t>
            </w:r>
          </w:p>
        </w:tc>
        <w:tc>
          <w:tcPr>
            <w:tcW w:w="849" w:type="dxa"/>
            <w:tcBorders>
              <w:top w:val="nil"/>
              <w:left w:val="nil"/>
              <w:bottom w:val="single" w:sz="8" w:space="0" w:color="C6D9F1"/>
              <w:right w:val="single" w:sz="8" w:space="0" w:color="376091"/>
            </w:tcBorders>
            <w:shd w:val="clear" w:color="auto" w:fill="auto"/>
            <w:vAlign w:val="center"/>
          </w:tcPr>
          <w:p w14:paraId="622F4367" w14:textId="09BD99A1"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3.2</w:t>
            </w:r>
          </w:p>
        </w:tc>
        <w:tc>
          <w:tcPr>
            <w:tcW w:w="852" w:type="dxa"/>
            <w:tcBorders>
              <w:top w:val="nil"/>
              <w:left w:val="nil"/>
              <w:bottom w:val="single" w:sz="8" w:space="0" w:color="C6D9F1"/>
              <w:right w:val="single" w:sz="8" w:space="0" w:color="376091"/>
            </w:tcBorders>
            <w:shd w:val="clear" w:color="auto" w:fill="auto"/>
            <w:vAlign w:val="center"/>
          </w:tcPr>
          <w:p w14:paraId="4A39B7EF" w14:textId="38CA39F8"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8.5</w:t>
            </w:r>
          </w:p>
        </w:tc>
        <w:tc>
          <w:tcPr>
            <w:tcW w:w="709" w:type="dxa"/>
            <w:tcBorders>
              <w:top w:val="nil"/>
              <w:left w:val="nil"/>
              <w:bottom w:val="single" w:sz="8" w:space="0" w:color="C6D9F1"/>
              <w:right w:val="single" w:sz="8" w:space="0" w:color="376091"/>
            </w:tcBorders>
            <w:shd w:val="clear" w:color="auto" w:fill="auto"/>
            <w:vAlign w:val="center"/>
          </w:tcPr>
          <w:p w14:paraId="23522CC9" w14:textId="501A17FB"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6.7</w:t>
            </w:r>
          </w:p>
        </w:tc>
        <w:tc>
          <w:tcPr>
            <w:tcW w:w="709" w:type="dxa"/>
            <w:tcBorders>
              <w:top w:val="nil"/>
              <w:left w:val="nil"/>
              <w:bottom w:val="single" w:sz="8" w:space="0" w:color="C6D9F1"/>
              <w:right w:val="single" w:sz="8" w:space="0" w:color="376091"/>
            </w:tcBorders>
            <w:shd w:val="clear" w:color="auto" w:fill="auto"/>
            <w:vAlign w:val="center"/>
          </w:tcPr>
          <w:p w14:paraId="228CD025" w14:textId="4D472209"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75.8</w:t>
            </w:r>
          </w:p>
        </w:tc>
        <w:tc>
          <w:tcPr>
            <w:tcW w:w="709" w:type="dxa"/>
            <w:tcBorders>
              <w:top w:val="nil"/>
              <w:left w:val="nil"/>
              <w:bottom w:val="single" w:sz="8" w:space="0" w:color="C6D9F1"/>
              <w:right w:val="single" w:sz="8" w:space="0" w:color="376091"/>
            </w:tcBorders>
            <w:shd w:val="clear" w:color="auto" w:fill="auto"/>
            <w:vAlign w:val="center"/>
          </w:tcPr>
          <w:p w14:paraId="0F19ECF7" w14:textId="1CFB179A"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7.9</w:t>
            </w:r>
          </w:p>
        </w:tc>
        <w:tc>
          <w:tcPr>
            <w:tcW w:w="850" w:type="dxa"/>
            <w:tcBorders>
              <w:top w:val="nil"/>
              <w:left w:val="nil"/>
              <w:bottom w:val="single" w:sz="8" w:space="0" w:color="C6D9F1"/>
              <w:right w:val="single" w:sz="8" w:space="0" w:color="376091"/>
            </w:tcBorders>
            <w:shd w:val="clear" w:color="auto" w:fill="auto"/>
            <w:vAlign w:val="center"/>
          </w:tcPr>
          <w:p w14:paraId="70A48B2E" w14:textId="1111178C"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15.7</w:t>
            </w:r>
          </w:p>
        </w:tc>
        <w:tc>
          <w:tcPr>
            <w:tcW w:w="709" w:type="dxa"/>
            <w:tcBorders>
              <w:top w:val="nil"/>
              <w:left w:val="nil"/>
              <w:bottom w:val="single" w:sz="8" w:space="0" w:color="C6D9F1"/>
              <w:right w:val="single" w:sz="8" w:space="0" w:color="376091"/>
            </w:tcBorders>
            <w:shd w:val="clear" w:color="auto" w:fill="auto"/>
            <w:vAlign w:val="center"/>
          </w:tcPr>
          <w:p w14:paraId="737C608A" w14:textId="24AF6CFC"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32.7</w:t>
            </w:r>
          </w:p>
        </w:tc>
        <w:tc>
          <w:tcPr>
            <w:tcW w:w="709" w:type="dxa"/>
            <w:tcBorders>
              <w:top w:val="nil"/>
              <w:left w:val="nil"/>
              <w:bottom w:val="single" w:sz="8" w:space="0" w:color="C6D9F1"/>
              <w:right w:val="single" w:sz="8" w:space="0" w:color="376091"/>
            </w:tcBorders>
            <w:shd w:val="clear" w:color="auto" w:fill="auto"/>
            <w:vAlign w:val="center"/>
          </w:tcPr>
          <w:p w14:paraId="05907FA7" w14:textId="5FEEEE8E"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17.1</w:t>
            </w:r>
          </w:p>
        </w:tc>
        <w:tc>
          <w:tcPr>
            <w:tcW w:w="850" w:type="dxa"/>
            <w:tcBorders>
              <w:top w:val="nil"/>
              <w:left w:val="nil"/>
              <w:bottom w:val="single" w:sz="8" w:space="0" w:color="C6D9F1"/>
              <w:right w:val="single" w:sz="8" w:space="0" w:color="376091"/>
            </w:tcBorders>
            <w:vAlign w:val="center"/>
          </w:tcPr>
          <w:p w14:paraId="137DE457" w14:textId="5452E444" w:rsidR="00831EED" w:rsidRPr="00B77C92" w:rsidRDefault="00831EED" w:rsidP="00831EED">
            <w:pPr>
              <w:spacing w:after="0" w:line="240" w:lineRule="auto"/>
              <w:jc w:val="center"/>
              <w:rPr>
                <w:rFonts w:ascii="Arial" w:hAnsi="Arial" w:cs="Arial"/>
                <w:bCs/>
                <w:color w:val="000000"/>
                <w:sz w:val="16"/>
                <w:szCs w:val="16"/>
              </w:rPr>
            </w:pPr>
            <w:r>
              <w:rPr>
                <w:rFonts w:ascii="Arial" w:hAnsi="Arial" w:cs="Arial"/>
                <w:color w:val="000000"/>
                <w:sz w:val="16"/>
                <w:szCs w:val="16"/>
              </w:rPr>
              <w:t>18.6</w:t>
            </w:r>
          </w:p>
        </w:tc>
      </w:tr>
      <w:tr w:rsidR="00831EED" w:rsidRPr="00513E8F" w14:paraId="54FC3F4B" w14:textId="77777777" w:rsidTr="00831EED">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14:paraId="21EE356E" w14:textId="77777777" w:rsidR="00831EED" w:rsidRPr="00513E8F" w:rsidRDefault="00831EED" w:rsidP="00831EED">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Tijuana (B. C.)</w:t>
            </w:r>
          </w:p>
        </w:tc>
        <w:tc>
          <w:tcPr>
            <w:tcW w:w="993" w:type="dxa"/>
            <w:tcBorders>
              <w:top w:val="nil"/>
              <w:left w:val="nil"/>
              <w:bottom w:val="single" w:sz="8" w:space="0" w:color="C6D9F1"/>
              <w:right w:val="single" w:sz="8" w:space="0" w:color="376091"/>
            </w:tcBorders>
            <w:shd w:val="clear" w:color="auto" w:fill="auto"/>
            <w:vAlign w:val="center"/>
          </w:tcPr>
          <w:p w14:paraId="4A8488CA" w14:textId="61CCC783"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820,301</w:t>
            </w:r>
          </w:p>
        </w:tc>
        <w:tc>
          <w:tcPr>
            <w:tcW w:w="992" w:type="dxa"/>
            <w:tcBorders>
              <w:top w:val="nil"/>
              <w:left w:val="nil"/>
              <w:bottom w:val="single" w:sz="8" w:space="0" w:color="C6D9F1"/>
              <w:right w:val="single" w:sz="8" w:space="0" w:color="376091"/>
            </w:tcBorders>
            <w:shd w:val="clear" w:color="auto" w:fill="auto"/>
            <w:vAlign w:val="center"/>
          </w:tcPr>
          <w:p w14:paraId="59808054" w14:textId="3A91739D"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16,407</w:t>
            </w:r>
          </w:p>
        </w:tc>
        <w:tc>
          <w:tcPr>
            <w:tcW w:w="850" w:type="dxa"/>
            <w:tcBorders>
              <w:top w:val="nil"/>
              <w:left w:val="nil"/>
              <w:bottom w:val="single" w:sz="8" w:space="0" w:color="C6D9F1"/>
              <w:right w:val="single" w:sz="8" w:space="0" w:color="376091"/>
            </w:tcBorders>
            <w:shd w:val="clear" w:color="auto" w:fill="auto"/>
            <w:vAlign w:val="center"/>
          </w:tcPr>
          <w:p w14:paraId="31C7F347" w14:textId="0AA27853"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58.6</w:t>
            </w:r>
          </w:p>
        </w:tc>
        <w:tc>
          <w:tcPr>
            <w:tcW w:w="849" w:type="dxa"/>
            <w:tcBorders>
              <w:top w:val="nil"/>
              <w:left w:val="nil"/>
              <w:bottom w:val="single" w:sz="8" w:space="0" w:color="C6D9F1"/>
              <w:right w:val="single" w:sz="8" w:space="0" w:color="376091"/>
            </w:tcBorders>
            <w:shd w:val="clear" w:color="auto" w:fill="auto"/>
            <w:vAlign w:val="center"/>
          </w:tcPr>
          <w:p w14:paraId="5ECCBFAF" w14:textId="025064C9"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2.0</w:t>
            </w:r>
          </w:p>
        </w:tc>
        <w:tc>
          <w:tcPr>
            <w:tcW w:w="852" w:type="dxa"/>
            <w:tcBorders>
              <w:top w:val="nil"/>
              <w:left w:val="nil"/>
              <w:bottom w:val="single" w:sz="8" w:space="0" w:color="C6D9F1"/>
              <w:right w:val="single" w:sz="8" w:space="0" w:color="376091"/>
            </w:tcBorders>
            <w:shd w:val="clear" w:color="auto" w:fill="auto"/>
            <w:vAlign w:val="center"/>
          </w:tcPr>
          <w:p w14:paraId="6FE2950E" w14:textId="1BC6E812"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4.9</w:t>
            </w:r>
          </w:p>
        </w:tc>
        <w:tc>
          <w:tcPr>
            <w:tcW w:w="709" w:type="dxa"/>
            <w:tcBorders>
              <w:top w:val="nil"/>
              <w:left w:val="nil"/>
              <w:bottom w:val="single" w:sz="8" w:space="0" w:color="C6D9F1"/>
              <w:right w:val="single" w:sz="8" w:space="0" w:color="376091"/>
            </w:tcBorders>
            <w:shd w:val="clear" w:color="auto" w:fill="auto"/>
            <w:vAlign w:val="center"/>
          </w:tcPr>
          <w:p w14:paraId="627D3D49" w14:textId="7DDB0BF8"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2.7</w:t>
            </w:r>
          </w:p>
        </w:tc>
        <w:tc>
          <w:tcPr>
            <w:tcW w:w="709" w:type="dxa"/>
            <w:tcBorders>
              <w:top w:val="nil"/>
              <w:left w:val="nil"/>
              <w:bottom w:val="single" w:sz="8" w:space="0" w:color="C6D9F1"/>
              <w:right w:val="single" w:sz="8" w:space="0" w:color="376091"/>
            </w:tcBorders>
            <w:shd w:val="clear" w:color="auto" w:fill="auto"/>
            <w:vAlign w:val="center"/>
          </w:tcPr>
          <w:p w14:paraId="79A4F574" w14:textId="2AB98504"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71.9</w:t>
            </w:r>
          </w:p>
        </w:tc>
        <w:tc>
          <w:tcPr>
            <w:tcW w:w="709" w:type="dxa"/>
            <w:tcBorders>
              <w:top w:val="nil"/>
              <w:left w:val="nil"/>
              <w:bottom w:val="single" w:sz="8" w:space="0" w:color="C6D9F1"/>
              <w:right w:val="single" w:sz="8" w:space="0" w:color="376091"/>
            </w:tcBorders>
            <w:shd w:val="clear" w:color="auto" w:fill="auto"/>
            <w:vAlign w:val="center"/>
          </w:tcPr>
          <w:p w14:paraId="48695E79" w14:textId="2B5A6942"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4.0</w:t>
            </w:r>
          </w:p>
        </w:tc>
        <w:tc>
          <w:tcPr>
            <w:tcW w:w="850" w:type="dxa"/>
            <w:tcBorders>
              <w:top w:val="nil"/>
              <w:left w:val="nil"/>
              <w:bottom w:val="single" w:sz="8" w:space="0" w:color="C6D9F1"/>
              <w:right w:val="single" w:sz="8" w:space="0" w:color="376091"/>
            </w:tcBorders>
            <w:shd w:val="clear" w:color="auto" w:fill="auto"/>
            <w:vAlign w:val="center"/>
          </w:tcPr>
          <w:p w14:paraId="0D5A2133" w14:textId="6EB14F20"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24.5</w:t>
            </w:r>
          </w:p>
        </w:tc>
        <w:tc>
          <w:tcPr>
            <w:tcW w:w="709" w:type="dxa"/>
            <w:tcBorders>
              <w:top w:val="nil"/>
              <w:left w:val="nil"/>
              <w:bottom w:val="single" w:sz="8" w:space="0" w:color="C6D9F1"/>
              <w:right w:val="single" w:sz="8" w:space="0" w:color="376091"/>
            </w:tcBorders>
            <w:shd w:val="clear" w:color="auto" w:fill="auto"/>
            <w:vAlign w:val="center"/>
          </w:tcPr>
          <w:p w14:paraId="55B861D1" w14:textId="570FF42C"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34.5</w:t>
            </w:r>
          </w:p>
        </w:tc>
        <w:tc>
          <w:tcPr>
            <w:tcW w:w="709" w:type="dxa"/>
            <w:tcBorders>
              <w:top w:val="nil"/>
              <w:left w:val="nil"/>
              <w:bottom w:val="single" w:sz="8" w:space="0" w:color="C6D9F1"/>
              <w:right w:val="single" w:sz="8" w:space="0" w:color="376091"/>
            </w:tcBorders>
            <w:shd w:val="clear" w:color="auto" w:fill="auto"/>
            <w:vAlign w:val="center"/>
          </w:tcPr>
          <w:p w14:paraId="1D8D62EC" w14:textId="0390271D"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18.2</w:t>
            </w:r>
          </w:p>
        </w:tc>
        <w:tc>
          <w:tcPr>
            <w:tcW w:w="850" w:type="dxa"/>
            <w:tcBorders>
              <w:top w:val="nil"/>
              <w:left w:val="nil"/>
              <w:bottom w:val="single" w:sz="8" w:space="0" w:color="C6D9F1"/>
              <w:right w:val="single" w:sz="8" w:space="0" w:color="376091"/>
            </w:tcBorders>
            <w:vAlign w:val="center"/>
          </w:tcPr>
          <w:p w14:paraId="5418C2F6" w14:textId="472340BD" w:rsidR="00831EED" w:rsidRPr="00B77C92" w:rsidRDefault="00831EED" w:rsidP="00831EED">
            <w:pPr>
              <w:spacing w:after="0" w:line="240" w:lineRule="auto"/>
              <w:jc w:val="center"/>
              <w:rPr>
                <w:rFonts w:ascii="Arial" w:hAnsi="Arial" w:cs="Arial"/>
                <w:bCs/>
                <w:color w:val="000000"/>
                <w:sz w:val="16"/>
                <w:szCs w:val="16"/>
              </w:rPr>
            </w:pPr>
            <w:r>
              <w:rPr>
                <w:rFonts w:ascii="Arial" w:hAnsi="Arial" w:cs="Arial"/>
                <w:color w:val="000000"/>
                <w:sz w:val="16"/>
                <w:szCs w:val="16"/>
              </w:rPr>
              <w:t>19.5</w:t>
            </w:r>
          </w:p>
        </w:tc>
      </w:tr>
      <w:tr w:rsidR="00831EED" w:rsidRPr="00513E8F" w14:paraId="1226272C" w14:textId="77777777" w:rsidTr="00831EED">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14:paraId="6C14F79C" w14:textId="77777777" w:rsidR="00831EED" w:rsidRPr="00513E8F" w:rsidRDefault="00831EED" w:rsidP="00831EED">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La Paz (B. C. S.)</w:t>
            </w:r>
          </w:p>
        </w:tc>
        <w:tc>
          <w:tcPr>
            <w:tcW w:w="993" w:type="dxa"/>
            <w:tcBorders>
              <w:top w:val="nil"/>
              <w:left w:val="nil"/>
              <w:bottom w:val="single" w:sz="8" w:space="0" w:color="C6D9F1"/>
              <w:right w:val="single" w:sz="8" w:space="0" w:color="376091"/>
            </w:tcBorders>
            <w:shd w:val="clear" w:color="auto" w:fill="auto"/>
            <w:vAlign w:val="center"/>
          </w:tcPr>
          <w:p w14:paraId="7B6C13EE" w14:textId="38BAC2F4"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123,903</w:t>
            </w:r>
          </w:p>
        </w:tc>
        <w:tc>
          <w:tcPr>
            <w:tcW w:w="992" w:type="dxa"/>
            <w:tcBorders>
              <w:top w:val="nil"/>
              <w:left w:val="nil"/>
              <w:bottom w:val="single" w:sz="8" w:space="0" w:color="C6D9F1"/>
              <w:right w:val="single" w:sz="8" w:space="0" w:color="376091"/>
            </w:tcBorders>
            <w:shd w:val="clear" w:color="auto" w:fill="auto"/>
            <w:vAlign w:val="center"/>
          </w:tcPr>
          <w:p w14:paraId="7C457FD4" w14:textId="7BE771A3"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6,349</w:t>
            </w:r>
          </w:p>
        </w:tc>
        <w:tc>
          <w:tcPr>
            <w:tcW w:w="850" w:type="dxa"/>
            <w:tcBorders>
              <w:top w:val="nil"/>
              <w:left w:val="nil"/>
              <w:bottom w:val="single" w:sz="8" w:space="0" w:color="C6D9F1"/>
              <w:right w:val="single" w:sz="8" w:space="0" w:color="376091"/>
            </w:tcBorders>
            <w:shd w:val="clear" w:color="auto" w:fill="auto"/>
            <w:vAlign w:val="center"/>
          </w:tcPr>
          <w:p w14:paraId="1145D74A" w14:textId="7A813E34"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62.4</w:t>
            </w:r>
          </w:p>
        </w:tc>
        <w:tc>
          <w:tcPr>
            <w:tcW w:w="849" w:type="dxa"/>
            <w:tcBorders>
              <w:top w:val="nil"/>
              <w:left w:val="nil"/>
              <w:bottom w:val="single" w:sz="8" w:space="0" w:color="C6D9F1"/>
              <w:right w:val="single" w:sz="8" w:space="0" w:color="376091"/>
            </w:tcBorders>
            <w:shd w:val="clear" w:color="auto" w:fill="auto"/>
            <w:vAlign w:val="center"/>
          </w:tcPr>
          <w:p w14:paraId="3F60DB52" w14:textId="62BDE5F3"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4.9</w:t>
            </w:r>
          </w:p>
        </w:tc>
        <w:tc>
          <w:tcPr>
            <w:tcW w:w="852" w:type="dxa"/>
            <w:tcBorders>
              <w:top w:val="nil"/>
              <w:left w:val="nil"/>
              <w:bottom w:val="single" w:sz="8" w:space="0" w:color="C6D9F1"/>
              <w:right w:val="single" w:sz="8" w:space="0" w:color="376091"/>
            </w:tcBorders>
            <w:shd w:val="clear" w:color="auto" w:fill="auto"/>
            <w:vAlign w:val="center"/>
          </w:tcPr>
          <w:p w14:paraId="01CA9D6D" w14:textId="6160E43F"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13.4</w:t>
            </w:r>
          </w:p>
        </w:tc>
        <w:tc>
          <w:tcPr>
            <w:tcW w:w="709" w:type="dxa"/>
            <w:tcBorders>
              <w:top w:val="nil"/>
              <w:left w:val="nil"/>
              <w:bottom w:val="single" w:sz="8" w:space="0" w:color="C6D9F1"/>
              <w:right w:val="single" w:sz="8" w:space="0" w:color="376091"/>
            </w:tcBorders>
            <w:shd w:val="clear" w:color="auto" w:fill="auto"/>
            <w:vAlign w:val="center"/>
          </w:tcPr>
          <w:p w14:paraId="550620C2" w14:textId="5FF43A12"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10.7</w:t>
            </w:r>
          </w:p>
        </w:tc>
        <w:tc>
          <w:tcPr>
            <w:tcW w:w="709" w:type="dxa"/>
            <w:tcBorders>
              <w:top w:val="nil"/>
              <w:left w:val="nil"/>
              <w:bottom w:val="single" w:sz="8" w:space="0" w:color="C6D9F1"/>
              <w:right w:val="single" w:sz="8" w:space="0" w:color="376091"/>
            </w:tcBorders>
            <w:shd w:val="clear" w:color="auto" w:fill="auto"/>
            <w:vAlign w:val="center"/>
          </w:tcPr>
          <w:p w14:paraId="67239B3A" w14:textId="2B225525"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72.7</w:t>
            </w:r>
          </w:p>
        </w:tc>
        <w:tc>
          <w:tcPr>
            <w:tcW w:w="709" w:type="dxa"/>
            <w:tcBorders>
              <w:top w:val="nil"/>
              <w:left w:val="nil"/>
              <w:bottom w:val="single" w:sz="8" w:space="0" w:color="C6D9F1"/>
              <w:right w:val="single" w:sz="8" w:space="0" w:color="376091"/>
            </w:tcBorders>
            <w:shd w:val="clear" w:color="auto" w:fill="auto"/>
            <w:vAlign w:val="center"/>
          </w:tcPr>
          <w:p w14:paraId="5C06EE5D" w14:textId="48F39DF2"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20.2</w:t>
            </w:r>
          </w:p>
        </w:tc>
        <w:tc>
          <w:tcPr>
            <w:tcW w:w="850" w:type="dxa"/>
            <w:tcBorders>
              <w:top w:val="nil"/>
              <w:left w:val="nil"/>
              <w:bottom w:val="single" w:sz="8" w:space="0" w:color="C6D9F1"/>
              <w:right w:val="single" w:sz="8" w:space="0" w:color="376091"/>
            </w:tcBorders>
            <w:shd w:val="clear" w:color="auto" w:fill="auto"/>
            <w:vAlign w:val="center"/>
          </w:tcPr>
          <w:p w14:paraId="10F34E03" w14:textId="0D19994C"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15.0</w:t>
            </w:r>
          </w:p>
        </w:tc>
        <w:tc>
          <w:tcPr>
            <w:tcW w:w="709" w:type="dxa"/>
            <w:tcBorders>
              <w:top w:val="nil"/>
              <w:left w:val="nil"/>
              <w:bottom w:val="single" w:sz="8" w:space="0" w:color="C6D9F1"/>
              <w:right w:val="single" w:sz="8" w:space="0" w:color="376091"/>
            </w:tcBorders>
            <w:shd w:val="clear" w:color="auto" w:fill="auto"/>
            <w:vAlign w:val="center"/>
          </w:tcPr>
          <w:p w14:paraId="610495F7" w14:textId="5A23925D"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34.8</w:t>
            </w:r>
          </w:p>
        </w:tc>
        <w:tc>
          <w:tcPr>
            <w:tcW w:w="709" w:type="dxa"/>
            <w:tcBorders>
              <w:top w:val="nil"/>
              <w:left w:val="nil"/>
              <w:bottom w:val="single" w:sz="8" w:space="0" w:color="C6D9F1"/>
              <w:right w:val="single" w:sz="8" w:space="0" w:color="376091"/>
            </w:tcBorders>
            <w:shd w:val="clear" w:color="auto" w:fill="auto"/>
            <w:vAlign w:val="center"/>
          </w:tcPr>
          <w:p w14:paraId="07FA0C83" w14:textId="6755F14D"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19.7</w:t>
            </w:r>
          </w:p>
        </w:tc>
        <w:tc>
          <w:tcPr>
            <w:tcW w:w="850" w:type="dxa"/>
            <w:tcBorders>
              <w:top w:val="nil"/>
              <w:left w:val="nil"/>
              <w:bottom w:val="single" w:sz="8" w:space="0" w:color="C6D9F1"/>
              <w:right w:val="single" w:sz="8" w:space="0" w:color="376091"/>
            </w:tcBorders>
            <w:vAlign w:val="center"/>
          </w:tcPr>
          <w:p w14:paraId="1EBEA0A9" w14:textId="7715823D" w:rsidR="00831EED" w:rsidRPr="00B77C92" w:rsidRDefault="00831EED" w:rsidP="00831EED">
            <w:pPr>
              <w:spacing w:after="0" w:line="240" w:lineRule="auto"/>
              <w:jc w:val="center"/>
              <w:rPr>
                <w:rFonts w:ascii="Arial" w:hAnsi="Arial" w:cs="Arial"/>
                <w:bCs/>
                <w:color w:val="000000"/>
                <w:sz w:val="16"/>
                <w:szCs w:val="16"/>
              </w:rPr>
            </w:pPr>
            <w:r>
              <w:rPr>
                <w:rFonts w:ascii="Arial" w:hAnsi="Arial" w:cs="Arial"/>
                <w:color w:val="000000"/>
                <w:sz w:val="16"/>
                <w:szCs w:val="16"/>
              </w:rPr>
              <w:t>29.9</w:t>
            </w:r>
          </w:p>
        </w:tc>
      </w:tr>
      <w:tr w:rsidR="00831EED" w:rsidRPr="00513E8F" w14:paraId="54CB9275" w14:textId="77777777" w:rsidTr="00831EED">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14:paraId="5CB98A2A" w14:textId="77777777" w:rsidR="00831EED" w:rsidRPr="00513E8F" w:rsidRDefault="00831EED" w:rsidP="00831EED">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Campeche (Camp.)</w:t>
            </w:r>
          </w:p>
        </w:tc>
        <w:tc>
          <w:tcPr>
            <w:tcW w:w="993" w:type="dxa"/>
            <w:tcBorders>
              <w:top w:val="nil"/>
              <w:left w:val="nil"/>
              <w:bottom w:val="single" w:sz="8" w:space="0" w:color="C6D9F1"/>
              <w:right w:val="single" w:sz="8" w:space="0" w:color="376091"/>
            </w:tcBorders>
            <w:shd w:val="clear" w:color="auto" w:fill="auto"/>
            <w:vAlign w:val="center"/>
          </w:tcPr>
          <w:p w14:paraId="54F65C86" w14:textId="1989110D"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122,712</w:t>
            </w:r>
          </w:p>
        </w:tc>
        <w:tc>
          <w:tcPr>
            <w:tcW w:w="992" w:type="dxa"/>
            <w:tcBorders>
              <w:top w:val="nil"/>
              <w:left w:val="nil"/>
              <w:bottom w:val="single" w:sz="8" w:space="0" w:color="C6D9F1"/>
              <w:right w:val="single" w:sz="8" w:space="0" w:color="376091"/>
            </w:tcBorders>
            <w:shd w:val="clear" w:color="auto" w:fill="auto"/>
            <w:vAlign w:val="center"/>
          </w:tcPr>
          <w:p w14:paraId="0A4876C5" w14:textId="0A52B066"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3,985</w:t>
            </w:r>
          </w:p>
        </w:tc>
        <w:tc>
          <w:tcPr>
            <w:tcW w:w="850" w:type="dxa"/>
            <w:tcBorders>
              <w:top w:val="nil"/>
              <w:left w:val="nil"/>
              <w:bottom w:val="single" w:sz="8" w:space="0" w:color="C6D9F1"/>
              <w:right w:val="single" w:sz="8" w:space="0" w:color="376091"/>
            </w:tcBorders>
            <w:shd w:val="clear" w:color="auto" w:fill="auto"/>
            <w:vAlign w:val="center"/>
          </w:tcPr>
          <w:p w14:paraId="1901213C" w14:textId="149837AC"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61.2</w:t>
            </w:r>
          </w:p>
        </w:tc>
        <w:tc>
          <w:tcPr>
            <w:tcW w:w="849" w:type="dxa"/>
            <w:tcBorders>
              <w:top w:val="nil"/>
              <w:left w:val="nil"/>
              <w:bottom w:val="single" w:sz="8" w:space="0" w:color="C6D9F1"/>
              <w:right w:val="single" w:sz="8" w:space="0" w:color="376091"/>
            </w:tcBorders>
            <w:shd w:val="clear" w:color="auto" w:fill="auto"/>
            <w:vAlign w:val="center"/>
          </w:tcPr>
          <w:p w14:paraId="5B64C114" w14:textId="4661CEF5"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3.1</w:t>
            </w:r>
          </w:p>
        </w:tc>
        <w:tc>
          <w:tcPr>
            <w:tcW w:w="852" w:type="dxa"/>
            <w:tcBorders>
              <w:top w:val="nil"/>
              <w:left w:val="nil"/>
              <w:bottom w:val="single" w:sz="8" w:space="0" w:color="C6D9F1"/>
              <w:right w:val="single" w:sz="8" w:space="0" w:color="376091"/>
            </w:tcBorders>
            <w:shd w:val="clear" w:color="auto" w:fill="auto"/>
            <w:vAlign w:val="center"/>
          </w:tcPr>
          <w:p w14:paraId="435004A4" w14:textId="01891CFB"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11.5</w:t>
            </w:r>
          </w:p>
        </w:tc>
        <w:tc>
          <w:tcPr>
            <w:tcW w:w="709" w:type="dxa"/>
            <w:tcBorders>
              <w:top w:val="nil"/>
              <w:left w:val="nil"/>
              <w:bottom w:val="single" w:sz="8" w:space="0" w:color="C6D9F1"/>
              <w:right w:val="single" w:sz="8" w:space="0" w:color="376091"/>
            </w:tcBorders>
            <w:shd w:val="clear" w:color="auto" w:fill="auto"/>
            <w:vAlign w:val="center"/>
          </w:tcPr>
          <w:p w14:paraId="6FCEE263" w14:textId="46BFCFA5"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8.1</w:t>
            </w:r>
          </w:p>
        </w:tc>
        <w:tc>
          <w:tcPr>
            <w:tcW w:w="709" w:type="dxa"/>
            <w:tcBorders>
              <w:top w:val="nil"/>
              <w:left w:val="nil"/>
              <w:bottom w:val="single" w:sz="8" w:space="0" w:color="C6D9F1"/>
              <w:right w:val="single" w:sz="8" w:space="0" w:color="376091"/>
            </w:tcBorders>
            <w:shd w:val="clear" w:color="auto" w:fill="auto"/>
            <w:vAlign w:val="center"/>
          </w:tcPr>
          <w:p w14:paraId="6ECFF5DC" w14:textId="25AC3350"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69.2</w:t>
            </w:r>
          </w:p>
        </w:tc>
        <w:tc>
          <w:tcPr>
            <w:tcW w:w="709" w:type="dxa"/>
            <w:tcBorders>
              <w:top w:val="nil"/>
              <w:left w:val="nil"/>
              <w:bottom w:val="single" w:sz="8" w:space="0" w:color="C6D9F1"/>
              <w:right w:val="single" w:sz="8" w:space="0" w:color="376091"/>
            </w:tcBorders>
            <w:shd w:val="clear" w:color="auto" w:fill="auto"/>
            <w:vAlign w:val="center"/>
          </w:tcPr>
          <w:p w14:paraId="3B17E98A" w14:textId="6416ACA2"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11.2</w:t>
            </w:r>
          </w:p>
        </w:tc>
        <w:tc>
          <w:tcPr>
            <w:tcW w:w="850" w:type="dxa"/>
            <w:tcBorders>
              <w:top w:val="nil"/>
              <w:left w:val="nil"/>
              <w:bottom w:val="single" w:sz="8" w:space="0" w:color="C6D9F1"/>
              <w:right w:val="single" w:sz="8" w:space="0" w:color="376091"/>
            </w:tcBorders>
            <w:shd w:val="clear" w:color="auto" w:fill="auto"/>
            <w:vAlign w:val="center"/>
          </w:tcPr>
          <w:p w14:paraId="1F672D46" w14:textId="24D8F9AF"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29.4</w:t>
            </w:r>
          </w:p>
        </w:tc>
        <w:tc>
          <w:tcPr>
            <w:tcW w:w="709" w:type="dxa"/>
            <w:tcBorders>
              <w:top w:val="nil"/>
              <w:left w:val="nil"/>
              <w:bottom w:val="single" w:sz="8" w:space="0" w:color="C6D9F1"/>
              <w:right w:val="single" w:sz="8" w:space="0" w:color="376091"/>
            </w:tcBorders>
            <w:shd w:val="clear" w:color="auto" w:fill="auto"/>
            <w:vAlign w:val="center"/>
          </w:tcPr>
          <w:p w14:paraId="54409D9C" w14:textId="2985055D"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46.5</w:t>
            </w:r>
          </w:p>
        </w:tc>
        <w:tc>
          <w:tcPr>
            <w:tcW w:w="709" w:type="dxa"/>
            <w:tcBorders>
              <w:top w:val="nil"/>
              <w:left w:val="nil"/>
              <w:bottom w:val="single" w:sz="8" w:space="0" w:color="C6D9F1"/>
              <w:right w:val="single" w:sz="8" w:space="0" w:color="376091"/>
            </w:tcBorders>
            <w:shd w:val="clear" w:color="auto" w:fill="auto"/>
            <w:vAlign w:val="center"/>
          </w:tcPr>
          <w:p w14:paraId="4DEB58F1" w14:textId="74A17745"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22.4</w:t>
            </w:r>
          </w:p>
        </w:tc>
        <w:tc>
          <w:tcPr>
            <w:tcW w:w="850" w:type="dxa"/>
            <w:tcBorders>
              <w:top w:val="nil"/>
              <w:left w:val="nil"/>
              <w:bottom w:val="single" w:sz="8" w:space="0" w:color="C6D9F1"/>
              <w:right w:val="single" w:sz="8" w:space="0" w:color="376091"/>
            </w:tcBorders>
            <w:vAlign w:val="center"/>
          </w:tcPr>
          <w:p w14:paraId="58BFE546" w14:textId="7AFD68B9" w:rsidR="00831EED" w:rsidRPr="00B77C92" w:rsidRDefault="00831EED" w:rsidP="00831EED">
            <w:pPr>
              <w:spacing w:after="0" w:line="240" w:lineRule="auto"/>
              <w:jc w:val="center"/>
              <w:rPr>
                <w:rFonts w:ascii="Arial" w:hAnsi="Arial" w:cs="Arial"/>
                <w:bCs/>
                <w:color w:val="000000"/>
                <w:sz w:val="16"/>
                <w:szCs w:val="16"/>
              </w:rPr>
            </w:pPr>
            <w:r>
              <w:rPr>
                <w:rFonts w:ascii="Arial" w:hAnsi="Arial" w:cs="Arial"/>
                <w:color w:val="000000"/>
                <w:sz w:val="16"/>
                <w:szCs w:val="16"/>
              </w:rPr>
              <w:t>21.5</w:t>
            </w:r>
          </w:p>
        </w:tc>
      </w:tr>
      <w:tr w:rsidR="00831EED" w:rsidRPr="00513E8F" w14:paraId="050D3FF0" w14:textId="77777777" w:rsidTr="00831EED">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14:paraId="20BE7F27" w14:textId="77777777" w:rsidR="00831EED" w:rsidRPr="00513E8F" w:rsidRDefault="00831EED" w:rsidP="00831EED">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Ciudad del Carmen (Camp.)</w:t>
            </w:r>
          </w:p>
        </w:tc>
        <w:tc>
          <w:tcPr>
            <w:tcW w:w="993" w:type="dxa"/>
            <w:tcBorders>
              <w:top w:val="nil"/>
              <w:left w:val="nil"/>
              <w:bottom w:val="single" w:sz="8" w:space="0" w:color="C6D9F1"/>
              <w:right w:val="single" w:sz="8" w:space="0" w:color="376091"/>
            </w:tcBorders>
            <w:shd w:val="clear" w:color="auto" w:fill="auto"/>
            <w:vAlign w:val="center"/>
          </w:tcPr>
          <w:p w14:paraId="4720BD2E" w14:textId="41EBB89A"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92,773</w:t>
            </w:r>
          </w:p>
        </w:tc>
        <w:tc>
          <w:tcPr>
            <w:tcW w:w="992" w:type="dxa"/>
            <w:tcBorders>
              <w:top w:val="nil"/>
              <w:left w:val="nil"/>
              <w:bottom w:val="single" w:sz="8" w:space="0" w:color="C6D9F1"/>
              <w:right w:val="single" w:sz="8" w:space="0" w:color="376091"/>
            </w:tcBorders>
            <w:shd w:val="clear" w:color="auto" w:fill="auto"/>
            <w:vAlign w:val="center"/>
          </w:tcPr>
          <w:p w14:paraId="4E066886" w14:textId="5AC4FF0C"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5,117</w:t>
            </w:r>
          </w:p>
        </w:tc>
        <w:tc>
          <w:tcPr>
            <w:tcW w:w="850" w:type="dxa"/>
            <w:tcBorders>
              <w:top w:val="nil"/>
              <w:left w:val="nil"/>
              <w:bottom w:val="single" w:sz="8" w:space="0" w:color="C6D9F1"/>
              <w:right w:val="single" w:sz="8" w:space="0" w:color="376091"/>
            </w:tcBorders>
            <w:shd w:val="clear" w:color="auto" w:fill="auto"/>
            <w:vAlign w:val="center"/>
          </w:tcPr>
          <w:p w14:paraId="66E4BC36" w14:textId="141F0280"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64.5</w:t>
            </w:r>
          </w:p>
        </w:tc>
        <w:tc>
          <w:tcPr>
            <w:tcW w:w="849" w:type="dxa"/>
            <w:tcBorders>
              <w:top w:val="nil"/>
              <w:left w:val="nil"/>
              <w:bottom w:val="single" w:sz="8" w:space="0" w:color="C6D9F1"/>
              <w:right w:val="single" w:sz="8" w:space="0" w:color="376091"/>
            </w:tcBorders>
            <w:shd w:val="clear" w:color="auto" w:fill="auto"/>
            <w:vAlign w:val="center"/>
          </w:tcPr>
          <w:p w14:paraId="70155428" w14:textId="62B45853"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5.2</w:t>
            </w:r>
          </w:p>
        </w:tc>
        <w:tc>
          <w:tcPr>
            <w:tcW w:w="852" w:type="dxa"/>
            <w:tcBorders>
              <w:top w:val="nil"/>
              <w:left w:val="nil"/>
              <w:bottom w:val="single" w:sz="8" w:space="0" w:color="C6D9F1"/>
              <w:right w:val="single" w:sz="8" w:space="0" w:color="376091"/>
            </w:tcBorders>
            <w:shd w:val="clear" w:color="auto" w:fill="auto"/>
            <w:vAlign w:val="center"/>
          </w:tcPr>
          <w:p w14:paraId="7D4A7BFD" w14:textId="015C185B"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15.6</w:t>
            </w:r>
          </w:p>
        </w:tc>
        <w:tc>
          <w:tcPr>
            <w:tcW w:w="709" w:type="dxa"/>
            <w:tcBorders>
              <w:top w:val="nil"/>
              <w:left w:val="nil"/>
              <w:bottom w:val="single" w:sz="8" w:space="0" w:color="C6D9F1"/>
              <w:right w:val="single" w:sz="8" w:space="0" w:color="376091"/>
            </w:tcBorders>
            <w:shd w:val="clear" w:color="auto" w:fill="auto"/>
            <w:vAlign w:val="center"/>
          </w:tcPr>
          <w:p w14:paraId="2D8383AF" w14:textId="50ABEFE7"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19.7</w:t>
            </w:r>
          </w:p>
        </w:tc>
        <w:tc>
          <w:tcPr>
            <w:tcW w:w="709" w:type="dxa"/>
            <w:tcBorders>
              <w:top w:val="nil"/>
              <w:left w:val="nil"/>
              <w:bottom w:val="single" w:sz="8" w:space="0" w:color="C6D9F1"/>
              <w:right w:val="single" w:sz="8" w:space="0" w:color="376091"/>
            </w:tcBorders>
            <w:shd w:val="clear" w:color="auto" w:fill="auto"/>
            <w:vAlign w:val="center"/>
          </w:tcPr>
          <w:p w14:paraId="295FA445" w14:textId="1FF3B599"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66.5</w:t>
            </w:r>
          </w:p>
        </w:tc>
        <w:tc>
          <w:tcPr>
            <w:tcW w:w="709" w:type="dxa"/>
            <w:tcBorders>
              <w:top w:val="nil"/>
              <w:left w:val="nil"/>
              <w:bottom w:val="single" w:sz="8" w:space="0" w:color="C6D9F1"/>
              <w:right w:val="single" w:sz="8" w:space="0" w:color="376091"/>
            </w:tcBorders>
            <w:shd w:val="clear" w:color="auto" w:fill="auto"/>
            <w:vAlign w:val="center"/>
          </w:tcPr>
          <w:p w14:paraId="552DC0C9" w14:textId="50451B15"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33.8</w:t>
            </w:r>
          </w:p>
        </w:tc>
        <w:tc>
          <w:tcPr>
            <w:tcW w:w="850" w:type="dxa"/>
            <w:tcBorders>
              <w:top w:val="nil"/>
              <w:left w:val="nil"/>
              <w:bottom w:val="single" w:sz="8" w:space="0" w:color="C6D9F1"/>
              <w:right w:val="single" w:sz="8" w:space="0" w:color="376091"/>
            </w:tcBorders>
            <w:shd w:val="clear" w:color="auto" w:fill="auto"/>
            <w:vAlign w:val="center"/>
          </w:tcPr>
          <w:p w14:paraId="5749B111" w14:textId="03D0B70A"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24.9</w:t>
            </w:r>
          </w:p>
        </w:tc>
        <w:tc>
          <w:tcPr>
            <w:tcW w:w="709" w:type="dxa"/>
            <w:tcBorders>
              <w:top w:val="nil"/>
              <w:left w:val="nil"/>
              <w:bottom w:val="single" w:sz="8" w:space="0" w:color="C6D9F1"/>
              <w:right w:val="single" w:sz="8" w:space="0" w:color="376091"/>
            </w:tcBorders>
            <w:shd w:val="clear" w:color="auto" w:fill="auto"/>
            <w:vAlign w:val="center"/>
          </w:tcPr>
          <w:p w14:paraId="411AAF0B" w14:textId="2B36294B"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51.3</w:t>
            </w:r>
          </w:p>
        </w:tc>
        <w:tc>
          <w:tcPr>
            <w:tcW w:w="709" w:type="dxa"/>
            <w:tcBorders>
              <w:top w:val="nil"/>
              <w:left w:val="nil"/>
              <w:bottom w:val="single" w:sz="8" w:space="0" w:color="C6D9F1"/>
              <w:right w:val="single" w:sz="8" w:space="0" w:color="376091"/>
            </w:tcBorders>
            <w:shd w:val="clear" w:color="auto" w:fill="auto"/>
            <w:vAlign w:val="center"/>
          </w:tcPr>
          <w:p w14:paraId="37BA18FB" w14:textId="02AA5BD9"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33.4</w:t>
            </w:r>
          </w:p>
        </w:tc>
        <w:tc>
          <w:tcPr>
            <w:tcW w:w="850" w:type="dxa"/>
            <w:tcBorders>
              <w:top w:val="nil"/>
              <w:left w:val="nil"/>
              <w:bottom w:val="single" w:sz="8" w:space="0" w:color="C6D9F1"/>
              <w:right w:val="single" w:sz="8" w:space="0" w:color="376091"/>
            </w:tcBorders>
            <w:vAlign w:val="center"/>
          </w:tcPr>
          <w:p w14:paraId="795D22CE" w14:textId="70DDC95B" w:rsidR="00831EED" w:rsidRPr="00B77C92" w:rsidRDefault="00831EED" w:rsidP="00831EED">
            <w:pPr>
              <w:spacing w:after="0" w:line="240" w:lineRule="auto"/>
              <w:jc w:val="center"/>
              <w:rPr>
                <w:rFonts w:ascii="Arial" w:hAnsi="Arial" w:cs="Arial"/>
                <w:bCs/>
                <w:color w:val="000000"/>
                <w:sz w:val="16"/>
                <w:szCs w:val="16"/>
              </w:rPr>
            </w:pPr>
            <w:r>
              <w:rPr>
                <w:rFonts w:ascii="Arial" w:hAnsi="Arial" w:cs="Arial"/>
                <w:color w:val="000000"/>
                <w:sz w:val="16"/>
                <w:szCs w:val="16"/>
              </w:rPr>
              <w:t>42.6</w:t>
            </w:r>
          </w:p>
        </w:tc>
      </w:tr>
      <w:tr w:rsidR="00831EED" w:rsidRPr="00513E8F" w14:paraId="6DC99D6F" w14:textId="77777777" w:rsidTr="00831EED">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14:paraId="685A7A7B" w14:textId="77777777" w:rsidR="00831EED" w:rsidRPr="00513E8F" w:rsidRDefault="00831EED" w:rsidP="00831EED">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Torreón - La Laguna (</w:t>
            </w:r>
            <w:proofErr w:type="spellStart"/>
            <w:r>
              <w:rPr>
                <w:rFonts w:ascii="Arial" w:hAnsi="Arial" w:cs="Arial"/>
                <w:color w:val="000000"/>
                <w:sz w:val="16"/>
                <w:szCs w:val="16"/>
              </w:rPr>
              <w:t>Coah</w:t>
            </w:r>
            <w:proofErr w:type="spellEnd"/>
            <w:r>
              <w:rPr>
                <w:rFonts w:ascii="Arial" w:hAnsi="Arial" w:cs="Arial"/>
                <w:color w:val="000000"/>
                <w:sz w:val="16"/>
                <w:szCs w:val="16"/>
              </w:rPr>
              <w:t xml:space="preserve">. y </w:t>
            </w:r>
            <w:proofErr w:type="spellStart"/>
            <w:r>
              <w:rPr>
                <w:rFonts w:ascii="Arial" w:hAnsi="Arial" w:cs="Arial"/>
                <w:color w:val="000000"/>
                <w:sz w:val="16"/>
                <w:szCs w:val="16"/>
              </w:rPr>
              <w:t>Dgo</w:t>
            </w:r>
            <w:proofErr w:type="spellEnd"/>
            <w:r>
              <w:rPr>
                <w:rFonts w:ascii="Arial" w:hAnsi="Arial" w:cs="Arial"/>
                <w:color w:val="000000"/>
                <w:sz w:val="16"/>
                <w:szCs w:val="16"/>
              </w:rPr>
              <w:t>.)</w:t>
            </w:r>
          </w:p>
        </w:tc>
        <w:tc>
          <w:tcPr>
            <w:tcW w:w="993" w:type="dxa"/>
            <w:tcBorders>
              <w:top w:val="nil"/>
              <w:left w:val="nil"/>
              <w:bottom w:val="single" w:sz="8" w:space="0" w:color="C6D9F1"/>
              <w:right w:val="single" w:sz="8" w:space="0" w:color="376091"/>
            </w:tcBorders>
            <w:shd w:val="clear" w:color="auto" w:fill="auto"/>
            <w:vAlign w:val="center"/>
          </w:tcPr>
          <w:p w14:paraId="7219A589" w14:textId="39A08E1F"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520,602</w:t>
            </w:r>
          </w:p>
        </w:tc>
        <w:tc>
          <w:tcPr>
            <w:tcW w:w="992" w:type="dxa"/>
            <w:tcBorders>
              <w:top w:val="nil"/>
              <w:left w:val="nil"/>
              <w:bottom w:val="single" w:sz="8" w:space="0" w:color="C6D9F1"/>
              <w:right w:val="single" w:sz="8" w:space="0" w:color="376091"/>
            </w:tcBorders>
            <w:shd w:val="clear" w:color="auto" w:fill="auto"/>
            <w:vAlign w:val="center"/>
          </w:tcPr>
          <w:p w14:paraId="5CF06557" w14:textId="41009114"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28,300</w:t>
            </w:r>
          </w:p>
        </w:tc>
        <w:tc>
          <w:tcPr>
            <w:tcW w:w="850" w:type="dxa"/>
            <w:tcBorders>
              <w:top w:val="nil"/>
              <w:left w:val="nil"/>
              <w:bottom w:val="single" w:sz="8" w:space="0" w:color="C6D9F1"/>
              <w:right w:val="single" w:sz="8" w:space="0" w:color="376091"/>
            </w:tcBorders>
            <w:shd w:val="clear" w:color="auto" w:fill="auto"/>
            <w:vAlign w:val="center"/>
          </w:tcPr>
          <w:p w14:paraId="0D6C9C17" w14:textId="6BEC7DF9"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61.6</w:t>
            </w:r>
          </w:p>
        </w:tc>
        <w:tc>
          <w:tcPr>
            <w:tcW w:w="849" w:type="dxa"/>
            <w:tcBorders>
              <w:top w:val="nil"/>
              <w:left w:val="nil"/>
              <w:bottom w:val="single" w:sz="8" w:space="0" w:color="C6D9F1"/>
              <w:right w:val="single" w:sz="8" w:space="0" w:color="376091"/>
            </w:tcBorders>
            <w:shd w:val="clear" w:color="auto" w:fill="auto"/>
            <w:vAlign w:val="center"/>
          </w:tcPr>
          <w:p w14:paraId="1AACDDE6" w14:textId="08872549"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5.2</w:t>
            </w:r>
          </w:p>
        </w:tc>
        <w:tc>
          <w:tcPr>
            <w:tcW w:w="852" w:type="dxa"/>
            <w:tcBorders>
              <w:top w:val="nil"/>
              <w:left w:val="nil"/>
              <w:bottom w:val="single" w:sz="8" w:space="0" w:color="C6D9F1"/>
              <w:right w:val="single" w:sz="8" w:space="0" w:color="376091"/>
            </w:tcBorders>
            <w:shd w:val="clear" w:color="auto" w:fill="auto"/>
            <w:vAlign w:val="center"/>
          </w:tcPr>
          <w:p w14:paraId="74C9753A" w14:textId="091D642A"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12.5</w:t>
            </w:r>
          </w:p>
        </w:tc>
        <w:tc>
          <w:tcPr>
            <w:tcW w:w="709" w:type="dxa"/>
            <w:tcBorders>
              <w:top w:val="nil"/>
              <w:left w:val="nil"/>
              <w:bottom w:val="single" w:sz="8" w:space="0" w:color="C6D9F1"/>
              <w:right w:val="single" w:sz="8" w:space="0" w:color="376091"/>
            </w:tcBorders>
            <w:shd w:val="clear" w:color="auto" w:fill="auto"/>
            <w:vAlign w:val="center"/>
          </w:tcPr>
          <w:p w14:paraId="6FA32682" w14:textId="3AEF995B"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11.9</w:t>
            </w:r>
          </w:p>
        </w:tc>
        <w:tc>
          <w:tcPr>
            <w:tcW w:w="709" w:type="dxa"/>
            <w:tcBorders>
              <w:top w:val="nil"/>
              <w:left w:val="nil"/>
              <w:bottom w:val="single" w:sz="8" w:space="0" w:color="C6D9F1"/>
              <w:right w:val="single" w:sz="8" w:space="0" w:color="376091"/>
            </w:tcBorders>
            <w:shd w:val="clear" w:color="auto" w:fill="auto"/>
            <w:vAlign w:val="center"/>
          </w:tcPr>
          <w:p w14:paraId="61092D8E" w14:textId="326D2030"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74.8</w:t>
            </w:r>
          </w:p>
        </w:tc>
        <w:tc>
          <w:tcPr>
            <w:tcW w:w="709" w:type="dxa"/>
            <w:tcBorders>
              <w:top w:val="nil"/>
              <w:left w:val="nil"/>
              <w:bottom w:val="single" w:sz="8" w:space="0" w:color="C6D9F1"/>
              <w:right w:val="single" w:sz="8" w:space="0" w:color="376091"/>
            </w:tcBorders>
            <w:shd w:val="clear" w:color="auto" w:fill="auto"/>
            <w:vAlign w:val="center"/>
          </w:tcPr>
          <w:p w14:paraId="382582D1" w14:textId="6F0E257A"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12.9</w:t>
            </w:r>
          </w:p>
        </w:tc>
        <w:tc>
          <w:tcPr>
            <w:tcW w:w="850" w:type="dxa"/>
            <w:tcBorders>
              <w:top w:val="nil"/>
              <w:left w:val="nil"/>
              <w:bottom w:val="single" w:sz="8" w:space="0" w:color="C6D9F1"/>
              <w:right w:val="single" w:sz="8" w:space="0" w:color="376091"/>
            </w:tcBorders>
            <w:shd w:val="clear" w:color="auto" w:fill="auto"/>
            <w:vAlign w:val="center"/>
          </w:tcPr>
          <w:p w14:paraId="12186ACA" w14:textId="56E24F4A"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19.1</w:t>
            </w:r>
          </w:p>
        </w:tc>
        <w:tc>
          <w:tcPr>
            <w:tcW w:w="709" w:type="dxa"/>
            <w:tcBorders>
              <w:top w:val="nil"/>
              <w:left w:val="nil"/>
              <w:bottom w:val="single" w:sz="8" w:space="0" w:color="C6D9F1"/>
              <w:right w:val="single" w:sz="8" w:space="0" w:color="376091"/>
            </w:tcBorders>
            <w:shd w:val="clear" w:color="auto" w:fill="auto"/>
            <w:vAlign w:val="center"/>
          </w:tcPr>
          <w:p w14:paraId="4DC57936" w14:textId="3C446FFA"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40.2</w:t>
            </w:r>
          </w:p>
        </w:tc>
        <w:tc>
          <w:tcPr>
            <w:tcW w:w="709" w:type="dxa"/>
            <w:tcBorders>
              <w:top w:val="nil"/>
              <w:left w:val="nil"/>
              <w:bottom w:val="single" w:sz="8" w:space="0" w:color="C6D9F1"/>
              <w:right w:val="single" w:sz="8" w:space="0" w:color="376091"/>
            </w:tcBorders>
            <w:shd w:val="clear" w:color="auto" w:fill="auto"/>
            <w:vAlign w:val="center"/>
          </w:tcPr>
          <w:p w14:paraId="2BC7DE71" w14:textId="1B3DD01D"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24.0</w:t>
            </w:r>
          </w:p>
        </w:tc>
        <w:tc>
          <w:tcPr>
            <w:tcW w:w="850" w:type="dxa"/>
            <w:tcBorders>
              <w:top w:val="nil"/>
              <w:left w:val="nil"/>
              <w:bottom w:val="single" w:sz="8" w:space="0" w:color="C6D9F1"/>
              <w:right w:val="single" w:sz="8" w:space="0" w:color="376091"/>
            </w:tcBorders>
            <w:vAlign w:val="center"/>
          </w:tcPr>
          <w:p w14:paraId="2DAD5604" w14:textId="31CAE679" w:rsidR="00831EED" w:rsidRPr="00B77C92" w:rsidRDefault="00831EED" w:rsidP="00831EED">
            <w:pPr>
              <w:spacing w:after="0" w:line="240" w:lineRule="auto"/>
              <w:jc w:val="center"/>
              <w:rPr>
                <w:rFonts w:ascii="Arial" w:hAnsi="Arial" w:cs="Arial"/>
                <w:bCs/>
                <w:color w:val="000000"/>
                <w:sz w:val="16"/>
                <w:szCs w:val="16"/>
              </w:rPr>
            </w:pPr>
            <w:r>
              <w:rPr>
                <w:rFonts w:ascii="Arial" w:hAnsi="Arial" w:cs="Arial"/>
                <w:color w:val="000000"/>
                <w:sz w:val="16"/>
                <w:szCs w:val="16"/>
              </w:rPr>
              <w:t>26.8</w:t>
            </w:r>
          </w:p>
        </w:tc>
      </w:tr>
      <w:tr w:rsidR="00831EED" w:rsidRPr="00513E8F" w14:paraId="31B16D57" w14:textId="77777777" w:rsidTr="00831EED">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14:paraId="6AA99E30" w14:textId="77777777" w:rsidR="00831EED" w:rsidRPr="00513E8F" w:rsidRDefault="00831EED" w:rsidP="00831EED">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Saltillo (</w:t>
            </w:r>
            <w:proofErr w:type="spellStart"/>
            <w:r>
              <w:rPr>
                <w:rFonts w:ascii="Arial" w:hAnsi="Arial" w:cs="Arial"/>
                <w:color w:val="000000"/>
                <w:sz w:val="16"/>
                <w:szCs w:val="16"/>
              </w:rPr>
              <w:t>Coah</w:t>
            </w:r>
            <w:proofErr w:type="spellEnd"/>
            <w:r>
              <w:rPr>
                <w:rFonts w:ascii="Arial" w:hAnsi="Arial" w:cs="Arial"/>
                <w:color w:val="000000"/>
                <w:sz w:val="16"/>
                <w:szCs w:val="16"/>
              </w:rPr>
              <w:t>.)</w:t>
            </w:r>
          </w:p>
        </w:tc>
        <w:tc>
          <w:tcPr>
            <w:tcW w:w="993" w:type="dxa"/>
            <w:tcBorders>
              <w:top w:val="nil"/>
              <w:left w:val="nil"/>
              <w:bottom w:val="single" w:sz="8" w:space="0" w:color="C6D9F1"/>
              <w:right w:val="single" w:sz="8" w:space="0" w:color="376091"/>
            </w:tcBorders>
            <w:shd w:val="clear" w:color="auto" w:fill="auto"/>
            <w:vAlign w:val="center"/>
          </w:tcPr>
          <w:p w14:paraId="082682D0" w14:textId="0BFF11F8"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429,463</w:t>
            </w:r>
          </w:p>
        </w:tc>
        <w:tc>
          <w:tcPr>
            <w:tcW w:w="992" w:type="dxa"/>
            <w:tcBorders>
              <w:top w:val="nil"/>
              <w:left w:val="nil"/>
              <w:bottom w:val="single" w:sz="8" w:space="0" w:color="C6D9F1"/>
              <w:right w:val="single" w:sz="8" w:space="0" w:color="376091"/>
            </w:tcBorders>
            <w:shd w:val="clear" w:color="auto" w:fill="auto"/>
            <w:vAlign w:val="center"/>
          </w:tcPr>
          <w:p w14:paraId="48752434" w14:textId="4AA90E30"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22,296</w:t>
            </w:r>
          </w:p>
        </w:tc>
        <w:tc>
          <w:tcPr>
            <w:tcW w:w="850" w:type="dxa"/>
            <w:tcBorders>
              <w:top w:val="nil"/>
              <w:left w:val="nil"/>
              <w:bottom w:val="single" w:sz="8" w:space="0" w:color="C6D9F1"/>
              <w:right w:val="single" w:sz="8" w:space="0" w:color="376091"/>
            </w:tcBorders>
            <w:shd w:val="clear" w:color="auto" w:fill="auto"/>
            <w:vAlign w:val="center"/>
          </w:tcPr>
          <w:p w14:paraId="50FAB309" w14:textId="4BF0C882"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60.2</w:t>
            </w:r>
          </w:p>
        </w:tc>
        <w:tc>
          <w:tcPr>
            <w:tcW w:w="849" w:type="dxa"/>
            <w:tcBorders>
              <w:top w:val="nil"/>
              <w:left w:val="nil"/>
              <w:bottom w:val="single" w:sz="8" w:space="0" w:color="C6D9F1"/>
              <w:right w:val="single" w:sz="8" w:space="0" w:color="376091"/>
            </w:tcBorders>
            <w:shd w:val="clear" w:color="auto" w:fill="auto"/>
            <w:vAlign w:val="center"/>
          </w:tcPr>
          <w:p w14:paraId="3CB3396F" w14:textId="5C807999"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4.9</w:t>
            </w:r>
          </w:p>
        </w:tc>
        <w:tc>
          <w:tcPr>
            <w:tcW w:w="852" w:type="dxa"/>
            <w:tcBorders>
              <w:top w:val="nil"/>
              <w:left w:val="nil"/>
              <w:bottom w:val="single" w:sz="8" w:space="0" w:color="C6D9F1"/>
              <w:right w:val="single" w:sz="8" w:space="0" w:color="376091"/>
            </w:tcBorders>
            <w:shd w:val="clear" w:color="auto" w:fill="auto"/>
            <w:vAlign w:val="center"/>
          </w:tcPr>
          <w:p w14:paraId="42AF3702" w14:textId="0B1BE768"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8.0</w:t>
            </w:r>
          </w:p>
        </w:tc>
        <w:tc>
          <w:tcPr>
            <w:tcW w:w="709" w:type="dxa"/>
            <w:tcBorders>
              <w:top w:val="nil"/>
              <w:left w:val="nil"/>
              <w:bottom w:val="single" w:sz="8" w:space="0" w:color="C6D9F1"/>
              <w:right w:val="single" w:sz="8" w:space="0" w:color="376091"/>
            </w:tcBorders>
            <w:shd w:val="clear" w:color="auto" w:fill="auto"/>
            <w:vAlign w:val="center"/>
          </w:tcPr>
          <w:p w14:paraId="56DE1FD7" w14:textId="51B52483"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8.3</w:t>
            </w:r>
          </w:p>
        </w:tc>
        <w:tc>
          <w:tcPr>
            <w:tcW w:w="709" w:type="dxa"/>
            <w:tcBorders>
              <w:top w:val="nil"/>
              <w:left w:val="nil"/>
              <w:bottom w:val="single" w:sz="8" w:space="0" w:color="C6D9F1"/>
              <w:right w:val="single" w:sz="8" w:space="0" w:color="376091"/>
            </w:tcBorders>
            <w:shd w:val="clear" w:color="auto" w:fill="auto"/>
            <w:vAlign w:val="center"/>
          </w:tcPr>
          <w:p w14:paraId="22786C53" w14:textId="070A7FDC"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82.0</w:t>
            </w:r>
          </w:p>
        </w:tc>
        <w:tc>
          <w:tcPr>
            <w:tcW w:w="709" w:type="dxa"/>
            <w:tcBorders>
              <w:top w:val="nil"/>
              <w:left w:val="nil"/>
              <w:bottom w:val="single" w:sz="8" w:space="0" w:color="C6D9F1"/>
              <w:right w:val="single" w:sz="8" w:space="0" w:color="376091"/>
            </w:tcBorders>
            <w:shd w:val="clear" w:color="auto" w:fill="auto"/>
            <w:vAlign w:val="center"/>
          </w:tcPr>
          <w:p w14:paraId="00E0713E" w14:textId="4C0FD9F7"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5.0</w:t>
            </w:r>
          </w:p>
        </w:tc>
        <w:tc>
          <w:tcPr>
            <w:tcW w:w="850" w:type="dxa"/>
            <w:tcBorders>
              <w:top w:val="nil"/>
              <w:left w:val="nil"/>
              <w:bottom w:val="single" w:sz="8" w:space="0" w:color="C6D9F1"/>
              <w:right w:val="single" w:sz="8" w:space="0" w:color="376091"/>
            </w:tcBorders>
            <w:shd w:val="clear" w:color="auto" w:fill="auto"/>
            <w:vAlign w:val="center"/>
          </w:tcPr>
          <w:p w14:paraId="3D64F6C5" w14:textId="362D1748"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14.3</w:t>
            </w:r>
          </w:p>
        </w:tc>
        <w:tc>
          <w:tcPr>
            <w:tcW w:w="709" w:type="dxa"/>
            <w:tcBorders>
              <w:top w:val="nil"/>
              <w:left w:val="nil"/>
              <w:bottom w:val="single" w:sz="8" w:space="0" w:color="C6D9F1"/>
              <w:right w:val="single" w:sz="8" w:space="0" w:color="376091"/>
            </w:tcBorders>
            <w:shd w:val="clear" w:color="auto" w:fill="auto"/>
            <w:vAlign w:val="center"/>
          </w:tcPr>
          <w:p w14:paraId="655BB397" w14:textId="6E5AF0F7"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26.3</w:t>
            </w:r>
          </w:p>
        </w:tc>
        <w:tc>
          <w:tcPr>
            <w:tcW w:w="709" w:type="dxa"/>
            <w:tcBorders>
              <w:top w:val="nil"/>
              <w:left w:val="nil"/>
              <w:bottom w:val="single" w:sz="8" w:space="0" w:color="C6D9F1"/>
              <w:right w:val="single" w:sz="8" w:space="0" w:color="376091"/>
            </w:tcBorders>
            <w:shd w:val="clear" w:color="auto" w:fill="auto"/>
            <w:vAlign w:val="center"/>
          </w:tcPr>
          <w:p w14:paraId="0A058CDD" w14:textId="4022380E"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16.5</w:t>
            </w:r>
          </w:p>
        </w:tc>
        <w:tc>
          <w:tcPr>
            <w:tcW w:w="850" w:type="dxa"/>
            <w:tcBorders>
              <w:top w:val="nil"/>
              <w:left w:val="nil"/>
              <w:bottom w:val="single" w:sz="8" w:space="0" w:color="C6D9F1"/>
              <w:right w:val="single" w:sz="8" w:space="0" w:color="376091"/>
            </w:tcBorders>
            <w:vAlign w:val="center"/>
          </w:tcPr>
          <w:p w14:paraId="11F9A812" w14:textId="0EE84A74" w:rsidR="00831EED" w:rsidRPr="00B77C92" w:rsidRDefault="00831EED" w:rsidP="00831EED">
            <w:pPr>
              <w:spacing w:after="0" w:line="240" w:lineRule="auto"/>
              <w:jc w:val="center"/>
              <w:rPr>
                <w:rFonts w:ascii="Arial" w:hAnsi="Arial" w:cs="Arial"/>
                <w:bCs/>
                <w:color w:val="000000"/>
                <w:sz w:val="16"/>
                <w:szCs w:val="16"/>
              </w:rPr>
            </w:pPr>
            <w:r>
              <w:rPr>
                <w:rFonts w:ascii="Arial" w:hAnsi="Arial" w:cs="Arial"/>
                <w:color w:val="000000"/>
                <w:sz w:val="16"/>
                <w:szCs w:val="16"/>
              </w:rPr>
              <w:t>13.1</w:t>
            </w:r>
          </w:p>
        </w:tc>
      </w:tr>
      <w:tr w:rsidR="00831EED" w:rsidRPr="00513E8F" w14:paraId="68184BC4" w14:textId="77777777" w:rsidTr="00831EED">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14:paraId="7EBC8249" w14:textId="77777777" w:rsidR="00831EED" w:rsidRPr="00513E8F" w:rsidRDefault="00831EED" w:rsidP="00831EED">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Colima (Col.)</w:t>
            </w:r>
          </w:p>
        </w:tc>
        <w:tc>
          <w:tcPr>
            <w:tcW w:w="993" w:type="dxa"/>
            <w:tcBorders>
              <w:top w:val="nil"/>
              <w:left w:val="nil"/>
              <w:bottom w:val="single" w:sz="8" w:space="0" w:color="C6D9F1"/>
              <w:right w:val="single" w:sz="8" w:space="0" w:color="376091"/>
            </w:tcBorders>
            <w:shd w:val="clear" w:color="auto" w:fill="auto"/>
            <w:vAlign w:val="center"/>
          </w:tcPr>
          <w:p w14:paraId="20DF2900" w14:textId="54C6FEFC"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140,301</w:t>
            </w:r>
          </w:p>
        </w:tc>
        <w:tc>
          <w:tcPr>
            <w:tcW w:w="992" w:type="dxa"/>
            <w:tcBorders>
              <w:top w:val="nil"/>
              <w:left w:val="nil"/>
              <w:bottom w:val="single" w:sz="8" w:space="0" w:color="C6D9F1"/>
              <w:right w:val="single" w:sz="8" w:space="0" w:color="376091"/>
            </w:tcBorders>
            <w:shd w:val="clear" w:color="auto" w:fill="auto"/>
            <w:vAlign w:val="center"/>
          </w:tcPr>
          <w:p w14:paraId="2C34AFDB" w14:textId="7BF7A571"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5,877</w:t>
            </w:r>
          </w:p>
        </w:tc>
        <w:tc>
          <w:tcPr>
            <w:tcW w:w="850" w:type="dxa"/>
            <w:tcBorders>
              <w:top w:val="nil"/>
              <w:left w:val="nil"/>
              <w:bottom w:val="single" w:sz="8" w:space="0" w:color="C6D9F1"/>
              <w:right w:val="single" w:sz="8" w:space="0" w:color="376091"/>
            </w:tcBorders>
            <w:shd w:val="clear" w:color="auto" w:fill="auto"/>
            <w:vAlign w:val="center"/>
          </w:tcPr>
          <w:p w14:paraId="7C4B29A4" w14:textId="2B33750D"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61.5</w:t>
            </w:r>
          </w:p>
        </w:tc>
        <w:tc>
          <w:tcPr>
            <w:tcW w:w="849" w:type="dxa"/>
            <w:tcBorders>
              <w:top w:val="nil"/>
              <w:left w:val="nil"/>
              <w:bottom w:val="single" w:sz="8" w:space="0" w:color="C6D9F1"/>
              <w:right w:val="single" w:sz="8" w:space="0" w:color="376091"/>
            </w:tcBorders>
            <w:shd w:val="clear" w:color="auto" w:fill="auto"/>
            <w:vAlign w:val="center"/>
          </w:tcPr>
          <w:p w14:paraId="6A89648C" w14:textId="54FA05D6"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4.0</w:t>
            </w:r>
          </w:p>
        </w:tc>
        <w:tc>
          <w:tcPr>
            <w:tcW w:w="852" w:type="dxa"/>
            <w:tcBorders>
              <w:top w:val="nil"/>
              <w:left w:val="nil"/>
              <w:bottom w:val="single" w:sz="8" w:space="0" w:color="C6D9F1"/>
              <w:right w:val="single" w:sz="8" w:space="0" w:color="376091"/>
            </w:tcBorders>
            <w:shd w:val="clear" w:color="auto" w:fill="auto"/>
            <w:vAlign w:val="center"/>
          </w:tcPr>
          <w:p w14:paraId="33E34552" w14:textId="3243848A"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11.1</w:t>
            </w:r>
          </w:p>
        </w:tc>
        <w:tc>
          <w:tcPr>
            <w:tcW w:w="709" w:type="dxa"/>
            <w:tcBorders>
              <w:top w:val="nil"/>
              <w:left w:val="nil"/>
              <w:bottom w:val="single" w:sz="8" w:space="0" w:color="C6D9F1"/>
              <w:right w:val="single" w:sz="8" w:space="0" w:color="376091"/>
            </w:tcBorders>
            <w:shd w:val="clear" w:color="auto" w:fill="auto"/>
            <w:vAlign w:val="center"/>
          </w:tcPr>
          <w:p w14:paraId="30E73B4C" w14:textId="385FF97B"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7.4</w:t>
            </w:r>
          </w:p>
        </w:tc>
        <w:tc>
          <w:tcPr>
            <w:tcW w:w="709" w:type="dxa"/>
            <w:tcBorders>
              <w:top w:val="nil"/>
              <w:left w:val="nil"/>
              <w:bottom w:val="single" w:sz="8" w:space="0" w:color="C6D9F1"/>
              <w:right w:val="single" w:sz="8" w:space="0" w:color="376091"/>
            </w:tcBorders>
            <w:shd w:val="clear" w:color="auto" w:fill="auto"/>
            <w:vAlign w:val="center"/>
          </w:tcPr>
          <w:p w14:paraId="31DAAAA7" w14:textId="7C837032"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69.2</w:t>
            </w:r>
          </w:p>
        </w:tc>
        <w:tc>
          <w:tcPr>
            <w:tcW w:w="709" w:type="dxa"/>
            <w:tcBorders>
              <w:top w:val="nil"/>
              <w:left w:val="nil"/>
              <w:bottom w:val="single" w:sz="8" w:space="0" w:color="C6D9F1"/>
              <w:right w:val="single" w:sz="8" w:space="0" w:color="376091"/>
            </w:tcBorders>
            <w:shd w:val="clear" w:color="auto" w:fill="auto"/>
            <w:vAlign w:val="center"/>
          </w:tcPr>
          <w:p w14:paraId="2CD18C8E" w14:textId="5AB60BCA"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14.1</w:t>
            </w:r>
          </w:p>
        </w:tc>
        <w:tc>
          <w:tcPr>
            <w:tcW w:w="850" w:type="dxa"/>
            <w:tcBorders>
              <w:top w:val="nil"/>
              <w:left w:val="nil"/>
              <w:bottom w:val="single" w:sz="8" w:space="0" w:color="C6D9F1"/>
              <w:right w:val="single" w:sz="8" w:space="0" w:color="376091"/>
            </w:tcBorders>
            <w:shd w:val="clear" w:color="auto" w:fill="auto"/>
            <w:vAlign w:val="center"/>
          </w:tcPr>
          <w:p w14:paraId="7E09ECCA" w14:textId="3527D9B7"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18.0</w:t>
            </w:r>
          </w:p>
        </w:tc>
        <w:tc>
          <w:tcPr>
            <w:tcW w:w="709" w:type="dxa"/>
            <w:tcBorders>
              <w:top w:val="nil"/>
              <w:left w:val="nil"/>
              <w:bottom w:val="single" w:sz="8" w:space="0" w:color="C6D9F1"/>
              <w:right w:val="single" w:sz="8" w:space="0" w:color="376091"/>
            </w:tcBorders>
            <w:shd w:val="clear" w:color="auto" w:fill="auto"/>
            <w:vAlign w:val="center"/>
          </w:tcPr>
          <w:p w14:paraId="5DCDECFA" w14:textId="0069584E"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42.9</w:t>
            </w:r>
          </w:p>
        </w:tc>
        <w:tc>
          <w:tcPr>
            <w:tcW w:w="709" w:type="dxa"/>
            <w:tcBorders>
              <w:top w:val="nil"/>
              <w:left w:val="nil"/>
              <w:bottom w:val="single" w:sz="8" w:space="0" w:color="C6D9F1"/>
              <w:right w:val="single" w:sz="8" w:space="0" w:color="376091"/>
            </w:tcBorders>
            <w:shd w:val="clear" w:color="auto" w:fill="auto"/>
            <w:vAlign w:val="center"/>
          </w:tcPr>
          <w:p w14:paraId="40092CBB" w14:textId="4F6E4E82"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20.0</w:t>
            </w:r>
          </w:p>
        </w:tc>
        <w:tc>
          <w:tcPr>
            <w:tcW w:w="850" w:type="dxa"/>
            <w:tcBorders>
              <w:top w:val="nil"/>
              <w:left w:val="nil"/>
              <w:bottom w:val="single" w:sz="8" w:space="0" w:color="C6D9F1"/>
              <w:right w:val="single" w:sz="8" w:space="0" w:color="376091"/>
            </w:tcBorders>
            <w:vAlign w:val="center"/>
          </w:tcPr>
          <w:p w14:paraId="3B05C9B7" w14:textId="40A36819" w:rsidR="00831EED" w:rsidRPr="00B77C92" w:rsidRDefault="00831EED" w:rsidP="00831EED">
            <w:pPr>
              <w:spacing w:after="0" w:line="240" w:lineRule="auto"/>
              <w:jc w:val="center"/>
              <w:rPr>
                <w:rFonts w:ascii="Arial" w:hAnsi="Arial" w:cs="Arial"/>
                <w:bCs/>
                <w:color w:val="000000"/>
                <w:sz w:val="16"/>
                <w:szCs w:val="16"/>
              </w:rPr>
            </w:pPr>
            <w:r>
              <w:rPr>
                <w:rFonts w:ascii="Arial" w:hAnsi="Arial" w:cs="Arial"/>
                <w:color w:val="000000"/>
                <w:sz w:val="16"/>
                <w:szCs w:val="16"/>
              </w:rPr>
              <w:t>25.9</w:t>
            </w:r>
          </w:p>
        </w:tc>
      </w:tr>
      <w:tr w:rsidR="00831EED" w:rsidRPr="00513E8F" w14:paraId="1CD84B76" w14:textId="77777777" w:rsidTr="00831EED">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14:paraId="071F99B0" w14:textId="77777777" w:rsidR="00831EED" w:rsidRPr="00513E8F" w:rsidRDefault="00831EED" w:rsidP="00831EED">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Tapachula (Chis.)</w:t>
            </w:r>
          </w:p>
        </w:tc>
        <w:tc>
          <w:tcPr>
            <w:tcW w:w="993" w:type="dxa"/>
            <w:tcBorders>
              <w:top w:val="nil"/>
              <w:left w:val="nil"/>
              <w:bottom w:val="single" w:sz="8" w:space="0" w:color="C6D9F1"/>
              <w:right w:val="single" w:sz="8" w:space="0" w:color="376091"/>
            </w:tcBorders>
            <w:shd w:val="clear" w:color="auto" w:fill="auto"/>
            <w:vAlign w:val="center"/>
          </w:tcPr>
          <w:p w14:paraId="6257B599" w14:textId="64C7994A"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100,138</w:t>
            </w:r>
          </w:p>
        </w:tc>
        <w:tc>
          <w:tcPr>
            <w:tcW w:w="992" w:type="dxa"/>
            <w:tcBorders>
              <w:top w:val="nil"/>
              <w:left w:val="nil"/>
              <w:bottom w:val="single" w:sz="8" w:space="0" w:color="C6D9F1"/>
              <w:right w:val="single" w:sz="8" w:space="0" w:color="376091"/>
            </w:tcBorders>
            <w:shd w:val="clear" w:color="auto" w:fill="auto"/>
            <w:vAlign w:val="center"/>
          </w:tcPr>
          <w:p w14:paraId="59DEA56B" w14:textId="27B612E2"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5,651</w:t>
            </w:r>
          </w:p>
        </w:tc>
        <w:tc>
          <w:tcPr>
            <w:tcW w:w="850" w:type="dxa"/>
            <w:tcBorders>
              <w:top w:val="nil"/>
              <w:left w:val="nil"/>
              <w:bottom w:val="single" w:sz="8" w:space="0" w:color="C6D9F1"/>
              <w:right w:val="single" w:sz="8" w:space="0" w:color="376091"/>
            </w:tcBorders>
            <w:shd w:val="clear" w:color="auto" w:fill="auto"/>
            <w:vAlign w:val="center"/>
          </w:tcPr>
          <w:p w14:paraId="4D7CD6DB" w14:textId="7132B07D"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59.7</w:t>
            </w:r>
          </w:p>
        </w:tc>
        <w:tc>
          <w:tcPr>
            <w:tcW w:w="849" w:type="dxa"/>
            <w:tcBorders>
              <w:top w:val="nil"/>
              <w:left w:val="nil"/>
              <w:bottom w:val="single" w:sz="8" w:space="0" w:color="C6D9F1"/>
              <w:right w:val="single" w:sz="8" w:space="0" w:color="376091"/>
            </w:tcBorders>
            <w:shd w:val="clear" w:color="auto" w:fill="auto"/>
            <w:vAlign w:val="center"/>
          </w:tcPr>
          <w:p w14:paraId="494B795B" w14:textId="457A769E"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5.3</w:t>
            </w:r>
          </w:p>
        </w:tc>
        <w:tc>
          <w:tcPr>
            <w:tcW w:w="852" w:type="dxa"/>
            <w:tcBorders>
              <w:top w:val="nil"/>
              <w:left w:val="nil"/>
              <w:bottom w:val="single" w:sz="8" w:space="0" w:color="C6D9F1"/>
              <w:right w:val="single" w:sz="8" w:space="0" w:color="376091"/>
            </w:tcBorders>
            <w:shd w:val="clear" w:color="auto" w:fill="auto"/>
            <w:vAlign w:val="center"/>
          </w:tcPr>
          <w:p w14:paraId="6F7B842D" w14:textId="61B85D34"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11.8</w:t>
            </w:r>
          </w:p>
        </w:tc>
        <w:tc>
          <w:tcPr>
            <w:tcW w:w="709" w:type="dxa"/>
            <w:tcBorders>
              <w:top w:val="nil"/>
              <w:left w:val="nil"/>
              <w:bottom w:val="single" w:sz="8" w:space="0" w:color="C6D9F1"/>
              <w:right w:val="single" w:sz="8" w:space="0" w:color="376091"/>
            </w:tcBorders>
            <w:shd w:val="clear" w:color="auto" w:fill="auto"/>
            <w:vAlign w:val="center"/>
          </w:tcPr>
          <w:p w14:paraId="708AB6AB" w14:textId="3EB4AAB7"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12.7</w:t>
            </w:r>
          </w:p>
        </w:tc>
        <w:tc>
          <w:tcPr>
            <w:tcW w:w="709" w:type="dxa"/>
            <w:tcBorders>
              <w:top w:val="nil"/>
              <w:left w:val="nil"/>
              <w:bottom w:val="single" w:sz="8" w:space="0" w:color="C6D9F1"/>
              <w:right w:val="single" w:sz="8" w:space="0" w:color="376091"/>
            </w:tcBorders>
            <w:shd w:val="clear" w:color="auto" w:fill="auto"/>
            <w:vAlign w:val="center"/>
          </w:tcPr>
          <w:p w14:paraId="148EB5EF" w14:textId="63B12388"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63.2</w:t>
            </w:r>
          </w:p>
        </w:tc>
        <w:tc>
          <w:tcPr>
            <w:tcW w:w="709" w:type="dxa"/>
            <w:tcBorders>
              <w:top w:val="nil"/>
              <w:left w:val="nil"/>
              <w:bottom w:val="single" w:sz="8" w:space="0" w:color="C6D9F1"/>
              <w:right w:val="single" w:sz="8" w:space="0" w:color="376091"/>
            </w:tcBorders>
            <w:shd w:val="clear" w:color="auto" w:fill="auto"/>
            <w:vAlign w:val="center"/>
          </w:tcPr>
          <w:p w14:paraId="41E65662" w14:textId="1273C2EB"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17.6</w:t>
            </w:r>
          </w:p>
        </w:tc>
        <w:tc>
          <w:tcPr>
            <w:tcW w:w="850" w:type="dxa"/>
            <w:tcBorders>
              <w:top w:val="nil"/>
              <w:left w:val="nil"/>
              <w:bottom w:val="single" w:sz="8" w:space="0" w:color="C6D9F1"/>
              <w:right w:val="single" w:sz="8" w:space="0" w:color="376091"/>
            </w:tcBorders>
            <w:shd w:val="clear" w:color="auto" w:fill="auto"/>
            <w:vAlign w:val="center"/>
          </w:tcPr>
          <w:p w14:paraId="3C8CCF29" w14:textId="4BB9101F"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41.3</w:t>
            </w:r>
          </w:p>
        </w:tc>
        <w:tc>
          <w:tcPr>
            <w:tcW w:w="709" w:type="dxa"/>
            <w:tcBorders>
              <w:top w:val="nil"/>
              <w:left w:val="nil"/>
              <w:bottom w:val="single" w:sz="8" w:space="0" w:color="C6D9F1"/>
              <w:right w:val="single" w:sz="8" w:space="0" w:color="376091"/>
            </w:tcBorders>
            <w:shd w:val="clear" w:color="auto" w:fill="auto"/>
            <w:vAlign w:val="center"/>
          </w:tcPr>
          <w:p w14:paraId="00F41E68" w14:textId="0ED664F3"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56.5</w:t>
            </w:r>
          </w:p>
        </w:tc>
        <w:tc>
          <w:tcPr>
            <w:tcW w:w="709" w:type="dxa"/>
            <w:tcBorders>
              <w:top w:val="nil"/>
              <w:left w:val="nil"/>
              <w:bottom w:val="single" w:sz="8" w:space="0" w:color="C6D9F1"/>
              <w:right w:val="single" w:sz="8" w:space="0" w:color="376091"/>
            </w:tcBorders>
            <w:shd w:val="clear" w:color="auto" w:fill="auto"/>
            <w:vAlign w:val="center"/>
          </w:tcPr>
          <w:p w14:paraId="303F2C56" w14:textId="4EB19F38"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30.4</w:t>
            </w:r>
          </w:p>
        </w:tc>
        <w:tc>
          <w:tcPr>
            <w:tcW w:w="850" w:type="dxa"/>
            <w:tcBorders>
              <w:top w:val="nil"/>
              <w:left w:val="nil"/>
              <w:bottom w:val="single" w:sz="8" w:space="0" w:color="C6D9F1"/>
              <w:right w:val="single" w:sz="8" w:space="0" w:color="376091"/>
            </w:tcBorders>
            <w:vAlign w:val="center"/>
          </w:tcPr>
          <w:p w14:paraId="0294ADB3" w14:textId="259EBC56" w:rsidR="00831EED" w:rsidRPr="00B77C92" w:rsidRDefault="00831EED" w:rsidP="00831EED">
            <w:pPr>
              <w:spacing w:after="0" w:line="240" w:lineRule="auto"/>
              <w:jc w:val="center"/>
              <w:rPr>
                <w:rFonts w:ascii="Arial" w:hAnsi="Arial" w:cs="Arial"/>
                <w:bCs/>
                <w:color w:val="000000"/>
                <w:sz w:val="16"/>
                <w:szCs w:val="16"/>
              </w:rPr>
            </w:pPr>
            <w:r>
              <w:rPr>
                <w:rFonts w:ascii="Arial" w:hAnsi="Arial" w:cs="Arial"/>
                <w:color w:val="000000"/>
                <w:sz w:val="16"/>
                <w:szCs w:val="16"/>
              </w:rPr>
              <w:t>33.1</w:t>
            </w:r>
          </w:p>
        </w:tc>
      </w:tr>
      <w:tr w:rsidR="00831EED" w:rsidRPr="00513E8F" w14:paraId="35E4912F" w14:textId="77777777" w:rsidTr="00831EED">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14:paraId="30D3BC22" w14:textId="77777777" w:rsidR="00831EED" w:rsidRPr="00513E8F" w:rsidRDefault="00831EED" w:rsidP="00831EED">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Tuxtla Gutiérrez (Chis.)</w:t>
            </w:r>
          </w:p>
        </w:tc>
        <w:tc>
          <w:tcPr>
            <w:tcW w:w="993" w:type="dxa"/>
            <w:tcBorders>
              <w:top w:val="nil"/>
              <w:left w:val="nil"/>
              <w:bottom w:val="single" w:sz="8" w:space="0" w:color="C6D9F1"/>
              <w:right w:val="single" w:sz="8" w:space="0" w:color="376091"/>
            </w:tcBorders>
            <w:shd w:val="clear" w:color="auto" w:fill="auto"/>
            <w:vAlign w:val="center"/>
          </w:tcPr>
          <w:p w14:paraId="45E53769" w14:textId="3EEEB577"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277,787</w:t>
            </w:r>
          </w:p>
        </w:tc>
        <w:tc>
          <w:tcPr>
            <w:tcW w:w="992" w:type="dxa"/>
            <w:tcBorders>
              <w:top w:val="nil"/>
              <w:left w:val="nil"/>
              <w:bottom w:val="single" w:sz="8" w:space="0" w:color="C6D9F1"/>
              <w:right w:val="single" w:sz="8" w:space="0" w:color="376091"/>
            </w:tcBorders>
            <w:shd w:val="clear" w:color="auto" w:fill="auto"/>
            <w:vAlign w:val="center"/>
          </w:tcPr>
          <w:p w14:paraId="058B8B2E" w14:textId="302E5764"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18,037</w:t>
            </w:r>
          </w:p>
        </w:tc>
        <w:tc>
          <w:tcPr>
            <w:tcW w:w="850" w:type="dxa"/>
            <w:tcBorders>
              <w:top w:val="nil"/>
              <w:left w:val="nil"/>
              <w:bottom w:val="single" w:sz="8" w:space="0" w:color="C6D9F1"/>
              <w:right w:val="single" w:sz="8" w:space="0" w:color="376091"/>
            </w:tcBorders>
            <w:shd w:val="clear" w:color="auto" w:fill="auto"/>
            <w:vAlign w:val="center"/>
          </w:tcPr>
          <w:p w14:paraId="55671F34" w14:textId="050244CE"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59.4</w:t>
            </w:r>
          </w:p>
        </w:tc>
        <w:tc>
          <w:tcPr>
            <w:tcW w:w="849" w:type="dxa"/>
            <w:tcBorders>
              <w:top w:val="nil"/>
              <w:left w:val="nil"/>
              <w:bottom w:val="single" w:sz="8" w:space="0" w:color="C6D9F1"/>
              <w:right w:val="single" w:sz="8" w:space="0" w:color="376091"/>
            </w:tcBorders>
            <w:shd w:val="clear" w:color="auto" w:fill="auto"/>
            <w:vAlign w:val="center"/>
          </w:tcPr>
          <w:p w14:paraId="7024F045" w14:textId="4649D71E"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6.1</w:t>
            </w:r>
          </w:p>
        </w:tc>
        <w:tc>
          <w:tcPr>
            <w:tcW w:w="852" w:type="dxa"/>
            <w:tcBorders>
              <w:top w:val="nil"/>
              <w:left w:val="nil"/>
              <w:bottom w:val="single" w:sz="8" w:space="0" w:color="C6D9F1"/>
              <w:right w:val="single" w:sz="8" w:space="0" w:color="376091"/>
            </w:tcBorders>
            <w:shd w:val="clear" w:color="auto" w:fill="auto"/>
            <w:vAlign w:val="center"/>
          </w:tcPr>
          <w:p w14:paraId="542273DD" w14:textId="1FAB31CD"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12.1</w:t>
            </w:r>
          </w:p>
        </w:tc>
        <w:tc>
          <w:tcPr>
            <w:tcW w:w="709" w:type="dxa"/>
            <w:tcBorders>
              <w:top w:val="nil"/>
              <w:left w:val="nil"/>
              <w:bottom w:val="single" w:sz="8" w:space="0" w:color="C6D9F1"/>
              <w:right w:val="single" w:sz="8" w:space="0" w:color="376091"/>
            </w:tcBorders>
            <w:shd w:val="clear" w:color="auto" w:fill="auto"/>
            <w:vAlign w:val="center"/>
          </w:tcPr>
          <w:p w14:paraId="48C3B53C" w14:textId="3D807C27"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9.9</w:t>
            </w:r>
          </w:p>
        </w:tc>
        <w:tc>
          <w:tcPr>
            <w:tcW w:w="709" w:type="dxa"/>
            <w:tcBorders>
              <w:top w:val="nil"/>
              <w:left w:val="nil"/>
              <w:bottom w:val="single" w:sz="8" w:space="0" w:color="C6D9F1"/>
              <w:right w:val="single" w:sz="8" w:space="0" w:color="376091"/>
            </w:tcBorders>
            <w:shd w:val="clear" w:color="auto" w:fill="auto"/>
            <w:vAlign w:val="center"/>
          </w:tcPr>
          <w:p w14:paraId="170C915F" w14:textId="61F8D5A7"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64.9</w:t>
            </w:r>
          </w:p>
        </w:tc>
        <w:tc>
          <w:tcPr>
            <w:tcW w:w="709" w:type="dxa"/>
            <w:tcBorders>
              <w:top w:val="nil"/>
              <w:left w:val="nil"/>
              <w:bottom w:val="single" w:sz="8" w:space="0" w:color="C6D9F1"/>
              <w:right w:val="single" w:sz="8" w:space="0" w:color="376091"/>
            </w:tcBorders>
            <w:shd w:val="clear" w:color="auto" w:fill="auto"/>
            <w:vAlign w:val="center"/>
          </w:tcPr>
          <w:p w14:paraId="5831A36E" w14:textId="280738C2"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13.0</w:t>
            </w:r>
          </w:p>
        </w:tc>
        <w:tc>
          <w:tcPr>
            <w:tcW w:w="850" w:type="dxa"/>
            <w:tcBorders>
              <w:top w:val="nil"/>
              <w:left w:val="nil"/>
              <w:bottom w:val="single" w:sz="8" w:space="0" w:color="C6D9F1"/>
              <w:right w:val="single" w:sz="8" w:space="0" w:color="376091"/>
            </w:tcBorders>
            <w:shd w:val="clear" w:color="auto" w:fill="auto"/>
            <w:vAlign w:val="center"/>
          </w:tcPr>
          <w:p w14:paraId="03579C77" w14:textId="37962031"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35.3</w:t>
            </w:r>
          </w:p>
        </w:tc>
        <w:tc>
          <w:tcPr>
            <w:tcW w:w="709" w:type="dxa"/>
            <w:tcBorders>
              <w:top w:val="nil"/>
              <w:left w:val="nil"/>
              <w:bottom w:val="single" w:sz="8" w:space="0" w:color="C6D9F1"/>
              <w:right w:val="single" w:sz="8" w:space="0" w:color="376091"/>
            </w:tcBorders>
            <w:shd w:val="clear" w:color="auto" w:fill="auto"/>
            <w:vAlign w:val="center"/>
          </w:tcPr>
          <w:p w14:paraId="531A2B1D" w14:textId="49D062CE"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51.4</w:t>
            </w:r>
          </w:p>
        </w:tc>
        <w:tc>
          <w:tcPr>
            <w:tcW w:w="709" w:type="dxa"/>
            <w:tcBorders>
              <w:top w:val="nil"/>
              <w:left w:val="nil"/>
              <w:bottom w:val="single" w:sz="8" w:space="0" w:color="C6D9F1"/>
              <w:right w:val="single" w:sz="8" w:space="0" w:color="376091"/>
            </w:tcBorders>
            <w:shd w:val="clear" w:color="auto" w:fill="auto"/>
            <w:vAlign w:val="center"/>
          </w:tcPr>
          <w:p w14:paraId="2DF4E5FB" w14:textId="60CE59D9"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25.2</w:t>
            </w:r>
          </w:p>
        </w:tc>
        <w:tc>
          <w:tcPr>
            <w:tcW w:w="850" w:type="dxa"/>
            <w:tcBorders>
              <w:top w:val="nil"/>
              <w:left w:val="nil"/>
              <w:bottom w:val="single" w:sz="8" w:space="0" w:color="C6D9F1"/>
              <w:right w:val="single" w:sz="8" w:space="0" w:color="376091"/>
            </w:tcBorders>
            <w:vAlign w:val="center"/>
          </w:tcPr>
          <w:p w14:paraId="27279DFC" w14:textId="798205CE" w:rsidR="00831EED" w:rsidRPr="00B77C92" w:rsidRDefault="00831EED" w:rsidP="00831EED">
            <w:pPr>
              <w:spacing w:after="0" w:line="240" w:lineRule="auto"/>
              <w:jc w:val="center"/>
              <w:rPr>
                <w:rFonts w:ascii="Arial" w:hAnsi="Arial" w:cs="Arial"/>
                <w:bCs/>
                <w:color w:val="000000"/>
                <w:sz w:val="16"/>
                <w:szCs w:val="16"/>
              </w:rPr>
            </w:pPr>
            <w:r>
              <w:rPr>
                <w:rFonts w:ascii="Arial" w:hAnsi="Arial" w:cs="Arial"/>
                <w:color w:val="000000"/>
                <w:sz w:val="16"/>
                <w:szCs w:val="16"/>
              </w:rPr>
              <w:t>28.7</w:t>
            </w:r>
          </w:p>
        </w:tc>
      </w:tr>
      <w:tr w:rsidR="00831EED" w:rsidRPr="00513E8F" w14:paraId="693DB575" w14:textId="77777777" w:rsidTr="00831EED">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14:paraId="1CA27A3D" w14:textId="77777777" w:rsidR="00831EED" w:rsidRPr="00513E8F" w:rsidRDefault="00831EED" w:rsidP="00831EED">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Chihuahua (Chih.)</w:t>
            </w:r>
          </w:p>
        </w:tc>
        <w:tc>
          <w:tcPr>
            <w:tcW w:w="993" w:type="dxa"/>
            <w:tcBorders>
              <w:top w:val="nil"/>
              <w:left w:val="nil"/>
              <w:bottom w:val="single" w:sz="8" w:space="0" w:color="C6D9F1"/>
              <w:right w:val="single" w:sz="8" w:space="0" w:color="376091"/>
            </w:tcBorders>
            <w:shd w:val="clear" w:color="auto" w:fill="auto"/>
            <w:vAlign w:val="center"/>
          </w:tcPr>
          <w:p w14:paraId="2038388D" w14:textId="1C7D85C7"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419,103</w:t>
            </w:r>
          </w:p>
        </w:tc>
        <w:tc>
          <w:tcPr>
            <w:tcW w:w="992" w:type="dxa"/>
            <w:tcBorders>
              <w:top w:val="nil"/>
              <w:left w:val="nil"/>
              <w:bottom w:val="single" w:sz="8" w:space="0" w:color="C6D9F1"/>
              <w:right w:val="single" w:sz="8" w:space="0" w:color="376091"/>
            </w:tcBorders>
            <w:shd w:val="clear" w:color="auto" w:fill="auto"/>
            <w:vAlign w:val="center"/>
          </w:tcPr>
          <w:p w14:paraId="27DE2A27" w14:textId="12D33ECC"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23,442</w:t>
            </w:r>
          </w:p>
        </w:tc>
        <w:tc>
          <w:tcPr>
            <w:tcW w:w="850" w:type="dxa"/>
            <w:tcBorders>
              <w:top w:val="nil"/>
              <w:left w:val="nil"/>
              <w:bottom w:val="single" w:sz="8" w:space="0" w:color="C6D9F1"/>
              <w:right w:val="single" w:sz="8" w:space="0" w:color="376091"/>
            </w:tcBorders>
            <w:shd w:val="clear" w:color="auto" w:fill="auto"/>
            <w:vAlign w:val="center"/>
          </w:tcPr>
          <w:p w14:paraId="1103E519" w14:textId="635F3AD0"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59.4</w:t>
            </w:r>
          </w:p>
        </w:tc>
        <w:tc>
          <w:tcPr>
            <w:tcW w:w="849" w:type="dxa"/>
            <w:tcBorders>
              <w:top w:val="nil"/>
              <w:left w:val="nil"/>
              <w:bottom w:val="single" w:sz="8" w:space="0" w:color="C6D9F1"/>
              <w:right w:val="single" w:sz="8" w:space="0" w:color="376091"/>
            </w:tcBorders>
            <w:shd w:val="clear" w:color="auto" w:fill="auto"/>
            <w:vAlign w:val="center"/>
          </w:tcPr>
          <w:p w14:paraId="5D78BC22" w14:textId="1C5A7CFF"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5.3</w:t>
            </w:r>
          </w:p>
        </w:tc>
        <w:tc>
          <w:tcPr>
            <w:tcW w:w="852" w:type="dxa"/>
            <w:tcBorders>
              <w:top w:val="nil"/>
              <w:left w:val="nil"/>
              <w:bottom w:val="single" w:sz="8" w:space="0" w:color="C6D9F1"/>
              <w:right w:val="single" w:sz="8" w:space="0" w:color="376091"/>
            </w:tcBorders>
            <w:shd w:val="clear" w:color="auto" w:fill="auto"/>
            <w:vAlign w:val="center"/>
          </w:tcPr>
          <w:p w14:paraId="7BD64C33" w14:textId="2424F732"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8.5</w:t>
            </w:r>
          </w:p>
        </w:tc>
        <w:tc>
          <w:tcPr>
            <w:tcW w:w="709" w:type="dxa"/>
            <w:tcBorders>
              <w:top w:val="nil"/>
              <w:left w:val="nil"/>
              <w:bottom w:val="single" w:sz="8" w:space="0" w:color="C6D9F1"/>
              <w:right w:val="single" w:sz="8" w:space="0" w:color="376091"/>
            </w:tcBorders>
            <w:shd w:val="clear" w:color="auto" w:fill="auto"/>
            <w:vAlign w:val="center"/>
          </w:tcPr>
          <w:p w14:paraId="67363749" w14:textId="66B76F03"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9.0</w:t>
            </w:r>
          </w:p>
        </w:tc>
        <w:tc>
          <w:tcPr>
            <w:tcW w:w="709" w:type="dxa"/>
            <w:tcBorders>
              <w:top w:val="nil"/>
              <w:left w:val="nil"/>
              <w:bottom w:val="single" w:sz="8" w:space="0" w:color="C6D9F1"/>
              <w:right w:val="single" w:sz="8" w:space="0" w:color="376091"/>
            </w:tcBorders>
            <w:shd w:val="clear" w:color="auto" w:fill="auto"/>
            <w:vAlign w:val="center"/>
          </w:tcPr>
          <w:p w14:paraId="25F3E7FA" w14:textId="511D2765"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79.1</w:t>
            </w:r>
          </w:p>
        </w:tc>
        <w:tc>
          <w:tcPr>
            <w:tcW w:w="709" w:type="dxa"/>
            <w:tcBorders>
              <w:top w:val="nil"/>
              <w:left w:val="nil"/>
              <w:bottom w:val="single" w:sz="8" w:space="0" w:color="C6D9F1"/>
              <w:right w:val="single" w:sz="8" w:space="0" w:color="376091"/>
            </w:tcBorders>
            <w:shd w:val="clear" w:color="auto" w:fill="auto"/>
            <w:vAlign w:val="center"/>
          </w:tcPr>
          <w:p w14:paraId="19173059" w14:textId="689952A4"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7.2</w:t>
            </w:r>
          </w:p>
        </w:tc>
        <w:tc>
          <w:tcPr>
            <w:tcW w:w="850" w:type="dxa"/>
            <w:tcBorders>
              <w:top w:val="nil"/>
              <w:left w:val="nil"/>
              <w:bottom w:val="single" w:sz="8" w:space="0" w:color="C6D9F1"/>
              <w:right w:val="single" w:sz="8" w:space="0" w:color="376091"/>
            </w:tcBorders>
            <w:shd w:val="clear" w:color="auto" w:fill="auto"/>
            <w:vAlign w:val="center"/>
          </w:tcPr>
          <w:p w14:paraId="29A68799" w14:textId="06337105"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13.4</w:t>
            </w:r>
          </w:p>
        </w:tc>
        <w:tc>
          <w:tcPr>
            <w:tcW w:w="709" w:type="dxa"/>
            <w:tcBorders>
              <w:top w:val="nil"/>
              <w:left w:val="nil"/>
              <w:bottom w:val="single" w:sz="8" w:space="0" w:color="C6D9F1"/>
              <w:right w:val="single" w:sz="8" w:space="0" w:color="376091"/>
            </w:tcBorders>
            <w:shd w:val="clear" w:color="auto" w:fill="auto"/>
            <w:vAlign w:val="center"/>
          </w:tcPr>
          <w:p w14:paraId="74ACB412" w14:textId="172DDFCA"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28.9</w:t>
            </w:r>
          </w:p>
        </w:tc>
        <w:tc>
          <w:tcPr>
            <w:tcW w:w="709" w:type="dxa"/>
            <w:tcBorders>
              <w:top w:val="nil"/>
              <w:left w:val="nil"/>
              <w:bottom w:val="single" w:sz="8" w:space="0" w:color="C6D9F1"/>
              <w:right w:val="single" w:sz="8" w:space="0" w:color="376091"/>
            </w:tcBorders>
            <w:shd w:val="clear" w:color="auto" w:fill="auto"/>
            <w:vAlign w:val="center"/>
          </w:tcPr>
          <w:p w14:paraId="20851F49" w14:textId="4EADDCA9"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16.3</w:t>
            </w:r>
          </w:p>
        </w:tc>
        <w:tc>
          <w:tcPr>
            <w:tcW w:w="850" w:type="dxa"/>
            <w:tcBorders>
              <w:top w:val="nil"/>
              <w:left w:val="nil"/>
              <w:bottom w:val="single" w:sz="8" w:space="0" w:color="C6D9F1"/>
              <w:right w:val="single" w:sz="8" w:space="0" w:color="376091"/>
            </w:tcBorders>
            <w:vAlign w:val="center"/>
          </w:tcPr>
          <w:p w14:paraId="2E0DFA07" w14:textId="6753B2B1" w:rsidR="00831EED" w:rsidRPr="00B77C92" w:rsidRDefault="00831EED" w:rsidP="00831EED">
            <w:pPr>
              <w:spacing w:after="0" w:line="240" w:lineRule="auto"/>
              <w:jc w:val="center"/>
              <w:rPr>
                <w:rFonts w:ascii="Arial" w:hAnsi="Arial" w:cs="Arial"/>
                <w:bCs/>
                <w:color w:val="000000"/>
                <w:sz w:val="16"/>
                <w:szCs w:val="16"/>
              </w:rPr>
            </w:pPr>
            <w:r>
              <w:rPr>
                <w:rFonts w:ascii="Arial" w:hAnsi="Arial" w:cs="Arial"/>
                <w:color w:val="000000"/>
                <w:sz w:val="16"/>
                <w:szCs w:val="16"/>
              </w:rPr>
              <w:t>22.9</w:t>
            </w:r>
          </w:p>
        </w:tc>
      </w:tr>
      <w:tr w:rsidR="00831EED" w:rsidRPr="00513E8F" w14:paraId="40A929BA" w14:textId="77777777" w:rsidTr="00831EED">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14:paraId="7F673E50" w14:textId="77777777" w:rsidR="00831EED" w:rsidRPr="00513E8F" w:rsidRDefault="00831EED" w:rsidP="00831EED">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Ciudad Juárez (Chih.)</w:t>
            </w:r>
          </w:p>
        </w:tc>
        <w:tc>
          <w:tcPr>
            <w:tcW w:w="993" w:type="dxa"/>
            <w:tcBorders>
              <w:top w:val="nil"/>
              <w:left w:val="nil"/>
              <w:bottom w:val="single" w:sz="8" w:space="0" w:color="C6D9F1"/>
              <w:right w:val="single" w:sz="8" w:space="0" w:color="376091"/>
            </w:tcBorders>
            <w:shd w:val="clear" w:color="auto" w:fill="auto"/>
            <w:vAlign w:val="center"/>
          </w:tcPr>
          <w:p w14:paraId="36CE8A16" w14:textId="0E612379"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691,826</w:t>
            </w:r>
          </w:p>
        </w:tc>
        <w:tc>
          <w:tcPr>
            <w:tcW w:w="992" w:type="dxa"/>
            <w:tcBorders>
              <w:top w:val="nil"/>
              <w:left w:val="nil"/>
              <w:bottom w:val="single" w:sz="8" w:space="0" w:color="C6D9F1"/>
              <w:right w:val="single" w:sz="8" w:space="0" w:color="376091"/>
            </w:tcBorders>
            <w:shd w:val="clear" w:color="auto" w:fill="auto"/>
            <w:vAlign w:val="center"/>
          </w:tcPr>
          <w:p w14:paraId="2C942DC2" w14:textId="257DA1D8"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21,489</w:t>
            </w:r>
          </w:p>
        </w:tc>
        <w:tc>
          <w:tcPr>
            <w:tcW w:w="850" w:type="dxa"/>
            <w:tcBorders>
              <w:top w:val="nil"/>
              <w:left w:val="nil"/>
              <w:bottom w:val="single" w:sz="8" w:space="0" w:color="C6D9F1"/>
              <w:right w:val="single" w:sz="8" w:space="0" w:color="376091"/>
            </w:tcBorders>
            <w:shd w:val="clear" w:color="auto" w:fill="auto"/>
            <w:vAlign w:val="center"/>
          </w:tcPr>
          <w:p w14:paraId="4BAC350E" w14:textId="7E4275C8"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63.8</w:t>
            </w:r>
          </w:p>
        </w:tc>
        <w:tc>
          <w:tcPr>
            <w:tcW w:w="849" w:type="dxa"/>
            <w:tcBorders>
              <w:top w:val="nil"/>
              <w:left w:val="nil"/>
              <w:bottom w:val="single" w:sz="8" w:space="0" w:color="C6D9F1"/>
              <w:right w:val="single" w:sz="8" w:space="0" w:color="376091"/>
            </w:tcBorders>
            <w:shd w:val="clear" w:color="auto" w:fill="auto"/>
            <w:vAlign w:val="center"/>
          </w:tcPr>
          <w:p w14:paraId="287C422A" w14:textId="59E36AC0"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3.0</w:t>
            </w:r>
          </w:p>
        </w:tc>
        <w:tc>
          <w:tcPr>
            <w:tcW w:w="852" w:type="dxa"/>
            <w:tcBorders>
              <w:top w:val="nil"/>
              <w:left w:val="nil"/>
              <w:bottom w:val="single" w:sz="8" w:space="0" w:color="C6D9F1"/>
              <w:right w:val="single" w:sz="8" w:space="0" w:color="376091"/>
            </w:tcBorders>
            <w:shd w:val="clear" w:color="auto" w:fill="auto"/>
            <w:vAlign w:val="center"/>
          </w:tcPr>
          <w:p w14:paraId="42030433" w14:textId="39472604"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8.7</w:t>
            </w:r>
          </w:p>
        </w:tc>
        <w:tc>
          <w:tcPr>
            <w:tcW w:w="709" w:type="dxa"/>
            <w:tcBorders>
              <w:top w:val="nil"/>
              <w:left w:val="nil"/>
              <w:bottom w:val="single" w:sz="8" w:space="0" w:color="C6D9F1"/>
              <w:right w:val="single" w:sz="8" w:space="0" w:color="376091"/>
            </w:tcBorders>
            <w:shd w:val="clear" w:color="auto" w:fill="auto"/>
            <w:vAlign w:val="center"/>
          </w:tcPr>
          <w:p w14:paraId="08C4E230" w14:textId="45206CA3"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7.7</w:t>
            </w:r>
          </w:p>
        </w:tc>
        <w:tc>
          <w:tcPr>
            <w:tcW w:w="709" w:type="dxa"/>
            <w:tcBorders>
              <w:top w:val="nil"/>
              <w:left w:val="nil"/>
              <w:bottom w:val="single" w:sz="8" w:space="0" w:color="C6D9F1"/>
              <w:right w:val="single" w:sz="8" w:space="0" w:color="376091"/>
            </w:tcBorders>
            <w:shd w:val="clear" w:color="auto" w:fill="auto"/>
            <w:vAlign w:val="center"/>
          </w:tcPr>
          <w:p w14:paraId="0425EDC2" w14:textId="4B4BB6A3"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77.7</w:t>
            </w:r>
          </w:p>
        </w:tc>
        <w:tc>
          <w:tcPr>
            <w:tcW w:w="709" w:type="dxa"/>
            <w:tcBorders>
              <w:top w:val="nil"/>
              <w:left w:val="nil"/>
              <w:bottom w:val="single" w:sz="8" w:space="0" w:color="C6D9F1"/>
              <w:right w:val="single" w:sz="8" w:space="0" w:color="376091"/>
            </w:tcBorders>
            <w:shd w:val="clear" w:color="auto" w:fill="auto"/>
            <w:vAlign w:val="center"/>
          </w:tcPr>
          <w:p w14:paraId="3E1EE64C" w14:textId="4C83AC50"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9.5</w:t>
            </w:r>
          </w:p>
        </w:tc>
        <w:tc>
          <w:tcPr>
            <w:tcW w:w="850" w:type="dxa"/>
            <w:tcBorders>
              <w:top w:val="nil"/>
              <w:left w:val="nil"/>
              <w:bottom w:val="single" w:sz="8" w:space="0" w:color="C6D9F1"/>
              <w:right w:val="single" w:sz="8" w:space="0" w:color="376091"/>
            </w:tcBorders>
            <w:shd w:val="clear" w:color="auto" w:fill="auto"/>
            <w:vAlign w:val="center"/>
          </w:tcPr>
          <w:p w14:paraId="4275BBA4" w14:textId="3ED60AEB"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33.5</w:t>
            </w:r>
          </w:p>
        </w:tc>
        <w:tc>
          <w:tcPr>
            <w:tcW w:w="709" w:type="dxa"/>
            <w:tcBorders>
              <w:top w:val="nil"/>
              <w:left w:val="nil"/>
              <w:bottom w:val="single" w:sz="8" w:space="0" w:color="C6D9F1"/>
              <w:right w:val="single" w:sz="8" w:space="0" w:color="376091"/>
            </w:tcBorders>
            <w:shd w:val="clear" w:color="auto" w:fill="auto"/>
            <w:vAlign w:val="center"/>
          </w:tcPr>
          <w:p w14:paraId="39AC47BD" w14:textId="71B456F0"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26.3</w:t>
            </w:r>
          </w:p>
        </w:tc>
        <w:tc>
          <w:tcPr>
            <w:tcW w:w="709" w:type="dxa"/>
            <w:tcBorders>
              <w:top w:val="nil"/>
              <w:left w:val="nil"/>
              <w:bottom w:val="single" w:sz="8" w:space="0" w:color="C6D9F1"/>
              <w:right w:val="single" w:sz="8" w:space="0" w:color="376091"/>
            </w:tcBorders>
            <w:shd w:val="clear" w:color="auto" w:fill="auto"/>
            <w:vAlign w:val="center"/>
          </w:tcPr>
          <w:p w14:paraId="2148EA3D" w14:textId="54435379"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13.9</w:t>
            </w:r>
          </w:p>
        </w:tc>
        <w:tc>
          <w:tcPr>
            <w:tcW w:w="850" w:type="dxa"/>
            <w:tcBorders>
              <w:top w:val="nil"/>
              <w:left w:val="nil"/>
              <w:bottom w:val="single" w:sz="8" w:space="0" w:color="C6D9F1"/>
              <w:right w:val="single" w:sz="8" w:space="0" w:color="376091"/>
            </w:tcBorders>
            <w:vAlign w:val="center"/>
          </w:tcPr>
          <w:p w14:paraId="054EF211" w14:textId="57CC298C" w:rsidR="00831EED" w:rsidRPr="00B77C92" w:rsidRDefault="00831EED" w:rsidP="00831EED">
            <w:pPr>
              <w:spacing w:after="0" w:line="240" w:lineRule="auto"/>
              <w:jc w:val="center"/>
              <w:rPr>
                <w:rFonts w:ascii="Arial" w:hAnsi="Arial" w:cs="Arial"/>
                <w:bCs/>
                <w:color w:val="000000"/>
                <w:sz w:val="16"/>
                <w:szCs w:val="16"/>
              </w:rPr>
            </w:pPr>
            <w:r>
              <w:rPr>
                <w:rFonts w:ascii="Arial" w:hAnsi="Arial" w:cs="Arial"/>
                <w:color w:val="000000"/>
                <w:sz w:val="16"/>
                <w:szCs w:val="16"/>
              </w:rPr>
              <w:t>17.6</w:t>
            </w:r>
          </w:p>
        </w:tc>
      </w:tr>
      <w:tr w:rsidR="00831EED" w:rsidRPr="00513E8F" w14:paraId="4D4F37F4" w14:textId="77777777" w:rsidTr="00831EED">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14:paraId="34B29D36" w14:textId="77777777" w:rsidR="00831EED" w:rsidRPr="00513E8F" w:rsidRDefault="00831EED" w:rsidP="00831EED">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Ciudad de México (CDMX y Edo. Méx.)</w:t>
            </w:r>
          </w:p>
        </w:tc>
        <w:tc>
          <w:tcPr>
            <w:tcW w:w="993" w:type="dxa"/>
            <w:tcBorders>
              <w:top w:val="nil"/>
              <w:left w:val="nil"/>
              <w:bottom w:val="single" w:sz="8" w:space="0" w:color="C6D9F1"/>
              <w:right w:val="single" w:sz="8" w:space="0" w:color="376091"/>
            </w:tcBorders>
            <w:shd w:val="clear" w:color="auto" w:fill="auto"/>
            <w:vAlign w:val="center"/>
          </w:tcPr>
          <w:p w14:paraId="4345F5E3" w14:textId="40DEC722"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8,033,047</w:t>
            </w:r>
          </w:p>
        </w:tc>
        <w:tc>
          <w:tcPr>
            <w:tcW w:w="992" w:type="dxa"/>
            <w:tcBorders>
              <w:top w:val="nil"/>
              <w:left w:val="nil"/>
              <w:bottom w:val="single" w:sz="8" w:space="0" w:color="C6D9F1"/>
              <w:right w:val="single" w:sz="8" w:space="0" w:color="376091"/>
            </w:tcBorders>
            <w:shd w:val="clear" w:color="auto" w:fill="auto"/>
            <w:vAlign w:val="center"/>
          </w:tcPr>
          <w:p w14:paraId="6DF6D410" w14:textId="7B463360"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643,244</w:t>
            </w:r>
          </w:p>
        </w:tc>
        <w:tc>
          <w:tcPr>
            <w:tcW w:w="850" w:type="dxa"/>
            <w:tcBorders>
              <w:top w:val="nil"/>
              <w:left w:val="nil"/>
              <w:bottom w:val="single" w:sz="8" w:space="0" w:color="C6D9F1"/>
              <w:right w:val="single" w:sz="8" w:space="0" w:color="376091"/>
            </w:tcBorders>
            <w:shd w:val="clear" w:color="auto" w:fill="auto"/>
            <w:vAlign w:val="center"/>
          </w:tcPr>
          <w:p w14:paraId="31325868" w14:textId="2DFB844A"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53.9</w:t>
            </w:r>
          </w:p>
        </w:tc>
        <w:tc>
          <w:tcPr>
            <w:tcW w:w="849" w:type="dxa"/>
            <w:tcBorders>
              <w:top w:val="nil"/>
              <w:left w:val="nil"/>
              <w:bottom w:val="single" w:sz="8" w:space="0" w:color="C6D9F1"/>
              <w:right w:val="single" w:sz="8" w:space="0" w:color="376091"/>
            </w:tcBorders>
            <w:shd w:val="clear" w:color="auto" w:fill="auto"/>
            <w:vAlign w:val="center"/>
          </w:tcPr>
          <w:p w14:paraId="73766B84" w14:textId="455596CE"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7.4</w:t>
            </w:r>
          </w:p>
        </w:tc>
        <w:tc>
          <w:tcPr>
            <w:tcW w:w="852" w:type="dxa"/>
            <w:tcBorders>
              <w:top w:val="nil"/>
              <w:left w:val="nil"/>
              <w:bottom w:val="single" w:sz="8" w:space="0" w:color="C6D9F1"/>
              <w:right w:val="single" w:sz="8" w:space="0" w:color="376091"/>
            </w:tcBorders>
            <w:shd w:val="clear" w:color="auto" w:fill="auto"/>
            <w:vAlign w:val="center"/>
          </w:tcPr>
          <w:p w14:paraId="210789B6" w14:textId="007D45B5"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14.0</w:t>
            </w:r>
          </w:p>
        </w:tc>
        <w:tc>
          <w:tcPr>
            <w:tcW w:w="709" w:type="dxa"/>
            <w:tcBorders>
              <w:top w:val="nil"/>
              <w:left w:val="nil"/>
              <w:bottom w:val="single" w:sz="8" w:space="0" w:color="C6D9F1"/>
              <w:right w:val="single" w:sz="8" w:space="0" w:color="376091"/>
            </w:tcBorders>
            <w:shd w:val="clear" w:color="auto" w:fill="auto"/>
            <w:vAlign w:val="center"/>
          </w:tcPr>
          <w:p w14:paraId="393ACE2E" w14:textId="38F81675"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12.3</w:t>
            </w:r>
          </w:p>
        </w:tc>
        <w:tc>
          <w:tcPr>
            <w:tcW w:w="709" w:type="dxa"/>
            <w:tcBorders>
              <w:top w:val="nil"/>
              <w:left w:val="nil"/>
              <w:bottom w:val="single" w:sz="8" w:space="0" w:color="C6D9F1"/>
              <w:right w:val="single" w:sz="8" w:space="0" w:color="376091"/>
            </w:tcBorders>
            <w:shd w:val="clear" w:color="auto" w:fill="auto"/>
            <w:vAlign w:val="center"/>
          </w:tcPr>
          <w:p w14:paraId="200483FE" w14:textId="40EE2D39"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67.9</w:t>
            </w:r>
          </w:p>
        </w:tc>
        <w:tc>
          <w:tcPr>
            <w:tcW w:w="709" w:type="dxa"/>
            <w:tcBorders>
              <w:top w:val="nil"/>
              <w:left w:val="nil"/>
              <w:bottom w:val="single" w:sz="8" w:space="0" w:color="C6D9F1"/>
              <w:right w:val="single" w:sz="8" w:space="0" w:color="376091"/>
            </w:tcBorders>
            <w:shd w:val="clear" w:color="auto" w:fill="auto"/>
            <w:vAlign w:val="center"/>
          </w:tcPr>
          <w:p w14:paraId="68487379" w14:textId="051048FE"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23.5</w:t>
            </w:r>
          </w:p>
        </w:tc>
        <w:tc>
          <w:tcPr>
            <w:tcW w:w="850" w:type="dxa"/>
            <w:tcBorders>
              <w:top w:val="nil"/>
              <w:left w:val="nil"/>
              <w:bottom w:val="single" w:sz="8" w:space="0" w:color="C6D9F1"/>
              <w:right w:val="single" w:sz="8" w:space="0" w:color="376091"/>
            </w:tcBorders>
            <w:shd w:val="clear" w:color="auto" w:fill="auto"/>
            <w:vAlign w:val="center"/>
          </w:tcPr>
          <w:p w14:paraId="3E82DEBF" w14:textId="3A01B301"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29.6</w:t>
            </w:r>
          </w:p>
        </w:tc>
        <w:tc>
          <w:tcPr>
            <w:tcW w:w="709" w:type="dxa"/>
            <w:tcBorders>
              <w:top w:val="nil"/>
              <w:left w:val="nil"/>
              <w:bottom w:val="single" w:sz="8" w:space="0" w:color="C6D9F1"/>
              <w:right w:val="single" w:sz="8" w:space="0" w:color="376091"/>
            </w:tcBorders>
            <w:shd w:val="clear" w:color="auto" w:fill="auto"/>
            <w:vAlign w:val="center"/>
          </w:tcPr>
          <w:p w14:paraId="3DA80D8B" w14:textId="34BA998A"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49.8</w:t>
            </w:r>
          </w:p>
        </w:tc>
        <w:tc>
          <w:tcPr>
            <w:tcW w:w="709" w:type="dxa"/>
            <w:tcBorders>
              <w:top w:val="nil"/>
              <w:left w:val="nil"/>
              <w:bottom w:val="single" w:sz="8" w:space="0" w:color="C6D9F1"/>
              <w:right w:val="single" w:sz="8" w:space="0" w:color="376091"/>
            </w:tcBorders>
            <w:shd w:val="clear" w:color="auto" w:fill="auto"/>
            <w:vAlign w:val="center"/>
          </w:tcPr>
          <w:p w14:paraId="731C6443" w14:textId="406E534D"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32.9</w:t>
            </w:r>
          </w:p>
        </w:tc>
        <w:tc>
          <w:tcPr>
            <w:tcW w:w="850" w:type="dxa"/>
            <w:tcBorders>
              <w:top w:val="nil"/>
              <w:left w:val="nil"/>
              <w:bottom w:val="single" w:sz="8" w:space="0" w:color="C6D9F1"/>
              <w:right w:val="single" w:sz="8" w:space="0" w:color="376091"/>
            </w:tcBorders>
            <w:vAlign w:val="center"/>
          </w:tcPr>
          <w:p w14:paraId="233F4538" w14:textId="0A498C19" w:rsidR="00831EED" w:rsidRPr="00B77C92" w:rsidRDefault="00831EED" w:rsidP="00831EED">
            <w:pPr>
              <w:spacing w:after="0" w:line="240" w:lineRule="auto"/>
              <w:jc w:val="center"/>
              <w:rPr>
                <w:rFonts w:ascii="Arial" w:hAnsi="Arial" w:cs="Arial"/>
                <w:bCs/>
                <w:color w:val="000000"/>
                <w:sz w:val="16"/>
                <w:szCs w:val="16"/>
              </w:rPr>
            </w:pPr>
            <w:r>
              <w:rPr>
                <w:rFonts w:ascii="Arial" w:hAnsi="Arial" w:cs="Arial"/>
                <w:color w:val="000000"/>
                <w:sz w:val="16"/>
                <w:szCs w:val="16"/>
              </w:rPr>
              <w:t>42.3</w:t>
            </w:r>
          </w:p>
        </w:tc>
      </w:tr>
      <w:tr w:rsidR="00831EED" w:rsidRPr="00513E8F" w14:paraId="5F60993A" w14:textId="77777777" w:rsidTr="00831EED">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14:paraId="732277D6" w14:textId="77777777" w:rsidR="00831EED" w:rsidRPr="00513E8F" w:rsidRDefault="00831EED" w:rsidP="00831EED">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Durango (</w:t>
            </w:r>
            <w:proofErr w:type="spellStart"/>
            <w:r>
              <w:rPr>
                <w:rFonts w:ascii="Arial" w:hAnsi="Arial" w:cs="Arial"/>
                <w:color w:val="000000"/>
                <w:sz w:val="16"/>
                <w:szCs w:val="16"/>
              </w:rPr>
              <w:t>Dgo</w:t>
            </w:r>
            <w:proofErr w:type="spellEnd"/>
            <w:r>
              <w:rPr>
                <w:rFonts w:ascii="Arial" w:hAnsi="Arial" w:cs="Arial"/>
                <w:color w:val="000000"/>
                <w:sz w:val="16"/>
                <w:szCs w:val="16"/>
              </w:rPr>
              <w:t>.)</w:t>
            </w:r>
          </w:p>
        </w:tc>
        <w:tc>
          <w:tcPr>
            <w:tcW w:w="993" w:type="dxa"/>
            <w:tcBorders>
              <w:top w:val="nil"/>
              <w:left w:val="nil"/>
              <w:bottom w:val="single" w:sz="8" w:space="0" w:color="C6D9F1"/>
              <w:right w:val="single" w:sz="8" w:space="0" w:color="376091"/>
            </w:tcBorders>
            <w:shd w:val="clear" w:color="auto" w:fill="auto"/>
            <w:vAlign w:val="center"/>
          </w:tcPr>
          <w:p w14:paraId="0C5C31AD" w14:textId="35A6CFAC"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267,972</w:t>
            </w:r>
          </w:p>
        </w:tc>
        <w:tc>
          <w:tcPr>
            <w:tcW w:w="992" w:type="dxa"/>
            <w:tcBorders>
              <w:top w:val="nil"/>
              <w:left w:val="nil"/>
              <w:bottom w:val="single" w:sz="8" w:space="0" w:color="C6D9F1"/>
              <w:right w:val="single" w:sz="8" w:space="0" w:color="376091"/>
            </w:tcBorders>
            <w:shd w:val="clear" w:color="auto" w:fill="auto"/>
            <w:vAlign w:val="center"/>
          </w:tcPr>
          <w:p w14:paraId="47EA60BC" w14:textId="6BF1E5B8"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14,505</w:t>
            </w:r>
          </w:p>
        </w:tc>
        <w:tc>
          <w:tcPr>
            <w:tcW w:w="850" w:type="dxa"/>
            <w:tcBorders>
              <w:top w:val="nil"/>
              <w:left w:val="nil"/>
              <w:bottom w:val="single" w:sz="8" w:space="0" w:color="C6D9F1"/>
              <w:right w:val="single" w:sz="8" w:space="0" w:color="376091"/>
            </w:tcBorders>
            <w:shd w:val="clear" w:color="auto" w:fill="auto"/>
            <w:vAlign w:val="center"/>
          </w:tcPr>
          <w:p w14:paraId="058DF08E" w14:textId="2D37B92A"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59.6</w:t>
            </w:r>
          </w:p>
        </w:tc>
        <w:tc>
          <w:tcPr>
            <w:tcW w:w="849" w:type="dxa"/>
            <w:tcBorders>
              <w:top w:val="nil"/>
              <w:left w:val="nil"/>
              <w:bottom w:val="single" w:sz="8" w:space="0" w:color="C6D9F1"/>
              <w:right w:val="single" w:sz="8" w:space="0" w:color="376091"/>
            </w:tcBorders>
            <w:shd w:val="clear" w:color="auto" w:fill="auto"/>
            <w:vAlign w:val="center"/>
          </w:tcPr>
          <w:p w14:paraId="31522C69" w14:textId="719C3C7D"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5.1</w:t>
            </w:r>
          </w:p>
        </w:tc>
        <w:tc>
          <w:tcPr>
            <w:tcW w:w="852" w:type="dxa"/>
            <w:tcBorders>
              <w:top w:val="nil"/>
              <w:left w:val="nil"/>
              <w:bottom w:val="single" w:sz="8" w:space="0" w:color="C6D9F1"/>
              <w:right w:val="single" w:sz="8" w:space="0" w:color="376091"/>
            </w:tcBorders>
            <w:shd w:val="clear" w:color="auto" w:fill="auto"/>
            <w:vAlign w:val="center"/>
          </w:tcPr>
          <w:p w14:paraId="387E9428" w14:textId="77BE2DE2"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11.7</w:t>
            </w:r>
          </w:p>
        </w:tc>
        <w:tc>
          <w:tcPr>
            <w:tcW w:w="709" w:type="dxa"/>
            <w:tcBorders>
              <w:top w:val="nil"/>
              <w:left w:val="nil"/>
              <w:bottom w:val="single" w:sz="8" w:space="0" w:color="C6D9F1"/>
              <w:right w:val="single" w:sz="8" w:space="0" w:color="376091"/>
            </w:tcBorders>
            <w:shd w:val="clear" w:color="auto" w:fill="auto"/>
            <w:vAlign w:val="center"/>
          </w:tcPr>
          <w:p w14:paraId="6B069E77" w14:textId="70218BB2"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10.0</w:t>
            </w:r>
          </w:p>
        </w:tc>
        <w:tc>
          <w:tcPr>
            <w:tcW w:w="709" w:type="dxa"/>
            <w:tcBorders>
              <w:top w:val="nil"/>
              <w:left w:val="nil"/>
              <w:bottom w:val="single" w:sz="8" w:space="0" w:color="C6D9F1"/>
              <w:right w:val="single" w:sz="8" w:space="0" w:color="376091"/>
            </w:tcBorders>
            <w:shd w:val="clear" w:color="auto" w:fill="auto"/>
            <w:vAlign w:val="center"/>
          </w:tcPr>
          <w:p w14:paraId="77FA368F" w14:textId="5E375F6D"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73.1</w:t>
            </w:r>
          </w:p>
        </w:tc>
        <w:tc>
          <w:tcPr>
            <w:tcW w:w="709" w:type="dxa"/>
            <w:tcBorders>
              <w:top w:val="nil"/>
              <w:left w:val="nil"/>
              <w:bottom w:val="single" w:sz="8" w:space="0" w:color="C6D9F1"/>
              <w:right w:val="single" w:sz="8" w:space="0" w:color="376091"/>
            </w:tcBorders>
            <w:shd w:val="clear" w:color="auto" w:fill="auto"/>
            <w:vAlign w:val="center"/>
          </w:tcPr>
          <w:p w14:paraId="550C0B8D" w14:textId="08E33B1C"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9.2</w:t>
            </w:r>
          </w:p>
        </w:tc>
        <w:tc>
          <w:tcPr>
            <w:tcW w:w="850" w:type="dxa"/>
            <w:tcBorders>
              <w:top w:val="nil"/>
              <w:left w:val="nil"/>
              <w:bottom w:val="single" w:sz="8" w:space="0" w:color="C6D9F1"/>
              <w:right w:val="single" w:sz="8" w:space="0" w:color="376091"/>
            </w:tcBorders>
            <w:shd w:val="clear" w:color="auto" w:fill="auto"/>
            <w:vAlign w:val="center"/>
          </w:tcPr>
          <w:p w14:paraId="4A2406F3" w14:textId="32A42879"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23.2</w:t>
            </w:r>
          </w:p>
        </w:tc>
        <w:tc>
          <w:tcPr>
            <w:tcW w:w="709" w:type="dxa"/>
            <w:tcBorders>
              <w:top w:val="nil"/>
              <w:left w:val="nil"/>
              <w:bottom w:val="single" w:sz="8" w:space="0" w:color="C6D9F1"/>
              <w:right w:val="single" w:sz="8" w:space="0" w:color="376091"/>
            </w:tcBorders>
            <w:shd w:val="clear" w:color="auto" w:fill="auto"/>
            <w:vAlign w:val="center"/>
          </w:tcPr>
          <w:p w14:paraId="632B733D" w14:textId="575CC5D8"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41.3</w:t>
            </w:r>
          </w:p>
        </w:tc>
        <w:tc>
          <w:tcPr>
            <w:tcW w:w="709" w:type="dxa"/>
            <w:tcBorders>
              <w:top w:val="nil"/>
              <w:left w:val="nil"/>
              <w:bottom w:val="single" w:sz="8" w:space="0" w:color="C6D9F1"/>
              <w:right w:val="single" w:sz="8" w:space="0" w:color="376091"/>
            </w:tcBorders>
            <w:shd w:val="clear" w:color="auto" w:fill="auto"/>
            <w:vAlign w:val="center"/>
          </w:tcPr>
          <w:p w14:paraId="14F0D8A2" w14:textId="457BDB10"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21.0</w:t>
            </w:r>
          </w:p>
        </w:tc>
        <w:tc>
          <w:tcPr>
            <w:tcW w:w="850" w:type="dxa"/>
            <w:tcBorders>
              <w:top w:val="nil"/>
              <w:left w:val="nil"/>
              <w:bottom w:val="single" w:sz="8" w:space="0" w:color="C6D9F1"/>
              <w:right w:val="single" w:sz="8" w:space="0" w:color="376091"/>
            </w:tcBorders>
            <w:vAlign w:val="center"/>
          </w:tcPr>
          <w:p w14:paraId="76B380C9" w14:textId="181FC106" w:rsidR="00831EED" w:rsidRPr="00B77C92" w:rsidRDefault="00831EED" w:rsidP="00831EED">
            <w:pPr>
              <w:spacing w:after="0" w:line="240" w:lineRule="auto"/>
              <w:jc w:val="center"/>
              <w:rPr>
                <w:rFonts w:ascii="Arial" w:hAnsi="Arial" w:cs="Arial"/>
                <w:bCs/>
                <w:color w:val="000000"/>
                <w:sz w:val="16"/>
                <w:szCs w:val="16"/>
              </w:rPr>
            </w:pPr>
            <w:r>
              <w:rPr>
                <w:rFonts w:ascii="Arial" w:hAnsi="Arial" w:cs="Arial"/>
                <w:color w:val="000000"/>
                <w:sz w:val="16"/>
                <w:szCs w:val="16"/>
              </w:rPr>
              <w:t>26.7</w:t>
            </w:r>
          </w:p>
        </w:tc>
      </w:tr>
      <w:tr w:rsidR="00831EED" w:rsidRPr="00513E8F" w14:paraId="6953CCB6" w14:textId="77777777" w:rsidTr="00831EED">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14:paraId="17E329CD" w14:textId="77777777" w:rsidR="00831EED" w:rsidRPr="00513E8F" w:rsidRDefault="00831EED" w:rsidP="00831EED">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León (</w:t>
            </w:r>
            <w:proofErr w:type="spellStart"/>
            <w:r>
              <w:rPr>
                <w:rFonts w:ascii="Arial" w:hAnsi="Arial" w:cs="Arial"/>
                <w:color w:val="000000"/>
                <w:sz w:val="16"/>
                <w:szCs w:val="16"/>
              </w:rPr>
              <w:t>Gto</w:t>
            </w:r>
            <w:proofErr w:type="spellEnd"/>
            <w:r>
              <w:rPr>
                <w:rFonts w:ascii="Arial" w:hAnsi="Arial" w:cs="Arial"/>
                <w:color w:val="000000"/>
                <w:sz w:val="16"/>
                <w:szCs w:val="16"/>
              </w:rPr>
              <w:t>.)</w:t>
            </w:r>
          </w:p>
        </w:tc>
        <w:tc>
          <w:tcPr>
            <w:tcW w:w="993" w:type="dxa"/>
            <w:tcBorders>
              <w:top w:val="nil"/>
              <w:left w:val="nil"/>
              <w:bottom w:val="single" w:sz="8" w:space="0" w:color="C6D9F1"/>
              <w:right w:val="single" w:sz="8" w:space="0" w:color="376091"/>
            </w:tcBorders>
            <w:shd w:val="clear" w:color="auto" w:fill="auto"/>
            <w:vAlign w:val="center"/>
          </w:tcPr>
          <w:p w14:paraId="00C76E40" w14:textId="54C801BF"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784,801</w:t>
            </w:r>
          </w:p>
        </w:tc>
        <w:tc>
          <w:tcPr>
            <w:tcW w:w="992" w:type="dxa"/>
            <w:tcBorders>
              <w:top w:val="nil"/>
              <w:left w:val="nil"/>
              <w:bottom w:val="single" w:sz="8" w:space="0" w:color="C6D9F1"/>
              <w:right w:val="single" w:sz="8" w:space="0" w:color="376091"/>
            </w:tcBorders>
            <w:shd w:val="clear" w:color="auto" w:fill="auto"/>
            <w:vAlign w:val="center"/>
          </w:tcPr>
          <w:p w14:paraId="7DDD3961" w14:textId="1AE7D4FA"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57,957</w:t>
            </w:r>
          </w:p>
        </w:tc>
        <w:tc>
          <w:tcPr>
            <w:tcW w:w="850" w:type="dxa"/>
            <w:tcBorders>
              <w:top w:val="nil"/>
              <w:left w:val="nil"/>
              <w:bottom w:val="single" w:sz="8" w:space="0" w:color="C6D9F1"/>
              <w:right w:val="single" w:sz="8" w:space="0" w:color="376091"/>
            </w:tcBorders>
            <w:shd w:val="clear" w:color="auto" w:fill="auto"/>
            <w:vAlign w:val="center"/>
          </w:tcPr>
          <w:p w14:paraId="2AEF3DEB" w14:textId="63503D2F"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63.7</w:t>
            </w:r>
          </w:p>
        </w:tc>
        <w:tc>
          <w:tcPr>
            <w:tcW w:w="849" w:type="dxa"/>
            <w:tcBorders>
              <w:top w:val="nil"/>
              <w:left w:val="nil"/>
              <w:bottom w:val="single" w:sz="8" w:space="0" w:color="C6D9F1"/>
              <w:right w:val="single" w:sz="8" w:space="0" w:color="376091"/>
            </w:tcBorders>
            <w:shd w:val="clear" w:color="auto" w:fill="auto"/>
            <w:vAlign w:val="center"/>
          </w:tcPr>
          <w:p w14:paraId="3727332B" w14:textId="20E5A930"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6.9</w:t>
            </w:r>
          </w:p>
        </w:tc>
        <w:tc>
          <w:tcPr>
            <w:tcW w:w="852" w:type="dxa"/>
            <w:tcBorders>
              <w:top w:val="nil"/>
              <w:left w:val="nil"/>
              <w:bottom w:val="single" w:sz="8" w:space="0" w:color="C6D9F1"/>
              <w:right w:val="single" w:sz="8" w:space="0" w:color="376091"/>
            </w:tcBorders>
            <w:shd w:val="clear" w:color="auto" w:fill="auto"/>
            <w:vAlign w:val="center"/>
          </w:tcPr>
          <w:p w14:paraId="75E2C771" w14:textId="61F31E2A"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11.2</w:t>
            </w:r>
          </w:p>
        </w:tc>
        <w:tc>
          <w:tcPr>
            <w:tcW w:w="709" w:type="dxa"/>
            <w:tcBorders>
              <w:top w:val="nil"/>
              <w:left w:val="nil"/>
              <w:bottom w:val="single" w:sz="8" w:space="0" w:color="C6D9F1"/>
              <w:right w:val="single" w:sz="8" w:space="0" w:color="376091"/>
            </w:tcBorders>
            <w:shd w:val="clear" w:color="auto" w:fill="auto"/>
            <w:vAlign w:val="center"/>
          </w:tcPr>
          <w:p w14:paraId="180A3D8D" w14:textId="12740E43"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11.4</w:t>
            </w:r>
          </w:p>
        </w:tc>
        <w:tc>
          <w:tcPr>
            <w:tcW w:w="709" w:type="dxa"/>
            <w:tcBorders>
              <w:top w:val="nil"/>
              <w:left w:val="nil"/>
              <w:bottom w:val="single" w:sz="8" w:space="0" w:color="C6D9F1"/>
              <w:right w:val="single" w:sz="8" w:space="0" w:color="376091"/>
            </w:tcBorders>
            <w:shd w:val="clear" w:color="auto" w:fill="auto"/>
            <w:vAlign w:val="center"/>
          </w:tcPr>
          <w:p w14:paraId="5BE81BAB" w14:textId="70E61F9A"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71.0</w:t>
            </w:r>
          </w:p>
        </w:tc>
        <w:tc>
          <w:tcPr>
            <w:tcW w:w="709" w:type="dxa"/>
            <w:tcBorders>
              <w:top w:val="nil"/>
              <w:left w:val="nil"/>
              <w:bottom w:val="single" w:sz="8" w:space="0" w:color="C6D9F1"/>
              <w:right w:val="single" w:sz="8" w:space="0" w:color="376091"/>
            </w:tcBorders>
            <w:shd w:val="clear" w:color="auto" w:fill="auto"/>
            <w:vAlign w:val="center"/>
          </w:tcPr>
          <w:p w14:paraId="727A59F7" w14:textId="7BE54810"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17.9</w:t>
            </w:r>
          </w:p>
        </w:tc>
        <w:tc>
          <w:tcPr>
            <w:tcW w:w="850" w:type="dxa"/>
            <w:tcBorders>
              <w:top w:val="nil"/>
              <w:left w:val="nil"/>
              <w:bottom w:val="single" w:sz="8" w:space="0" w:color="C6D9F1"/>
              <w:right w:val="single" w:sz="8" w:space="0" w:color="376091"/>
            </w:tcBorders>
            <w:shd w:val="clear" w:color="auto" w:fill="auto"/>
            <w:vAlign w:val="center"/>
          </w:tcPr>
          <w:p w14:paraId="5ADA59AE" w14:textId="7F139478"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22.0</w:t>
            </w:r>
          </w:p>
        </w:tc>
        <w:tc>
          <w:tcPr>
            <w:tcW w:w="709" w:type="dxa"/>
            <w:tcBorders>
              <w:top w:val="nil"/>
              <w:left w:val="nil"/>
              <w:bottom w:val="single" w:sz="8" w:space="0" w:color="C6D9F1"/>
              <w:right w:val="single" w:sz="8" w:space="0" w:color="376091"/>
            </w:tcBorders>
            <w:shd w:val="clear" w:color="auto" w:fill="auto"/>
            <w:vAlign w:val="center"/>
          </w:tcPr>
          <w:p w14:paraId="05AF5948" w14:textId="33B0F9AF"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47.5</w:t>
            </w:r>
          </w:p>
        </w:tc>
        <w:tc>
          <w:tcPr>
            <w:tcW w:w="709" w:type="dxa"/>
            <w:tcBorders>
              <w:top w:val="nil"/>
              <w:left w:val="nil"/>
              <w:bottom w:val="single" w:sz="8" w:space="0" w:color="C6D9F1"/>
              <w:right w:val="single" w:sz="8" w:space="0" w:color="376091"/>
            </w:tcBorders>
            <w:shd w:val="clear" w:color="auto" w:fill="auto"/>
            <w:vAlign w:val="center"/>
          </w:tcPr>
          <w:p w14:paraId="3300D64E" w14:textId="497EC0F7"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26.9</w:t>
            </w:r>
          </w:p>
        </w:tc>
        <w:tc>
          <w:tcPr>
            <w:tcW w:w="850" w:type="dxa"/>
            <w:tcBorders>
              <w:top w:val="nil"/>
              <w:left w:val="nil"/>
              <w:bottom w:val="single" w:sz="8" w:space="0" w:color="C6D9F1"/>
              <w:right w:val="single" w:sz="8" w:space="0" w:color="376091"/>
            </w:tcBorders>
            <w:vAlign w:val="center"/>
          </w:tcPr>
          <w:p w14:paraId="422A3C30" w14:textId="6B1C1E2A" w:rsidR="00831EED" w:rsidRPr="00B77C92" w:rsidRDefault="00831EED" w:rsidP="00831EED">
            <w:pPr>
              <w:spacing w:after="0" w:line="240" w:lineRule="auto"/>
              <w:jc w:val="center"/>
              <w:rPr>
                <w:rFonts w:ascii="Arial" w:hAnsi="Arial" w:cs="Arial"/>
                <w:bCs/>
                <w:color w:val="000000"/>
                <w:sz w:val="16"/>
                <w:szCs w:val="16"/>
              </w:rPr>
            </w:pPr>
            <w:r>
              <w:rPr>
                <w:rFonts w:ascii="Arial" w:hAnsi="Arial" w:cs="Arial"/>
                <w:color w:val="000000"/>
                <w:sz w:val="16"/>
                <w:szCs w:val="16"/>
              </w:rPr>
              <w:t>31.4</w:t>
            </w:r>
          </w:p>
        </w:tc>
      </w:tr>
      <w:tr w:rsidR="00831EED" w:rsidRPr="00513E8F" w14:paraId="089765F4" w14:textId="77777777" w:rsidTr="00831EED">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14:paraId="4EE142B3" w14:textId="77777777" w:rsidR="00831EED" w:rsidRPr="00513E8F" w:rsidRDefault="00831EED" w:rsidP="00831EED">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Acapulco (Gro.)</w:t>
            </w:r>
          </w:p>
        </w:tc>
        <w:tc>
          <w:tcPr>
            <w:tcW w:w="993" w:type="dxa"/>
            <w:tcBorders>
              <w:top w:val="nil"/>
              <w:left w:val="nil"/>
              <w:bottom w:val="single" w:sz="8" w:space="0" w:color="C6D9F1"/>
              <w:right w:val="single" w:sz="8" w:space="0" w:color="376091"/>
            </w:tcBorders>
            <w:shd w:val="clear" w:color="auto" w:fill="auto"/>
            <w:vAlign w:val="center"/>
          </w:tcPr>
          <w:p w14:paraId="32C8AC0A" w14:textId="0BA76BC1"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284,195</w:t>
            </w:r>
          </w:p>
        </w:tc>
        <w:tc>
          <w:tcPr>
            <w:tcW w:w="992" w:type="dxa"/>
            <w:tcBorders>
              <w:top w:val="nil"/>
              <w:left w:val="nil"/>
              <w:bottom w:val="single" w:sz="8" w:space="0" w:color="C6D9F1"/>
              <w:right w:val="single" w:sz="8" w:space="0" w:color="376091"/>
            </w:tcBorders>
            <w:shd w:val="clear" w:color="auto" w:fill="auto"/>
            <w:vAlign w:val="center"/>
          </w:tcPr>
          <w:p w14:paraId="577CBB65" w14:textId="3ACFE9BA"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10,699</w:t>
            </w:r>
          </w:p>
        </w:tc>
        <w:tc>
          <w:tcPr>
            <w:tcW w:w="850" w:type="dxa"/>
            <w:tcBorders>
              <w:top w:val="nil"/>
              <w:left w:val="nil"/>
              <w:bottom w:val="single" w:sz="8" w:space="0" w:color="C6D9F1"/>
              <w:right w:val="single" w:sz="8" w:space="0" w:color="376091"/>
            </w:tcBorders>
            <w:shd w:val="clear" w:color="auto" w:fill="auto"/>
            <w:vAlign w:val="center"/>
          </w:tcPr>
          <w:p w14:paraId="672E01A2" w14:textId="09360196"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56.9</w:t>
            </w:r>
          </w:p>
        </w:tc>
        <w:tc>
          <w:tcPr>
            <w:tcW w:w="849" w:type="dxa"/>
            <w:tcBorders>
              <w:top w:val="nil"/>
              <w:left w:val="nil"/>
              <w:bottom w:val="single" w:sz="8" w:space="0" w:color="C6D9F1"/>
              <w:right w:val="single" w:sz="8" w:space="0" w:color="376091"/>
            </w:tcBorders>
            <w:shd w:val="clear" w:color="auto" w:fill="auto"/>
            <w:vAlign w:val="center"/>
          </w:tcPr>
          <w:p w14:paraId="6B018BED" w14:textId="07E2483F"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3.6</w:t>
            </w:r>
          </w:p>
        </w:tc>
        <w:tc>
          <w:tcPr>
            <w:tcW w:w="852" w:type="dxa"/>
            <w:tcBorders>
              <w:top w:val="nil"/>
              <w:left w:val="nil"/>
              <w:bottom w:val="single" w:sz="8" w:space="0" w:color="C6D9F1"/>
              <w:right w:val="single" w:sz="8" w:space="0" w:color="376091"/>
            </w:tcBorders>
            <w:shd w:val="clear" w:color="auto" w:fill="auto"/>
            <w:vAlign w:val="center"/>
          </w:tcPr>
          <w:p w14:paraId="3561E867" w14:textId="318A31E4"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10.4</w:t>
            </w:r>
          </w:p>
        </w:tc>
        <w:tc>
          <w:tcPr>
            <w:tcW w:w="709" w:type="dxa"/>
            <w:tcBorders>
              <w:top w:val="nil"/>
              <w:left w:val="nil"/>
              <w:bottom w:val="single" w:sz="8" w:space="0" w:color="C6D9F1"/>
              <w:right w:val="single" w:sz="8" w:space="0" w:color="376091"/>
            </w:tcBorders>
            <w:shd w:val="clear" w:color="auto" w:fill="auto"/>
            <w:vAlign w:val="center"/>
          </w:tcPr>
          <w:p w14:paraId="081D8114" w14:textId="7046E160"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6.1</w:t>
            </w:r>
          </w:p>
        </w:tc>
        <w:tc>
          <w:tcPr>
            <w:tcW w:w="709" w:type="dxa"/>
            <w:tcBorders>
              <w:top w:val="nil"/>
              <w:left w:val="nil"/>
              <w:bottom w:val="single" w:sz="8" w:space="0" w:color="C6D9F1"/>
              <w:right w:val="single" w:sz="8" w:space="0" w:color="376091"/>
            </w:tcBorders>
            <w:shd w:val="clear" w:color="auto" w:fill="auto"/>
            <w:vAlign w:val="center"/>
          </w:tcPr>
          <w:p w14:paraId="6EED7E95" w14:textId="6041A7F5"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62.5</w:t>
            </w:r>
          </w:p>
        </w:tc>
        <w:tc>
          <w:tcPr>
            <w:tcW w:w="709" w:type="dxa"/>
            <w:tcBorders>
              <w:top w:val="nil"/>
              <w:left w:val="nil"/>
              <w:bottom w:val="single" w:sz="8" w:space="0" w:color="C6D9F1"/>
              <w:right w:val="single" w:sz="8" w:space="0" w:color="376091"/>
            </w:tcBorders>
            <w:shd w:val="clear" w:color="auto" w:fill="auto"/>
            <w:vAlign w:val="center"/>
          </w:tcPr>
          <w:p w14:paraId="281DFB50" w14:textId="0022D414"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13.6</w:t>
            </w:r>
          </w:p>
        </w:tc>
        <w:tc>
          <w:tcPr>
            <w:tcW w:w="850" w:type="dxa"/>
            <w:tcBorders>
              <w:top w:val="nil"/>
              <w:left w:val="nil"/>
              <w:bottom w:val="single" w:sz="8" w:space="0" w:color="C6D9F1"/>
              <w:right w:val="single" w:sz="8" w:space="0" w:color="376091"/>
            </w:tcBorders>
            <w:shd w:val="clear" w:color="auto" w:fill="auto"/>
            <w:vAlign w:val="center"/>
          </w:tcPr>
          <w:p w14:paraId="213EF62B" w14:textId="43647A57"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33.3</w:t>
            </w:r>
          </w:p>
        </w:tc>
        <w:tc>
          <w:tcPr>
            <w:tcW w:w="709" w:type="dxa"/>
            <w:tcBorders>
              <w:top w:val="nil"/>
              <w:left w:val="nil"/>
              <w:bottom w:val="single" w:sz="8" w:space="0" w:color="C6D9F1"/>
              <w:right w:val="single" w:sz="8" w:space="0" w:color="376091"/>
            </w:tcBorders>
            <w:shd w:val="clear" w:color="auto" w:fill="auto"/>
            <w:vAlign w:val="center"/>
          </w:tcPr>
          <w:p w14:paraId="07769BC1" w14:textId="6BB3EAFC"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63.2</w:t>
            </w:r>
          </w:p>
        </w:tc>
        <w:tc>
          <w:tcPr>
            <w:tcW w:w="709" w:type="dxa"/>
            <w:tcBorders>
              <w:top w:val="nil"/>
              <w:left w:val="nil"/>
              <w:bottom w:val="single" w:sz="8" w:space="0" w:color="C6D9F1"/>
              <w:right w:val="single" w:sz="8" w:space="0" w:color="376091"/>
            </w:tcBorders>
            <w:shd w:val="clear" w:color="auto" w:fill="auto"/>
            <w:vAlign w:val="center"/>
          </w:tcPr>
          <w:p w14:paraId="6C41DD34" w14:textId="7E85DFFC"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40.0</w:t>
            </w:r>
          </w:p>
        </w:tc>
        <w:tc>
          <w:tcPr>
            <w:tcW w:w="850" w:type="dxa"/>
            <w:tcBorders>
              <w:top w:val="nil"/>
              <w:left w:val="nil"/>
              <w:bottom w:val="single" w:sz="8" w:space="0" w:color="C6D9F1"/>
              <w:right w:val="single" w:sz="8" w:space="0" w:color="376091"/>
            </w:tcBorders>
            <w:vAlign w:val="center"/>
          </w:tcPr>
          <w:p w14:paraId="35D00688" w14:textId="1306889B" w:rsidR="00831EED" w:rsidRPr="00B77C92" w:rsidRDefault="00831EED" w:rsidP="00831EED">
            <w:pPr>
              <w:spacing w:after="0" w:line="240" w:lineRule="auto"/>
              <w:jc w:val="center"/>
              <w:rPr>
                <w:rFonts w:ascii="Arial" w:hAnsi="Arial" w:cs="Arial"/>
                <w:bCs/>
                <w:color w:val="000000"/>
                <w:sz w:val="16"/>
                <w:szCs w:val="16"/>
              </w:rPr>
            </w:pPr>
            <w:r>
              <w:rPr>
                <w:rFonts w:ascii="Arial" w:hAnsi="Arial" w:cs="Arial"/>
                <w:color w:val="000000"/>
                <w:sz w:val="16"/>
                <w:szCs w:val="16"/>
              </w:rPr>
              <w:t>30.6</w:t>
            </w:r>
          </w:p>
        </w:tc>
      </w:tr>
      <w:tr w:rsidR="00831EED" w:rsidRPr="00513E8F" w14:paraId="49DA9124" w14:textId="77777777" w:rsidTr="00831EED">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14:paraId="332EED40" w14:textId="77777777" w:rsidR="00831EED" w:rsidRPr="00513E8F" w:rsidRDefault="00831EED" w:rsidP="00831EED">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Pachuca (</w:t>
            </w:r>
            <w:proofErr w:type="spellStart"/>
            <w:r>
              <w:rPr>
                <w:rFonts w:ascii="Arial" w:hAnsi="Arial" w:cs="Arial"/>
                <w:color w:val="000000"/>
                <w:sz w:val="16"/>
                <w:szCs w:val="16"/>
              </w:rPr>
              <w:t>Hgo</w:t>
            </w:r>
            <w:proofErr w:type="spellEnd"/>
            <w:r>
              <w:rPr>
                <w:rFonts w:ascii="Arial" w:hAnsi="Arial" w:cs="Arial"/>
                <w:color w:val="000000"/>
                <w:sz w:val="16"/>
                <w:szCs w:val="16"/>
              </w:rPr>
              <w:t>.)</w:t>
            </w:r>
          </w:p>
        </w:tc>
        <w:tc>
          <w:tcPr>
            <w:tcW w:w="993" w:type="dxa"/>
            <w:tcBorders>
              <w:top w:val="nil"/>
              <w:left w:val="nil"/>
              <w:bottom w:val="single" w:sz="8" w:space="0" w:color="C6D9F1"/>
              <w:right w:val="single" w:sz="8" w:space="0" w:color="376091"/>
            </w:tcBorders>
            <w:shd w:val="clear" w:color="auto" w:fill="auto"/>
            <w:vAlign w:val="center"/>
          </w:tcPr>
          <w:p w14:paraId="2A507F27" w14:textId="057EE240"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182,932</w:t>
            </w:r>
          </w:p>
        </w:tc>
        <w:tc>
          <w:tcPr>
            <w:tcW w:w="992" w:type="dxa"/>
            <w:tcBorders>
              <w:top w:val="nil"/>
              <w:left w:val="nil"/>
              <w:bottom w:val="single" w:sz="8" w:space="0" w:color="C6D9F1"/>
              <w:right w:val="single" w:sz="8" w:space="0" w:color="376091"/>
            </w:tcBorders>
            <w:shd w:val="clear" w:color="auto" w:fill="auto"/>
            <w:vAlign w:val="center"/>
          </w:tcPr>
          <w:p w14:paraId="6D2AB8E8" w14:textId="5B3B9650"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9,608</w:t>
            </w:r>
          </w:p>
        </w:tc>
        <w:tc>
          <w:tcPr>
            <w:tcW w:w="850" w:type="dxa"/>
            <w:tcBorders>
              <w:top w:val="nil"/>
              <w:left w:val="nil"/>
              <w:bottom w:val="single" w:sz="8" w:space="0" w:color="C6D9F1"/>
              <w:right w:val="single" w:sz="8" w:space="0" w:color="376091"/>
            </w:tcBorders>
            <w:shd w:val="clear" w:color="auto" w:fill="auto"/>
            <w:vAlign w:val="center"/>
          </w:tcPr>
          <w:p w14:paraId="1B048FE6" w14:textId="2D7CE836"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57.5</w:t>
            </w:r>
          </w:p>
        </w:tc>
        <w:tc>
          <w:tcPr>
            <w:tcW w:w="849" w:type="dxa"/>
            <w:tcBorders>
              <w:top w:val="nil"/>
              <w:left w:val="nil"/>
              <w:bottom w:val="single" w:sz="8" w:space="0" w:color="C6D9F1"/>
              <w:right w:val="single" w:sz="8" w:space="0" w:color="376091"/>
            </w:tcBorders>
            <w:shd w:val="clear" w:color="auto" w:fill="auto"/>
            <w:vAlign w:val="center"/>
          </w:tcPr>
          <w:p w14:paraId="19112886" w14:textId="112DEDF5"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5.0</w:t>
            </w:r>
          </w:p>
        </w:tc>
        <w:tc>
          <w:tcPr>
            <w:tcW w:w="852" w:type="dxa"/>
            <w:tcBorders>
              <w:top w:val="nil"/>
              <w:left w:val="nil"/>
              <w:bottom w:val="single" w:sz="8" w:space="0" w:color="C6D9F1"/>
              <w:right w:val="single" w:sz="8" w:space="0" w:color="376091"/>
            </w:tcBorders>
            <w:shd w:val="clear" w:color="auto" w:fill="auto"/>
            <w:vAlign w:val="center"/>
          </w:tcPr>
          <w:p w14:paraId="424C5879" w14:textId="0D0732A1"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12.4</w:t>
            </w:r>
          </w:p>
        </w:tc>
        <w:tc>
          <w:tcPr>
            <w:tcW w:w="709" w:type="dxa"/>
            <w:tcBorders>
              <w:top w:val="nil"/>
              <w:left w:val="nil"/>
              <w:bottom w:val="single" w:sz="8" w:space="0" w:color="C6D9F1"/>
              <w:right w:val="single" w:sz="8" w:space="0" w:color="376091"/>
            </w:tcBorders>
            <w:shd w:val="clear" w:color="auto" w:fill="auto"/>
            <w:vAlign w:val="center"/>
          </w:tcPr>
          <w:p w14:paraId="05EAF1DA" w14:textId="4A37DE96"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11.7</w:t>
            </w:r>
          </w:p>
        </w:tc>
        <w:tc>
          <w:tcPr>
            <w:tcW w:w="709" w:type="dxa"/>
            <w:tcBorders>
              <w:top w:val="nil"/>
              <w:left w:val="nil"/>
              <w:bottom w:val="single" w:sz="8" w:space="0" w:color="C6D9F1"/>
              <w:right w:val="single" w:sz="8" w:space="0" w:color="376091"/>
            </w:tcBorders>
            <w:shd w:val="clear" w:color="auto" w:fill="auto"/>
            <w:vAlign w:val="center"/>
          </w:tcPr>
          <w:p w14:paraId="214CEE25" w14:textId="5F663B4E"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68.9</w:t>
            </w:r>
          </w:p>
        </w:tc>
        <w:tc>
          <w:tcPr>
            <w:tcW w:w="709" w:type="dxa"/>
            <w:tcBorders>
              <w:top w:val="nil"/>
              <w:left w:val="nil"/>
              <w:bottom w:val="single" w:sz="8" w:space="0" w:color="C6D9F1"/>
              <w:right w:val="single" w:sz="8" w:space="0" w:color="376091"/>
            </w:tcBorders>
            <w:shd w:val="clear" w:color="auto" w:fill="auto"/>
            <w:vAlign w:val="center"/>
          </w:tcPr>
          <w:p w14:paraId="1F58D2E4" w14:textId="7D97C1A7"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24.9</w:t>
            </w:r>
          </w:p>
        </w:tc>
        <w:tc>
          <w:tcPr>
            <w:tcW w:w="850" w:type="dxa"/>
            <w:tcBorders>
              <w:top w:val="nil"/>
              <w:left w:val="nil"/>
              <w:bottom w:val="single" w:sz="8" w:space="0" w:color="C6D9F1"/>
              <w:right w:val="single" w:sz="8" w:space="0" w:color="376091"/>
            </w:tcBorders>
            <w:shd w:val="clear" w:color="auto" w:fill="auto"/>
            <w:vAlign w:val="center"/>
          </w:tcPr>
          <w:p w14:paraId="2D9F3950" w14:textId="42A566D3"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24.9</w:t>
            </w:r>
          </w:p>
        </w:tc>
        <w:tc>
          <w:tcPr>
            <w:tcW w:w="709" w:type="dxa"/>
            <w:tcBorders>
              <w:top w:val="nil"/>
              <w:left w:val="nil"/>
              <w:bottom w:val="single" w:sz="8" w:space="0" w:color="C6D9F1"/>
              <w:right w:val="single" w:sz="8" w:space="0" w:color="376091"/>
            </w:tcBorders>
            <w:shd w:val="clear" w:color="auto" w:fill="auto"/>
            <w:vAlign w:val="center"/>
          </w:tcPr>
          <w:p w14:paraId="50668CA6" w14:textId="20B7E520"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51.0</w:t>
            </w:r>
          </w:p>
        </w:tc>
        <w:tc>
          <w:tcPr>
            <w:tcW w:w="709" w:type="dxa"/>
            <w:tcBorders>
              <w:top w:val="nil"/>
              <w:left w:val="nil"/>
              <w:bottom w:val="single" w:sz="8" w:space="0" w:color="C6D9F1"/>
              <w:right w:val="single" w:sz="8" w:space="0" w:color="376091"/>
            </w:tcBorders>
            <w:shd w:val="clear" w:color="auto" w:fill="auto"/>
            <w:vAlign w:val="center"/>
          </w:tcPr>
          <w:p w14:paraId="092EAD4D" w14:textId="5B62E877"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30.2</w:t>
            </w:r>
          </w:p>
        </w:tc>
        <w:tc>
          <w:tcPr>
            <w:tcW w:w="850" w:type="dxa"/>
            <w:tcBorders>
              <w:top w:val="nil"/>
              <w:left w:val="nil"/>
              <w:bottom w:val="single" w:sz="8" w:space="0" w:color="C6D9F1"/>
              <w:right w:val="single" w:sz="8" w:space="0" w:color="376091"/>
            </w:tcBorders>
            <w:vAlign w:val="center"/>
          </w:tcPr>
          <w:p w14:paraId="5EBB1326" w14:textId="642A3C29" w:rsidR="00831EED" w:rsidRPr="00B77C92" w:rsidRDefault="00831EED" w:rsidP="00831EED">
            <w:pPr>
              <w:spacing w:after="0" w:line="240" w:lineRule="auto"/>
              <w:jc w:val="center"/>
              <w:rPr>
                <w:rFonts w:ascii="Arial" w:hAnsi="Arial" w:cs="Arial"/>
                <w:bCs/>
                <w:color w:val="000000"/>
                <w:sz w:val="16"/>
                <w:szCs w:val="16"/>
              </w:rPr>
            </w:pPr>
            <w:r>
              <w:rPr>
                <w:rFonts w:ascii="Arial" w:hAnsi="Arial" w:cs="Arial"/>
                <w:color w:val="000000"/>
                <w:sz w:val="16"/>
                <w:szCs w:val="16"/>
              </w:rPr>
              <w:t>36.4</w:t>
            </w:r>
          </w:p>
        </w:tc>
      </w:tr>
      <w:tr w:rsidR="00831EED" w:rsidRPr="00513E8F" w14:paraId="5366D989" w14:textId="77777777" w:rsidTr="00831EED">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14:paraId="60FEE0FA" w14:textId="77777777" w:rsidR="00831EED" w:rsidRPr="00513E8F" w:rsidRDefault="00831EED" w:rsidP="00831EED">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Guadalajara (Jal.)</w:t>
            </w:r>
          </w:p>
        </w:tc>
        <w:tc>
          <w:tcPr>
            <w:tcW w:w="993" w:type="dxa"/>
            <w:tcBorders>
              <w:top w:val="nil"/>
              <w:left w:val="nil"/>
              <w:bottom w:val="single" w:sz="8" w:space="0" w:color="C6D9F1"/>
              <w:right w:val="single" w:sz="8" w:space="0" w:color="376091"/>
            </w:tcBorders>
            <w:shd w:val="clear" w:color="auto" w:fill="auto"/>
            <w:vAlign w:val="center"/>
          </w:tcPr>
          <w:p w14:paraId="2D09BAED" w14:textId="5F45E5C5"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1,814,759</w:t>
            </w:r>
          </w:p>
        </w:tc>
        <w:tc>
          <w:tcPr>
            <w:tcW w:w="992" w:type="dxa"/>
            <w:tcBorders>
              <w:top w:val="nil"/>
              <w:left w:val="nil"/>
              <w:bottom w:val="single" w:sz="8" w:space="0" w:color="C6D9F1"/>
              <w:right w:val="single" w:sz="8" w:space="0" w:color="376091"/>
            </w:tcBorders>
            <w:shd w:val="clear" w:color="auto" w:fill="auto"/>
            <w:vAlign w:val="center"/>
          </w:tcPr>
          <w:p w14:paraId="6954E359" w14:textId="0A470C85"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79,655</w:t>
            </w:r>
          </w:p>
        </w:tc>
        <w:tc>
          <w:tcPr>
            <w:tcW w:w="850" w:type="dxa"/>
            <w:tcBorders>
              <w:top w:val="nil"/>
              <w:left w:val="nil"/>
              <w:bottom w:val="single" w:sz="8" w:space="0" w:color="C6D9F1"/>
              <w:right w:val="single" w:sz="8" w:space="0" w:color="376091"/>
            </w:tcBorders>
            <w:shd w:val="clear" w:color="auto" w:fill="auto"/>
            <w:vAlign w:val="center"/>
          </w:tcPr>
          <w:p w14:paraId="78A2B195" w14:textId="496D50F3"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59.0</w:t>
            </w:r>
          </w:p>
        </w:tc>
        <w:tc>
          <w:tcPr>
            <w:tcW w:w="849" w:type="dxa"/>
            <w:tcBorders>
              <w:top w:val="nil"/>
              <w:left w:val="nil"/>
              <w:bottom w:val="single" w:sz="8" w:space="0" w:color="C6D9F1"/>
              <w:right w:val="single" w:sz="8" w:space="0" w:color="376091"/>
            </w:tcBorders>
            <w:shd w:val="clear" w:color="auto" w:fill="auto"/>
            <w:vAlign w:val="center"/>
          </w:tcPr>
          <w:p w14:paraId="1483A2AF" w14:textId="57D8CA39"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4.2</w:t>
            </w:r>
          </w:p>
        </w:tc>
        <w:tc>
          <w:tcPr>
            <w:tcW w:w="852" w:type="dxa"/>
            <w:tcBorders>
              <w:top w:val="nil"/>
              <w:left w:val="nil"/>
              <w:bottom w:val="single" w:sz="8" w:space="0" w:color="C6D9F1"/>
              <w:right w:val="single" w:sz="8" w:space="0" w:color="376091"/>
            </w:tcBorders>
            <w:shd w:val="clear" w:color="auto" w:fill="auto"/>
            <w:vAlign w:val="center"/>
          </w:tcPr>
          <w:p w14:paraId="1904C94D" w14:textId="5D5C7769"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8.1</w:t>
            </w:r>
          </w:p>
        </w:tc>
        <w:tc>
          <w:tcPr>
            <w:tcW w:w="709" w:type="dxa"/>
            <w:tcBorders>
              <w:top w:val="nil"/>
              <w:left w:val="nil"/>
              <w:bottom w:val="single" w:sz="8" w:space="0" w:color="C6D9F1"/>
              <w:right w:val="single" w:sz="8" w:space="0" w:color="376091"/>
            </w:tcBorders>
            <w:shd w:val="clear" w:color="auto" w:fill="auto"/>
            <w:vAlign w:val="center"/>
          </w:tcPr>
          <w:p w14:paraId="67AB4B83" w14:textId="0D74C1BB"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6.6</w:t>
            </w:r>
          </w:p>
        </w:tc>
        <w:tc>
          <w:tcPr>
            <w:tcW w:w="709" w:type="dxa"/>
            <w:tcBorders>
              <w:top w:val="nil"/>
              <w:left w:val="nil"/>
              <w:bottom w:val="single" w:sz="8" w:space="0" w:color="C6D9F1"/>
              <w:right w:val="single" w:sz="8" w:space="0" w:color="376091"/>
            </w:tcBorders>
            <w:shd w:val="clear" w:color="auto" w:fill="auto"/>
            <w:vAlign w:val="center"/>
          </w:tcPr>
          <w:p w14:paraId="317CD7CD" w14:textId="4707A5FF"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71.6</w:t>
            </w:r>
          </w:p>
        </w:tc>
        <w:tc>
          <w:tcPr>
            <w:tcW w:w="709" w:type="dxa"/>
            <w:tcBorders>
              <w:top w:val="nil"/>
              <w:left w:val="nil"/>
              <w:bottom w:val="single" w:sz="8" w:space="0" w:color="C6D9F1"/>
              <w:right w:val="single" w:sz="8" w:space="0" w:color="376091"/>
            </w:tcBorders>
            <w:shd w:val="clear" w:color="auto" w:fill="auto"/>
            <w:vAlign w:val="center"/>
          </w:tcPr>
          <w:p w14:paraId="1D6FACF1" w14:textId="16C08CC7"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11.2</w:t>
            </w:r>
          </w:p>
        </w:tc>
        <w:tc>
          <w:tcPr>
            <w:tcW w:w="850" w:type="dxa"/>
            <w:tcBorders>
              <w:top w:val="nil"/>
              <w:left w:val="nil"/>
              <w:bottom w:val="single" w:sz="8" w:space="0" w:color="C6D9F1"/>
              <w:right w:val="single" w:sz="8" w:space="0" w:color="376091"/>
            </w:tcBorders>
            <w:shd w:val="clear" w:color="auto" w:fill="auto"/>
            <w:vAlign w:val="center"/>
          </w:tcPr>
          <w:p w14:paraId="604A4861" w14:textId="44C75300"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12.6</w:t>
            </w:r>
          </w:p>
        </w:tc>
        <w:tc>
          <w:tcPr>
            <w:tcW w:w="709" w:type="dxa"/>
            <w:tcBorders>
              <w:top w:val="nil"/>
              <w:left w:val="nil"/>
              <w:bottom w:val="single" w:sz="8" w:space="0" w:color="C6D9F1"/>
              <w:right w:val="single" w:sz="8" w:space="0" w:color="376091"/>
            </w:tcBorders>
            <w:shd w:val="clear" w:color="auto" w:fill="auto"/>
            <w:vAlign w:val="center"/>
          </w:tcPr>
          <w:p w14:paraId="1CC79F3C" w14:textId="6F08706D"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40.1</w:t>
            </w:r>
          </w:p>
        </w:tc>
        <w:tc>
          <w:tcPr>
            <w:tcW w:w="709" w:type="dxa"/>
            <w:tcBorders>
              <w:top w:val="nil"/>
              <w:left w:val="nil"/>
              <w:bottom w:val="single" w:sz="8" w:space="0" w:color="C6D9F1"/>
              <w:right w:val="single" w:sz="8" w:space="0" w:color="376091"/>
            </w:tcBorders>
            <w:shd w:val="clear" w:color="auto" w:fill="auto"/>
            <w:vAlign w:val="center"/>
          </w:tcPr>
          <w:p w14:paraId="31348D26" w14:textId="475F9F9E"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23.9</w:t>
            </w:r>
          </w:p>
        </w:tc>
        <w:tc>
          <w:tcPr>
            <w:tcW w:w="850" w:type="dxa"/>
            <w:tcBorders>
              <w:top w:val="nil"/>
              <w:left w:val="nil"/>
              <w:bottom w:val="single" w:sz="8" w:space="0" w:color="C6D9F1"/>
              <w:right w:val="single" w:sz="8" w:space="0" w:color="376091"/>
            </w:tcBorders>
            <w:vAlign w:val="center"/>
          </w:tcPr>
          <w:p w14:paraId="4817C82A" w14:textId="25D6439A" w:rsidR="00831EED" w:rsidRPr="00B77C92" w:rsidRDefault="00831EED" w:rsidP="00831EED">
            <w:pPr>
              <w:spacing w:after="0" w:line="240" w:lineRule="auto"/>
              <w:jc w:val="center"/>
              <w:rPr>
                <w:rFonts w:ascii="Arial" w:hAnsi="Arial" w:cs="Arial"/>
                <w:bCs/>
                <w:color w:val="000000"/>
                <w:sz w:val="16"/>
                <w:szCs w:val="16"/>
              </w:rPr>
            </w:pPr>
            <w:r>
              <w:rPr>
                <w:rFonts w:ascii="Arial" w:hAnsi="Arial" w:cs="Arial"/>
                <w:color w:val="000000"/>
                <w:sz w:val="16"/>
                <w:szCs w:val="16"/>
              </w:rPr>
              <w:t>20.4</w:t>
            </w:r>
          </w:p>
        </w:tc>
      </w:tr>
      <w:tr w:rsidR="00831EED" w:rsidRPr="00513E8F" w14:paraId="6BBFEADD" w14:textId="77777777" w:rsidTr="00831EED">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14:paraId="2BB4344A" w14:textId="77777777" w:rsidR="00831EED" w:rsidRPr="00513E8F" w:rsidRDefault="00831EED" w:rsidP="00831EED">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Toluca (Edo. Méx.)</w:t>
            </w:r>
          </w:p>
        </w:tc>
        <w:tc>
          <w:tcPr>
            <w:tcW w:w="993" w:type="dxa"/>
            <w:tcBorders>
              <w:top w:val="nil"/>
              <w:left w:val="nil"/>
              <w:bottom w:val="single" w:sz="8" w:space="0" w:color="C6D9F1"/>
              <w:right w:val="single" w:sz="8" w:space="0" w:color="376091"/>
            </w:tcBorders>
            <w:shd w:val="clear" w:color="auto" w:fill="auto"/>
            <w:vAlign w:val="center"/>
          </w:tcPr>
          <w:p w14:paraId="3B46B45A" w14:textId="2CBBD457"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523,777</w:t>
            </w:r>
          </w:p>
        </w:tc>
        <w:tc>
          <w:tcPr>
            <w:tcW w:w="992" w:type="dxa"/>
            <w:tcBorders>
              <w:top w:val="nil"/>
              <w:left w:val="nil"/>
              <w:bottom w:val="single" w:sz="8" w:space="0" w:color="C6D9F1"/>
              <w:right w:val="single" w:sz="8" w:space="0" w:color="376091"/>
            </w:tcBorders>
            <w:shd w:val="clear" w:color="auto" w:fill="auto"/>
            <w:vAlign w:val="center"/>
          </w:tcPr>
          <w:p w14:paraId="2281C6C0" w14:textId="4220B2FE"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28,733</w:t>
            </w:r>
          </w:p>
        </w:tc>
        <w:tc>
          <w:tcPr>
            <w:tcW w:w="850" w:type="dxa"/>
            <w:tcBorders>
              <w:top w:val="nil"/>
              <w:left w:val="nil"/>
              <w:bottom w:val="single" w:sz="8" w:space="0" w:color="C6D9F1"/>
              <w:right w:val="single" w:sz="8" w:space="0" w:color="376091"/>
            </w:tcBorders>
            <w:shd w:val="clear" w:color="auto" w:fill="auto"/>
            <w:vAlign w:val="center"/>
          </w:tcPr>
          <w:p w14:paraId="67B2765C" w14:textId="66E39F68"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54.5</w:t>
            </w:r>
          </w:p>
        </w:tc>
        <w:tc>
          <w:tcPr>
            <w:tcW w:w="849" w:type="dxa"/>
            <w:tcBorders>
              <w:top w:val="nil"/>
              <w:left w:val="nil"/>
              <w:bottom w:val="single" w:sz="8" w:space="0" w:color="C6D9F1"/>
              <w:right w:val="single" w:sz="8" w:space="0" w:color="376091"/>
            </w:tcBorders>
            <w:shd w:val="clear" w:color="auto" w:fill="auto"/>
            <w:vAlign w:val="center"/>
          </w:tcPr>
          <w:p w14:paraId="4473939E" w14:textId="24A5FD12"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5.2</w:t>
            </w:r>
          </w:p>
        </w:tc>
        <w:tc>
          <w:tcPr>
            <w:tcW w:w="852" w:type="dxa"/>
            <w:tcBorders>
              <w:top w:val="nil"/>
              <w:left w:val="nil"/>
              <w:bottom w:val="single" w:sz="8" w:space="0" w:color="C6D9F1"/>
              <w:right w:val="single" w:sz="8" w:space="0" w:color="376091"/>
            </w:tcBorders>
            <w:shd w:val="clear" w:color="auto" w:fill="auto"/>
            <w:vAlign w:val="center"/>
          </w:tcPr>
          <w:p w14:paraId="20F2F954" w14:textId="521EED7F"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8.4</w:t>
            </w:r>
          </w:p>
        </w:tc>
        <w:tc>
          <w:tcPr>
            <w:tcW w:w="709" w:type="dxa"/>
            <w:tcBorders>
              <w:top w:val="nil"/>
              <w:left w:val="nil"/>
              <w:bottom w:val="single" w:sz="8" w:space="0" w:color="C6D9F1"/>
              <w:right w:val="single" w:sz="8" w:space="0" w:color="376091"/>
            </w:tcBorders>
            <w:shd w:val="clear" w:color="auto" w:fill="auto"/>
            <w:vAlign w:val="center"/>
          </w:tcPr>
          <w:p w14:paraId="2453D8B2" w14:textId="56DDB2EB"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7.0</w:t>
            </w:r>
          </w:p>
        </w:tc>
        <w:tc>
          <w:tcPr>
            <w:tcW w:w="709" w:type="dxa"/>
            <w:tcBorders>
              <w:top w:val="nil"/>
              <w:left w:val="nil"/>
              <w:bottom w:val="single" w:sz="8" w:space="0" w:color="C6D9F1"/>
              <w:right w:val="single" w:sz="8" w:space="0" w:color="376091"/>
            </w:tcBorders>
            <w:shd w:val="clear" w:color="auto" w:fill="auto"/>
            <w:vAlign w:val="center"/>
          </w:tcPr>
          <w:p w14:paraId="3FACDB96" w14:textId="4D385087"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73.2</w:t>
            </w:r>
          </w:p>
        </w:tc>
        <w:tc>
          <w:tcPr>
            <w:tcW w:w="709" w:type="dxa"/>
            <w:tcBorders>
              <w:top w:val="nil"/>
              <w:left w:val="nil"/>
              <w:bottom w:val="single" w:sz="8" w:space="0" w:color="C6D9F1"/>
              <w:right w:val="single" w:sz="8" w:space="0" w:color="376091"/>
            </w:tcBorders>
            <w:shd w:val="clear" w:color="auto" w:fill="auto"/>
            <w:vAlign w:val="center"/>
          </w:tcPr>
          <w:p w14:paraId="6570E8CD" w14:textId="4690DFD2"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9.7</w:t>
            </w:r>
          </w:p>
        </w:tc>
        <w:tc>
          <w:tcPr>
            <w:tcW w:w="850" w:type="dxa"/>
            <w:tcBorders>
              <w:top w:val="nil"/>
              <w:left w:val="nil"/>
              <w:bottom w:val="single" w:sz="8" w:space="0" w:color="C6D9F1"/>
              <w:right w:val="single" w:sz="8" w:space="0" w:color="376091"/>
            </w:tcBorders>
            <w:shd w:val="clear" w:color="auto" w:fill="auto"/>
            <w:vAlign w:val="center"/>
          </w:tcPr>
          <w:p w14:paraId="379FDC1C" w14:textId="4C719C62"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23.6</w:t>
            </w:r>
          </w:p>
        </w:tc>
        <w:tc>
          <w:tcPr>
            <w:tcW w:w="709" w:type="dxa"/>
            <w:tcBorders>
              <w:top w:val="nil"/>
              <w:left w:val="nil"/>
              <w:bottom w:val="single" w:sz="8" w:space="0" w:color="C6D9F1"/>
              <w:right w:val="single" w:sz="8" w:space="0" w:color="376091"/>
            </w:tcBorders>
            <w:shd w:val="clear" w:color="auto" w:fill="auto"/>
            <w:vAlign w:val="center"/>
          </w:tcPr>
          <w:p w14:paraId="0ACBFDA2" w14:textId="547ABA39"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42.4</w:t>
            </w:r>
          </w:p>
        </w:tc>
        <w:tc>
          <w:tcPr>
            <w:tcW w:w="709" w:type="dxa"/>
            <w:tcBorders>
              <w:top w:val="nil"/>
              <w:left w:val="nil"/>
              <w:bottom w:val="single" w:sz="8" w:space="0" w:color="C6D9F1"/>
              <w:right w:val="single" w:sz="8" w:space="0" w:color="376091"/>
            </w:tcBorders>
            <w:shd w:val="clear" w:color="auto" w:fill="auto"/>
            <w:vAlign w:val="center"/>
          </w:tcPr>
          <w:p w14:paraId="4ECDF310" w14:textId="5308BA91"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27.6</w:t>
            </w:r>
          </w:p>
        </w:tc>
        <w:tc>
          <w:tcPr>
            <w:tcW w:w="850" w:type="dxa"/>
            <w:tcBorders>
              <w:top w:val="nil"/>
              <w:left w:val="nil"/>
              <w:bottom w:val="single" w:sz="8" w:space="0" w:color="C6D9F1"/>
              <w:right w:val="single" w:sz="8" w:space="0" w:color="376091"/>
            </w:tcBorders>
            <w:vAlign w:val="center"/>
          </w:tcPr>
          <w:p w14:paraId="4DF28407" w14:textId="039AAA33" w:rsidR="00831EED" w:rsidRPr="00B77C92" w:rsidRDefault="00831EED" w:rsidP="00831EED">
            <w:pPr>
              <w:spacing w:after="0" w:line="240" w:lineRule="auto"/>
              <w:jc w:val="center"/>
              <w:rPr>
                <w:rFonts w:ascii="Arial" w:hAnsi="Arial" w:cs="Arial"/>
                <w:bCs/>
                <w:color w:val="000000"/>
                <w:sz w:val="16"/>
                <w:szCs w:val="16"/>
              </w:rPr>
            </w:pPr>
            <w:r>
              <w:rPr>
                <w:rFonts w:ascii="Arial" w:hAnsi="Arial" w:cs="Arial"/>
                <w:color w:val="000000"/>
                <w:sz w:val="16"/>
                <w:szCs w:val="16"/>
              </w:rPr>
              <w:t>21.1</w:t>
            </w:r>
          </w:p>
        </w:tc>
      </w:tr>
      <w:tr w:rsidR="00831EED" w:rsidRPr="00513E8F" w14:paraId="430499F9" w14:textId="77777777" w:rsidTr="00831EED">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14:paraId="3CA216D2" w14:textId="77777777" w:rsidR="00831EED" w:rsidRPr="00513E8F" w:rsidRDefault="00831EED" w:rsidP="00831EED">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Morelia (</w:t>
            </w:r>
            <w:proofErr w:type="spellStart"/>
            <w:r>
              <w:rPr>
                <w:rFonts w:ascii="Arial" w:hAnsi="Arial" w:cs="Arial"/>
                <w:color w:val="000000"/>
                <w:sz w:val="16"/>
                <w:szCs w:val="16"/>
              </w:rPr>
              <w:t>Mich</w:t>
            </w:r>
            <w:proofErr w:type="spellEnd"/>
            <w:r>
              <w:rPr>
                <w:rFonts w:ascii="Arial" w:hAnsi="Arial" w:cs="Arial"/>
                <w:color w:val="000000"/>
                <w:sz w:val="16"/>
                <w:szCs w:val="16"/>
              </w:rPr>
              <w:t>.)</w:t>
            </w:r>
          </w:p>
        </w:tc>
        <w:tc>
          <w:tcPr>
            <w:tcW w:w="993" w:type="dxa"/>
            <w:tcBorders>
              <w:top w:val="nil"/>
              <w:left w:val="nil"/>
              <w:bottom w:val="single" w:sz="8" w:space="0" w:color="C6D9F1"/>
              <w:right w:val="single" w:sz="8" w:space="0" w:color="376091"/>
            </w:tcBorders>
            <w:shd w:val="clear" w:color="auto" w:fill="auto"/>
            <w:vAlign w:val="center"/>
          </w:tcPr>
          <w:p w14:paraId="31525DEB" w14:textId="4F2D98A6"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366,661</w:t>
            </w:r>
          </w:p>
        </w:tc>
        <w:tc>
          <w:tcPr>
            <w:tcW w:w="992" w:type="dxa"/>
            <w:tcBorders>
              <w:top w:val="nil"/>
              <w:left w:val="nil"/>
              <w:bottom w:val="single" w:sz="8" w:space="0" w:color="C6D9F1"/>
              <w:right w:val="single" w:sz="8" w:space="0" w:color="376091"/>
            </w:tcBorders>
            <w:shd w:val="clear" w:color="auto" w:fill="auto"/>
            <w:vAlign w:val="center"/>
          </w:tcPr>
          <w:p w14:paraId="3FE9BBDD" w14:textId="4E221EB5"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10,211</w:t>
            </w:r>
          </w:p>
        </w:tc>
        <w:tc>
          <w:tcPr>
            <w:tcW w:w="850" w:type="dxa"/>
            <w:tcBorders>
              <w:top w:val="nil"/>
              <w:left w:val="nil"/>
              <w:bottom w:val="single" w:sz="8" w:space="0" w:color="C6D9F1"/>
              <w:right w:val="single" w:sz="8" w:space="0" w:color="376091"/>
            </w:tcBorders>
            <w:shd w:val="clear" w:color="auto" w:fill="auto"/>
            <w:vAlign w:val="center"/>
          </w:tcPr>
          <w:p w14:paraId="04D8EFAC" w14:textId="52973B80"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59.3</w:t>
            </w:r>
          </w:p>
        </w:tc>
        <w:tc>
          <w:tcPr>
            <w:tcW w:w="849" w:type="dxa"/>
            <w:tcBorders>
              <w:top w:val="nil"/>
              <w:left w:val="nil"/>
              <w:bottom w:val="single" w:sz="8" w:space="0" w:color="C6D9F1"/>
              <w:right w:val="single" w:sz="8" w:space="0" w:color="376091"/>
            </w:tcBorders>
            <w:shd w:val="clear" w:color="auto" w:fill="auto"/>
            <w:vAlign w:val="center"/>
          </w:tcPr>
          <w:p w14:paraId="116F398F" w14:textId="3F0D4A2D"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2.7</w:t>
            </w:r>
          </w:p>
        </w:tc>
        <w:tc>
          <w:tcPr>
            <w:tcW w:w="852" w:type="dxa"/>
            <w:tcBorders>
              <w:top w:val="nil"/>
              <w:left w:val="nil"/>
              <w:bottom w:val="single" w:sz="8" w:space="0" w:color="C6D9F1"/>
              <w:right w:val="single" w:sz="8" w:space="0" w:color="376091"/>
            </w:tcBorders>
            <w:shd w:val="clear" w:color="auto" w:fill="auto"/>
            <w:vAlign w:val="center"/>
          </w:tcPr>
          <w:p w14:paraId="72FFCC88" w14:textId="62E15D71"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8.5</w:t>
            </w:r>
          </w:p>
        </w:tc>
        <w:tc>
          <w:tcPr>
            <w:tcW w:w="709" w:type="dxa"/>
            <w:tcBorders>
              <w:top w:val="nil"/>
              <w:left w:val="nil"/>
              <w:bottom w:val="single" w:sz="8" w:space="0" w:color="C6D9F1"/>
              <w:right w:val="single" w:sz="8" w:space="0" w:color="376091"/>
            </w:tcBorders>
            <w:shd w:val="clear" w:color="auto" w:fill="auto"/>
            <w:vAlign w:val="center"/>
          </w:tcPr>
          <w:p w14:paraId="5A567657" w14:textId="4A345384"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6.1</w:t>
            </w:r>
          </w:p>
        </w:tc>
        <w:tc>
          <w:tcPr>
            <w:tcW w:w="709" w:type="dxa"/>
            <w:tcBorders>
              <w:top w:val="nil"/>
              <w:left w:val="nil"/>
              <w:bottom w:val="single" w:sz="8" w:space="0" w:color="C6D9F1"/>
              <w:right w:val="single" w:sz="8" w:space="0" w:color="376091"/>
            </w:tcBorders>
            <w:shd w:val="clear" w:color="auto" w:fill="auto"/>
            <w:vAlign w:val="center"/>
          </w:tcPr>
          <w:p w14:paraId="4206C80A" w14:textId="1DB57787"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70.8</w:t>
            </w:r>
          </w:p>
        </w:tc>
        <w:tc>
          <w:tcPr>
            <w:tcW w:w="709" w:type="dxa"/>
            <w:tcBorders>
              <w:top w:val="nil"/>
              <w:left w:val="nil"/>
              <w:bottom w:val="single" w:sz="8" w:space="0" w:color="C6D9F1"/>
              <w:right w:val="single" w:sz="8" w:space="0" w:color="376091"/>
            </w:tcBorders>
            <w:shd w:val="clear" w:color="auto" w:fill="auto"/>
            <w:vAlign w:val="center"/>
          </w:tcPr>
          <w:p w14:paraId="1934F8B5" w14:textId="6EE8E32D"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14.9</w:t>
            </w:r>
          </w:p>
        </w:tc>
        <w:tc>
          <w:tcPr>
            <w:tcW w:w="850" w:type="dxa"/>
            <w:tcBorders>
              <w:top w:val="nil"/>
              <w:left w:val="nil"/>
              <w:bottom w:val="single" w:sz="8" w:space="0" w:color="C6D9F1"/>
              <w:right w:val="single" w:sz="8" w:space="0" w:color="376091"/>
            </w:tcBorders>
            <w:shd w:val="clear" w:color="auto" w:fill="auto"/>
            <w:vAlign w:val="center"/>
          </w:tcPr>
          <w:p w14:paraId="2035FFC3" w14:textId="3DFC561D"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18.6</w:t>
            </w:r>
          </w:p>
        </w:tc>
        <w:tc>
          <w:tcPr>
            <w:tcW w:w="709" w:type="dxa"/>
            <w:tcBorders>
              <w:top w:val="nil"/>
              <w:left w:val="nil"/>
              <w:bottom w:val="single" w:sz="8" w:space="0" w:color="C6D9F1"/>
              <w:right w:val="single" w:sz="8" w:space="0" w:color="376091"/>
            </w:tcBorders>
            <w:shd w:val="clear" w:color="auto" w:fill="auto"/>
            <w:vAlign w:val="center"/>
          </w:tcPr>
          <w:p w14:paraId="52A1A4AB" w14:textId="1BB20396"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46.8</w:t>
            </w:r>
          </w:p>
        </w:tc>
        <w:tc>
          <w:tcPr>
            <w:tcW w:w="709" w:type="dxa"/>
            <w:tcBorders>
              <w:top w:val="nil"/>
              <w:left w:val="nil"/>
              <w:bottom w:val="single" w:sz="8" w:space="0" w:color="C6D9F1"/>
              <w:right w:val="single" w:sz="8" w:space="0" w:color="376091"/>
            </w:tcBorders>
            <w:shd w:val="clear" w:color="auto" w:fill="auto"/>
            <w:vAlign w:val="center"/>
          </w:tcPr>
          <w:p w14:paraId="1E37233E" w14:textId="1C0F3CD0"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27.3</w:t>
            </w:r>
          </w:p>
        </w:tc>
        <w:tc>
          <w:tcPr>
            <w:tcW w:w="850" w:type="dxa"/>
            <w:tcBorders>
              <w:top w:val="nil"/>
              <w:left w:val="nil"/>
              <w:bottom w:val="single" w:sz="8" w:space="0" w:color="C6D9F1"/>
              <w:right w:val="single" w:sz="8" w:space="0" w:color="376091"/>
            </w:tcBorders>
            <w:vAlign w:val="center"/>
          </w:tcPr>
          <w:p w14:paraId="444FC34F" w14:textId="0C2BC456" w:rsidR="00831EED" w:rsidRPr="00B77C92" w:rsidRDefault="00831EED" w:rsidP="00831EED">
            <w:pPr>
              <w:spacing w:after="0" w:line="240" w:lineRule="auto"/>
              <w:jc w:val="center"/>
              <w:rPr>
                <w:rFonts w:ascii="Arial" w:hAnsi="Arial" w:cs="Arial"/>
                <w:bCs/>
                <w:color w:val="000000"/>
                <w:sz w:val="16"/>
                <w:szCs w:val="16"/>
              </w:rPr>
            </w:pPr>
            <w:r>
              <w:rPr>
                <w:rFonts w:ascii="Arial" w:hAnsi="Arial" w:cs="Arial"/>
                <w:color w:val="000000"/>
                <w:sz w:val="16"/>
                <w:szCs w:val="16"/>
              </w:rPr>
              <w:t>27.4</w:t>
            </w:r>
          </w:p>
        </w:tc>
      </w:tr>
      <w:tr w:rsidR="00831EED" w:rsidRPr="00513E8F" w14:paraId="0DF696A7" w14:textId="77777777" w:rsidTr="00831EED">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14:paraId="2293AAFE" w14:textId="77777777" w:rsidR="00831EED" w:rsidRPr="00513E8F" w:rsidRDefault="00831EED" w:rsidP="00831EED">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Cuernavaca (Mor.)</w:t>
            </w:r>
          </w:p>
        </w:tc>
        <w:tc>
          <w:tcPr>
            <w:tcW w:w="993" w:type="dxa"/>
            <w:tcBorders>
              <w:top w:val="nil"/>
              <w:left w:val="nil"/>
              <w:bottom w:val="single" w:sz="8" w:space="0" w:color="C6D9F1"/>
              <w:right w:val="single" w:sz="8" w:space="0" w:color="376091"/>
            </w:tcBorders>
            <w:shd w:val="clear" w:color="auto" w:fill="auto"/>
            <w:vAlign w:val="center"/>
          </w:tcPr>
          <w:p w14:paraId="16139B55" w14:textId="5C74E7BC"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336,036</w:t>
            </w:r>
          </w:p>
        </w:tc>
        <w:tc>
          <w:tcPr>
            <w:tcW w:w="992" w:type="dxa"/>
            <w:tcBorders>
              <w:top w:val="nil"/>
              <w:left w:val="nil"/>
              <w:bottom w:val="single" w:sz="8" w:space="0" w:color="C6D9F1"/>
              <w:right w:val="single" w:sz="8" w:space="0" w:color="376091"/>
            </w:tcBorders>
            <w:shd w:val="clear" w:color="auto" w:fill="auto"/>
            <w:vAlign w:val="center"/>
          </w:tcPr>
          <w:p w14:paraId="093AC32E" w14:textId="519E8174"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7,397</w:t>
            </w:r>
          </w:p>
        </w:tc>
        <w:tc>
          <w:tcPr>
            <w:tcW w:w="850" w:type="dxa"/>
            <w:tcBorders>
              <w:top w:val="nil"/>
              <w:left w:val="nil"/>
              <w:bottom w:val="single" w:sz="8" w:space="0" w:color="C6D9F1"/>
              <w:right w:val="single" w:sz="8" w:space="0" w:color="376091"/>
            </w:tcBorders>
            <w:shd w:val="clear" w:color="auto" w:fill="auto"/>
            <w:vAlign w:val="center"/>
          </w:tcPr>
          <w:p w14:paraId="2E5E7123" w14:textId="4A63F515"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52.5</w:t>
            </w:r>
          </w:p>
        </w:tc>
        <w:tc>
          <w:tcPr>
            <w:tcW w:w="849" w:type="dxa"/>
            <w:tcBorders>
              <w:top w:val="nil"/>
              <w:left w:val="nil"/>
              <w:bottom w:val="single" w:sz="8" w:space="0" w:color="C6D9F1"/>
              <w:right w:val="single" w:sz="8" w:space="0" w:color="376091"/>
            </w:tcBorders>
            <w:shd w:val="clear" w:color="auto" w:fill="auto"/>
            <w:vAlign w:val="center"/>
          </w:tcPr>
          <w:p w14:paraId="782712BE" w14:textId="4E055A33"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2.2</w:t>
            </w:r>
          </w:p>
        </w:tc>
        <w:tc>
          <w:tcPr>
            <w:tcW w:w="852" w:type="dxa"/>
            <w:tcBorders>
              <w:top w:val="nil"/>
              <w:left w:val="nil"/>
              <w:bottom w:val="single" w:sz="8" w:space="0" w:color="C6D9F1"/>
              <w:right w:val="single" w:sz="8" w:space="0" w:color="376091"/>
            </w:tcBorders>
            <w:shd w:val="clear" w:color="auto" w:fill="auto"/>
            <w:vAlign w:val="center"/>
          </w:tcPr>
          <w:p w14:paraId="0E070AB9" w14:textId="565F6968"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6.1</w:t>
            </w:r>
          </w:p>
        </w:tc>
        <w:tc>
          <w:tcPr>
            <w:tcW w:w="709" w:type="dxa"/>
            <w:tcBorders>
              <w:top w:val="nil"/>
              <w:left w:val="nil"/>
              <w:bottom w:val="single" w:sz="8" w:space="0" w:color="C6D9F1"/>
              <w:right w:val="single" w:sz="8" w:space="0" w:color="376091"/>
            </w:tcBorders>
            <w:shd w:val="clear" w:color="auto" w:fill="auto"/>
            <w:vAlign w:val="center"/>
          </w:tcPr>
          <w:p w14:paraId="3F330CE3" w14:textId="48D101DC"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4.2</w:t>
            </w:r>
          </w:p>
        </w:tc>
        <w:tc>
          <w:tcPr>
            <w:tcW w:w="709" w:type="dxa"/>
            <w:tcBorders>
              <w:top w:val="nil"/>
              <w:left w:val="nil"/>
              <w:bottom w:val="single" w:sz="8" w:space="0" w:color="C6D9F1"/>
              <w:right w:val="single" w:sz="8" w:space="0" w:color="376091"/>
            </w:tcBorders>
            <w:shd w:val="clear" w:color="auto" w:fill="auto"/>
            <w:vAlign w:val="center"/>
          </w:tcPr>
          <w:p w14:paraId="2482245A" w14:textId="015838C2"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66.6</w:t>
            </w:r>
          </w:p>
        </w:tc>
        <w:tc>
          <w:tcPr>
            <w:tcW w:w="709" w:type="dxa"/>
            <w:tcBorders>
              <w:top w:val="nil"/>
              <w:left w:val="nil"/>
              <w:bottom w:val="single" w:sz="8" w:space="0" w:color="C6D9F1"/>
              <w:right w:val="single" w:sz="8" w:space="0" w:color="376091"/>
            </w:tcBorders>
            <w:shd w:val="clear" w:color="auto" w:fill="auto"/>
            <w:vAlign w:val="center"/>
          </w:tcPr>
          <w:p w14:paraId="2FB959E7" w14:textId="21974994"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7.1</w:t>
            </w:r>
          </w:p>
        </w:tc>
        <w:tc>
          <w:tcPr>
            <w:tcW w:w="850" w:type="dxa"/>
            <w:tcBorders>
              <w:top w:val="nil"/>
              <w:left w:val="nil"/>
              <w:bottom w:val="single" w:sz="8" w:space="0" w:color="C6D9F1"/>
              <w:right w:val="single" w:sz="8" w:space="0" w:color="376091"/>
            </w:tcBorders>
            <w:shd w:val="clear" w:color="auto" w:fill="auto"/>
            <w:vAlign w:val="center"/>
          </w:tcPr>
          <w:p w14:paraId="74BAB826" w14:textId="2E465E11"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18.5</w:t>
            </w:r>
          </w:p>
        </w:tc>
        <w:tc>
          <w:tcPr>
            <w:tcW w:w="709" w:type="dxa"/>
            <w:tcBorders>
              <w:top w:val="nil"/>
              <w:left w:val="nil"/>
              <w:bottom w:val="single" w:sz="8" w:space="0" w:color="C6D9F1"/>
              <w:right w:val="single" w:sz="8" w:space="0" w:color="376091"/>
            </w:tcBorders>
            <w:shd w:val="clear" w:color="auto" w:fill="auto"/>
            <w:vAlign w:val="center"/>
          </w:tcPr>
          <w:p w14:paraId="3A3783B7" w14:textId="24245EFB"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58.2</w:t>
            </w:r>
          </w:p>
        </w:tc>
        <w:tc>
          <w:tcPr>
            <w:tcW w:w="709" w:type="dxa"/>
            <w:tcBorders>
              <w:top w:val="nil"/>
              <w:left w:val="nil"/>
              <w:bottom w:val="single" w:sz="8" w:space="0" w:color="C6D9F1"/>
              <w:right w:val="single" w:sz="8" w:space="0" w:color="376091"/>
            </w:tcBorders>
            <w:shd w:val="clear" w:color="auto" w:fill="auto"/>
            <w:vAlign w:val="center"/>
          </w:tcPr>
          <w:p w14:paraId="7EC4CB55" w14:textId="5185D474"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32.5</w:t>
            </w:r>
          </w:p>
        </w:tc>
        <w:tc>
          <w:tcPr>
            <w:tcW w:w="850" w:type="dxa"/>
            <w:tcBorders>
              <w:top w:val="nil"/>
              <w:left w:val="nil"/>
              <w:bottom w:val="single" w:sz="8" w:space="0" w:color="C6D9F1"/>
              <w:right w:val="single" w:sz="8" w:space="0" w:color="376091"/>
            </w:tcBorders>
            <w:vAlign w:val="center"/>
          </w:tcPr>
          <w:p w14:paraId="5EB9837F" w14:textId="6CA9FBD0" w:rsidR="00831EED" w:rsidRPr="00B77C92" w:rsidRDefault="00831EED" w:rsidP="00831EED">
            <w:pPr>
              <w:spacing w:after="0" w:line="240" w:lineRule="auto"/>
              <w:jc w:val="center"/>
              <w:rPr>
                <w:rFonts w:ascii="Arial" w:hAnsi="Arial" w:cs="Arial"/>
                <w:bCs/>
                <w:color w:val="000000"/>
                <w:sz w:val="16"/>
                <w:szCs w:val="16"/>
              </w:rPr>
            </w:pPr>
            <w:r>
              <w:rPr>
                <w:rFonts w:ascii="Arial" w:hAnsi="Arial" w:cs="Arial"/>
                <w:color w:val="000000"/>
                <w:sz w:val="16"/>
                <w:szCs w:val="16"/>
              </w:rPr>
              <w:t>23.7</w:t>
            </w:r>
          </w:p>
        </w:tc>
      </w:tr>
      <w:tr w:rsidR="00831EED" w:rsidRPr="00513E8F" w14:paraId="1EB18C30" w14:textId="77777777" w:rsidTr="00831EED">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14:paraId="47FE2D47" w14:textId="77777777" w:rsidR="00831EED" w:rsidRPr="00513E8F" w:rsidRDefault="00831EED" w:rsidP="00831EED">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Tepic (Nay.)</w:t>
            </w:r>
          </w:p>
        </w:tc>
        <w:tc>
          <w:tcPr>
            <w:tcW w:w="993" w:type="dxa"/>
            <w:tcBorders>
              <w:top w:val="nil"/>
              <w:left w:val="nil"/>
              <w:bottom w:val="single" w:sz="8" w:space="0" w:color="C6D9F1"/>
              <w:right w:val="single" w:sz="8" w:space="0" w:color="376091"/>
            </w:tcBorders>
            <w:shd w:val="clear" w:color="auto" w:fill="auto"/>
            <w:vAlign w:val="center"/>
          </w:tcPr>
          <w:p w14:paraId="7D1BE7DD" w14:textId="191B73E4"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203,607</w:t>
            </w:r>
          </w:p>
        </w:tc>
        <w:tc>
          <w:tcPr>
            <w:tcW w:w="992" w:type="dxa"/>
            <w:tcBorders>
              <w:top w:val="nil"/>
              <w:left w:val="nil"/>
              <w:bottom w:val="single" w:sz="8" w:space="0" w:color="C6D9F1"/>
              <w:right w:val="single" w:sz="8" w:space="0" w:color="376091"/>
            </w:tcBorders>
            <w:shd w:val="clear" w:color="auto" w:fill="auto"/>
            <w:vAlign w:val="center"/>
          </w:tcPr>
          <w:p w14:paraId="329AF8C8" w14:textId="3B8F6495"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8,310</w:t>
            </w:r>
          </w:p>
        </w:tc>
        <w:tc>
          <w:tcPr>
            <w:tcW w:w="850" w:type="dxa"/>
            <w:tcBorders>
              <w:top w:val="nil"/>
              <w:left w:val="nil"/>
              <w:bottom w:val="single" w:sz="8" w:space="0" w:color="C6D9F1"/>
              <w:right w:val="single" w:sz="8" w:space="0" w:color="376091"/>
            </w:tcBorders>
            <w:shd w:val="clear" w:color="auto" w:fill="auto"/>
            <w:vAlign w:val="center"/>
          </w:tcPr>
          <w:p w14:paraId="7E46CEEB" w14:textId="68C0DEEA"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64.8</w:t>
            </w:r>
          </w:p>
        </w:tc>
        <w:tc>
          <w:tcPr>
            <w:tcW w:w="849" w:type="dxa"/>
            <w:tcBorders>
              <w:top w:val="nil"/>
              <w:left w:val="nil"/>
              <w:bottom w:val="single" w:sz="8" w:space="0" w:color="C6D9F1"/>
              <w:right w:val="single" w:sz="8" w:space="0" w:color="376091"/>
            </w:tcBorders>
            <w:shd w:val="clear" w:color="auto" w:fill="auto"/>
            <w:vAlign w:val="center"/>
          </w:tcPr>
          <w:p w14:paraId="7D7D0B66" w14:textId="618B19A0"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3.9</w:t>
            </w:r>
          </w:p>
        </w:tc>
        <w:tc>
          <w:tcPr>
            <w:tcW w:w="852" w:type="dxa"/>
            <w:tcBorders>
              <w:top w:val="nil"/>
              <w:left w:val="nil"/>
              <w:bottom w:val="single" w:sz="8" w:space="0" w:color="C6D9F1"/>
              <w:right w:val="single" w:sz="8" w:space="0" w:color="376091"/>
            </w:tcBorders>
            <w:shd w:val="clear" w:color="auto" w:fill="auto"/>
            <w:vAlign w:val="center"/>
          </w:tcPr>
          <w:p w14:paraId="412B35FA" w14:textId="61A94E32"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12.6</w:t>
            </w:r>
          </w:p>
        </w:tc>
        <w:tc>
          <w:tcPr>
            <w:tcW w:w="709" w:type="dxa"/>
            <w:tcBorders>
              <w:top w:val="nil"/>
              <w:left w:val="nil"/>
              <w:bottom w:val="single" w:sz="8" w:space="0" w:color="C6D9F1"/>
              <w:right w:val="single" w:sz="8" w:space="0" w:color="376091"/>
            </w:tcBorders>
            <w:shd w:val="clear" w:color="auto" w:fill="auto"/>
            <w:vAlign w:val="center"/>
          </w:tcPr>
          <w:p w14:paraId="31C27D48" w14:textId="59801A6F"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7.3</w:t>
            </w:r>
          </w:p>
        </w:tc>
        <w:tc>
          <w:tcPr>
            <w:tcW w:w="709" w:type="dxa"/>
            <w:tcBorders>
              <w:top w:val="nil"/>
              <w:left w:val="nil"/>
              <w:bottom w:val="single" w:sz="8" w:space="0" w:color="C6D9F1"/>
              <w:right w:val="single" w:sz="8" w:space="0" w:color="376091"/>
            </w:tcBorders>
            <w:shd w:val="clear" w:color="auto" w:fill="auto"/>
            <w:vAlign w:val="center"/>
          </w:tcPr>
          <w:p w14:paraId="0D4CF53F" w14:textId="14B26A87"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70.1</w:t>
            </w:r>
          </w:p>
        </w:tc>
        <w:tc>
          <w:tcPr>
            <w:tcW w:w="709" w:type="dxa"/>
            <w:tcBorders>
              <w:top w:val="nil"/>
              <w:left w:val="nil"/>
              <w:bottom w:val="single" w:sz="8" w:space="0" w:color="C6D9F1"/>
              <w:right w:val="single" w:sz="8" w:space="0" w:color="376091"/>
            </w:tcBorders>
            <w:shd w:val="clear" w:color="auto" w:fill="auto"/>
            <w:vAlign w:val="center"/>
          </w:tcPr>
          <w:p w14:paraId="5C692D4E" w14:textId="67CB0F99"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16.6</w:t>
            </w:r>
          </w:p>
        </w:tc>
        <w:tc>
          <w:tcPr>
            <w:tcW w:w="850" w:type="dxa"/>
            <w:tcBorders>
              <w:top w:val="nil"/>
              <w:left w:val="nil"/>
              <w:bottom w:val="single" w:sz="8" w:space="0" w:color="C6D9F1"/>
              <w:right w:val="single" w:sz="8" w:space="0" w:color="376091"/>
            </w:tcBorders>
            <w:shd w:val="clear" w:color="auto" w:fill="auto"/>
            <w:vAlign w:val="center"/>
          </w:tcPr>
          <w:p w14:paraId="49FBE4C0" w14:textId="63FC46CE"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22.7</w:t>
            </w:r>
          </w:p>
        </w:tc>
        <w:tc>
          <w:tcPr>
            <w:tcW w:w="709" w:type="dxa"/>
            <w:tcBorders>
              <w:top w:val="nil"/>
              <w:left w:val="nil"/>
              <w:bottom w:val="single" w:sz="8" w:space="0" w:color="C6D9F1"/>
              <w:right w:val="single" w:sz="8" w:space="0" w:color="376091"/>
            </w:tcBorders>
            <w:shd w:val="clear" w:color="auto" w:fill="auto"/>
            <w:vAlign w:val="center"/>
          </w:tcPr>
          <w:p w14:paraId="5F83644D" w14:textId="742A74B8"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43.5</w:t>
            </w:r>
          </w:p>
        </w:tc>
        <w:tc>
          <w:tcPr>
            <w:tcW w:w="709" w:type="dxa"/>
            <w:tcBorders>
              <w:top w:val="nil"/>
              <w:left w:val="nil"/>
              <w:bottom w:val="single" w:sz="8" w:space="0" w:color="C6D9F1"/>
              <w:right w:val="single" w:sz="8" w:space="0" w:color="376091"/>
            </w:tcBorders>
            <w:shd w:val="clear" w:color="auto" w:fill="auto"/>
            <w:vAlign w:val="center"/>
          </w:tcPr>
          <w:p w14:paraId="4EABD3E9" w14:textId="18DECA5E"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21.6</w:t>
            </w:r>
          </w:p>
        </w:tc>
        <w:tc>
          <w:tcPr>
            <w:tcW w:w="850" w:type="dxa"/>
            <w:tcBorders>
              <w:top w:val="nil"/>
              <w:left w:val="nil"/>
              <w:bottom w:val="single" w:sz="8" w:space="0" w:color="C6D9F1"/>
              <w:right w:val="single" w:sz="8" w:space="0" w:color="376091"/>
            </w:tcBorders>
            <w:vAlign w:val="center"/>
          </w:tcPr>
          <w:p w14:paraId="30ED67BD" w14:textId="25544FD8" w:rsidR="00831EED" w:rsidRPr="00B77C92" w:rsidRDefault="00831EED" w:rsidP="00831EED">
            <w:pPr>
              <w:spacing w:after="0" w:line="240" w:lineRule="auto"/>
              <w:jc w:val="center"/>
              <w:rPr>
                <w:rFonts w:ascii="Arial" w:hAnsi="Arial" w:cs="Arial"/>
                <w:bCs/>
                <w:color w:val="000000"/>
                <w:sz w:val="16"/>
                <w:szCs w:val="16"/>
              </w:rPr>
            </w:pPr>
            <w:r>
              <w:rPr>
                <w:rFonts w:ascii="Arial" w:hAnsi="Arial" w:cs="Arial"/>
                <w:color w:val="000000"/>
                <w:sz w:val="16"/>
                <w:szCs w:val="16"/>
              </w:rPr>
              <w:t>29.5</w:t>
            </w:r>
          </w:p>
        </w:tc>
      </w:tr>
      <w:tr w:rsidR="00831EED" w:rsidRPr="00513E8F" w14:paraId="4D953632" w14:textId="77777777" w:rsidTr="00831EED">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14:paraId="1C5BCEB4" w14:textId="77777777" w:rsidR="00831EED" w:rsidRPr="00513E8F" w:rsidRDefault="00831EED" w:rsidP="00831EED">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Monterrey (N. L.)</w:t>
            </w:r>
          </w:p>
        </w:tc>
        <w:tc>
          <w:tcPr>
            <w:tcW w:w="993" w:type="dxa"/>
            <w:tcBorders>
              <w:top w:val="nil"/>
              <w:left w:val="nil"/>
              <w:bottom w:val="single" w:sz="8" w:space="0" w:color="C6D9F1"/>
              <w:right w:val="single" w:sz="8" w:space="0" w:color="376091"/>
            </w:tcBorders>
            <w:shd w:val="clear" w:color="auto" w:fill="auto"/>
            <w:vAlign w:val="center"/>
          </w:tcPr>
          <w:p w14:paraId="09158AE3" w14:textId="2AA0DDD2"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1,911,127</w:t>
            </w:r>
          </w:p>
        </w:tc>
        <w:tc>
          <w:tcPr>
            <w:tcW w:w="992" w:type="dxa"/>
            <w:tcBorders>
              <w:top w:val="nil"/>
              <w:left w:val="nil"/>
              <w:bottom w:val="single" w:sz="8" w:space="0" w:color="C6D9F1"/>
              <w:right w:val="single" w:sz="8" w:space="0" w:color="376091"/>
            </w:tcBorders>
            <w:shd w:val="clear" w:color="auto" w:fill="auto"/>
            <w:vAlign w:val="center"/>
          </w:tcPr>
          <w:p w14:paraId="1A7DE27C" w14:textId="2847A6C8"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103,627</w:t>
            </w:r>
          </w:p>
        </w:tc>
        <w:tc>
          <w:tcPr>
            <w:tcW w:w="850" w:type="dxa"/>
            <w:tcBorders>
              <w:top w:val="nil"/>
              <w:left w:val="nil"/>
              <w:bottom w:val="single" w:sz="8" w:space="0" w:color="C6D9F1"/>
              <w:right w:val="single" w:sz="8" w:space="0" w:color="376091"/>
            </w:tcBorders>
            <w:shd w:val="clear" w:color="auto" w:fill="auto"/>
            <w:vAlign w:val="center"/>
          </w:tcPr>
          <w:p w14:paraId="6A66757A" w14:textId="3087A967"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58.4</w:t>
            </w:r>
          </w:p>
        </w:tc>
        <w:tc>
          <w:tcPr>
            <w:tcW w:w="849" w:type="dxa"/>
            <w:tcBorders>
              <w:top w:val="nil"/>
              <w:left w:val="nil"/>
              <w:bottom w:val="single" w:sz="8" w:space="0" w:color="C6D9F1"/>
              <w:right w:val="single" w:sz="8" w:space="0" w:color="376091"/>
            </w:tcBorders>
            <w:shd w:val="clear" w:color="auto" w:fill="auto"/>
            <w:vAlign w:val="center"/>
          </w:tcPr>
          <w:p w14:paraId="77B5BFA1" w14:textId="7DB8CB76"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5.1</w:t>
            </w:r>
          </w:p>
        </w:tc>
        <w:tc>
          <w:tcPr>
            <w:tcW w:w="852" w:type="dxa"/>
            <w:tcBorders>
              <w:top w:val="nil"/>
              <w:left w:val="nil"/>
              <w:bottom w:val="single" w:sz="8" w:space="0" w:color="C6D9F1"/>
              <w:right w:val="single" w:sz="8" w:space="0" w:color="376091"/>
            </w:tcBorders>
            <w:shd w:val="clear" w:color="auto" w:fill="auto"/>
            <w:vAlign w:val="center"/>
          </w:tcPr>
          <w:p w14:paraId="12857C6D" w14:textId="18C72116"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9.3</w:t>
            </w:r>
          </w:p>
        </w:tc>
        <w:tc>
          <w:tcPr>
            <w:tcW w:w="709" w:type="dxa"/>
            <w:tcBorders>
              <w:top w:val="nil"/>
              <w:left w:val="nil"/>
              <w:bottom w:val="single" w:sz="8" w:space="0" w:color="C6D9F1"/>
              <w:right w:val="single" w:sz="8" w:space="0" w:color="376091"/>
            </w:tcBorders>
            <w:shd w:val="clear" w:color="auto" w:fill="auto"/>
            <w:vAlign w:val="center"/>
          </w:tcPr>
          <w:p w14:paraId="26031BAB" w14:textId="68C5DF03"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8.3</w:t>
            </w:r>
          </w:p>
        </w:tc>
        <w:tc>
          <w:tcPr>
            <w:tcW w:w="709" w:type="dxa"/>
            <w:tcBorders>
              <w:top w:val="nil"/>
              <w:left w:val="nil"/>
              <w:bottom w:val="single" w:sz="8" w:space="0" w:color="C6D9F1"/>
              <w:right w:val="single" w:sz="8" w:space="0" w:color="376091"/>
            </w:tcBorders>
            <w:shd w:val="clear" w:color="auto" w:fill="auto"/>
            <w:vAlign w:val="center"/>
          </w:tcPr>
          <w:p w14:paraId="60494031" w14:textId="2357831C"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76.8</w:t>
            </w:r>
          </w:p>
        </w:tc>
        <w:tc>
          <w:tcPr>
            <w:tcW w:w="709" w:type="dxa"/>
            <w:tcBorders>
              <w:top w:val="nil"/>
              <w:left w:val="nil"/>
              <w:bottom w:val="single" w:sz="8" w:space="0" w:color="C6D9F1"/>
              <w:right w:val="single" w:sz="8" w:space="0" w:color="376091"/>
            </w:tcBorders>
            <w:shd w:val="clear" w:color="auto" w:fill="auto"/>
            <w:vAlign w:val="center"/>
          </w:tcPr>
          <w:p w14:paraId="7530862B" w14:textId="0AB0DE1C"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9.6</w:t>
            </w:r>
          </w:p>
        </w:tc>
        <w:tc>
          <w:tcPr>
            <w:tcW w:w="850" w:type="dxa"/>
            <w:tcBorders>
              <w:top w:val="nil"/>
              <w:left w:val="nil"/>
              <w:bottom w:val="single" w:sz="8" w:space="0" w:color="C6D9F1"/>
              <w:right w:val="single" w:sz="8" w:space="0" w:color="376091"/>
            </w:tcBorders>
            <w:shd w:val="clear" w:color="auto" w:fill="auto"/>
            <w:vAlign w:val="center"/>
          </w:tcPr>
          <w:p w14:paraId="61980ED0" w14:textId="0D9AEA83"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12.6</w:t>
            </w:r>
          </w:p>
        </w:tc>
        <w:tc>
          <w:tcPr>
            <w:tcW w:w="709" w:type="dxa"/>
            <w:tcBorders>
              <w:top w:val="nil"/>
              <w:left w:val="nil"/>
              <w:bottom w:val="single" w:sz="8" w:space="0" w:color="C6D9F1"/>
              <w:right w:val="single" w:sz="8" w:space="0" w:color="376091"/>
            </w:tcBorders>
            <w:shd w:val="clear" w:color="auto" w:fill="auto"/>
            <w:vAlign w:val="center"/>
          </w:tcPr>
          <w:p w14:paraId="217D30AF" w14:textId="695C4FFA"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32.8</w:t>
            </w:r>
          </w:p>
        </w:tc>
        <w:tc>
          <w:tcPr>
            <w:tcW w:w="709" w:type="dxa"/>
            <w:tcBorders>
              <w:top w:val="nil"/>
              <w:left w:val="nil"/>
              <w:bottom w:val="single" w:sz="8" w:space="0" w:color="C6D9F1"/>
              <w:right w:val="single" w:sz="8" w:space="0" w:color="376091"/>
            </w:tcBorders>
            <w:shd w:val="clear" w:color="auto" w:fill="auto"/>
            <w:vAlign w:val="center"/>
          </w:tcPr>
          <w:p w14:paraId="5AC16B5C" w14:textId="4B193702"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20.4</w:t>
            </w:r>
          </w:p>
        </w:tc>
        <w:tc>
          <w:tcPr>
            <w:tcW w:w="850" w:type="dxa"/>
            <w:tcBorders>
              <w:top w:val="nil"/>
              <w:left w:val="nil"/>
              <w:bottom w:val="single" w:sz="8" w:space="0" w:color="C6D9F1"/>
              <w:right w:val="single" w:sz="8" w:space="0" w:color="376091"/>
            </w:tcBorders>
            <w:vAlign w:val="center"/>
          </w:tcPr>
          <w:p w14:paraId="494094B1" w14:textId="7DCCA22D" w:rsidR="00831EED" w:rsidRPr="00B77C92" w:rsidRDefault="00831EED" w:rsidP="00831EED">
            <w:pPr>
              <w:spacing w:after="0" w:line="240" w:lineRule="auto"/>
              <w:jc w:val="center"/>
              <w:rPr>
                <w:rFonts w:ascii="Arial" w:hAnsi="Arial" w:cs="Arial"/>
                <w:bCs/>
                <w:color w:val="000000"/>
                <w:sz w:val="16"/>
                <w:szCs w:val="16"/>
              </w:rPr>
            </w:pPr>
            <w:r>
              <w:rPr>
                <w:rFonts w:ascii="Arial" w:hAnsi="Arial" w:cs="Arial"/>
                <w:color w:val="000000"/>
                <w:sz w:val="16"/>
                <w:szCs w:val="16"/>
              </w:rPr>
              <w:t>22.5</w:t>
            </w:r>
          </w:p>
        </w:tc>
      </w:tr>
      <w:tr w:rsidR="00831EED" w:rsidRPr="00513E8F" w14:paraId="65B087CB" w14:textId="77777777" w:rsidTr="00831EED">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14:paraId="704D0B94" w14:textId="77777777" w:rsidR="00831EED" w:rsidRPr="00513E8F" w:rsidRDefault="00831EED" w:rsidP="00831EED">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Oaxaca (</w:t>
            </w:r>
            <w:proofErr w:type="spellStart"/>
            <w:r>
              <w:rPr>
                <w:rFonts w:ascii="Arial" w:hAnsi="Arial" w:cs="Arial"/>
                <w:color w:val="000000"/>
                <w:sz w:val="16"/>
                <w:szCs w:val="16"/>
              </w:rPr>
              <w:t>Oax</w:t>
            </w:r>
            <w:proofErr w:type="spellEnd"/>
            <w:r>
              <w:rPr>
                <w:rFonts w:ascii="Arial" w:hAnsi="Arial" w:cs="Arial"/>
                <w:color w:val="000000"/>
                <w:sz w:val="16"/>
                <w:szCs w:val="16"/>
              </w:rPr>
              <w:t>.)</w:t>
            </w:r>
          </w:p>
        </w:tc>
        <w:tc>
          <w:tcPr>
            <w:tcW w:w="993" w:type="dxa"/>
            <w:tcBorders>
              <w:top w:val="nil"/>
              <w:left w:val="nil"/>
              <w:bottom w:val="single" w:sz="8" w:space="0" w:color="C6D9F1"/>
              <w:right w:val="single" w:sz="8" w:space="0" w:color="376091"/>
            </w:tcBorders>
            <w:shd w:val="clear" w:color="auto" w:fill="auto"/>
            <w:vAlign w:val="center"/>
          </w:tcPr>
          <w:p w14:paraId="56C230CA" w14:textId="148E0494"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270,791</w:t>
            </w:r>
          </w:p>
        </w:tc>
        <w:tc>
          <w:tcPr>
            <w:tcW w:w="992" w:type="dxa"/>
            <w:tcBorders>
              <w:top w:val="nil"/>
              <w:left w:val="nil"/>
              <w:bottom w:val="single" w:sz="8" w:space="0" w:color="C6D9F1"/>
              <w:right w:val="single" w:sz="8" w:space="0" w:color="376091"/>
            </w:tcBorders>
            <w:shd w:val="clear" w:color="auto" w:fill="auto"/>
            <w:vAlign w:val="center"/>
          </w:tcPr>
          <w:p w14:paraId="72D69151" w14:textId="1F23C019"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8,877</w:t>
            </w:r>
          </w:p>
        </w:tc>
        <w:tc>
          <w:tcPr>
            <w:tcW w:w="850" w:type="dxa"/>
            <w:tcBorders>
              <w:top w:val="nil"/>
              <w:left w:val="nil"/>
              <w:bottom w:val="single" w:sz="8" w:space="0" w:color="C6D9F1"/>
              <w:right w:val="single" w:sz="8" w:space="0" w:color="376091"/>
            </w:tcBorders>
            <w:shd w:val="clear" w:color="auto" w:fill="auto"/>
            <w:vAlign w:val="center"/>
          </w:tcPr>
          <w:p w14:paraId="2C91CBC2" w14:textId="7D8DD36E"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61.8</w:t>
            </w:r>
          </w:p>
        </w:tc>
        <w:tc>
          <w:tcPr>
            <w:tcW w:w="849" w:type="dxa"/>
            <w:tcBorders>
              <w:top w:val="nil"/>
              <w:left w:val="nil"/>
              <w:bottom w:val="single" w:sz="8" w:space="0" w:color="C6D9F1"/>
              <w:right w:val="single" w:sz="8" w:space="0" w:color="376091"/>
            </w:tcBorders>
            <w:shd w:val="clear" w:color="auto" w:fill="auto"/>
            <w:vAlign w:val="center"/>
          </w:tcPr>
          <w:p w14:paraId="7042AAB7" w14:textId="0B33355B"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3.2</w:t>
            </w:r>
          </w:p>
        </w:tc>
        <w:tc>
          <w:tcPr>
            <w:tcW w:w="852" w:type="dxa"/>
            <w:tcBorders>
              <w:top w:val="nil"/>
              <w:left w:val="nil"/>
              <w:bottom w:val="single" w:sz="8" w:space="0" w:color="C6D9F1"/>
              <w:right w:val="single" w:sz="8" w:space="0" w:color="376091"/>
            </w:tcBorders>
            <w:shd w:val="clear" w:color="auto" w:fill="auto"/>
            <w:vAlign w:val="center"/>
          </w:tcPr>
          <w:p w14:paraId="489C1522" w14:textId="01C64932"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12.0</w:t>
            </w:r>
          </w:p>
        </w:tc>
        <w:tc>
          <w:tcPr>
            <w:tcW w:w="709" w:type="dxa"/>
            <w:tcBorders>
              <w:top w:val="nil"/>
              <w:left w:val="nil"/>
              <w:bottom w:val="single" w:sz="8" w:space="0" w:color="C6D9F1"/>
              <w:right w:val="single" w:sz="8" w:space="0" w:color="376091"/>
            </w:tcBorders>
            <w:shd w:val="clear" w:color="auto" w:fill="auto"/>
            <w:vAlign w:val="center"/>
          </w:tcPr>
          <w:p w14:paraId="26E38D7F" w14:textId="2E477AEC"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10.7</w:t>
            </w:r>
          </w:p>
        </w:tc>
        <w:tc>
          <w:tcPr>
            <w:tcW w:w="709" w:type="dxa"/>
            <w:tcBorders>
              <w:top w:val="nil"/>
              <w:left w:val="nil"/>
              <w:bottom w:val="single" w:sz="8" w:space="0" w:color="C6D9F1"/>
              <w:right w:val="single" w:sz="8" w:space="0" w:color="376091"/>
            </w:tcBorders>
            <w:shd w:val="clear" w:color="auto" w:fill="auto"/>
            <w:vAlign w:val="center"/>
          </w:tcPr>
          <w:p w14:paraId="02B81A4E" w14:textId="40AC0FFF"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62.5</w:t>
            </w:r>
          </w:p>
        </w:tc>
        <w:tc>
          <w:tcPr>
            <w:tcW w:w="709" w:type="dxa"/>
            <w:tcBorders>
              <w:top w:val="nil"/>
              <w:left w:val="nil"/>
              <w:bottom w:val="single" w:sz="8" w:space="0" w:color="C6D9F1"/>
              <w:right w:val="single" w:sz="8" w:space="0" w:color="376091"/>
            </w:tcBorders>
            <w:shd w:val="clear" w:color="auto" w:fill="auto"/>
            <w:vAlign w:val="center"/>
          </w:tcPr>
          <w:p w14:paraId="6BD5DBA7" w14:textId="0D11D535"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22.4</w:t>
            </w:r>
          </w:p>
        </w:tc>
        <w:tc>
          <w:tcPr>
            <w:tcW w:w="850" w:type="dxa"/>
            <w:tcBorders>
              <w:top w:val="nil"/>
              <w:left w:val="nil"/>
              <w:bottom w:val="single" w:sz="8" w:space="0" w:color="C6D9F1"/>
              <w:right w:val="single" w:sz="8" w:space="0" w:color="376091"/>
            </w:tcBorders>
            <w:shd w:val="clear" w:color="auto" w:fill="auto"/>
            <w:vAlign w:val="center"/>
          </w:tcPr>
          <w:p w14:paraId="06589427" w14:textId="5AA36435"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30.5</w:t>
            </w:r>
          </w:p>
        </w:tc>
        <w:tc>
          <w:tcPr>
            <w:tcW w:w="709" w:type="dxa"/>
            <w:tcBorders>
              <w:top w:val="nil"/>
              <w:left w:val="nil"/>
              <w:bottom w:val="single" w:sz="8" w:space="0" w:color="C6D9F1"/>
              <w:right w:val="single" w:sz="8" w:space="0" w:color="376091"/>
            </w:tcBorders>
            <w:shd w:val="clear" w:color="auto" w:fill="auto"/>
            <w:vAlign w:val="center"/>
          </w:tcPr>
          <w:p w14:paraId="0F3857BD" w14:textId="70CC2588"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60.0</w:t>
            </w:r>
          </w:p>
        </w:tc>
        <w:tc>
          <w:tcPr>
            <w:tcW w:w="709" w:type="dxa"/>
            <w:tcBorders>
              <w:top w:val="nil"/>
              <w:left w:val="nil"/>
              <w:bottom w:val="single" w:sz="8" w:space="0" w:color="C6D9F1"/>
              <w:right w:val="single" w:sz="8" w:space="0" w:color="376091"/>
            </w:tcBorders>
            <w:shd w:val="clear" w:color="auto" w:fill="auto"/>
            <w:vAlign w:val="center"/>
          </w:tcPr>
          <w:p w14:paraId="7F8AB0A4" w14:textId="49BDE507"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37.7</w:t>
            </w:r>
          </w:p>
        </w:tc>
        <w:tc>
          <w:tcPr>
            <w:tcW w:w="850" w:type="dxa"/>
            <w:tcBorders>
              <w:top w:val="nil"/>
              <w:left w:val="nil"/>
              <w:bottom w:val="single" w:sz="8" w:space="0" w:color="C6D9F1"/>
              <w:right w:val="single" w:sz="8" w:space="0" w:color="376091"/>
            </w:tcBorders>
            <w:vAlign w:val="center"/>
          </w:tcPr>
          <w:p w14:paraId="06A7929F" w14:textId="71E342DE" w:rsidR="00831EED" w:rsidRPr="00B77C92" w:rsidRDefault="00831EED" w:rsidP="00831EED">
            <w:pPr>
              <w:spacing w:after="0" w:line="240" w:lineRule="auto"/>
              <w:jc w:val="center"/>
              <w:rPr>
                <w:rFonts w:ascii="Arial" w:hAnsi="Arial" w:cs="Arial"/>
                <w:bCs/>
                <w:color w:val="000000"/>
                <w:sz w:val="16"/>
                <w:szCs w:val="16"/>
              </w:rPr>
            </w:pPr>
            <w:r>
              <w:rPr>
                <w:rFonts w:ascii="Arial" w:hAnsi="Arial" w:cs="Arial"/>
                <w:color w:val="000000"/>
                <w:sz w:val="16"/>
                <w:szCs w:val="16"/>
              </w:rPr>
              <w:t>34.9</w:t>
            </w:r>
          </w:p>
        </w:tc>
      </w:tr>
      <w:tr w:rsidR="00831EED" w:rsidRPr="00513E8F" w14:paraId="629E329B" w14:textId="77777777" w:rsidTr="00831EED">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14:paraId="40567321" w14:textId="77777777" w:rsidR="00831EED" w:rsidRPr="00513E8F" w:rsidRDefault="00831EED" w:rsidP="00831EED">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Puebla (Pue.)</w:t>
            </w:r>
          </w:p>
        </w:tc>
        <w:tc>
          <w:tcPr>
            <w:tcW w:w="993" w:type="dxa"/>
            <w:tcBorders>
              <w:top w:val="nil"/>
              <w:left w:val="nil"/>
              <w:bottom w:val="single" w:sz="8" w:space="0" w:color="C6D9F1"/>
              <w:right w:val="single" w:sz="8" w:space="0" w:color="376091"/>
            </w:tcBorders>
            <w:shd w:val="clear" w:color="auto" w:fill="auto"/>
            <w:vAlign w:val="center"/>
          </w:tcPr>
          <w:p w14:paraId="4F8B808B" w14:textId="472C4653"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910,957</w:t>
            </w:r>
          </w:p>
        </w:tc>
        <w:tc>
          <w:tcPr>
            <w:tcW w:w="992" w:type="dxa"/>
            <w:tcBorders>
              <w:top w:val="nil"/>
              <w:left w:val="nil"/>
              <w:bottom w:val="single" w:sz="8" w:space="0" w:color="C6D9F1"/>
              <w:right w:val="single" w:sz="8" w:space="0" w:color="376091"/>
            </w:tcBorders>
            <w:shd w:val="clear" w:color="auto" w:fill="auto"/>
            <w:vAlign w:val="center"/>
          </w:tcPr>
          <w:p w14:paraId="35CF403E" w14:textId="7DCF1248"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55,786</w:t>
            </w:r>
          </w:p>
        </w:tc>
        <w:tc>
          <w:tcPr>
            <w:tcW w:w="850" w:type="dxa"/>
            <w:tcBorders>
              <w:top w:val="nil"/>
              <w:left w:val="nil"/>
              <w:bottom w:val="single" w:sz="8" w:space="0" w:color="C6D9F1"/>
              <w:right w:val="single" w:sz="8" w:space="0" w:color="376091"/>
            </w:tcBorders>
            <w:shd w:val="clear" w:color="auto" w:fill="auto"/>
            <w:vAlign w:val="center"/>
          </w:tcPr>
          <w:p w14:paraId="6AE06C01" w14:textId="0EF3921C"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55.9</w:t>
            </w:r>
          </w:p>
        </w:tc>
        <w:tc>
          <w:tcPr>
            <w:tcW w:w="849" w:type="dxa"/>
            <w:tcBorders>
              <w:top w:val="nil"/>
              <w:left w:val="nil"/>
              <w:bottom w:val="single" w:sz="8" w:space="0" w:color="C6D9F1"/>
              <w:right w:val="single" w:sz="8" w:space="0" w:color="376091"/>
            </w:tcBorders>
            <w:shd w:val="clear" w:color="auto" w:fill="auto"/>
            <w:vAlign w:val="center"/>
          </w:tcPr>
          <w:p w14:paraId="3E9C4844" w14:textId="6F09B396"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5.8</w:t>
            </w:r>
          </w:p>
        </w:tc>
        <w:tc>
          <w:tcPr>
            <w:tcW w:w="852" w:type="dxa"/>
            <w:tcBorders>
              <w:top w:val="nil"/>
              <w:left w:val="nil"/>
              <w:bottom w:val="single" w:sz="8" w:space="0" w:color="C6D9F1"/>
              <w:right w:val="single" w:sz="8" w:space="0" w:color="376091"/>
            </w:tcBorders>
            <w:shd w:val="clear" w:color="auto" w:fill="auto"/>
            <w:vAlign w:val="center"/>
          </w:tcPr>
          <w:p w14:paraId="0C8D33BF" w14:textId="20A632EF"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11.0</w:t>
            </w:r>
          </w:p>
        </w:tc>
        <w:tc>
          <w:tcPr>
            <w:tcW w:w="709" w:type="dxa"/>
            <w:tcBorders>
              <w:top w:val="nil"/>
              <w:left w:val="nil"/>
              <w:bottom w:val="single" w:sz="8" w:space="0" w:color="C6D9F1"/>
              <w:right w:val="single" w:sz="8" w:space="0" w:color="376091"/>
            </w:tcBorders>
            <w:shd w:val="clear" w:color="auto" w:fill="auto"/>
            <w:vAlign w:val="center"/>
          </w:tcPr>
          <w:p w14:paraId="2006CE1A" w14:textId="52C03141"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11.4</w:t>
            </w:r>
          </w:p>
        </w:tc>
        <w:tc>
          <w:tcPr>
            <w:tcW w:w="709" w:type="dxa"/>
            <w:tcBorders>
              <w:top w:val="nil"/>
              <w:left w:val="nil"/>
              <w:bottom w:val="single" w:sz="8" w:space="0" w:color="C6D9F1"/>
              <w:right w:val="single" w:sz="8" w:space="0" w:color="376091"/>
            </w:tcBorders>
            <w:shd w:val="clear" w:color="auto" w:fill="auto"/>
            <w:vAlign w:val="center"/>
          </w:tcPr>
          <w:p w14:paraId="401D7943" w14:textId="3CA4BBB6"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66.9</w:t>
            </w:r>
          </w:p>
        </w:tc>
        <w:tc>
          <w:tcPr>
            <w:tcW w:w="709" w:type="dxa"/>
            <w:tcBorders>
              <w:top w:val="nil"/>
              <w:left w:val="nil"/>
              <w:bottom w:val="single" w:sz="8" w:space="0" w:color="C6D9F1"/>
              <w:right w:val="single" w:sz="8" w:space="0" w:color="376091"/>
            </w:tcBorders>
            <w:shd w:val="clear" w:color="auto" w:fill="auto"/>
            <w:vAlign w:val="center"/>
          </w:tcPr>
          <w:p w14:paraId="45C1D38F" w14:textId="2FD2A703"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20.6</w:t>
            </w:r>
          </w:p>
        </w:tc>
        <w:tc>
          <w:tcPr>
            <w:tcW w:w="850" w:type="dxa"/>
            <w:tcBorders>
              <w:top w:val="nil"/>
              <w:left w:val="nil"/>
              <w:bottom w:val="single" w:sz="8" w:space="0" w:color="C6D9F1"/>
              <w:right w:val="single" w:sz="8" w:space="0" w:color="376091"/>
            </w:tcBorders>
            <w:shd w:val="clear" w:color="auto" w:fill="auto"/>
            <w:vAlign w:val="center"/>
          </w:tcPr>
          <w:p w14:paraId="37DDF515" w14:textId="0F23437F"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25.2</w:t>
            </w:r>
          </w:p>
        </w:tc>
        <w:tc>
          <w:tcPr>
            <w:tcW w:w="709" w:type="dxa"/>
            <w:tcBorders>
              <w:top w:val="nil"/>
              <w:left w:val="nil"/>
              <w:bottom w:val="single" w:sz="8" w:space="0" w:color="C6D9F1"/>
              <w:right w:val="single" w:sz="8" w:space="0" w:color="376091"/>
            </w:tcBorders>
            <w:shd w:val="clear" w:color="auto" w:fill="auto"/>
            <w:vAlign w:val="center"/>
          </w:tcPr>
          <w:p w14:paraId="59100231" w14:textId="129F8DB4"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53.6</w:t>
            </w:r>
          </w:p>
        </w:tc>
        <w:tc>
          <w:tcPr>
            <w:tcW w:w="709" w:type="dxa"/>
            <w:tcBorders>
              <w:top w:val="nil"/>
              <w:left w:val="nil"/>
              <w:bottom w:val="single" w:sz="8" w:space="0" w:color="C6D9F1"/>
              <w:right w:val="single" w:sz="8" w:space="0" w:color="376091"/>
            </w:tcBorders>
            <w:shd w:val="clear" w:color="auto" w:fill="auto"/>
            <w:vAlign w:val="center"/>
          </w:tcPr>
          <w:p w14:paraId="5630EA4A" w14:textId="7A2D9F6E"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29.4</w:t>
            </w:r>
          </w:p>
        </w:tc>
        <w:tc>
          <w:tcPr>
            <w:tcW w:w="850" w:type="dxa"/>
            <w:tcBorders>
              <w:top w:val="nil"/>
              <w:left w:val="nil"/>
              <w:bottom w:val="single" w:sz="8" w:space="0" w:color="C6D9F1"/>
              <w:right w:val="single" w:sz="8" w:space="0" w:color="376091"/>
            </w:tcBorders>
            <w:vAlign w:val="center"/>
          </w:tcPr>
          <w:p w14:paraId="2D990694" w14:textId="0F274575" w:rsidR="00831EED" w:rsidRPr="00B77C92" w:rsidRDefault="00831EED" w:rsidP="00831EED">
            <w:pPr>
              <w:spacing w:after="0" w:line="240" w:lineRule="auto"/>
              <w:jc w:val="center"/>
              <w:rPr>
                <w:rFonts w:ascii="Arial" w:hAnsi="Arial" w:cs="Arial"/>
                <w:bCs/>
                <w:color w:val="000000"/>
                <w:sz w:val="16"/>
                <w:szCs w:val="16"/>
              </w:rPr>
            </w:pPr>
            <w:r>
              <w:rPr>
                <w:rFonts w:ascii="Arial" w:hAnsi="Arial" w:cs="Arial"/>
                <w:color w:val="000000"/>
                <w:sz w:val="16"/>
                <w:szCs w:val="16"/>
              </w:rPr>
              <w:t>36.9</w:t>
            </w:r>
          </w:p>
        </w:tc>
      </w:tr>
      <w:tr w:rsidR="00831EED" w:rsidRPr="00513E8F" w14:paraId="6E0CA80E" w14:textId="77777777" w:rsidTr="00831EED">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14:paraId="6A085227" w14:textId="77777777" w:rsidR="00831EED" w:rsidRPr="00513E8F" w:rsidRDefault="00831EED" w:rsidP="00831EED">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Querétaro (</w:t>
            </w:r>
            <w:proofErr w:type="spellStart"/>
            <w:r>
              <w:rPr>
                <w:rFonts w:ascii="Arial" w:hAnsi="Arial" w:cs="Arial"/>
                <w:color w:val="000000"/>
                <w:sz w:val="16"/>
                <w:szCs w:val="16"/>
              </w:rPr>
              <w:t>Qro</w:t>
            </w:r>
            <w:proofErr w:type="spellEnd"/>
            <w:r>
              <w:rPr>
                <w:rFonts w:ascii="Arial" w:hAnsi="Arial" w:cs="Arial"/>
                <w:color w:val="000000"/>
                <w:sz w:val="16"/>
                <w:szCs w:val="16"/>
              </w:rPr>
              <w:t>.)</w:t>
            </w:r>
          </w:p>
        </w:tc>
        <w:tc>
          <w:tcPr>
            <w:tcW w:w="993" w:type="dxa"/>
            <w:tcBorders>
              <w:top w:val="nil"/>
              <w:left w:val="nil"/>
              <w:bottom w:val="single" w:sz="8" w:space="0" w:color="C6D9F1"/>
              <w:right w:val="single" w:sz="8" w:space="0" w:color="376091"/>
            </w:tcBorders>
            <w:shd w:val="clear" w:color="auto" w:fill="auto"/>
            <w:vAlign w:val="center"/>
          </w:tcPr>
          <w:p w14:paraId="5C4486F2" w14:textId="52FD909A"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474,365</w:t>
            </w:r>
          </w:p>
        </w:tc>
        <w:tc>
          <w:tcPr>
            <w:tcW w:w="992" w:type="dxa"/>
            <w:tcBorders>
              <w:top w:val="nil"/>
              <w:left w:val="nil"/>
              <w:bottom w:val="single" w:sz="8" w:space="0" w:color="C6D9F1"/>
              <w:right w:val="single" w:sz="8" w:space="0" w:color="376091"/>
            </w:tcBorders>
            <w:shd w:val="clear" w:color="auto" w:fill="auto"/>
            <w:vAlign w:val="center"/>
          </w:tcPr>
          <w:p w14:paraId="4BF9D784" w14:textId="19DA4D8A"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20,878</w:t>
            </w:r>
          </w:p>
        </w:tc>
        <w:tc>
          <w:tcPr>
            <w:tcW w:w="850" w:type="dxa"/>
            <w:tcBorders>
              <w:top w:val="nil"/>
              <w:left w:val="nil"/>
              <w:bottom w:val="single" w:sz="8" w:space="0" w:color="C6D9F1"/>
              <w:right w:val="single" w:sz="8" w:space="0" w:color="376091"/>
            </w:tcBorders>
            <w:shd w:val="clear" w:color="auto" w:fill="auto"/>
            <w:vAlign w:val="center"/>
          </w:tcPr>
          <w:p w14:paraId="4ACDC87B" w14:textId="5448EB96"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56.2</w:t>
            </w:r>
          </w:p>
        </w:tc>
        <w:tc>
          <w:tcPr>
            <w:tcW w:w="849" w:type="dxa"/>
            <w:tcBorders>
              <w:top w:val="nil"/>
              <w:left w:val="nil"/>
              <w:bottom w:val="single" w:sz="8" w:space="0" w:color="C6D9F1"/>
              <w:right w:val="single" w:sz="8" w:space="0" w:color="376091"/>
            </w:tcBorders>
            <w:shd w:val="clear" w:color="auto" w:fill="auto"/>
            <w:vAlign w:val="center"/>
          </w:tcPr>
          <w:p w14:paraId="5390F53E" w14:textId="0D2C554C"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4.2</w:t>
            </w:r>
          </w:p>
        </w:tc>
        <w:tc>
          <w:tcPr>
            <w:tcW w:w="852" w:type="dxa"/>
            <w:tcBorders>
              <w:top w:val="nil"/>
              <w:left w:val="nil"/>
              <w:bottom w:val="single" w:sz="8" w:space="0" w:color="C6D9F1"/>
              <w:right w:val="single" w:sz="8" w:space="0" w:color="376091"/>
            </w:tcBorders>
            <w:shd w:val="clear" w:color="auto" w:fill="auto"/>
            <w:vAlign w:val="center"/>
          </w:tcPr>
          <w:p w14:paraId="7B1D2E33" w14:textId="027CC4AC"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8.2</w:t>
            </w:r>
          </w:p>
        </w:tc>
        <w:tc>
          <w:tcPr>
            <w:tcW w:w="709" w:type="dxa"/>
            <w:tcBorders>
              <w:top w:val="nil"/>
              <w:left w:val="nil"/>
              <w:bottom w:val="single" w:sz="8" w:space="0" w:color="C6D9F1"/>
              <w:right w:val="single" w:sz="8" w:space="0" w:color="376091"/>
            </w:tcBorders>
            <w:shd w:val="clear" w:color="auto" w:fill="auto"/>
            <w:vAlign w:val="center"/>
          </w:tcPr>
          <w:p w14:paraId="29826333" w14:textId="77A6AC40"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7.1</w:t>
            </w:r>
          </w:p>
        </w:tc>
        <w:tc>
          <w:tcPr>
            <w:tcW w:w="709" w:type="dxa"/>
            <w:tcBorders>
              <w:top w:val="nil"/>
              <w:left w:val="nil"/>
              <w:bottom w:val="single" w:sz="8" w:space="0" w:color="C6D9F1"/>
              <w:right w:val="single" w:sz="8" w:space="0" w:color="376091"/>
            </w:tcBorders>
            <w:shd w:val="clear" w:color="auto" w:fill="auto"/>
            <w:vAlign w:val="center"/>
          </w:tcPr>
          <w:p w14:paraId="0A245AFF" w14:textId="1DAA3511"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72.4</w:t>
            </w:r>
          </w:p>
        </w:tc>
        <w:tc>
          <w:tcPr>
            <w:tcW w:w="709" w:type="dxa"/>
            <w:tcBorders>
              <w:top w:val="nil"/>
              <w:left w:val="nil"/>
              <w:bottom w:val="single" w:sz="8" w:space="0" w:color="C6D9F1"/>
              <w:right w:val="single" w:sz="8" w:space="0" w:color="376091"/>
            </w:tcBorders>
            <w:shd w:val="clear" w:color="auto" w:fill="auto"/>
            <w:vAlign w:val="center"/>
          </w:tcPr>
          <w:p w14:paraId="2FC39658" w14:textId="35A28C3E"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9.4</w:t>
            </w:r>
          </w:p>
        </w:tc>
        <w:tc>
          <w:tcPr>
            <w:tcW w:w="850" w:type="dxa"/>
            <w:tcBorders>
              <w:top w:val="nil"/>
              <w:left w:val="nil"/>
              <w:bottom w:val="single" w:sz="8" w:space="0" w:color="C6D9F1"/>
              <w:right w:val="single" w:sz="8" w:space="0" w:color="376091"/>
            </w:tcBorders>
            <w:shd w:val="clear" w:color="auto" w:fill="auto"/>
            <w:vAlign w:val="center"/>
          </w:tcPr>
          <w:p w14:paraId="7D6B8029" w14:textId="49C80C01"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12.1</w:t>
            </w:r>
          </w:p>
        </w:tc>
        <w:tc>
          <w:tcPr>
            <w:tcW w:w="709" w:type="dxa"/>
            <w:tcBorders>
              <w:top w:val="nil"/>
              <w:left w:val="nil"/>
              <w:bottom w:val="single" w:sz="8" w:space="0" w:color="C6D9F1"/>
              <w:right w:val="single" w:sz="8" w:space="0" w:color="376091"/>
            </w:tcBorders>
            <w:shd w:val="clear" w:color="auto" w:fill="auto"/>
            <w:vAlign w:val="center"/>
          </w:tcPr>
          <w:p w14:paraId="2020AF11" w14:textId="71A0D2B4"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33.8</w:t>
            </w:r>
          </w:p>
        </w:tc>
        <w:tc>
          <w:tcPr>
            <w:tcW w:w="709" w:type="dxa"/>
            <w:tcBorders>
              <w:top w:val="nil"/>
              <w:left w:val="nil"/>
              <w:bottom w:val="single" w:sz="8" w:space="0" w:color="C6D9F1"/>
              <w:right w:val="single" w:sz="8" w:space="0" w:color="376091"/>
            </w:tcBorders>
            <w:shd w:val="clear" w:color="auto" w:fill="auto"/>
            <w:vAlign w:val="center"/>
          </w:tcPr>
          <w:p w14:paraId="20E8D08E" w14:textId="06F99B09"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17.1</w:t>
            </w:r>
          </w:p>
        </w:tc>
        <w:tc>
          <w:tcPr>
            <w:tcW w:w="850" w:type="dxa"/>
            <w:tcBorders>
              <w:top w:val="nil"/>
              <w:left w:val="nil"/>
              <w:bottom w:val="single" w:sz="8" w:space="0" w:color="C6D9F1"/>
              <w:right w:val="single" w:sz="8" w:space="0" w:color="376091"/>
            </w:tcBorders>
            <w:vAlign w:val="center"/>
          </w:tcPr>
          <w:p w14:paraId="1E95A5F7" w14:textId="6E3B801D" w:rsidR="00831EED" w:rsidRPr="00B77C92" w:rsidRDefault="00831EED" w:rsidP="00831EED">
            <w:pPr>
              <w:spacing w:after="0" w:line="240" w:lineRule="auto"/>
              <w:jc w:val="center"/>
              <w:rPr>
                <w:rFonts w:ascii="Arial" w:hAnsi="Arial" w:cs="Arial"/>
                <w:bCs/>
                <w:color w:val="000000"/>
                <w:sz w:val="16"/>
                <w:szCs w:val="16"/>
              </w:rPr>
            </w:pPr>
            <w:r>
              <w:rPr>
                <w:rFonts w:ascii="Arial" w:hAnsi="Arial" w:cs="Arial"/>
                <w:color w:val="000000"/>
                <w:sz w:val="16"/>
                <w:szCs w:val="16"/>
              </w:rPr>
              <w:t>21.8</w:t>
            </w:r>
          </w:p>
        </w:tc>
      </w:tr>
      <w:tr w:rsidR="00831EED" w:rsidRPr="00513E8F" w14:paraId="3223EA3D" w14:textId="77777777" w:rsidTr="00831EED">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14:paraId="76980B2E" w14:textId="77777777" w:rsidR="00831EED" w:rsidRPr="00513E8F" w:rsidRDefault="00831EED" w:rsidP="00831EED">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Cancún (Q. Roo)</w:t>
            </w:r>
          </w:p>
        </w:tc>
        <w:tc>
          <w:tcPr>
            <w:tcW w:w="993" w:type="dxa"/>
            <w:tcBorders>
              <w:top w:val="nil"/>
              <w:left w:val="nil"/>
              <w:bottom w:val="single" w:sz="8" w:space="0" w:color="C6D9F1"/>
              <w:right w:val="single" w:sz="8" w:space="0" w:color="376091"/>
            </w:tcBorders>
            <w:shd w:val="clear" w:color="auto" w:fill="auto"/>
            <w:vAlign w:val="center"/>
          </w:tcPr>
          <w:p w14:paraId="41F1EBB5" w14:textId="7A9BA069"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412,646</w:t>
            </w:r>
          </w:p>
        </w:tc>
        <w:tc>
          <w:tcPr>
            <w:tcW w:w="992" w:type="dxa"/>
            <w:tcBorders>
              <w:top w:val="nil"/>
              <w:left w:val="nil"/>
              <w:bottom w:val="single" w:sz="8" w:space="0" w:color="C6D9F1"/>
              <w:right w:val="single" w:sz="8" w:space="0" w:color="376091"/>
            </w:tcBorders>
            <w:shd w:val="clear" w:color="auto" w:fill="auto"/>
            <w:vAlign w:val="center"/>
          </w:tcPr>
          <w:p w14:paraId="78EC4C4D" w14:textId="418996AA"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50,662</w:t>
            </w:r>
          </w:p>
        </w:tc>
        <w:tc>
          <w:tcPr>
            <w:tcW w:w="850" w:type="dxa"/>
            <w:tcBorders>
              <w:top w:val="nil"/>
              <w:left w:val="nil"/>
              <w:bottom w:val="single" w:sz="8" w:space="0" w:color="C6D9F1"/>
              <w:right w:val="single" w:sz="8" w:space="0" w:color="376091"/>
            </w:tcBorders>
            <w:shd w:val="clear" w:color="auto" w:fill="auto"/>
            <w:vAlign w:val="center"/>
          </w:tcPr>
          <w:p w14:paraId="1C38261A" w14:textId="1CFB372D"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64.3</w:t>
            </w:r>
          </w:p>
        </w:tc>
        <w:tc>
          <w:tcPr>
            <w:tcW w:w="849" w:type="dxa"/>
            <w:tcBorders>
              <w:top w:val="nil"/>
              <w:left w:val="nil"/>
              <w:bottom w:val="single" w:sz="8" w:space="0" w:color="C6D9F1"/>
              <w:right w:val="single" w:sz="8" w:space="0" w:color="376091"/>
            </w:tcBorders>
            <w:shd w:val="clear" w:color="auto" w:fill="auto"/>
            <w:vAlign w:val="center"/>
          </w:tcPr>
          <w:p w14:paraId="311A7E4D" w14:textId="189BECA4"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10.9</w:t>
            </w:r>
          </w:p>
        </w:tc>
        <w:tc>
          <w:tcPr>
            <w:tcW w:w="852" w:type="dxa"/>
            <w:tcBorders>
              <w:top w:val="nil"/>
              <w:left w:val="nil"/>
              <w:bottom w:val="single" w:sz="8" w:space="0" w:color="C6D9F1"/>
              <w:right w:val="single" w:sz="8" w:space="0" w:color="376091"/>
            </w:tcBorders>
            <w:shd w:val="clear" w:color="auto" w:fill="auto"/>
            <w:vAlign w:val="center"/>
          </w:tcPr>
          <w:p w14:paraId="606C150E" w14:textId="07A8D546"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15.2</w:t>
            </w:r>
          </w:p>
        </w:tc>
        <w:tc>
          <w:tcPr>
            <w:tcW w:w="709" w:type="dxa"/>
            <w:tcBorders>
              <w:top w:val="nil"/>
              <w:left w:val="nil"/>
              <w:bottom w:val="single" w:sz="8" w:space="0" w:color="C6D9F1"/>
              <w:right w:val="single" w:sz="8" w:space="0" w:color="376091"/>
            </w:tcBorders>
            <w:shd w:val="clear" w:color="auto" w:fill="auto"/>
            <w:vAlign w:val="center"/>
          </w:tcPr>
          <w:p w14:paraId="2D70A60F" w14:textId="77C0009F"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15.8</w:t>
            </w:r>
          </w:p>
        </w:tc>
        <w:tc>
          <w:tcPr>
            <w:tcW w:w="709" w:type="dxa"/>
            <w:tcBorders>
              <w:top w:val="nil"/>
              <w:left w:val="nil"/>
              <w:bottom w:val="single" w:sz="8" w:space="0" w:color="C6D9F1"/>
              <w:right w:val="single" w:sz="8" w:space="0" w:color="376091"/>
            </w:tcBorders>
            <w:shd w:val="clear" w:color="auto" w:fill="auto"/>
            <w:vAlign w:val="center"/>
          </w:tcPr>
          <w:p w14:paraId="559F5D79" w14:textId="34F4F8DB"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72.8</w:t>
            </w:r>
          </w:p>
        </w:tc>
        <w:tc>
          <w:tcPr>
            <w:tcW w:w="709" w:type="dxa"/>
            <w:tcBorders>
              <w:top w:val="nil"/>
              <w:left w:val="nil"/>
              <w:bottom w:val="single" w:sz="8" w:space="0" w:color="C6D9F1"/>
              <w:right w:val="single" w:sz="8" w:space="0" w:color="376091"/>
            </w:tcBorders>
            <w:shd w:val="clear" w:color="auto" w:fill="auto"/>
            <w:vAlign w:val="center"/>
          </w:tcPr>
          <w:p w14:paraId="5DD1C47F" w14:textId="3A7286FE"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12.0</w:t>
            </w:r>
          </w:p>
        </w:tc>
        <w:tc>
          <w:tcPr>
            <w:tcW w:w="850" w:type="dxa"/>
            <w:tcBorders>
              <w:top w:val="nil"/>
              <w:left w:val="nil"/>
              <w:bottom w:val="single" w:sz="8" w:space="0" w:color="C6D9F1"/>
              <w:right w:val="single" w:sz="8" w:space="0" w:color="376091"/>
            </w:tcBorders>
            <w:shd w:val="clear" w:color="auto" w:fill="auto"/>
            <w:vAlign w:val="center"/>
          </w:tcPr>
          <w:p w14:paraId="536C184C" w14:textId="768FBD6B"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21.1</w:t>
            </w:r>
          </w:p>
        </w:tc>
        <w:tc>
          <w:tcPr>
            <w:tcW w:w="709" w:type="dxa"/>
            <w:tcBorders>
              <w:top w:val="nil"/>
              <w:left w:val="nil"/>
              <w:bottom w:val="single" w:sz="8" w:space="0" w:color="C6D9F1"/>
              <w:right w:val="single" w:sz="8" w:space="0" w:color="376091"/>
            </w:tcBorders>
            <w:shd w:val="clear" w:color="auto" w:fill="auto"/>
            <w:vAlign w:val="center"/>
          </w:tcPr>
          <w:p w14:paraId="74ED057B" w14:textId="7C6A73D1"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39.1</w:t>
            </w:r>
          </w:p>
        </w:tc>
        <w:tc>
          <w:tcPr>
            <w:tcW w:w="709" w:type="dxa"/>
            <w:tcBorders>
              <w:top w:val="nil"/>
              <w:left w:val="nil"/>
              <w:bottom w:val="single" w:sz="8" w:space="0" w:color="C6D9F1"/>
              <w:right w:val="single" w:sz="8" w:space="0" w:color="376091"/>
            </w:tcBorders>
            <w:shd w:val="clear" w:color="auto" w:fill="auto"/>
            <w:vAlign w:val="center"/>
          </w:tcPr>
          <w:p w14:paraId="43F832C6" w14:textId="1F859353"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21.4</w:t>
            </w:r>
          </w:p>
        </w:tc>
        <w:tc>
          <w:tcPr>
            <w:tcW w:w="850" w:type="dxa"/>
            <w:tcBorders>
              <w:top w:val="nil"/>
              <w:left w:val="nil"/>
              <w:bottom w:val="single" w:sz="8" w:space="0" w:color="C6D9F1"/>
              <w:right w:val="single" w:sz="8" w:space="0" w:color="376091"/>
            </w:tcBorders>
            <w:vAlign w:val="center"/>
          </w:tcPr>
          <w:p w14:paraId="23C0AFC5" w14:textId="3B051B76" w:rsidR="00831EED" w:rsidRPr="00B77C92" w:rsidRDefault="00831EED" w:rsidP="00831EED">
            <w:pPr>
              <w:spacing w:after="0" w:line="240" w:lineRule="auto"/>
              <w:jc w:val="center"/>
              <w:rPr>
                <w:rFonts w:ascii="Arial" w:hAnsi="Arial" w:cs="Arial"/>
                <w:bCs/>
                <w:color w:val="000000"/>
                <w:sz w:val="16"/>
                <w:szCs w:val="16"/>
              </w:rPr>
            </w:pPr>
            <w:r>
              <w:rPr>
                <w:rFonts w:ascii="Arial" w:hAnsi="Arial" w:cs="Arial"/>
                <w:color w:val="000000"/>
                <w:sz w:val="16"/>
                <w:szCs w:val="16"/>
              </w:rPr>
              <w:t>27.7</w:t>
            </w:r>
          </w:p>
        </w:tc>
      </w:tr>
      <w:tr w:rsidR="00831EED" w:rsidRPr="00513E8F" w14:paraId="35B2B03F" w14:textId="77777777" w:rsidTr="00831EED">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14:paraId="26DDFF8D" w14:textId="77777777" w:rsidR="00831EED" w:rsidRPr="00513E8F" w:rsidRDefault="00831EED" w:rsidP="00831EED">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San Luis Potosí (S. L. P.)</w:t>
            </w:r>
          </w:p>
        </w:tc>
        <w:tc>
          <w:tcPr>
            <w:tcW w:w="993" w:type="dxa"/>
            <w:tcBorders>
              <w:top w:val="nil"/>
              <w:left w:val="nil"/>
              <w:bottom w:val="single" w:sz="8" w:space="0" w:color="C6D9F1"/>
              <w:right w:val="single" w:sz="8" w:space="0" w:color="376091"/>
            </w:tcBorders>
            <w:shd w:val="clear" w:color="auto" w:fill="auto"/>
            <w:vAlign w:val="center"/>
          </w:tcPr>
          <w:p w14:paraId="2DA19273" w14:textId="3B558F79"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542,880</w:t>
            </w:r>
          </w:p>
        </w:tc>
        <w:tc>
          <w:tcPr>
            <w:tcW w:w="992" w:type="dxa"/>
            <w:tcBorders>
              <w:top w:val="nil"/>
              <w:left w:val="nil"/>
              <w:bottom w:val="single" w:sz="8" w:space="0" w:color="C6D9F1"/>
              <w:right w:val="single" w:sz="8" w:space="0" w:color="376091"/>
            </w:tcBorders>
            <w:shd w:val="clear" w:color="auto" w:fill="auto"/>
            <w:vAlign w:val="center"/>
          </w:tcPr>
          <w:p w14:paraId="2A7C1188" w14:textId="01017331"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25,787</w:t>
            </w:r>
          </w:p>
        </w:tc>
        <w:tc>
          <w:tcPr>
            <w:tcW w:w="850" w:type="dxa"/>
            <w:tcBorders>
              <w:top w:val="nil"/>
              <w:left w:val="nil"/>
              <w:bottom w:val="single" w:sz="8" w:space="0" w:color="C6D9F1"/>
              <w:right w:val="single" w:sz="8" w:space="0" w:color="376091"/>
            </w:tcBorders>
            <w:shd w:val="clear" w:color="auto" w:fill="auto"/>
            <w:vAlign w:val="center"/>
          </w:tcPr>
          <w:p w14:paraId="74B95A61" w14:textId="113A3FEE"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61.3</w:t>
            </w:r>
          </w:p>
        </w:tc>
        <w:tc>
          <w:tcPr>
            <w:tcW w:w="849" w:type="dxa"/>
            <w:tcBorders>
              <w:top w:val="nil"/>
              <w:left w:val="nil"/>
              <w:bottom w:val="single" w:sz="8" w:space="0" w:color="C6D9F1"/>
              <w:right w:val="single" w:sz="8" w:space="0" w:color="376091"/>
            </w:tcBorders>
            <w:shd w:val="clear" w:color="auto" w:fill="auto"/>
            <w:vAlign w:val="center"/>
          </w:tcPr>
          <w:p w14:paraId="05CD427D" w14:textId="3340683E"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4.5</w:t>
            </w:r>
          </w:p>
        </w:tc>
        <w:tc>
          <w:tcPr>
            <w:tcW w:w="852" w:type="dxa"/>
            <w:tcBorders>
              <w:top w:val="nil"/>
              <w:left w:val="nil"/>
              <w:bottom w:val="single" w:sz="8" w:space="0" w:color="C6D9F1"/>
              <w:right w:val="single" w:sz="8" w:space="0" w:color="376091"/>
            </w:tcBorders>
            <w:shd w:val="clear" w:color="auto" w:fill="auto"/>
            <w:vAlign w:val="center"/>
          </w:tcPr>
          <w:p w14:paraId="2E7C63A4" w14:textId="1C075959"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10.6</w:t>
            </w:r>
          </w:p>
        </w:tc>
        <w:tc>
          <w:tcPr>
            <w:tcW w:w="709" w:type="dxa"/>
            <w:tcBorders>
              <w:top w:val="nil"/>
              <w:left w:val="nil"/>
              <w:bottom w:val="single" w:sz="8" w:space="0" w:color="C6D9F1"/>
              <w:right w:val="single" w:sz="8" w:space="0" w:color="376091"/>
            </w:tcBorders>
            <w:shd w:val="clear" w:color="auto" w:fill="auto"/>
            <w:vAlign w:val="center"/>
          </w:tcPr>
          <w:p w14:paraId="75076730" w14:textId="29E3752B"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10.6</w:t>
            </w:r>
          </w:p>
        </w:tc>
        <w:tc>
          <w:tcPr>
            <w:tcW w:w="709" w:type="dxa"/>
            <w:tcBorders>
              <w:top w:val="nil"/>
              <w:left w:val="nil"/>
              <w:bottom w:val="single" w:sz="8" w:space="0" w:color="C6D9F1"/>
              <w:right w:val="single" w:sz="8" w:space="0" w:color="376091"/>
            </w:tcBorders>
            <w:shd w:val="clear" w:color="auto" w:fill="auto"/>
            <w:vAlign w:val="center"/>
          </w:tcPr>
          <w:p w14:paraId="380E89C2" w14:textId="6A48FBE4"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74.3</w:t>
            </w:r>
          </w:p>
        </w:tc>
        <w:tc>
          <w:tcPr>
            <w:tcW w:w="709" w:type="dxa"/>
            <w:tcBorders>
              <w:top w:val="nil"/>
              <w:left w:val="nil"/>
              <w:bottom w:val="single" w:sz="8" w:space="0" w:color="C6D9F1"/>
              <w:right w:val="single" w:sz="8" w:space="0" w:color="376091"/>
            </w:tcBorders>
            <w:shd w:val="clear" w:color="auto" w:fill="auto"/>
            <w:vAlign w:val="center"/>
          </w:tcPr>
          <w:p w14:paraId="20C7B1EB" w14:textId="1206FAEC"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18.1</w:t>
            </w:r>
          </w:p>
        </w:tc>
        <w:tc>
          <w:tcPr>
            <w:tcW w:w="850" w:type="dxa"/>
            <w:tcBorders>
              <w:top w:val="nil"/>
              <w:left w:val="nil"/>
              <w:bottom w:val="single" w:sz="8" w:space="0" w:color="C6D9F1"/>
              <w:right w:val="single" w:sz="8" w:space="0" w:color="376091"/>
            </w:tcBorders>
            <w:shd w:val="clear" w:color="auto" w:fill="auto"/>
            <w:vAlign w:val="center"/>
          </w:tcPr>
          <w:p w14:paraId="28014111" w14:textId="731D34C7"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19.7</w:t>
            </w:r>
          </w:p>
        </w:tc>
        <w:tc>
          <w:tcPr>
            <w:tcW w:w="709" w:type="dxa"/>
            <w:tcBorders>
              <w:top w:val="nil"/>
              <w:left w:val="nil"/>
              <w:bottom w:val="single" w:sz="8" w:space="0" w:color="C6D9F1"/>
              <w:right w:val="single" w:sz="8" w:space="0" w:color="376091"/>
            </w:tcBorders>
            <w:shd w:val="clear" w:color="auto" w:fill="auto"/>
            <w:vAlign w:val="center"/>
          </w:tcPr>
          <w:p w14:paraId="5329E199" w14:textId="0EE1BDDB"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35.1</w:t>
            </w:r>
          </w:p>
        </w:tc>
        <w:tc>
          <w:tcPr>
            <w:tcW w:w="709" w:type="dxa"/>
            <w:tcBorders>
              <w:top w:val="nil"/>
              <w:left w:val="nil"/>
              <w:bottom w:val="single" w:sz="8" w:space="0" w:color="C6D9F1"/>
              <w:right w:val="single" w:sz="8" w:space="0" w:color="376091"/>
            </w:tcBorders>
            <w:shd w:val="clear" w:color="auto" w:fill="auto"/>
            <w:vAlign w:val="center"/>
          </w:tcPr>
          <w:p w14:paraId="08C07BCF" w14:textId="161C0C74"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19.4</w:t>
            </w:r>
          </w:p>
        </w:tc>
        <w:tc>
          <w:tcPr>
            <w:tcW w:w="850" w:type="dxa"/>
            <w:tcBorders>
              <w:top w:val="nil"/>
              <w:left w:val="nil"/>
              <w:bottom w:val="single" w:sz="8" w:space="0" w:color="C6D9F1"/>
              <w:right w:val="single" w:sz="8" w:space="0" w:color="376091"/>
            </w:tcBorders>
            <w:vAlign w:val="center"/>
          </w:tcPr>
          <w:p w14:paraId="5B5A63C7" w14:textId="743947BA" w:rsidR="00831EED" w:rsidRPr="00B77C92" w:rsidRDefault="00831EED" w:rsidP="00831EED">
            <w:pPr>
              <w:spacing w:after="0" w:line="240" w:lineRule="auto"/>
              <w:jc w:val="center"/>
              <w:rPr>
                <w:rFonts w:ascii="Arial" w:hAnsi="Arial" w:cs="Arial"/>
                <w:bCs/>
                <w:color w:val="000000"/>
                <w:sz w:val="16"/>
                <w:szCs w:val="16"/>
              </w:rPr>
            </w:pPr>
            <w:r>
              <w:rPr>
                <w:rFonts w:ascii="Arial" w:hAnsi="Arial" w:cs="Arial"/>
                <w:color w:val="000000"/>
                <w:sz w:val="16"/>
                <w:szCs w:val="16"/>
              </w:rPr>
              <w:t>29.8</w:t>
            </w:r>
          </w:p>
        </w:tc>
      </w:tr>
      <w:tr w:rsidR="00831EED" w:rsidRPr="00513E8F" w14:paraId="4F2F046A" w14:textId="77777777" w:rsidTr="00831EED">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14:paraId="23202A65" w14:textId="77777777" w:rsidR="00831EED" w:rsidRPr="00513E8F" w:rsidRDefault="00831EED" w:rsidP="00831EED">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Culiacán (Sin.)</w:t>
            </w:r>
          </w:p>
        </w:tc>
        <w:tc>
          <w:tcPr>
            <w:tcW w:w="993" w:type="dxa"/>
            <w:tcBorders>
              <w:top w:val="nil"/>
              <w:left w:val="nil"/>
              <w:bottom w:val="single" w:sz="8" w:space="0" w:color="C6D9F1"/>
              <w:right w:val="single" w:sz="8" w:space="0" w:color="376091"/>
            </w:tcBorders>
            <w:shd w:val="clear" w:color="auto" w:fill="auto"/>
            <w:vAlign w:val="center"/>
          </w:tcPr>
          <w:p w14:paraId="24071F70" w14:textId="0C5EECD1"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364,728</w:t>
            </w:r>
          </w:p>
        </w:tc>
        <w:tc>
          <w:tcPr>
            <w:tcW w:w="992" w:type="dxa"/>
            <w:tcBorders>
              <w:top w:val="nil"/>
              <w:left w:val="nil"/>
              <w:bottom w:val="single" w:sz="8" w:space="0" w:color="C6D9F1"/>
              <w:right w:val="single" w:sz="8" w:space="0" w:color="376091"/>
            </w:tcBorders>
            <w:shd w:val="clear" w:color="auto" w:fill="auto"/>
            <w:vAlign w:val="center"/>
          </w:tcPr>
          <w:p w14:paraId="404DCEC0" w14:textId="62C370C4"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11,043</w:t>
            </w:r>
          </w:p>
        </w:tc>
        <w:tc>
          <w:tcPr>
            <w:tcW w:w="850" w:type="dxa"/>
            <w:tcBorders>
              <w:top w:val="nil"/>
              <w:left w:val="nil"/>
              <w:bottom w:val="single" w:sz="8" w:space="0" w:color="C6D9F1"/>
              <w:right w:val="single" w:sz="8" w:space="0" w:color="376091"/>
            </w:tcBorders>
            <w:shd w:val="clear" w:color="auto" w:fill="auto"/>
            <w:vAlign w:val="center"/>
          </w:tcPr>
          <w:p w14:paraId="04016509" w14:textId="284DBF80"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59.6</w:t>
            </w:r>
          </w:p>
        </w:tc>
        <w:tc>
          <w:tcPr>
            <w:tcW w:w="849" w:type="dxa"/>
            <w:tcBorders>
              <w:top w:val="nil"/>
              <w:left w:val="nil"/>
              <w:bottom w:val="single" w:sz="8" w:space="0" w:color="C6D9F1"/>
              <w:right w:val="single" w:sz="8" w:space="0" w:color="376091"/>
            </w:tcBorders>
            <w:shd w:val="clear" w:color="auto" w:fill="auto"/>
            <w:vAlign w:val="center"/>
          </w:tcPr>
          <w:p w14:paraId="448DB01C" w14:textId="3E437098"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2.9</w:t>
            </w:r>
          </w:p>
        </w:tc>
        <w:tc>
          <w:tcPr>
            <w:tcW w:w="852" w:type="dxa"/>
            <w:tcBorders>
              <w:top w:val="nil"/>
              <w:left w:val="nil"/>
              <w:bottom w:val="single" w:sz="8" w:space="0" w:color="C6D9F1"/>
              <w:right w:val="single" w:sz="8" w:space="0" w:color="376091"/>
            </w:tcBorders>
            <w:shd w:val="clear" w:color="auto" w:fill="auto"/>
            <w:vAlign w:val="center"/>
          </w:tcPr>
          <w:p w14:paraId="0AA9F199" w14:textId="7E24B722"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8.7</w:t>
            </w:r>
          </w:p>
        </w:tc>
        <w:tc>
          <w:tcPr>
            <w:tcW w:w="709" w:type="dxa"/>
            <w:tcBorders>
              <w:top w:val="nil"/>
              <w:left w:val="nil"/>
              <w:bottom w:val="single" w:sz="8" w:space="0" w:color="C6D9F1"/>
              <w:right w:val="single" w:sz="8" w:space="0" w:color="376091"/>
            </w:tcBorders>
            <w:shd w:val="clear" w:color="auto" w:fill="auto"/>
            <w:vAlign w:val="center"/>
          </w:tcPr>
          <w:p w14:paraId="34A642BD" w14:textId="504773EB"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6.0</w:t>
            </w:r>
          </w:p>
        </w:tc>
        <w:tc>
          <w:tcPr>
            <w:tcW w:w="709" w:type="dxa"/>
            <w:tcBorders>
              <w:top w:val="nil"/>
              <w:left w:val="nil"/>
              <w:bottom w:val="single" w:sz="8" w:space="0" w:color="C6D9F1"/>
              <w:right w:val="single" w:sz="8" w:space="0" w:color="376091"/>
            </w:tcBorders>
            <w:shd w:val="clear" w:color="auto" w:fill="auto"/>
            <w:vAlign w:val="center"/>
          </w:tcPr>
          <w:p w14:paraId="695B236D" w14:textId="323F8ABB"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71.8</w:t>
            </w:r>
          </w:p>
        </w:tc>
        <w:tc>
          <w:tcPr>
            <w:tcW w:w="709" w:type="dxa"/>
            <w:tcBorders>
              <w:top w:val="nil"/>
              <w:left w:val="nil"/>
              <w:bottom w:val="single" w:sz="8" w:space="0" w:color="C6D9F1"/>
              <w:right w:val="single" w:sz="8" w:space="0" w:color="376091"/>
            </w:tcBorders>
            <w:shd w:val="clear" w:color="auto" w:fill="auto"/>
            <w:vAlign w:val="center"/>
          </w:tcPr>
          <w:p w14:paraId="686AF379" w14:textId="5BE8C5DA"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7.3</w:t>
            </w:r>
          </w:p>
        </w:tc>
        <w:tc>
          <w:tcPr>
            <w:tcW w:w="850" w:type="dxa"/>
            <w:tcBorders>
              <w:top w:val="nil"/>
              <w:left w:val="nil"/>
              <w:bottom w:val="single" w:sz="8" w:space="0" w:color="C6D9F1"/>
              <w:right w:val="single" w:sz="8" w:space="0" w:color="376091"/>
            </w:tcBorders>
            <w:shd w:val="clear" w:color="auto" w:fill="auto"/>
            <w:vAlign w:val="center"/>
          </w:tcPr>
          <w:p w14:paraId="6A0B51DB" w14:textId="3C74B2D4"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9.8</w:t>
            </w:r>
          </w:p>
        </w:tc>
        <w:tc>
          <w:tcPr>
            <w:tcW w:w="709" w:type="dxa"/>
            <w:tcBorders>
              <w:top w:val="nil"/>
              <w:left w:val="nil"/>
              <w:bottom w:val="single" w:sz="8" w:space="0" w:color="C6D9F1"/>
              <w:right w:val="single" w:sz="8" w:space="0" w:color="376091"/>
            </w:tcBorders>
            <w:shd w:val="clear" w:color="auto" w:fill="auto"/>
            <w:vAlign w:val="center"/>
          </w:tcPr>
          <w:p w14:paraId="4F5023C9" w14:textId="04B04474"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39.5</w:t>
            </w:r>
          </w:p>
        </w:tc>
        <w:tc>
          <w:tcPr>
            <w:tcW w:w="709" w:type="dxa"/>
            <w:tcBorders>
              <w:top w:val="nil"/>
              <w:left w:val="nil"/>
              <w:bottom w:val="single" w:sz="8" w:space="0" w:color="C6D9F1"/>
              <w:right w:val="single" w:sz="8" w:space="0" w:color="376091"/>
            </w:tcBorders>
            <w:shd w:val="clear" w:color="auto" w:fill="auto"/>
            <w:vAlign w:val="center"/>
          </w:tcPr>
          <w:p w14:paraId="5079BF11" w14:textId="786AA856"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23.0</w:t>
            </w:r>
          </w:p>
        </w:tc>
        <w:tc>
          <w:tcPr>
            <w:tcW w:w="850" w:type="dxa"/>
            <w:tcBorders>
              <w:top w:val="nil"/>
              <w:left w:val="nil"/>
              <w:bottom w:val="single" w:sz="8" w:space="0" w:color="C6D9F1"/>
              <w:right w:val="single" w:sz="8" w:space="0" w:color="376091"/>
            </w:tcBorders>
            <w:vAlign w:val="center"/>
          </w:tcPr>
          <w:p w14:paraId="69A3E257" w14:textId="6A5124F0" w:rsidR="00831EED" w:rsidRPr="00B77C92" w:rsidRDefault="00831EED" w:rsidP="00831EED">
            <w:pPr>
              <w:spacing w:after="0" w:line="240" w:lineRule="auto"/>
              <w:jc w:val="center"/>
              <w:rPr>
                <w:rFonts w:ascii="Arial" w:hAnsi="Arial" w:cs="Arial"/>
                <w:bCs/>
                <w:color w:val="000000"/>
                <w:sz w:val="16"/>
                <w:szCs w:val="16"/>
              </w:rPr>
            </w:pPr>
            <w:r>
              <w:rPr>
                <w:rFonts w:ascii="Arial" w:hAnsi="Arial" w:cs="Arial"/>
                <w:color w:val="000000"/>
                <w:sz w:val="16"/>
                <w:szCs w:val="16"/>
              </w:rPr>
              <w:t>21.0</w:t>
            </w:r>
          </w:p>
        </w:tc>
      </w:tr>
      <w:tr w:rsidR="00831EED" w:rsidRPr="00513E8F" w14:paraId="4FF4EDB0" w14:textId="77777777" w:rsidTr="00831EED">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14:paraId="59C9240F" w14:textId="77777777" w:rsidR="00831EED" w:rsidRPr="00513E8F" w:rsidRDefault="00831EED" w:rsidP="00831EED">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Hermosillo (Son.)</w:t>
            </w:r>
          </w:p>
        </w:tc>
        <w:tc>
          <w:tcPr>
            <w:tcW w:w="993" w:type="dxa"/>
            <w:tcBorders>
              <w:top w:val="nil"/>
              <w:left w:val="nil"/>
              <w:bottom w:val="single" w:sz="8" w:space="0" w:color="C6D9F1"/>
              <w:right w:val="single" w:sz="8" w:space="0" w:color="376091"/>
            </w:tcBorders>
            <w:shd w:val="clear" w:color="auto" w:fill="auto"/>
            <w:vAlign w:val="center"/>
          </w:tcPr>
          <w:p w14:paraId="14792D37" w14:textId="7C54BE75"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390,983</w:t>
            </w:r>
          </w:p>
        </w:tc>
        <w:tc>
          <w:tcPr>
            <w:tcW w:w="992" w:type="dxa"/>
            <w:tcBorders>
              <w:top w:val="nil"/>
              <w:left w:val="nil"/>
              <w:bottom w:val="single" w:sz="8" w:space="0" w:color="C6D9F1"/>
              <w:right w:val="single" w:sz="8" w:space="0" w:color="376091"/>
            </w:tcBorders>
            <w:shd w:val="clear" w:color="auto" w:fill="auto"/>
            <w:vAlign w:val="center"/>
          </w:tcPr>
          <w:p w14:paraId="07C861B0" w14:textId="6B504954"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16,302</w:t>
            </w:r>
          </w:p>
        </w:tc>
        <w:tc>
          <w:tcPr>
            <w:tcW w:w="850" w:type="dxa"/>
            <w:tcBorders>
              <w:top w:val="nil"/>
              <w:left w:val="nil"/>
              <w:bottom w:val="single" w:sz="8" w:space="0" w:color="C6D9F1"/>
              <w:right w:val="single" w:sz="8" w:space="0" w:color="376091"/>
            </w:tcBorders>
            <w:shd w:val="clear" w:color="auto" w:fill="auto"/>
            <w:vAlign w:val="center"/>
          </w:tcPr>
          <w:p w14:paraId="2D585416" w14:textId="3B227C25"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61.0</w:t>
            </w:r>
          </w:p>
        </w:tc>
        <w:tc>
          <w:tcPr>
            <w:tcW w:w="849" w:type="dxa"/>
            <w:tcBorders>
              <w:top w:val="nil"/>
              <w:left w:val="nil"/>
              <w:bottom w:val="single" w:sz="8" w:space="0" w:color="C6D9F1"/>
              <w:right w:val="single" w:sz="8" w:space="0" w:color="376091"/>
            </w:tcBorders>
            <w:shd w:val="clear" w:color="auto" w:fill="auto"/>
            <w:vAlign w:val="center"/>
          </w:tcPr>
          <w:p w14:paraId="309E9DD8" w14:textId="133E6184"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4.0</w:t>
            </w:r>
          </w:p>
        </w:tc>
        <w:tc>
          <w:tcPr>
            <w:tcW w:w="852" w:type="dxa"/>
            <w:tcBorders>
              <w:top w:val="nil"/>
              <w:left w:val="nil"/>
              <w:bottom w:val="single" w:sz="8" w:space="0" w:color="C6D9F1"/>
              <w:right w:val="single" w:sz="8" w:space="0" w:color="376091"/>
            </w:tcBorders>
            <w:shd w:val="clear" w:color="auto" w:fill="auto"/>
            <w:vAlign w:val="center"/>
          </w:tcPr>
          <w:p w14:paraId="501A36BE" w14:textId="519D9BCE"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11.5</w:t>
            </w:r>
          </w:p>
        </w:tc>
        <w:tc>
          <w:tcPr>
            <w:tcW w:w="709" w:type="dxa"/>
            <w:tcBorders>
              <w:top w:val="nil"/>
              <w:left w:val="nil"/>
              <w:bottom w:val="single" w:sz="8" w:space="0" w:color="C6D9F1"/>
              <w:right w:val="single" w:sz="8" w:space="0" w:color="376091"/>
            </w:tcBorders>
            <w:shd w:val="clear" w:color="auto" w:fill="auto"/>
            <w:vAlign w:val="center"/>
          </w:tcPr>
          <w:p w14:paraId="18B2F79C" w14:textId="0B83952A"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9.5</w:t>
            </w:r>
          </w:p>
        </w:tc>
        <w:tc>
          <w:tcPr>
            <w:tcW w:w="709" w:type="dxa"/>
            <w:tcBorders>
              <w:top w:val="nil"/>
              <w:left w:val="nil"/>
              <w:bottom w:val="single" w:sz="8" w:space="0" w:color="C6D9F1"/>
              <w:right w:val="single" w:sz="8" w:space="0" w:color="376091"/>
            </w:tcBorders>
            <w:shd w:val="clear" w:color="auto" w:fill="auto"/>
            <w:vAlign w:val="center"/>
          </w:tcPr>
          <w:p w14:paraId="24D1D452" w14:textId="1B1A57BC"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73.5</w:t>
            </w:r>
          </w:p>
        </w:tc>
        <w:tc>
          <w:tcPr>
            <w:tcW w:w="709" w:type="dxa"/>
            <w:tcBorders>
              <w:top w:val="nil"/>
              <w:left w:val="nil"/>
              <w:bottom w:val="single" w:sz="8" w:space="0" w:color="C6D9F1"/>
              <w:right w:val="single" w:sz="8" w:space="0" w:color="376091"/>
            </w:tcBorders>
            <w:shd w:val="clear" w:color="auto" w:fill="auto"/>
            <w:vAlign w:val="center"/>
          </w:tcPr>
          <w:p w14:paraId="20CB0D8E" w14:textId="2C6B9696"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12.4</w:t>
            </w:r>
          </w:p>
        </w:tc>
        <w:tc>
          <w:tcPr>
            <w:tcW w:w="850" w:type="dxa"/>
            <w:tcBorders>
              <w:top w:val="nil"/>
              <w:left w:val="nil"/>
              <w:bottom w:val="single" w:sz="8" w:space="0" w:color="C6D9F1"/>
              <w:right w:val="single" w:sz="8" w:space="0" w:color="376091"/>
            </w:tcBorders>
            <w:shd w:val="clear" w:color="auto" w:fill="auto"/>
            <w:vAlign w:val="center"/>
          </w:tcPr>
          <w:p w14:paraId="28D3CA2B" w14:textId="6C676684"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12.8</w:t>
            </w:r>
          </w:p>
        </w:tc>
        <w:tc>
          <w:tcPr>
            <w:tcW w:w="709" w:type="dxa"/>
            <w:tcBorders>
              <w:top w:val="nil"/>
              <w:left w:val="nil"/>
              <w:bottom w:val="single" w:sz="8" w:space="0" w:color="C6D9F1"/>
              <w:right w:val="single" w:sz="8" w:space="0" w:color="376091"/>
            </w:tcBorders>
            <w:shd w:val="clear" w:color="auto" w:fill="auto"/>
            <w:vAlign w:val="center"/>
          </w:tcPr>
          <w:p w14:paraId="5FFF9555" w14:textId="5ECCE96F"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34.7</w:t>
            </w:r>
          </w:p>
        </w:tc>
        <w:tc>
          <w:tcPr>
            <w:tcW w:w="709" w:type="dxa"/>
            <w:tcBorders>
              <w:top w:val="nil"/>
              <w:left w:val="nil"/>
              <w:bottom w:val="single" w:sz="8" w:space="0" w:color="C6D9F1"/>
              <w:right w:val="single" w:sz="8" w:space="0" w:color="376091"/>
            </w:tcBorders>
            <w:shd w:val="clear" w:color="auto" w:fill="auto"/>
            <w:vAlign w:val="center"/>
          </w:tcPr>
          <w:p w14:paraId="6B10C32E" w14:textId="674949B0"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19.7</w:t>
            </w:r>
          </w:p>
        </w:tc>
        <w:tc>
          <w:tcPr>
            <w:tcW w:w="850" w:type="dxa"/>
            <w:tcBorders>
              <w:top w:val="nil"/>
              <w:left w:val="nil"/>
              <w:bottom w:val="single" w:sz="8" w:space="0" w:color="C6D9F1"/>
              <w:right w:val="single" w:sz="8" w:space="0" w:color="376091"/>
            </w:tcBorders>
            <w:vAlign w:val="center"/>
          </w:tcPr>
          <w:p w14:paraId="7D1CABBA" w14:textId="7A9C6CEB" w:rsidR="00831EED" w:rsidRPr="00B77C92" w:rsidRDefault="00831EED" w:rsidP="00831EED">
            <w:pPr>
              <w:spacing w:after="0" w:line="240" w:lineRule="auto"/>
              <w:jc w:val="center"/>
              <w:rPr>
                <w:rFonts w:ascii="Arial" w:hAnsi="Arial" w:cs="Arial"/>
                <w:bCs/>
                <w:color w:val="000000"/>
                <w:sz w:val="16"/>
                <w:szCs w:val="16"/>
              </w:rPr>
            </w:pPr>
            <w:r>
              <w:rPr>
                <w:rFonts w:ascii="Arial" w:hAnsi="Arial" w:cs="Arial"/>
                <w:color w:val="000000"/>
                <w:sz w:val="16"/>
                <w:szCs w:val="16"/>
              </w:rPr>
              <w:t>23.7</w:t>
            </w:r>
          </w:p>
        </w:tc>
      </w:tr>
      <w:tr w:rsidR="00831EED" w:rsidRPr="00513E8F" w14:paraId="415C1E47" w14:textId="77777777" w:rsidTr="00831EED">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14:paraId="024F612B" w14:textId="77777777" w:rsidR="00831EED" w:rsidRPr="00513E8F" w:rsidRDefault="00831EED" w:rsidP="00831EED">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Villahermosa (</w:t>
            </w:r>
            <w:proofErr w:type="spellStart"/>
            <w:r>
              <w:rPr>
                <w:rFonts w:ascii="Arial" w:hAnsi="Arial" w:cs="Arial"/>
                <w:color w:val="000000"/>
                <w:sz w:val="16"/>
                <w:szCs w:val="16"/>
              </w:rPr>
              <w:t>Tab</w:t>
            </w:r>
            <w:proofErr w:type="spellEnd"/>
            <w:r>
              <w:rPr>
                <w:rFonts w:ascii="Arial" w:hAnsi="Arial" w:cs="Arial"/>
                <w:color w:val="000000"/>
                <w:sz w:val="16"/>
                <w:szCs w:val="16"/>
              </w:rPr>
              <w:t>.)</w:t>
            </w:r>
          </w:p>
        </w:tc>
        <w:tc>
          <w:tcPr>
            <w:tcW w:w="993" w:type="dxa"/>
            <w:tcBorders>
              <w:top w:val="nil"/>
              <w:left w:val="nil"/>
              <w:bottom w:val="single" w:sz="8" w:space="0" w:color="C6D9F1"/>
              <w:right w:val="single" w:sz="8" w:space="0" w:color="376091"/>
            </w:tcBorders>
            <w:shd w:val="clear" w:color="auto" w:fill="auto"/>
            <w:vAlign w:val="center"/>
          </w:tcPr>
          <w:p w14:paraId="3A4F5523" w14:textId="7A0158CE"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169,415</w:t>
            </w:r>
          </w:p>
        </w:tc>
        <w:tc>
          <w:tcPr>
            <w:tcW w:w="992" w:type="dxa"/>
            <w:tcBorders>
              <w:top w:val="nil"/>
              <w:left w:val="nil"/>
              <w:bottom w:val="single" w:sz="8" w:space="0" w:color="C6D9F1"/>
              <w:right w:val="single" w:sz="8" w:space="0" w:color="376091"/>
            </w:tcBorders>
            <w:shd w:val="clear" w:color="auto" w:fill="auto"/>
            <w:vAlign w:val="center"/>
          </w:tcPr>
          <w:p w14:paraId="1081E122" w14:textId="6B023047"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9,409</w:t>
            </w:r>
          </w:p>
        </w:tc>
        <w:tc>
          <w:tcPr>
            <w:tcW w:w="850" w:type="dxa"/>
            <w:tcBorders>
              <w:top w:val="nil"/>
              <w:left w:val="nil"/>
              <w:bottom w:val="single" w:sz="8" w:space="0" w:color="C6D9F1"/>
              <w:right w:val="single" w:sz="8" w:space="0" w:color="376091"/>
            </w:tcBorders>
            <w:shd w:val="clear" w:color="auto" w:fill="auto"/>
            <w:vAlign w:val="center"/>
          </w:tcPr>
          <w:p w14:paraId="61A68F6B" w14:textId="62014A8F"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59.5</w:t>
            </w:r>
          </w:p>
        </w:tc>
        <w:tc>
          <w:tcPr>
            <w:tcW w:w="849" w:type="dxa"/>
            <w:tcBorders>
              <w:top w:val="nil"/>
              <w:left w:val="nil"/>
              <w:bottom w:val="single" w:sz="8" w:space="0" w:color="C6D9F1"/>
              <w:right w:val="single" w:sz="8" w:space="0" w:color="376091"/>
            </w:tcBorders>
            <w:shd w:val="clear" w:color="auto" w:fill="auto"/>
            <w:vAlign w:val="center"/>
          </w:tcPr>
          <w:p w14:paraId="4DD8F34E" w14:textId="2C5A7EB3"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5.3</w:t>
            </w:r>
          </w:p>
        </w:tc>
        <w:tc>
          <w:tcPr>
            <w:tcW w:w="852" w:type="dxa"/>
            <w:tcBorders>
              <w:top w:val="nil"/>
              <w:left w:val="nil"/>
              <w:bottom w:val="single" w:sz="8" w:space="0" w:color="C6D9F1"/>
              <w:right w:val="single" w:sz="8" w:space="0" w:color="376091"/>
            </w:tcBorders>
            <w:shd w:val="clear" w:color="auto" w:fill="auto"/>
            <w:vAlign w:val="center"/>
          </w:tcPr>
          <w:p w14:paraId="16FAE5B5" w14:textId="7DEAFA92"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12.1</w:t>
            </w:r>
          </w:p>
        </w:tc>
        <w:tc>
          <w:tcPr>
            <w:tcW w:w="709" w:type="dxa"/>
            <w:tcBorders>
              <w:top w:val="nil"/>
              <w:left w:val="nil"/>
              <w:bottom w:val="single" w:sz="8" w:space="0" w:color="C6D9F1"/>
              <w:right w:val="single" w:sz="8" w:space="0" w:color="376091"/>
            </w:tcBorders>
            <w:shd w:val="clear" w:color="auto" w:fill="auto"/>
            <w:vAlign w:val="center"/>
          </w:tcPr>
          <w:p w14:paraId="324B1996" w14:textId="010A50EE"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11.2</w:t>
            </w:r>
          </w:p>
        </w:tc>
        <w:tc>
          <w:tcPr>
            <w:tcW w:w="709" w:type="dxa"/>
            <w:tcBorders>
              <w:top w:val="nil"/>
              <w:left w:val="nil"/>
              <w:bottom w:val="single" w:sz="8" w:space="0" w:color="C6D9F1"/>
              <w:right w:val="single" w:sz="8" w:space="0" w:color="376091"/>
            </w:tcBorders>
            <w:shd w:val="clear" w:color="auto" w:fill="auto"/>
            <w:vAlign w:val="center"/>
          </w:tcPr>
          <w:p w14:paraId="06215840" w14:textId="459A1A4E"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66.9</w:t>
            </w:r>
          </w:p>
        </w:tc>
        <w:tc>
          <w:tcPr>
            <w:tcW w:w="709" w:type="dxa"/>
            <w:tcBorders>
              <w:top w:val="nil"/>
              <w:left w:val="nil"/>
              <w:bottom w:val="single" w:sz="8" w:space="0" w:color="C6D9F1"/>
              <w:right w:val="single" w:sz="8" w:space="0" w:color="376091"/>
            </w:tcBorders>
            <w:shd w:val="clear" w:color="auto" w:fill="auto"/>
            <w:vAlign w:val="center"/>
          </w:tcPr>
          <w:p w14:paraId="48435109" w14:textId="664FB925"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15.3</w:t>
            </w:r>
          </w:p>
        </w:tc>
        <w:tc>
          <w:tcPr>
            <w:tcW w:w="850" w:type="dxa"/>
            <w:tcBorders>
              <w:top w:val="nil"/>
              <w:left w:val="nil"/>
              <w:bottom w:val="single" w:sz="8" w:space="0" w:color="C6D9F1"/>
              <w:right w:val="single" w:sz="8" w:space="0" w:color="376091"/>
            </w:tcBorders>
            <w:shd w:val="clear" w:color="auto" w:fill="auto"/>
            <w:vAlign w:val="center"/>
          </w:tcPr>
          <w:p w14:paraId="5988B28A" w14:textId="6344EA13"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24.0</w:t>
            </w:r>
          </w:p>
        </w:tc>
        <w:tc>
          <w:tcPr>
            <w:tcW w:w="709" w:type="dxa"/>
            <w:tcBorders>
              <w:top w:val="nil"/>
              <w:left w:val="nil"/>
              <w:bottom w:val="single" w:sz="8" w:space="0" w:color="C6D9F1"/>
              <w:right w:val="single" w:sz="8" w:space="0" w:color="376091"/>
            </w:tcBorders>
            <w:shd w:val="clear" w:color="auto" w:fill="auto"/>
            <w:vAlign w:val="center"/>
          </w:tcPr>
          <w:p w14:paraId="6C364407" w14:textId="312B94E3"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48.9</w:t>
            </w:r>
          </w:p>
        </w:tc>
        <w:tc>
          <w:tcPr>
            <w:tcW w:w="709" w:type="dxa"/>
            <w:tcBorders>
              <w:top w:val="nil"/>
              <w:left w:val="nil"/>
              <w:bottom w:val="single" w:sz="8" w:space="0" w:color="C6D9F1"/>
              <w:right w:val="single" w:sz="8" w:space="0" w:color="376091"/>
            </w:tcBorders>
            <w:shd w:val="clear" w:color="auto" w:fill="auto"/>
            <w:vAlign w:val="center"/>
          </w:tcPr>
          <w:p w14:paraId="78DCAFF5" w14:textId="23633DF3"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28.7</w:t>
            </w:r>
          </w:p>
        </w:tc>
        <w:tc>
          <w:tcPr>
            <w:tcW w:w="850" w:type="dxa"/>
            <w:tcBorders>
              <w:top w:val="nil"/>
              <w:left w:val="nil"/>
              <w:bottom w:val="single" w:sz="8" w:space="0" w:color="C6D9F1"/>
              <w:right w:val="single" w:sz="8" w:space="0" w:color="376091"/>
            </w:tcBorders>
            <w:vAlign w:val="center"/>
          </w:tcPr>
          <w:p w14:paraId="45574E1A" w14:textId="59B883F4" w:rsidR="00831EED" w:rsidRPr="00B77C92" w:rsidRDefault="00831EED" w:rsidP="00831EED">
            <w:pPr>
              <w:spacing w:after="0" w:line="240" w:lineRule="auto"/>
              <w:jc w:val="center"/>
              <w:rPr>
                <w:rFonts w:ascii="Arial" w:hAnsi="Arial" w:cs="Arial"/>
                <w:bCs/>
                <w:color w:val="000000"/>
                <w:sz w:val="16"/>
                <w:szCs w:val="16"/>
              </w:rPr>
            </w:pPr>
            <w:r>
              <w:rPr>
                <w:rFonts w:ascii="Arial" w:hAnsi="Arial" w:cs="Arial"/>
                <w:color w:val="000000"/>
                <w:sz w:val="16"/>
                <w:szCs w:val="16"/>
              </w:rPr>
              <w:t>29.2</w:t>
            </w:r>
          </w:p>
        </w:tc>
      </w:tr>
      <w:tr w:rsidR="00831EED" w:rsidRPr="00513E8F" w14:paraId="1203800A" w14:textId="77777777" w:rsidTr="00831EED">
        <w:trPr>
          <w:trHeight w:val="288"/>
        </w:trPr>
        <w:tc>
          <w:tcPr>
            <w:tcW w:w="1701" w:type="dxa"/>
            <w:tcBorders>
              <w:top w:val="nil"/>
              <w:left w:val="single" w:sz="8" w:space="0" w:color="376091"/>
              <w:bottom w:val="single" w:sz="8" w:space="0" w:color="C6D9F1"/>
              <w:right w:val="single" w:sz="8" w:space="0" w:color="376091"/>
            </w:tcBorders>
            <w:shd w:val="clear" w:color="auto" w:fill="auto"/>
            <w:noWrap/>
            <w:vAlign w:val="center"/>
          </w:tcPr>
          <w:p w14:paraId="060253AD" w14:textId="77777777" w:rsidR="00831EED" w:rsidRPr="00513E8F" w:rsidRDefault="00831EED" w:rsidP="00831EED">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Tampico (</w:t>
            </w:r>
            <w:proofErr w:type="spellStart"/>
            <w:r>
              <w:rPr>
                <w:rFonts w:ascii="Arial" w:hAnsi="Arial" w:cs="Arial"/>
                <w:color w:val="000000"/>
                <w:sz w:val="16"/>
                <w:szCs w:val="16"/>
              </w:rPr>
              <w:t>Tamps</w:t>
            </w:r>
            <w:proofErr w:type="spellEnd"/>
            <w:r>
              <w:rPr>
                <w:rFonts w:ascii="Arial" w:hAnsi="Arial" w:cs="Arial"/>
                <w:color w:val="000000"/>
                <w:sz w:val="16"/>
                <w:szCs w:val="16"/>
              </w:rPr>
              <w:t>. y Ver.)</w:t>
            </w:r>
          </w:p>
        </w:tc>
        <w:tc>
          <w:tcPr>
            <w:tcW w:w="993" w:type="dxa"/>
            <w:tcBorders>
              <w:top w:val="nil"/>
              <w:left w:val="nil"/>
              <w:bottom w:val="single" w:sz="8" w:space="0" w:color="C6D9F1"/>
              <w:right w:val="single" w:sz="8" w:space="0" w:color="376091"/>
            </w:tcBorders>
            <w:shd w:val="clear" w:color="auto" w:fill="auto"/>
            <w:vAlign w:val="center"/>
          </w:tcPr>
          <w:p w14:paraId="2250CB12" w14:textId="38D4E3D3"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343,933</w:t>
            </w:r>
          </w:p>
        </w:tc>
        <w:tc>
          <w:tcPr>
            <w:tcW w:w="992" w:type="dxa"/>
            <w:tcBorders>
              <w:top w:val="nil"/>
              <w:left w:val="nil"/>
              <w:bottom w:val="single" w:sz="8" w:space="0" w:color="C6D9F1"/>
              <w:right w:val="single" w:sz="8" w:space="0" w:color="376091"/>
            </w:tcBorders>
            <w:shd w:val="clear" w:color="auto" w:fill="auto"/>
            <w:vAlign w:val="center"/>
          </w:tcPr>
          <w:p w14:paraId="108B465C" w14:textId="3825B0DD"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24,743</w:t>
            </w:r>
          </w:p>
        </w:tc>
        <w:tc>
          <w:tcPr>
            <w:tcW w:w="850" w:type="dxa"/>
            <w:tcBorders>
              <w:top w:val="nil"/>
              <w:left w:val="nil"/>
              <w:bottom w:val="single" w:sz="8" w:space="0" w:color="C6D9F1"/>
              <w:right w:val="single" w:sz="8" w:space="0" w:color="376091"/>
            </w:tcBorders>
            <w:shd w:val="clear" w:color="auto" w:fill="auto"/>
            <w:vAlign w:val="center"/>
          </w:tcPr>
          <w:p w14:paraId="4A170293" w14:textId="0763968F"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57.1</w:t>
            </w:r>
          </w:p>
        </w:tc>
        <w:tc>
          <w:tcPr>
            <w:tcW w:w="849" w:type="dxa"/>
            <w:tcBorders>
              <w:top w:val="nil"/>
              <w:left w:val="nil"/>
              <w:bottom w:val="single" w:sz="8" w:space="0" w:color="C6D9F1"/>
              <w:right w:val="single" w:sz="8" w:space="0" w:color="376091"/>
            </w:tcBorders>
            <w:shd w:val="clear" w:color="auto" w:fill="auto"/>
            <w:vAlign w:val="center"/>
          </w:tcPr>
          <w:p w14:paraId="6FCAA25B" w14:textId="42DC7B57"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6.7</w:t>
            </w:r>
          </w:p>
        </w:tc>
        <w:tc>
          <w:tcPr>
            <w:tcW w:w="852" w:type="dxa"/>
            <w:tcBorders>
              <w:top w:val="nil"/>
              <w:left w:val="nil"/>
              <w:bottom w:val="single" w:sz="8" w:space="0" w:color="C6D9F1"/>
              <w:right w:val="single" w:sz="8" w:space="0" w:color="376091"/>
            </w:tcBorders>
            <w:shd w:val="clear" w:color="auto" w:fill="auto"/>
            <w:vAlign w:val="center"/>
          </w:tcPr>
          <w:p w14:paraId="4BC37EE9" w14:textId="571A25F6"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12.9</w:t>
            </w:r>
          </w:p>
        </w:tc>
        <w:tc>
          <w:tcPr>
            <w:tcW w:w="709" w:type="dxa"/>
            <w:tcBorders>
              <w:top w:val="nil"/>
              <w:left w:val="nil"/>
              <w:bottom w:val="single" w:sz="8" w:space="0" w:color="C6D9F1"/>
              <w:right w:val="single" w:sz="8" w:space="0" w:color="376091"/>
            </w:tcBorders>
            <w:shd w:val="clear" w:color="auto" w:fill="auto"/>
            <w:vAlign w:val="center"/>
          </w:tcPr>
          <w:p w14:paraId="25E8823E" w14:textId="2D761944"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10.8</w:t>
            </w:r>
          </w:p>
        </w:tc>
        <w:tc>
          <w:tcPr>
            <w:tcW w:w="709" w:type="dxa"/>
            <w:tcBorders>
              <w:top w:val="nil"/>
              <w:left w:val="nil"/>
              <w:bottom w:val="single" w:sz="8" w:space="0" w:color="C6D9F1"/>
              <w:right w:val="single" w:sz="8" w:space="0" w:color="376091"/>
            </w:tcBorders>
            <w:shd w:val="clear" w:color="auto" w:fill="auto"/>
            <w:vAlign w:val="center"/>
          </w:tcPr>
          <w:p w14:paraId="63D956F1" w14:textId="65A9BA7F"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70.2</w:t>
            </w:r>
          </w:p>
        </w:tc>
        <w:tc>
          <w:tcPr>
            <w:tcW w:w="709" w:type="dxa"/>
            <w:tcBorders>
              <w:top w:val="nil"/>
              <w:left w:val="nil"/>
              <w:bottom w:val="single" w:sz="8" w:space="0" w:color="C6D9F1"/>
              <w:right w:val="single" w:sz="8" w:space="0" w:color="376091"/>
            </w:tcBorders>
            <w:shd w:val="clear" w:color="auto" w:fill="auto"/>
            <w:vAlign w:val="center"/>
          </w:tcPr>
          <w:p w14:paraId="23E95443" w14:textId="19F57626"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9.6</w:t>
            </w:r>
          </w:p>
        </w:tc>
        <w:tc>
          <w:tcPr>
            <w:tcW w:w="850" w:type="dxa"/>
            <w:tcBorders>
              <w:top w:val="nil"/>
              <w:left w:val="nil"/>
              <w:bottom w:val="single" w:sz="8" w:space="0" w:color="C6D9F1"/>
              <w:right w:val="single" w:sz="8" w:space="0" w:color="376091"/>
            </w:tcBorders>
            <w:shd w:val="clear" w:color="auto" w:fill="auto"/>
            <w:vAlign w:val="center"/>
          </w:tcPr>
          <w:p w14:paraId="495259B8" w14:textId="4F3A3739"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18.5</w:t>
            </w:r>
          </w:p>
        </w:tc>
        <w:tc>
          <w:tcPr>
            <w:tcW w:w="709" w:type="dxa"/>
            <w:tcBorders>
              <w:top w:val="nil"/>
              <w:left w:val="nil"/>
              <w:bottom w:val="single" w:sz="8" w:space="0" w:color="C6D9F1"/>
              <w:right w:val="single" w:sz="8" w:space="0" w:color="376091"/>
            </w:tcBorders>
            <w:shd w:val="clear" w:color="auto" w:fill="auto"/>
            <w:vAlign w:val="center"/>
          </w:tcPr>
          <w:p w14:paraId="7748B757" w14:textId="5ABE251C"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42.2</w:t>
            </w:r>
          </w:p>
        </w:tc>
        <w:tc>
          <w:tcPr>
            <w:tcW w:w="709" w:type="dxa"/>
            <w:tcBorders>
              <w:top w:val="nil"/>
              <w:left w:val="nil"/>
              <w:bottom w:val="single" w:sz="8" w:space="0" w:color="C6D9F1"/>
              <w:right w:val="single" w:sz="8" w:space="0" w:color="376091"/>
            </w:tcBorders>
            <w:shd w:val="clear" w:color="auto" w:fill="auto"/>
            <w:vAlign w:val="center"/>
          </w:tcPr>
          <w:p w14:paraId="3BAE7A18" w14:textId="37F83BD8"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25.6</w:t>
            </w:r>
          </w:p>
        </w:tc>
        <w:tc>
          <w:tcPr>
            <w:tcW w:w="850" w:type="dxa"/>
            <w:tcBorders>
              <w:top w:val="nil"/>
              <w:left w:val="nil"/>
              <w:bottom w:val="single" w:sz="8" w:space="0" w:color="C6D9F1"/>
              <w:right w:val="single" w:sz="8" w:space="0" w:color="376091"/>
            </w:tcBorders>
            <w:vAlign w:val="center"/>
          </w:tcPr>
          <w:p w14:paraId="2F8EBD5E" w14:textId="688DF2ED" w:rsidR="00831EED" w:rsidRPr="00B77C92" w:rsidRDefault="00831EED" w:rsidP="00831EED">
            <w:pPr>
              <w:spacing w:after="0" w:line="240" w:lineRule="auto"/>
              <w:jc w:val="center"/>
              <w:rPr>
                <w:rFonts w:ascii="Arial" w:hAnsi="Arial" w:cs="Arial"/>
                <w:bCs/>
                <w:color w:val="000000"/>
                <w:sz w:val="16"/>
                <w:szCs w:val="16"/>
              </w:rPr>
            </w:pPr>
            <w:r>
              <w:rPr>
                <w:rFonts w:ascii="Arial" w:hAnsi="Arial" w:cs="Arial"/>
                <w:color w:val="000000"/>
                <w:sz w:val="16"/>
                <w:szCs w:val="16"/>
              </w:rPr>
              <w:t>24.0</w:t>
            </w:r>
          </w:p>
        </w:tc>
      </w:tr>
      <w:tr w:rsidR="00831EED" w:rsidRPr="00513E8F" w14:paraId="4395DF2C" w14:textId="77777777" w:rsidTr="00831EED">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14:paraId="2B53BEA6" w14:textId="77777777" w:rsidR="00831EED" w:rsidRPr="00513E8F" w:rsidRDefault="00831EED" w:rsidP="00831EED">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Reynosa (</w:t>
            </w:r>
            <w:proofErr w:type="spellStart"/>
            <w:r>
              <w:rPr>
                <w:rFonts w:ascii="Arial" w:hAnsi="Arial" w:cs="Arial"/>
                <w:color w:val="000000"/>
                <w:sz w:val="16"/>
                <w:szCs w:val="16"/>
              </w:rPr>
              <w:t>Tamps</w:t>
            </w:r>
            <w:proofErr w:type="spellEnd"/>
            <w:r>
              <w:rPr>
                <w:rFonts w:ascii="Arial" w:hAnsi="Arial" w:cs="Arial"/>
                <w:color w:val="000000"/>
                <w:sz w:val="16"/>
                <w:szCs w:val="16"/>
              </w:rPr>
              <w:t>.)</w:t>
            </w:r>
          </w:p>
        </w:tc>
        <w:tc>
          <w:tcPr>
            <w:tcW w:w="993" w:type="dxa"/>
            <w:tcBorders>
              <w:top w:val="nil"/>
              <w:left w:val="nil"/>
              <w:bottom w:val="single" w:sz="8" w:space="0" w:color="C6D9F1"/>
              <w:right w:val="single" w:sz="8" w:space="0" w:color="376091"/>
            </w:tcBorders>
            <w:shd w:val="clear" w:color="auto" w:fill="auto"/>
            <w:vAlign w:val="center"/>
          </w:tcPr>
          <w:p w14:paraId="46C5B6ED" w14:textId="1BD2C6AC"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311,333</w:t>
            </w:r>
          </w:p>
        </w:tc>
        <w:tc>
          <w:tcPr>
            <w:tcW w:w="992" w:type="dxa"/>
            <w:tcBorders>
              <w:top w:val="nil"/>
              <w:left w:val="nil"/>
              <w:bottom w:val="single" w:sz="8" w:space="0" w:color="C6D9F1"/>
              <w:right w:val="single" w:sz="8" w:space="0" w:color="376091"/>
            </w:tcBorders>
            <w:shd w:val="clear" w:color="auto" w:fill="auto"/>
            <w:vAlign w:val="center"/>
          </w:tcPr>
          <w:p w14:paraId="2A078D06" w14:textId="5CFB17F8"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8,224</w:t>
            </w:r>
          </w:p>
        </w:tc>
        <w:tc>
          <w:tcPr>
            <w:tcW w:w="850" w:type="dxa"/>
            <w:tcBorders>
              <w:top w:val="nil"/>
              <w:left w:val="nil"/>
              <w:bottom w:val="single" w:sz="8" w:space="0" w:color="C6D9F1"/>
              <w:right w:val="single" w:sz="8" w:space="0" w:color="376091"/>
            </w:tcBorders>
            <w:shd w:val="clear" w:color="auto" w:fill="auto"/>
            <w:vAlign w:val="center"/>
          </w:tcPr>
          <w:p w14:paraId="7EB9DA5F" w14:textId="747A8508"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61.9</w:t>
            </w:r>
          </w:p>
        </w:tc>
        <w:tc>
          <w:tcPr>
            <w:tcW w:w="849" w:type="dxa"/>
            <w:tcBorders>
              <w:top w:val="nil"/>
              <w:left w:val="nil"/>
              <w:bottom w:val="single" w:sz="8" w:space="0" w:color="C6D9F1"/>
              <w:right w:val="single" w:sz="8" w:space="0" w:color="376091"/>
            </w:tcBorders>
            <w:shd w:val="clear" w:color="auto" w:fill="auto"/>
            <w:vAlign w:val="center"/>
          </w:tcPr>
          <w:p w14:paraId="3AFB5B62" w14:textId="2E687555"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2.6</w:t>
            </w:r>
          </w:p>
        </w:tc>
        <w:tc>
          <w:tcPr>
            <w:tcW w:w="852" w:type="dxa"/>
            <w:tcBorders>
              <w:top w:val="nil"/>
              <w:left w:val="nil"/>
              <w:bottom w:val="single" w:sz="8" w:space="0" w:color="C6D9F1"/>
              <w:right w:val="single" w:sz="8" w:space="0" w:color="376091"/>
            </w:tcBorders>
            <w:shd w:val="clear" w:color="auto" w:fill="auto"/>
            <w:vAlign w:val="center"/>
          </w:tcPr>
          <w:p w14:paraId="57ED9598" w14:textId="193C5E19"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7.0</w:t>
            </w:r>
          </w:p>
        </w:tc>
        <w:tc>
          <w:tcPr>
            <w:tcW w:w="709" w:type="dxa"/>
            <w:tcBorders>
              <w:top w:val="nil"/>
              <w:left w:val="nil"/>
              <w:bottom w:val="single" w:sz="8" w:space="0" w:color="C6D9F1"/>
              <w:right w:val="single" w:sz="8" w:space="0" w:color="376091"/>
            </w:tcBorders>
            <w:shd w:val="clear" w:color="auto" w:fill="auto"/>
            <w:vAlign w:val="center"/>
          </w:tcPr>
          <w:p w14:paraId="5090BDA3" w14:textId="63B9C44B"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4.3</w:t>
            </w:r>
          </w:p>
        </w:tc>
        <w:tc>
          <w:tcPr>
            <w:tcW w:w="709" w:type="dxa"/>
            <w:tcBorders>
              <w:top w:val="nil"/>
              <w:left w:val="nil"/>
              <w:bottom w:val="single" w:sz="8" w:space="0" w:color="C6D9F1"/>
              <w:right w:val="single" w:sz="8" w:space="0" w:color="376091"/>
            </w:tcBorders>
            <w:shd w:val="clear" w:color="auto" w:fill="auto"/>
            <w:vAlign w:val="center"/>
          </w:tcPr>
          <w:p w14:paraId="5BC7F2C0" w14:textId="37C03A86"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76.9</w:t>
            </w:r>
          </w:p>
        </w:tc>
        <w:tc>
          <w:tcPr>
            <w:tcW w:w="709" w:type="dxa"/>
            <w:tcBorders>
              <w:top w:val="nil"/>
              <w:left w:val="nil"/>
              <w:bottom w:val="single" w:sz="8" w:space="0" w:color="C6D9F1"/>
              <w:right w:val="single" w:sz="8" w:space="0" w:color="376091"/>
            </w:tcBorders>
            <w:shd w:val="clear" w:color="auto" w:fill="auto"/>
            <w:vAlign w:val="center"/>
          </w:tcPr>
          <w:p w14:paraId="20B8961B" w14:textId="4E08988F"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9.4</w:t>
            </w:r>
          </w:p>
        </w:tc>
        <w:tc>
          <w:tcPr>
            <w:tcW w:w="850" w:type="dxa"/>
            <w:tcBorders>
              <w:top w:val="nil"/>
              <w:left w:val="nil"/>
              <w:bottom w:val="single" w:sz="8" w:space="0" w:color="C6D9F1"/>
              <w:right w:val="single" w:sz="8" w:space="0" w:color="376091"/>
            </w:tcBorders>
            <w:shd w:val="clear" w:color="auto" w:fill="auto"/>
            <w:vAlign w:val="center"/>
          </w:tcPr>
          <w:p w14:paraId="646341EE" w14:textId="146A9FAD"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34.6</w:t>
            </w:r>
          </w:p>
        </w:tc>
        <w:tc>
          <w:tcPr>
            <w:tcW w:w="709" w:type="dxa"/>
            <w:tcBorders>
              <w:top w:val="nil"/>
              <w:left w:val="nil"/>
              <w:bottom w:val="single" w:sz="8" w:space="0" w:color="C6D9F1"/>
              <w:right w:val="single" w:sz="8" w:space="0" w:color="376091"/>
            </w:tcBorders>
            <w:shd w:val="clear" w:color="auto" w:fill="auto"/>
            <w:vAlign w:val="center"/>
          </w:tcPr>
          <w:p w14:paraId="4EE5232C" w14:textId="146873EA"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34.4</w:t>
            </w:r>
          </w:p>
        </w:tc>
        <w:tc>
          <w:tcPr>
            <w:tcW w:w="709" w:type="dxa"/>
            <w:tcBorders>
              <w:top w:val="nil"/>
              <w:left w:val="nil"/>
              <w:bottom w:val="single" w:sz="8" w:space="0" w:color="C6D9F1"/>
              <w:right w:val="single" w:sz="8" w:space="0" w:color="376091"/>
            </w:tcBorders>
            <w:shd w:val="clear" w:color="auto" w:fill="auto"/>
            <w:vAlign w:val="center"/>
          </w:tcPr>
          <w:p w14:paraId="47833569" w14:textId="01F0EBEE"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22.5</w:t>
            </w:r>
          </w:p>
        </w:tc>
        <w:tc>
          <w:tcPr>
            <w:tcW w:w="850" w:type="dxa"/>
            <w:tcBorders>
              <w:top w:val="nil"/>
              <w:left w:val="nil"/>
              <w:bottom w:val="single" w:sz="8" w:space="0" w:color="C6D9F1"/>
              <w:right w:val="single" w:sz="8" w:space="0" w:color="376091"/>
            </w:tcBorders>
            <w:vAlign w:val="center"/>
          </w:tcPr>
          <w:p w14:paraId="0FA4E29A" w14:textId="630CCB4A" w:rsidR="00831EED" w:rsidRPr="00B77C92" w:rsidRDefault="00831EED" w:rsidP="00831EED">
            <w:pPr>
              <w:spacing w:after="0" w:line="240" w:lineRule="auto"/>
              <w:jc w:val="center"/>
              <w:rPr>
                <w:rFonts w:ascii="Arial" w:hAnsi="Arial" w:cs="Arial"/>
                <w:bCs/>
                <w:color w:val="000000"/>
                <w:sz w:val="16"/>
                <w:szCs w:val="16"/>
              </w:rPr>
            </w:pPr>
            <w:r>
              <w:rPr>
                <w:rFonts w:ascii="Arial" w:hAnsi="Arial" w:cs="Arial"/>
                <w:color w:val="000000"/>
                <w:sz w:val="16"/>
                <w:szCs w:val="16"/>
              </w:rPr>
              <w:t>19.6</w:t>
            </w:r>
          </w:p>
        </w:tc>
      </w:tr>
      <w:tr w:rsidR="00831EED" w:rsidRPr="00513E8F" w14:paraId="1C31A53F" w14:textId="77777777" w:rsidTr="00831EED">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14:paraId="679F81C9" w14:textId="77777777" w:rsidR="00831EED" w:rsidRPr="00513E8F" w:rsidRDefault="00831EED" w:rsidP="00831EED">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Tlaxcala (</w:t>
            </w:r>
            <w:proofErr w:type="spellStart"/>
            <w:r>
              <w:rPr>
                <w:rFonts w:ascii="Arial" w:hAnsi="Arial" w:cs="Arial"/>
                <w:color w:val="000000"/>
                <w:sz w:val="16"/>
                <w:szCs w:val="16"/>
              </w:rPr>
              <w:t>Tlax</w:t>
            </w:r>
            <w:proofErr w:type="spellEnd"/>
            <w:r>
              <w:rPr>
                <w:rFonts w:ascii="Arial" w:hAnsi="Arial" w:cs="Arial"/>
                <w:color w:val="000000"/>
                <w:sz w:val="16"/>
                <w:szCs w:val="16"/>
              </w:rPr>
              <w:t>.)</w:t>
            </w:r>
          </w:p>
        </w:tc>
        <w:tc>
          <w:tcPr>
            <w:tcW w:w="993" w:type="dxa"/>
            <w:tcBorders>
              <w:top w:val="nil"/>
              <w:left w:val="nil"/>
              <w:bottom w:val="single" w:sz="8" w:space="0" w:color="C6D9F1"/>
              <w:right w:val="single" w:sz="8" w:space="0" w:color="376091"/>
            </w:tcBorders>
            <w:shd w:val="clear" w:color="auto" w:fill="auto"/>
            <w:vAlign w:val="center"/>
          </w:tcPr>
          <w:p w14:paraId="6D42DDF3" w14:textId="30111397"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318,841</w:t>
            </w:r>
          </w:p>
        </w:tc>
        <w:tc>
          <w:tcPr>
            <w:tcW w:w="992" w:type="dxa"/>
            <w:tcBorders>
              <w:top w:val="nil"/>
              <w:left w:val="nil"/>
              <w:bottom w:val="single" w:sz="8" w:space="0" w:color="C6D9F1"/>
              <w:right w:val="single" w:sz="8" w:space="0" w:color="376091"/>
            </w:tcBorders>
            <w:shd w:val="clear" w:color="auto" w:fill="auto"/>
            <w:vAlign w:val="center"/>
          </w:tcPr>
          <w:p w14:paraId="39499CA1" w14:textId="3FCC8464"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19,540</w:t>
            </w:r>
          </w:p>
        </w:tc>
        <w:tc>
          <w:tcPr>
            <w:tcW w:w="850" w:type="dxa"/>
            <w:tcBorders>
              <w:top w:val="nil"/>
              <w:left w:val="nil"/>
              <w:bottom w:val="single" w:sz="8" w:space="0" w:color="C6D9F1"/>
              <w:right w:val="single" w:sz="8" w:space="0" w:color="376091"/>
            </w:tcBorders>
            <w:shd w:val="clear" w:color="auto" w:fill="auto"/>
            <w:vAlign w:val="center"/>
          </w:tcPr>
          <w:p w14:paraId="580A8EF3" w14:textId="242745E3"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57.9</w:t>
            </w:r>
          </w:p>
        </w:tc>
        <w:tc>
          <w:tcPr>
            <w:tcW w:w="849" w:type="dxa"/>
            <w:tcBorders>
              <w:top w:val="nil"/>
              <w:left w:val="nil"/>
              <w:bottom w:val="single" w:sz="8" w:space="0" w:color="C6D9F1"/>
              <w:right w:val="single" w:sz="8" w:space="0" w:color="376091"/>
            </w:tcBorders>
            <w:shd w:val="clear" w:color="auto" w:fill="auto"/>
            <w:vAlign w:val="center"/>
          </w:tcPr>
          <w:p w14:paraId="281ADE8A" w14:textId="466FD358"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5.8</w:t>
            </w:r>
          </w:p>
        </w:tc>
        <w:tc>
          <w:tcPr>
            <w:tcW w:w="852" w:type="dxa"/>
            <w:tcBorders>
              <w:top w:val="nil"/>
              <w:left w:val="nil"/>
              <w:bottom w:val="single" w:sz="8" w:space="0" w:color="C6D9F1"/>
              <w:right w:val="single" w:sz="8" w:space="0" w:color="376091"/>
            </w:tcBorders>
            <w:shd w:val="clear" w:color="auto" w:fill="auto"/>
            <w:vAlign w:val="center"/>
          </w:tcPr>
          <w:p w14:paraId="29D81AF1" w14:textId="1931D665"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11.5</w:t>
            </w:r>
          </w:p>
        </w:tc>
        <w:tc>
          <w:tcPr>
            <w:tcW w:w="709" w:type="dxa"/>
            <w:tcBorders>
              <w:top w:val="nil"/>
              <w:left w:val="nil"/>
              <w:bottom w:val="single" w:sz="8" w:space="0" w:color="C6D9F1"/>
              <w:right w:val="single" w:sz="8" w:space="0" w:color="376091"/>
            </w:tcBorders>
            <w:shd w:val="clear" w:color="auto" w:fill="auto"/>
            <w:vAlign w:val="center"/>
          </w:tcPr>
          <w:p w14:paraId="628E5BFA" w14:textId="5260CF4F"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12.8</w:t>
            </w:r>
          </w:p>
        </w:tc>
        <w:tc>
          <w:tcPr>
            <w:tcW w:w="709" w:type="dxa"/>
            <w:tcBorders>
              <w:top w:val="nil"/>
              <w:left w:val="nil"/>
              <w:bottom w:val="single" w:sz="8" w:space="0" w:color="C6D9F1"/>
              <w:right w:val="single" w:sz="8" w:space="0" w:color="376091"/>
            </w:tcBorders>
            <w:shd w:val="clear" w:color="auto" w:fill="auto"/>
            <w:vAlign w:val="center"/>
          </w:tcPr>
          <w:p w14:paraId="0A6B6A27" w14:textId="38C94BDF"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65.9</w:t>
            </w:r>
          </w:p>
        </w:tc>
        <w:tc>
          <w:tcPr>
            <w:tcW w:w="709" w:type="dxa"/>
            <w:tcBorders>
              <w:top w:val="nil"/>
              <w:left w:val="nil"/>
              <w:bottom w:val="single" w:sz="8" w:space="0" w:color="C6D9F1"/>
              <w:right w:val="single" w:sz="8" w:space="0" w:color="376091"/>
            </w:tcBorders>
            <w:shd w:val="clear" w:color="auto" w:fill="auto"/>
            <w:vAlign w:val="center"/>
          </w:tcPr>
          <w:p w14:paraId="55D415F6" w14:textId="7C9C809C"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21.4</w:t>
            </w:r>
          </w:p>
        </w:tc>
        <w:tc>
          <w:tcPr>
            <w:tcW w:w="850" w:type="dxa"/>
            <w:tcBorders>
              <w:top w:val="nil"/>
              <w:left w:val="nil"/>
              <w:bottom w:val="single" w:sz="8" w:space="0" w:color="C6D9F1"/>
              <w:right w:val="single" w:sz="8" w:space="0" w:color="376091"/>
            </w:tcBorders>
            <w:shd w:val="clear" w:color="auto" w:fill="auto"/>
            <w:vAlign w:val="center"/>
          </w:tcPr>
          <w:p w14:paraId="445B5642" w14:textId="3FEBB8C7"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37.1</w:t>
            </w:r>
          </w:p>
        </w:tc>
        <w:tc>
          <w:tcPr>
            <w:tcW w:w="709" w:type="dxa"/>
            <w:tcBorders>
              <w:top w:val="nil"/>
              <w:left w:val="nil"/>
              <w:bottom w:val="single" w:sz="8" w:space="0" w:color="C6D9F1"/>
              <w:right w:val="single" w:sz="8" w:space="0" w:color="376091"/>
            </w:tcBorders>
            <w:shd w:val="clear" w:color="auto" w:fill="auto"/>
            <w:vAlign w:val="center"/>
          </w:tcPr>
          <w:p w14:paraId="7F08FE49" w14:textId="4B961A16"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63.7</w:t>
            </w:r>
          </w:p>
        </w:tc>
        <w:tc>
          <w:tcPr>
            <w:tcW w:w="709" w:type="dxa"/>
            <w:tcBorders>
              <w:top w:val="nil"/>
              <w:left w:val="nil"/>
              <w:bottom w:val="single" w:sz="8" w:space="0" w:color="C6D9F1"/>
              <w:right w:val="single" w:sz="8" w:space="0" w:color="376091"/>
            </w:tcBorders>
            <w:shd w:val="clear" w:color="auto" w:fill="auto"/>
            <w:vAlign w:val="center"/>
          </w:tcPr>
          <w:p w14:paraId="17102E55" w14:textId="674C6443"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39.4</w:t>
            </w:r>
          </w:p>
        </w:tc>
        <w:tc>
          <w:tcPr>
            <w:tcW w:w="850" w:type="dxa"/>
            <w:tcBorders>
              <w:top w:val="nil"/>
              <w:left w:val="nil"/>
              <w:bottom w:val="single" w:sz="8" w:space="0" w:color="C6D9F1"/>
              <w:right w:val="single" w:sz="8" w:space="0" w:color="376091"/>
            </w:tcBorders>
            <w:vAlign w:val="center"/>
          </w:tcPr>
          <w:p w14:paraId="62CE3770" w14:textId="783889C8" w:rsidR="00831EED" w:rsidRPr="00B77C92" w:rsidRDefault="00831EED" w:rsidP="00831EED">
            <w:pPr>
              <w:spacing w:after="0" w:line="240" w:lineRule="auto"/>
              <w:jc w:val="center"/>
              <w:rPr>
                <w:rFonts w:ascii="Arial" w:hAnsi="Arial" w:cs="Arial"/>
                <w:bCs/>
                <w:color w:val="000000"/>
                <w:sz w:val="16"/>
                <w:szCs w:val="16"/>
              </w:rPr>
            </w:pPr>
            <w:r>
              <w:rPr>
                <w:rFonts w:ascii="Arial" w:hAnsi="Arial" w:cs="Arial"/>
                <w:color w:val="000000"/>
                <w:sz w:val="16"/>
                <w:szCs w:val="16"/>
              </w:rPr>
              <w:t>39.1</w:t>
            </w:r>
          </w:p>
        </w:tc>
      </w:tr>
      <w:tr w:rsidR="00831EED" w:rsidRPr="00513E8F" w14:paraId="38DD516E" w14:textId="77777777" w:rsidTr="00831EED">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14:paraId="379D2865" w14:textId="77777777" w:rsidR="00831EED" w:rsidRPr="00513E8F" w:rsidRDefault="00831EED" w:rsidP="00831EED">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Coatzacoalcos (Ver.)</w:t>
            </w:r>
          </w:p>
        </w:tc>
        <w:tc>
          <w:tcPr>
            <w:tcW w:w="993" w:type="dxa"/>
            <w:tcBorders>
              <w:top w:val="nil"/>
              <w:left w:val="nil"/>
              <w:bottom w:val="single" w:sz="8" w:space="0" w:color="C6D9F1"/>
              <w:right w:val="single" w:sz="8" w:space="0" w:color="376091"/>
            </w:tcBorders>
            <w:shd w:val="clear" w:color="auto" w:fill="auto"/>
            <w:vAlign w:val="center"/>
          </w:tcPr>
          <w:p w14:paraId="2323819C" w14:textId="30C6CDD4"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102,038</w:t>
            </w:r>
          </w:p>
        </w:tc>
        <w:tc>
          <w:tcPr>
            <w:tcW w:w="992" w:type="dxa"/>
            <w:tcBorders>
              <w:top w:val="nil"/>
              <w:left w:val="nil"/>
              <w:bottom w:val="single" w:sz="8" w:space="0" w:color="C6D9F1"/>
              <w:right w:val="single" w:sz="8" w:space="0" w:color="376091"/>
            </w:tcBorders>
            <w:shd w:val="clear" w:color="auto" w:fill="auto"/>
            <w:vAlign w:val="center"/>
          </w:tcPr>
          <w:p w14:paraId="24300C20" w14:textId="1CB77036"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6,530</w:t>
            </w:r>
          </w:p>
        </w:tc>
        <w:tc>
          <w:tcPr>
            <w:tcW w:w="850" w:type="dxa"/>
            <w:tcBorders>
              <w:top w:val="nil"/>
              <w:left w:val="nil"/>
              <w:bottom w:val="single" w:sz="8" w:space="0" w:color="C6D9F1"/>
              <w:right w:val="single" w:sz="8" w:space="0" w:color="376091"/>
            </w:tcBorders>
            <w:shd w:val="clear" w:color="auto" w:fill="auto"/>
            <w:vAlign w:val="center"/>
          </w:tcPr>
          <w:p w14:paraId="624DE1EB" w14:textId="11013EB2"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54.8</w:t>
            </w:r>
          </w:p>
        </w:tc>
        <w:tc>
          <w:tcPr>
            <w:tcW w:w="849" w:type="dxa"/>
            <w:tcBorders>
              <w:top w:val="nil"/>
              <w:left w:val="nil"/>
              <w:bottom w:val="single" w:sz="8" w:space="0" w:color="C6D9F1"/>
              <w:right w:val="single" w:sz="8" w:space="0" w:color="376091"/>
            </w:tcBorders>
            <w:shd w:val="clear" w:color="auto" w:fill="auto"/>
            <w:vAlign w:val="center"/>
          </w:tcPr>
          <w:p w14:paraId="60E0DA59" w14:textId="59A18AC1"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6.0</w:t>
            </w:r>
          </w:p>
        </w:tc>
        <w:tc>
          <w:tcPr>
            <w:tcW w:w="852" w:type="dxa"/>
            <w:tcBorders>
              <w:top w:val="nil"/>
              <w:left w:val="nil"/>
              <w:bottom w:val="single" w:sz="8" w:space="0" w:color="C6D9F1"/>
              <w:right w:val="single" w:sz="8" w:space="0" w:color="376091"/>
            </w:tcBorders>
            <w:shd w:val="clear" w:color="auto" w:fill="auto"/>
            <w:vAlign w:val="center"/>
          </w:tcPr>
          <w:p w14:paraId="2D256A57" w14:textId="479DB2EE"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13.4</w:t>
            </w:r>
          </w:p>
        </w:tc>
        <w:tc>
          <w:tcPr>
            <w:tcW w:w="709" w:type="dxa"/>
            <w:tcBorders>
              <w:top w:val="nil"/>
              <w:left w:val="nil"/>
              <w:bottom w:val="single" w:sz="8" w:space="0" w:color="C6D9F1"/>
              <w:right w:val="single" w:sz="8" w:space="0" w:color="376091"/>
            </w:tcBorders>
            <w:shd w:val="clear" w:color="auto" w:fill="auto"/>
            <w:vAlign w:val="center"/>
          </w:tcPr>
          <w:p w14:paraId="0F6D5590" w14:textId="24F84CBB"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13.4</w:t>
            </w:r>
          </w:p>
        </w:tc>
        <w:tc>
          <w:tcPr>
            <w:tcW w:w="709" w:type="dxa"/>
            <w:tcBorders>
              <w:top w:val="nil"/>
              <w:left w:val="nil"/>
              <w:bottom w:val="single" w:sz="8" w:space="0" w:color="C6D9F1"/>
              <w:right w:val="single" w:sz="8" w:space="0" w:color="376091"/>
            </w:tcBorders>
            <w:shd w:val="clear" w:color="auto" w:fill="auto"/>
            <w:vAlign w:val="center"/>
          </w:tcPr>
          <w:p w14:paraId="70783380" w14:textId="14A332D0"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64.3</w:t>
            </w:r>
          </w:p>
        </w:tc>
        <w:tc>
          <w:tcPr>
            <w:tcW w:w="709" w:type="dxa"/>
            <w:tcBorders>
              <w:top w:val="nil"/>
              <w:left w:val="nil"/>
              <w:bottom w:val="single" w:sz="8" w:space="0" w:color="C6D9F1"/>
              <w:right w:val="single" w:sz="8" w:space="0" w:color="376091"/>
            </w:tcBorders>
            <w:shd w:val="clear" w:color="auto" w:fill="auto"/>
            <w:vAlign w:val="center"/>
          </w:tcPr>
          <w:p w14:paraId="4E5CAC8F" w14:textId="7BF94CBB"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22.8</w:t>
            </w:r>
          </w:p>
        </w:tc>
        <w:tc>
          <w:tcPr>
            <w:tcW w:w="850" w:type="dxa"/>
            <w:tcBorders>
              <w:top w:val="nil"/>
              <w:left w:val="nil"/>
              <w:bottom w:val="single" w:sz="8" w:space="0" w:color="C6D9F1"/>
              <w:right w:val="single" w:sz="8" w:space="0" w:color="376091"/>
            </w:tcBorders>
            <w:shd w:val="clear" w:color="auto" w:fill="auto"/>
            <w:vAlign w:val="center"/>
          </w:tcPr>
          <w:p w14:paraId="5454DBEA" w14:textId="27EF67E0"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27.4</w:t>
            </w:r>
          </w:p>
        </w:tc>
        <w:tc>
          <w:tcPr>
            <w:tcW w:w="709" w:type="dxa"/>
            <w:tcBorders>
              <w:top w:val="nil"/>
              <w:left w:val="nil"/>
              <w:bottom w:val="single" w:sz="8" w:space="0" w:color="C6D9F1"/>
              <w:right w:val="single" w:sz="8" w:space="0" w:color="376091"/>
            </w:tcBorders>
            <w:shd w:val="clear" w:color="auto" w:fill="auto"/>
            <w:vAlign w:val="center"/>
          </w:tcPr>
          <w:p w14:paraId="56858469" w14:textId="51F66C3B"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53.3</w:t>
            </w:r>
          </w:p>
        </w:tc>
        <w:tc>
          <w:tcPr>
            <w:tcW w:w="709" w:type="dxa"/>
            <w:tcBorders>
              <w:top w:val="nil"/>
              <w:left w:val="nil"/>
              <w:bottom w:val="single" w:sz="8" w:space="0" w:color="C6D9F1"/>
              <w:right w:val="single" w:sz="8" w:space="0" w:color="376091"/>
            </w:tcBorders>
            <w:shd w:val="clear" w:color="auto" w:fill="auto"/>
            <w:vAlign w:val="center"/>
          </w:tcPr>
          <w:p w14:paraId="5B359945" w14:textId="0558D4E9"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35.9</w:t>
            </w:r>
          </w:p>
        </w:tc>
        <w:tc>
          <w:tcPr>
            <w:tcW w:w="850" w:type="dxa"/>
            <w:tcBorders>
              <w:top w:val="nil"/>
              <w:left w:val="nil"/>
              <w:bottom w:val="single" w:sz="8" w:space="0" w:color="C6D9F1"/>
              <w:right w:val="single" w:sz="8" w:space="0" w:color="376091"/>
            </w:tcBorders>
            <w:vAlign w:val="center"/>
          </w:tcPr>
          <w:p w14:paraId="3245BFD6" w14:textId="7DEC69C3" w:rsidR="00831EED" w:rsidRPr="00B77C92" w:rsidRDefault="00831EED" w:rsidP="00831EED">
            <w:pPr>
              <w:spacing w:after="0" w:line="240" w:lineRule="auto"/>
              <w:jc w:val="center"/>
              <w:rPr>
                <w:rFonts w:ascii="Arial" w:hAnsi="Arial" w:cs="Arial"/>
                <w:bCs/>
                <w:color w:val="000000"/>
                <w:sz w:val="16"/>
                <w:szCs w:val="16"/>
              </w:rPr>
            </w:pPr>
            <w:r>
              <w:rPr>
                <w:rFonts w:ascii="Arial" w:hAnsi="Arial" w:cs="Arial"/>
                <w:color w:val="000000"/>
                <w:sz w:val="16"/>
                <w:szCs w:val="16"/>
              </w:rPr>
              <w:t>39.1</w:t>
            </w:r>
          </w:p>
        </w:tc>
      </w:tr>
      <w:tr w:rsidR="00831EED" w:rsidRPr="00513E8F" w14:paraId="41B0046D" w14:textId="77777777" w:rsidTr="00831EED">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14:paraId="1D89B6E4" w14:textId="77777777" w:rsidR="00831EED" w:rsidRPr="00513E8F" w:rsidRDefault="00831EED" w:rsidP="00831EED">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Veracruz (Ver.)</w:t>
            </w:r>
          </w:p>
        </w:tc>
        <w:tc>
          <w:tcPr>
            <w:tcW w:w="993" w:type="dxa"/>
            <w:tcBorders>
              <w:top w:val="nil"/>
              <w:left w:val="nil"/>
              <w:bottom w:val="single" w:sz="8" w:space="0" w:color="C6D9F1"/>
              <w:right w:val="single" w:sz="8" w:space="0" w:color="376091"/>
            </w:tcBorders>
            <w:shd w:val="clear" w:color="auto" w:fill="auto"/>
            <w:vAlign w:val="center"/>
          </w:tcPr>
          <w:p w14:paraId="4739F8B5" w14:textId="7AC57759"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276,646</w:t>
            </w:r>
          </w:p>
        </w:tc>
        <w:tc>
          <w:tcPr>
            <w:tcW w:w="992" w:type="dxa"/>
            <w:tcBorders>
              <w:top w:val="nil"/>
              <w:left w:val="nil"/>
              <w:bottom w:val="single" w:sz="8" w:space="0" w:color="C6D9F1"/>
              <w:right w:val="single" w:sz="8" w:space="0" w:color="376091"/>
            </w:tcBorders>
            <w:shd w:val="clear" w:color="auto" w:fill="auto"/>
            <w:vAlign w:val="center"/>
          </w:tcPr>
          <w:p w14:paraId="16071438" w14:textId="5025EB81"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14,589</w:t>
            </w:r>
          </w:p>
        </w:tc>
        <w:tc>
          <w:tcPr>
            <w:tcW w:w="850" w:type="dxa"/>
            <w:tcBorders>
              <w:top w:val="nil"/>
              <w:left w:val="nil"/>
              <w:bottom w:val="single" w:sz="8" w:space="0" w:color="C6D9F1"/>
              <w:right w:val="single" w:sz="8" w:space="0" w:color="376091"/>
            </w:tcBorders>
            <w:shd w:val="clear" w:color="auto" w:fill="auto"/>
            <w:vAlign w:val="center"/>
          </w:tcPr>
          <w:p w14:paraId="289F615E" w14:textId="7D52EB2C"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52.5</w:t>
            </w:r>
          </w:p>
        </w:tc>
        <w:tc>
          <w:tcPr>
            <w:tcW w:w="849" w:type="dxa"/>
            <w:tcBorders>
              <w:top w:val="nil"/>
              <w:left w:val="nil"/>
              <w:bottom w:val="single" w:sz="8" w:space="0" w:color="C6D9F1"/>
              <w:right w:val="single" w:sz="8" w:space="0" w:color="376091"/>
            </w:tcBorders>
            <w:shd w:val="clear" w:color="auto" w:fill="auto"/>
            <w:vAlign w:val="center"/>
          </w:tcPr>
          <w:p w14:paraId="05670F65" w14:textId="4BC3651D"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5.0</w:t>
            </w:r>
          </w:p>
        </w:tc>
        <w:tc>
          <w:tcPr>
            <w:tcW w:w="852" w:type="dxa"/>
            <w:tcBorders>
              <w:top w:val="nil"/>
              <w:left w:val="nil"/>
              <w:bottom w:val="single" w:sz="8" w:space="0" w:color="C6D9F1"/>
              <w:right w:val="single" w:sz="8" w:space="0" w:color="376091"/>
            </w:tcBorders>
            <w:shd w:val="clear" w:color="auto" w:fill="auto"/>
            <w:vAlign w:val="center"/>
          </w:tcPr>
          <w:p w14:paraId="5DC64AAA" w14:textId="1706A872"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11.5</w:t>
            </w:r>
          </w:p>
        </w:tc>
        <w:tc>
          <w:tcPr>
            <w:tcW w:w="709" w:type="dxa"/>
            <w:tcBorders>
              <w:top w:val="nil"/>
              <w:left w:val="nil"/>
              <w:bottom w:val="single" w:sz="8" w:space="0" w:color="C6D9F1"/>
              <w:right w:val="single" w:sz="8" w:space="0" w:color="376091"/>
            </w:tcBorders>
            <w:shd w:val="clear" w:color="auto" w:fill="auto"/>
            <w:vAlign w:val="center"/>
          </w:tcPr>
          <w:p w14:paraId="1B2B45B6" w14:textId="394E3158"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8.2</w:t>
            </w:r>
          </w:p>
        </w:tc>
        <w:tc>
          <w:tcPr>
            <w:tcW w:w="709" w:type="dxa"/>
            <w:tcBorders>
              <w:top w:val="nil"/>
              <w:left w:val="nil"/>
              <w:bottom w:val="single" w:sz="8" w:space="0" w:color="C6D9F1"/>
              <w:right w:val="single" w:sz="8" w:space="0" w:color="376091"/>
            </w:tcBorders>
            <w:shd w:val="clear" w:color="auto" w:fill="auto"/>
            <w:vAlign w:val="center"/>
          </w:tcPr>
          <w:p w14:paraId="661E0472" w14:textId="15413AA3"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63.4</w:t>
            </w:r>
          </w:p>
        </w:tc>
        <w:tc>
          <w:tcPr>
            <w:tcW w:w="709" w:type="dxa"/>
            <w:tcBorders>
              <w:top w:val="nil"/>
              <w:left w:val="nil"/>
              <w:bottom w:val="single" w:sz="8" w:space="0" w:color="C6D9F1"/>
              <w:right w:val="single" w:sz="8" w:space="0" w:color="376091"/>
            </w:tcBorders>
            <w:shd w:val="clear" w:color="auto" w:fill="auto"/>
            <w:vAlign w:val="center"/>
          </w:tcPr>
          <w:p w14:paraId="289D857F" w14:textId="1A77AA70"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12.0</w:t>
            </w:r>
          </w:p>
        </w:tc>
        <w:tc>
          <w:tcPr>
            <w:tcW w:w="850" w:type="dxa"/>
            <w:tcBorders>
              <w:top w:val="nil"/>
              <w:left w:val="nil"/>
              <w:bottom w:val="single" w:sz="8" w:space="0" w:color="C6D9F1"/>
              <w:right w:val="single" w:sz="8" w:space="0" w:color="376091"/>
            </w:tcBorders>
            <w:shd w:val="clear" w:color="auto" w:fill="auto"/>
            <w:vAlign w:val="center"/>
          </w:tcPr>
          <w:p w14:paraId="3E172B2F" w14:textId="4E2B9CF7"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26.2</w:t>
            </w:r>
          </w:p>
        </w:tc>
        <w:tc>
          <w:tcPr>
            <w:tcW w:w="709" w:type="dxa"/>
            <w:tcBorders>
              <w:top w:val="nil"/>
              <w:left w:val="nil"/>
              <w:bottom w:val="single" w:sz="8" w:space="0" w:color="C6D9F1"/>
              <w:right w:val="single" w:sz="8" w:space="0" w:color="376091"/>
            </w:tcBorders>
            <w:shd w:val="clear" w:color="auto" w:fill="auto"/>
            <w:vAlign w:val="center"/>
          </w:tcPr>
          <w:p w14:paraId="19E07FF2" w14:textId="57B14C25"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47.5</w:t>
            </w:r>
          </w:p>
        </w:tc>
        <w:tc>
          <w:tcPr>
            <w:tcW w:w="709" w:type="dxa"/>
            <w:tcBorders>
              <w:top w:val="nil"/>
              <w:left w:val="nil"/>
              <w:bottom w:val="single" w:sz="8" w:space="0" w:color="C6D9F1"/>
              <w:right w:val="single" w:sz="8" w:space="0" w:color="376091"/>
            </w:tcBorders>
            <w:shd w:val="clear" w:color="auto" w:fill="auto"/>
            <w:vAlign w:val="center"/>
          </w:tcPr>
          <w:p w14:paraId="54992088" w14:textId="1EDB7B6B"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30.4</w:t>
            </w:r>
          </w:p>
        </w:tc>
        <w:tc>
          <w:tcPr>
            <w:tcW w:w="850" w:type="dxa"/>
            <w:tcBorders>
              <w:top w:val="nil"/>
              <w:left w:val="nil"/>
              <w:bottom w:val="single" w:sz="8" w:space="0" w:color="C6D9F1"/>
              <w:right w:val="single" w:sz="8" w:space="0" w:color="376091"/>
            </w:tcBorders>
            <w:vAlign w:val="center"/>
          </w:tcPr>
          <w:p w14:paraId="1181F566" w14:textId="425E3DF4" w:rsidR="00831EED" w:rsidRPr="00B77C92" w:rsidRDefault="00831EED" w:rsidP="00831EED">
            <w:pPr>
              <w:spacing w:after="0" w:line="240" w:lineRule="auto"/>
              <w:jc w:val="center"/>
              <w:rPr>
                <w:rFonts w:ascii="Arial" w:hAnsi="Arial" w:cs="Arial"/>
                <w:bCs/>
                <w:color w:val="000000"/>
                <w:sz w:val="16"/>
                <w:szCs w:val="16"/>
              </w:rPr>
            </w:pPr>
            <w:r>
              <w:rPr>
                <w:rFonts w:ascii="Arial" w:hAnsi="Arial" w:cs="Arial"/>
                <w:color w:val="000000"/>
                <w:sz w:val="16"/>
                <w:szCs w:val="16"/>
              </w:rPr>
              <w:t>29.3</w:t>
            </w:r>
          </w:p>
        </w:tc>
      </w:tr>
      <w:tr w:rsidR="00831EED" w:rsidRPr="00513E8F" w14:paraId="443AAB7D" w14:textId="77777777" w:rsidTr="00831EED">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14:paraId="18A6902F" w14:textId="77777777" w:rsidR="00831EED" w:rsidRPr="00513E8F" w:rsidRDefault="00831EED" w:rsidP="00831EED">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Mérida (</w:t>
            </w:r>
            <w:proofErr w:type="spellStart"/>
            <w:r>
              <w:rPr>
                <w:rFonts w:ascii="Arial" w:hAnsi="Arial" w:cs="Arial"/>
                <w:color w:val="000000"/>
                <w:sz w:val="16"/>
                <w:szCs w:val="16"/>
              </w:rPr>
              <w:t>Yuc</w:t>
            </w:r>
            <w:proofErr w:type="spellEnd"/>
            <w:r>
              <w:rPr>
                <w:rFonts w:ascii="Arial" w:hAnsi="Arial" w:cs="Arial"/>
                <w:color w:val="000000"/>
                <w:sz w:val="16"/>
                <w:szCs w:val="16"/>
              </w:rPr>
              <w:t>.)</w:t>
            </w:r>
          </w:p>
        </w:tc>
        <w:tc>
          <w:tcPr>
            <w:tcW w:w="993" w:type="dxa"/>
            <w:tcBorders>
              <w:top w:val="nil"/>
              <w:left w:val="nil"/>
              <w:bottom w:val="single" w:sz="8" w:space="0" w:color="C6D9F1"/>
              <w:right w:val="single" w:sz="8" w:space="0" w:color="376091"/>
            </w:tcBorders>
            <w:shd w:val="clear" w:color="auto" w:fill="auto"/>
            <w:vAlign w:val="center"/>
          </w:tcPr>
          <w:p w14:paraId="48F61299" w14:textId="00C7CA89"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587,184</w:t>
            </w:r>
          </w:p>
        </w:tc>
        <w:tc>
          <w:tcPr>
            <w:tcW w:w="992" w:type="dxa"/>
            <w:tcBorders>
              <w:top w:val="nil"/>
              <w:left w:val="nil"/>
              <w:bottom w:val="single" w:sz="8" w:space="0" w:color="C6D9F1"/>
              <w:right w:val="single" w:sz="8" w:space="0" w:color="376091"/>
            </w:tcBorders>
            <w:shd w:val="clear" w:color="auto" w:fill="auto"/>
            <w:vAlign w:val="center"/>
          </w:tcPr>
          <w:p w14:paraId="233441EA" w14:textId="391AFDDA"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21,857</w:t>
            </w:r>
          </w:p>
        </w:tc>
        <w:tc>
          <w:tcPr>
            <w:tcW w:w="850" w:type="dxa"/>
            <w:tcBorders>
              <w:top w:val="nil"/>
              <w:left w:val="nil"/>
              <w:bottom w:val="single" w:sz="8" w:space="0" w:color="C6D9F1"/>
              <w:right w:val="single" w:sz="8" w:space="0" w:color="376091"/>
            </w:tcBorders>
            <w:shd w:val="clear" w:color="auto" w:fill="auto"/>
            <w:vAlign w:val="center"/>
          </w:tcPr>
          <w:p w14:paraId="26D168AE" w14:textId="41BDF783"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62.3</w:t>
            </w:r>
          </w:p>
        </w:tc>
        <w:tc>
          <w:tcPr>
            <w:tcW w:w="849" w:type="dxa"/>
            <w:tcBorders>
              <w:top w:val="nil"/>
              <w:left w:val="nil"/>
              <w:bottom w:val="single" w:sz="8" w:space="0" w:color="C6D9F1"/>
              <w:right w:val="single" w:sz="8" w:space="0" w:color="376091"/>
            </w:tcBorders>
            <w:shd w:val="clear" w:color="auto" w:fill="auto"/>
            <w:vAlign w:val="center"/>
          </w:tcPr>
          <w:p w14:paraId="4AA9974E" w14:textId="6BD3CC7B"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3.6</w:t>
            </w:r>
          </w:p>
        </w:tc>
        <w:tc>
          <w:tcPr>
            <w:tcW w:w="852" w:type="dxa"/>
            <w:tcBorders>
              <w:top w:val="nil"/>
              <w:left w:val="nil"/>
              <w:bottom w:val="single" w:sz="8" w:space="0" w:color="C6D9F1"/>
              <w:right w:val="single" w:sz="8" w:space="0" w:color="376091"/>
            </w:tcBorders>
            <w:shd w:val="clear" w:color="auto" w:fill="auto"/>
            <w:vAlign w:val="center"/>
          </w:tcPr>
          <w:p w14:paraId="671E58BC" w14:textId="56A7A852"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13.6</w:t>
            </w:r>
          </w:p>
        </w:tc>
        <w:tc>
          <w:tcPr>
            <w:tcW w:w="709" w:type="dxa"/>
            <w:tcBorders>
              <w:top w:val="nil"/>
              <w:left w:val="nil"/>
              <w:bottom w:val="single" w:sz="8" w:space="0" w:color="C6D9F1"/>
              <w:right w:val="single" w:sz="8" w:space="0" w:color="376091"/>
            </w:tcBorders>
            <w:shd w:val="clear" w:color="auto" w:fill="auto"/>
            <w:vAlign w:val="center"/>
          </w:tcPr>
          <w:p w14:paraId="123F167E" w14:textId="57E4287F"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10.7</w:t>
            </w:r>
          </w:p>
        </w:tc>
        <w:tc>
          <w:tcPr>
            <w:tcW w:w="709" w:type="dxa"/>
            <w:tcBorders>
              <w:top w:val="nil"/>
              <w:left w:val="nil"/>
              <w:bottom w:val="single" w:sz="8" w:space="0" w:color="C6D9F1"/>
              <w:right w:val="single" w:sz="8" w:space="0" w:color="376091"/>
            </w:tcBorders>
            <w:shd w:val="clear" w:color="auto" w:fill="auto"/>
            <w:vAlign w:val="center"/>
          </w:tcPr>
          <w:p w14:paraId="194E8C5C" w14:textId="7BA7BB33"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67.1</w:t>
            </w:r>
          </w:p>
        </w:tc>
        <w:tc>
          <w:tcPr>
            <w:tcW w:w="709" w:type="dxa"/>
            <w:tcBorders>
              <w:top w:val="nil"/>
              <w:left w:val="nil"/>
              <w:bottom w:val="single" w:sz="8" w:space="0" w:color="C6D9F1"/>
              <w:right w:val="single" w:sz="8" w:space="0" w:color="376091"/>
            </w:tcBorders>
            <w:shd w:val="clear" w:color="auto" w:fill="auto"/>
            <w:vAlign w:val="center"/>
          </w:tcPr>
          <w:p w14:paraId="756B5BD1" w14:textId="6F296810"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15.2</w:t>
            </w:r>
          </w:p>
        </w:tc>
        <w:tc>
          <w:tcPr>
            <w:tcW w:w="850" w:type="dxa"/>
            <w:tcBorders>
              <w:top w:val="nil"/>
              <w:left w:val="nil"/>
              <w:bottom w:val="single" w:sz="8" w:space="0" w:color="C6D9F1"/>
              <w:right w:val="single" w:sz="8" w:space="0" w:color="376091"/>
            </w:tcBorders>
            <w:shd w:val="clear" w:color="auto" w:fill="auto"/>
            <w:vAlign w:val="center"/>
          </w:tcPr>
          <w:p w14:paraId="32AE5C2F" w14:textId="27793F35"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23.7</w:t>
            </w:r>
          </w:p>
        </w:tc>
        <w:tc>
          <w:tcPr>
            <w:tcW w:w="709" w:type="dxa"/>
            <w:tcBorders>
              <w:top w:val="nil"/>
              <w:left w:val="nil"/>
              <w:bottom w:val="single" w:sz="8" w:space="0" w:color="C6D9F1"/>
              <w:right w:val="single" w:sz="8" w:space="0" w:color="376091"/>
            </w:tcBorders>
            <w:shd w:val="clear" w:color="auto" w:fill="auto"/>
            <w:vAlign w:val="center"/>
          </w:tcPr>
          <w:p w14:paraId="66134945" w14:textId="053CFC88"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48.8</w:t>
            </w:r>
          </w:p>
        </w:tc>
        <w:tc>
          <w:tcPr>
            <w:tcW w:w="709" w:type="dxa"/>
            <w:tcBorders>
              <w:top w:val="nil"/>
              <w:left w:val="nil"/>
              <w:bottom w:val="single" w:sz="8" w:space="0" w:color="C6D9F1"/>
              <w:right w:val="single" w:sz="8" w:space="0" w:color="376091"/>
            </w:tcBorders>
            <w:shd w:val="clear" w:color="auto" w:fill="auto"/>
            <w:vAlign w:val="center"/>
          </w:tcPr>
          <w:p w14:paraId="0CEEBFE0" w14:textId="05C293A8"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26.7</w:t>
            </w:r>
          </w:p>
        </w:tc>
        <w:tc>
          <w:tcPr>
            <w:tcW w:w="850" w:type="dxa"/>
            <w:tcBorders>
              <w:top w:val="nil"/>
              <w:left w:val="nil"/>
              <w:bottom w:val="single" w:sz="8" w:space="0" w:color="C6D9F1"/>
              <w:right w:val="single" w:sz="8" w:space="0" w:color="376091"/>
            </w:tcBorders>
            <w:vAlign w:val="center"/>
          </w:tcPr>
          <w:p w14:paraId="3E43A5C1" w14:textId="71A589EE" w:rsidR="00831EED" w:rsidRPr="00B77C92" w:rsidRDefault="00831EED" w:rsidP="00831EED">
            <w:pPr>
              <w:spacing w:after="0" w:line="240" w:lineRule="auto"/>
              <w:jc w:val="center"/>
              <w:rPr>
                <w:rFonts w:ascii="Arial" w:hAnsi="Arial" w:cs="Arial"/>
                <w:bCs/>
                <w:color w:val="000000"/>
                <w:sz w:val="16"/>
                <w:szCs w:val="16"/>
              </w:rPr>
            </w:pPr>
            <w:r>
              <w:rPr>
                <w:rFonts w:ascii="Arial" w:hAnsi="Arial" w:cs="Arial"/>
                <w:color w:val="000000"/>
                <w:sz w:val="16"/>
                <w:szCs w:val="16"/>
              </w:rPr>
              <w:t>25.5</w:t>
            </w:r>
          </w:p>
        </w:tc>
      </w:tr>
      <w:tr w:rsidR="00831EED" w:rsidRPr="00513E8F" w14:paraId="6C3E197C" w14:textId="77777777" w:rsidTr="00831EED">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14:paraId="19D1B41A" w14:textId="77777777" w:rsidR="00831EED" w:rsidRPr="00513E8F" w:rsidRDefault="00831EED" w:rsidP="00831EED">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Zacatecas (Zac.)</w:t>
            </w:r>
          </w:p>
        </w:tc>
        <w:tc>
          <w:tcPr>
            <w:tcW w:w="993" w:type="dxa"/>
            <w:tcBorders>
              <w:top w:val="nil"/>
              <w:left w:val="nil"/>
              <w:bottom w:val="single" w:sz="8" w:space="0" w:color="C6D9F1"/>
              <w:right w:val="single" w:sz="8" w:space="0" w:color="376091"/>
            </w:tcBorders>
            <w:shd w:val="clear" w:color="auto" w:fill="auto"/>
            <w:vAlign w:val="center"/>
          </w:tcPr>
          <w:p w14:paraId="1CF70D2F" w14:textId="59A7071D"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134,756</w:t>
            </w:r>
          </w:p>
        </w:tc>
        <w:tc>
          <w:tcPr>
            <w:tcW w:w="992" w:type="dxa"/>
            <w:tcBorders>
              <w:top w:val="nil"/>
              <w:left w:val="nil"/>
              <w:bottom w:val="single" w:sz="8" w:space="0" w:color="C6D9F1"/>
              <w:right w:val="single" w:sz="8" w:space="0" w:color="376091"/>
            </w:tcBorders>
            <w:shd w:val="clear" w:color="auto" w:fill="auto"/>
            <w:vAlign w:val="center"/>
          </w:tcPr>
          <w:p w14:paraId="4CC17F58" w14:textId="6A862403"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6,864</w:t>
            </w:r>
          </w:p>
        </w:tc>
        <w:tc>
          <w:tcPr>
            <w:tcW w:w="850" w:type="dxa"/>
            <w:tcBorders>
              <w:top w:val="nil"/>
              <w:left w:val="nil"/>
              <w:bottom w:val="single" w:sz="8" w:space="0" w:color="C6D9F1"/>
              <w:right w:val="single" w:sz="8" w:space="0" w:color="376091"/>
            </w:tcBorders>
            <w:shd w:val="clear" w:color="auto" w:fill="auto"/>
            <w:vAlign w:val="center"/>
          </w:tcPr>
          <w:p w14:paraId="363F2072" w14:textId="72444456"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60.0</w:t>
            </w:r>
          </w:p>
        </w:tc>
        <w:tc>
          <w:tcPr>
            <w:tcW w:w="849" w:type="dxa"/>
            <w:tcBorders>
              <w:top w:val="nil"/>
              <w:left w:val="nil"/>
              <w:bottom w:val="single" w:sz="8" w:space="0" w:color="C6D9F1"/>
              <w:right w:val="single" w:sz="8" w:space="0" w:color="376091"/>
            </w:tcBorders>
            <w:shd w:val="clear" w:color="auto" w:fill="auto"/>
            <w:vAlign w:val="center"/>
          </w:tcPr>
          <w:p w14:paraId="2ECC8836" w14:textId="208CB5A3"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4.8</w:t>
            </w:r>
          </w:p>
        </w:tc>
        <w:tc>
          <w:tcPr>
            <w:tcW w:w="852" w:type="dxa"/>
            <w:tcBorders>
              <w:top w:val="nil"/>
              <w:left w:val="nil"/>
              <w:bottom w:val="single" w:sz="8" w:space="0" w:color="C6D9F1"/>
              <w:right w:val="single" w:sz="8" w:space="0" w:color="376091"/>
            </w:tcBorders>
            <w:shd w:val="clear" w:color="auto" w:fill="auto"/>
            <w:vAlign w:val="center"/>
          </w:tcPr>
          <w:p w14:paraId="77924E70" w14:textId="750EFA03"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12.3</w:t>
            </w:r>
          </w:p>
        </w:tc>
        <w:tc>
          <w:tcPr>
            <w:tcW w:w="709" w:type="dxa"/>
            <w:tcBorders>
              <w:top w:val="nil"/>
              <w:left w:val="nil"/>
              <w:bottom w:val="single" w:sz="8" w:space="0" w:color="C6D9F1"/>
              <w:right w:val="single" w:sz="8" w:space="0" w:color="376091"/>
            </w:tcBorders>
            <w:shd w:val="clear" w:color="auto" w:fill="auto"/>
            <w:vAlign w:val="center"/>
          </w:tcPr>
          <w:p w14:paraId="42D82230" w14:textId="6C66B44C"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11.6</w:t>
            </w:r>
          </w:p>
        </w:tc>
        <w:tc>
          <w:tcPr>
            <w:tcW w:w="709" w:type="dxa"/>
            <w:tcBorders>
              <w:top w:val="nil"/>
              <w:left w:val="nil"/>
              <w:bottom w:val="single" w:sz="8" w:space="0" w:color="C6D9F1"/>
              <w:right w:val="single" w:sz="8" w:space="0" w:color="376091"/>
            </w:tcBorders>
            <w:shd w:val="clear" w:color="auto" w:fill="auto"/>
            <w:vAlign w:val="center"/>
          </w:tcPr>
          <w:p w14:paraId="78A45CE2" w14:textId="4AD18473"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76.5</w:t>
            </w:r>
          </w:p>
        </w:tc>
        <w:tc>
          <w:tcPr>
            <w:tcW w:w="709" w:type="dxa"/>
            <w:tcBorders>
              <w:top w:val="nil"/>
              <w:left w:val="nil"/>
              <w:bottom w:val="single" w:sz="8" w:space="0" w:color="C6D9F1"/>
              <w:right w:val="single" w:sz="8" w:space="0" w:color="376091"/>
            </w:tcBorders>
            <w:shd w:val="clear" w:color="auto" w:fill="auto"/>
            <w:vAlign w:val="center"/>
          </w:tcPr>
          <w:p w14:paraId="548C34F3" w14:textId="53337A71"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15.9</w:t>
            </w:r>
          </w:p>
        </w:tc>
        <w:tc>
          <w:tcPr>
            <w:tcW w:w="850" w:type="dxa"/>
            <w:tcBorders>
              <w:top w:val="nil"/>
              <w:left w:val="nil"/>
              <w:bottom w:val="single" w:sz="8" w:space="0" w:color="C6D9F1"/>
              <w:right w:val="single" w:sz="8" w:space="0" w:color="376091"/>
            </w:tcBorders>
            <w:shd w:val="clear" w:color="auto" w:fill="auto"/>
            <w:vAlign w:val="center"/>
          </w:tcPr>
          <w:p w14:paraId="21D82905" w14:textId="3E77A89C"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22.7</w:t>
            </w:r>
          </w:p>
        </w:tc>
        <w:tc>
          <w:tcPr>
            <w:tcW w:w="709" w:type="dxa"/>
            <w:tcBorders>
              <w:top w:val="nil"/>
              <w:left w:val="nil"/>
              <w:bottom w:val="single" w:sz="8" w:space="0" w:color="C6D9F1"/>
              <w:right w:val="single" w:sz="8" w:space="0" w:color="376091"/>
            </w:tcBorders>
            <w:shd w:val="clear" w:color="auto" w:fill="auto"/>
            <w:vAlign w:val="center"/>
          </w:tcPr>
          <w:p w14:paraId="7CAA5704" w14:textId="10178D56"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38.4</w:t>
            </w:r>
          </w:p>
        </w:tc>
        <w:tc>
          <w:tcPr>
            <w:tcW w:w="709" w:type="dxa"/>
            <w:tcBorders>
              <w:top w:val="nil"/>
              <w:left w:val="nil"/>
              <w:bottom w:val="single" w:sz="8" w:space="0" w:color="C6D9F1"/>
              <w:right w:val="single" w:sz="8" w:space="0" w:color="376091"/>
            </w:tcBorders>
            <w:shd w:val="clear" w:color="auto" w:fill="auto"/>
            <w:vAlign w:val="center"/>
          </w:tcPr>
          <w:p w14:paraId="2DD9291E" w14:textId="7BEC2DDF" w:rsidR="00831EED" w:rsidRPr="00513E8F" w:rsidRDefault="00831EED" w:rsidP="00831EED">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20.0</w:t>
            </w:r>
          </w:p>
        </w:tc>
        <w:tc>
          <w:tcPr>
            <w:tcW w:w="850" w:type="dxa"/>
            <w:tcBorders>
              <w:top w:val="nil"/>
              <w:left w:val="nil"/>
              <w:bottom w:val="single" w:sz="8" w:space="0" w:color="C6D9F1"/>
              <w:right w:val="single" w:sz="8" w:space="0" w:color="376091"/>
            </w:tcBorders>
            <w:vAlign w:val="center"/>
          </w:tcPr>
          <w:p w14:paraId="7F0B36B1" w14:textId="1806EB90" w:rsidR="00831EED" w:rsidRPr="00B77C92" w:rsidRDefault="00831EED" w:rsidP="00831EED">
            <w:pPr>
              <w:spacing w:after="0" w:line="240" w:lineRule="auto"/>
              <w:jc w:val="center"/>
              <w:rPr>
                <w:rFonts w:ascii="Arial" w:hAnsi="Arial" w:cs="Arial"/>
                <w:bCs/>
                <w:color w:val="000000"/>
                <w:sz w:val="16"/>
                <w:szCs w:val="16"/>
              </w:rPr>
            </w:pPr>
            <w:r>
              <w:rPr>
                <w:rFonts w:ascii="Arial" w:hAnsi="Arial" w:cs="Arial"/>
                <w:color w:val="000000"/>
                <w:sz w:val="16"/>
                <w:szCs w:val="16"/>
              </w:rPr>
              <w:t>26.8</w:t>
            </w:r>
          </w:p>
        </w:tc>
      </w:tr>
      <w:tr w:rsidR="00831EED" w:rsidRPr="00E7630F" w14:paraId="0A006999" w14:textId="77777777" w:rsidTr="00831EED">
        <w:trPr>
          <w:trHeight w:val="20"/>
        </w:trPr>
        <w:tc>
          <w:tcPr>
            <w:tcW w:w="1701" w:type="dxa"/>
            <w:tcBorders>
              <w:top w:val="nil"/>
              <w:left w:val="single" w:sz="8" w:space="0" w:color="376091"/>
              <w:bottom w:val="single" w:sz="8" w:space="0" w:color="376091"/>
              <w:right w:val="single" w:sz="8" w:space="0" w:color="376091"/>
            </w:tcBorders>
            <w:shd w:val="clear" w:color="auto" w:fill="auto"/>
            <w:vAlign w:val="center"/>
            <w:hideMark/>
          </w:tcPr>
          <w:p w14:paraId="2564AD8C" w14:textId="77777777" w:rsidR="00831EED" w:rsidRPr="00E7630F" w:rsidRDefault="00831EED" w:rsidP="00831EED">
            <w:pPr>
              <w:spacing w:after="0" w:line="240" w:lineRule="auto"/>
              <w:rPr>
                <w:rFonts w:ascii="Arial" w:eastAsia="Times New Roman" w:hAnsi="Arial" w:cs="Arial"/>
                <w:color w:val="000000"/>
                <w:sz w:val="8"/>
                <w:szCs w:val="16"/>
                <w:lang w:eastAsia="es-MX"/>
              </w:rPr>
            </w:pPr>
            <w:r w:rsidRPr="00E7630F">
              <w:rPr>
                <w:rFonts w:ascii="Arial" w:eastAsia="Times New Roman" w:hAnsi="Arial" w:cs="Arial"/>
                <w:color w:val="000000"/>
                <w:sz w:val="8"/>
                <w:szCs w:val="16"/>
                <w:lang w:eastAsia="es-MX"/>
              </w:rPr>
              <w:t> </w:t>
            </w:r>
          </w:p>
        </w:tc>
        <w:tc>
          <w:tcPr>
            <w:tcW w:w="993" w:type="dxa"/>
            <w:tcBorders>
              <w:top w:val="nil"/>
              <w:left w:val="nil"/>
              <w:bottom w:val="single" w:sz="8" w:space="0" w:color="376091"/>
              <w:right w:val="single" w:sz="8" w:space="0" w:color="376091"/>
            </w:tcBorders>
            <w:shd w:val="clear" w:color="auto" w:fill="auto"/>
            <w:vAlign w:val="center"/>
            <w:hideMark/>
          </w:tcPr>
          <w:p w14:paraId="2262A54F" w14:textId="77777777" w:rsidR="00831EED" w:rsidRPr="00E7630F" w:rsidRDefault="00831EED" w:rsidP="00831EED">
            <w:pPr>
              <w:spacing w:after="0" w:line="240" w:lineRule="auto"/>
              <w:jc w:val="center"/>
              <w:rPr>
                <w:rFonts w:ascii="Arial" w:eastAsia="Times New Roman" w:hAnsi="Arial" w:cs="Arial"/>
                <w:color w:val="000000"/>
                <w:sz w:val="8"/>
                <w:szCs w:val="16"/>
                <w:lang w:eastAsia="es-MX"/>
              </w:rPr>
            </w:pPr>
          </w:p>
        </w:tc>
        <w:tc>
          <w:tcPr>
            <w:tcW w:w="992" w:type="dxa"/>
            <w:tcBorders>
              <w:top w:val="nil"/>
              <w:left w:val="nil"/>
              <w:bottom w:val="single" w:sz="8" w:space="0" w:color="376091"/>
              <w:right w:val="single" w:sz="8" w:space="0" w:color="376091"/>
            </w:tcBorders>
            <w:shd w:val="clear" w:color="auto" w:fill="auto"/>
            <w:vAlign w:val="center"/>
            <w:hideMark/>
          </w:tcPr>
          <w:p w14:paraId="3D6C8C2F" w14:textId="77777777" w:rsidR="00831EED" w:rsidRPr="00E7630F" w:rsidRDefault="00831EED" w:rsidP="00831EED">
            <w:pPr>
              <w:spacing w:after="0" w:line="240" w:lineRule="auto"/>
              <w:jc w:val="center"/>
              <w:rPr>
                <w:rFonts w:ascii="Arial" w:eastAsia="Times New Roman" w:hAnsi="Arial" w:cs="Arial"/>
                <w:color w:val="000000"/>
                <w:sz w:val="8"/>
                <w:szCs w:val="16"/>
                <w:lang w:eastAsia="es-MX"/>
              </w:rPr>
            </w:pPr>
          </w:p>
        </w:tc>
        <w:tc>
          <w:tcPr>
            <w:tcW w:w="850" w:type="dxa"/>
            <w:tcBorders>
              <w:top w:val="nil"/>
              <w:left w:val="nil"/>
              <w:bottom w:val="single" w:sz="8" w:space="0" w:color="376091"/>
              <w:right w:val="single" w:sz="8" w:space="0" w:color="376091"/>
            </w:tcBorders>
            <w:shd w:val="clear" w:color="auto" w:fill="auto"/>
            <w:vAlign w:val="center"/>
            <w:hideMark/>
          </w:tcPr>
          <w:p w14:paraId="084AC1AB" w14:textId="77777777" w:rsidR="00831EED" w:rsidRPr="00E7630F" w:rsidRDefault="00831EED" w:rsidP="00831EED">
            <w:pPr>
              <w:spacing w:after="0" w:line="240" w:lineRule="auto"/>
              <w:rPr>
                <w:rFonts w:ascii="Arial" w:eastAsia="Times New Roman" w:hAnsi="Arial" w:cs="Arial"/>
                <w:color w:val="000000"/>
                <w:sz w:val="8"/>
                <w:szCs w:val="16"/>
                <w:lang w:eastAsia="es-MX"/>
              </w:rPr>
            </w:pPr>
            <w:r w:rsidRPr="00E7630F">
              <w:rPr>
                <w:rFonts w:ascii="Arial" w:eastAsia="Times New Roman" w:hAnsi="Arial" w:cs="Arial"/>
                <w:color w:val="000000"/>
                <w:sz w:val="8"/>
                <w:szCs w:val="16"/>
                <w:lang w:eastAsia="es-MX"/>
              </w:rPr>
              <w:t> </w:t>
            </w:r>
          </w:p>
        </w:tc>
        <w:tc>
          <w:tcPr>
            <w:tcW w:w="849" w:type="dxa"/>
            <w:tcBorders>
              <w:top w:val="nil"/>
              <w:left w:val="nil"/>
              <w:bottom w:val="single" w:sz="8" w:space="0" w:color="376091"/>
              <w:right w:val="single" w:sz="8" w:space="0" w:color="376091"/>
            </w:tcBorders>
            <w:shd w:val="clear" w:color="auto" w:fill="auto"/>
            <w:vAlign w:val="center"/>
            <w:hideMark/>
          </w:tcPr>
          <w:p w14:paraId="36F46163" w14:textId="77777777" w:rsidR="00831EED" w:rsidRPr="00E7630F" w:rsidRDefault="00831EED" w:rsidP="00831EED">
            <w:pPr>
              <w:spacing w:after="0" w:line="240" w:lineRule="auto"/>
              <w:rPr>
                <w:rFonts w:ascii="Arial" w:eastAsia="Times New Roman" w:hAnsi="Arial" w:cs="Arial"/>
                <w:color w:val="000000"/>
                <w:sz w:val="8"/>
                <w:szCs w:val="16"/>
                <w:lang w:eastAsia="es-MX"/>
              </w:rPr>
            </w:pPr>
            <w:r w:rsidRPr="00E7630F">
              <w:rPr>
                <w:rFonts w:ascii="Arial" w:eastAsia="Times New Roman" w:hAnsi="Arial" w:cs="Arial"/>
                <w:color w:val="000000"/>
                <w:sz w:val="8"/>
                <w:szCs w:val="16"/>
                <w:lang w:eastAsia="es-MX"/>
              </w:rPr>
              <w:t> </w:t>
            </w:r>
          </w:p>
        </w:tc>
        <w:tc>
          <w:tcPr>
            <w:tcW w:w="852" w:type="dxa"/>
            <w:tcBorders>
              <w:top w:val="nil"/>
              <w:left w:val="nil"/>
              <w:bottom w:val="single" w:sz="8" w:space="0" w:color="376091"/>
              <w:right w:val="single" w:sz="8" w:space="0" w:color="376091"/>
            </w:tcBorders>
            <w:shd w:val="clear" w:color="auto" w:fill="auto"/>
            <w:vAlign w:val="center"/>
            <w:hideMark/>
          </w:tcPr>
          <w:p w14:paraId="5848E982" w14:textId="77777777" w:rsidR="00831EED" w:rsidRPr="00E7630F" w:rsidRDefault="00831EED" w:rsidP="00831EED">
            <w:pPr>
              <w:spacing w:after="0" w:line="240" w:lineRule="auto"/>
              <w:rPr>
                <w:rFonts w:ascii="Arial" w:eastAsia="Times New Roman" w:hAnsi="Arial" w:cs="Arial"/>
                <w:color w:val="000000"/>
                <w:sz w:val="8"/>
                <w:szCs w:val="16"/>
                <w:lang w:eastAsia="es-MX"/>
              </w:rPr>
            </w:pPr>
            <w:r w:rsidRPr="00E7630F">
              <w:rPr>
                <w:rFonts w:ascii="Arial" w:eastAsia="Times New Roman" w:hAnsi="Arial" w:cs="Arial"/>
                <w:color w:val="000000"/>
                <w:sz w:val="8"/>
                <w:szCs w:val="16"/>
                <w:lang w:eastAsia="es-MX"/>
              </w:rPr>
              <w:t> </w:t>
            </w:r>
          </w:p>
        </w:tc>
        <w:tc>
          <w:tcPr>
            <w:tcW w:w="709" w:type="dxa"/>
            <w:tcBorders>
              <w:top w:val="nil"/>
              <w:left w:val="nil"/>
              <w:bottom w:val="single" w:sz="8" w:space="0" w:color="376091"/>
              <w:right w:val="single" w:sz="8" w:space="0" w:color="376091"/>
            </w:tcBorders>
            <w:shd w:val="clear" w:color="auto" w:fill="auto"/>
            <w:vAlign w:val="center"/>
            <w:hideMark/>
          </w:tcPr>
          <w:p w14:paraId="0032F234" w14:textId="77777777" w:rsidR="00831EED" w:rsidRPr="00E7630F" w:rsidRDefault="00831EED" w:rsidP="00831EED">
            <w:pPr>
              <w:spacing w:after="0" w:line="240" w:lineRule="auto"/>
              <w:jc w:val="center"/>
              <w:rPr>
                <w:rFonts w:ascii="Arial" w:eastAsia="Times New Roman" w:hAnsi="Arial" w:cs="Arial"/>
                <w:color w:val="000000"/>
                <w:sz w:val="8"/>
                <w:szCs w:val="16"/>
                <w:lang w:eastAsia="es-MX"/>
              </w:rPr>
            </w:pPr>
            <w:r w:rsidRPr="00E7630F">
              <w:rPr>
                <w:rFonts w:ascii="Arial" w:eastAsia="Times New Roman" w:hAnsi="Arial" w:cs="Arial"/>
                <w:color w:val="000000"/>
                <w:sz w:val="8"/>
                <w:szCs w:val="16"/>
                <w:lang w:eastAsia="es-MX"/>
              </w:rPr>
              <w:t> </w:t>
            </w:r>
          </w:p>
        </w:tc>
        <w:tc>
          <w:tcPr>
            <w:tcW w:w="709" w:type="dxa"/>
            <w:tcBorders>
              <w:top w:val="nil"/>
              <w:left w:val="nil"/>
              <w:bottom w:val="single" w:sz="8" w:space="0" w:color="376091"/>
              <w:right w:val="single" w:sz="8" w:space="0" w:color="376091"/>
            </w:tcBorders>
            <w:shd w:val="clear" w:color="auto" w:fill="auto"/>
            <w:vAlign w:val="center"/>
            <w:hideMark/>
          </w:tcPr>
          <w:p w14:paraId="3D825D6D" w14:textId="77777777" w:rsidR="00831EED" w:rsidRPr="00E7630F" w:rsidRDefault="00831EED" w:rsidP="00831EED">
            <w:pPr>
              <w:spacing w:after="0" w:line="240" w:lineRule="auto"/>
              <w:jc w:val="center"/>
              <w:rPr>
                <w:rFonts w:ascii="Arial" w:eastAsia="Times New Roman" w:hAnsi="Arial" w:cs="Arial"/>
                <w:color w:val="000000"/>
                <w:sz w:val="8"/>
                <w:szCs w:val="16"/>
                <w:lang w:eastAsia="es-MX"/>
              </w:rPr>
            </w:pPr>
            <w:r w:rsidRPr="00E7630F">
              <w:rPr>
                <w:rFonts w:ascii="Arial" w:eastAsia="Times New Roman" w:hAnsi="Arial" w:cs="Arial"/>
                <w:color w:val="000000"/>
                <w:sz w:val="8"/>
                <w:szCs w:val="16"/>
                <w:lang w:eastAsia="es-MX"/>
              </w:rPr>
              <w:t> </w:t>
            </w:r>
          </w:p>
        </w:tc>
        <w:tc>
          <w:tcPr>
            <w:tcW w:w="709" w:type="dxa"/>
            <w:tcBorders>
              <w:top w:val="nil"/>
              <w:left w:val="nil"/>
              <w:bottom w:val="single" w:sz="8" w:space="0" w:color="376091"/>
              <w:right w:val="single" w:sz="8" w:space="0" w:color="376091"/>
            </w:tcBorders>
            <w:shd w:val="clear" w:color="auto" w:fill="auto"/>
            <w:vAlign w:val="center"/>
            <w:hideMark/>
          </w:tcPr>
          <w:p w14:paraId="4D4702B4" w14:textId="77777777" w:rsidR="00831EED" w:rsidRPr="00E7630F" w:rsidRDefault="00831EED" w:rsidP="00831EED">
            <w:pPr>
              <w:spacing w:after="0" w:line="240" w:lineRule="auto"/>
              <w:jc w:val="center"/>
              <w:rPr>
                <w:rFonts w:ascii="Arial" w:eastAsia="Times New Roman" w:hAnsi="Arial" w:cs="Arial"/>
                <w:color w:val="000000"/>
                <w:sz w:val="8"/>
                <w:szCs w:val="16"/>
                <w:lang w:eastAsia="es-MX"/>
              </w:rPr>
            </w:pPr>
            <w:r w:rsidRPr="00E7630F">
              <w:rPr>
                <w:rFonts w:ascii="Arial" w:eastAsia="Times New Roman" w:hAnsi="Arial" w:cs="Arial"/>
                <w:color w:val="000000"/>
                <w:sz w:val="8"/>
                <w:szCs w:val="16"/>
                <w:lang w:eastAsia="es-MX"/>
              </w:rPr>
              <w:t> </w:t>
            </w:r>
          </w:p>
        </w:tc>
        <w:tc>
          <w:tcPr>
            <w:tcW w:w="850" w:type="dxa"/>
            <w:tcBorders>
              <w:top w:val="nil"/>
              <w:left w:val="nil"/>
              <w:bottom w:val="single" w:sz="8" w:space="0" w:color="376091"/>
              <w:right w:val="single" w:sz="8" w:space="0" w:color="376091"/>
            </w:tcBorders>
            <w:shd w:val="clear" w:color="auto" w:fill="auto"/>
            <w:vAlign w:val="center"/>
            <w:hideMark/>
          </w:tcPr>
          <w:p w14:paraId="383F8F07" w14:textId="77777777" w:rsidR="00831EED" w:rsidRPr="00E7630F" w:rsidRDefault="00831EED" w:rsidP="00831EED">
            <w:pPr>
              <w:spacing w:after="0" w:line="240" w:lineRule="auto"/>
              <w:jc w:val="center"/>
              <w:rPr>
                <w:rFonts w:ascii="Arial" w:eastAsia="Times New Roman" w:hAnsi="Arial" w:cs="Arial"/>
                <w:color w:val="000000"/>
                <w:sz w:val="8"/>
                <w:szCs w:val="16"/>
                <w:lang w:eastAsia="es-MX"/>
              </w:rPr>
            </w:pPr>
            <w:r w:rsidRPr="00E7630F">
              <w:rPr>
                <w:rFonts w:ascii="Arial" w:eastAsia="Times New Roman" w:hAnsi="Arial" w:cs="Arial"/>
                <w:color w:val="000000"/>
                <w:sz w:val="8"/>
                <w:szCs w:val="16"/>
                <w:lang w:eastAsia="es-MX"/>
              </w:rPr>
              <w:t> </w:t>
            </w:r>
          </w:p>
        </w:tc>
        <w:tc>
          <w:tcPr>
            <w:tcW w:w="709" w:type="dxa"/>
            <w:tcBorders>
              <w:top w:val="nil"/>
              <w:left w:val="nil"/>
              <w:bottom w:val="single" w:sz="8" w:space="0" w:color="376091"/>
              <w:right w:val="single" w:sz="8" w:space="0" w:color="376091"/>
            </w:tcBorders>
            <w:shd w:val="clear" w:color="auto" w:fill="auto"/>
            <w:vAlign w:val="center"/>
            <w:hideMark/>
          </w:tcPr>
          <w:p w14:paraId="795EDF00" w14:textId="77777777" w:rsidR="00831EED" w:rsidRPr="00E7630F" w:rsidRDefault="00831EED" w:rsidP="00831EED">
            <w:pPr>
              <w:spacing w:after="0" w:line="240" w:lineRule="auto"/>
              <w:jc w:val="center"/>
              <w:rPr>
                <w:rFonts w:ascii="Arial" w:eastAsia="Times New Roman" w:hAnsi="Arial" w:cs="Arial"/>
                <w:color w:val="000000"/>
                <w:sz w:val="8"/>
                <w:szCs w:val="16"/>
                <w:lang w:eastAsia="es-MX"/>
              </w:rPr>
            </w:pPr>
            <w:r w:rsidRPr="00E7630F">
              <w:rPr>
                <w:rFonts w:ascii="Arial" w:eastAsia="Times New Roman" w:hAnsi="Arial" w:cs="Arial"/>
                <w:color w:val="000000"/>
                <w:sz w:val="8"/>
                <w:szCs w:val="16"/>
                <w:lang w:eastAsia="es-MX"/>
              </w:rPr>
              <w:t> </w:t>
            </w:r>
          </w:p>
        </w:tc>
        <w:tc>
          <w:tcPr>
            <w:tcW w:w="709" w:type="dxa"/>
            <w:tcBorders>
              <w:top w:val="nil"/>
              <w:left w:val="nil"/>
              <w:bottom w:val="single" w:sz="8" w:space="0" w:color="376091"/>
              <w:right w:val="single" w:sz="8" w:space="0" w:color="376091"/>
            </w:tcBorders>
            <w:shd w:val="clear" w:color="auto" w:fill="auto"/>
            <w:vAlign w:val="center"/>
            <w:hideMark/>
          </w:tcPr>
          <w:p w14:paraId="479DEC93" w14:textId="77777777" w:rsidR="00831EED" w:rsidRPr="00E7630F" w:rsidRDefault="00831EED" w:rsidP="00831EED">
            <w:pPr>
              <w:spacing w:after="0" w:line="240" w:lineRule="auto"/>
              <w:jc w:val="center"/>
              <w:rPr>
                <w:rFonts w:ascii="Arial" w:eastAsia="Times New Roman" w:hAnsi="Arial" w:cs="Arial"/>
                <w:color w:val="000000"/>
                <w:sz w:val="8"/>
                <w:szCs w:val="16"/>
                <w:lang w:eastAsia="es-MX"/>
              </w:rPr>
            </w:pPr>
            <w:r w:rsidRPr="00E7630F">
              <w:rPr>
                <w:rFonts w:ascii="Arial" w:eastAsia="Times New Roman" w:hAnsi="Arial" w:cs="Arial"/>
                <w:color w:val="000000"/>
                <w:sz w:val="8"/>
                <w:szCs w:val="16"/>
                <w:lang w:eastAsia="es-MX"/>
              </w:rPr>
              <w:t> </w:t>
            </w:r>
          </w:p>
        </w:tc>
        <w:tc>
          <w:tcPr>
            <w:tcW w:w="850" w:type="dxa"/>
            <w:tcBorders>
              <w:top w:val="nil"/>
              <w:left w:val="nil"/>
              <w:bottom w:val="single" w:sz="8" w:space="0" w:color="376091"/>
              <w:right w:val="single" w:sz="8" w:space="0" w:color="376091"/>
            </w:tcBorders>
          </w:tcPr>
          <w:p w14:paraId="10899AB2" w14:textId="77777777" w:rsidR="00831EED" w:rsidRPr="00B77C92" w:rsidRDefault="00831EED" w:rsidP="00831EED">
            <w:pPr>
              <w:spacing w:after="0" w:line="240" w:lineRule="auto"/>
              <w:jc w:val="center"/>
              <w:rPr>
                <w:rFonts w:ascii="Arial" w:hAnsi="Arial" w:cs="Arial"/>
                <w:bCs/>
                <w:color w:val="000000"/>
                <w:sz w:val="16"/>
                <w:szCs w:val="16"/>
              </w:rPr>
            </w:pPr>
          </w:p>
        </w:tc>
      </w:tr>
    </w:tbl>
    <w:p w14:paraId="65270D19" w14:textId="77777777" w:rsidR="00E7630F" w:rsidRPr="00314301" w:rsidRDefault="00E7630F" w:rsidP="009749DA">
      <w:pPr>
        <w:pStyle w:val="n0"/>
        <w:keepLines w:val="0"/>
        <w:tabs>
          <w:tab w:val="left" w:pos="-284"/>
          <w:tab w:val="left" w:pos="1350"/>
          <w:tab w:val="left" w:pos="2190"/>
          <w:tab w:val="left" w:pos="3752"/>
          <w:tab w:val="left" w:pos="8647"/>
        </w:tabs>
        <w:spacing w:before="0"/>
        <w:ind w:left="-567" w:right="191" w:hanging="284"/>
        <w:jc w:val="left"/>
        <w:rPr>
          <w:color w:val="auto"/>
          <w:sz w:val="12"/>
          <w:szCs w:val="12"/>
        </w:rPr>
      </w:pPr>
      <w:r w:rsidRPr="0095099D">
        <w:rPr>
          <w:color w:val="auto"/>
          <w:sz w:val="16"/>
          <w:szCs w:val="18"/>
          <w:vertAlign w:val="superscript"/>
        </w:rPr>
        <w:t>1/</w:t>
      </w:r>
      <w:r w:rsidRPr="0095099D">
        <w:rPr>
          <w:color w:val="auto"/>
          <w:sz w:val="16"/>
          <w:szCs w:val="18"/>
          <w:vertAlign w:val="superscript"/>
        </w:rPr>
        <w:tab/>
      </w:r>
      <w:r w:rsidRPr="00314301">
        <w:rPr>
          <w:color w:val="000000" w:themeColor="text1"/>
          <w:sz w:val="12"/>
          <w:szCs w:val="12"/>
        </w:rPr>
        <w:t>Población Económicamente Activa como porcentaje de la población de 15 años y más</w:t>
      </w:r>
      <w:r w:rsidRPr="00314301">
        <w:rPr>
          <w:color w:val="auto"/>
          <w:sz w:val="12"/>
          <w:szCs w:val="12"/>
        </w:rPr>
        <w:t>.</w:t>
      </w:r>
    </w:p>
    <w:p w14:paraId="262E5286" w14:textId="77777777" w:rsidR="00E7630F" w:rsidRPr="00314301" w:rsidRDefault="00E7630F" w:rsidP="009749DA">
      <w:pPr>
        <w:pStyle w:val="n0"/>
        <w:keepLines w:val="0"/>
        <w:tabs>
          <w:tab w:val="left" w:pos="-284"/>
          <w:tab w:val="left" w:pos="1350"/>
          <w:tab w:val="left" w:pos="2190"/>
          <w:tab w:val="left" w:pos="3752"/>
          <w:tab w:val="left" w:pos="8647"/>
        </w:tabs>
        <w:spacing w:before="0"/>
        <w:ind w:left="-567" w:right="191" w:hanging="284"/>
        <w:jc w:val="left"/>
        <w:rPr>
          <w:color w:val="auto"/>
          <w:sz w:val="12"/>
          <w:szCs w:val="12"/>
        </w:rPr>
      </w:pPr>
      <w:r w:rsidRPr="00314301">
        <w:rPr>
          <w:color w:val="auto"/>
          <w:sz w:val="12"/>
          <w:szCs w:val="12"/>
          <w:vertAlign w:val="superscript"/>
        </w:rPr>
        <w:t>2/</w:t>
      </w:r>
      <w:r w:rsidRPr="00314301">
        <w:rPr>
          <w:color w:val="auto"/>
          <w:sz w:val="12"/>
          <w:szCs w:val="12"/>
          <w:vertAlign w:val="superscript"/>
        </w:rPr>
        <w:tab/>
      </w:r>
      <w:r w:rsidRPr="00314301">
        <w:rPr>
          <w:color w:val="000000" w:themeColor="text1"/>
          <w:sz w:val="12"/>
          <w:szCs w:val="12"/>
        </w:rPr>
        <w:t>Porcentaje respecto a la Población Económicamente Activa</w:t>
      </w:r>
      <w:r w:rsidRPr="00314301">
        <w:rPr>
          <w:color w:val="auto"/>
          <w:sz w:val="12"/>
          <w:szCs w:val="12"/>
        </w:rPr>
        <w:t>.</w:t>
      </w:r>
    </w:p>
    <w:p w14:paraId="5A209B5F" w14:textId="77777777" w:rsidR="00E7630F" w:rsidRPr="00314301" w:rsidRDefault="00E7630F" w:rsidP="009749DA">
      <w:pPr>
        <w:pStyle w:val="n0"/>
        <w:keepLines w:val="0"/>
        <w:tabs>
          <w:tab w:val="left" w:pos="-284"/>
          <w:tab w:val="left" w:pos="1350"/>
          <w:tab w:val="left" w:pos="2190"/>
          <w:tab w:val="left" w:pos="3752"/>
          <w:tab w:val="left" w:pos="8647"/>
        </w:tabs>
        <w:spacing w:before="0"/>
        <w:ind w:left="-567" w:right="191" w:hanging="284"/>
        <w:rPr>
          <w:color w:val="auto"/>
          <w:sz w:val="12"/>
          <w:szCs w:val="12"/>
        </w:rPr>
      </w:pPr>
      <w:r w:rsidRPr="00314301">
        <w:rPr>
          <w:color w:val="auto"/>
          <w:sz w:val="12"/>
          <w:szCs w:val="12"/>
          <w:vertAlign w:val="superscript"/>
        </w:rPr>
        <w:t>3/</w:t>
      </w:r>
      <w:r w:rsidRPr="00314301">
        <w:rPr>
          <w:color w:val="auto"/>
          <w:sz w:val="12"/>
          <w:szCs w:val="12"/>
          <w:vertAlign w:val="superscript"/>
        </w:rPr>
        <w:tab/>
      </w:r>
      <w:r w:rsidRPr="00314301">
        <w:rPr>
          <w:color w:val="000000" w:themeColor="text1"/>
          <w:sz w:val="12"/>
          <w:szCs w:val="12"/>
        </w:rPr>
        <w:t>Porcentaje respecto a la Población Ocupada</w:t>
      </w:r>
      <w:r w:rsidRPr="00314301">
        <w:rPr>
          <w:color w:val="auto"/>
          <w:sz w:val="12"/>
          <w:szCs w:val="12"/>
        </w:rPr>
        <w:t>. Por construcción, los indicadores de la Encuesta Nacional de Ocupación y Empleo (ENOE) y los de la ENOE</w:t>
      </w:r>
      <w:r w:rsidRPr="00314301">
        <w:rPr>
          <w:color w:val="auto"/>
          <w:sz w:val="12"/>
          <w:szCs w:val="12"/>
          <w:vertAlign w:val="superscript"/>
        </w:rPr>
        <w:t>N</w:t>
      </w:r>
      <w:r w:rsidRPr="00314301">
        <w:rPr>
          <w:color w:val="auto"/>
          <w:sz w:val="12"/>
          <w:szCs w:val="12"/>
        </w:rPr>
        <w:t xml:space="preserve"> que involucran a la población ocupada u otra variable clasificada en rangos de salarios mínimos son sensibles a los cambios en dichos salarios.</w:t>
      </w:r>
    </w:p>
    <w:p w14:paraId="2FF56A4C" w14:textId="77777777" w:rsidR="00E04FB8" w:rsidRPr="00314301" w:rsidRDefault="00E04FB8" w:rsidP="00E04FB8">
      <w:pPr>
        <w:pStyle w:val="n0"/>
        <w:keepLines w:val="0"/>
        <w:tabs>
          <w:tab w:val="left" w:pos="-284"/>
          <w:tab w:val="left" w:pos="1350"/>
          <w:tab w:val="left" w:pos="2190"/>
          <w:tab w:val="left" w:pos="3752"/>
          <w:tab w:val="left" w:pos="8647"/>
        </w:tabs>
        <w:spacing w:before="0"/>
        <w:ind w:left="-567" w:right="191" w:hanging="284"/>
        <w:rPr>
          <w:color w:val="auto"/>
          <w:sz w:val="12"/>
          <w:szCs w:val="12"/>
        </w:rPr>
      </w:pPr>
      <w:r w:rsidRPr="00314301">
        <w:rPr>
          <w:color w:val="auto"/>
          <w:sz w:val="12"/>
          <w:szCs w:val="12"/>
          <w:vertAlign w:val="superscript"/>
        </w:rPr>
        <w:t>4/</w:t>
      </w:r>
      <w:r w:rsidRPr="00314301">
        <w:rPr>
          <w:color w:val="auto"/>
          <w:sz w:val="12"/>
          <w:szCs w:val="12"/>
          <w:vertAlign w:val="superscript"/>
        </w:rPr>
        <w:tab/>
      </w:r>
      <w:r w:rsidRPr="00314301">
        <w:rPr>
          <w:color w:val="000000" w:themeColor="text1"/>
          <w:sz w:val="12"/>
          <w:szCs w:val="12"/>
        </w:rPr>
        <w:t xml:space="preserve">Porcentaje de la fuerza de trabajo </w:t>
      </w:r>
      <w:r w:rsidRPr="00314301">
        <w:rPr>
          <w:color w:val="auto"/>
          <w:sz w:val="12"/>
          <w:szCs w:val="12"/>
        </w:rPr>
        <w:t xml:space="preserve">ampliada (población económicamente activa más población no económicamente activa disponible para trabajar) que representan los desocupados, </w:t>
      </w:r>
      <w:proofErr w:type="spellStart"/>
      <w:r w:rsidRPr="00314301">
        <w:rPr>
          <w:color w:val="auto"/>
          <w:sz w:val="12"/>
          <w:szCs w:val="12"/>
        </w:rPr>
        <w:t>subocupados</w:t>
      </w:r>
      <w:proofErr w:type="spellEnd"/>
      <w:r w:rsidRPr="00314301">
        <w:rPr>
          <w:color w:val="auto"/>
          <w:sz w:val="12"/>
          <w:szCs w:val="12"/>
        </w:rPr>
        <w:t xml:space="preserve"> y no económicamente activos disponibles para trabajar.</w:t>
      </w:r>
    </w:p>
    <w:p w14:paraId="74FBB6D4" w14:textId="64F3FB9D" w:rsidR="00E7630F" w:rsidRPr="00314301" w:rsidRDefault="00E7630F" w:rsidP="009749DA">
      <w:pPr>
        <w:tabs>
          <w:tab w:val="left" w:pos="-284"/>
          <w:tab w:val="left" w:pos="851"/>
          <w:tab w:val="left" w:pos="8647"/>
        </w:tabs>
        <w:spacing w:after="0" w:line="240" w:lineRule="auto"/>
        <w:ind w:left="-567" w:right="333" w:hanging="284"/>
        <w:rPr>
          <w:rFonts w:ascii="Arial" w:hAnsi="Arial" w:cs="Arial"/>
          <w:noProof/>
          <w:sz w:val="12"/>
          <w:szCs w:val="12"/>
          <w:lang w:val="es-ES" w:eastAsia="es-ES"/>
        </w:rPr>
      </w:pPr>
      <w:r w:rsidRPr="00314301">
        <w:rPr>
          <w:rFonts w:ascii="Arial" w:hAnsi="Arial" w:cs="Arial"/>
          <w:noProof/>
          <w:sz w:val="12"/>
          <w:szCs w:val="12"/>
          <w:lang w:val="es-ES" w:eastAsia="es-ES"/>
        </w:rPr>
        <w:t>Fuente:</w:t>
      </w:r>
      <w:r w:rsidRPr="00314301">
        <w:rPr>
          <w:rFonts w:ascii="Arial" w:hAnsi="Arial" w:cs="Arial"/>
          <w:noProof/>
          <w:sz w:val="12"/>
          <w:szCs w:val="12"/>
          <w:lang w:val="es-ES" w:eastAsia="es-ES"/>
        </w:rPr>
        <w:tab/>
        <w:t xml:space="preserve">INEGI. Encuesta Nacional de Ocupación y Empleo. Nueva Edición, </w:t>
      </w:r>
      <w:r w:rsidR="00177B20" w:rsidRPr="00314301">
        <w:rPr>
          <w:rFonts w:ascii="Arial" w:hAnsi="Arial" w:cs="Arial"/>
          <w:noProof/>
          <w:sz w:val="12"/>
          <w:szCs w:val="12"/>
          <w:lang w:val="es-ES" w:eastAsia="es-ES"/>
        </w:rPr>
        <w:t>primer</w:t>
      </w:r>
      <w:r w:rsidRPr="00314301">
        <w:rPr>
          <w:rFonts w:ascii="Arial" w:hAnsi="Arial" w:cs="Arial"/>
          <w:noProof/>
          <w:sz w:val="12"/>
          <w:szCs w:val="12"/>
          <w:lang w:val="es-ES" w:eastAsia="es-ES"/>
        </w:rPr>
        <w:t xml:space="preserve"> trimestre de </w:t>
      </w:r>
      <w:r w:rsidR="00177B20" w:rsidRPr="00314301">
        <w:rPr>
          <w:rFonts w:ascii="Arial" w:hAnsi="Arial" w:cs="Arial"/>
          <w:noProof/>
          <w:sz w:val="12"/>
          <w:szCs w:val="12"/>
          <w:lang w:val="es-ES" w:eastAsia="es-ES"/>
        </w:rPr>
        <w:t>2021</w:t>
      </w:r>
      <w:r w:rsidRPr="00314301">
        <w:rPr>
          <w:rFonts w:ascii="Arial" w:hAnsi="Arial" w:cs="Arial"/>
          <w:noProof/>
          <w:sz w:val="12"/>
          <w:szCs w:val="12"/>
          <w:lang w:val="es-ES" w:eastAsia="es-ES"/>
        </w:rPr>
        <w:t>.</w:t>
      </w:r>
    </w:p>
    <w:p w14:paraId="7E500BBF" w14:textId="45A0F4CB" w:rsidR="00C66AEC" w:rsidRDefault="00C66AEC" w:rsidP="009749DA">
      <w:pPr>
        <w:pStyle w:val="Ttulo"/>
        <w:jc w:val="both"/>
        <w:rPr>
          <w:rFonts w:cs="Arial"/>
          <w:b w:val="0"/>
          <w:bCs/>
          <w:spacing w:val="10"/>
          <w:sz w:val="22"/>
          <w:szCs w:val="22"/>
          <w:lang w:val="es-ES_tradnl"/>
        </w:rPr>
      </w:pPr>
    </w:p>
    <w:p w14:paraId="0AF03A6C" w14:textId="4895CC41" w:rsidR="00007115" w:rsidRDefault="00007115" w:rsidP="00007115">
      <w:pPr>
        <w:pStyle w:val="n0"/>
        <w:keepLines w:val="0"/>
        <w:spacing w:before="0"/>
        <w:ind w:left="0" w:right="49" w:firstLine="0"/>
        <w:rPr>
          <w:b/>
          <w:smallCaps/>
          <w:color w:val="auto"/>
          <w:sz w:val="22"/>
          <w:szCs w:val="22"/>
        </w:rPr>
      </w:pPr>
      <w:r>
        <w:rPr>
          <w:b/>
          <w:smallCaps/>
          <w:color w:val="auto"/>
          <w:sz w:val="22"/>
          <w:szCs w:val="22"/>
        </w:rPr>
        <w:t>Nota al usuario</w:t>
      </w:r>
      <w:r w:rsidR="00735049">
        <w:rPr>
          <w:rStyle w:val="Refdenotaalpie"/>
          <w:b/>
          <w:smallCaps/>
          <w:color w:val="auto"/>
          <w:sz w:val="22"/>
          <w:szCs w:val="22"/>
        </w:rPr>
        <w:footnoteReference w:id="6"/>
      </w:r>
    </w:p>
    <w:p w14:paraId="5FDF972B" w14:textId="77777777" w:rsidR="007E62CA" w:rsidRPr="00A75CAE" w:rsidRDefault="007E62CA" w:rsidP="00A75CAE">
      <w:pPr>
        <w:pStyle w:val="Subttulo"/>
        <w:ind w:right="49"/>
        <w:jc w:val="both"/>
        <w:rPr>
          <w:b w:val="0"/>
          <w:spacing w:val="10"/>
          <w:sz w:val="22"/>
          <w:szCs w:val="22"/>
        </w:rPr>
      </w:pPr>
    </w:p>
    <w:p w14:paraId="02E57124" w14:textId="21259E12" w:rsidR="00735049" w:rsidRDefault="00735049" w:rsidP="00735049">
      <w:pPr>
        <w:pStyle w:val="Subttulo"/>
        <w:ind w:right="49"/>
        <w:jc w:val="both"/>
        <w:rPr>
          <w:b w:val="0"/>
          <w:spacing w:val="10"/>
          <w:sz w:val="22"/>
          <w:szCs w:val="22"/>
        </w:rPr>
      </w:pPr>
      <w:r w:rsidRPr="00735049">
        <w:rPr>
          <w:b w:val="0"/>
          <w:spacing w:val="10"/>
          <w:sz w:val="22"/>
          <w:szCs w:val="22"/>
        </w:rPr>
        <w:t>Los datos absolutos de la población para las encuestas en hogares se ajustan invariablemente a estimaciones de población, no sólo con la finalidad de tener un referente poblacional en períodos intercensales, sino también para eliminar las fluctuaciones en los datos estimados que son inherentes a los esquemas de muestreo probabilístico de estas encuestas, lo que facilita las comparaciones en el tiempo.</w:t>
      </w:r>
    </w:p>
    <w:p w14:paraId="3B2DD143" w14:textId="77777777" w:rsidR="00735049" w:rsidRPr="00735049" w:rsidRDefault="00735049" w:rsidP="00735049">
      <w:pPr>
        <w:pStyle w:val="Subttulo"/>
        <w:ind w:right="49"/>
        <w:jc w:val="both"/>
        <w:rPr>
          <w:b w:val="0"/>
          <w:spacing w:val="10"/>
          <w:sz w:val="22"/>
          <w:szCs w:val="22"/>
        </w:rPr>
      </w:pPr>
    </w:p>
    <w:p w14:paraId="37322AE0" w14:textId="7ECFBF72" w:rsidR="00735049" w:rsidRDefault="00735049" w:rsidP="00735049">
      <w:pPr>
        <w:pStyle w:val="Subttulo"/>
        <w:ind w:right="49"/>
        <w:jc w:val="both"/>
        <w:rPr>
          <w:b w:val="0"/>
          <w:spacing w:val="10"/>
          <w:sz w:val="22"/>
          <w:szCs w:val="22"/>
        </w:rPr>
      </w:pPr>
      <w:r w:rsidRPr="00735049">
        <w:rPr>
          <w:b w:val="0"/>
          <w:spacing w:val="10"/>
          <w:sz w:val="22"/>
          <w:szCs w:val="22"/>
        </w:rPr>
        <w:t>Derivado de la publicación de resultados del Censo de Población y Vivienda (CPV) 2020, cuya información es de uso obligatorio para las Unidades del Estado incluido el INEGI, de conformidad con lo dispuesto por los artículos 6, 59 y 78 de la Ley del Sistema Nacional de Información Estadística y Geográfica (LSNIEG), el INEGI se encuentra en proceso de actualizar la estimación de población que se toma como referencia en las encuestas en hogares, ya que las proyecciones que se habían venido utilizando</w:t>
      </w:r>
      <w:r>
        <w:rPr>
          <w:rStyle w:val="Refdenotaalpie"/>
          <w:b w:val="0"/>
          <w:spacing w:val="10"/>
          <w:sz w:val="22"/>
          <w:szCs w:val="22"/>
        </w:rPr>
        <w:footnoteReference w:id="7"/>
      </w:r>
      <w:r w:rsidRPr="00735049">
        <w:rPr>
          <w:b w:val="0"/>
          <w:spacing w:val="10"/>
          <w:sz w:val="22"/>
          <w:szCs w:val="22"/>
        </w:rPr>
        <w:t xml:space="preserve"> han dejado de tener vigencia.</w:t>
      </w:r>
    </w:p>
    <w:p w14:paraId="0EA5A45D" w14:textId="77777777" w:rsidR="00735049" w:rsidRPr="00735049" w:rsidRDefault="00735049" w:rsidP="00735049">
      <w:pPr>
        <w:pStyle w:val="Subttulo"/>
        <w:ind w:right="49"/>
        <w:jc w:val="both"/>
        <w:rPr>
          <w:b w:val="0"/>
          <w:spacing w:val="10"/>
          <w:sz w:val="22"/>
          <w:szCs w:val="22"/>
        </w:rPr>
      </w:pPr>
    </w:p>
    <w:p w14:paraId="1AA3A115" w14:textId="039F45E0" w:rsidR="00735049" w:rsidRDefault="00735049" w:rsidP="00735049">
      <w:pPr>
        <w:pStyle w:val="Subttulo"/>
        <w:ind w:right="49"/>
        <w:jc w:val="both"/>
        <w:rPr>
          <w:b w:val="0"/>
          <w:spacing w:val="10"/>
          <w:sz w:val="22"/>
          <w:szCs w:val="22"/>
        </w:rPr>
      </w:pPr>
      <w:r w:rsidRPr="00735049">
        <w:rPr>
          <w:b w:val="0"/>
          <w:spacing w:val="10"/>
          <w:sz w:val="22"/>
          <w:szCs w:val="22"/>
        </w:rPr>
        <w:t>De manera trimestral, el INEGI estará generando una estimación de población por entidad federativa, con base en la propia actualización del Marco de Muestreo de Viviendas del INEGI y de la información del CPV 2020, a través de una muestra aleatoria de viviendas que serán visitadas y contadas en cuanto a número de personas. Bajo esta metodología, en cada trimestre se tendrá una estimación oportuna de los volúmenes de la población en México y su crecimiento paulatino entre eventos censales o intercensales.</w:t>
      </w:r>
    </w:p>
    <w:p w14:paraId="10485DCC" w14:textId="77777777" w:rsidR="00735049" w:rsidRPr="00735049" w:rsidRDefault="00735049" w:rsidP="00735049">
      <w:pPr>
        <w:pStyle w:val="Subttulo"/>
        <w:ind w:right="49"/>
        <w:jc w:val="both"/>
        <w:rPr>
          <w:b w:val="0"/>
          <w:spacing w:val="10"/>
          <w:sz w:val="22"/>
          <w:szCs w:val="22"/>
        </w:rPr>
      </w:pPr>
    </w:p>
    <w:p w14:paraId="23A11E2C" w14:textId="71253C78" w:rsidR="00A75CAE" w:rsidRDefault="00735049" w:rsidP="00735049">
      <w:pPr>
        <w:pStyle w:val="Subttulo"/>
        <w:ind w:right="49"/>
        <w:jc w:val="both"/>
        <w:rPr>
          <w:b w:val="0"/>
          <w:spacing w:val="10"/>
          <w:sz w:val="22"/>
          <w:szCs w:val="22"/>
        </w:rPr>
      </w:pPr>
      <w:r w:rsidRPr="00735049">
        <w:rPr>
          <w:b w:val="0"/>
          <w:spacing w:val="10"/>
          <w:sz w:val="22"/>
          <w:szCs w:val="22"/>
        </w:rPr>
        <w:t xml:space="preserve">Por las razones antes mencionadas, </w:t>
      </w:r>
      <w:r w:rsidRPr="000B6C6A">
        <w:rPr>
          <w:spacing w:val="10"/>
          <w:sz w:val="22"/>
          <w:szCs w:val="22"/>
        </w:rPr>
        <w:t>se informa</w:t>
      </w:r>
      <w:r w:rsidRPr="000B6C6A">
        <w:rPr>
          <w:rStyle w:val="Refdenotaalpie"/>
          <w:spacing w:val="10"/>
          <w:sz w:val="22"/>
          <w:szCs w:val="22"/>
        </w:rPr>
        <w:footnoteReference w:id="8"/>
      </w:r>
      <w:r w:rsidRPr="000B6C6A">
        <w:rPr>
          <w:spacing w:val="10"/>
          <w:sz w:val="22"/>
          <w:szCs w:val="22"/>
        </w:rPr>
        <w:t xml:space="preserve"> a los usuarios que a partir de la publicación del primer trimestre de la ENOE</w:t>
      </w:r>
      <w:r w:rsidRPr="000B6C6A">
        <w:rPr>
          <w:spacing w:val="10"/>
          <w:sz w:val="22"/>
          <w:szCs w:val="22"/>
          <w:vertAlign w:val="superscript"/>
        </w:rPr>
        <w:t>N</w:t>
      </w:r>
      <w:r w:rsidRPr="000B6C6A">
        <w:rPr>
          <w:spacing w:val="10"/>
          <w:sz w:val="22"/>
          <w:szCs w:val="22"/>
        </w:rPr>
        <w:t>, el 17 de mayo de 2021, los factores de expansión responderán a la nueva estimación de población</w:t>
      </w:r>
      <w:r w:rsidRPr="00735049">
        <w:rPr>
          <w:b w:val="0"/>
          <w:spacing w:val="10"/>
          <w:sz w:val="22"/>
          <w:szCs w:val="22"/>
        </w:rPr>
        <w:t>, en lugar de las cifras de las proyecciones poblacionales que se venían utilizando desde 2013.</w:t>
      </w:r>
    </w:p>
    <w:p w14:paraId="3C8DC3C0" w14:textId="259B75D7" w:rsidR="00052559" w:rsidRDefault="00052559" w:rsidP="00735049">
      <w:pPr>
        <w:pStyle w:val="Subttulo"/>
        <w:ind w:right="49"/>
        <w:jc w:val="both"/>
        <w:rPr>
          <w:b w:val="0"/>
          <w:spacing w:val="10"/>
          <w:sz w:val="22"/>
          <w:szCs w:val="22"/>
        </w:rPr>
      </w:pPr>
    </w:p>
    <w:p w14:paraId="7A38EB84" w14:textId="377F5643" w:rsidR="00052559" w:rsidRDefault="00052559" w:rsidP="00052559">
      <w:pPr>
        <w:pStyle w:val="Subttulo"/>
        <w:ind w:right="49"/>
        <w:jc w:val="both"/>
        <w:rPr>
          <w:b w:val="0"/>
          <w:spacing w:val="10"/>
          <w:sz w:val="22"/>
          <w:szCs w:val="22"/>
        </w:rPr>
      </w:pPr>
      <w:r>
        <w:rPr>
          <w:b w:val="0"/>
          <w:spacing w:val="10"/>
          <w:sz w:val="22"/>
          <w:szCs w:val="22"/>
        </w:rPr>
        <w:t>E</w:t>
      </w:r>
      <w:r w:rsidRPr="00052559">
        <w:rPr>
          <w:b w:val="0"/>
          <w:spacing w:val="10"/>
          <w:sz w:val="22"/>
          <w:szCs w:val="22"/>
        </w:rPr>
        <w:t xml:space="preserve">n cuanto al boletín de prensa y nota técnica, se presentan tanto valores absolutos como relativos del periodo en cuestión y para efectos de comparación, se </w:t>
      </w:r>
      <w:r>
        <w:rPr>
          <w:b w:val="0"/>
          <w:spacing w:val="10"/>
          <w:sz w:val="22"/>
          <w:szCs w:val="22"/>
        </w:rPr>
        <w:t xml:space="preserve">muestra información del </w:t>
      </w:r>
      <w:r w:rsidRPr="00052559">
        <w:rPr>
          <w:b w:val="0"/>
          <w:spacing w:val="10"/>
          <w:sz w:val="22"/>
          <w:szCs w:val="22"/>
        </w:rPr>
        <w:t xml:space="preserve">primer trimestre 2020, el cual también </w:t>
      </w:r>
      <w:r>
        <w:rPr>
          <w:b w:val="0"/>
          <w:spacing w:val="10"/>
          <w:sz w:val="22"/>
          <w:szCs w:val="22"/>
        </w:rPr>
        <w:t>es</w:t>
      </w:r>
      <w:r w:rsidRPr="00052559">
        <w:rPr>
          <w:b w:val="0"/>
          <w:spacing w:val="10"/>
          <w:sz w:val="22"/>
          <w:szCs w:val="22"/>
        </w:rPr>
        <w:t xml:space="preserve"> ajustado con la nueva estimación</w:t>
      </w:r>
      <w:r>
        <w:rPr>
          <w:rStyle w:val="Refdenotaalpie"/>
          <w:b w:val="0"/>
          <w:spacing w:val="10"/>
          <w:sz w:val="22"/>
          <w:szCs w:val="22"/>
        </w:rPr>
        <w:footnoteReference w:id="9"/>
      </w:r>
      <w:r w:rsidRPr="00052559">
        <w:rPr>
          <w:b w:val="0"/>
          <w:spacing w:val="10"/>
          <w:sz w:val="22"/>
          <w:szCs w:val="22"/>
        </w:rPr>
        <w:t xml:space="preserve"> de población para hacer que el análisis se realice bajo una misma tendencia. </w:t>
      </w:r>
      <w:r w:rsidR="0031554B">
        <w:rPr>
          <w:b w:val="0"/>
          <w:color w:val="000000" w:themeColor="text1"/>
          <w:spacing w:val="10"/>
          <w:sz w:val="22"/>
          <w:szCs w:val="22"/>
        </w:rPr>
        <w:t xml:space="preserve">Las comparaciones del </w:t>
      </w:r>
      <w:r w:rsidR="0031554B" w:rsidRPr="0031554B">
        <w:rPr>
          <w:color w:val="000000" w:themeColor="text1"/>
          <w:spacing w:val="10"/>
          <w:sz w:val="22"/>
          <w:szCs w:val="22"/>
        </w:rPr>
        <w:t>primer trimestre de 2021 con el resto de los trimestres de 2020</w:t>
      </w:r>
      <w:r w:rsidR="003378FB">
        <w:rPr>
          <w:color w:val="000000" w:themeColor="text1"/>
          <w:spacing w:val="10"/>
          <w:sz w:val="22"/>
          <w:szCs w:val="22"/>
        </w:rPr>
        <w:t xml:space="preserve"> </w:t>
      </w:r>
      <w:r w:rsidR="0031554B">
        <w:rPr>
          <w:b w:val="0"/>
          <w:color w:val="000000" w:themeColor="text1"/>
          <w:spacing w:val="10"/>
          <w:sz w:val="22"/>
          <w:szCs w:val="22"/>
        </w:rPr>
        <w:t>se podrán realizar a partir del 19 de agosto de 2021, de acuerdo a la estrategia que se presenta más adelante, en el apartado de “Reprocesamiento de la información”.</w:t>
      </w:r>
    </w:p>
    <w:p w14:paraId="22BD5069" w14:textId="77777777" w:rsidR="00052559" w:rsidRDefault="00052559" w:rsidP="00052559">
      <w:pPr>
        <w:pStyle w:val="Subttulo"/>
        <w:ind w:right="49"/>
        <w:jc w:val="both"/>
        <w:rPr>
          <w:b w:val="0"/>
          <w:spacing w:val="10"/>
          <w:sz w:val="22"/>
          <w:szCs w:val="22"/>
        </w:rPr>
      </w:pPr>
    </w:p>
    <w:p w14:paraId="74B0104D" w14:textId="53C2804B" w:rsidR="00052559" w:rsidRDefault="00052559" w:rsidP="00052559">
      <w:pPr>
        <w:pStyle w:val="Subttulo"/>
        <w:ind w:right="49"/>
        <w:jc w:val="both"/>
        <w:rPr>
          <w:b w:val="0"/>
          <w:spacing w:val="10"/>
          <w:sz w:val="22"/>
          <w:szCs w:val="22"/>
        </w:rPr>
      </w:pPr>
      <w:r w:rsidRPr="00052559">
        <w:rPr>
          <w:b w:val="0"/>
          <w:spacing w:val="10"/>
          <w:sz w:val="22"/>
          <w:szCs w:val="22"/>
        </w:rPr>
        <w:t xml:space="preserve">La publicación contempla poner a disposición de los usuarios la tradicional base de datos, la cual contendrá al nuevo factor de expansión con la cifra actualizada de población. </w:t>
      </w:r>
    </w:p>
    <w:p w14:paraId="67C0A744" w14:textId="77777777" w:rsidR="00052559" w:rsidRPr="00052559" w:rsidRDefault="00052559" w:rsidP="00052559">
      <w:pPr>
        <w:pStyle w:val="Subttulo"/>
        <w:ind w:right="49"/>
        <w:jc w:val="both"/>
        <w:rPr>
          <w:b w:val="0"/>
          <w:spacing w:val="10"/>
          <w:sz w:val="22"/>
          <w:szCs w:val="22"/>
        </w:rPr>
      </w:pPr>
    </w:p>
    <w:p w14:paraId="216E42CD" w14:textId="64DDDCBA" w:rsidR="00052559" w:rsidRDefault="00052559" w:rsidP="00052559">
      <w:pPr>
        <w:pStyle w:val="Subttulo"/>
        <w:ind w:right="49"/>
        <w:jc w:val="both"/>
        <w:rPr>
          <w:b w:val="0"/>
          <w:spacing w:val="10"/>
          <w:sz w:val="22"/>
          <w:szCs w:val="22"/>
        </w:rPr>
      </w:pPr>
      <w:r w:rsidRPr="00052559">
        <w:rPr>
          <w:b w:val="0"/>
          <w:spacing w:val="10"/>
          <w:sz w:val="22"/>
          <w:szCs w:val="22"/>
        </w:rPr>
        <w:lastRenderedPageBreak/>
        <w:t xml:space="preserve">Para los productos que manejan series históricas de información, como son el Banco de Información Económica (BIE), se añadirán los indicadores a partir del primer trimestre de 2021 con la nueva estimación de población. Para claridad de los usuarios, serán incorporados avisos que permitan identificar específicamente aquellos periodos con la nueva estimación. </w:t>
      </w:r>
    </w:p>
    <w:p w14:paraId="2E69C388" w14:textId="77777777" w:rsidR="00052559" w:rsidRPr="00052559" w:rsidRDefault="00052559" w:rsidP="00052559">
      <w:pPr>
        <w:pStyle w:val="Subttulo"/>
        <w:ind w:right="49"/>
        <w:jc w:val="both"/>
        <w:rPr>
          <w:b w:val="0"/>
          <w:spacing w:val="10"/>
          <w:sz w:val="22"/>
          <w:szCs w:val="22"/>
        </w:rPr>
      </w:pPr>
    </w:p>
    <w:p w14:paraId="1E056A72" w14:textId="05B891E9" w:rsidR="00052559" w:rsidRDefault="00052559" w:rsidP="00052559">
      <w:pPr>
        <w:pStyle w:val="Subttulo"/>
        <w:ind w:right="49"/>
        <w:jc w:val="both"/>
        <w:rPr>
          <w:b w:val="0"/>
          <w:spacing w:val="10"/>
          <w:sz w:val="22"/>
          <w:szCs w:val="22"/>
        </w:rPr>
      </w:pPr>
      <w:r w:rsidRPr="00052559">
        <w:rPr>
          <w:bCs w:val="0"/>
          <w:smallCaps/>
          <w:sz w:val="22"/>
          <w:szCs w:val="22"/>
        </w:rPr>
        <w:t>Reprocesamiento de la información</w:t>
      </w:r>
      <w:r w:rsidRPr="00052559">
        <w:rPr>
          <w:b w:val="0"/>
          <w:spacing w:val="10"/>
          <w:sz w:val="22"/>
          <w:szCs w:val="22"/>
        </w:rPr>
        <w:t xml:space="preserve"> </w:t>
      </w:r>
    </w:p>
    <w:p w14:paraId="14C241E8" w14:textId="77777777" w:rsidR="00441450" w:rsidRPr="00052559" w:rsidRDefault="00441450" w:rsidP="00052559">
      <w:pPr>
        <w:pStyle w:val="Subttulo"/>
        <w:ind w:right="49"/>
        <w:jc w:val="both"/>
        <w:rPr>
          <w:b w:val="0"/>
          <w:spacing w:val="10"/>
          <w:sz w:val="22"/>
          <w:szCs w:val="22"/>
        </w:rPr>
      </w:pPr>
    </w:p>
    <w:p w14:paraId="50D16530" w14:textId="2B1D1D9C" w:rsidR="00052559" w:rsidRDefault="00052559" w:rsidP="00052559">
      <w:pPr>
        <w:pStyle w:val="Subttulo"/>
        <w:ind w:right="49"/>
        <w:jc w:val="both"/>
        <w:rPr>
          <w:b w:val="0"/>
          <w:spacing w:val="10"/>
          <w:sz w:val="22"/>
          <w:szCs w:val="22"/>
        </w:rPr>
      </w:pPr>
      <w:r w:rsidRPr="00052559">
        <w:rPr>
          <w:b w:val="0"/>
          <w:spacing w:val="10"/>
          <w:sz w:val="22"/>
          <w:szCs w:val="22"/>
        </w:rPr>
        <w:t xml:space="preserve">Los cambios en los volúmenes de población de una encuesta implican </w:t>
      </w:r>
      <w:proofErr w:type="gramStart"/>
      <w:r w:rsidRPr="00052559">
        <w:rPr>
          <w:b w:val="0"/>
          <w:spacing w:val="10"/>
          <w:sz w:val="22"/>
          <w:szCs w:val="22"/>
        </w:rPr>
        <w:t>un reprocesamiento</w:t>
      </w:r>
      <w:proofErr w:type="gramEnd"/>
      <w:r w:rsidRPr="00052559">
        <w:rPr>
          <w:b w:val="0"/>
          <w:spacing w:val="10"/>
          <w:sz w:val="22"/>
          <w:szCs w:val="22"/>
        </w:rPr>
        <w:t xml:space="preserve"> de la información histórica, tarea que no es inmediata, dados los periodos de vigencia de los programas estadísticos. </w:t>
      </w:r>
    </w:p>
    <w:p w14:paraId="40CCFA31" w14:textId="77777777" w:rsidR="00052559" w:rsidRPr="00052559" w:rsidRDefault="00052559" w:rsidP="00052559">
      <w:pPr>
        <w:pStyle w:val="Subttulo"/>
        <w:ind w:right="49"/>
        <w:jc w:val="both"/>
        <w:rPr>
          <w:b w:val="0"/>
          <w:spacing w:val="10"/>
          <w:sz w:val="22"/>
          <w:szCs w:val="22"/>
        </w:rPr>
      </w:pPr>
    </w:p>
    <w:p w14:paraId="0C23D11C" w14:textId="12A6FA0D" w:rsidR="00052559" w:rsidRDefault="00052559" w:rsidP="00052559">
      <w:pPr>
        <w:pStyle w:val="Subttulo"/>
        <w:ind w:right="49"/>
        <w:jc w:val="both"/>
        <w:rPr>
          <w:b w:val="0"/>
          <w:spacing w:val="10"/>
          <w:sz w:val="22"/>
          <w:szCs w:val="22"/>
        </w:rPr>
      </w:pPr>
      <w:r w:rsidRPr="00052559">
        <w:rPr>
          <w:b w:val="0"/>
          <w:spacing w:val="10"/>
          <w:sz w:val="22"/>
          <w:szCs w:val="22"/>
        </w:rPr>
        <w:t xml:space="preserve">Con la nueva estimación de población, se espera que las encuestas no tengan que volver a reprocesar su información. </w:t>
      </w:r>
    </w:p>
    <w:p w14:paraId="2AD38CCE" w14:textId="77777777" w:rsidR="00052559" w:rsidRPr="00052559" w:rsidRDefault="00052559" w:rsidP="00052559">
      <w:pPr>
        <w:pStyle w:val="Subttulo"/>
        <w:ind w:right="49"/>
        <w:jc w:val="both"/>
        <w:rPr>
          <w:b w:val="0"/>
          <w:spacing w:val="10"/>
          <w:sz w:val="22"/>
          <w:szCs w:val="22"/>
        </w:rPr>
      </w:pPr>
    </w:p>
    <w:p w14:paraId="5519DD83" w14:textId="08B70421" w:rsidR="00052559" w:rsidRDefault="00052559" w:rsidP="00052559">
      <w:pPr>
        <w:pStyle w:val="Subttulo"/>
        <w:ind w:right="49"/>
        <w:jc w:val="both"/>
        <w:rPr>
          <w:b w:val="0"/>
          <w:spacing w:val="10"/>
          <w:sz w:val="22"/>
          <w:szCs w:val="22"/>
        </w:rPr>
      </w:pPr>
      <w:r w:rsidRPr="00052559">
        <w:rPr>
          <w:b w:val="0"/>
          <w:spacing w:val="10"/>
          <w:sz w:val="22"/>
          <w:szCs w:val="22"/>
        </w:rPr>
        <w:t>A fin de actualizar totalmente la serie histórica para la ENOE, ETOE</w:t>
      </w:r>
      <w:r>
        <w:rPr>
          <w:rStyle w:val="Refdenotaalpie"/>
          <w:b w:val="0"/>
          <w:spacing w:val="10"/>
          <w:sz w:val="22"/>
          <w:szCs w:val="22"/>
        </w:rPr>
        <w:footnoteReference w:id="10"/>
      </w:r>
      <w:r w:rsidRPr="00052559">
        <w:rPr>
          <w:b w:val="0"/>
          <w:spacing w:val="10"/>
          <w:sz w:val="22"/>
          <w:szCs w:val="22"/>
        </w:rPr>
        <w:t xml:space="preserve"> y ENOE</w:t>
      </w:r>
      <w:r w:rsidRPr="00052559">
        <w:rPr>
          <w:b w:val="0"/>
          <w:spacing w:val="10"/>
          <w:sz w:val="22"/>
          <w:szCs w:val="22"/>
          <w:vertAlign w:val="superscript"/>
        </w:rPr>
        <w:t>N</w:t>
      </w:r>
      <w:r w:rsidRPr="00052559">
        <w:rPr>
          <w:b w:val="0"/>
          <w:spacing w:val="10"/>
          <w:sz w:val="22"/>
          <w:szCs w:val="22"/>
        </w:rPr>
        <w:t xml:space="preserve"> con la nueva estimación de población, que será de 2005 hasta 2020, se hará bajo el siguiente esquema de divulgación: </w:t>
      </w:r>
    </w:p>
    <w:p w14:paraId="7026284C" w14:textId="77777777" w:rsidR="00441450" w:rsidRDefault="00441450" w:rsidP="00052559">
      <w:pPr>
        <w:pStyle w:val="Subttulo"/>
        <w:ind w:right="49"/>
        <w:jc w:val="both"/>
        <w:rPr>
          <w:b w:val="0"/>
          <w:spacing w:val="10"/>
          <w:sz w:val="22"/>
          <w:szCs w:val="22"/>
        </w:rPr>
      </w:pPr>
    </w:p>
    <w:p w14:paraId="59BFBDBC" w14:textId="3AB074F7" w:rsidR="00F90E08" w:rsidRDefault="00052559" w:rsidP="00F90E08">
      <w:pPr>
        <w:pStyle w:val="Subttulo"/>
        <w:numPr>
          <w:ilvl w:val="0"/>
          <w:numId w:val="32"/>
        </w:numPr>
        <w:ind w:right="49"/>
        <w:jc w:val="both"/>
        <w:rPr>
          <w:b w:val="0"/>
          <w:spacing w:val="10"/>
          <w:sz w:val="22"/>
          <w:szCs w:val="22"/>
        </w:rPr>
      </w:pPr>
      <w:r w:rsidRPr="00052559">
        <w:rPr>
          <w:b w:val="0"/>
          <w:spacing w:val="10"/>
          <w:sz w:val="22"/>
          <w:szCs w:val="22"/>
        </w:rPr>
        <w:t xml:space="preserve">Para la publicación del segundo trimestre de 2021 (19 de agosto de 2021), además de los productos correspondientes al trimestre en mención, se sustituirán los resultados trimestrales y mensuales de 2020 con la nueva estimación de población, que comprenden: </w:t>
      </w:r>
    </w:p>
    <w:p w14:paraId="5C53C939" w14:textId="04B12330" w:rsidR="00052559" w:rsidRPr="001D6545" w:rsidRDefault="00F90E08" w:rsidP="001D6545">
      <w:pPr>
        <w:pStyle w:val="Subttulo"/>
        <w:numPr>
          <w:ilvl w:val="1"/>
          <w:numId w:val="32"/>
        </w:numPr>
        <w:ind w:left="1134" w:right="49"/>
        <w:jc w:val="both"/>
        <w:rPr>
          <w:b w:val="0"/>
          <w:spacing w:val="10"/>
          <w:sz w:val="22"/>
          <w:szCs w:val="22"/>
        </w:rPr>
      </w:pPr>
      <w:r>
        <w:rPr>
          <w:b w:val="0"/>
          <w:spacing w:val="10"/>
          <w:sz w:val="22"/>
          <w:szCs w:val="22"/>
        </w:rPr>
        <w:t>Indicadores estratégicos,</w:t>
      </w:r>
      <w:r w:rsidR="00052559" w:rsidRPr="001D6545">
        <w:rPr>
          <w:b w:val="0"/>
          <w:spacing w:val="10"/>
          <w:sz w:val="22"/>
          <w:szCs w:val="22"/>
        </w:rPr>
        <w:t xml:space="preserve"> </w:t>
      </w:r>
    </w:p>
    <w:p w14:paraId="155B795C" w14:textId="6ECEB598" w:rsidR="00052559" w:rsidRPr="00052559" w:rsidRDefault="00052559" w:rsidP="00441450">
      <w:pPr>
        <w:pStyle w:val="Subttulo"/>
        <w:numPr>
          <w:ilvl w:val="0"/>
          <w:numId w:val="35"/>
        </w:numPr>
        <w:ind w:left="1134" w:right="49"/>
        <w:jc w:val="both"/>
        <w:rPr>
          <w:b w:val="0"/>
          <w:spacing w:val="10"/>
          <w:sz w:val="22"/>
          <w:szCs w:val="22"/>
        </w:rPr>
      </w:pPr>
      <w:r w:rsidRPr="00052559">
        <w:rPr>
          <w:b w:val="0"/>
          <w:spacing w:val="10"/>
          <w:sz w:val="22"/>
          <w:szCs w:val="22"/>
        </w:rPr>
        <w:t xml:space="preserve">tabulados básicos, </w:t>
      </w:r>
    </w:p>
    <w:p w14:paraId="714B763E" w14:textId="0B198474" w:rsidR="00052559" w:rsidRPr="00052559" w:rsidRDefault="00052559" w:rsidP="00441450">
      <w:pPr>
        <w:pStyle w:val="Subttulo"/>
        <w:numPr>
          <w:ilvl w:val="0"/>
          <w:numId w:val="35"/>
        </w:numPr>
        <w:ind w:left="1134" w:right="49"/>
        <w:jc w:val="both"/>
        <w:rPr>
          <w:b w:val="0"/>
          <w:spacing w:val="10"/>
          <w:sz w:val="22"/>
          <w:szCs w:val="22"/>
        </w:rPr>
      </w:pPr>
      <w:r w:rsidRPr="00052559">
        <w:rPr>
          <w:b w:val="0"/>
          <w:spacing w:val="10"/>
          <w:sz w:val="22"/>
          <w:szCs w:val="22"/>
        </w:rPr>
        <w:t xml:space="preserve">tabulados interactivos, </w:t>
      </w:r>
    </w:p>
    <w:p w14:paraId="77040EB9" w14:textId="6CFB0FE8" w:rsidR="00052559" w:rsidRPr="00052559" w:rsidRDefault="00052559" w:rsidP="00441450">
      <w:pPr>
        <w:pStyle w:val="Subttulo"/>
        <w:numPr>
          <w:ilvl w:val="0"/>
          <w:numId w:val="35"/>
        </w:numPr>
        <w:ind w:left="1134" w:right="49"/>
        <w:jc w:val="both"/>
        <w:rPr>
          <w:b w:val="0"/>
          <w:spacing w:val="10"/>
          <w:sz w:val="22"/>
          <w:szCs w:val="22"/>
        </w:rPr>
      </w:pPr>
      <w:r w:rsidRPr="00052559">
        <w:rPr>
          <w:b w:val="0"/>
          <w:spacing w:val="10"/>
          <w:sz w:val="22"/>
          <w:szCs w:val="22"/>
        </w:rPr>
        <w:t xml:space="preserve">indicadores de género, </w:t>
      </w:r>
    </w:p>
    <w:p w14:paraId="71B5C61E" w14:textId="769E3934" w:rsidR="00052559" w:rsidRPr="00052559" w:rsidRDefault="00052559" w:rsidP="00441450">
      <w:pPr>
        <w:pStyle w:val="Subttulo"/>
        <w:numPr>
          <w:ilvl w:val="0"/>
          <w:numId w:val="35"/>
        </w:numPr>
        <w:ind w:left="1134" w:right="49"/>
        <w:jc w:val="both"/>
        <w:rPr>
          <w:b w:val="0"/>
          <w:spacing w:val="10"/>
          <w:sz w:val="22"/>
          <w:szCs w:val="22"/>
        </w:rPr>
      </w:pPr>
      <w:r w:rsidRPr="00052559">
        <w:rPr>
          <w:b w:val="0"/>
          <w:spacing w:val="10"/>
          <w:sz w:val="22"/>
          <w:szCs w:val="22"/>
        </w:rPr>
        <w:t xml:space="preserve">pruebas de significancia estadística, </w:t>
      </w:r>
    </w:p>
    <w:p w14:paraId="2D9AFE66" w14:textId="2F057EE5" w:rsidR="00441450" w:rsidRDefault="00052559" w:rsidP="00441450">
      <w:pPr>
        <w:pStyle w:val="Subttulo"/>
        <w:numPr>
          <w:ilvl w:val="0"/>
          <w:numId w:val="35"/>
        </w:numPr>
        <w:ind w:left="1134" w:right="49"/>
        <w:jc w:val="both"/>
        <w:rPr>
          <w:b w:val="0"/>
          <w:spacing w:val="10"/>
          <w:sz w:val="22"/>
          <w:szCs w:val="22"/>
        </w:rPr>
      </w:pPr>
      <w:r w:rsidRPr="00052559">
        <w:rPr>
          <w:b w:val="0"/>
          <w:spacing w:val="10"/>
          <w:sz w:val="22"/>
          <w:szCs w:val="22"/>
        </w:rPr>
        <w:t>bases de datos, etc.,</w:t>
      </w:r>
    </w:p>
    <w:p w14:paraId="51F92ABE" w14:textId="00E1EC8A" w:rsidR="00441450" w:rsidRPr="00441450" w:rsidRDefault="00441450" w:rsidP="00441450">
      <w:pPr>
        <w:pStyle w:val="Subttulo"/>
        <w:numPr>
          <w:ilvl w:val="0"/>
          <w:numId w:val="35"/>
        </w:numPr>
        <w:ind w:left="1134" w:right="49"/>
        <w:jc w:val="both"/>
        <w:rPr>
          <w:b w:val="0"/>
          <w:spacing w:val="10"/>
          <w:sz w:val="22"/>
          <w:szCs w:val="22"/>
        </w:rPr>
      </w:pPr>
      <w:r w:rsidRPr="00441450">
        <w:rPr>
          <w:b w:val="0"/>
          <w:spacing w:val="10"/>
          <w:sz w:val="22"/>
          <w:szCs w:val="22"/>
        </w:rPr>
        <w:t xml:space="preserve">información del BIE, </w:t>
      </w:r>
    </w:p>
    <w:p w14:paraId="5EE99D07" w14:textId="763C1956" w:rsidR="00441450" w:rsidRPr="00441450" w:rsidRDefault="00441450" w:rsidP="00441450">
      <w:pPr>
        <w:pStyle w:val="Subttulo"/>
        <w:numPr>
          <w:ilvl w:val="0"/>
          <w:numId w:val="35"/>
        </w:numPr>
        <w:ind w:left="1134" w:right="49"/>
        <w:jc w:val="both"/>
        <w:rPr>
          <w:b w:val="0"/>
          <w:spacing w:val="10"/>
          <w:sz w:val="22"/>
          <w:szCs w:val="22"/>
        </w:rPr>
      </w:pPr>
      <w:r w:rsidRPr="00441450">
        <w:rPr>
          <w:b w:val="0"/>
          <w:spacing w:val="10"/>
          <w:sz w:val="22"/>
          <w:szCs w:val="22"/>
        </w:rPr>
        <w:t xml:space="preserve">información del Catálogo Nacional de Indicadores (CNI), </w:t>
      </w:r>
    </w:p>
    <w:p w14:paraId="433A05DC" w14:textId="7AA4E2B7" w:rsidR="00441450" w:rsidRPr="00441450" w:rsidRDefault="00441450" w:rsidP="00441450">
      <w:pPr>
        <w:pStyle w:val="Subttulo"/>
        <w:numPr>
          <w:ilvl w:val="0"/>
          <w:numId w:val="35"/>
        </w:numPr>
        <w:ind w:left="1134" w:right="49"/>
        <w:jc w:val="both"/>
        <w:rPr>
          <w:b w:val="0"/>
          <w:spacing w:val="10"/>
          <w:sz w:val="22"/>
          <w:szCs w:val="22"/>
        </w:rPr>
      </w:pPr>
      <w:r w:rsidRPr="00441450">
        <w:rPr>
          <w:b w:val="0"/>
          <w:spacing w:val="10"/>
          <w:sz w:val="22"/>
          <w:szCs w:val="22"/>
        </w:rPr>
        <w:t>así como la aplicación interactiva de “</w:t>
      </w:r>
      <w:proofErr w:type="spellStart"/>
      <w:r w:rsidRPr="00441450">
        <w:rPr>
          <w:b w:val="0"/>
          <w:spacing w:val="10"/>
          <w:sz w:val="22"/>
          <w:szCs w:val="22"/>
        </w:rPr>
        <w:t>infolaboral</w:t>
      </w:r>
      <w:proofErr w:type="spellEnd"/>
      <w:r w:rsidRPr="00441450">
        <w:rPr>
          <w:b w:val="0"/>
          <w:spacing w:val="10"/>
          <w:sz w:val="22"/>
          <w:szCs w:val="22"/>
        </w:rPr>
        <w:t xml:space="preserve">”. </w:t>
      </w:r>
    </w:p>
    <w:p w14:paraId="1D1D1991" w14:textId="77777777" w:rsidR="00441450" w:rsidRPr="00441450" w:rsidRDefault="00441450" w:rsidP="00441450">
      <w:pPr>
        <w:autoSpaceDE w:val="0"/>
        <w:autoSpaceDN w:val="0"/>
        <w:adjustRightInd w:val="0"/>
        <w:spacing w:after="0" w:line="240" w:lineRule="auto"/>
        <w:rPr>
          <w:rFonts w:ascii="Arial" w:hAnsi="Arial" w:cs="Arial"/>
          <w:color w:val="000000"/>
          <w:sz w:val="24"/>
          <w:szCs w:val="24"/>
        </w:rPr>
      </w:pPr>
    </w:p>
    <w:p w14:paraId="7820A79C" w14:textId="77777777" w:rsidR="00441450" w:rsidRDefault="00441450" w:rsidP="00441450">
      <w:pPr>
        <w:pStyle w:val="Subttulo"/>
        <w:numPr>
          <w:ilvl w:val="0"/>
          <w:numId w:val="32"/>
        </w:numPr>
        <w:ind w:right="49"/>
        <w:jc w:val="both"/>
        <w:rPr>
          <w:b w:val="0"/>
          <w:spacing w:val="10"/>
          <w:sz w:val="22"/>
          <w:szCs w:val="22"/>
        </w:rPr>
      </w:pPr>
      <w:r w:rsidRPr="00441450">
        <w:rPr>
          <w:b w:val="0"/>
          <w:spacing w:val="10"/>
          <w:sz w:val="22"/>
          <w:szCs w:val="22"/>
        </w:rPr>
        <w:t xml:space="preserve">A partir de la publicación del tercer trimestre de 2021 (22 de noviembre de 2021), el plan de trabajo para sustituir hacia atrás los productos antes mencionados será paulatino, considerando la actualización de tres trimestres históricos, es decir: </w:t>
      </w:r>
    </w:p>
    <w:p w14:paraId="2D9FCA77" w14:textId="1705B846" w:rsidR="00441450" w:rsidRDefault="00441450" w:rsidP="00617F1A">
      <w:pPr>
        <w:pStyle w:val="Subttulo"/>
        <w:numPr>
          <w:ilvl w:val="1"/>
          <w:numId w:val="32"/>
        </w:numPr>
        <w:ind w:left="1134" w:right="49"/>
        <w:jc w:val="both"/>
        <w:rPr>
          <w:b w:val="0"/>
          <w:spacing w:val="10"/>
          <w:sz w:val="22"/>
          <w:szCs w:val="22"/>
        </w:rPr>
      </w:pPr>
      <w:r w:rsidRPr="00441450">
        <w:rPr>
          <w:b w:val="0"/>
          <w:spacing w:val="10"/>
          <w:sz w:val="22"/>
          <w:szCs w:val="22"/>
        </w:rPr>
        <w:t xml:space="preserve">La publicación del tercer trimestre de 2021 se acompaña de la actualización de los trimestres 2°, 3° y 4° de 2019. </w:t>
      </w:r>
    </w:p>
    <w:p w14:paraId="68EFC0AC" w14:textId="517B1DA9" w:rsidR="00441450" w:rsidRDefault="00441450" w:rsidP="00617F1A">
      <w:pPr>
        <w:pStyle w:val="Subttulo"/>
        <w:numPr>
          <w:ilvl w:val="1"/>
          <w:numId w:val="32"/>
        </w:numPr>
        <w:ind w:left="1134" w:right="49"/>
        <w:jc w:val="both"/>
        <w:rPr>
          <w:b w:val="0"/>
          <w:spacing w:val="10"/>
          <w:sz w:val="22"/>
          <w:szCs w:val="22"/>
        </w:rPr>
      </w:pPr>
      <w:r w:rsidRPr="00441450">
        <w:rPr>
          <w:b w:val="0"/>
          <w:spacing w:val="10"/>
          <w:sz w:val="22"/>
          <w:szCs w:val="22"/>
        </w:rPr>
        <w:t xml:space="preserve">La publicación del cuarto trimestre de 2021 se acompaña de la actualización de los trimestres 1° de 2019 y 3°, 4° de 2018. </w:t>
      </w:r>
    </w:p>
    <w:p w14:paraId="0EBC61C8" w14:textId="5AD06B73" w:rsidR="00441450" w:rsidRPr="00441450" w:rsidRDefault="00441450" w:rsidP="00617F1A">
      <w:pPr>
        <w:pStyle w:val="Subttulo"/>
        <w:numPr>
          <w:ilvl w:val="1"/>
          <w:numId w:val="32"/>
        </w:numPr>
        <w:ind w:left="1134" w:right="49"/>
        <w:jc w:val="both"/>
        <w:rPr>
          <w:b w:val="0"/>
          <w:spacing w:val="10"/>
          <w:sz w:val="22"/>
          <w:szCs w:val="22"/>
        </w:rPr>
      </w:pPr>
      <w:r w:rsidRPr="00441450">
        <w:rPr>
          <w:b w:val="0"/>
          <w:spacing w:val="10"/>
          <w:sz w:val="22"/>
          <w:szCs w:val="22"/>
        </w:rPr>
        <w:t xml:space="preserve">Así sucesivamente hasta actualizar la serie histórica de información, la cual estaría completa en la publicación del segundo trimestre de 2026. </w:t>
      </w:r>
    </w:p>
    <w:p w14:paraId="6BFFF5C1" w14:textId="77777777" w:rsidR="00441450" w:rsidRPr="00441450" w:rsidRDefault="00441450" w:rsidP="00441450">
      <w:pPr>
        <w:pStyle w:val="Subttulo"/>
        <w:ind w:right="49"/>
        <w:jc w:val="both"/>
        <w:rPr>
          <w:b w:val="0"/>
          <w:spacing w:val="10"/>
          <w:sz w:val="22"/>
          <w:szCs w:val="22"/>
        </w:rPr>
      </w:pPr>
    </w:p>
    <w:p w14:paraId="23FFAD7A" w14:textId="5583E93B" w:rsidR="00441450" w:rsidRPr="00441450" w:rsidRDefault="00441450" w:rsidP="00441450">
      <w:pPr>
        <w:pStyle w:val="Subttulo"/>
        <w:ind w:right="49"/>
        <w:jc w:val="both"/>
        <w:rPr>
          <w:b w:val="0"/>
          <w:spacing w:val="10"/>
          <w:sz w:val="22"/>
          <w:szCs w:val="22"/>
        </w:rPr>
      </w:pPr>
      <w:r w:rsidRPr="00441450">
        <w:rPr>
          <w:b w:val="0"/>
          <w:spacing w:val="10"/>
          <w:sz w:val="22"/>
          <w:szCs w:val="22"/>
        </w:rPr>
        <w:t>La difusión de la información de todos los proyectos estadísticos seguirá conforme a las fechas establecidas en el Calendario de Difusión de Información Estadística y Geográfica y de Interés Nacional del INEGI.</w:t>
      </w:r>
    </w:p>
    <w:p w14:paraId="657E50ED" w14:textId="6C9BBC7D" w:rsidR="00052559" w:rsidRPr="00052559" w:rsidRDefault="00052559" w:rsidP="00052559">
      <w:pPr>
        <w:pStyle w:val="Subttulo"/>
        <w:ind w:right="49"/>
        <w:jc w:val="both"/>
        <w:rPr>
          <w:b w:val="0"/>
          <w:spacing w:val="10"/>
          <w:sz w:val="22"/>
          <w:szCs w:val="22"/>
        </w:rPr>
      </w:pPr>
      <w:r w:rsidRPr="00052559">
        <w:rPr>
          <w:b w:val="0"/>
          <w:spacing w:val="10"/>
          <w:sz w:val="22"/>
          <w:szCs w:val="22"/>
        </w:rPr>
        <w:t xml:space="preserve"> </w:t>
      </w:r>
    </w:p>
    <w:p w14:paraId="39F380D2" w14:textId="77777777" w:rsidR="00052559" w:rsidRPr="00052559" w:rsidRDefault="00052559" w:rsidP="00052559">
      <w:pPr>
        <w:numPr>
          <w:ilvl w:val="1"/>
          <w:numId w:val="31"/>
        </w:numPr>
        <w:autoSpaceDE w:val="0"/>
        <w:autoSpaceDN w:val="0"/>
        <w:adjustRightInd w:val="0"/>
        <w:spacing w:after="0" w:line="240" w:lineRule="auto"/>
        <w:rPr>
          <w:rFonts w:ascii="Arial" w:hAnsi="Arial" w:cs="Arial"/>
          <w:color w:val="000000"/>
          <w:sz w:val="23"/>
          <w:szCs w:val="23"/>
        </w:rPr>
      </w:pPr>
    </w:p>
    <w:p w14:paraId="1FB74555" w14:textId="5DE2AE5F" w:rsidR="00252EDE" w:rsidRDefault="00252EDE" w:rsidP="009749DA">
      <w:pPr>
        <w:pStyle w:val="n0"/>
        <w:keepLines w:val="0"/>
        <w:spacing w:before="0"/>
        <w:ind w:left="0" w:right="49" w:firstLine="0"/>
        <w:rPr>
          <w:b/>
          <w:smallCaps/>
          <w:color w:val="auto"/>
          <w:sz w:val="22"/>
          <w:szCs w:val="22"/>
        </w:rPr>
      </w:pPr>
      <w:r w:rsidRPr="00C63172">
        <w:rPr>
          <w:b/>
          <w:smallCaps/>
          <w:color w:val="auto"/>
          <w:sz w:val="22"/>
          <w:szCs w:val="22"/>
        </w:rPr>
        <w:lastRenderedPageBreak/>
        <w:t>Caracterí</w:t>
      </w:r>
      <w:r w:rsidR="00DF798C" w:rsidRPr="00C63172">
        <w:rPr>
          <w:b/>
          <w:smallCaps/>
          <w:color w:val="auto"/>
          <w:sz w:val="22"/>
          <w:szCs w:val="22"/>
        </w:rPr>
        <w:t>sticas metodológicas de la E</w:t>
      </w:r>
      <w:r w:rsidR="00821589">
        <w:rPr>
          <w:b/>
          <w:smallCaps/>
          <w:color w:val="auto"/>
          <w:sz w:val="22"/>
          <w:szCs w:val="22"/>
        </w:rPr>
        <w:t>N</w:t>
      </w:r>
      <w:r w:rsidR="00DF798C" w:rsidRPr="00C63172">
        <w:rPr>
          <w:b/>
          <w:smallCaps/>
          <w:color w:val="auto"/>
          <w:sz w:val="22"/>
          <w:szCs w:val="22"/>
        </w:rPr>
        <w:t>OE</w:t>
      </w:r>
      <w:r w:rsidR="00F66482">
        <w:rPr>
          <w:b/>
          <w:smallCaps/>
          <w:color w:val="auto"/>
          <w:sz w:val="22"/>
          <w:szCs w:val="22"/>
          <w:vertAlign w:val="superscript"/>
        </w:rPr>
        <w:t>N</w:t>
      </w:r>
      <w:r w:rsidR="00CB0099">
        <w:rPr>
          <w:b/>
          <w:smallCaps/>
          <w:color w:val="auto"/>
          <w:sz w:val="22"/>
          <w:szCs w:val="22"/>
        </w:rPr>
        <w:t xml:space="preserve"> Trimestral</w:t>
      </w:r>
    </w:p>
    <w:p w14:paraId="54EB9941" w14:textId="77777777" w:rsidR="00A24896" w:rsidRPr="00C63172" w:rsidRDefault="00A24896" w:rsidP="009749DA">
      <w:pPr>
        <w:pStyle w:val="n0"/>
        <w:keepLines w:val="0"/>
        <w:spacing w:before="0"/>
        <w:ind w:left="0" w:right="49" w:firstLine="0"/>
        <w:rPr>
          <w:b/>
          <w:smallCaps/>
          <w:color w:val="auto"/>
          <w:sz w:val="22"/>
          <w:szCs w:val="22"/>
        </w:rPr>
      </w:pPr>
    </w:p>
    <w:p w14:paraId="6D634879" w14:textId="77777777" w:rsidR="00806D35" w:rsidRPr="008737B6" w:rsidRDefault="00806D35" w:rsidP="009749DA">
      <w:pPr>
        <w:pStyle w:val="n0"/>
        <w:keepLines w:val="0"/>
        <w:numPr>
          <w:ilvl w:val="0"/>
          <w:numId w:val="24"/>
        </w:numPr>
        <w:spacing w:before="0"/>
        <w:ind w:left="0" w:right="49" w:firstLine="0"/>
        <w:rPr>
          <w:smallCaps/>
          <w:color w:val="auto"/>
          <w:sz w:val="22"/>
          <w:szCs w:val="22"/>
        </w:rPr>
      </w:pPr>
      <w:r w:rsidRPr="00751905">
        <w:rPr>
          <w:b/>
          <w:color w:val="auto"/>
          <w:spacing w:val="10"/>
          <w:sz w:val="22"/>
          <w:szCs w:val="22"/>
        </w:rPr>
        <w:t>Al</w:t>
      </w:r>
      <w:r w:rsidRPr="008D043B">
        <w:rPr>
          <w:b/>
          <w:color w:val="auto"/>
          <w:spacing w:val="10"/>
          <w:sz w:val="22"/>
          <w:szCs w:val="22"/>
        </w:rPr>
        <w:t>cance metodológico de la Encuesta Nacional de Ocupación y Empleo</w:t>
      </w:r>
      <w:r w:rsidR="00177695">
        <w:rPr>
          <w:b/>
          <w:color w:val="auto"/>
          <w:spacing w:val="10"/>
          <w:sz w:val="22"/>
          <w:szCs w:val="22"/>
        </w:rPr>
        <w:t xml:space="preserve">. </w:t>
      </w:r>
      <w:r w:rsidRPr="008D043B">
        <w:rPr>
          <w:b/>
          <w:color w:val="auto"/>
          <w:spacing w:val="10"/>
          <w:sz w:val="22"/>
          <w:szCs w:val="22"/>
        </w:rPr>
        <w:t>Nueva Edición</w:t>
      </w:r>
      <w:r w:rsidRPr="008D043B">
        <w:rPr>
          <w:b/>
          <w:smallCaps/>
          <w:color w:val="auto"/>
          <w:sz w:val="22"/>
          <w:szCs w:val="22"/>
        </w:rPr>
        <w:t xml:space="preserve"> (ENOE</w:t>
      </w:r>
      <w:r w:rsidRPr="008D043B">
        <w:rPr>
          <w:b/>
          <w:smallCaps/>
          <w:color w:val="auto"/>
          <w:sz w:val="22"/>
          <w:szCs w:val="22"/>
          <w:vertAlign w:val="superscript"/>
        </w:rPr>
        <w:t>N</w:t>
      </w:r>
      <w:r w:rsidRPr="008D043B">
        <w:rPr>
          <w:b/>
          <w:smallCaps/>
          <w:color w:val="auto"/>
          <w:sz w:val="22"/>
          <w:szCs w:val="22"/>
        </w:rPr>
        <w:t>)</w:t>
      </w:r>
    </w:p>
    <w:p w14:paraId="14E03F73" w14:textId="77777777" w:rsidR="00806D35" w:rsidRPr="00484460" w:rsidRDefault="00806D35" w:rsidP="009749DA">
      <w:pPr>
        <w:pStyle w:val="Ttulo"/>
        <w:rPr>
          <w:rFonts w:cs="Arial"/>
          <w:szCs w:val="24"/>
        </w:rPr>
      </w:pPr>
    </w:p>
    <w:p w14:paraId="79EECB0F" w14:textId="08D19B8A" w:rsidR="00806D35" w:rsidRPr="00D15F9B" w:rsidRDefault="00806D35" w:rsidP="009749DA">
      <w:pPr>
        <w:pStyle w:val="Subttulo"/>
        <w:ind w:right="49"/>
        <w:jc w:val="both"/>
        <w:rPr>
          <w:b w:val="0"/>
          <w:spacing w:val="10"/>
          <w:sz w:val="22"/>
          <w:szCs w:val="22"/>
        </w:rPr>
      </w:pPr>
      <w:r>
        <w:rPr>
          <w:b w:val="0"/>
          <w:spacing w:val="10"/>
          <w:sz w:val="22"/>
          <w:szCs w:val="22"/>
        </w:rPr>
        <w:t xml:space="preserve">Para </w:t>
      </w:r>
      <w:r w:rsidR="00177695">
        <w:rPr>
          <w:b w:val="0"/>
          <w:spacing w:val="10"/>
          <w:sz w:val="22"/>
          <w:szCs w:val="22"/>
        </w:rPr>
        <w:t xml:space="preserve">el </w:t>
      </w:r>
      <w:r w:rsidR="00177B20">
        <w:rPr>
          <w:b w:val="0"/>
          <w:spacing w:val="10"/>
          <w:sz w:val="22"/>
          <w:szCs w:val="22"/>
        </w:rPr>
        <w:t>primer</w:t>
      </w:r>
      <w:r w:rsidR="00177695">
        <w:rPr>
          <w:b w:val="0"/>
          <w:spacing w:val="10"/>
          <w:sz w:val="22"/>
          <w:szCs w:val="22"/>
        </w:rPr>
        <w:t xml:space="preserve"> trimestre</w:t>
      </w:r>
      <w:r>
        <w:rPr>
          <w:b w:val="0"/>
          <w:spacing w:val="10"/>
          <w:sz w:val="22"/>
          <w:szCs w:val="22"/>
        </w:rPr>
        <w:t xml:space="preserve"> </w:t>
      </w:r>
      <w:r w:rsidR="0095099D">
        <w:rPr>
          <w:b w:val="0"/>
          <w:spacing w:val="10"/>
          <w:sz w:val="22"/>
          <w:szCs w:val="22"/>
        </w:rPr>
        <w:t xml:space="preserve">de </w:t>
      </w:r>
      <w:r w:rsidR="00177B20">
        <w:rPr>
          <w:b w:val="0"/>
          <w:spacing w:val="10"/>
          <w:sz w:val="22"/>
          <w:szCs w:val="22"/>
        </w:rPr>
        <w:t>2021</w:t>
      </w:r>
      <w:r w:rsidR="0095099D">
        <w:rPr>
          <w:b w:val="0"/>
          <w:spacing w:val="10"/>
          <w:sz w:val="22"/>
          <w:szCs w:val="22"/>
        </w:rPr>
        <w:t xml:space="preserve"> </w:t>
      </w:r>
      <w:r>
        <w:rPr>
          <w:b w:val="0"/>
          <w:spacing w:val="10"/>
          <w:sz w:val="22"/>
          <w:szCs w:val="22"/>
        </w:rPr>
        <w:t>la</w:t>
      </w:r>
      <w:r w:rsidRPr="00DF3C61">
        <w:rPr>
          <w:b w:val="0"/>
          <w:spacing w:val="10"/>
          <w:sz w:val="22"/>
          <w:szCs w:val="22"/>
        </w:rPr>
        <w:t xml:space="preserve"> Encuesta Nacional de Ocupación y Empleo Nueva Edición </w:t>
      </w:r>
      <w:r w:rsidRPr="00DF3C61">
        <w:rPr>
          <w:b w:val="0"/>
          <w:sz w:val="22"/>
          <w:szCs w:val="22"/>
        </w:rPr>
        <w:t>(ENOE</w:t>
      </w:r>
      <w:r w:rsidRPr="00DF3C61">
        <w:rPr>
          <w:b w:val="0"/>
          <w:sz w:val="22"/>
          <w:szCs w:val="22"/>
          <w:vertAlign w:val="superscript"/>
        </w:rPr>
        <w:t>N</w:t>
      </w:r>
      <w:r w:rsidRPr="00DF3C61">
        <w:rPr>
          <w:b w:val="0"/>
          <w:sz w:val="22"/>
          <w:szCs w:val="22"/>
        </w:rPr>
        <w:t>)</w:t>
      </w:r>
      <w:r>
        <w:rPr>
          <w:b w:val="0"/>
          <w:sz w:val="22"/>
          <w:szCs w:val="22"/>
        </w:rPr>
        <w:t xml:space="preserve"> </w:t>
      </w:r>
      <w:r w:rsidRPr="00D15F9B">
        <w:rPr>
          <w:b w:val="0"/>
          <w:spacing w:val="10"/>
          <w:sz w:val="22"/>
          <w:szCs w:val="22"/>
        </w:rPr>
        <w:t xml:space="preserve">presentan los indicadores estratégicos </w:t>
      </w:r>
      <w:r w:rsidR="00CE31A4">
        <w:rPr>
          <w:b w:val="0"/>
          <w:spacing w:val="10"/>
          <w:sz w:val="22"/>
          <w:szCs w:val="22"/>
        </w:rPr>
        <w:t xml:space="preserve">y tabulados </w:t>
      </w:r>
      <w:r w:rsidRPr="00D15F9B">
        <w:rPr>
          <w:b w:val="0"/>
          <w:spacing w:val="10"/>
          <w:sz w:val="22"/>
          <w:szCs w:val="22"/>
        </w:rPr>
        <w:t>de ediciones anteriores</w:t>
      </w:r>
      <w:r w:rsidR="00CE31A4">
        <w:rPr>
          <w:b w:val="0"/>
          <w:spacing w:val="10"/>
          <w:sz w:val="22"/>
          <w:szCs w:val="22"/>
        </w:rPr>
        <w:t xml:space="preserve"> de la ENOE</w:t>
      </w:r>
      <w:r w:rsidRPr="00D15F9B">
        <w:rPr>
          <w:b w:val="0"/>
          <w:spacing w:val="10"/>
          <w:sz w:val="22"/>
          <w:szCs w:val="22"/>
        </w:rPr>
        <w:t xml:space="preserve">, en algunos casos con niveles menores de precisión, dado que aún no se alcanzan los niveles de respuesta </w:t>
      </w:r>
      <w:r w:rsidR="00CE31A4">
        <w:rPr>
          <w:b w:val="0"/>
          <w:spacing w:val="10"/>
          <w:sz w:val="22"/>
          <w:szCs w:val="22"/>
        </w:rPr>
        <w:t>previos al inicio de la pandemia originada por la enfermedad del COVID-19</w:t>
      </w:r>
      <w:r w:rsidRPr="00D15F9B">
        <w:rPr>
          <w:b w:val="0"/>
          <w:spacing w:val="10"/>
          <w:sz w:val="22"/>
          <w:szCs w:val="22"/>
        </w:rPr>
        <w:t xml:space="preserve">. </w:t>
      </w:r>
    </w:p>
    <w:p w14:paraId="58F0E5B3" w14:textId="77777777" w:rsidR="00806D35" w:rsidRDefault="00806D35" w:rsidP="009749DA">
      <w:pPr>
        <w:pStyle w:val="Subttulo"/>
        <w:ind w:left="-567" w:right="-518"/>
        <w:jc w:val="both"/>
        <w:rPr>
          <w:b w:val="0"/>
          <w:spacing w:val="10"/>
          <w:sz w:val="22"/>
          <w:szCs w:val="22"/>
        </w:rPr>
      </w:pPr>
    </w:p>
    <w:p w14:paraId="2CA8E98F" w14:textId="74032695" w:rsidR="00806D35" w:rsidRDefault="00806D35" w:rsidP="009749DA">
      <w:pPr>
        <w:pStyle w:val="Subttulo"/>
        <w:jc w:val="both"/>
        <w:rPr>
          <w:b w:val="0"/>
          <w:spacing w:val="10"/>
          <w:sz w:val="22"/>
          <w:szCs w:val="22"/>
        </w:rPr>
      </w:pPr>
      <w:r>
        <w:rPr>
          <w:b w:val="0"/>
          <w:spacing w:val="10"/>
          <w:sz w:val="22"/>
          <w:szCs w:val="22"/>
        </w:rPr>
        <w:t>La</w:t>
      </w:r>
      <w:r w:rsidRPr="00DF3C61">
        <w:rPr>
          <w:b w:val="0"/>
          <w:spacing w:val="10"/>
          <w:sz w:val="22"/>
          <w:szCs w:val="22"/>
        </w:rPr>
        <w:t xml:space="preserve"> Encuesta Nacional de Ocupación y Empleo</w:t>
      </w:r>
      <w:r w:rsidR="00177695">
        <w:rPr>
          <w:b w:val="0"/>
          <w:spacing w:val="10"/>
          <w:sz w:val="22"/>
          <w:szCs w:val="22"/>
        </w:rPr>
        <w:t>.</w:t>
      </w:r>
      <w:r>
        <w:rPr>
          <w:b w:val="0"/>
          <w:spacing w:val="10"/>
          <w:sz w:val="22"/>
          <w:szCs w:val="22"/>
        </w:rPr>
        <w:t xml:space="preserve"> </w:t>
      </w:r>
      <w:r w:rsidRPr="00DF3C61">
        <w:rPr>
          <w:b w:val="0"/>
          <w:spacing w:val="10"/>
          <w:sz w:val="22"/>
          <w:szCs w:val="22"/>
        </w:rPr>
        <w:t xml:space="preserve">Nueva Edición </w:t>
      </w:r>
      <w:r w:rsidRPr="00DF3C61">
        <w:rPr>
          <w:b w:val="0"/>
          <w:sz w:val="22"/>
          <w:szCs w:val="22"/>
        </w:rPr>
        <w:t>(ENOE</w:t>
      </w:r>
      <w:r w:rsidRPr="00DF3C61">
        <w:rPr>
          <w:b w:val="0"/>
          <w:sz w:val="22"/>
          <w:szCs w:val="22"/>
          <w:vertAlign w:val="superscript"/>
        </w:rPr>
        <w:t>N</w:t>
      </w:r>
      <w:r w:rsidRPr="00DF3C61">
        <w:rPr>
          <w:b w:val="0"/>
          <w:sz w:val="22"/>
          <w:szCs w:val="22"/>
        </w:rPr>
        <w:t>)</w:t>
      </w:r>
      <w:r>
        <w:rPr>
          <w:b w:val="0"/>
          <w:sz w:val="22"/>
          <w:szCs w:val="22"/>
        </w:rPr>
        <w:t>,</w:t>
      </w:r>
      <w:r w:rsidRPr="00A039B6">
        <w:rPr>
          <w:b w:val="0"/>
          <w:sz w:val="22"/>
          <w:szCs w:val="22"/>
        </w:rPr>
        <w:t xml:space="preserve"> </w:t>
      </w:r>
      <w:r w:rsidRPr="00A039B6">
        <w:rPr>
          <w:b w:val="0"/>
          <w:spacing w:val="10"/>
          <w:sz w:val="22"/>
          <w:szCs w:val="22"/>
        </w:rPr>
        <w:t xml:space="preserve">mantiene el mismo diseño conceptual, estadístico y metodológico que la ENOE tradicional, </w:t>
      </w:r>
      <w:r>
        <w:rPr>
          <w:b w:val="0"/>
          <w:spacing w:val="10"/>
          <w:sz w:val="22"/>
          <w:szCs w:val="22"/>
        </w:rPr>
        <w:t xml:space="preserve">pero </w:t>
      </w:r>
      <w:r w:rsidRPr="00A039B6">
        <w:rPr>
          <w:b w:val="0"/>
          <w:spacing w:val="10"/>
          <w:sz w:val="22"/>
          <w:szCs w:val="22"/>
        </w:rPr>
        <w:t xml:space="preserve">su muestra se conformó de </w:t>
      </w:r>
      <w:r w:rsidRPr="00B25B60">
        <w:rPr>
          <w:b w:val="0"/>
          <w:spacing w:val="10"/>
          <w:sz w:val="22"/>
          <w:szCs w:val="22"/>
        </w:rPr>
        <w:t xml:space="preserve">un </w:t>
      </w:r>
      <w:r w:rsidR="005C6BCD" w:rsidRPr="005C6BCD">
        <w:rPr>
          <w:b w:val="0"/>
          <w:spacing w:val="10"/>
          <w:sz w:val="22"/>
          <w:szCs w:val="22"/>
        </w:rPr>
        <w:t>93</w:t>
      </w:r>
      <w:r w:rsidRPr="005C6BCD">
        <w:rPr>
          <w:b w:val="0"/>
          <w:spacing w:val="10"/>
          <w:sz w:val="22"/>
          <w:szCs w:val="22"/>
        </w:rPr>
        <w:t xml:space="preserve">% entrevistas cara a cara y un </w:t>
      </w:r>
      <w:r w:rsidR="005C6BCD" w:rsidRPr="005C6BCD">
        <w:rPr>
          <w:b w:val="0"/>
          <w:spacing w:val="10"/>
          <w:sz w:val="22"/>
          <w:szCs w:val="22"/>
        </w:rPr>
        <w:t>7</w:t>
      </w:r>
      <w:r w:rsidRPr="005C6BCD">
        <w:rPr>
          <w:b w:val="0"/>
          <w:spacing w:val="10"/>
          <w:sz w:val="22"/>
          <w:szCs w:val="22"/>
        </w:rPr>
        <w:t>%</w:t>
      </w:r>
      <w:r w:rsidRPr="00994BEE">
        <w:rPr>
          <w:b w:val="0"/>
          <w:spacing w:val="10"/>
          <w:sz w:val="22"/>
          <w:szCs w:val="22"/>
        </w:rPr>
        <w:t xml:space="preserve"> de</w:t>
      </w:r>
      <w:r w:rsidRPr="00B25B60">
        <w:rPr>
          <w:b w:val="0"/>
          <w:spacing w:val="10"/>
          <w:sz w:val="22"/>
          <w:szCs w:val="22"/>
        </w:rPr>
        <w:t xml:space="preserve"> entrevistas telefónicas efectivas.</w:t>
      </w:r>
    </w:p>
    <w:p w14:paraId="6714CB25" w14:textId="77777777" w:rsidR="00806D35" w:rsidRPr="00484460" w:rsidRDefault="00806D35" w:rsidP="009749DA">
      <w:pPr>
        <w:pStyle w:val="Subttulo"/>
        <w:jc w:val="both"/>
        <w:rPr>
          <w:b w:val="0"/>
          <w:spacing w:val="10"/>
          <w:sz w:val="22"/>
          <w:szCs w:val="22"/>
        </w:rPr>
      </w:pPr>
    </w:p>
    <w:p w14:paraId="23C22D20" w14:textId="77777777" w:rsidR="00806D35" w:rsidRPr="00484460" w:rsidRDefault="00806D35" w:rsidP="009749DA">
      <w:pPr>
        <w:pStyle w:val="Subttulo"/>
        <w:ind w:right="49"/>
        <w:jc w:val="both"/>
        <w:rPr>
          <w:b w:val="0"/>
          <w:spacing w:val="10"/>
          <w:sz w:val="22"/>
          <w:szCs w:val="22"/>
        </w:rPr>
      </w:pPr>
      <w:r w:rsidRPr="00484460">
        <w:rPr>
          <w:b w:val="0"/>
          <w:spacing w:val="10"/>
          <w:sz w:val="22"/>
          <w:szCs w:val="22"/>
        </w:rPr>
        <w:t xml:space="preserve">La combinación </w:t>
      </w:r>
      <w:r>
        <w:rPr>
          <w:b w:val="0"/>
          <w:spacing w:val="10"/>
          <w:sz w:val="22"/>
          <w:szCs w:val="22"/>
        </w:rPr>
        <w:t xml:space="preserve">de ambas estrategias de levantamiento es válida en tanto que </w:t>
      </w:r>
      <w:r w:rsidRPr="00484460">
        <w:rPr>
          <w:b w:val="0"/>
          <w:spacing w:val="10"/>
          <w:sz w:val="22"/>
          <w:szCs w:val="22"/>
        </w:rPr>
        <w:t>mantienen el mismo diseño conceptual, estadístico y</w:t>
      </w:r>
      <w:r>
        <w:rPr>
          <w:b w:val="0"/>
          <w:spacing w:val="10"/>
          <w:sz w:val="22"/>
          <w:szCs w:val="22"/>
        </w:rPr>
        <w:t xml:space="preserve"> metodológico, además de que derivado del análisis de los resultados de los indicadores estratégicos considerando la muestra de entrevistas cara a cara versus la muestra de entrevistas cara a cara más las entrevistas telefónicas, se observa que no </w:t>
      </w:r>
      <w:r w:rsidRPr="00484460">
        <w:rPr>
          <w:b w:val="0"/>
          <w:spacing w:val="10"/>
          <w:sz w:val="22"/>
          <w:szCs w:val="22"/>
        </w:rPr>
        <w:t>existen cambios estadístic</w:t>
      </w:r>
      <w:r>
        <w:rPr>
          <w:b w:val="0"/>
          <w:spacing w:val="10"/>
          <w:sz w:val="22"/>
          <w:szCs w:val="22"/>
        </w:rPr>
        <w:t xml:space="preserve">amente significativos </w:t>
      </w:r>
      <w:r w:rsidRPr="00484460">
        <w:rPr>
          <w:b w:val="0"/>
          <w:spacing w:val="10"/>
          <w:sz w:val="22"/>
          <w:szCs w:val="22"/>
        </w:rPr>
        <w:t>en los indicadores estratégicos de ocupación y empleo</w:t>
      </w:r>
      <w:r>
        <w:rPr>
          <w:b w:val="0"/>
          <w:spacing w:val="10"/>
          <w:sz w:val="22"/>
          <w:szCs w:val="22"/>
        </w:rPr>
        <w:t xml:space="preserve"> y mejoran las precisiones estadísticas de los resultados.</w:t>
      </w:r>
    </w:p>
    <w:p w14:paraId="6B49E091" w14:textId="77777777" w:rsidR="00792F92" w:rsidRDefault="00792F92" w:rsidP="009749DA">
      <w:pPr>
        <w:pStyle w:val="Subttulo"/>
        <w:jc w:val="both"/>
        <w:rPr>
          <w:b w:val="0"/>
          <w:spacing w:val="10"/>
          <w:sz w:val="22"/>
          <w:szCs w:val="22"/>
        </w:rPr>
      </w:pPr>
    </w:p>
    <w:p w14:paraId="0C390082" w14:textId="77777777" w:rsidR="00806D35" w:rsidRDefault="00806D35" w:rsidP="009749DA">
      <w:pPr>
        <w:pStyle w:val="Subttulo"/>
        <w:jc w:val="both"/>
        <w:rPr>
          <w:b w:val="0"/>
          <w:spacing w:val="10"/>
          <w:sz w:val="22"/>
          <w:szCs w:val="22"/>
        </w:rPr>
      </w:pPr>
      <w:r w:rsidRPr="00484460">
        <w:rPr>
          <w:b w:val="0"/>
          <w:spacing w:val="10"/>
          <w:sz w:val="22"/>
          <w:szCs w:val="22"/>
        </w:rPr>
        <w:t>La ENOE</w:t>
      </w:r>
      <w:r>
        <w:rPr>
          <w:b w:val="0"/>
          <w:spacing w:val="10"/>
          <w:sz w:val="22"/>
          <w:szCs w:val="22"/>
          <w:vertAlign w:val="superscript"/>
        </w:rPr>
        <w:t>N</w:t>
      </w:r>
      <w:r>
        <w:rPr>
          <w:b w:val="0"/>
          <w:spacing w:val="10"/>
          <w:sz w:val="22"/>
          <w:szCs w:val="22"/>
        </w:rPr>
        <w:t xml:space="preserve"> responde a la necesidad de retornar de manera paulatina el levantamiento regular de la Encuesta Nacional de Ocupación y Empleo (ENOE) y dar continuidad a la generación de la</w:t>
      </w:r>
      <w:r w:rsidRPr="00484460">
        <w:rPr>
          <w:b w:val="0"/>
          <w:spacing w:val="10"/>
          <w:sz w:val="22"/>
          <w:szCs w:val="22"/>
        </w:rPr>
        <w:t xml:space="preserve"> información </w:t>
      </w:r>
      <w:r>
        <w:rPr>
          <w:b w:val="0"/>
          <w:spacing w:val="10"/>
          <w:sz w:val="22"/>
          <w:szCs w:val="22"/>
        </w:rPr>
        <w:t xml:space="preserve">sobre las características y condiciones de la </w:t>
      </w:r>
      <w:r w:rsidRPr="00484460">
        <w:rPr>
          <w:b w:val="0"/>
          <w:spacing w:val="10"/>
          <w:sz w:val="22"/>
          <w:szCs w:val="22"/>
        </w:rPr>
        <w:t xml:space="preserve">población </w:t>
      </w:r>
      <w:r>
        <w:rPr>
          <w:b w:val="0"/>
          <w:spacing w:val="10"/>
          <w:sz w:val="22"/>
          <w:szCs w:val="22"/>
        </w:rPr>
        <w:t xml:space="preserve">vinculada </w:t>
      </w:r>
      <w:r w:rsidRPr="00484460">
        <w:rPr>
          <w:b w:val="0"/>
          <w:spacing w:val="10"/>
          <w:sz w:val="22"/>
          <w:szCs w:val="22"/>
        </w:rPr>
        <w:t>al mercado laboral</w:t>
      </w:r>
      <w:r>
        <w:rPr>
          <w:b w:val="0"/>
          <w:spacing w:val="10"/>
          <w:sz w:val="22"/>
          <w:szCs w:val="22"/>
        </w:rPr>
        <w:t>.</w:t>
      </w:r>
    </w:p>
    <w:p w14:paraId="01D52903" w14:textId="77777777" w:rsidR="00806D35" w:rsidRDefault="00806D35" w:rsidP="009749DA">
      <w:pPr>
        <w:pStyle w:val="Subttulo"/>
        <w:jc w:val="both"/>
        <w:rPr>
          <w:b w:val="0"/>
          <w:spacing w:val="10"/>
          <w:sz w:val="22"/>
          <w:szCs w:val="22"/>
        </w:rPr>
      </w:pPr>
    </w:p>
    <w:p w14:paraId="69930AE4" w14:textId="1E62136C" w:rsidR="00806D35" w:rsidRPr="00484460" w:rsidRDefault="00806D35" w:rsidP="009749DA">
      <w:pPr>
        <w:pStyle w:val="Subttulo"/>
        <w:jc w:val="both"/>
        <w:rPr>
          <w:b w:val="0"/>
          <w:spacing w:val="10"/>
          <w:sz w:val="22"/>
          <w:szCs w:val="22"/>
        </w:rPr>
      </w:pPr>
      <w:r w:rsidRPr="00484460">
        <w:rPr>
          <w:b w:val="0"/>
          <w:spacing w:val="10"/>
          <w:sz w:val="22"/>
          <w:szCs w:val="22"/>
        </w:rPr>
        <w:t>En cuanto al diseño estadístico</w:t>
      </w:r>
      <w:r>
        <w:rPr>
          <w:b w:val="0"/>
          <w:spacing w:val="10"/>
          <w:sz w:val="22"/>
          <w:szCs w:val="22"/>
        </w:rPr>
        <w:t>, como se señaló anteriormente,</w:t>
      </w:r>
      <w:r w:rsidRPr="00484460">
        <w:rPr>
          <w:b w:val="0"/>
          <w:spacing w:val="10"/>
          <w:sz w:val="22"/>
          <w:szCs w:val="22"/>
        </w:rPr>
        <w:t xml:space="preserve"> la ENOE</w:t>
      </w:r>
      <w:r>
        <w:rPr>
          <w:b w:val="0"/>
          <w:spacing w:val="10"/>
          <w:sz w:val="22"/>
          <w:szCs w:val="22"/>
          <w:vertAlign w:val="superscript"/>
        </w:rPr>
        <w:t>N</w:t>
      </w:r>
      <w:r>
        <w:rPr>
          <w:b w:val="0"/>
          <w:spacing w:val="10"/>
          <w:sz w:val="22"/>
          <w:szCs w:val="22"/>
        </w:rPr>
        <w:t xml:space="preserve"> </w:t>
      </w:r>
      <w:r w:rsidRPr="00484460">
        <w:rPr>
          <w:b w:val="0"/>
          <w:spacing w:val="10"/>
          <w:sz w:val="22"/>
          <w:szCs w:val="22"/>
        </w:rPr>
        <w:t xml:space="preserve">sigue el </w:t>
      </w:r>
      <w:r>
        <w:rPr>
          <w:b w:val="0"/>
          <w:spacing w:val="10"/>
          <w:sz w:val="22"/>
          <w:szCs w:val="22"/>
        </w:rPr>
        <w:t xml:space="preserve">mismo </w:t>
      </w:r>
      <w:r w:rsidRPr="00484460">
        <w:rPr>
          <w:b w:val="0"/>
          <w:spacing w:val="10"/>
          <w:sz w:val="22"/>
          <w:szCs w:val="22"/>
        </w:rPr>
        <w:t xml:space="preserve">diseño muestral de </w:t>
      </w:r>
      <w:r>
        <w:rPr>
          <w:b w:val="0"/>
          <w:spacing w:val="10"/>
          <w:sz w:val="22"/>
          <w:szCs w:val="22"/>
        </w:rPr>
        <w:t xml:space="preserve">la </w:t>
      </w:r>
      <w:r w:rsidRPr="00484460">
        <w:rPr>
          <w:b w:val="0"/>
          <w:spacing w:val="10"/>
          <w:sz w:val="22"/>
          <w:szCs w:val="22"/>
        </w:rPr>
        <w:t xml:space="preserve">ENOE, </w:t>
      </w:r>
      <w:r>
        <w:rPr>
          <w:b w:val="0"/>
          <w:spacing w:val="10"/>
          <w:sz w:val="22"/>
          <w:szCs w:val="22"/>
        </w:rPr>
        <w:t xml:space="preserve">al tomarse </w:t>
      </w:r>
      <w:r w:rsidRPr="00484460">
        <w:rPr>
          <w:b w:val="0"/>
          <w:spacing w:val="10"/>
          <w:sz w:val="22"/>
          <w:szCs w:val="22"/>
        </w:rPr>
        <w:t xml:space="preserve">la muestra </w:t>
      </w:r>
      <w:r>
        <w:rPr>
          <w:b w:val="0"/>
          <w:spacing w:val="10"/>
          <w:sz w:val="22"/>
          <w:szCs w:val="22"/>
        </w:rPr>
        <w:t>correspondiente al</w:t>
      </w:r>
      <w:r w:rsidRPr="00484460">
        <w:rPr>
          <w:b w:val="0"/>
          <w:spacing w:val="10"/>
          <w:sz w:val="22"/>
          <w:szCs w:val="22"/>
        </w:rPr>
        <w:t xml:space="preserve"> </w:t>
      </w:r>
      <w:r w:rsidR="00177B20">
        <w:rPr>
          <w:b w:val="0"/>
          <w:spacing w:val="10"/>
          <w:sz w:val="22"/>
          <w:szCs w:val="22"/>
        </w:rPr>
        <w:t>primer</w:t>
      </w:r>
      <w:r w:rsidR="00177695">
        <w:rPr>
          <w:b w:val="0"/>
          <w:spacing w:val="10"/>
          <w:sz w:val="22"/>
          <w:szCs w:val="22"/>
        </w:rPr>
        <w:t xml:space="preserve"> trimestre</w:t>
      </w:r>
      <w:r>
        <w:rPr>
          <w:b w:val="0"/>
          <w:spacing w:val="10"/>
          <w:sz w:val="22"/>
          <w:szCs w:val="22"/>
        </w:rPr>
        <w:t xml:space="preserve"> </w:t>
      </w:r>
      <w:r w:rsidRPr="00484460">
        <w:rPr>
          <w:b w:val="0"/>
          <w:spacing w:val="10"/>
          <w:sz w:val="22"/>
          <w:szCs w:val="22"/>
        </w:rPr>
        <w:t xml:space="preserve">de </w:t>
      </w:r>
      <w:r w:rsidR="00177B20">
        <w:rPr>
          <w:b w:val="0"/>
          <w:spacing w:val="10"/>
          <w:sz w:val="22"/>
          <w:szCs w:val="22"/>
        </w:rPr>
        <w:t>2021</w:t>
      </w:r>
      <w:r>
        <w:rPr>
          <w:b w:val="0"/>
          <w:spacing w:val="10"/>
          <w:sz w:val="22"/>
          <w:szCs w:val="22"/>
        </w:rPr>
        <w:t xml:space="preserve"> para las entrevistas cara a cara y la muestra de viviendas de entrevistas telefónicas de la muestra del primer trimestre de </w:t>
      </w:r>
      <w:r w:rsidR="00177B20">
        <w:rPr>
          <w:b w:val="0"/>
          <w:spacing w:val="10"/>
          <w:sz w:val="22"/>
          <w:szCs w:val="22"/>
        </w:rPr>
        <w:t>202</w:t>
      </w:r>
      <w:r w:rsidR="00FE7EB9">
        <w:rPr>
          <w:b w:val="0"/>
          <w:spacing w:val="10"/>
          <w:sz w:val="22"/>
          <w:szCs w:val="22"/>
        </w:rPr>
        <w:t>0</w:t>
      </w:r>
      <w:r w:rsidRPr="00484460">
        <w:rPr>
          <w:b w:val="0"/>
          <w:spacing w:val="10"/>
          <w:sz w:val="22"/>
          <w:szCs w:val="22"/>
        </w:rPr>
        <w:t>.</w:t>
      </w:r>
      <w:r>
        <w:rPr>
          <w:b w:val="0"/>
          <w:spacing w:val="10"/>
          <w:sz w:val="22"/>
          <w:szCs w:val="22"/>
        </w:rPr>
        <w:t xml:space="preserve"> En</w:t>
      </w:r>
      <w:r w:rsidRPr="00484460">
        <w:rPr>
          <w:b w:val="0"/>
          <w:spacing w:val="10"/>
          <w:sz w:val="22"/>
          <w:szCs w:val="22"/>
        </w:rPr>
        <w:t xml:space="preserve"> </w:t>
      </w:r>
      <w:r w:rsidR="0095099D">
        <w:rPr>
          <w:b w:val="0"/>
          <w:spacing w:val="10"/>
          <w:sz w:val="22"/>
          <w:szCs w:val="22"/>
        </w:rPr>
        <w:t>este</w:t>
      </w:r>
      <w:r w:rsidR="00177695">
        <w:rPr>
          <w:b w:val="0"/>
          <w:spacing w:val="10"/>
          <w:sz w:val="22"/>
          <w:szCs w:val="22"/>
        </w:rPr>
        <w:t xml:space="preserve"> trimestre</w:t>
      </w:r>
      <w:r w:rsidRPr="00484460">
        <w:rPr>
          <w:b w:val="0"/>
          <w:spacing w:val="10"/>
          <w:sz w:val="22"/>
          <w:szCs w:val="22"/>
        </w:rPr>
        <w:t>, la E</w:t>
      </w:r>
      <w:r>
        <w:rPr>
          <w:b w:val="0"/>
          <w:spacing w:val="10"/>
          <w:sz w:val="22"/>
          <w:szCs w:val="22"/>
        </w:rPr>
        <w:t>N</w:t>
      </w:r>
      <w:r w:rsidRPr="00484460">
        <w:rPr>
          <w:b w:val="0"/>
          <w:spacing w:val="10"/>
          <w:sz w:val="22"/>
          <w:szCs w:val="22"/>
        </w:rPr>
        <w:t>OE</w:t>
      </w:r>
      <w:r>
        <w:rPr>
          <w:b w:val="0"/>
          <w:spacing w:val="10"/>
          <w:sz w:val="22"/>
          <w:szCs w:val="22"/>
          <w:vertAlign w:val="superscript"/>
        </w:rPr>
        <w:t>N</w:t>
      </w:r>
      <w:r w:rsidRPr="00484460">
        <w:rPr>
          <w:b w:val="0"/>
          <w:spacing w:val="10"/>
          <w:sz w:val="22"/>
          <w:szCs w:val="22"/>
        </w:rPr>
        <w:t xml:space="preserve"> </w:t>
      </w:r>
      <w:r>
        <w:rPr>
          <w:b w:val="0"/>
          <w:spacing w:val="10"/>
          <w:sz w:val="22"/>
          <w:szCs w:val="22"/>
        </w:rPr>
        <w:t>estimó los ponderadores de la encuesta igual que se realizaba en la ENOE</w:t>
      </w:r>
      <w:r w:rsidR="0095099D">
        <w:rPr>
          <w:b w:val="0"/>
          <w:spacing w:val="10"/>
          <w:sz w:val="22"/>
          <w:szCs w:val="22"/>
        </w:rPr>
        <w:t>.</w:t>
      </w:r>
    </w:p>
    <w:p w14:paraId="4915AC83" w14:textId="77777777" w:rsidR="00806D35" w:rsidRDefault="00806D35" w:rsidP="009749DA">
      <w:pPr>
        <w:pStyle w:val="Prrafodelista"/>
        <w:spacing w:after="0" w:line="240" w:lineRule="auto"/>
        <w:ind w:left="0" w:right="49"/>
        <w:rPr>
          <w:rFonts w:ascii="Arial" w:eastAsia="Times New Roman" w:hAnsi="Arial" w:cs="Arial"/>
          <w:b/>
          <w:bCs/>
          <w:spacing w:val="10"/>
          <w:lang w:val="es-ES_tradnl" w:eastAsia="es-ES"/>
        </w:rPr>
      </w:pPr>
    </w:p>
    <w:p w14:paraId="5F880CB5" w14:textId="77777777" w:rsidR="00252EDE" w:rsidRPr="003E6E0C" w:rsidRDefault="00252EDE" w:rsidP="009749DA">
      <w:pPr>
        <w:pStyle w:val="Prrafodelista"/>
        <w:numPr>
          <w:ilvl w:val="0"/>
          <w:numId w:val="24"/>
        </w:numPr>
        <w:spacing w:after="0" w:line="240" w:lineRule="auto"/>
        <w:ind w:left="0" w:right="49" w:firstLine="0"/>
        <w:rPr>
          <w:rFonts w:ascii="Arial" w:eastAsia="Times New Roman" w:hAnsi="Arial" w:cs="Arial"/>
          <w:b/>
          <w:bCs/>
          <w:spacing w:val="10"/>
          <w:lang w:val="es-ES_tradnl" w:eastAsia="es-ES"/>
        </w:rPr>
      </w:pPr>
      <w:r w:rsidRPr="003E6E0C">
        <w:rPr>
          <w:rFonts w:ascii="Arial" w:eastAsia="Times New Roman" w:hAnsi="Arial" w:cs="Arial"/>
          <w:b/>
          <w:bCs/>
          <w:spacing w:val="10"/>
          <w:lang w:val="es-ES_tradnl" w:eastAsia="es-ES"/>
        </w:rPr>
        <w:t>Diseño conceptual</w:t>
      </w:r>
    </w:p>
    <w:p w14:paraId="015C63E9" w14:textId="77777777" w:rsidR="00252EDE" w:rsidRPr="006E2E20" w:rsidRDefault="00252EDE" w:rsidP="009749DA">
      <w:pPr>
        <w:spacing w:after="0" w:line="240" w:lineRule="auto"/>
        <w:ind w:right="49"/>
        <w:jc w:val="both"/>
        <w:rPr>
          <w:rFonts w:ascii="Arial" w:hAnsi="Arial" w:cs="Arial"/>
        </w:rPr>
      </w:pPr>
    </w:p>
    <w:p w14:paraId="50718130" w14:textId="77777777" w:rsidR="00252EDE" w:rsidRPr="003E6E0C" w:rsidRDefault="00252EDE" w:rsidP="009749DA">
      <w:pPr>
        <w:spacing w:after="0" w:line="240" w:lineRule="auto"/>
        <w:ind w:right="49"/>
        <w:jc w:val="both"/>
        <w:rPr>
          <w:rFonts w:ascii="Arial" w:eastAsia="Times New Roman" w:hAnsi="Arial" w:cs="Arial"/>
          <w:bCs/>
          <w:spacing w:val="10"/>
          <w:lang w:val="es-ES_tradnl" w:eastAsia="es-ES"/>
        </w:rPr>
      </w:pPr>
      <w:r w:rsidRPr="003E6E0C">
        <w:rPr>
          <w:rFonts w:ascii="Arial" w:eastAsia="Times New Roman" w:hAnsi="Arial" w:cs="Arial"/>
          <w:bCs/>
          <w:spacing w:val="10"/>
          <w:lang w:val="es-ES_tradnl" w:eastAsia="es-ES"/>
        </w:rPr>
        <w:t xml:space="preserve">El diseño conceptual de la </w:t>
      </w:r>
      <w:r w:rsidR="00E27274">
        <w:rPr>
          <w:rFonts w:ascii="Arial" w:eastAsia="Times New Roman" w:hAnsi="Arial" w:cs="Arial"/>
          <w:bCs/>
          <w:spacing w:val="10"/>
          <w:lang w:val="es-ES_tradnl" w:eastAsia="es-ES"/>
        </w:rPr>
        <w:t xml:space="preserve">Encuesta </w:t>
      </w:r>
      <w:r w:rsidR="00821589">
        <w:rPr>
          <w:rFonts w:ascii="Arial" w:eastAsia="Times New Roman" w:hAnsi="Arial" w:cs="Arial"/>
          <w:bCs/>
          <w:spacing w:val="10"/>
          <w:lang w:val="es-ES_tradnl" w:eastAsia="es-ES"/>
        </w:rPr>
        <w:t xml:space="preserve">Nacional </w:t>
      </w:r>
      <w:r w:rsidR="00E27274">
        <w:rPr>
          <w:rFonts w:ascii="Arial" w:eastAsia="Times New Roman" w:hAnsi="Arial" w:cs="Arial"/>
          <w:bCs/>
          <w:spacing w:val="10"/>
          <w:lang w:val="es-ES_tradnl" w:eastAsia="es-ES"/>
        </w:rPr>
        <w:t>de Ocupación y Empleo</w:t>
      </w:r>
      <w:r w:rsidR="0099487C">
        <w:rPr>
          <w:rFonts w:ascii="Arial" w:eastAsia="Times New Roman" w:hAnsi="Arial" w:cs="Arial"/>
          <w:bCs/>
          <w:spacing w:val="10"/>
          <w:lang w:val="es-ES_tradnl" w:eastAsia="es-ES"/>
        </w:rPr>
        <w:t xml:space="preserve">. </w:t>
      </w:r>
      <w:r w:rsidR="002B3CA4">
        <w:rPr>
          <w:rFonts w:ascii="Arial" w:eastAsia="Times New Roman" w:hAnsi="Arial" w:cs="Arial"/>
          <w:bCs/>
          <w:spacing w:val="10"/>
          <w:lang w:val="es-ES_tradnl" w:eastAsia="es-ES"/>
        </w:rPr>
        <w:t xml:space="preserve">Nueva Edición </w:t>
      </w:r>
      <w:r w:rsidR="00E27274">
        <w:rPr>
          <w:rFonts w:ascii="Arial" w:eastAsia="Times New Roman" w:hAnsi="Arial" w:cs="Arial"/>
          <w:bCs/>
          <w:spacing w:val="10"/>
          <w:lang w:val="es-ES_tradnl" w:eastAsia="es-ES"/>
        </w:rPr>
        <w:t>(E</w:t>
      </w:r>
      <w:r w:rsidR="00821589">
        <w:rPr>
          <w:rFonts w:ascii="Arial" w:eastAsia="Times New Roman" w:hAnsi="Arial" w:cs="Arial"/>
          <w:bCs/>
          <w:spacing w:val="10"/>
          <w:lang w:val="es-ES_tradnl" w:eastAsia="es-ES"/>
        </w:rPr>
        <w:t>N</w:t>
      </w:r>
      <w:r w:rsidR="00E27274">
        <w:rPr>
          <w:rFonts w:ascii="Arial" w:eastAsia="Times New Roman" w:hAnsi="Arial" w:cs="Arial"/>
          <w:bCs/>
          <w:spacing w:val="10"/>
          <w:lang w:val="es-ES_tradnl" w:eastAsia="es-ES"/>
        </w:rPr>
        <w:t>OE</w:t>
      </w:r>
      <w:r w:rsidR="00F66482">
        <w:rPr>
          <w:rFonts w:ascii="Arial" w:eastAsia="Times New Roman" w:hAnsi="Arial" w:cs="Arial"/>
          <w:bCs/>
          <w:spacing w:val="10"/>
          <w:vertAlign w:val="superscript"/>
          <w:lang w:val="es-ES_tradnl" w:eastAsia="es-ES"/>
        </w:rPr>
        <w:t>N</w:t>
      </w:r>
      <w:r w:rsidR="00E27274">
        <w:rPr>
          <w:rFonts w:ascii="Arial" w:eastAsia="Times New Roman" w:hAnsi="Arial" w:cs="Arial"/>
          <w:bCs/>
          <w:spacing w:val="10"/>
          <w:lang w:val="es-ES_tradnl" w:eastAsia="es-ES"/>
        </w:rPr>
        <w:t>)</w:t>
      </w:r>
      <w:r w:rsidRPr="003E6E0C">
        <w:rPr>
          <w:rFonts w:ascii="Arial" w:eastAsia="Times New Roman" w:hAnsi="Arial" w:cs="Arial"/>
          <w:bCs/>
          <w:spacing w:val="10"/>
          <w:lang w:val="es-ES_tradnl" w:eastAsia="es-ES"/>
        </w:rPr>
        <w:t xml:space="preserve"> </w:t>
      </w:r>
      <w:r w:rsidR="00821589">
        <w:rPr>
          <w:rFonts w:ascii="Arial" w:eastAsia="Times New Roman" w:hAnsi="Arial" w:cs="Arial"/>
          <w:bCs/>
          <w:spacing w:val="10"/>
          <w:lang w:val="es-ES_tradnl" w:eastAsia="es-ES"/>
        </w:rPr>
        <w:t>mantiene el mismo</w:t>
      </w:r>
      <w:r w:rsidRPr="003E6E0C">
        <w:rPr>
          <w:rFonts w:ascii="Arial" w:eastAsia="Times New Roman" w:hAnsi="Arial" w:cs="Arial"/>
          <w:bCs/>
          <w:spacing w:val="10"/>
          <w:lang w:val="es-ES_tradnl" w:eastAsia="es-ES"/>
        </w:rPr>
        <w:t xml:space="preserve"> marco conceptual de la Encuesta Nacion</w:t>
      </w:r>
      <w:r w:rsidR="00821589">
        <w:rPr>
          <w:rFonts w:ascii="Arial" w:eastAsia="Times New Roman" w:hAnsi="Arial" w:cs="Arial"/>
          <w:bCs/>
          <w:spacing w:val="10"/>
          <w:lang w:val="es-ES_tradnl" w:eastAsia="es-ES"/>
        </w:rPr>
        <w:t>al de Ocupación y Empleo (ENOE), el cual es</w:t>
      </w:r>
      <w:r w:rsidRPr="003E6E0C">
        <w:rPr>
          <w:rFonts w:ascii="Arial" w:eastAsia="Times New Roman" w:hAnsi="Arial" w:cs="Arial"/>
          <w:bCs/>
          <w:spacing w:val="10"/>
          <w:lang w:val="es-ES_tradnl" w:eastAsia="es-ES"/>
        </w:rPr>
        <w:t xml:space="preserve"> acorde con las recomendaciones internacionales de la Organización Internacional del Trabajo (OIT) y los lineamientos de la Organización para la Cooperación y el Desarrollo Económicos (OCDE)</w:t>
      </w:r>
      <w:r w:rsidR="004E678C">
        <w:rPr>
          <w:rFonts w:ascii="Arial" w:eastAsia="Times New Roman" w:hAnsi="Arial" w:cs="Arial"/>
          <w:bCs/>
          <w:spacing w:val="10"/>
          <w:lang w:val="es-ES_tradnl" w:eastAsia="es-ES"/>
        </w:rPr>
        <w:t xml:space="preserve">, inscritas en </w:t>
      </w:r>
      <w:r w:rsidRPr="003E6E0C">
        <w:rPr>
          <w:rFonts w:ascii="Arial" w:eastAsia="Times New Roman" w:hAnsi="Arial" w:cs="Arial"/>
          <w:bCs/>
          <w:spacing w:val="10"/>
          <w:lang w:val="es-ES_tradnl" w:eastAsia="es-ES"/>
        </w:rPr>
        <w:t>las resoluciones en materia de estadísticas del trabajo de la 13</w:t>
      </w:r>
      <w:r w:rsidR="00F02F3A">
        <w:rPr>
          <w:rFonts w:ascii="Arial" w:eastAsia="Times New Roman" w:hAnsi="Arial" w:cs="Arial"/>
          <w:bCs/>
          <w:spacing w:val="10"/>
          <w:lang w:val="es-ES_tradnl" w:eastAsia="es-ES"/>
        </w:rPr>
        <w:t>ª</w:t>
      </w:r>
      <w:r w:rsidRPr="003E6E0C">
        <w:rPr>
          <w:rFonts w:ascii="Arial" w:eastAsia="Times New Roman" w:hAnsi="Arial" w:cs="Arial"/>
          <w:bCs/>
          <w:spacing w:val="10"/>
          <w:lang w:val="es-ES_tradnl" w:eastAsia="es-ES"/>
        </w:rPr>
        <w:t>, 15</w:t>
      </w:r>
      <w:r w:rsidR="00F02F3A">
        <w:rPr>
          <w:rFonts w:ascii="Arial" w:eastAsia="Times New Roman" w:hAnsi="Arial" w:cs="Arial"/>
          <w:bCs/>
          <w:spacing w:val="10"/>
          <w:lang w:val="es-ES_tradnl" w:eastAsia="es-ES"/>
        </w:rPr>
        <w:t>ª</w:t>
      </w:r>
      <w:r w:rsidRPr="003E6E0C">
        <w:rPr>
          <w:rFonts w:ascii="Arial" w:eastAsia="Times New Roman" w:hAnsi="Arial" w:cs="Arial"/>
          <w:bCs/>
          <w:spacing w:val="10"/>
          <w:lang w:val="es-ES_tradnl" w:eastAsia="es-ES"/>
        </w:rPr>
        <w:t>, 16</w:t>
      </w:r>
      <w:r w:rsidR="00F02F3A">
        <w:rPr>
          <w:rFonts w:ascii="Arial" w:eastAsia="Times New Roman" w:hAnsi="Arial" w:cs="Arial"/>
          <w:bCs/>
          <w:spacing w:val="10"/>
          <w:lang w:val="es-ES_tradnl" w:eastAsia="es-ES"/>
        </w:rPr>
        <w:t>ª</w:t>
      </w:r>
      <w:r w:rsidRPr="003E6E0C">
        <w:rPr>
          <w:rFonts w:ascii="Arial" w:eastAsia="Times New Roman" w:hAnsi="Arial" w:cs="Arial"/>
          <w:bCs/>
          <w:spacing w:val="10"/>
          <w:lang w:val="es-ES_tradnl" w:eastAsia="es-ES"/>
        </w:rPr>
        <w:t xml:space="preserve"> y 18</w:t>
      </w:r>
      <w:r w:rsidR="00F02F3A">
        <w:rPr>
          <w:rFonts w:ascii="Arial" w:eastAsia="Times New Roman" w:hAnsi="Arial" w:cs="Arial"/>
          <w:bCs/>
          <w:spacing w:val="10"/>
          <w:lang w:val="es-ES_tradnl" w:eastAsia="es-ES"/>
        </w:rPr>
        <w:t>ª</w:t>
      </w:r>
      <w:r w:rsidRPr="003E6E0C">
        <w:rPr>
          <w:rFonts w:ascii="Arial" w:eastAsia="Times New Roman" w:hAnsi="Arial" w:cs="Arial"/>
          <w:bCs/>
          <w:spacing w:val="10"/>
          <w:lang w:val="es-ES_tradnl" w:eastAsia="es-ES"/>
        </w:rPr>
        <w:t xml:space="preserve"> Conferencia Internacional de Estadísticos del Trabajo (CIET).</w:t>
      </w:r>
      <w:r w:rsidR="00472882">
        <w:rPr>
          <w:rFonts w:ascii="Arial" w:eastAsia="Times New Roman" w:hAnsi="Arial" w:cs="Arial"/>
          <w:bCs/>
          <w:spacing w:val="10"/>
          <w:lang w:val="es-ES_tradnl" w:eastAsia="es-ES"/>
        </w:rPr>
        <w:t xml:space="preserve"> </w:t>
      </w:r>
    </w:p>
    <w:p w14:paraId="2D75FA56" w14:textId="77777777" w:rsidR="00252EDE" w:rsidRPr="006E2E20" w:rsidRDefault="00252EDE" w:rsidP="009749DA">
      <w:pPr>
        <w:spacing w:after="0" w:line="240" w:lineRule="auto"/>
        <w:ind w:right="49"/>
        <w:jc w:val="both"/>
        <w:rPr>
          <w:rFonts w:ascii="Arial" w:hAnsi="Arial" w:cs="Arial"/>
        </w:rPr>
      </w:pPr>
    </w:p>
    <w:p w14:paraId="221189C3" w14:textId="77777777" w:rsidR="00252EDE" w:rsidRPr="001530F2" w:rsidRDefault="00252EDE" w:rsidP="009749DA">
      <w:pPr>
        <w:pStyle w:val="Prrafodelista"/>
        <w:numPr>
          <w:ilvl w:val="0"/>
          <w:numId w:val="19"/>
        </w:numPr>
        <w:spacing w:after="0" w:line="240" w:lineRule="auto"/>
        <w:ind w:right="49"/>
        <w:rPr>
          <w:rFonts w:ascii="Arial" w:eastAsia="Times New Roman" w:hAnsi="Arial" w:cs="Arial"/>
          <w:b/>
          <w:bCs/>
          <w:spacing w:val="10"/>
          <w:lang w:val="es-ES_tradnl" w:eastAsia="es-ES"/>
        </w:rPr>
      </w:pPr>
      <w:bookmarkStart w:id="3" w:name="_Toc40113478"/>
      <w:r w:rsidRPr="003E6E0C">
        <w:rPr>
          <w:rFonts w:ascii="Arial" w:eastAsia="Times New Roman" w:hAnsi="Arial" w:cs="Arial"/>
          <w:b/>
          <w:bCs/>
          <w:spacing w:val="10"/>
          <w:lang w:val="es-ES_tradnl" w:eastAsia="es-ES"/>
        </w:rPr>
        <w:t>Objetivo general</w:t>
      </w:r>
      <w:bookmarkEnd w:id="3"/>
    </w:p>
    <w:p w14:paraId="15DED37C" w14:textId="77777777" w:rsidR="00343375" w:rsidRDefault="00343375" w:rsidP="009749DA">
      <w:pPr>
        <w:spacing w:after="0" w:line="240" w:lineRule="auto"/>
        <w:ind w:right="49"/>
        <w:jc w:val="both"/>
        <w:rPr>
          <w:rFonts w:ascii="Arial" w:eastAsia="Times New Roman" w:hAnsi="Arial" w:cs="Arial"/>
          <w:bCs/>
          <w:spacing w:val="10"/>
          <w:lang w:val="es-ES_tradnl" w:eastAsia="es-ES"/>
        </w:rPr>
      </w:pPr>
    </w:p>
    <w:p w14:paraId="20640721" w14:textId="77777777" w:rsidR="00252EDE" w:rsidRPr="003E6E0C" w:rsidRDefault="00252EDE" w:rsidP="009749DA">
      <w:pPr>
        <w:spacing w:after="0" w:line="240" w:lineRule="auto"/>
        <w:ind w:right="49"/>
        <w:jc w:val="both"/>
        <w:rPr>
          <w:rFonts w:ascii="Arial" w:eastAsia="Times New Roman" w:hAnsi="Arial" w:cs="Arial"/>
          <w:bCs/>
          <w:spacing w:val="10"/>
          <w:lang w:val="es-ES_tradnl" w:eastAsia="es-ES"/>
        </w:rPr>
      </w:pPr>
      <w:r w:rsidRPr="003E6E0C">
        <w:rPr>
          <w:rFonts w:ascii="Arial" w:eastAsia="Times New Roman" w:hAnsi="Arial" w:cs="Arial"/>
          <w:bCs/>
          <w:spacing w:val="10"/>
          <w:lang w:val="es-ES_tradnl" w:eastAsia="es-ES"/>
        </w:rPr>
        <w:t xml:space="preserve">Obtener información estadística sobre las características ocupacionales de la población de 15 </w:t>
      </w:r>
      <w:r w:rsidR="00E27274">
        <w:rPr>
          <w:rFonts w:ascii="Arial" w:eastAsia="Times New Roman" w:hAnsi="Arial" w:cs="Arial"/>
          <w:bCs/>
          <w:spacing w:val="10"/>
          <w:lang w:val="es-ES_tradnl" w:eastAsia="es-ES"/>
        </w:rPr>
        <w:t xml:space="preserve">y más </w:t>
      </w:r>
      <w:r w:rsidRPr="003E6E0C">
        <w:rPr>
          <w:rFonts w:ascii="Arial" w:eastAsia="Times New Roman" w:hAnsi="Arial" w:cs="Arial"/>
          <w:bCs/>
          <w:spacing w:val="10"/>
          <w:lang w:val="es-ES_tradnl" w:eastAsia="es-ES"/>
        </w:rPr>
        <w:t>años a nivel nacional, así como de variables demográficas y económicas para el análisis de la fuerza de trabajo, la toma de decisiones, el diseño y seguimiento de las políticas laborales.</w:t>
      </w:r>
    </w:p>
    <w:p w14:paraId="0FBFD6A6" w14:textId="77777777" w:rsidR="00252EDE" w:rsidRPr="001530F2" w:rsidRDefault="00252EDE" w:rsidP="009749DA">
      <w:pPr>
        <w:pStyle w:val="Prrafodelista"/>
        <w:numPr>
          <w:ilvl w:val="0"/>
          <w:numId w:val="19"/>
        </w:numPr>
        <w:spacing w:after="0" w:line="240" w:lineRule="auto"/>
        <w:ind w:right="49"/>
        <w:rPr>
          <w:rFonts w:ascii="Arial" w:eastAsia="Times New Roman" w:hAnsi="Arial" w:cs="Arial"/>
          <w:b/>
          <w:bCs/>
          <w:spacing w:val="10"/>
          <w:lang w:val="es-ES_tradnl" w:eastAsia="es-ES"/>
        </w:rPr>
      </w:pPr>
      <w:bookmarkStart w:id="4" w:name="_Toc40113480"/>
      <w:r w:rsidRPr="003E6E0C">
        <w:rPr>
          <w:rFonts w:ascii="Arial" w:eastAsia="Times New Roman" w:hAnsi="Arial" w:cs="Arial"/>
          <w:b/>
          <w:bCs/>
          <w:spacing w:val="10"/>
          <w:lang w:val="es-ES_tradnl" w:eastAsia="es-ES"/>
        </w:rPr>
        <w:lastRenderedPageBreak/>
        <w:t>Instrumentos de captación</w:t>
      </w:r>
    </w:p>
    <w:p w14:paraId="4D9A4917" w14:textId="77777777" w:rsidR="00343375" w:rsidRDefault="00343375" w:rsidP="009749DA">
      <w:pPr>
        <w:spacing w:after="0" w:line="240" w:lineRule="auto"/>
        <w:ind w:right="49"/>
        <w:jc w:val="both"/>
        <w:rPr>
          <w:rFonts w:ascii="Arial" w:eastAsia="Times New Roman" w:hAnsi="Arial" w:cs="Arial"/>
          <w:bCs/>
          <w:spacing w:val="10"/>
          <w:lang w:val="es-ES_tradnl" w:eastAsia="es-ES"/>
        </w:rPr>
      </w:pPr>
    </w:p>
    <w:p w14:paraId="32F2C655" w14:textId="5E73A7C8" w:rsidR="00252EDE" w:rsidRPr="003E6E0C" w:rsidRDefault="00252EDE" w:rsidP="009749DA">
      <w:pPr>
        <w:spacing w:after="0" w:line="240" w:lineRule="auto"/>
        <w:ind w:right="49"/>
        <w:jc w:val="both"/>
        <w:rPr>
          <w:rFonts w:ascii="Arial" w:eastAsia="Times New Roman" w:hAnsi="Arial" w:cs="Arial"/>
          <w:bCs/>
          <w:spacing w:val="10"/>
          <w:lang w:val="es-ES_tradnl" w:eastAsia="es-ES"/>
        </w:rPr>
      </w:pPr>
      <w:r w:rsidRPr="003E6E0C">
        <w:rPr>
          <w:rFonts w:ascii="Arial" w:eastAsia="Times New Roman" w:hAnsi="Arial" w:cs="Arial"/>
          <w:bCs/>
          <w:spacing w:val="10"/>
          <w:lang w:val="es-ES_tradnl" w:eastAsia="es-ES"/>
        </w:rPr>
        <w:t xml:space="preserve">Se aplicaron los mismos cuestionarios </w:t>
      </w:r>
      <w:r w:rsidR="00E27274">
        <w:rPr>
          <w:rFonts w:ascii="Arial" w:eastAsia="Times New Roman" w:hAnsi="Arial" w:cs="Arial"/>
          <w:bCs/>
          <w:spacing w:val="10"/>
          <w:lang w:val="es-ES_tradnl" w:eastAsia="es-ES"/>
        </w:rPr>
        <w:t>S</w:t>
      </w:r>
      <w:r w:rsidR="00E27274" w:rsidRPr="003E6E0C">
        <w:rPr>
          <w:rFonts w:ascii="Arial" w:eastAsia="Times New Roman" w:hAnsi="Arial" w:cs="Arial"/>
          <w:bCs/>
          <w:spacing w:val="10"/>
          <w:lang w:val="es-ES_tradnl" w:eastAsia="es-ES"/>
        </w:rPr>
        <w:t xml:space="preserve">ociodemográfico </w:t>
      </w:r>
      <w:r w:rsidR="00E27274">
        <w:rPr>
          <w:rFonts w:ascii="Arial" w:eastAsia="Times New Roman" w:hAnsi="Arial" w:cs="Arial"/>
          <w:bCs/>
          <w:spacing w:val="10"/>
          <w:lang w:val="es-ES_tradnl" w:eastAsia="es-ES"/>
        </w:rPr>
        <w:t xml:space="preserve">(CS) </w:t>
      </w:r>
      <w:r w:rsidRPr="003E6E0C">
        <w:rPr>
          <w:rFonts w:ascii="Arial" w:eastAsia="Times New Roman" w:hAnsi="Arial" w:cs="Arial"/>
          <w:bCs/>
          <w:spacing w:val="10"/>
          <w:lang w:val="es-ES_tradnl" w:eastAsia="es-ES"/>
        </w:rPr>
        <w:t xml:space="preserve">y de </w:t>
      </w:r>
      <w:r w:rsidR="00E27274">
        <w:rPr>
          <w:rFonts w:ascii="Arial" w:eastAsia="Times New Roman" w:hAnsi="Arial" w:cs="Arial"/>
          <w:bCs/>
          <w:spacing w:val="10"/>
          <w:lang w:val="es-ES_tradnl" w:eastAsia="es-ES"/>
        </w:rPr>
        <w:t>O</w:t>
      </w:r>
      <w:r w:rsidR="00E27274" w:rsidRPr="003E6E0C">
        <w:rPr>
          <w:rFonts w:ascii="Arial" w:eastAsia="Times New Roman" w:hAnsi="Arial" w:cs="Arial"/>
          <w:bCs/>
          <w:spacing w:val="10"/>
          <w:lang w:val="es-ES_tradnl" w:eastAsia="es-ES"/>
        </w:rPr>
        <w:t xml:space="preserve">cupación </w:t>
      </w:r>
      <w:r w:rsidRPr="003E6E0C">
        <w:rPr>
          <w:rFonts w:ascii="Arial" w:eastAsia="Times New Roman" w:hAnsi="Arial" w:cs="Arial"/>
          <w:bCs/>
          <w:spacing w:val="10"/>
          <w:lang w:val="es-ES_tradnl" w:eastAsia="es-ES"/>
        </w:rPr>
        <w:t xml:space="preserve">y </w:t>
      </w:r>
      <w:r w:rsidR="00E27274">
        <w:rPr>
          <w:rFonts w:ascii="Arial" w:eastAsia="Times New Roman" w:hAnsi="Arial" w:cs="Arial"/>
          <w:bCs/>
          <w:spacing w:val="10"/>
          <w:lang w:val="es-ES_tradnl" w:eastAsia="es-ES"/>
        </w:rPr>
        <w:t>E</w:t>
      </w:r>
      <w:r w:rsidR="00E27274" w:rsidRPr="003E6E0C">
        <w:rPr>
          <w:rFonts w:ascii="Arial" w:eastAsia="Times New Roman" w:hAnsi="Arial" w:cs="Arial"/>
          <w:bCs/>
          <w:spacing w:val="10"/>
          <w:lang w:val="es-ES_tradnl" w:eastAsia="es-ES"/>
        </w:rPr>
        <w:t>mpleo</w:t>
      </w:r>
      <w:r w:rsidR="00E27274">
        <w:rPr>
          <w:rFonts w:ascii="Arial" w:eastAsia="Times New Roman" w:hAnsi="Arial" w:cs="Arial"/>
          <w:bCs/>
          <w:spacing w:val="10"/>
          <w:lang w:val="es-ES_tradnl" w:eastAsia="es-ES"/>
        </w:rPr>
        <w:t xml:space="preserve"> (COE)</w:t>
      </w:r>
      <w:r w:rsidR="00E27274" w:rsidRPr="003E6E0C">
        <w:rPr>
          <w:rFonts w:ascii="Arial" w:eastAsia="Times New Roman" w:hAnsi="Arial" w:cs="Arial"/>
          <w:bCs/>
          <w:spacing w:val="10"/>
          <w:lang w:val="es-ES_tradnl" w:eastAsia="es-ES"/>
        </w:rPr>
        <w:t xml:space="preserve"> </w:t>
      </w:r>
      <w:r w:rsidR="00FE7EB9">
        <w:rPr>
          <w:rFonts w:ascii="Arial" w:eastAsia="Times New Roman" w:hAnsi="Arial" w:cs="Arial"/>
          <w:bCs/>
          <w:spacing w:val="10"/>
          <w:lang w:val="es-ES_tradnl" w:eastAsia="es-ES"/>
        </w:rPr>
        <w:t>ampliado</w:t>
      </w:r>
      <w:r w:rsidRPr="003E6E0C">
        <w:rPr>
          <w:rFonts w:ascii="Arial" w:eastAsia="Times New Roman" w:hAnsi="Arial" w:cs="Arial"/>
          <w:bCs/>
          <w:spacing w:val="10"/>
          <w:lang w:val="es-ES_tradnl" w:eastAsia="es-ES"/>
        </w:rPr>
        <w:t xml:space="preserve"> de la Encuesta Nacional de Ocupación y Empleo (ENOE)</w:t>
      </w:r>
      <w:r w:rsidR="00E27274">
        <w:rPr>
          <w:rFonts w:ascii="Arial" w:eastAsia="Times New Roman" w:hAnsi="Arial" w:cs="Arial"/>
          <w:bCs/>
          <w:spacing w:val="10"/>
          <w:lang w:val="es-ES_tradnl" w:eastAsia="es-ES"/>
        </w:rPr>
        <w:t>,</w:t>
      </w:r>
      <w:r w:rsidRPr="003E6E0C">
        <w:rPr>
          <w:rFonts w:ascii="Arial" w:eastAsia="Times New Roman" w:hAnsi="Arial" w:cs="Arial"/>
          <w:bCs/>
          <w:spacing w:val="10"/>
          <w:lang w:val="es-ES_tradnl" w:eastAsia="es-ES"/>
        </w:rPr>
        <w:t xml:space="preserve"> </w:t>
      </w:r>
      <w:r w:rsidR="00E27274">
        <w:rPr>
          <w:rFonts w:ascii="Arial" w:eastAsia="Times New Roman" w:hAnsi="Arial" w:cs="Arial"/>
          <w:bCs/>
          <w:spacing w:val="10"/>
          <w:lang w:val="es-ES_tradnl" w:eastAsia="es-ES"/>
        </w:rPr>
        <w:t>e</w:t>
      </w:r>
      <w:r w:rsidRPr="003E6E0C">
        <w:rPr>
          <w:rFonts w:ascii="Arial" w:eastAsia="Times New Roman" w:hAnsi="Arial" w:cs="Arial"/>
          <w:bCs/>
          <w:spacing w:val="10"/>
          <w:lang w:val="es-ES_tradnl" w:eastAsia="es-ES"/>
        </w:rPr>
        <w:t>s decir, no se realizaron modificaciones en los instrumentos de captación de la encuesta.</w:t>
      </w:r>
    </w:p>
    <w:p w14:paraId="26AF6F97" w14:textId="77777777" w:rsidR="00252EDE" w:rsidRPr="006E2E20" w:rsidRDefault="00252EDE" w:rsidP="009749DA">
      <w:pPr>
        <w:spacing w:after="0" w:line="240" w:lineRule="auto"/>
        <w:ind w:right="49"/>
        <w:jc w:val="both"/>
        <w:rPr>
          <w:rFonts w:ascii="Arial" w:hAnsi="Arial" w:cs="Arial"/>
        </w:rPr>
      </w:pPr>
    </w:p>
    <w:p w14:paraId="3358BCFD" w14:textId="77777777" w:rsidR="00252EDE" w:rsidRPr="001530F2" w:rsidRDefault="00252EDE" w:rsidP="009749DA">
      <w:pPr>
        <w:pStyle w:val="Prrafodelista"/>
        <w:numPr>
          <w:ilvl w:val="0"/>
          <w:numId w:val="19"/>
        </w:numPr>
        <w:spacing w:after="0" w:line="240" w:lineRule="auto"/>
        <w:ind w:right="49"/>
        <w:rPr>
          <w:rFonts w:ascii="Arial" w:eastAsia="Times New Roman" w:hAnsi="Arial" w:cs="Arial"/>
          <w:b/>
          <w:bCs/>
          <w:spacing w:val="10"/>
          <w:lang w:val="es-ES_tradnl" w:eastAsia="es-ES"/>
        </w:rPr>
      </w:pPr>
      <w:r w:rsidRPr="003E6E0C">
        <w:rPr>
          <w:rFonts w:ascii="Arial" w:eastAsia="Times New Roman" w:hAnsi="Arial" w:cs="Arial"/>
          <w:b/>
          <w:bCs/>
          <w:spacing w:val="10"/>
          <w:lang w:val="es-ES_tradnl" w:eastAsia="es-ES"/>
        </w:rPr>
        <w:t>Informante de la encuesta</w:t>
      </w:r>
    </w:p>
    <w:p w14:paraId="6E56F42C" w14:textId="77777777" w:rsidR="00343375" w:rsidRDefault="00343375" w:rsidP="009749DA">
      <w:pPr>
        <w:spacing w:after="0" w:line="240" w:lineRule="auto"/>
        <w:ind w:right="49"/>
        <w:jc w:val="both"/>
        <w:rPr>
          <w:rFonts w:ascii="Arial" w:eastAsia="Times New Roman" w:hAnsi="Arial" w:cs="Arial"/>
          <w:bCs/>
          <w:spacing w:val="10"/>
          <w:lang w:val="es-ES_tradnl" w:eastAsia="es-ES"/>
        </w:rPr>
      </w:pPr>
    </w:p>
    <w:p w14:paraId="18E23A04" w14:textId="77777777" w:rsidR="00252EDE" w:rsidRPr="003E6E0C" w:rsidRDefault="00252EDE" w:rsidP="009749DA">
      <w:pPr>
        <w:spacing w:after="0" w:line="240" w:lineRule="auto"/>
        <w:ind w:right="49"/>
        <w:jc w:val="both"/>
        <w:rPr>
          <w:rFonts w:ascii="Arial" w:eastAsia="Times New Roman" w:hAnsi="Arial" w:cs="Arial"/>
          <w:bCs/>
          <w:spacing w:val="10"/>
          <w:lang w:val="es-ES_tradnl" w:eastAsia="es-ES"/>
        </w:rPr>
      </w:pPr>
      <w:r w:rsidRPr="003E6E0C">
        <w:rPr>
          <w:rFonts w:ascii="Arial" w:eastAsia="Times New Roman" w:hAnsi="Arial" w:cs="Arial"/>
          <w:bCs/>
          <w:spacing w:val="10"/>
          <w:lang w:val="es-ES_tradnl" w:eastAsia="es-ES"/>
        </w:rPr>
        <w:t>La información fue proporcionada por la jefa o jefe del hogar o una persona de 15 y más años residente habitual de la vivienda</w:t>
      </w:r>
      <w:r w:rsidR="00DC6656">
        <w:rPr>
          <w:rFonts w:ascii="Arial" w:eastAsia="Times New Roman" w:hAnsi="Arial" w:cs="Arial"/>
          <w:bCs/>
          <w:spacing w:val="10"/>
          <w:lang w:val="es-ES_tradnl" w:eastAsia="es-ES"/>
        </w:rPr>
        <w:t xml:space="preserve"> </w:t>
      </w:r>
      <w:r w:rsidR="004E678C">
        <w:rPr>
          <w:rFonts w:ascii="Arial" w:eastAsia="Times New Roman" w:hAnsi="Arial" w:cs="Arial"/>
          <w:bCs/>
          <w:spacing w:val="10"/>
          <w:lang w:val="es-ES_tradnl" w:eastAsia="es-ES"/>
        </w:rPr>
        <w:t xml:space="preserve">a través de entrevistas presenciales o </w:t>
      </w:r>
      <w:r w:rsidR="00E27274">
        <w:rPr>
          <w:rFonts w:ascii="Arial" w:eastAsia="Times New Roman" w:hAnsi="Arial" w:cs="Arial"/>
          <w:bCs/>
          <w:spacing w:val="10"/>
          <w:lang w:val="es-ES_tradnl" w:eastAsia="es-ES"/>
        </w:rPr>
        <w:t>telefónica</w:t>
      </w:r>
      <w:r w:rsidR="004E678C">
        <w:rPr>
          <w:rFonts w:ascii="Arial" w:eastAsia="Times New Roman" w:hAnsi="Arial" w:cs="Arial"/>
          <w:bCs/>
          <w:spacing w:val="10"/>
          <w:lang w:val="es-ES_tradnl" w:eastAsia="es-ES"/>
        </w:rPr>
        <w:t>s.</w:t>
      </w:r>
    </w:p>
    <w:p w14:paraId="39D87303" w14:textId="77777777" w:rsidR="00252EDE" w:rsidRPr="003E6E0C" w:rsidRDefault="00252EDE" w:rsidP="009749DA">
      <w:pPr>
        <w:spacing w:after="0" w:line="240" w:lineRule="auto"/>
        <w:ind w:right="49"/>
        <w:jc w:val="both"/>
        <w:rPr>
          <w:rFonts w:ascii="Arial" w:eastAsia="Times New Roman" w:hAnsi="Arial" w:cs="Arial"/>
          <w:bCs/>
          <w:spacing w:val="10"/>
          <w:lang w:val="es-ES_tradnl" w:eastAsia="es-ES"/>
        </w:rPr>
      </w:pPr>
    </w:p>
    <w:p w14:paraId="3FC0FF79" w14:textId="77777777" w:rsidR="00252EDE" w:rsidRPr="001530F2" w:rsidRDefault="00252EDE" w:rsidP="009749DA">
      <w:pPr>
        <w:pStyle w:val="Prrafodelista"/>
        <w:numPr>
          <w:ilvl w:val="0"/>
          <w:numId w:val="19"/>
        </w:numPr>
        <w:spacing w:after="0" w:line="240" w:lineRule="auto"/>
        <w:ind w:right="49"/>
        <w:rPr>
          <w:rFonts w:ascii="Arial" w:eastAsia="Times New Roman" w:hAnsi="Arial" w:cs="Arial"/>
          <w:b/>
          <w:bCs/>
          <w:spacing w:val="10"/>
          <w:lang w:val="es-ES_tradnl" w:eastAsia="es-ES"/>
        </w:rPr>
      </w:pPr>
      <w:r w:rsidRPr="003E6E0C">
        <w:rPr>
          <w:rFonts w:ascii="Arial" w:eastAsia="Times New Roman" w:hAnsi="Arial" w:cs="Arial"/>
          <w:b/>
          <w:bCs/>
          <w:spacing w:val="10"/>
          <w:lang w:val="es-ES_tradnl" w:eastAsia="es-ES"/>
        </w:rPr>
        <w:t>Población objetivo</w:t>
      </w:r>
    </w:p>
    <w:p w14:paraId="6A15A670" w14:textId="77777777" w:rsidR="00343375" w:rsidRDefault="00343375" w:rsidP="009749DA">
      <w:pPr>
        <w:spacing w:after="0" w:line="240" w:lineRule="auto"/>
        <w:ind w:right="49"/>
        <w:jc w:val="both"/>
        <w:rPr>
          <w:rFonts w:ascii="Arial" w:eastAsia="Times New Roman" w:hAnsi="Arial" w:cs="Arial"/>
          <w:bCs/>
          <w:spacing w:val="10"/>
          <w:lang w:val="es-ES_tradnl" w:eastAsia="es-ES"/>
        </w:rPr>
      </w:pPr>
    </w:p>
    <w:p w14:paraId="5B9EFC97" w14:textId="77777777" w:rsidR="00252EDE" w:rsidRPr="003E6E0C" w:rsidRDefault="00252EDE" w:rsidP="009749DA">
      <w:pPr>
        <w:spacing w:after="0" w:line="240" w:lineRule="auto"/>
        <w:ind w:right="49"/>
        <w:jc w:val="both"/>
        <w:rPr>
          <w:rFonts w:ascii="Arial" w:eastAsia="Times New Roman" w:hAnsi="Arial" w:cs="Arial"/>
          <w:bCs/>
          <w:spacing w:val="10"/>
          <w:lang w:val="es-ES_tradnl" w:eastAsia="es-ES"/>
        </w:rPr>
      </w:pPr>
      <w:r w:rsidRPr="003E6E0C">
        <w:rPr>
          <w:rFonts w:ascii="Arial" w:eastAsia="Times New Roman" w:hAnsi="Arial" w:cs="Arial"/>
          <w:bCs/>
          <w:spacing w:val="10"/>
          <w:lang w:val="es-ES_tradnl" w:eastAsia="es-ES"/>
        </w:rPr>
        <w:t>La población objetivo de la encuesta son todos los integrantes de la</w:t>
      </w:r>
      <w:r w:rsidR="00E94EE0">
        <w:rPr>
          <w:rFonts w:ascii="Arial" w:eastAsia="Times New Roman" w:hAnsi="Arial" w:cs="Arial"/>
          <w:bCs/>
          <w:spacing w:val="10"/>
          <w:lang w:val="es-ES_tradnl" w:eastAsia="es-ES"/>
        </w:rPr>
        <w:t>s</w:t>
      </w:r>
      <w:r w:rsidRPr="003E6E0C">
        <w:rPr>
          <w:rFonts w:ascii="Arial" w:eastAsia="Times New Roman" w:hAnsi="Arial" w:cs="Arial"/>
          <w:bCs/>
          <w:spacing w:val="10"/>
          <w:lang w:val="es-ES_tradnl" w:eastAsia="es-ES"/>
        </w:rPr>
        <w:t xml:space="preserve"> vivienda</w:t>
      </w:r>
      <w:r w:rsidR="00E94EE0">
        <w:rPr>
          <w:rFonts w:ascii="Arial" w:eastAsia="Times New Roman" w:hAnsi="Arial" w:cs="Arial"/>
          <w:bCs/>
          <w:spacing w:val="10"/>
          <w:lang w:val="es-ES_tradnl" w:eastAsia="es-ES"/>
        </w:rPr>
        <w:t xml:space="preserve">s y </w:t>
      </w:r>
      <w:r w:rsidR="00121E72">
        <w:rPr>
          <w:rFonts w:ascii="Arial" w:eastAsia="Times New Roman" w:hAnsi="Arial" w:cs="Arial"/>
          <w:bCs/>
          <w:spacing w:val="10"/>
          <w:lang w:val="es-ES_tradnl" w:eastAsia="es-ES"/>
        </w:rPr>
        <w:t>hogares</w:t>
      </w:r>
      <w:r w:rsidRPr="003E6E0C">
        <w:rPr>
          <w:rFonts w:ascii="Arial" w:eastAsia="Times New Roman" w:hAnsi="Arial" w:cs="Arial"/>
          <w:bCs/>
          <w:spacing w:val="10"/>
          <w:lang w:val="es-ES_tradnl" w:eastAsia="es-ES"/>
        </w:rPr>
        <w:t xml:space="preserve">, así como las personas de 12 y más </w:t>
      </w:r>
      <w:proofErr w:type="gramStart"/>
      <w:r w:rsidRPr="003E6E0C">
        <w:rPr>
          <w:rFonts w:ascii="Arial" w:eastAsia="Times New Roman" w:hAnsi="Arial" w:cs="Arial"/>
          <w:bCs/>
          <w:spacing w:val="10"/>
          <w:lang w:val="es-ES_tradnl" w:eastAsia="es-ES"/>
        </w:rPr>
        <w:t>años de edad</w:t>
      </w:r>
      <w:proofErr w:type="gramEnd"/>
      <w:r w:rsidRPr="003E6E0C">
        <w:rPr>
          <w:rFonts w:ascii="Arial" w:eastAsia="Times New Roman" w:hAnsi="Arial" w:cs="Arial"/>
          <w:bCs/>
          <w:spacing w:val="10"/>
          <w:lang w:val="es-ES_tradnl" w:eastAsia="es-ES"/>
        </w:rPr>
        <w:t>.</w:t>
      </w:r>
    </w:p>
    <w:p w14:paraId="7D4D07E4" w14:textId="77777777" w:rsidR="00252EDE" w:rsidRPr="006E2E20" w:rsidRDefault="00252EDE" w:rsidP="009749DA">
      <w:pPr>
        <w:spacing w:after="0" w:line="240" w:lineRule="auto"/>
        <w:ind w:right="49"/>
        <w:jc w:val="both"/>
        <w:rPr>
          <w:rFonts w:ascii="Arial" w:hAnsi="Arial" w:cs="Arial"/>
        </w:rPr>
      </w:pPr>
    </w:p>
    <w:p w14:paraId="0F34AA45" w14:textId="77777777" w:rsidR="00DF5D01" w:rsidRDefault="00252EDE" w:rsidP="009749DA">
      <w:pPr>
        <w:pStyle w:val="Prrafodelista"/>
        <w:numPr>
          <w:ilvl w:val="0"/>
          <w:numId w:val="19"/>
        </w:numPr>
        <w:spacing w:after="0" w:line="240" w:lineRule="auto"/>
        <w:ind w:right="49"/>
        <w:rPr>
          <w:rFonts w:ascii="Arial" w:eastAsia="Times New Roman" w:hAnsi="Arial" w:cs="Arial"/>
          <w:b/>
          <w:bCs/>
          <w:spacing w:val="10"/>
          <w:lang w:val="es-ES_tradnl" w:eastAsia="es-ES"/>
        </w:rPr>
      </w:pPr>
      <w:r w:rsidRPr="00405792">
        <w:rPr>
          <w:rFonts w:ascii="Arial" w:eastAsia="Times New Roman" w:hAnsi="Arial" w:cs="Arial"/>
          <w:b/>
          <w:bCs/>
          <w:spacing w:val="10"/>
          <w:lang w:val="es-ES_tradnl" w:eastAsia="es-ES"/>
        </w:rPr>
        <w:t>Temática</w:t>
      </w:r>
      <w:bookmarkEnd w:id="4"/>
    </w:p>
    <w:tbl>
      <w:tblPr>
        <w:tblStyle w:val="Tablaconcuadrcula4-nfasis2"/>
        <w:tblW w:w="0" w:type="auto"/>
        <w:tblLook w:val="04A0" w:firstRow="1" w:lastRow="0" w:firstColumn="1" w:lastColumn="0" w:noHBand="0" w:noVBand="1"/>
      </w:tblPr>
      <w:tblGrid>
        <w:gridCol w:w="2751"/>
        <w:gridCol w:w="6077"/>
      </w:tblGrid>
      <w:tr w:rsidR="0014410F" w:rsidRPr="003E6E0C" w14:paraId="0FC2ADDB" w14:textId="77777777" w:rsidTr="00811F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Pr>
          <w:p w14:paraId="7274D708" w14:textId="02F0AB03" w:rsidR="0014410F" w:rsidRPr="00405792" w:rsidRDefault="0014410F" w:rsidP="0014410F">
            <w:pPr>
              <w:ind w:right="49"/>
              <w:jc w:val="both"/>
              <w:rPr>
                <w:rFonts w:ascii="Arial" w:eastAsia="Times New Roman" w:hAnsi="Arial" w:cs="Arial"/>
                <w:bCs w:val="0"/>
                <w:spacing w:val="10"/>
                <w:sz w:val="18"/>
                <w:szCs w:val="18"/>
                <w:lang w:val="es-ES_tradnl" w:eastAsia="es-ES"/>
              </w:rPr>
            </w:pPr>
            <w:r w:rsidRPr="00405792">
              <w:rPr>
                <w:rFonts w:ascii="Arial" w:eastAsia="Times New Roman" w:hAnsi="Arial" w:cs="Arial"/>
                <w:bCs w:val="0"/>
                <w:spacing w:val="10"/>
                <w:sz w:val="18"/>
                <w:szCs w:val="18"/>
                <w:lang w:val="es-ES_tradnl" w:eastAsia="es-ES"/>
              </w:rPr>
              <w:t>Tema</w:t>
            </w:r>
          </w:p>
        </w:tc>
        <w:tc>
          <w:tcPr>
            <w:tcW w:w="6077" w:type="dxa"/>
          </w:tcPr>
          <w:p w14:paraId="076A3011" w14:textId="763B2C68" w:rsidR="0014410F" w:rsidRPr="00405792" w:rsidRDefault="0014410F" w:rsidP="0014410F">
            <w:pPr>
              <w:ind w:right="49"/>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pacing w:val="10"/>
                <w:sz w:val="18"/>
                <w:szCs w:val="18"/>
                <w:lang w:val="es-ES_tradnl" w:eastAsia="es-ES"/>
              </w:rPr>
            </w:pPr>
            <w:r w:rsidRPr="00405792">
              <w:rPr>
                <w:rFonts w:ascii="Arial" w:eastAsia="Times New Roman" w:hAnsi="Arial" w:cs="Arial"/>
                <w:bCs w:val="0"/>
                <w:spacing w:val="10"/>
                <w:sz w:val="18"/>
                <w:szCs w:val="18"/>
                <w:lang w:val="es-ES_tradnl" w:eastAsia="es-ES"/>
              </w:rPr>
              <w:t>Variables</w:t>
            </w:r>
          </w:p>
        </w:tc>
      </w:tr>
      <w:tr w:rsidR="0014410F" w:rsidRPr="003E6E0C" w14:paraId="09B29D00" w14:textId="77777777" w:rsidTr="00811F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Pr>
          <w:p w14:paraId="3A946E72" w14:textId="07DB625F" w:rsidR="0014410F" w:rsidRPr="00405792" w:rsidRDefault="0014410F" w:rsidP="0014410F">
            <w:pPr>
              <w:ind w:right="49"/>
              <w:jc w:val="both"/>
              <w:rPr>
                <w:rFonts w:ascii="Arial" w:eastAsia="Times New Roman" w:hAnsi="Arial" w:cs="Arial"/>
                <w:bCs w:val="0"/>
                <w:spacing w:val="10"/>
                <w:sz w:val="18"/>
                <w:szCs w:val="18"/>
                <w:lang w:val="es-ES_tradnl" w:eastAsia="es-ES"/>
              </w:rPr>
            </w:pPr>
            <w:r w:rsidRPr="00405792">
              <w:rPr>
                <w:rFonts w:ascii="Arial" w:eastAsia="Times New Roman" w:hAnsi="Arial" w:cs="Arial"/>
                <w:bCs w:val="0"/>
                <w:spacing w:val="10"/>
                <w:sz w:val="18"/>
                <w:szCs w:val="18"/>
                <w:lang w:val="es-ES_tradnl" w:eastAsia="es-ES"/>
              </w:rPr>
              <w:t>Situación laboral</w:t>
            </w:r>
          </w:p>
        </w:tc>
        <w:tc>
          <w:tcPr>
            <w:tcW w:w="6077" w:type="dxa"/>
          </w:tcPr>
          <w:p w14:paraId="6B5DD49E" w14:textId="32F8AD21" w:rsidR="0014410F" w:rsidRPr="00405792" w:rsidRDefault="0014410F" w:rsidP="0014410F">
            <w:pPr>
              <w:ind w:right="49"/>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pacing w:val="10"/>
                <w:sz w:val="18"/>
                <w:szCs w:val="18"/>
                <w:lang w:val="es-ES_tradnl" w:eastAsia="es-ES"/>
              </w:rPr>
            </w:pPr>
            <w:r w:rsidRPr="00405792">
              <w:rPr>
                <w:rFonts w:ascii="Arial" w:eastAsia="Times New Roman" w:hAnsi="Arial" w:cs="Arial"/>
                <w:bCs/>
                <w:spacing w:val="10"/>
                <w:sz w:val="18"/>
                <w:szCs w:val="18"/>
                <w:lang w:val="es-ES_tradnl" w:eastAsia="es-ES"/>
              </w:rPr>
              <w:t xml:space="preserve">Condición de actividad económica y de ocupación, ausencia laboral, tiempo de búsqueda de trabajo, disponibilidad para trabajar, deseos de trabajar, </w:t>
            </w:r>
            <w:r>
              <w:rPr>
                <w:rFonts w:ascii="Arial" w:eastAsia="Times New Roman" w:hAnsi="Arial" w:cs="Arial"/>
                <w:bCs/>
                <w:spacing w:val="10"/>
                <w:sz w:val="18"/>
                <w:szCs w:val="18"/>
                <w:lang w:val="es-ES_tradnl" w:eastAsia="es-ES"/>
              </w:rPr>
              <w:t>razones por las que no busca trabajo y experiencia laboral.</w:t>
            </w:r>
          </w:p>
        </w:tc>
      </w:tr>
      <w:tr w:rsidR="0014410F" w:rsidRPr="003E6E0C" w14:paraId="305EDBD9" w14:textId="77777777" w:rsidTr="00811F67">
        <w:tc>
          <w:tcPr>
            <w:cnfStyle w:val="001000000000" w:firstRow="0" w:lastRow="0" w:firstColumn="1" w:lastColumn="0" w:oddVBand="0" w:evenVBand="0" w:oddHBand="0" w:evenHBand="0" w:firstRowFirstColumn="0" w:firstRowLastColumn="0" w:lastRowFirstColumn="0" w:lastRowLastColumn="0"/>
            <w:tcW w:w="2751" w:type="dxa"/>
          </w:tcPr>
          <w:p w14:paraId="243DB62F" w14:textId="415731E0" w:rsidR="0014410F" w:rsidRPr="00405792" w:rsidRDefault="0014410F" w:rsidP="0014410F">
            <w:pPr>
              <w:ind w:right="49"/>
              <w:jc w:val="both"/>
              <w:rPr>
                <w:rFonts w:ascii="Arial" w:eastAsia="Times New Roman" w:hAnsi="Arial" w:cs="Arial"/>
                <w:bCs w:val="0"/>
                <w:spacing w:val="10"/>
                <w:sz w:val="18"/>
                <w:szCs w:val="18"/>
                <w:lang w:val="es-ES_tradnl" w:eastAsia="es-ES"/>
              </w:rPr>
            </w:pPr>
            <w:r w:rsidRPr="00405792">
              <w:rPr>
                <w:rFonts w:ascii="Arial" w:eastAsia="Times New Roman" w:hAnsi="Arial" w:cs="Arial"/>
                <w:bCs w:val="0"/>
                <w:spacing w:val="10"/>
                <w:sz w:val="18"/>
                <w:szCs w:val="18"/>
                <w:lang w:val="es-ES_tradnl" w:eastAsia="es-ES"/>
              </w:rPr>
              <w:t>Contexto laboral</w:t>
            </w:r>
          </w:p>
        </w:tc>
        <w:tc>
          <w:tcPr>
            <w:tcW w:w="6077" w:type="dxa"/>
          </w:tcPr>
          <w:p w14:paraId="6E82F0DA" w14:textId="17CD264E" w:rsidR="0014410F" w:rsidRPr="00405792" w:rsidRDefault="0014410F" w:rsidP="0014410F">
            <w:pPr>
              <w:ind w:right="49"/>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pacing w:val="10"/>
                <w:sz w:val="18"/>
                <w:szCs w:val="18"/>
                <w:lang w:val="es-ES_tradnl" w:eastAsia="es-ES"/>
              </w:rPr>
            </w:pPr>
            <w:r w:rsidRPr="00405792">
              <w:rPr>
                <w:rFonts w:ascii="Arial" w:eastAsia="Times New Roman" w:hAnsi="Arial" w:cs="Arial"/>
                <w:bCs/>
                <w:spacing w:val="10"/>
                <w:sz w:val="18"/>
                <w:szCs w:val="18"/>
                <w:lang w:val="es-ES_tradnl" w:eastAsia="es-ES"/>
              </w:rPr>
              <w:t xml:space="preserve">Grupos de ocupación, posición en la ocupación, número de trabajadores, </w:t>
            </w:r>
            <w:r w:rsidRPr="00071CA6">
              <w:rPr>
                <w:rFonts w:ascii="Arial" w:eastAsia="Times New Roman" w:hAnsi="Arial" w:cs="Arial"/>
                <w:bCs/>
                <w:spacing w:val="10"/>
                <w:sz w:val="18"/>
                <w:szCs w:val="18"/>
                <w:lang w:val="es-ES_tradnl" w:eastAsia="es-ES"/>
              </w:rPr>
              <w:t>sindicalización, contratación, prestaciones, antigüedad laboral.</w:t>
            </w:r>
          </w:p>
        </w:tc>
      </w:tr>
      <w:tr w:rsidR="0014410F" w:rsidRPr="003E6E0C" w14:paraId="02917FB4" w14:textId="77777777" w:rsidTr="00811F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Pr>
          <w:p w14:paraId="4224E907" w14:textId="136D0C9F" w:rsidR="0014410F" w:rsidRPr="00405792" w:rsidRDefault="0014410F" w:rsidP="0014410F">
            <w:pPr>
              <w:ind w:right="49"/>
              <w:jc w:val="both"/>
              <w:rPr>
                <w:rFonts w:ascii="Arial" w:eastAsia="Times New Roman" w:hAnsi="Arial" w:cs="Arial"/>
                <w:bCs w:val="0"/>
                <w:spacing w:val="10"/>
                <w:sz w:val="18"/>
                <w:szCs w:val="18"/>
                <w:lang w:val="es-ES_tradnl" w:eastAsia="es-ES"/>
              </w:rPr>
            </w:pPr>
            <w:r w:rsidRPr="00405792">
              <w:rPr>
                <w:rFonts w:ascii="Arial" w:eastAsia="Times New Roman" w:hAnsi="Arial" w:cs="Arial"/>
                <w:bCs w:val="0"/>
                <w:spacing w:val="10"/>
                <w:sz w:val="18"/>
                <w:szCs w:val="18"/>
                <w:lang w:val="es-ES_tradnl" w:eastAsia="es-ES"/>
              </w:rPr>
              <w:t>Características de la unidad económica</w:t>
            </w:r>
          </w:p>
        </w:tc>
        <w:tc>
          <w:tcPr>
            <w:tcW w:w="6077" w:type="dxa"/>
          </w:tcPr>
          <w:p w14:paraId="1D0C792D" w14:textId="1C1B7319" w:rsidR="0014410F" w:rsidRPr="00405792" w:rsidRDefault="0014410F" w:rsidP="0014410F">
            <w:pPr>
              <w:ind w:right="49"/>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pacing w:val="10"/>
                <w:sz w:val="18"/>
                <w:szCs w:val="18"/>
                <w:lang w:val="es-ES_tradnl" w:eastAsia="es-ES"/>
              </w:rPr>
            </w:pPr>
            <w:r w:rsidRPr="00405792">
              <w:rPr>
                <w:rFonts w:ascii="Arial" w:eastAsia="Times New Roman" w:hAnsi="Arial" w:cs="Arial"/>
                <w:bCs/>
                <w:spacing w:val="10"/>
                <w:sz w:val="18"/>
                <w:szCs w:val="18"/>
                <w:lang w:val="es-ES_tradnl" w:eastAsia="es-ES"/>
              </w:rPr>
              <w:t>Sector de actividad económica, tipo de unidad económica, lugar de trabajo, tipo de local, registros contables, cadenas de negocios, empleo en multinacionales.</w:t>
            </w:r>
          </w:p>
        </w:tc>
      </w:tr>
      <w:tr w:rsidR="0014410F" w:rsidRPr="003E6E0C" w14:paraId="663A300A" w14:textId="77777777" w:rsidTr="00811F67">
        <w:tc>
          <w:tcPr>
            <w:cnfStyle w:val="001000000000" w:firstRow="0" w:lastRow="0" w:firstColumn="1" w:lastColumn="0" w:oddVBand="0" w:evenVBand="0" w:oddHBand="0" w:evenHBand="0" w:firstRowFirstColumn="0" w:firstRowLastColumn="0" w:lastRowFirstColumn="0" w:lastRowLastColumn="0"/>
            <w:tcW w:w="2751" w:type="dxa"/>
          </w:tcPr>
          <w:p w14:paraId="22DCD364" w14:textId="06FFAC25" w:rsidR="0014410F" w:rsidRPr="00405792" w:rsidRDefault="0014410F" w:rsidP="0014410F">
            <w:pPr>
              <w:ind w:right="49"/>
              <w:jc w:val="both"/>
              <w:rPr>
                <w:rFonts w:ascii="Arial" w:eastAsia="Times New Roman" w:hAnsi="Arial" w:cs="Arial"/>
                <w:bCs w:val="0"/>
                <w:spacing w:val="10"/>
                <w:sz w:val="18"/>
                <w:szCs w:val="18"/>
                <w:lang w:val="es-ES_tradnl" w:eastAsia="es-ES"/>
              </w:rPr>
            </w:pPr>
            <w:r w:rsidRPr="00405792">
              <w:rPr>
                <w:rFonts w:ascii="Arial" w:eastAsia="Times New Roman" w:hAnsi="Arial" w:cs="Arial"/>
                <w:bCs w:val="0"/>
                <w:spacing w:val="10"/>
                <w:sz w:val="18"/>
                <w:szCs w:val="18"/>
                <w:lang w:val="es-ES_tradnl" w:eastAsia="es-ES"/>
              </w:rPr>
              <w:t xml:space="preserve">Jornada y regularidad laboral </w:t>
            </w:r>
          </w:p>
        </w:tc>
        <w:tc>
          <w:tcPr>
            <w:tcW w:w="6077" w:type="dxa"/>
          </w:tcPr>
          <w:p w14:paraId="0CA6633F" w14:textId="3CD822DC" w:rsidR="0014410F" w:rsidRPr="00405792" w:rsidRDefault="0014410F" w:rsidP="0014410F">
            <w:pPr>
              <w:ind w:right="49"/>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pacing w:val="10"/>
                <w:sz w:val="18"/>
                <w:szCs w:val="18"/>
                <w:lang w:val="es-ES_tradnl" w:eastAsia="es-ES"/>
              </w:rPr>
            </w:pPr>
            <w:r w:rsidRPr="00405792">
              <w:rPr>
                <w:rFonts w:ascii="Arial" w:eastAsia="Times New Roman" w:hAnsi="Arial" w:cs="Arial"/>
                <w:bCs/>
                <w:spacing w:val="10"/>
                <w:sz w:val="18"/>
                <w:szCs w:val="18"/>
                <w:lang w:val="es-ES_tradnl" w:eastAsia="es-ES"/>
              </w:rPr>
              <w:t>Tipo de jornada, días y horas trabajadas, nivel de actividad, motivos por los que no trabaj</w:t>
            </w:r>
            <w:r>
              <w:rPr>
                <w:rFonts w:ascii="Arial" w:eastAsia="Times New Roman" w:hAnsi="Arial" w:cs="Arial"/>
                <w:bCs/>
                <w:spacing w:val="10"/>
                <w:sz w:val="18"/>
                <w:szCs w:val="18"/>
                <w:lang w:val="es-ES_tradnl" w:eastAsia="es-ES"/>
              </w:rPr>
              <w:t>ó</w:t>
            </w:r>
            <w:r w:rsidRPr="00405792">
              <w:rPr>
                <w:rFonts w:ascii="Arial" w:eastAsia="Times New Roman" w:hAnsi="Arial" w:cs="Arial"/>
                <w:bCs/>
                <w:spacing w:val="10"/>
                <w:sz w:val="18"/>
                <w:szCs w:val="18"/>
                <w:lang w:val="es-ES_tradnl" w:eastAsia="es-ES"/>
              </w:rPr>
              <w:t xml:space="preserve"> las horas habituales, meses trabajados</w:t>
            </w:r>
            <w:r>
              <w:rPr>
                <w:rFonts w:ascii="Arial" w:eastAsia="Times New Roman" w:hAnsi="Arial" w:cs="Arial"/>
                <w:bCs/>
                <w:spacing w:val="10"/>
                <w:sz w:val="18"/>
                <w:szCs w:val="18"/>
                <w:lang w:val="es-ES_tradnl" w:eastAsia="es-ES"/>
              </w:rPr>
              <w:t>, motivos por los que no trabaja todos los meses del año</w:t>
            </w:r>
            <w:r w:rsidRPr="00405792">
              <w:rPr>
                <w:rFonts w:ascii="Arial" w:eastAsia="Times New Roman" w:hAnsi="Arial" w:cs="Arial"/>
                <w:bCs/>
                <w:spacing w:val="10"/>
                <w:sz w:val="18"/>
                <w:szCs w:val="18"/>
                <w:lang w:val="es-ES_tradnl" w:eastAsia="es-ES"/>
              </w:rPr>
              <w:t>.</w:t>
            </w:r>
          </w:p>
        </w:tc>
      </w:tr>
      <w:tr w:rsidR="0014410F" w:rsidRPr="003E6E0C" w14:paraId="329DE462" w14:textId="77777777" w:rsidTr="00811F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Pr>
          <w:p w14:paraId="6151ECC3" w14:textId="7C0F101B" w:rsidR="0014410F" w:rsidRPr="00405792" w:rsidRDefault="0014410F" w:rsidP="0014410F">
            <w:pPr>
              <w:ind w:right="49"/>
              <w:jc w:val="both"/>
              <w:rPr>
                <w:rFonts w:ascii="Arial" w:eastAsia="Times New Roman" w:hAnsi="Arial" w:cs="Arial"/>
                <w:bCs w:val="0"/>
                <w:spacing w:val="10"/>
                <w:sz w:val="18"/>
                <w:szCs w:val="18"/>
                <w:lang w:val="es-ES_tradnl" w:eastAsia="es-ES"/>
              </w:rPr>
            </w:pPr>
            <w:r w:rsidRPr="00405792">
              <w:rPr>
                <w:rFonts w:ascii="Arial" w:eastAsia="Times New Roman" w:hAnsi="Arial" w:cs="Arial"/>
                <w:bCs w:val="0"/>
                <w:spacing w:val="10"/>
                <w:sz w:val="18"/>
                <w:szCs w:val="18"/>
                <w:lang w:val="es-ES_tradnl" w:eastAsia="es-ES"/>
              </w:rPr>
              <w:t>Ingresos y atención médica</w:t>
            </w:r>
          </w:p>
        </w:tc>
        <w:tc>
          <w:tcPr>
            <w:tcW w:w="6077" w:type="dxa"/>
          </w:tcPr>
          <w:p w14:paraId="1EF4DBB8" w14:textId="6B997437" w:rsidR="0014410F" w:rsidRPr="00405792" w:rsidRDefault="0014410F" w:rsidP="0014410F">
            <w:pPr>
              <w:ind w:right="49"/>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pacing w:val="10"/>
                <w:sz w:val="18"/>
                <w:szCs w:val="18"/>
                <w:lang w:val="es-ES_tradnl" w:eastAsia="es-ES"/>
              </w:rPr>
            </w:pPr>
            <w:r w:rsidRPr="00405792">
              <w:rPr>
                <w:rFonts w:ascii="Arial" w:eastAsia="Times New Roman" w:hAnsi="Arial" w:cs="Arial"/>
                <w:bCs/>
                <w:spacing w:val="10"/>
                <w:sz w:val="18"/>
                <w:szCs w:val="18"/>
                <w:lang w:val="es-ES_tradnl" w:eastAsia="es-ES"/>
              </w:rPr>
              <w:t>Forma de pago, periodo de pago, monto de ingresos, sueldos y salarios mensuales y acceso a seguridad social.</w:t>
            </w:r>
          </w:p>
        </w:tc>
      </w:tr>
      <w:tr w:rsidR="0014410F" w:rsidRPr="003E6E0C" w14:paraId="636B6F1B" w14:textId="77777777" w:rsidTr="00811F67">
        <w:tc>
          <w:tcPr>
            <w:cnfStyle w:val="001000000000" w:firstRow="0" w:lastRow="0" w:firstColumn="1" w:lastColumn="0" w:oddVBand="0" w:evenVBand="0" w:oddHBand="0" w:evenHBand="0" w:firstRowFirstColumn="0" w:firstRowLastColumn="0" w:lastRowFirstColumn="0" w:lastRowLastColumn="0"/>
            <w:tcW w:w="2751" w:type="dxa"/>
          </w:tcPr>
          <w:p w14:paraId="6E4F4277" w14:textId="69452C3C" w:rsidR="0014410F" w:rsidRPr="00405792" w:rsidRDefault="0014410F" w:rsidP="0014410F">
            <w:pPr>
              <w:ind w:right="49"/>
              <w:jc w:val="both"/>
              <w:rPr>
                <w:rFonts w:ascii="Arial" w:eastAsia="Times New Roman" w:hAnsi="Arial" w:cs="Arial"/>
                <w:bCs w:val="0"/>
                <w:spacing w:val="10"/>
                <w:sz w:val="18"/>
                <w:szCs w:val="18"/>
                <w:lang w:val="es-ES_tradnl" w:eastAsia="es-ES"/>
              </w:rPr>
            </w:pPr>
            <w:r w:rsidRPr="00405792">
              <w:rPr>
                <w:rFonts w:ascii="Arial" w:eastAsia="Times New Roman" w:hAnsi="Arial" w:cs="Arial"/>
                <w:bCs w:val="0"/>
                <w:spacing w:val="10"/>
                <w:sz w:val="18"/>
                <w:szCs w:val="18"/>
                <w:lang w:val="es-ES_tradnl" w:eastAsia="es-ES"/>
              </w:rPr>
              <w:t>Trabajo secundario</w:t>
            </w:r>
          </w:p>
        </w:tc>
        <w:tc>
          <w:tcPr>
            <w:tcW w:w="6077" w:type="dxa"/>
          </w:tcPr>
          <w:p w14:paraId="71B5B847" w14:textId="3D3CE0B7" w:rsidR="0014410F" w:rsidRPr="00405792" w:rsidRDefault="0014410F" w:rsidP="0014410F">
            <w:pPr>
              <w:ind w:right="49"/>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pacing w:val="10"/>
                <w:sz w:val="18"/>
                <w:szCs w:val="18"/>
                <w:lang w:val="es-ES_tradnl" w:eastAsia="es-ES"/>
              </w:rPr>
            </w:pPr>
            <w:r w:rsidRPr="00071CA6">
              <w:rPr>
                <w:rFonts w:ascii="Arial" w:eastAsia="Times New Roman" w:hAnsi="Arial" w:cs="Arial"/>
                <w:bCs/>
                <w:spacing w:val="10"/>
                <w:sz w:val="18"/>
                <w:szCs w:val="18"/>
                <w:lang w:val="es-ES_tradnl" w:eastAsia="es-ES"/>
              </w:rPr>
              <w:t>Posición en la ocupación, grupos de ocupación, sector de actividad económica, acceso a seguridad social, número de trabajadores, ingreso y horas trabajadas</w:t>
            </w:r>
            <w:r w:rsidRPr="00405792">
              <w:rPr>
                <w:rFonts w:ascii="Arial" w:eastAsia="Times New Roman" w:hAnsi="Arial" w:cs="Arial"/>
                <w:bCs/>
                <w:spacing w:val="10"/>
                <w:sz w:val="18"/>
                <w:szCs w:val="18"/>
                <w:lang w:val="es-ES_tradnl" w:eastAsia="es-ES"/>
              </w:rPr>
              <w:t>.</w:t>
            </w:r>
          </w:p>
        </w:tc>
      </w:tr>
      <w:tr w:rsidR="0014410F" w:rsidRPr="003E6E0C" w14:paraId="1E536699" w14:textId="77777777" w:rsidTr="00811F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Pr>
          <w:p w14:paraId="2B924DA1" w14:textId="17843DE6" w:rsidR="0014410F" w:rsidRPr="00405792" w:rsidRDefault="0014410F" w:rsidP="0014410F">
            <w:pPr>
              <w:ind w:right="49"/>
              <w:jc w:val="both"/>
              <w:rPr>
                <w:rFonts w:ascii="Arial" w:eastAsia="Times New Roman" w:hAnsi="Arial" w:cs="Arial"/>
                <w:bCs w:val="0"/>
                <w:spacing w:val="10"/>
                <w:sz w:val="18"/>
                <w:szCs w:val="18"/>
                <w:lang w:val="es-ES_tradnl" w:eastAsia="es-ES"/>
              </w:rPr>
            </w:pPr>
            <w:r w:rsidRPr="00405792">
              <w:rPr>
                <w:rFonts w:ascii="Arial" w:eastAsia="Times New Roman" w:hAnsi="Arial" w:cs="Arial"/>
                <w:bCs w:val="0"/>
                <w:spacing w:val="10"/>
                <w:sz w:val="18"/>
                <w:szCs w:val="18"/>
                <w:lang w:val="es-ES_tradnl" w:eastAsia="es-ES"/>
              </w:rPr>
              <w:t>Búsqueda de otro trabajo</w:t>
            </w:r>
          </w:p>
        </w:tc>
        <w:tc>
          <w:tcPr>
            <w:tcW w:w="6077" w:type="dxa"/>
          </w:tcPr>
          <w:p w14:paraId="26B8E5C4" w14:textId="16360B2B" w:rsidR="0014410F" w:rsidRPr="00405792" w:rsidRDefault="0014410F" w:rsidP="0014410F">
            <w:pPr>
              <w:ind w:right="49"/>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pacing w:val="10"/>
                <w:sz w:val="18"/>
                <w:szCs w:val="18"/>
                <w:lang w:val="es-ES_tradnl" w:eastAsia="es-ES"/>
              </w:rPr>
            </w:pPr>
            <w:r w:rsidRPr="00405792">
              <w:rPr>
                <w:rFonts w:ascii="Arial" w:eastAsia="Times New Roman" w:hAnsi="Arial" w:cs="Arial"/>
                <w:bCs/>
                <w:spacing w:val="10"/>
                <w:sz w:val="18"/>
                <w:szCs w:val="18"/>
                <w:lang w:val="es-ES_tradnl" w:eastAsia="es-ES"/>
              </w:rPr>
              <w:t>Condición de búsqueda</w:t>
            </w:r>
            <w:r>
              <w:rPr>
                <w:rFonts w:ascii="Arial" w:eastAsia="Times New Roman" w:hAnsi="Arial" w:cs="Arial"/>
                <w:bCs/>
                <w:spacing w:val="10"/>
                <w:sz w:val="18"/>
                <w:szCs w:val="18"/>
                <w:lang w:val="es-ES_tradnl" w:eastAsia="es-ES"/>
              </w:rPr>
              <w:t>, tipo de trabajo que busca</w:t>
            </w:r>
            <w:r w:rsidRPr="00405792">
              <w:rPr>
                <w:rFonts w:ascii="Arial" w:eastAsia="Times New Roman" w:hAnsi="Arial" w:cs="Arial"/>
                <w:bCs/>
                <w:spacing w:val="10"/>
                <w:sz w:val="18"/>
                <w:szCs w:val="18"/>
                <w:lang w:val="es-ES_tradnl" w:eastAsia="es-ES"/>
              </w:rPr>
              <w:t xml:space="preserve"> y motivo de búsqueda de otro trabajo.</w:t>
            </w:r>
          </w:p>
        </w:tc>
      </w:tr>
      <w:tr w:rsidR="0014410F" w:rsidRPr="003E6E0C" w14:paraId="6C017C7D" w14:textId="77777777" w:rsidTr="00811F67">
        <w:tc>
          <w:tcPr>
            <w:cnfStyle w:val="001000000000" w:firstRow="0" w:lastRow="0" w:firstColumn="1" w:lastColumn="0" w:oddVBand="0" w:evenVBand="0" w:oddHBand="0" w:evenHBand="0" w:firstRowFirstColumn="0" w:firstRowLastColumn="0" w:lastRowFirstColumn="0" w:lastRowLastColumn="0"/>
            <w:tcW w:w="2751" w:type="dxa"/>
          </w:tcPr>
          <w:p w14:paraId="0093BF9F" w14:textId="54D9DBB3" w:rsidR="0014410F" w:rsidRPr="00405792" w:rsidRDefault="0014410F" w:rsidP="0014410F">
            <w:pPr>
              <w:ind w:right="49"/>
              <w:jc w:val="both"/>
              <w:rPr>
                <w:rFonts w:ascii="Arial" w:eastAsia="Times New Roman" w:hAnsi="Arial" w:cs="Arial"/>
                <w:bCs w:val="0"/>
                <w:spacing w:val="10"/>
                <w:sz w:val="18"/>
                <w:szCs w:val="18"/>
                <w:lang w:val="es-ES_tradnl" w:eastAsia="es-ES"/>
              </w:rPr>
            </w:pPr>
            <w:r w:rsidRPr="00405792">
              <w:rPr>
                <w:rFonts w:ascii="Arial" w:eastAsia="Times New Roman" w:hAnsi="Arial" w:cs="Arial"/>
                <w:bCs w:val="0"/>
                <w:spacing w:val="10"/>
                <w:sz w:val="18"/>
                <w:szCs w:val="18"/>
                <w:lang w:val="es-ES_tradnl" w:eastAsia="es-ES"/>
              </w:rPr>
              <w:t xml:space="preserve">Antecedentes laborales </w:t>
            </w:r>
          </w:p>
        </w:tc>
        <w:tc>
          <w:tcPr>
            <w:tcW w:w="6077" w:type="dxa"/>
          </w:tcPr>
          <w:p w14:paraId="3F2AE78A" w14:textId="398D6648" w:rsidR="0014410F" w:rsidRPr="00405792" w:rsidRDefault="0014410F" w:rsidP="0014410F">
            <w:pPr>
              <w:ind w:right="49"/>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pacing w:val="10"/>
                <w:sz w:val="18"/>
                <w:szCs w:val="18"/>
                <w:lang w:val="es-ES_tradnl" w:eastAsia="es-ES"/>
              </w:rPr>
            </w:pPr>
            <w:r w:rsidRPr="00405792">
              <w:rPr>
                <w:rFonts w:ascii="Arial" w:eastAsia="Times New Roman" w:hAnsi="Arial" w:cs="Arial"/>
                <w:bCs/>
                <w:spacing w:val="10"/>
                <w:sz w:val="18"/>
                <w:szCs w:val="18"/>
                <w:lang w:val="es-ES_tradnl" w:eastAsia="es-ES"/>
              </w:rPr>
              <w:t>Motivo por el que perdió o abandonó el empleo o negocio, año de término</w:t>
            </w:r>
            <w:r>
              <w:rPr>
                <w:rFonts w:ascii="Arial" w:eastAsia="Times New Roman" w:hAnsi="Arial" w:cs="Arial"/>
                <w:bCs/>
                <w:spacing w:val="10"/>
                <w:sz w:val="18"/>
                <w:szCs w:val="18"/>
                <w:lang w:val="es-ES_tradnl" w:eastAsia="es-ES"/>
              </w:rPr>
              <w:t xml:space="preserve">, </w:t>
            </w:r>
            <w:r w:rsidRPr="00071CA6">
              <w:rPr>
                <w:rFonts w:ascii="Arial" w:eastAsia="Times New Roman" w:hAnsi="Arial" w:cs="Arial"/>
                <w:bCs/>
                <w:spacing w:val="10"/>
                <w:sz w:val="18"/>
                <w:szCs w:val="18"/>
                <w:lang w:val="es-ES_tradnl" w:eastAsia="es-ES"/>
              </w:rPr>
              <w:t>grupos de ocupación, sector de actividad, seguridad social, prestaciones e ingresos</w:t>
            </w:r>
            <w:r w:rsidRPr="003E6E0C">
              <w:rPr>
                <w:rFonts w:ascii="Arial" w:eastAsia="Times New Roman" w:hAnsi="Arial" w:cs="Arial"/>
                <w:bCs/>
                <w:spacing w:val="10"/>
                <w:lang w:val="es-ES_tradnl" w:eastAsia="es-ES"/>
              </w:rPr>
              <w:t>.</w:t>
            </w:r>
          </w:p>
        </w:tc>
      </w:tr>
      <w:tr w:rsidR="0014410F" w:rsidRPr="003E6E0C" w14:paraId="0E38D53B" w14:textId="77777777" w:rsidTr="00811F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Pr>
          <w:p w14:paraId="1011A72C" w14:textId="247F079A" w:rsidR="0014410F" w:rsidRPr="00405792" w:rsidRDefault="0014410F" w:rsidP="0014410F">
            <w:pPr>
              <w:ind w:right="49"/>
              <w:jc w:val="both"/>
              <w:rPr>
                <w:rFonts w:ascii="Arial" w:eastAsia="Times New Roman" w:hAnsi="Arial" w:cs="Arial"/>
                <w:bCs w:val="0"/>
                <w:spacing w:val="10"/>
                <w:sz w:val="18"/>
                <w:szCs w:val="18"/>
                <w:lang w:val="es-ES_tradnl" w:eastAsia="es-ES"/>
              </w:rPr>
            </w:pPr>
            <w:r w:rsidRPr="00071CA6">
              <w:rPr>
                <w:rFonts w:ascii="Arial" w:eastAsia="Times New Roman" w:hAnsi="Arial" w:cs="Arial"/>
                <w:bCs w:val="0"/>
                <w:spacing w:val="10"/>
                <w:sz w:val="18"/>
                <w:szCs w:val="18"/>
                <w:lang w:val="es-ES_tradnl" w:eastAsia="es-ES"/>
              </w:rPr>
              <w:t>Apoyos económicos</w:t>
            </w:r>
          </w:p>
        </w:tc>
        <w:tc>
          <w:tcPr>
            <w:tcW w:w="6077" w:type="dxa"/>
          </w:tcPr>
          <w:p w14:paraId="1046FBDC" w14:textId="73032E93" w:rsidR="0014410F" w:rsidRPr="00405792" w:rsidRDefault="0014410F" w:rsidP="0014410F">
            <w:pPr>
              <w:ind w:right="49"/>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pacing w:val="10"/>
                <w:sz w:val="18"/>
                <w:szCs w:val="18"/>
                <w:lang w:val="es-ES_tradnl" w:eastAsia="es-ES"/>
              </w:rPr>
            </w:pPr>
            <w:r w:rsidRPr="00071CA6">
              <w:rPr>
                <w:rFonts w:ascii="Arial" w:eastAsia="Times New Roman" w:hAnsi="Arial" w:cs="Arial"/>
                <w:bCs/>
                <w:spacing w:val="10"/>
                <w:sz w:val="18"/>
                <w:szCs w:val="18"/>
                <w:lang w:val="es-ES_tradnl" w:eastAsia="es-ES"/>
              </w:rPr>
              <w:t xml:space="preserve">Apoyos gubernamentales, transferencias y </w:t>
            </w:r>
            <w:r>
              <w:rPr>
                <w:rFonts w:ascii="Arial" w:eastAsia="Times New Roman" w:hAnsi="Arial" w:cs="Arial"/>
                <w:bCs/>
                <w:spacing w:val="10"/>
                <w:sz w:val="18"/>
                <w:szCs w:val="18"/>
                <w:lang w:val="es-ES_tradnl" w:eastAsia="es-ES"/>
              </w:rPr>
              <w:t>servicio de salud para el bienestar</w:t>
            </w:r>
            <w:r w:rsidRPr="00071CA6">
              <w:rPr>
                <w:rFonts w:ascii="Arial" w:eastAsia="Times New Roman" w:hAnsi="Arial" w:cs="Arial"/>
                <w:bCs/>
                <w:spacing w:val="10"/>
                <w:sz w:val="18"/>
                <w:szCs w:val="18"/>
                <w:lang w:val="es-ES_tradnl" w:eastAsia="es-ES"/>
              </w:rPr>
              <w:t>.</w:t>
            </w:r>
          </w:p>
        </w:tc>
      </w:tr>
    </w:tbl>
    <w:p w14:paraId="3558F5A7" w14:textId="77777777" w:rsidR="00252EDE" w:rsidRDefault="00252EDE" w:rsidP="009749DA">
      <w:pPr>
        <w:spacing w:after="0" w:line="240" w:lineRule="auto"/>
        <w:ind w:right="49"/>
        <w:jc w:val="both"/>
        <w:rPr>
          <w:rFonts w:ascii="Arial" w:eastAsia="Times New Roman" w:hAnsi="Arial" w:cs="Arial"/>
          <w:bCs/>
          <w:spacing w:val="10"/>
          <w:lang w:val="es-ES_tradnl" w:eastAsia="es-ES"/>
        </w:rPr>
      </w:pPr>
    </w:p>
    <w:p w14:paraId="30D4CA81" w14:textId="77777777" w:rsidR="00252EDE" w:rsidRPr="001530F2" w:rsidRDefault="00CE4998" w:rsidP="009749DA">
      <w:pPr>
        <w:pStyle w:val="Prrafodelista"/>
        <w:numPr>
          <w:ilvl w:val="0"/>
          <w:numId w:val="19"/>
        </w:numPr>
        <w:spacing w:after="0" w:line="240" w:lineRule="auto"/>
        <w:ind w:right="49"/>
        <w:rPr>
          <w:rFonts w:ascii="Arial" w:eastAsia="Times New Roman" w:hAnsi="Arial" w:cs="Arial"/>
          <w:b/>
          <w:bCs/>
          <w:spacing w:val="10"/>
          <w:lang w:val="es-ES_tradnl" w:eastAsia="es-ES"/>
        </w:rPr>
      </w:pPr>
      <w:r>
        <w:rPr>
          <w:rFonts w:ascii="Arial" w:eastAsia="Times New Roman" w:hAnsi="Arial" w:cs="Arial"/>
          <w:b/>
          <w:bCs/>
          <w:spacing w:val="10"/>
          <w:lang w:val="es-ES_tradnl" w:eastAsia="es-ES"/>
        </w:rPr>
        <w:t xml:space="preserve">Situaciones laborales </w:t>
      </w:r>
      <w:r w:rsidR="007369DE">
        <w:rPr>
          <w:rFonts w:ascii="Arial" w:eastAsia="Times New Roman" w:hAnsi="Arial" w:cs="Arial"/>
          <w:b/>
          <w:bCs/>
          <w:spacing w:val="10"/>
          <w:lang w:val="es-ES_tradnl" w:eastAsia="es-ES"/>
        </w:rPr>
        <w:t>relevantes en</w:t>
      </w:r>
      <w:r>
        <w:rPr>
          <w:rFonts w:ascii="Arial" w:eastAsia="Times New Roman" w:hAnsi="Arial" w:cs="Arial"/>
          <w:b/>
          <w:bCs/>
          <w:spacing w:val="10"/>
          <w:lang w:val="es-ES_tradnl" w:eastAsia="es-ES"/>
        </w:rPr>
        <w:t xml:space="preserve"> la pandemia</w:t>
      </w:r>
    </w:p>
    <w:p w14:paraId="6E699199" w14:textId="77777777" w:rsidR="00343375" w:rsidRDefault="00343375" w:rsidP="009749DA">
      <w:pPr>
        <w:spacing w:after="0" w:line="240" w:lineRule="auto"/>
        <w:ind w:right="49"/>
        <w:jc w:val="both"/>
        <w:rPr>
          <w:rFonts w:ascii="Arial" w:eastAsia="Times New Roman" w:hAnsi="Arial" w:cs="Arial"/>
          <w:bCs/>
          <w:spacing w:val="10"/>
          <w:lang w:val="es-ES_tradnl" w:eastAsia="es-ES"/>
        </w:rPr>
      </w:pPr>
      <w:bookmarkStart w:id="5" w:name="_Toc41756104"/>
    </w:p>
    <w:p w14:paraId="63039982" w14:textId="77777777" w:rsidR="00252EDE" w:rsidRPr="00DF5D01" w:rsidRDefault="007369DE" w:rsidP="009749DA">
      <w:pPr>
        <w:spacing w:after="0" w:line="240" w:lineRule="auto"/>
        <w:ind w:right="49"/>
        <w:jc w:val="both"/>
        <w:rPr>
          <w:rFonts w:ascii="Arial" w:eastAsia="Times New Roman" w:hAnsi="Arial" w:cs="Arial"/>
          <w:bCs/>
          <w:spacing w:val="10"/>
          <w:lang w:val="es-ES_tradnl" w:eastAsia="es-ES"/>
        </w:rPr>
      </w:pPr>
      <w:r w:rsidRPr="00DF5D01">
        <w:rPr>
          <w:rFonts w:ascii="Arial" w:eastAsia="Times New Roman" w:hAnsi="Arial" w:cs="Arial"/>
          <w:bCs/>
          <w:spacing w:val="10"/>
          <w:lang w:val="es-ES_tradnl" w:eastAsia="es-ES"/>
        </w:rPr>
        <w:t xml:space="preserve">Durante el periodo de la pandemia y las medidas de distanciamiento social, </w:t>
      </w:r>
      <w:r w:rsidR="004E678C">
        <w:rPr>
          <w:rFonts w:ascii="Arial" w:eastAsia="Times New Roman" w:hAnsi="Arial" w:cs="Arial"/>
          <w:bCs/>
          <w:spacing w:val="10"/>
          <w:lang w:val="es-ES_tradnl" w:eastAsia="es-ES"/>
        </w:rPr>
        <w:t xml:space="preserve">así como el </w:t>
      </w:r>
      <w:r w:rsidR="00B96E1D">
        <w:rPr>
          <w:rFonts w:ascii="Arial" w:eastAsia="Times New Roman" w:hAnsi="Arial" w:cs="Arial"/>
          <w:bCs/>
          <w:spacing w:val="10"/>
          <w:lang w:val="es-ES_tradnl" w:eastAsia="es-ES"/>
        </w:rPr>
        <w:t xml:space="preserve">reinicio </w:t>
      </w:r>
      <w:r w:rsidR="004E678C">
        <w:rPr>
          <w:rFonts w:ascii="Arial" w:eastAsia="Times New Roman" w:hAnsi="Arial" w:cs="Arial"/>
          <w:bCs/>
          <w:spacing w:val="10"/>
          <w:lang w:val="es-ES_tradnl" w:eastAsia="es-ES"/>
        </w:rPr>
        <w:t xml:space="preserve">gradual de las actividades no esenciales, </w:t>
      </w:r>
      <w:r w:rsidRPr="00DF5D01">
        <w:rPr>
          <w:rFonts w:ascii="Arial" w:eastAsia="Times New Roman" w:hAnsi="Arial" w:cs="Arial"/>
          <w:bCs/>
          <w:spacing w:val="10"/>
          <w:lang w:val="es-ES_tradnl" w:eastAsia="es-ES"/>
        </w:rPr>
        <w:t>tres segmentos de la fuerza de trabajo resultan relevantes para monitorear los impactos en el mercado laboral</w:t>
      </w:r>
      <w:r w:rsidR="00071E5E">
        <w:rPr>
          <w:rFonts w:ascii="Arial" w:eastAsia="Times New Roman" w:hAnsi="Arial" w:cs="Arial"/>
          <w:bCs/>
          <w:spacing w:val="10"/>
          <w:lang w:val="es-ES_tradnl" w:eastAsia="es-ES"/>
        </w:rPr>
        <w:t>:</w:t>
      </w:r>
      <w:r w:rsidRPr="00DF5D01">
        <w:rPr>
          <w:rFonts w:ascii="Arial" w:eastAsia="Times New Roman" w:hAnsi="Arial" w:cs="Arial"/>
          <w:bCs/>
          <w:spacing w:val="10"/>
          <w:lang w:val="es-ES_tradnl" w:eastAsia="es-ES"/>
        </w:rPr>
        <w:t xml:space="preserve"> </w:t>
      </w:r>
      <w:r w:rsidR="00E27274">
        <w:rPr>
          <w:rFonts w:ascii="Arial" w:eastAsia="Times New Roman" w:hAnsi="Arial" w:cs="Arial"/>
          <w:bCs/>
          <w:spacing w:val="10"/>
          <w:lang w:val="es-ES_tradnl" w:eastAsia="es-ES"/>
        </w:rPr>
        <w:t>1) l</w:t>
      </w:r>
      <w:r w:rsidR="00E27274" w:rsidRPr="00DF5D01">
        <w:rPr>
          <w:rFonts w:ascii="Arial" w:eastAsia="Times New Roman" w:hAnsi="Arial" w:cs="Arial"/>
          <w:bCs/>
          <w:spacing w:val="10"/>
          <w:lang w:val="es-ES_tradnl" w:eastAsia="es-ES"/>
        </w:rPr>
        <w:t xml:space="preserve">a </w:t>
      </w:r>
      <w:r w:rsidRPr="00DF5D01">
        <w:rPr>
          <w:rFonts w:ascii="Arial" w:eastAsia="Times New Roman" w:hAnsi="Arial" w:cs="Arial"/>
          <w:bCs/>
          <w:spacing w:val="10"/>
          <w:lang w:val="es-ES_tradnl" w:eastAsia="es-ES"/>
        </w:rPr>
        <w:t xml:space="preserve">subocupación, uno de los indicadores ampliamente utilizados y que permitirá conocer el número de personas que están en posibilidades de ofertar una </w:t>
      </w:r>
      <w:r w:rsidR="00E94EE0">
        <w:rPr>
          <w:rFonts w:ascii="Arial" w:eastAsia="Times New Roman" w:hAnsi="Arial" w:cs="Arial"/>
          <w:bCs/>
          <w:spacing w:val="10"/>
          <w:lang w:val="es-ES_tradnl" w:eastAsia="es-ES"/>
        </w:rPr>
        <w:t>mayor</w:t>
      </w:r>
      <w:r w:rsidR="00E94EE0" w:rsidRPr="00DF5D01">
        <w:rPr>
          <w:rFonts w:ascii="Arial" w:eastAsia="Times New Roman" w:hAnsi="Arial" w:cs="Arial"/>
          <w:bCs/>
          <w:spacing w:val="10"/>
          <w:lang w:val="es-ES_tradnl" w:eastAsia="es-ES"/>
        </w:rPr>
        <w:t xml:space="preserve"> </w:t>
      </w:r>
      <w:r w:rsidRPr="00DF5D01">
        <w:rPr>
          <w:rFonts w:ascii="Arial" w:eastAsia="Times New Roman" w:hAnsi="Arial" w:cs="Arial"/>
          <w:bCs/>
          <w:spacing w:val="10"/>
          <w:lang w:val="es-ES_tradnl" w:eastAsia="es-ES"/>
        </w:rPr>
        <w:t xml:space="preserve">cantidad de trabajo; </w:t>
      </w:r>
      <w:r w:rsidR="00E27274">
        <w:rPr>
          <w:rFonts w:ascii="Arial" w:eastAsia="Times New Roman" w:hAnsi="Arial" w:cs="Arial"/>
          <w:bCs/>
          <w:spacing w:val="10"/>
          <w:lang w:val="es-ES_tradnl" w:eastAsia="es-ES"/>
        </w:rPr>
        <w:t xml:space="preserve">2) </w:t>
      </w:r>
      <w:r w:rsidRPr="00DF5D01">
        <w:rPr>
          <w:rFonts w:ascii="Arial" w:eastAsia="Times New Roman" w:hAnsi="Arial" w:cs="Arial"/>
          <w:bCs/>
          <w:spacing w:val="10"/>
          <w:lang w:val="es-ES_tradnl" w:eastAsia="es-ES"/>
        </w:rPr>
        <w:t xml:space="preserve">los ausentes temporales de su empleo, especialmente aquellos </w:t>
      </w:r>
      <w:r w:rsidR="005C4141">
        <w:rPr>
          <w:rFonts w:ascii="Arial" w:eastAsia="Times New Roman" w:hAnsi="Arial" w:cs="Arial"/>
          <w:bCs/>
          <w:spacing w:val="10"/>
          <w:lang w:val="es-ES_tradnl" w:eastAsia="es-ES"/>
        </w:rPr>
        <w:t xml:space="preserve">que </w:t>
      </w:r>
      <w:r w:rsidRPr="00DF5D01">
        <w:rPr>
          <w:rFonts w:ascii="Arial" w:eastAsia="Times New Roman" w:hAnsi="Arial" w:cs="Arial"/>
          <w:bCs/>
          <w:spacing w:val="10"/>
          <w:lang w:val="es-ES_tradnl" w:eastAsia="es-ES"/>
        </w:rPr>
        <w:t xml:space="preserve">no </w:t>
      </w:r>
      <w:r w:rsidRPr="00DF5D01">
        <w:rPr>
          <w:rFonts w:ascii="Arial" w:eastAsia="Times New Roman" w:hAnsi="Arial" w:cs="Arial"/>
          <w:bCs/>
          <w:spacing w:val="10"/>
          <w:lang w:val="es-ES_tradnl" w:eastAsia="es-ES"/>
        </w:rPr>
        <w:lastRenderedPageBreak/>
        <w:t xml:space="preserve">lograron mantener su vínculo laboral durante la pandemia y las razones por las cuales dejaron el empleo o negocio; y finalmente </w:t>
      </w:r>
      <w:r w:rsidR="00E27274">
        <w:rPr>
          <w:rFonts w:ascii="Arial" w:eastAsia="Times New Roman" w:hAnsi="Arial" w:cs="Arial"/>
          <w:bCs/>
          <w:spacing w:val="10"/>
          <w:lang w:val="es-ES_tradnl" w:eastAsia="es-ES"/>
        </w:rPr>
        <w:t xml:space="preserve">3) </w:t>
      </w:r>
      <w:r w:rsidRPr="00DF5D01">
        <w:rPr>
          <w:rFonts w:ascii="Arial" w:eastAsia="Times New Roman" w:hAnsi="Arial" w:cs="Arial"/>
          <w:bCs/>
          <w:spacing w:val="10"/>
          <w:lang w:val="es-ES_tradnl" w:eastAsia="es-ES"/>
        </w:rPr>
        <w:t>los disponibles para trabajar, que tienen la necesidad o deseos de trabajar, pero que en la coyuntura actual, enfrentarán dificultades para incorporarse al mercado laboral.</w:t>
      </w:r>
      <w:bookmarkEnd w:id="5"/>
      <w:r w:rsidRPr="00DF5D01">
        <w:rPr>
          <w:rFonts w:ascii="Arial" w:eastAsia="Times New Roman" w:hAnsi="Arial" w:cs="Arial"/>
          <w:bCs/>
          <w:spacing w:val="10"/>
          <w:lang w:val="es-ES_tradnl" w:eastAsia="es-ES"/>
        </w:rPr>
        <w:t xml:space="preserve"> Entre los disponibles se pueden identificar diferentes grupos según el grado de vinculación con el mercado laboral; por un lado, se puede diferenciar entre quienes están ausentes temporalmente de su empleo, de aquellos que no lo están; así como, ubicar en el tiempo, aquellos que tienen experiencia laboral y que por algún motivo perdieron su empleo, renunciaron a un empleo, cerraron su negocio u otras razones, en un periodo reciente, situaciones que en periodos de parálisis de la actividad productiva, resultan en elementos clave para comprender el impacto de la pandemia en segmentos de la fuerza de trabajo, cuya fuente de trabajo es altamente vulnerable.</w:t>
      </w:r>
    </w:p>
    <w:p w14:paraId="1C25050B" w14:textId="77777777" w:rsidR="001530F2" w:rsidRDefault="001530F2" w:rsidP="009749DA">
      <w:pPr>
        <w:pStyle w:val="Prrafodelista"/>
        <w:spacing w:after="0" w:line="240" w:lineRule="auto"/>
        <w:ind w:left="0" w:right="49"/>
        <w:rPr>
          <w:rFonts w:ascii="Arial" w:eastAsia="Times New Roman" w:hAnsi="Arial" w:cs="Arial"/>
          <w:b/>
          <w:bCs/>
          <w:spacing w:val="10"/>
          <w:lang w:val="es-ES_tradnl" w:eastAsia="es-ES"/>
        </w:rPr>
      </w:pPr>
    </w:p>
    <w:p w14:paraId="3FC93910" w14:textId="77777777" w:rsidR="00F709DD" w:rsidRPr="00EA6098" w:rsidRDefault="00F709DD" w:rsidP="00EA6098">
      <w:pPr>
        <w:pStyle w:val="Prrafodelista"/>
        <w:numPr>
          <w:ilvl w:val="0"/>
          <w:numId w:val="19"/>
        </w:numPr>
        <w:spacing w:after="0" w:line="240" w:lineRule="auto"/>
        <w:ind w:right="49"/>
        <w:jc w:val="both"/>
        <w:rPr>
          <w:rFonts w:ascii="Arial" w:eastAsia="Times New Roman" w:hAnsi="Arial" w:cs="Arial"/>
          <w:b/>
          <w:bCs/>
          <w:spacing w:val="10"/>
          <w:lang w:val="es-ES_tradnl" w:eastAsia="es-ES"/>
        </w:rPr>
      </w:pPr>
      <w:r w:rsidRPr="00EA6098">
        <w:rPr>
          <w:rFonts w:ascii="Arial" w:eastAsia="Times New Roman" w:hAnsi="Arial" w:cs="Arial"/>
          <w:b/>
          <w:bCs/>
          <w:spacing w:val="10"/>
          <w:lang w:val="es-ES_tradnl" w:eastAsia="es-ES"/>
        </w:rPr>
        <w:t>Comparaciones entre entrevistas cara a cara y entrevistas telefónicas</w:t>
      </w:r>
    </w:p>
    <w:p w14:paraId="259EEB83" w14:textId="77777777" w:rsidR="00F709DD" w:rsidRDefault="00F709DD" w:rsidP="00E8274E">
      <w:pPr>
        <w:spacing w:after="0" w:line="240" w:lineRule="auto"/>
        <w:ind w:right="49"/>
        <w:jc w:val="both"/>
        <w:rPr>
          <w:rFonts w:ascii="Arial" w:eastAsia="Times New Roman" w:hAnsi="Arial" w:cs="Arial"/>
          <w:bCs/>
          <w:spacing w:val="10"/>
          <w:lang w:val="es-ES_tradnl" w:eastAsia="es-ES"/>
        </w:rPr>
      </w:pPr>
    </w:p>
    <w:p w14:paraId="3876868F" w14:textId="02FB82CC" w:rsidR="00994BEE" w:rsidRPr="00F94583" w:rsidRDefault="00C5522A" w:rsidP="00F709DD">
      <w:pPr>
        <w:pStyle w:val="Subttulo"/>
        <w:ind w:right="49"/>
        <w:jc w:val="both"/>
        <w:rPr>
          <w:b w:val="0"/>
          <w:spacing w:val="10"/>
          <w:sz w:val="22"/>
          <w:szCs w:val="22"/>
        </w:rPr>
      </w:pPr>
      <w:r w:rsidRPr="00F94583">
        <w:rPr>
          <w:b w:val="0"/>
          <w:spacing w:val="10"/>
          <w:sz w:val="22"/>
          <w:szCs w:val="22"/>
        </w:rPr>
        <w:t xml:space="preserve">El INEGI continúa realizando pruebas respecto a diversas estrategias de levantamiento de información vía telefónica, </w:t>
      </w:r>
      <w:r>
        <w:rPr>
          <w:b w:val="0"/>
          <w:spacing w:val="10"/>
          <w:sz w:val="22"/>
          <w:szCs w:val="22"/>
        </w:rPr>
        <w:t>a efecto de poder m</w:t>
      </w:r>
      <w:r w:rsidRPr="00F94583">
        <w:rPr>
          <w:b w:val="0"/>
          <w:spacing w:val="10"/>
          <w:sz w:val="22"/>
          <w:szCs w:val="22"/>
        </w:rPr>
        <w:t xml:space="preserve">edir diferencias en las estimaciones de los </w:t>
      </w:r>
      <w:r w:rsidR="00F709DD" w:rsidRPr="00F94583">
        <w:rPr>
          <w:b w:val="0"/>
          <w:spacing w:val="10"/>
          <w:sz w:val="22"/>
          <w:szCs w:val="22"/>
        </w:rPr>
        <w:t>indicadores estratégicos, considerando entrevistas cara a cara versus entrevistas telefónicas</w:t>
      </w:r>
      <w:r w:rsidRPr="00F94583">
        <w:rPr>
          <w:b w:val="0"/>
          <w:spacing w:val="10"/>
          <w:sz w:val="22"/>
          <w:szCs w:val="22"/>
        </w:rPr>
        <w:t>. Una vez que se concluya dicho análisis, se</w:t>
      </w:r>
      <w:r w:rsidR="00D71B09" w:rsidRPr="00F94583">
        <w:rPr>
          <w:b w:val="0"/>
          <w:spacing w:val="10"/>
          <w:sz w:val="22"/>
          <w:szCs w:val="22"/>
        </w:rPr>
        <w:t xml:space="preserve"> pondrá a disposición de los usuarios</w:t>
      </w:r>
      <w:r w:rsidRPr="00F94583">
        <w:rPr>
          <w:b w:val="0"/>
          <w:spacing w:val="10"/>
          <w:sz w:val="22"/>
          <w:szCs w:val="22"/>
        </w:rPr>
        <w:t>.</w:t>
      </w:r>
    </w:p>
    <w:p w14:paraId="3599D49E" w14:textId="77777777" w:rsidR="006D2885" w:rsidRDefault="006D2885" w:rsidP="00F709DD">
      <w:pPr>
        <w:pStyle w:val="Subttulo"/>
        <w:ind w:right="49"/>
        <w:jc w:val="both"/>
        <w:rPr>
          <w:b w:val="0"/>
          <w:spacing w:val="10"/>
          <w:sz w:val="22"/>
          <w:szCs w:val="22"/>
          <w:highlight w:val="yellow"/>
        </w:rPr>
      </w:pPr>
    </w:p>
    <w:p w14:paraId="3342992C" w14:textId="77777777" w:rsidR="00252EDE" w:rsidRPr="003E6E0C" w:rsidRDefault="00252EDE" w:rsidP="009749DA">
      <w:pPr>
        <w:pStyle w:val="Prrafodelista"/>
        <w:numPr>
          <w:ilvl w:val="0"/>
          <w:numId w:val="24"/>
        </w:numPr>
        <w:spacing w:after="0" w:line="240" w:lineRule="auto"/>
        <w:ind w:left="0" w:right="49" w:firstLine="0"/>
        <w:rPr>
          <w:rFonts w:ascii="Arial" w:eastAsia="Times New Roman" w:hAnsi="Arial" w:cs="Arial"/>
          <w:b/>
          <w:bCs/>
          <w:spacing w:val="10"/>
          <w:lang w:val="es-ES_tradnl" w:eastAsia="es-ES"/>
        </w:rPr>
      </w:pPr>
      <w:r w:rsidRPr="003E6E0C">
        <w:rPr>
          <w:rFonts w:ascii="Arial" w:eastAsia="Times New Roman" w:hAnsi="Arial" w:cs="Arial"/>
          <w:b/>
          <w:bCs/>
          <w:spacing w:val="10"/>
          <w:lang w:val="es-ES_tradnl" w:eastAsia="es-ES"/>
        </w:rPr>
        <w:t>Estrategia operativa y resultados del levantamiento</w:t>
      </w:r>
    </w:p>
    <w:p w14:paraId="1CFAF4C5" w14:textId="77777777" w:rsidR="00252EDE" w:rsidRPr="00C07470" w:rsidRDefault="00252EDE" w:rsidP="009749DA">
      <w:pPr>
        <w:spacing w:after="0" w:line="240" w:lineRule="auto"/>
        <w:ind w:right="49"/>
        <w:jc w:val="both"/>
        <w:rPr>
          <w:rFonts w:ascii="Arial" w:hAnsi="Arial" w:cs="Arial"/>
        </w:rPr>
      </w:pPr>
    </w:p>
    <w:p w14:paraId="628CDD7D" w14:textId="77777777" w:rsidR="00926FED" w:rsidRDefault="00926FED" w:rsidP="009749DA">
      <w:pPr>
        <w:spacing w:after="0" w:line="240" w:lineRule="auto"/>
        <w:ind w:right="49"/>
        <w:jc w:val="both"/>
        <w:rPr>
          <w:rFonts w:ascii="Arial" w:eastAsia="Times New Roman" w:hAnsi="Arial" w:cs="Arial"/>
          <w:bCs/>
          <w:spacing w:val="10"/>
          <w:lang w:val="es-ES_tradnl" w:eastAsia="es-ES"/>
        </w:rPr>
      </w:pPr>
      <w:r w:rsidRPr="003E6E0C">
        <w:rPr>
          <w:rFonts w:ascii="Arial" w:eastAsia="Times New Roman" w:hAnsi="Arial" w:cs="Arial"/>
          <w:bCs/>
          <w:spacing w:val="10"/>
          <w:lang w:val="es-ES_tradnl" w:eastAsia="es-ES"/>
        </w:rPr>
        <w:t>La</w:t>
      </w:r>
      <w:r>
        <w:rPr>
          <w:rFonts w:ascii="Arial" w:eastAsia="Times New Roman" w:hAnsi="Arial" w:cs="Arial"/>
          <w:bCs/>
          <w:spacing w:val="10"/>
          <w:lang w:val="es-ES_tradnl" w:eastAsia="es-ES"/>
        </w:rPr>
        <w:t xml:space="preserve"> mayoría de las </w:t>
      </w:r>
      <w:r w:rsidRPr="003E6E0C">
        <w:rPr>
          <w:rFonts w:ascii="Arial" w:eastAsia="Times New Roman" w:hAnsi="Arial" w:cs="Arial"/>
          <w:bCs/>
          <w:spacing w:val="10"/>
          <w:lang w:val="es-ES_tradnl" w:eastAsia="es-ES"/>
        </w:rPr>
        <w:t xml:space="preserve">oficinas estadísticas de los países levantan sus encuestas de fuerza de trabajo mediante entrevistas cara a cara en </w:t>
      </w:r>
      <w:r w:rsidRPr="00A83689">
        <w:rPr>
          <w:rFonts w:ascii="Arial" w:eastAsia="Times New Roman" w:hAnsi="Arial" w:cs="Arial"/>
          <w:bCs/>
          <w:spacing w:val="10"/>
          <w:lang w:val="es-ES_tradnl" w:eastAsia="es-ES"/>
        </w:rPr>
        <w:t>las</w:t>
      </w:r>
      <w:r w:rsidRPr="003E6E0C">
        <w:rPr>
          <w:rFonts w:ascii="Arial" w:eastAsia="Times New Roman" w:hAnsi="Arial" w:cs="Arial"/>
          <w:bCs/>
          <w:spacing w:val="10"/>
          <w:lang w:val="es-ES_tradnl" w:eastAsia="es-ES"/>
        </w:rPr>
        <w:t xml:space="preserve"> viviendas seleccionadas</w:t>
      </w:r>
      <w:r>
        <w:rPr>
          <w:rFonts w:ascii="Arial" w:eastAsia="Times New Roman" w:hAnsi="Arial" w:cs="Arial"/>
          <w:bCs/>
          <w:spacing w:val="10"/>
          <w:lang w:val="es-ES_tradnl" w:eastAsia="es-ES"/>
        </w:rPr>
        <w:t>;</w:t>
      </w:r>
      <w:r w:rsidRPr="003E6E0C">
        <w:rPr>
          <w:rFonts w:ascii="Arial" w:eastAsia="Times New Roman" w:hAnsi="Arial" w:cs="Arial"/>
          <w:bCs/>
          <w:spacing w:val="10"/>
          <w:lang w:val="es-ES_tradnl" w:eastAsia="es-ES"/>
        </w:rPr>
        <w:t xml:space="preserve"> </w:t>
      </w:r>
      <w:r>
        <w:rPr>
          <w:rFonts w:ascii="Arial" w:eastAsia="Times New Roman" w:hAnsi="Arial" w:cs="Arial"/>
          <w:bCs/>
          <w:spacing w:val="10"/>
          <w:lang w:val="es-ES_tradnl" w:eastAsia="es-ES"/>
        </w:rPr>
        <w:t>sin embargo,</w:t>
      </w:r>
      <w:r w:rsidRPr="003E6E0C">
        <w:rPr>
          <w:rFonts w:ascii="Arial" w:eastAsia="Times New Roman" w:hAnsi="Arial" w:cs="Arial"/>
          <w:bCs/>
          <w:spacing w:val="10"/>
          <w:lang w:val="es-ES_tradnl" w:eastAsia="es-ES"/>
        </w:rPr>
        <w:t xml:space="preserve"> las medidas de aislamiento social adoptadas por los gobiernos para contener la pandemia del COVID-19</w:t>
      </w:r>
      <w:r>
        <w:rPr>
          <w:rFonts w:ascii="Arial" w:eastAsia="Times New Roman" w:hAnsi="Arial" w:cs="Arial"/>
          <w:bCs/>
          <w:spacing w:val="10"/>
          <w:lang w:val="es-ES_tradnl" w:eastAsia="es-ES"/>
        </w:rPr>
        <w:t>,</w:t>
      </w:r>
      <w:r w:rsidRPr="003E6E0C">
        <w:rPr>
          <w:rFonts w:ascii="Arial" w:eastAsia="Times New Roman" w:hAnsi="Arial" w:cs="Arial"/>
          <w:bCs/>
          <w:spacing w:val="10"/>
          <w:lang w:val="es-ES_tradnl" w:eastAsia="es-ES"/>
        </w:rPr>
        <w:t xml:space="preserve"> afectaron en </w:t>
      </w:r>
      <w:r>
        <w:rPr>
          <w:rFonts w:ascii="Arial" w:eastAsia="Times New Roman" w:hAnsi="Arial" w:cs="Arial"/>
          <w:bCs/>
          <w:spacing w:val="10"/>
          <w:lang w:val="es-ES_tradnl" w:eastAsia="es-ES"/>
        </w:rPr>
        <w:t>mayor</w:t>
      </w:r>
      <w:r w:rsidRPr="003E6E0C">
        <w:rPr>
          <w:rFonts w:ascii="Arial" w:eastAsia="Times New Roman" w:hAnsi="Arial" w:cs="Arial"/>
          <w:bCs/>
          <w:spacing w:val="10"/>
          <w:lang w:val="es-ES_tradnl" w:eastAsia="es-ES"/>
        </w:rPr>
        <w:t xml:space="preserve"> o menor medida el levantamiento de </w:t>
      </w:r>
      <w:r>
        <w:rPr>
          <w:rFonts w:ascii="Arial" w:eastAsia="Times New Roman" w:hAnsi="Arial" w:cs="Arial"/>
          <w:bCs/>
          <w:spacing w:val="10"/>
          <w:lang w:val="es-ES_tradnl" w:eastAsia="es-ES"/>
        </w:rPr>
        <w:t>estas</w:t>
      </w:r>
      <w:r w:rsidRPr="003E6E0C">
        <w:rPr>
          <w:rFonts w:ascii="Arial" w:eastAsia="Times New Roman" w:hAnsi="Arial" w:cs="Arial"/>
          <w:bCs/>
          <w:spacing w:val="10"/>
          <w:lang w:val="es-ES_tradnl" w:eastAsia="es-ES"/>
        </w:rPr>
        <w:t xml:space="preserve"> encuestas y la generación de información para conocer los efectos de la pandemia sobre el empleo.</w:t>
      </w:r>
    </w:p>
    <w:p w14:paraId="5119FFE4" w14:textId="77777777" w:rsidR="00CB0099" w:rsidRPr="003E6E0C" w:rsidRDefault="00CB0099" w:rsidP="009749DA">
      <w:pPr>
        <w:spacing w:after="0" w:line="240" w:lineRule="auto"/>
        <w:ind w:right="49"/>
        <w:jc w:val="both"/>
        <w:rPr>
          <w:rFonts w:ascii="Arial" w:eastAsia="Times New Roman" w:hAnsi="Arial" w:cs="Arial"/>
          <w:bCs/>
          <w:spacing w:val="10"/>
          <w:lang w:val="es-ES_tradnl" w:eastAsia="es-ES"/>
        </w:rPr>
      </w:pPr>
    </w:p>
    <w:p w14:paraId="6D7AB4DA" w14:textId="77777777" w:rsidR="00926FED" w:rsidRDefault="00926FED" w:rsidP="009749DA">
      <w:pPr>
        <w:spacing w:after="0" w:line="240" w:lineRule="auto"/>
        <w:ind w:right="49"/>
        <w:jc w:val="both"/>
        <w:rPr>
          <w:rFonts w:ascii="Arial" w:eastAsia="Times New Roman" w:hAnsi="Arial" w:cs="Arial"/>
          <w:bCs/>
          <w:spacing w:val="10"/>
          <w:lang w:val="es-ES_tradnl" w:eastAsia="es-ES"/>
        </w:rPr>
      </w:pPr>
      <w:r w:rsidRPr="0000569C">
        <w:rPr>
          <w:rFonts w:ascii="Arial" w:eastAsia="Times New Roman" w:hAnsi="Arial" w:cs="Arial"/>
          <w:bCs/>
          <w:spacing w:val="10"/>
          <w:lang w:val="es-ES_tradnl" w:eastAsia="es-ES"/>
        </w:rPr>
        <w:t>México no es la excepción</w:t>
      </w:r>
      <w:r w:rsidR="00AB673F">
        <w:rPr>
          <w:rFonts w:ascii="Arial" w:eastAsia="Times New Roman" w:hAnsi="Arial" w:cs="Arial"/>
          <w:bCs/>
          <w:spacing w:val="10"/>
          <w:lang w:val="es-ES_tradnl" w:eastAsia="es-ES"/>
        </w:rPr>
        <w:t>,</w:t>
      </w:r>
      <w:r w:rsidRPr="0000569C">
        <w:rPr>
          <w:rFonts w:ascii="Arial" w:eastAsia="Times New Roman" w:hAnsi="Arial" w:cs="Arial"/>
          <w:bCs/>
          <w:spacing w:val="10"/>
          <w:lang w:val="es-ES_tradnl" w:eastAsia="es-ES"/>
        </w:rPr>
        <w:t xml:space="preserve"> por lo que se diseñaron estrategias alternativas para </w:t>
      </w:r>
      <w:r>
        <w:rPr>
          <w:rFonts w:ascii="Arial" w:eastAsia="Times New Roman" w:hAnsi="Arial" w:cs="Arial"/>
          <w:bCs/>
          <w:spacing w:val="10"/>
          <w:lang w:val="es-ES_tradnl" w:eastAsia="es-ES"/>
        </w:rPr>
        <w:t xml:space="preserve">mantener la generación </w:t>
      </w:r>
      <w:r w:rsidRPr="0000569C">
        <w:rPr>
          <w:rFonts w:ascii="Arial" w:eastAsia="Times New Roman" w:hAnsi="Arial" w:cs="Arial"/>
          <w:bCs/>
          <w:spacing w:val="10"/>
          <w:lang w:val="es-ES_tradnl" w:eastAsia="es-ES"/>
        </w:rPr>
        <w:t xml:space="preserve">de </w:t>
      </w:r>
      <w:r>
        <w:rPr>
          <w:rFonts w:ascii="Arial" w:eastAsia="Times New Roman" w:hAnsi="Arial" w:cs="Arial"/>
          <w:bCs/>
          <w:spacing w:val="10"/>
          <w:lang w:val="es-ES_tradnl" w:eastAsia="es-ES"/>
        </w:rPr>
        <w:t xml:space="preserve">la </w:t>
      </w:r>
      <w:r w:rsidRPr="0000569C">
        <w:rPr>
          <w:rFonts w:ascii="Arial" w:eastAsia="Times New Roman" w:hAnsi="Arial" w:cs="Arial"/>
          <w:bCs/>
          <w:spacing w:val="10"/>
          <w:lang w:val="es-ES_tradnl" w:eastAsia="es-ES"/>
        </w:rPr>
        <w:t>información estadística</w:t>
      </w:r>
      <w:r>
        <w:rPr>
          <w:rFonts w:ascii="Arial" w:eastAsia="Times New Roman" w:hAnsi="Arial" w:cs="Arial"/>
          <w:bCs/>
          <w:spacing w:val="10"/>
          <w:lang w:val="es-ES_tradnl" w:eastAsia="es-ES"/>
        </w:rPr>
        <w:t xml:space="preserve"> y disponer de información sobre la coyuntura de la pandemia originada por el COVID-19</w:t>
      </w:r>
      <w:r w:rsidRPr="0000569C">
        <w:rPr>
          <w:rFonts w:ascii="Arial" w:eastAsia="Times New Roman" w:hAnsi="Arial" w:cs="Arial"/>
          <w:bCs/>
          <w:spacing w:val="10"/>
          <w:lang w:val="es-ES_tradnl" w:eastAsia="es-ES"/>
        </w:rPr>
        <w:t>.</w:t>
      </w:r>
    </w:p>
    <w:p w14:paraId="17790609" w14:textId="77777777" w:rsidR="00926FED" w:rsidRDefault="00926FED" w:rsidP="009749DA">
      <w:pPr>
        <w:spacing w:after="0" w:line="240" w:lineRule="auto"/>
        <w:ind w:right="49"/>
        <w:jc w:val="both"/>
        <w:rPr>
          <w:rFonts w:ascii="Arial" w:eastAsia="Times New Roman" w:hAnsi="Arial" w:cs="Arial"/>
          <w:bCs/>
          <w:spacing w:val="10"/>
          <w:lang w:val="es-ES_tradnl" w:eastAsia="es-ES"/>
        </w:rPr>
      </w:pPr>
    </w:p>
    <w:p w14:paraId="18E93E0B" w14:textId="2D9CFEAE" w:rsidR="00926FED" w:rsidRPr="004B30CC" w:rsidRDefault="00926FED" w:rsidP="009749DA">
      <w:pPr>
        <w:spacing w:after="0" w:line="240" w:lineRule="auto"/>
        <w:ind w:right="49"/>
        <w:jc w:val="both"/>
        <w:rPr>
          <w:rFonts w:ascii="Arial" w:eastAsia="Times New Roman" w:hAnsi="Arial" w:cs="Arial"/>
          <w:bCs/>
          <w:spacing w:val="10"/>
          <w:lang w:val="es-ES_tradnl" w:eastAsia="es-ES"/>
        </w:rPr>
      </w:pPr>
      <w:r w:rsidRPr="0000569C">
        <w:rPr>
          <w:rFonts w:ascii="Arial" w:eastAsia="Times New Roman" w:hAnsi="Arial" w:cs="Arial"/>
          <w:bCs/>
          <w:spacing w:val="10"/>
          <w:lang w:val="es-ES_tradnl" w:eastAsia="es-ES"/>
        </w:rPr>
        <w:t xml:space="preserve">En este contexto, </w:t>
      </w:r>
      <w:r>
        <w:rPr>
          <w:rFonts w:ascii="Arial" w:eastAsia="Times New Roman" w:hAnsi="Arial" w:cs="Arial"/>
          <w:bCs/>
          <w:spacing w:val="10"/>
          <w:lang w:val="es-ES_tradnl" w:eastAsia="es-ES"/>
        </w:rPr>
        <w:t>surgieron las</w:t>
      </w:r>
      <w:r w:rsidRPr="0000569C">
        <w:rPr>
          <w:rFonts w:ascii="Arial" w:eastAsia="Times New Roman" w:hAnsi="Arial" w:cs="Arial"/>
          <w:bCs/>
          <w:spacing w:val="10"/>
          <w:lang w:val="es-ES_tradnl" w:eastAsia="es-ES"/>
        </w:rPr>
        <w:t xml:space="preserve"> encuesta</w:t>
      </w:r>
      <w:r>
        <w:rPr>
          <w:rFonts w:ascii="Arial" w:eastAsia="Times New Roman" w:hAnsi="Arial" w:cs="Arial"/>
          <w:bCs/>
          <w:spacing w:val="10"/>
          <w:lang w:val="es-ES_tradnl" w:eastAsia="es-ES"/>
        </w:rPr>
        <w:t>s telefónicas y ahora las encuestas que combina</w:t>
      </w:r>
      <w:r w:rsidR="0099487C">
        <w:rPr>
          <w:rFonts w:ascii="Arial" w:eastAsia="Times New Roman" w:hAnsi="Arial" w:cs="Arial"/>
          <w:bCs/>
          <w:spacing w:val="10"/>
          <w:lang w:val="es-ES_tradnl" w:eastAsia="es-ES"/>
        </w:rPr>
        <w:t>n</w:t>
      </w:r>
      <w:r>
        <w:rPr>
          <w:rFonts w:ascii="Arial" w:eastAsia="Times New Roman" w:hAnsi="Arial" w:cs="Arial"/>
          <w:bCs/>
          <w:spacing w:val="10"/>
          <w:lang w:val="es-ES_tradnl" w:eastAsia="es-ES"/>
        </w:rPr>
        <w:t xml:space="preserve"> entrevistas cara a cara y entrevistas telefónicas, dado el reinicio de los operativos de campo tradicionales que implican la vis</w:t>
      </w:r>
      <w:r w:rsidR="00B44E95">
        <w:rPr>
          <w:rFonts w:ascii="Arial" w:eastAsia="Times New Roman" w:hAnsi="Arial" w:cs="Arial"/>
          <w:bCs/>
          <w:spacing w:val="10"/>
          <w:lang w:val="es-ES_tradnl" w:eastAsia="es-ES"/>
        </w:rPr>
        <w:t>i</w:t>
      </w:r>
      <w:r>
        <w:rPr>
          <w:rFonts w:ascii="Arial" w:eastAsia="Times New Roman" w:hAnsi="Arial" w:cs="Arial"/>
          <w:bCs/>
          <w:spacing w:val="10"/>
          <w:lang w:val="es-ES_tradnl" w:eastAsia="es-ES"/>
        </w:rPr>
        <w:t>ta del personal a las viviendas en muestra para recolectar la información.</w:t>
      </w:r>
    </w:p>
    <w:p w14:paraId="46FDFD5E" w14:textId="77777777" w:rsidR="00926FED" w:rsidRPr="003E6E0C" w:rsidRDefault="00926FED" w:rsidP="009749DA">
      <w:pPr>
        <w:spacing w:after="0" w:line="240" w:lineRule="auto"/>
        <w:ind w:right="49"/>
        <w:jc w:val="both"/>
        <w:rPr>
          <w:rFonts w:ascii="Arial" w:eastAsia="Times New Roman" w:hAnsi="Arial" w:cs="Arial"/>
          <w:bCs/>
          <w:spacing w:val="10"/>
          <w:lang w:val="es-ES_tradnl" w:eastAsia="es-ES"/>
        </w:rPr>
      </w:pPr>
    </w:p>
    <w:p w14:paraId="18EDE308" w14:textId="77777777" w:rsidR="00926FED" w:rsidRPr="003E6E0C" w:rsidRDefault="00926FED" w:rsidP="009749DA">
      <w:pPr>
        <w:spacing w:after="0" w:line="240" w:lineRule="auto"/>
        <w:ind w:right="49"/>
        <w:jc w:val="both"/>
        <w:rPr>
          <w:rFonts w:ascii="Arial" w:eastAsia="Times New Roman" w:hAnsi="Arial" w:cs="Arial"/>
          <w:bCs/>
          <w:spacing w:val="10"/>
          <w:lang w:val="es-ES_tradnl" w:eastAsia="es-ES"/>
        </w:rPr>
      </w:pPr>
      <w:r>
        <w:rPr>
          <w:rFonts w:ascii="Arial" w:eastAsia="Times New Roman" w:hAnsi="Arial" w:cs="Arial"/>
          <w:bCs/>
          <w:spacing w:val="10"/>
          <w:lang w:val="es-ES_tradnl" w:eastAsia="es-ES"/>
        </w:rPr>
        <w:t xml:space="preserve">En la </w:t>
      </w:r>
      <w:r w:rsidRPr="003E6E0C">
        <w:rPr>
          <w:rFonts w:ascii="Arial" w:eastAsia="Times New Roman" w:hAnsi="Arial" w:cs="Arial"/>
          <w:bCs/>
          <w:spacing w:val="10"/>
          <w:lang w:val="es-ES_tradnl" w:eastAsia="es-ES"/>
        </w:rPr>
        <w:t>ENOE</w:t>
      </w:r>
      <w:r>
        <w:rPr>
          <w:rFonts w:ascii="Arial" w:eastAsia="Times New Roman" w:hAnsi="Arial" w:cs="Arial"/>
          <w:bCs/>
          <w:spacing w:val="10"/>
          <w:vertAlign w:val="superscript"/>
          <w:lang w:val="es-ES_tradnl" w:eastAsia="es-ES"/>
        </w:rPr>
        <w:t>N</w:t>
      </w:r>
      <w:r w:rsidRPr="003E6E0C">
        <w:rPr>
          <w:rFonts w:ascii="Arial" w:eastAsia="Times New Roman" w:hAnsi="Arial" w:cs="Arial"/>
          <w:bCs/>
          <w:spacing w:val="10"/>
          <w:lang w:val="es-ES_tradnl" w:eastAsia="es-ES"/>
        </w:rPr>
        <w:t xml:space="preserve"> el periodo de referencia fue la semana anterior</w:t>
      </w:r>
      <w:r>
        <w:rPr>
          <w:rFonts w:ascii="Arial" w:eastAsia="Times New Roman" w:hAnsi="Arial" w:cs="Arial"/>
          <w:bCs/>
          <w:spacing w:val="10"/>
          <w:lang w:val="es-ES_tradnl" w:eastAsia="es-ES"/>
        </w:rPr>
        <w:t xml:space="preserve"> a la entrevista</w:t>
      </w:r>
      <w:r w:rsidR="00CB0099">
        <w:rPr>
          <w:rFonts w:ascii="Arial" w:eastAsia="Times New Roman" w:hAnsi="Arial" w:cs="Arial"/>
          <w:bCs/>
          <w:spacing w:val="10"/>
          <w:lang w:val="es-ES_tradnl" w:eastAsia="es-ES"/>
        </w:rPr>
        <w:t>, tanto en las entrevistas telefónicas como cara a cara,</w:t>
      </w:r>
      <w:r>
        <w:rPr>
          <w:rFonts w:ascii="Arial" w:eastAsia="Times New Roman" w:hAnsi="Arial" w:cs="Arial"/>
          <w:bCs/>
          <w:spacing w:val="10"/>
          <w:lang w:val="es-ES_tradnl" w:eastAsia="es-ES"/>
        </w:rPr>
        <w:t xml:space="preserve"> </w:t>
      </w:r>
      <w:r w:rsidRPr="003E6E0C">
        <w:rPr>
          <w:rFonts w:ascii="Arial" w:eastAsia="Times New Roman" w:hAnsi="Arial" w:cs="Arial"/>
          <w:bCs/>
          <w:spacing w:val="10"/>
          <w:lang w:val="es-ES_tradnl" w:eastAsia="es-ES"/>
        </w:rPr>
        <w:t xml:space="preserve">para captar la situación laboral de las personas y se cuidó que quien contestara la entrevista fuese residente de la vivienda, un informante adecuado de 15 y más </w:t>
      </w:r>
      <w:proofErr w:type="gramStart"/>
      <w:r w:rsidRPr="003E6E0C">
        <w:rPr>
          <w:rFonts w:ascii="Arial" w:eastAsia="Times New Roman" w:hAnsi="Arial" w:cs="Arial"/>
          <w:bCs/>
          <w:spacing w:val="10"/>
          <w:lang w:val="es-ES_tradnl" w:eastAsia="es-ES"/>
        </w:rPr>
        <w:t>años</w:t>
      </w:r>
      <w:r>
        <w:rPr>
          <w:rFonts w:ascii="Arial" w:eastAsia="Times New Roman" w:hAnsi="Arial" w:cs="Arial"/>
          <w:bCs/>
          <w:spacing w:val="10"/>
          <w:lang w:val="es-ES_tradnl" w:eastAsia="es-ES"/>
        </w:rPr>
        <w:t xml:space="preserve"> de edad</w:t>
      </w:r>
      <w:proofErr w:type="gramEnd"/>
      <w:r w:rsidRPr="003E6E0C">
        <w:rPr>
          <w:rFonts w:ascii="Arial" w:eastAsia="Times New Roman" w:hAnsi="Arial" w:cs="Arial"/>
          <w:bCs/>
          <w:spacing w:val="10"/>
          <w:lang w:val="es-ES_tradnl" w:eastAsia="es-ES"/>
        </w:rPr>
        <w:t>.</w:t>
      </w:r>
    </w:p>
    <w:p w14:paraId="792B6240" w14:textId="77777777" w:rsidR="00926FED" w:rsidRPr="003E6E0C" w:rsidRDefault="00926FED" w:rsidP="009749DA">
      <w:pPr>
        <w:spacing w:after="0" w:line="240" w:lineRule="auto"/>
        <w:ind w:right="49"/>
        <w:jc w:val="both"/>
        <w:rPr>
          <w:rFonts w:ascii="Arial" w:eastAsia="Times New Roman" w:hAnsi="Arial" w:cs="Arial"/>
          <w:bCs/>
          <w:spacing w:val="10"/>
          <w:lang w:val="es-ES_tradnl" w:eastAsia="es-ES"/>
        </w:rPr>
      </w:pPr>
    </w:p>
    <w:p w14:paraId="106521DF" w14:textId="77777777" w:rsidR="00926FED" w:rsidRPr="003E6E0C" w:rsidRDefault="00926FED" w:rsidP="009749DA">
      <w:pPr>
        <w:spacing w:after="0" w:line="240" w:lineRule="auto"/>
        <w:ind w:right="49"/>
        <w:jc w:val="both"/>
        <w:rPr>
          <w:rFonts w:ascii="Arial" w:eastAsia="Times New Roman" w:hAnsi="Arial" w:cs="Arial"/>
          <w:bCs/>
          <w:spacing w:val="10"/>
          <w:lang w:val="es-ES_tradnl" w:eastAsia="es-ES"/>
        </w:rPr>
      </w:pPr>
      <w:r w:rsidRPr="003E6E0C">
        <w:rPr>
          <w:rFonts w:ascii="Arial" w:eastAsia="Times New Roman" w:hAnsi="Arial" w:cs="Arial"/>
          <w:bCs/>
          <w:spacing w:val="10"/>
          <w:lang w:val="es-ES_tradnl" w:eastAsia="es-ES"/>
        </w:rPr>
        <w:t>El personal que levantó la encuesta fue el propio de la ENOE, aplic</w:t>
      </w:r>
      <w:r>
        <w:rPr>
          <w:rFonts w:ascii="Arial" w:eastAsia="Times New Roman" w:hAnsi="Arial" w:cs="Arial"/>
          <w:bCs/>
          <w:spacing w:val="10"/>
          <w:lang w:val="es-ES_tradnl" w:eastAsia="es-ES"/>
        </w:rPr>
        <w:t>ando</w:t>
      </w:r>
      <w:r w:rsidRPr="003E6E0C">
        <w:rPr>
          <w:rFonts w:ascii="Arial" w:eastAsia="Times New Roman" w:hAnsi="Arial" w:cs="Arial"/>
          <w:bCs/>
          <w:spacing w:val="10"/>
          <w:lang w:val="es-ES_tradnl" w:eastAsia="es-ES"/>
        </w:rPr>
        <w:t xml:space="preserve"> los mismos instrumentos de captación, es decir, el Cuestionario Sociodemográfico (CS) y el Cuestionario de Ocupación y Empleo (COE), así como los mismos procedimientos de captura, codificación, validación y tratamiento de la información.</w:t>
      </w:r>
    </w:p>
    <w:p w14:paraId="12D11BCA" w14:textId="77777777" w:rsidR="00926FED" w:rsidRPr="003E6E0C" w:rsidRDefault="00926FED" w:rsidP="009749DA">
      <w:pPr>
        <w:spacing w:after="0" w:line="240" w:lineRule="auto"/>
        <w:ind w:right="49"/>
        <w:jc w:val="both"/>
        <w:rPr>
          <w:rFonts w:ascii="Arial" w:eastAsia="Times New Roman" w:hAnsi="Arial" w:cs="Arial"/>
          <w:bCs/>
          <w:spacing w:val="10"/>
          <w:lang w:val="es-ES_tradnl" w:eastAsia="es-ES"/>
        </w:rPr>
      </w:pPr>
    </w:p>
    <w:p w14:paraId="244A66BF" w14:textId="77777777" w:rsidR="003378FB" w:rsidRDefault="003378FB" w:rsidP="009749DA">
      <w:pPr>
        <w:spacing w:after="0" w:line="240" w:lineRule="auto"/>
        <w:ind w:right="49"/>
        <w:jc w:val="both"/>
        <w:rPr>
          <w:rFonts w:ascii="Arial" w:eastAsia="Times New Roman" w:hAnsi="Arial" w:cs="Arial"/>
          <w:bCs/>
          <w:spacing w:val="10"/>
          <w:lang w:val="es-ES_tradnl" w:eastAsia="es-ES"/>
        </w:rPr>
      </w:pPr>
    </w:p>
    <w:p w14:paraId="7B23DB90" w14:textId="7B2DBA20" w:rsidR="00926FED" w:rsidRPr="00052D90" w:rsidRDefault="00926FED" w:rsidP="009749DA">
      <w:pPr>
        <w:spacing w:after="0" w:line="240" w:lineRule="auto"/>
        <w:ind w:right="49"/>
        <w:jc w:val="both"/>
        <w:rPr>
          <w:rFonts w:ascii="Arial" w:eastAsia="Times New Roman" w:hAnsi="Arial" w:cs="Arial"/>
          <w:bCs/>
          <w:spacing w:val="10"/>
          <w:lang w:val="es-ES_tradnl" w:eastAsia="es-ES"/>
        </w:rPr>
      </w:pPr>
      <w:r w:rsidRPr="003E6E0C">
        <w:rPr>
          <w:rFonts w:ascii="Arial" w:eastAsia="Times New Roman" w:hAnsi="Arial" w:cs="Arial"/>
          <w:bCs/>
          <w:spacing w:val="10"/>
          <w:lang w:val="es-ES_tradnl" w:eastAsia="es-ES"/>
        </w:rPr>
        <w:lastRenderedPageBreak/>
        <w:t>Como en un levantamiento regular, se supervis</w:t>
      </w:r>
      <w:r>
        <w:rPr>
          <w:rFonts w:ascii="Arial" w:eastAsia="Times New Roman" w:hAnsi="Arial" w:cs="Arial"/>
          <w:bCs/>
          <w:spacing w:val="10"/>
          <w:lang w:val="es-ES_tradnl" w:eastAsia="es-ES"/>
        </w:rPr>
        <w:t>aron tanto las entrevistas cara a cara como las entrevistas telefónicas</w:t>
      </w:r>
      <w:r w:rsidRPr="003E6E0C">
        <w:rPr>
          <w:rFonts w:ascii="Arial" w:eastAsia="Times New Roman" w:hAnsi="Arial" w:cs="Arial"/>
          <w:bCs/>
          <w:spacing w:val="10"/>
          <w:lang w:val="es-ES_tradnl" w:eastAsia="es-ES"/>
        </w:rPr>
        <w:t xml:space="preserve">. De tal suerte que las figuras operativas (encuestador, supervisor, crítico validador, responsable de área y jefe de departamento) que participaron en la encuesta siguieron realizando sus funciones para </w:t>
      </w:r>
      <w:r>
        <w:rPr>
          <w:rFonts w:ascii="Arial" w:eastAsia="Times New Roman" w:hAnsi="Arial" w:cs="Arial"/>
          <w:bCs/>
          <w:spacing w:val="10"/>
          <w:lang w:val="es-ES_tradnl" w:eastAsia="es-ES"/>
        </w:rPr>
        <w:t>cuidar</w:t>
      </w:r>
      <w:r w:rsidRPr="003E6E0C">
        <w:rPr>
          <w:rFonts w:ascii="Arial" w:eastAsia="Times New Roman" w:hAnsi="Arial" w:cs="Arial"/>
          <w:bCs/>
          <w:spacing w:val="10"/>
          <w:lang w:val="es-ES_tradnl" w:eastAsia="es-ES"/>
        </w:rPr>
        <w:t xml:space="preserve"> la </w:t>
      </w:r>
      <w:r w:rsidRPr="00052D90">
        <w:rPr>
          <w:rFonts w:ascii="Arial" w:eastAsia="Times New Roman" w:hAnsi="Arial" w:cs="Arial"/>
          <w:bCs/>
          <w:spacing w:val="10"/>
          <w:lang w:val="es-ES_tradnl" w:eastAsia="es-ES"/>
        </w:rPr>
        <w:t>veracidad y calidad de la información.</w:t>
      </w:r>
    </w:p>
    <w:p w14:paraId="29AB1295" w14:textId="77777777" w:rsidR="00926FED" w:rsidRPr="00052D90" w:rsidRDefault="00926FED" w:rsidP="009749DA">
      <w:pPr>
        <w:spacing w:after="0" w:line="240" w:lineRule="auto"/>
        <w:ind w:right="49"/>
        <w:jc w:val="both"/>
        <w:rPr>
          <w:rFonts w:ascii="Arial" w:eastAsia="Times New Roman" w:hAnsi="Arial" w:cs="Arial"/>
          <w:bCs/>
          <w:spacing w:val="10"/>
          <w:lang w:val="es-ES_tradnl" w:eastAsia="es-ES"/>
        </w:rPr>
      </w:pPr>
    </w:p>
    <w:p w14:paraId="22F4ADEE" w14:textId="35B6D505" w:rsidR="00ED3CF5" w:rsidRDefault="00926FED" w:rsidP="00EA6098">
      <w:pPr>
        <w:spacing w:after="0" w:line="240" w:lineRule="auto"/>
        <w:ind w:right="49"/>
        <w:jc w:val="both"/>
        <w:rPr>
          <w:rFonts w:ascii="Arial" w:eastAsia="Times New Roman" w:hAnsi="Arial" w:cs="Arial"/>
          <w:bCs/>
          <w:spacing w:val="10"/>
          <w:lang w:val="es-ES_tradnl" w:eastAsia="es-ES"/>
        </w:rPr>
      </w:pPr>
      <w:r w:rsidRPr="00C23551">
        <w:rPr>
          <w:rFonts w:ascii="Arial" w:eastAsia="Times New Roman" w:hAnsi="Arial" w:cs="Arial"/>
          <w:bCs/>
          <w:spacing w:val="10"/>
          <w:lang w:val="es-ES_tradnl" w:eastAsia="es-ES"/>
        </w:rPr>
        <w:t xml:space="preserve">La muestra </w:t>
      </w:r>
      <w:r w:rsidR="00ED3CF5" w:rsidRPr="00C23551">
        <w:rPr>
          <w:rFonts w:ascii="Arial" w:eastAsia="Times New Roman" w:hAnsi="Arial" w:cs="Arial"/>
          <w:bCs/>
          <w:spacing w:val="10"/>
          <w:lang w:val="es-ES_tradnl" w:eastAsia="es-ES"/>
        </w:rPr>
        <w:t xml:space="preserve">total de viviendas particulares </w:t>
      </w:r>
      <w:r w:rsidRPr="00C23551">
        <w:rPr>
          <w:rFonts w:ascii="Arial" w:eastAsia="Times New Roman" w:hAnsi="Arial" w:cs="Arial"/>
          <w:bCs/>
          <w:spacing w:val="10"/>
          <w:lang w:val="es-ES_tradnl" w:eastAsia="es-ES"/>
        </w:rPr>
        <w:t xml:space="preserve">para </w:t>
      </w:r>
      <w:r w:rsidR="00177695" w:rsidRPr="00C23551">
        <w:rPr>
          <w:rFonts w:ascii="Arial" w:eastAsia="Times New Roman" w:hAnsi="Arial" w:cs="Arial"/>
          <w:bCs/>
          <w:spacing w:val="10"/>
          <w:lang w:val="es-ES_tradnl" w:eastAsia="es-ES"/>
        </w:rPr>
        <w:t xml:space="preserve">el </w:t>
      </w:r>
      <w:r w:rsidR="00177B20" w:rsidRPr="00C23551">
        <w:rPr>
          <w:rFonts w:ascii="Arial" w:eastAsia="Times New Roman" w:hAnsi="Arial" w:cs="Arial"/>
          <w:bCs/>
          <w:spacing w:val="10"/>
          <w:lang w:val="es-ES_tradnl" w:eastAsia="es-ES"/>
        </w:rPr>
        <w:t>primer</w:t>
      </w:r>
      <w:r w:rsidR="00177695" w:rsidRPr="00C23551">
        <w:rPr>
          <w:rFonts w:ascii="Arial" w:eastAsia="Times New Roman" w:hAnsi="Arial" w:cs="Arial"/>
          <w:bCs/>
          <w:spacing w:val="10"/>
          <w:lang w:val="es-ES_tradnl" w:eastAsia="es-ES"/>
        </w:rPr>
        <w:t xml:space="preserve"> trimestre</w:t>
      </w:r>
      <w:r w:rsidRPr="00C23551">
        <w:rPr>
          <w:rFonts w:ascii="Arial" w:eastAsia="Times New Roman" w:hAnsi="Arial" w:cs="Arial"/>
          <w:bCs/>
          <w:spacing w:val="10"/>
          <w:lang w:val="es-ES_tradnl" w:eastAsia="es-ES"/>
        </w:rPr>
        <w:t xml:space="preserve"> </w:t>
      </w:r>
      <w:r w:rsidR="00ED3CF5" w:rsidRPr="00C23551">
        <w:rPr>
          <w:rFonts w:ascii="Arial" w:eastAsia="Times New Roman" w:hAnsi="Arial" w:cs="Arial"/>
          <w:bCs/>
          <w:spacing w:val="10"/>
          <w:lang w:val="es-ES_tradnl" w:eastAsia="es-ES"/>
        </w:rPr>
        <w:t>de la ENOE</w:t>
      </w:r>
      <w:r w:rsidR="00ED3CF5" w:rsidRPr="00C23551">
        <w:rPr>
          <w:rFonts w:ascii="Arial" w:eastAsia="Times New Roman" w:hAnsi="Arial" w:cs="Arial"/>
          <w:bCs/>
          <w:spacing w:val="10"/>
          <w:vertAlign w:val="superscript"/>
          <w:lang w:val="es-ES_tradnl" w:eastAsia="es-ES"/>
        </w:rPr>
        <w:t xml:space="preserve">N </w:t>
      </w:r>
      <w:r w:rsidRPr="00C23551">
        <w:rPr>
          <w:rFonts w:ascii="Arial" w:eastAsia="Times New Roman" w:hAnsi="Arial" w:cs="Arial"/>
          <w:bCs/>
          <w:spacing w:val="10"/>
          <w:lang w:val="es-ES_tradnl" w:eastAsia="es-ES"/>
        </w:rPr>
        <w:t xml:space="preserve">fue de </w:t>
      </w:r>
      <w:r w:rsidR="002A2A18" w:rsidRPr="00C23551">
        <w:rPr>
          <w:rFonts w:ascii="Arial" w:eastAsia="Times New Roman" w:hAnsi="Arial" w:cs="Arial"/>
          <w:bCs/>
          <w:spacing w:val="10"/>
          <w:lang w:val="es-ES_tradnl" w:eastAsia="es-ES"/>
        </w:rPr>
        <w:t>132 3</w:t>
      </w:r>
      <w:r w:rsidR="005C6BCD" w:rsidRPr="00C23551">
        <w:rPr>
          <w:rFonts w:ascii="Arial" w:eastAsia="Times New Roman" w:hAnsi="Arial" w:cs="Arial"/>
          <w:bCs/>
          <w:spacing w:val="10"/>
          <w:lang w:val="es-ES_tradnl" w:eastAsia="es-ES"/>
        </w:rPr>
        <w:t>44</w:t>
      </w:r>
      <w:r w:rsidRPr="00C23551">
        <w:rPr>
          <w:rFonts w:ascii="Arial" w:eastAsia="Times New Roman" w:hAnsi="Arial" w:cs="Arial"/>
          <w:bCs/>
          <w:spacing w:val="10"/>
          <w:lang w:val="es-ES_tradnl" w:eastAsia="es-ES"/>
        </w:rPr>
        <w:t xml:space="preserve"> viviendas, </w:t>
      </w:r>
      <w:r w:rsidR="00C96EBC" w:rsidRPr="00C23551">
        <w:rPr>
          <w:rFonts w:ascii="Arial" w:eastAsia="Times New Roman" w:hAnsi="Arial" w:cs="Arial"/>
          <w:bCs/>
          <w:spacing w:val="10"/>
          <w:lang w:val="es-ES_tradnl" w:eastAsia="es-ES"/>
        </w:rPr>
        <w:t xml:space="preserve">en las cuales se logró entrevista completa en </w:t>
      </w:r>
      <w:r w:rsidR="005C6BCD" w:rsidRPr="00C23551">
        <w:rPr>
          <w:rFonts w:ascii="Arial" w:eastAsia="Times New Roman" w:hAnsi="Arial" w:cs="Arial"/>
          <w:bCs/>
          <w:spacing w:val="10"/>
          <w:lang w:val="es-ES_tradnl" w:eastAsia="es-ES"/>
        </w:rPr>
        <w:t>98 999</w:t>
      </w:r>
      <w:r w:rsidR="00C96EBC" w:rsidRPr="00C23551">
        <w:rPr>
          <w:rFonts w:ascii="Arial" w:eastAsia="Times New Roman" w:hAnsi="Arial" w:cs="Arial"/>
          <w:bCs/>
          <w:spacing w:val="10"/>
          <w:lang w:val="es-ES_tradnl" w:eastAsia="es-ES"/>
        </w:rPr>
        <w:t xml:space="preserve"> (</w:t>
      </w:r>
      <w:r w:rsidR="00EC4140" w:rsidRPr="00C23551">
        <w:rPr>
          <w:rFonts w:ascii="Arial" w:eastAsia="Times New Roman" w:hAnsi="Arial" w:cs="Arial"/>
          <w:bCs/>
          <w:spacing w:val="10"/>
          <w:lang w:val="es-ES_tradnl" w:eastAsia="es-ES"/>
        </w:rPr>
        <w:t>7</w:t>
      </w:r>
      <w:r w:rsidR="005C6BCD" w:rsidRPr="00C23551">
        <w:rPr>
          <w:rFonts w:ascii="Arial" w:eastAsia="Times New Roman" w:hAnsi="Arial" w:cs="Arial"/>
          <w:bCs/>
          <w:spacing w:val="10"/>
          <w:lang w:val="es-ES_tradnl" w:eastAsia="es-ES"/>
        </w:rPr>
        <w:t>4.8</w:t>
      </w:r>
      <w:r w:rsidR="00EC4140" w:rsidRPr="00C23551">
        <w:rPr>
          <w:rFonts w:ascii="Arial" w:eastAsia="Times New Roman" w:hAnsi="Arial" w:cs="Arial"/>
          <w:bCs/>
          <w:spacing w:val="10"/>
          <w:lang w:val="es-ES_tradnl" w:eastAsia="es-ES"/>
        </w:rPr>
        <w:t>%</w:t>
      </w:r>
      <w:r w:rsidR="00C96EBC" w:rsidRPr="00C23551">
        <w:rPr>
          <w:rFonts w:ascii="Arial" w:eastAsia="Times New Roman" w:hAnsi="Arial" w:cs="Arial"/>
          <w:bCs/>
          <w:spacing w:val="10"/>
          <w:lang w:val="es-ES_tradnl" w:eastAsia="es-ES"/>
        </w:rPr>
        <w:t xml:space="preserve">), de ellas, </w:t>
      </w:r>
      <w:r w:rsidR="005C6BCD" w:rsidRPr="00C23551">
        <w:rPr>
          <w:rFonts w:ascii="Arial" w:eastAsia="Times New Roman" w:hAnsi="Arial" w:cs="Arial"/>
          <w:bCs/>
          <w:spacing w:val="10"/>
          <w:lang w:val="es-ES_tradnl" w:eastAsia="es-ES"/>
        </w:rPr>
        <w:t>92 078</w:t>
      </w:r>
      <w:r w:rsidR="00C96EBC" w:rsidRPr="00C23551">
        <w:rPr>
          <w:rFonts w:ascii="Arial" w:eastAsia="Times New Roman" w:hAnsi="Arial" w:cs="Arial"/>
          <w:bCs/>
          <w:spacing w:val="10"/>
          <w:lang w:val="es-ES_tradnl" w:eastAsia="es-ES"/>
        </w:rPr>
        <w:t xml:space="preserve"> (</w:t>
      </w:r>
      <w:r w:rsidR="005C6BCD" w:rsidRPr="00C23551">
        <w:rPr>
          <w:rFonts w:ascii="Arial" w:eastAsia="Times New Roman" w:hAnsi="Arial" w:cs="Arial"/>
          <w:bCs/>
          <w:spacing w:val="10"/>
          <w:lang w:val="es-ES_tradnl" w:eastAsia="es-ES"/>
        </w:rPr>
        <w:t>93</w:t>
      </w:r>
      <w:r w:rsidR="00C96EBC" w:rsidRPr="00C23551">
        <w:rPr>
          <w:rFonts w:ascii="Arial" w:eastAsia="Times New Roman" w:hAnsi="Arial" w:cs="Arial"/>
          <w:bCs/>
          <w:spacing w:val="10"/>
          <w:lang w:val="es-ES_tradnl" w:eastAsia="es-ES"/>
        </w:rPr>
        <w:t xml:space="preserve">%) fueron entrevistas cara a cara y </w:t>
      </w:r>
      <w:r w:rsidR="005C6BCD" w:rsidRPr="00C23551">
        <w:rPr>
          <w:rFonts w:ascii="Arial" w:eastAsia="Times New Roman" w:hAnsi="Arial" w:cs="Arial"/>
          <w:bCs/>
          <w:spacing w:val="10"/>
          <w:lang w:val="es-ES_tradnl" w:eastAsia="es-ES"/>
        </w:rPr>
        <w:t>6 921</w:t>
      </w:r>
      <w:r w:rsidR="00C96EBC" w:rsidRPr="00C23551">
        <w:rPr>
          <w:rFonts w:ascii="Arial" w:eastAsia="Times New Roman" w:hAnsi="Arial" w:cs="Arial"/>
          <w:bCs/>
          <w:spacing w:val="10"/>
          <w:lang w:val="es-ES_tradnl" w:eastAsia="es-ES"/>
        </w:rPr>
        <w:t xml:space="preserve"> (</w:t>
      </w:r>
      <w:r w:rsidR="005C6BCD" w:rsidRPr="00C23551">
        <w:rPr>
          <w:rFonts w:ascii="Arial" w:eastAsia="Times New Roman" w:hAnsi="Arial" w:cs="Arial"/>
          <w:bCs/>
          <w:spacing w:val="10"/>
          <w:lang w:val="es-ES_tradnl" w:eastAsia="es-ES"/>
        </w:rPr>
        <w:t>7</w:t>
      </w:r>
      <w:r w:rsidR="00C96EBC" w:rsidRPr="00C23551">
        <w:rPr>
          <w:rFonts w:ascii="Arial" w:eastAsia="Times New Roman" w:hAnsi="Arial" w:cs="Arial"/>
          <w:bCs/>
          <w:spacing w:val="10"/>
          <w:lang w:val="es-ES_tradnl" w:eastAsia="es-ES"/>
        </w:rPr>
        <w:t xml:space="preserve">%) entrevistas telefónicas. </w:t>
      </w:r>
      <w:r w:rsidR="004C4235" w:rsidRPr="00C23551">
        <w:rPr>
          <w:rFonts w:ascii="Arial" w:eastAsia="Times New Roman" w:hAnsi="Arial" w:cs="Arial"/>
          <w:bCs/>
          <w:spacing w:val="10"/>
          <w:lang w:val="es-ES_tradnl" w:eastAsia="es-ES"/>
        </w:rPr>
        <w:t xml:space="preserve">Todavía no se alcanza la cobertura total de la muestra, derivado de </w:t>
      </w:r>
      <w:r w:rsidR="00971F3C" w:rsidRPr="00C23551">
        <w:rPr>
          <w:rFonts w:ascii="Arial" w:eastAsia="Times New Roman" w:hAnsi="Arial" w:cs="Arial"/>
          <w:bCs/>
          <w:spacing w:val="10"/>
          <w:lang w:val="es-ES_tradnl" w:eastAsia="es-ES"/>
        </w:rPr>
        <w:t xml:space="preserve">las restricciones a la movilidad </w:t>
      </w:r>
      <w:r w:rsidR="007F5554" w:rsidRPr="00C23551">
        <w:rPr>
          <w:rFonts w:ascii="Arial" w:eastAsia="Times New Roman" w:hAnsi="Arial" w:cs="Arial"/>
          <w:bCs/>
          <w:spacing w:val="10"/>
          <w:lang w:val="es-ES_tradnl" w:eastAsia="es-ES"/>
        </w:rPr>
        <w:t xml:space="preserve">entre la </w:t>
      </w:r>
      <w:r w:rsidR="005F4437" w:rsidRPr="00C23551">
        <w:rPr>
          <w:rFonts w:ascii="Arial" w:eastAsia="Times New Roman" w:hAnsi="Arial" w:cs="Arial"/>
          <w:bCs/>
          <w:spacing w:val="10"/>
          <w:lang w:val="es-ES_tradnl" w:eastAsia="es-ES"/>
        </w:rPr>
        <w:t>población,</w:t>
      </w:r>
      <w:r w:rsidR="007F5554" w:rsidRPr="00C23551">
        <w:rPr>
          <w:rFonts w:ascii="Arial" w:eastAsia="Times New Roman" w:hAnsi="Arial" w:cs="Arial"/>
          <w:bCs/>
          <w:spacing w:val="10"/>
          <w:lang w:val="es-ES_tradnl" w:eastAsia="es-ES"/>
        </w:rPr>
        <w:t xml:space="preserve"> así como</w:t>
      </w:r>
      <w:r w:rsidR="00971F3C" w:rsidRPr="00C23551">
        <w:rPr>
          <w:rFonts w:ascii="Arial" w:eastAsia="Times New Roman" w:hAnsi="Arial" w:cs="Arial"/>
          <w:bCs/>
          <w:spacing w:val="10"/>
          <w:lang w:val="es-ES_tradnl" w:eastAsia="es-ES"/>
        </w:rPr>
        <w:t xml:space="preserve"> las medidas sanitarias para contener la pandemia </w:t>
      </w:r>
      <w:r w:rsidR="007F5554" w:rsidRPr="00C23551">
        <w:rPr>
          <w:rFonts w:ascii="Arial" w:eastAsia="Times New Roman" w:hAnsi="Arial" w:cs="Arial"/>
          <w:bCs/>
          <w:spacing w:val="10"/>
          <w:lang w:val="es-ES_tradnl" w:eastAsia="es-ES"/>
        </w:rPr>
        <w:t xml:space="preserve">originada por </w:t>
      </w:r>
      <w:r w:rsidR="00971F3C" w:rsidRPr="00C23551">
        <w:rPr>
          <w:rFonts w:ascii="Arial" w:eastAsia="Times New Roman" w:hAnsi="Arial" w:cs="Arial"/>
          <w:bCs/>
          <w:spacing w:val="10"/>
          <w:lang w:val="es-ES_tradnl" w:eastAsia="es-ES"/>
        </w:rPr>
        <w:t>el COVID-19.</w:t>
      </w:r>
    </w:p>
    <w:p w14:paraId="3C249846" w14:textId="77777777" w:rsidR="00926FED" w:rsidRPr="003E6E0C" w:rsidRDefault="00926FED" w:rsidP="009749DA">
      <w:pPr>
        <w:spacing w:after="0" w:line="240" w:lineRule="auto"/>
        <w:ind w:right="49"/>
        <w:jc w:val="both"/>
        <w:rPr>
          <w:rFonts w:ascii="Arial" w:eastAsia="Times New Roman" w:hAnsi="Arial" w:cs="Arial"/>
          <w:bCs/>
          <w:spacing w:val="10"/>
          <w:lang w:val="es-ES_tradnl" w:eastAsia="es-ES"/>
        </w:rPr>
      </w:pPr>
    </w:p>
    <w:p w14:paraId="62F28CB8" w14:textId="77777777" w:rsidR="00926FED" w:rsidRDefault="00926FED" w:rsidP="009749DA">
      <w:pPr>
        <w:pStyle w:val="Prrafodelista"/>
        <w:numPr>
          <w:ilvl w:val="0"/>
          <w:numId w:val="24"/>
        </w:numPr>
        <w:spacing w:after="0" w:line="240" w:lineRule="auto"/>
        <w:ind w:left="0" w:right="49" w:firstLine="0"/>
        <w:rPr>
          <w:rFonts w:ascii="Arial" w:eastAsia="Times New Roman" w:hAnsi="Arial" w:cs="Arial"/>
          <w:b/>
          <w:bCs/>
          <w:spacing w:val="10"/>
          <w:lang w:val="es-ES_tradnl" w:eastAsia="es-ES"/>
        </w:rPr>
      </w:pPr>
      <w:r w:rsidRPr="003E6E0C">
        <w:rPr>
          <w:rFonts w:ascii="Arial" w:eastAsia="Times New Roman" w:hAnsi="Arial" w:cs="Arial"/>
          <w:b/>
          <w:bCs/>
          <w:spacing w:val="10"/>
          <w:lang w:val="es-ES_tradnl" w:eastAsia="es-ES"/>
        </w:rPr>
        <w:t>Diseño muestral</w:t>
      </w:r>
    </w:p>
    <w:p w14:paraId="0E0D6024" w14:textId="77777777" w:rsidR="00926FED" w:rsidRDefault="00926FED" w:rsidP="009749DA">
      <w:pPr>
        <w:spacing w:after="0" w:line="240" w:lineRule="auto"/>
        <w:ind w:right="49"/>
        <w:jc w:val="both"/>
        <w:rPr>
          <w:rFonts w:ascii="Arial" w:eastAsia="Times New Roman" w:hAnsi="Arial" w:cs="Arial"/>
          <w:bCs/>
          <w:spacing w:val="10"/>
          <w:lang w:val="es-ES_tradnl" w:eastAsia="es-ES"/>
        </w:rPr>
      </w:pPr>
    </w:p>
    <w:p w14:paraId="322DEAC5" w14:textId="77777777" w:rsidR="00926FED" w:rsidRDefault="00926FED" w:rsidP="009749DA">
      <w:pPr>
        <w:spacing w:after="0" w:line="240" w:lineRule="auto"/>
        <w:ind w:right="49"/>
        <w:jc w:val="both"/>
        <w:rPr>
          <w:rFonts w:ascii="Arial" w:eastAsia="Times New Roman" w:hAnsi="Arial" w:cs="Arial"/>
          <w:bCs/>
          <w:spacing w:val="10"/>
          <w:lang w:val="es-ES_tradnl" w:eastAsia="es-ES"/>
        </w:rPr>
      </w:pPr>
      <w:r w:rsidRPr="00657781">
        <w:rPr>
          <w:rFonts w:ascii="Arial" w:eastAsia="Times New Roman" w:hAnsi="Arial" w:cs="Arial"/>
          <w:bCs/>
          <w:spacing w:val="10"/>
          <w:lang w:val="es-ES_tradnl" w:eastAsia="es-ES"/>
        </w:rPr>
        <w:t>El diseño muestral de la E</w:t>
      </w:r>
      <w:r>
        <w:rPr>
          <w:rFonts w:ascii="Arial" w:eastAsia="Times New Roman" w:hAnsi="Arial" w:cs="Arial"/>
          <w:bCs/>
          <w:spacing w:val="10"/>
          <w:lang w:val="es-ES_tradnl" w:eastAsia="es-ES"/>
        </w:rPr>
        <w:t>N</w:t>
      </w:r>
      <w:r w:rsidRPr="00657781">
        <w:rPr>
          <w:rFonts w:ascii="Arial" w:eastAsia="Times New Roman" w:hAnsi="Arial" w:cs="Arial"/>
          <w:bCs/>
          <w:spacing w:val="10"/>
          <w:lang w:val="es-ES_tradnl" w:eastAsia="es-ES"/>
        </w:rPr>
        <w:t>OE</w:t>
      </w:r>
      <w:r>
        <w:rPr>
          <w:rFonts w:ascii="Arial" w:eastAsia="Times New Roman" w:hAnsi="Arial" w:cs="Arial"/>
          <w:bCs/>
          <w:spacing w:val="10"/>
          <w:vertAlign w:val="superscript"/>
          <w:lang w:val="es-ES_tradnl" w:eastAsia="es-ES"/>
        </w:rPr>
        <w:t>N</w:t>
      </w:r>
      <w:r w:rsidRPr="00657781">
        <w:rPr>
          <w:rFonts w:ascii="Arial" w:eastAsia="Times New Roman" w:hAnsi="Arial" w:cs="Arial"/>
          <w:bCs/>
          <w:spacing w:val="10"/>
          <w:lang w:val="es-ES_tradnl" w:eastAsia="es-ES"/>
        </w:rPr>
        <w:t xml:space="preserve"> es probabilístico, ya que las viviendas heredan las probabilidades de inclusión del modelo probabilístico de la ENOE. A su vez, es </w:t>
      </w:r>
      <w:proofErr w:type="spellStart"/>
      <w:r w:rsidRPr="00657781">
        <w:rPr>
          <w:rFonts w:ascii="Arial" w:eastAsia="Times New Roman" w:hAnsi="Arial" w:cs="Arial"/>
          <w:bCs/>
          <w:spacing w:val="10"/>
          <w:lang w:val="es-ES_tradnl" w:eastAsia="es-ES"/>
        </w:rPr>
        <w:t>bietápica</w:t>
      </w:r>
      <w:proofErr w:type="spellEnd"/>
      <w:r>
        <w:rPr>
          <w:rFonts w:ascii="Arial" w:eastAsia="Times New Roman" w:hAnsi="Arial" w:cs="Arial"/>
          <w:bCs/>
          <w:spacing w:val="10"/>
          <w:lang w:val="es-ES_tradnl" w:eastAsia="es-ES"/>
        </w:rPr>
        <w:t xml:space="preserve"> y por conglomerados debido a que se obtiene </w:t>
      </w:r>
      <w:r w:rsidRPr="00657781">
        <w:rPr>
          <w:rFonts w:ascii="Arial" w:eastAsia="Times New Roman" w:hAnsi="Arial" w:cs="Arial"/>
          <w:bCs/>
          <w:spacing w:val="10"/>
          <w:lang w:val="es-ES_tradnl" w:eastAsia="es-ES"/>
        </w:rPr>
        <w:t>a partir de un marco de muestreo de conglomerados estratificados.</w:t>
      </w:r>
    </w:p>
    <w:p w14:paraId="2694490E" w14:textId="77777777" w:rsidR="00925C4F" w:rsidRDefault="00925C4F" w:rsidP="009749DA">
      <w:pPr>
        <w:spacing w:after="0" w:line="240" w:lineRule="auto"/>
        <w:ind w:right="49"/>
        <w:jc w:val="both"/>
        <w:rPr>
          <w:rFonts w:ascii="Arial" w:eastAsia="Times New Roman" w:hAnsi="Arial" w:cs="Arial"/>
          <w:bCs/>
          <w:spacing w:val="10"/>
          <w:lang w:val="es-ES_tradnl" w:eastAsia="es-ES"/>
        </w:rPr>
      </w:pPr>
    </w:p>
    <w:p w14:paraId="21C36E7C" w14:textId="7DAD6C5C" w:rsidR="00926FED" w:rsidRDefault="00926FED" w:rsidP="009749DA">
      <w:pPr>
        <w:spacing w:after="0" w:line="240" w:lineRule="auto"/>
        <w:ind w:right="49"/>
        <w:jc w:val="both"/>
        <w:rPr>
          <w:rFonts w:ascii="Arial" w:eastAsia="Times New Roman" w:hAnsi="Arial" w:cs="Arial"/>
          <w:bCs/>
          <w:spacing w:val="10"/>
          <w:lang w:val="es-ES_tradnl" w:eastAsia="es-ES"/>
        </w:rPr>
      </w:pPr>
      <w:r>
        <w:rPr>
          <w:rFonts w:ascii="Arial" w:eastAsia="Times New Roman" w:hAnsi="Arial" w:cs="Arial"/>
          <w:bCs/>
          <w:spacing w:val="10"/>
          <w:lang w:val="es-ES_tradnl" w:eastAsia="es-ES"/>
        </w:rPr>
        <w:t>L</w:t>
      </w:r>
      <w:r w:rsidRPr="003E6E0C">
        <w:rPr>
          <w:rFonts w:ascii="Arial" w:eastAsia="Times New Roman" w:hAnsi="Arial" w:cs="Arial"/>
          <w:bCs/>
          <w:spacing w:val="10"/>
          <w:lang w:val="es-ES_tradnl" w:eastAsia="es-ES"/>
        </w:rPr>
        <w:t xml:space="preserve">a </w:t>
      </w:r>
      <w:r>
        <w:rPr>
          <w:rFonts w:ascii="Arial" w:eastAsia="Times New Roman" w:hAnsi="Arial" w:cs="Arial"/>
          <w:bCs/>
          <w:spacing w:val="10"/>
          <w:lang w:val="es-ES_tradnl" w:eastAsia="es-ES"/>
        </w:rPr>
        <w:t>ENOE</w:t>
      </w:r>
      <w:r>
        <w:rPr>
          <w:rFonts w:ascii="Arial" w:eastAsia="Times New Roman" w:hAnsi="Arial" w:cs="Arial"/>
          <w:bCs/>
          <w:spacing w:val="10"/>
          <w:vertAlign w:val="superscript"/>
          <w:lang w:val="es-ES_tradnl" w:eastAsia="es-ES"/>
        </w:rPr>
        <w:t>N</w:t>
      </w:r>
      <w:r w:rsidRPr="003E6E0C">
        <w:rPr>
          <w:rFonts w:ascii="Arial" w:eastAsia="Times New Roman" w:hAnsi="Arial" w:cs="Arial"/>
          <w:bCs/>
          <w:spacing w:val="10"/>
          <w:lang w:val="es-ES_tradnl" w:eastAsia="es-ES"/>
        </w:rPr>
        <w:t xml:space="preserve"> toma como referencia </w:t>
      </w:r>
      <w:r>
        <w:rPr>
          <w:rFonts w:ascii="Arial" w:eastAsia="Times New Roman" w:hAnsi="Arial" w:cs="Arial"/>
          <w:bCs/>
          <w:spacing w:val="10"/>
          <w:lang w:val="es-ES_tradnl" w:eastAsia="es-ES"/>
        </w:rPr>
        <w:t xml:space="preserve">la </w:t>
      </w:r>
      <w:r w:rsidRPr="003E6E0C">
        <w:rPr>
          <w:rFonts w:ascii="Arial" w:eastAsia="Times New Roman" w:hAnsi="Arial" w:cs="Arial"/>
          <w:bCs/>
          <w:spacing w:val="10"/>
          <w:lang w:val="es-ES_tradnl" w:eastAsia="es-ES"/>
        </w:rPr>
        <w:t>muestra de viviendas de la Encuesta Nacional de Ocupación y Empleo (ENOE) de</w:t>
      </w:r>
      <w:r>
        <w:rPr>
          <w:rFonts w:ascii="Arial" w:eastAsia="Times New Roman" w:hAnsi="Arial" w:cs="Arial"/>
          <w:bCs/>
          <w:spacing w:val="10"/>
          <w:lang w:val="es-ES_tradnl" w:eastAsia="es-ES"/>
        </w:rPr>
        <w:t xml:space="preserve">l </w:t>
      </w:r>
      <w:r w:rsidR="00177B20">
        <w:rPr>
          <w:rFonts w:ascii="Arial" w:eastAsia="Times New Roman" w:hAnsi="Arial" w:cs="Arial"/>
          <w:bCs/>
          <w:spacing w:val="10"/>
          <w:lang w:val="es-ES_tradnl" w:eastAsia="es-ES"/>
        </w:rPr>
        <w:t>primer</w:t>
      </w:r>
      <w:r w:rsidR="00177695">
        <w:rPr>
          <w:rFonts w:ascii="Arial" w:eastAsia="Times New Roman" w:hAnsi="Arial" w:cs="Arial"/>
          <w:bCs/>
          <w:spacing w:val="10"/>
          <w:lang w:val="es-ES_tradnl" w:eastAsia="es-ES"/>
        </w:rPr>
        <w:t xml:space="preserve"> trimestre</w:t>
      </w:r>
      <w:r>
        <w:rPr>
          <w:rFonts w:ascii="Arial" w:eastAsia="Times New Roman" w:hAnsi="Arial" w:cs="Arial"/>
          <w:bCs/>
          <w:spacing w:val="10"/>
          <w:lang w:val="es-ES_tradnl" w:eastAsia="es-ES"/>
        </w:rPr>
        <w:t xml:space="preserve"> </w:t>
      </w:r>
      <w:r w:rsidR="00177B20">
        <w:rPr>
          <w:rFonts w:ascii="Arial" w:eastAsia="Times New Roman" w:hAnsi="Arial" w:cs="Arial"/>
          <w:bCs/>
          <w:spacing w:val="10"/>
          <w:lang w:val="es-ES_tradnl" w:eastAsia="es-ES"/>
        </w:rPr>
        <w:t>2021</w:t>
      </w:r>
      <w:r w:rsidRPr="003E6E0C">
        <w:rPr>
          <w:rFonts w:ascii="Arial" w:eastAsia="Times New Roman" w:hAnsi="Arial" w:cs="Arial"/>
          <w:bCs/>
          <w:spacing w:val="10"/>
          <w:lang w:val="es-ES_tradnl" w:eastAsia="es-ES"/>
        </w:rPr>
        <w:t xml:space="preserve">, </w:t>
      </w:r>
      <w:r>
        <w:rPr>
          <w:rFonts w:ascii="Arial" w:eastAsia="Times New Roman" w:hAnsi="Arial" w:cs="Arial"/>
          <w:bCs/>
          <w:spacing w:val="10"/>
          <w:lang w:val="es-ES_tradnl" w:eastAsia="es-ES"/>
        </w:rPr>
        <w:t xml:space="preserve">así como las </w:t>
      </w:r>
      <w:r w:rsidRPr="003E6E0C">
        <w:rPr>
          <w:rFonts w:ascii="Arial" w:eastAsia="Times New Roman" w:hAnsi="Arial" w:cs="Arial"/>
          <w:bCs/>
          <w:spacing w:val="10"/>
          <w:lang w:val="es-ES_tradnl" w:eastAsia="es-ES"/>
        </w:rPr>
        <w:t>viviendas de las cuales se dispone del número de contacto telefónico</w:t>
      </w:r>
      <w:r>
        <w:rPr>
          <w:rFonts w:ascii="Arial" w:eastAsia="Times New Roman" w:hAnsi="Arial" w:cs="Arial"/>
          <w:bCs/>
          <w:spacing w:val="10"/>
          <w:lang w:val="es-ES_tradnl" w:eastAsia="es-ES"/>
        </w:rPr>
        <w:t xml:space="preserve"> del primer trimestre de </w:t>
      </w:r>
      <w:r w:rsidR="00177B20">
        <w:rPr>
          <w:rFonts w:ascii="Arial" w:eastAsia="Times New Roman" w:hAnsi="Arial" w:cs="Arial"/>
          <w:bCs/>
          <w:spacing w:val="10"/>
          <w:lang w:val="es-ES_tradnl" w:eastAsia="es-ES"/>
        </w:rPr>
        <w:t>202</w:t>
      </w:r>
      <w:r w:rsidR="00FE7EB9">
        <w:rPr>
          <w:rFonts w:ascii="Arial" w:eastAsia="Times New Roman" w:hAnsi="Arial" w:cs="Arial"/>
          <w:bCs/>
          <w:spacing w:val="10"/>
          <w:lang w:val="es-ES_tradnl" w:eastAsia="es-ES"/>
        </w:rPr>
        <w:t>0</w:t>
      </w:r>
      <w:r>
        <w:rPr>
          <w:rFonts w:ascii="Arial" w:eastAsia="Times New Roman" w:hAnsi="Arial" w:cs="Arial"/>
          <w:bCs/>
          <w:spacing w:val="10"/>
          <w:lang w:val="es-ES_tradnl" w:eastAsia="es-ES"/>
        </w:rPr>
        <w:t>.</w:t>
      </w:r>
    </w:p>
    <w:p w14:paraId="097741AF" w14:textId="77777777" w:rsidR="00926FED" w:rsidRDefault="00926FED" w:rsidP="009749DA">
      <w:pPr>
        <w:spacing w:after="0" w:line="240" w:lineRule="auto"/>
        <w:ind w:right="49"/>
        <w:jc w:val="both"/>
        <w:rPr>
          <w:rFonts w:ascii="Arial" w:eastAsia="Times New Roman" w:hAnsi="Arial" w:cs="Arial"/>
          <w:bCs/>
          <w:spacing w:val="10"/>
          <w:lang w:val="es-ES_tradnl" w:eastAsia="es-ES"/>
        </w:rPr>
      </w:pPr>
      <w:bookmarkStart w:id="6" w:name="_Hlk41563539"/>
    </w:p>
    <w:bookmarkEnd w:id="6"/>
    <w:p w14:paraId="3F1F91D8" w14:textId="77777777" w:rsidR="00926FED" w:rsidRPr="003E6E0C" w:rsidRDefault="00926FED" w:rsidP="009749DA">
      <w:pPr>
        <w:pStyle w:val="Prrafodelista"/>
        <w:numPr>
          <w:ilvl w:val="0"/>
          <w:numId w:val="24"/>
        </w:numPr>
        <w:spacing w:after="0" w:line="240" w:lineRule="auto"/>
        <w:ind w:left="0" w:right="49" w:firstLine="0"/>
        <w:rPr>
          <w:rFonts w:ascii="Arial" w:eastAsia="Times New Roman" w:hAnsi="Arial" w:cs="Arial"/>
          <w:b/>
          <w:bCs/>
          <w:spacing w:val="10"/>
          <w:lang w:val="es-ES_tradnl" w:eastAsia="es-ES"/>
        </w:rPr>
      </w:pPr>
      <w:r w:rsidRPr="003E6E0C">
        <w:rPr>
          <w:rFonts w:ascii="Arial" w:eastAsia="Times New Roman" w:hAnsi="Arial" w:cs="Arial"/>
          <w:b/>
          <w:bCs/>
          <w:spacing w:val="10"/>
          <w:lang w:val="es-ES_tradnl" w:eastAsia="es-ES"/>
        </w:rPr>
        <w:t>Consulta de la información</w:t>
      </w:r>
    </w:p>
    <w:p w14:paraId="392AD8F2" w14:textId="77777777" w:rsidR="00926FED" w:rsidRDefault="00926FED" w:rsidP="009749DA">
      <w:pPr>
        <w:spacing w:after="0" w:line="240" w:lineRule="auto"/>
        <w:ind w:right="49"/>
        <w:rPr>
          <w:rFonts w:ascii="Arial" w:hAnsi="Arial" w:cs="Arial"/>
        </w:rPr>
      </w:pPr>
    </w:p>
    <w:p w14:paraId="3BD18EB6" w14:textId="371ED79A" w:rsidR="00926FED" w:rsidRPr="008B4E0B" w:rsidRDefault="00926FED" w:rsidP="009749DA">
      <w:pPr>
        <w:spacing w:after="0" w:line="240" w:lineRule="auto"/>
        <w:ind w:right="49"/>
        <w:jc w:val="both"/>
        <w:rPr>
          <w:rFonts w:ascii="Arial" w:eastAsia="Times New Roman" w:hAnsi="Arial" w:cs="Arial"/>
          <w:bCs/>
          <w:color w:val="0000FF"/>
          <w:spacing w:val="10"/>
          <w:u w:val="single"/>
          <w:lang w:val="es-ES_tradnl" w:eastAsia="es-ES"/>
        </w:rPr>
      </w:pPr>
      <w:r w:rsidRPr="003E6E0C">
        <w:rPr>
          <w:rFonts w:ascii="Arial" w:eastAsia="Times New Roman" w:hAnsi="Arial" w:cs="Arial"/>
          <w:bCs/>
          <w:spacing w:val="10"/>
          <w:lang w:val="es-ES_tradnl" w:eastAsia="es-ES"/>
        </w:rPr>
        <w:t>La información de la E</w:t>
      </w:r>
      <w:r>
        <w:rPr>
          <w:rFonts w:ascii="Arial" w:eastAsia="Times New Roman" w:hAnsi="Arial" w:cs="Arial"/>
          <w:bCs/>
          <w:spacing w:val="10"/>
          <w:lang w:val="es-ES_tradnl" w:eastAsia="es-ES"/>
        </w:rPr>
        <w:t>N</w:t>
      </w:r>
      <w:r w:rsidRPr="003E6E0C">
        <w:rPr>
          <w:rFonts w:ascii="Arial" w:eastAsia="Times New Roman" w:hAnsi="Arial" w:cs="Arial"/>
          <w:bCs/>
          <w:spacing w:val="10"/>
          <w:lang w:val="es-ES_tradnl" w:eastAsia="es-ES"/>
        </w:rPr>
        <w:t>OE</w:t>
      </w:r>
      <w:r>
        <w:rPr>
          <w:rFonts w:ascii="Arial" w:eastAsia="Times New Roman" w:hAnsi="Arial" w:cs="Arial"/>
          <w:bCs/>
          <w:spacing w:val="10"/>
          <w:vertAlign w:val="superscript"/>
          <w:lang w:val="es-ES_tradnl" w:eastAsia="es-ES"/>
        </w:rPr>
        <w:t>N</w:t>
      </w:r>
      <w:r w:rsidRPr="003E6E0C">
        <w:rPr>
          <w:rFonts w:ascii="Arial" w:eastAsia="Times New Roman" w:hAnsi="Arial" w:cs="Arial"/>
          <w:bCs/>
          <w:spacing w:val="10"/>
          <w:lang w:val="es-ES_tradnl" w:eastAsia="es-ES"/>
        </w:rPr>
        <w:t xml:space="preserve"> puede consultarse en la siguiente dirección de Internet: </w:t>
      </w:r>
      <w:hyperlink r:id="rId43" w:history="1">
        <w:r w:rsidRPr="001A3C77">
          <w:rPr>
            <w:rStyle w:val="Hipervnculo"/>
            <w:rFonts w:ascii="Arial" w:eastAsia="Times New Roman" w:hAnsi="Arial" w:cs="Arial"/>
            <w:bCs/>
            <w:spacing w:val="10"/>
            <w:lang w:val="es-ES_tradnl" w:eastAsia="es-ES"/>
          </w:rPr>
          <w:t>https://www.inegi.org.mx/</w:t>
        </w:r>
      </w:hyperlink>
    </w:p>
    <w:sectPr w:rsidR="00926FED" w:rsidRPr="008B4E0B" w:rsidSect="00314301">
      <w:headerReference w:type="default" r:id="rId44"/>
      <w:footerReference w:type="default" r:id="rId45"/>
      <w:pgSz w:w="12240" w:h="15840"/>
      <w:pgMar w:top="1134" w:right="1467" w:bottom="993" w:left="1701" w:header="708" w:footer="46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CDE815" w14:textId="77777777" w:rsidR="003338DF" w:rsidRDefault="003338DF" w:rsidP="00252EDE">
      <w:pPr>
        <w:spacing w:after="0" w:line="240" w:lineRule="auto"/>
      </w:pPr>
      <w:r>
        <w:separator/>
      </w:r>
    </w:p>
  </w:endnote>
  <w:endnote w:type="continuationSeparator" w:id="0">
    <w:p w14:paraId="5DA9540E" w14:textId="77777777" w:rsidR="003338DF" w:rsidRDefault="003338DF" w:rsidP="00252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hilena">
    <w:altName w:val="Chilena"/>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EB596" w14:textId="77777777" w:rsidR="003F2078" w:rsidRPr="00121A1B" w:rsidRDefault="003F2078" w:rsidP="007B4B63">
    <w:pPr>
      <w:pStyle w:val="Piedepgina"/>
      <w:jc w:val="center"/>
      <w:rPr>
        <w:rFonts w:ascii="Arial" w:hAnsi="Arial" w:cs="Arial"/>
        <w:b/>
        <w:bCs/>
        <w:color w:val="002060"/>
        <w:sz w:val="20"/>
        <w:szCs w:val="20"/>
      </w:rPr>
    </w:pPr>
    <w:r w:rsidRPr="00121A1B">
      <w:rPr>
        <w:rFonts w:ascii="Arial" w:hAnsi="Arial" w:cs="Arial"/>
        <w:b/>
        <w:bCs/>
        <w:color w:val="002060"/>
        <w:sz w:val="20"/>
        <w:szCs w:val="20"/>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3251001"/>
      <w:docPartObj>
        <w:docPartGallery w:val="Page Numbers (Bottom of Page)"/>
        <w:docPartUnique/>
      </w:docPartObj>
    </w:sdtPr>
    <w:sdtEndPr>
      <w:rPr>
        <w:rFonts w:ascii="Arial" w:hAnsi="Arial" w:cs="Arial"/>
        <w:b/>
        <w:bCs/>
        <w:color w:val="002060"/>
        <w:sz w:val="20"/>
        <w:szCs w:val="20"/>
      </w:rPr>
    </w:sdtEndPr>
    <w:sdtContent>
      <w:p w14:paraId="3B4DD526" w14:textId="77777777" w:rsidR="003F2078" w:rsidRPr="00F14CF7" w:rsidRDefault="003F2078" w:rsidP="00F14CF7">
        <w:pPr>
          <w:pStyle w:val="Piedepgina"/>
          <w:jc w:val="center"/>
          <w:rPr>
            <w:rFonts w:ascii="Arial" w:hAnsi="Arial" w:cs="Arial"/>
            <w:b/>
            <w:bCs/>
            <w:color w:val="002060"/>
            <w:sz w:val="20"/>
            <w:szCs w:val="20"/>
          </w:rPr>
        </w:pPr>
        <w:r w:rsidRPr="00F14CF7">
          <w:rPr>
            <w:rFonts w:ascii="Arial" w:hAnsi="Arial" w:cs="Arial"/>
            <w:b/>
            <w:bCs/>
            <w:color w:val="002060"/>
            <w:sz w:val="20"/>
            <w:szCs w:val="20"/>
          </w:rPr>
          <w:t>COMUNICACIÓN SOCIAL</w:t>
        </w:r>
      </w:p>
    </w:sdtContent>
  </w:sdt>
  <w:p w14:paraId="33F6D62B" w14:textId="77777777" w:rsidR="003F2078" w:rsidRPr="007B4B63" w:rsidRDefault="003F2078" w:rsidP="007B4B63">
    <w:pPr>
      <w:pStyle w:val="Piedepgina"/>
      <w:jc w:val="center"/>
      <w:rPr>
        <w:b/>
        <w:bCs/>
        <w:color w:val="00206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79EEDD" w14:textId="77777777" w:rsidR="003338DF" w:rsidRDefault="003338DF" w:rsidP="00252EDE">
      <w:pPr>
        <w:spacing w:after="0" w:line="240" w:lineRule="auto"/>
      </w:pPr>
      <w:r>
        <w:separator/>
      </w:r>
    </w:p>
  </w:footnote>
  <w:footnote w:type="continuationSeparator" w:id="0">
    <w:p w14:paraId="61ED6280" w14:textId="77777777" w:rsidR="003338DF" w:rsidRDefault="003338DF" w:rsidP="00252EDE">
      <w:pPr>
        <w:spacing w:after="0" w:line="240" w:lineRule="auto"/>
      </w:pPr>
      <w:r>
        <w:continuationSeparator/>
      </w:r>
    </w:p>
  </w:footnote>
  <w:footnote w:id="1">
    <w:p w14:paraId="5D066C48" w14:textId="7BE6AA56" w:rsidR="003F2078" w:rsidRPr="00761F27" w:rsidRDefault="003F2078" w:rsidP="00761F27">
      <w:pPr>
        <w:pStyle w:val="Textosinformato"/>
        <w:ind w:left="-426" w:right="-376" w:hanging="141"/>
        <w:jc w:val="both"/>
        <w:rPr>
          <w:rFonts w:ascii="Arial" w:hAnsi="Arial" w:cs="Arial"/>
          <w:sz w:val="16"/>
          <w:szCs w:val="16"/>
        </w:rPr>
      </w:pPr>
      <w:r w:rsidRPr="00761F27">
        <w:rPr>
          <w:rStyle w:val="Refdenotaalpie"/>
          <w:rFonts w:ascii="Arial" w:hAnsi="Arial" w:cs="Arial"/>
          <w:sz w:val="16"/>
          <w:szCs w:val="16"/>
        </w:rPr>
        <w:footnoteRef/>
      </w:r>
      <w:r w:rsidRPr="00761F27">
        <w:rPr>
          <w:rFonts w:ascii="Arial" w:hAnsi="Arial" w:cs="Arial"/>
          <w:sz w:val="16"/>
          <w:szCs w:val="16"/>
        </w:rPr>
        <w:t xml:space="preserve"> </w:t>
      </w:r>
      <w:r w:rsidR="00761F27" w:rsidRPr="00761F27">
        <w:rPr>
          <w:rFonts w:ascii="Arial" w:hAnsi="Arial" w:cs="Arial"/>
          <w:sz w:val="16"/>
          <w:szCs w:val="16"/>
        </w:rPr>
        <w:t xml:space="preserve">El 18 de mayo de 2021 se sustituyó el archivo del comunicado </w:t>
      </w:r>
      <w:r w:rsidR="00761F27" w:rsidRPr="00761F27">
        <w:rPr>
          <w:rFonts w:ascii="Arial" w:hAnsi="Arial" w:cs="Arial"/>
          <w:i/>
          <w:sz w:val="16"/>
          <w:szCs w:val="16"/>
        </w:rPr>
        <w:t>Resultados de la Encuesta Nacional De Ocupación y Empleo. Nueva Edición. C</w:t>
      </w:r>
      <w:r w:rsidRPr="00761F27">
        <w:rPr>
          <w:rFonts w:ascii="Arial" w:hAnsi="Arial" w:cs="Arial"/>
          <w:i/>
          <w:sz w:val="16"/>
          <w:szCs w:val="16"/>
        </w:rPr>
        <w:t xml:space="preserve">ifras durante el </w:t>
      </w:r>
      <w:r w:rsidR="00761F27" w:rsidRPr="00761F27">
        <w:rPr>
          <w:rFonts w:ascii="Arial" w:hAnsi="Arial" w:cs="Arial"/>
          <w:i/>
          <w:sz w:val="16"/>
          <w:szCs w:val="16"/>
        </w:rPr>
        <w:t xml:space="preserve">primer trimestre </w:t>
      </w:r>
      <w:r w:rsidRPr="00761F27">
        <w:rPr>
          <w:rFonts w:ascii="Arial" w:hAnsi="Arial" w:cs="Arial"/>
          <w:i/>
          <w:sz w:val="16"/>
          <w:szCs w:val="16"/>
        </w:rPr>
        <w:t>de 2021</w:t>
      </w:r>
      <w:r w:rsidRPr="00761F27">
        <w:rPr>
          <w:rFonts w:ascii="Arial" w:hAnsi="Arial" w:cs="Arial"/>
          <w:caps/>
          <w:sz w:val="16"/>
          <w:szCs w:val="16"/>
        </w:rPr>
        <w:t xml:space="preserve">, </w:t>
      </w:r>
      <w:r w:rsidR="00761F27" w:rsidRPr="00761F27">
        <w:rPr>
          <w:rFonts w:ascii="Arial" w:hAnsi="Arial" w:cs="Arial"/>
          <w:sz w:val="16"/>
          <w:szCs w:val="16"/>
        </w:rPr>
        <w:t xml:space="preserve">difundido el 17 de mayo del mismo año, debido a que se complementó la viñeta número 6 de la página 1 con la siguiente información:  </w:t>
      </w:r>
      <w:r w:rsidR="00761F27">
        <w:rPr>
          <w:rFonts w:ascii="Arial" w:hAnsi="Arial" w:cs="Arial"/>
          <w:sz w:val="16"/>
          <w:szCs w:val="16"/>
        </w:rPr>
        <w:t>“</w:t>
      </w:r>
      <w:r w:rsidR="00761F27" w:rsidRPr="00761F27">
        <w:rPr>
          <w:rFonts w:ascii="Arial" w:hAnsi="Arial" w:cs="Arial"/>
          <w:sz w:val="16"/>
          <w:szCs w:val="16"/>
        </w:rPr>
        <w:t>En términos absolutos</w:t>
      </w:r>
      <w:r w:rsidR="00525D23">
        <w:rPr>
          <w:rFonts w:ascii="Arial" w:hAnsi="Arial" w:cs="Arial"/>
          <w:sz w:val="16"/>
          <w:szCs w:val="16"/>
        </w:rPr>
        <w:t>,</w:t>
      </w:r>
      <w:r w:rsidR="00761F27" w:rsidRPr="00761F27">
        <w:rPr>
          <w:rFonts w:ascii="Arial" w:hAnsi="Arial" w:cs="Arial"/>
          <w:sz w:val="16"/>
          <w:szCs w:val="16"/>
        </w:rPr>
        <w:t xml:space="preserve"> el total de desocupados en el primer trimestre de 2021 fue de 2.4 millones de personas</w:t>
      </w:r>
      <w:r w:rsidR="00761F27">
        <w:rPr>
          <w:rFonts w:ascii="Arial" w:hAnsi="Arial" w:cs="Arial"/>
          <w:sz w:val="16"/>
          <w:szCs w:val="16"/>
        </w:rPr>
        <w:t>”</w:t>
      </w:r>
      <w:r w:rsidR="00761F27" w:rsidRPr="00761F27">
        <w:rPr>
          <w:rFonts w:ascii="Arial" w:hAnsi="Arial" w:cs="Arial"/>
          <w:sz w:val="16"/>
          <w:szCs w:val="16"/>
        </w:rPr>
        <w:t>. Lo anterior</w:t>
      </w:r>
      <w:r w:rsidR="00761F27">
        <w:rPr>
          <w:rFonts w:ascii="Arial" w:hAnsi="Arial" w:cs="Arial"/>
          <w:sz w:val="16"/>
          <w:szCs w:val="16"/>
        </w:rPr>
        <w:t>,</w:t>
      </w:r>
      <w:r w:rsidR="00761F27" w:rsidRPr="00761F27">
        <w:rPr>
          <w:rFonts w:ascii="Arial" w:hAnsi="Arial" w:cs="Arial"/>
          <w:sz w:val="16"/>
          <w:szCs w:val="16"/>
        </w:rPr>
        <w:t xml:space="preserve"> para diferenciar a</w:t>
      </w:r>
      <w:r w:rsidR="00761F27">
        <w:rPr>
          <w:rFonts w:ascii="Arial" w:hAnsi="Arial" w:cs="Arial"/>
          <w:sz w:val="16"/>
          <w:szCs w:val="16"/>
        </w:rPr>
        <w:t>l universo de l</w:t>
      </w:r>
      <w:r w:rsidR="00761F27" w:rsidRPr="00761F27">
        <w:rPr>
          <w:rFonts w:ascii="Arial" w:hAnsi="Arial" w:cs="Arial"/>
          <w:sz w:val="16"/>
          <w:szCs w:val="16"/>
        </w:rPr>
        <w:t>a población que no está ocupada, de</w:t>
      </w:r>
      <w:r w:rsidR="00525D23">
        <w:rPr>
          <w:rFonts w:ascii="Arial" w:hAnsi="Arial" w:cs="Arial"/>
          <w:sz w:val="16"/>
          <w:szCs w:val="16"/>
        </w:rPr>
        <w:t>l de</w:t>
      </w:r>
      <w:r w:rsidR="00761F27" w:rsidRPr="00761F27">
        <w:rPr>
          <w:rFonts w:ascii="Arial" w:hAnsi="Arial" w:cs="Arial"/>
          <w:sz w:val="16"/>
          <w:szCs w:val="16"/>
        </w:rPr>
        <w:t xml:space="preserve"> la población desocupada. </w:t>
      </w:r>
      <w:bookmarkStart w:id="0" w:name="_GoBack"/>
      <w:bookmarkEnd w:id="0"/>
    </w:p>
  </w:footnote>
  <w:footnote w:id="2">
    <w:p w14:paraId="18FE5157" w14:textId="626D28F6" w:rsidR="003F2078" w:rsidRPr="00FC11E1" w:rsidRDefault="003F2078" w:rsidP="003F24ED">
      <w:pPr>
        <w:pStyle w:val="Textonotapie"/>
        <w:ind w:left="-426" w:right="-376" w:hanging="141"/>
        <w:rPr>
          <w:sz w:val="16"/>
          <w:szCs w:val="16"/>
          <w:lang w:val="es-MX"/>
        </w:rPr>
      </w:pPr>
      <w:r w:rsidRPr="00FC11E1">
        <w:rPr>
          <w:rStyle w:val="Refdenotaalpie"/>
          <w:sz w:val="16"/>
          <w:szCs w:val="16"/>
        </w:rPr>
        <w:footnoteRef/>
      </w:r>
      <w:r w:rsidRPr="00FC11E1">
        <w:rPr>
          <w:sz w:val="16"/>
          <w:szCs w:val="16"/>
        </w:rPr>
        <w:t xml:space="preserve"> Con la finalidad de que los usuarios puedan replicar los resultados del primer trimestre de 2020, el INEGI incorpora a la base de datos de dicho periodo, el factor de expansión ajustado por la nueva estimación de población. El usuario podrá revisar el documento “Descriptor de Archivos (FD)” de dicho periodo para mayor detalle.  </w:t>
      </w:r>
    </w:p>
  </w:footnote>
  <w:footnote w:id="3">
    <w:p w14:paraId="1959E884" w14:textId="77777777" w:rsidR="003F2078" w:rsidRPr="0000656B" w:rsidRDefault="003F2078" w:rsidP="009F13E8">
      <w:pPr>
        <w:pStyle w:val="Textonotapie"/>
        <w:ind w:left="-426" w:right="-376" w:hanging="141"/>
        <w:rPr>
          <w:sz w:val="18"/>
          <w:lang w:val="es-MX"/>
        </w:rPr>
      </w:pPr>
      <w:r>
        <w:rPr>
          <w:rStyle w:val="Refdenotaalpie"/>
        </w:rPr>
        <w:footnoteRef/>
      </w:r>
      <w:r>
        <w:t xml:space="preserve"> </w:t>
      </w:r>
      <w:r w:rsidRPr="00FC11E1">
        <w:rPr>
          <w:sz w:val="16"/>
          <w:szCs w:val="16"/>
          <w:lang w:val="es-MX"/>
        </w:rPr>
        <w:t xml:space="preserve">Suma de </w:t>
      </w:r>
      <w:proofErr w:type="spellStart"/>
      <w:r w:rsidRPr="00FC11E1">
        <w:rPr>
          <w:sz w:val="16"/>
          <w:szCs w:val="16"/>
          <w:lang w:val="es-MX"/>
        </w:rPr>
        <w:t>subocupados</w:t>
      </w:r>
      <w:proofErr w:type="spellEnd"/>
      <w:r w:rsidRPr="00FC11E1">
        <w:rPr>
          <w:sz w:val="16"/>
          <w:szCs w:val="16"/>
          <w:lang w:val="es-MX"/>
        </w:rPr>
        <w:t>, desocupados y disponibles para trabajar como porcentaje de la fuerza de trabajo ampliada (suma de la población económicamente activa y de la población no económicamente activa disponible para trabajar).</w:t>
      </w:r>
    </w:p>
  </w:footnote>
  <w:footnote w:id="4">
    <w:p w14:paraId="27ADB8D6" w14:textId="684BD0E9" w:rsidR="003F2078" w:rsidRPr="00A851A5" w:rsidRDefault="003F2078" w:rsidP="00945818">
      <w:pPr>
        <w:pStyle w:val="Textonotapie"/>
        <w:widowControl w:val="0"/>
        <w:spacing w:before="40"/>
        <w:ind w:left="181" w:hanging="181"/>
        <w:rPr>
          <w:sz w:val="16"/>
          <w:szCs w:val="16"/>
          <w:lang w:val="es-MX"/>
        </w:rPr>
      </w:pPr>
      <w:r w:rsidRPr="00E264B7">
        <w:rPr>
          <w:rStyle w:val="Refdenotaalpie"/>
          <w:sz w:val="18"/>
          <w:szCs w:val="18"/>
        </w:rPr>
        <w:footnoteRef/>
      </w:r>
      <w:r w:rsidRPr="00E264B7">
        <w:rPr>
          <w:sz w:val="14"/>
          <w:szCs w:val="14"/>
          <w:lang w:val="es-MX"/>
        </w:rPr>
        <w:tab/>
      </w:r>
      <w:r w:rsidRPr="00492B71">
        <w:rPr>
          <w:sz w:val="16"/>
        </w:rPr>
        <w:t>La suma de los componentes que integran la estadística de la Encuesta Nacional de Ocupación y Empleo</w:t>
      </w:r>
      <w:r>
        <w:rPr>
          <w:sz w:val="16"/>
        </w:rPr>
        <w:t>. Nueva Edición (ENOE</w:t>
      </w:r>
      <w:r w:rsidRPr="008E19F3">
        <w:rPr>
          <w:sz w:val="16"/>
          <w:vertAlign w:val="superscript"/>
        </w:rPr>
        <w:t>N</w:t>
      </w:r>
      <w:r>
        <w:rPr>
          <w:sz w:val="16"/>
        </w:rPr>
        <w:t>)</w:t>
      </w:r>
      <w:r w:rsidRPr="00492B71">
        <w:rPr>
          <w:sz w:val="16"/>
        </w:rPr>
        <w:t xml:space="preserve"> que se presenta en este documento puede no coincidir con los totales debido al redondeo de las cifras.</w:t>
      </w:r>
    </w:p>
  </w:footnote>
  <w:footnote w:id="5">
    <w:p w14:paraId="4E98C2CB" w14:textId="77777777" w:rsidR="003F2078" w:rsidRPr="001A1D45" w:rsidRDefault="003F2078" w:rsidP="003E203B">
      <w:pPr>
        <w:pStyle w:val="Textonotapie"/>
        <w:rPr>
          <w:lang w:val="es-MX"/>
        </w:rPr>
      </w:pPr>
      <w:r>
        <w:rPr>
          <w:rStyle w:val="Refdenotaalpie"/>
        </w:rPr>
        <w:footnoteRef/>
      </w:r>
      <w:r>
        <w:t xml:space="preserve"> </w:t>
      </w:r>
      <w:r w:rsidRPr="007746BC">
        <w:rPr>
          <w:sz w:val="18"/>
          <w:szCs w:val="18"/>
        </w:rPr>
        <w:t xml:space="preserve">Para la </w:t>
      </w:r>
      <w:r w:rsidRPr="0004722C">
        <w:rPr>
          <w:sz w:val="18"/>
          <w:szCs w:val="18"/>
        </w:rPr>
        <w:t>ENOE</w:t>
      </w:r>
      <w:r>
        <w:rPr>
          <w:sz w:val="18"/>
          <w:szCs w:val="18"/>
          <w:vertAlign w:val="superscript"/>
        </w:rPr>
        <w:t>N</w:t>
      </w:r>
      <w:r w:rsidRPr="007746BC">
        <w:rPr>
          <w:sz w:val="18"/>
          <w:szCs w:val="18"/>
        </w:rPr>
        <w:t>, en este rubro se clasifican a las personas ausentes temporales de una actividad u oficio y a las personas con necesidad o deseos de trabajar las cuales eran clasificadas en la ENOE en el rubro "Otros" de la Población No Económicamente Activa No Disponible. La razón de este cambio es debido a que por la pandemia y el cierre de las empresas y negocios en actividades no esenciales, técnicamente dicha población quedó fuera de la fuerza de trabajo al perder el vínculo con la unidad empleadora, muchos de los cuales retornarán a su trabajo una vez que se reactiven las actividades; por lo que conceptualmente es pertinente darles un tratamiento de "personas disponibles para trabajar sin posibilidades de búsqueda de trabajo", que dejarlos en una categoría residual entre las personas no disponibles para trabajar.</w:t>
      </w:r>
      <w:r>
        <w:rPr>
          <w:sz w:val="18"/>
          <w:szCs w:val="18"/>
        </w:rPr>
        <w:t xml:space="preserve"> Ver documento de Diseño Conceptual de la ENOE</w:t>
      </w:r>
      <w:r>
        <w:rPr>
          <w:sz w:val="18"/>
          <w:szCs w:val="18"/>
          <w:vertAlign w:val="superscript"/>
        </w:rPr>
        <w:t>N</w:t>
      </w:r>
      <w:r>
        <w:rPr>
          <w:sz w:val="18"/>
          <w:szCs w:val="18"/>
        </w:rPr>
        <w:t xml:space="preserve"> Sección 3.6.</w:t>
      </w:r>
    </w:p>
  </w:footnote>
  <w:footnote w:id="6">
    <w:p w14:paraId="35C9C2BD" w14:textId="6735AF4F" w:rsidR="003F2078" w:rsidRPr="000B6C6A" w:rsidRDefault="003F2078">
      <w:pPr>
        <w:pStyle w:val="Textonotapie"/>
        <w:rPr>
          <w:sz w:val="16"/>
          <w:szCs w:val="16"/>
          <w:lang w:val="es-MX"/>
        </w:rPr>
      </w:pPr>
      <w:r w:rsidRPr="000B6C6A">
        <w:rPr>
          <w:rStyle w:val="Refdenotaalpie"/>
          <w:sz w:val="18"/>
          <w:szCs w:val="16"/>
        </w:rPr>
        <w:footnoteRef/>
      </w:r>
      <w:r w:rsidRPr="000B6C6A">
        <w:rPr>
          <w:sz w:val="16"/>
          <w:szCs w:val="16"/>
        </w:rPr>
        <w:t xml:space="preserve"> INEGI. Nota informativa. Cambios en la estimación de la población que se toma como base en la Encuesta Nacional de Ocupación y Empleo. Nueva Edición (ENOE</w:t>
      </w:r>
      <w:r w:rsidRPr="000B6C6A">
        <w:rPr>
          <w:sz w:val="16"/>
          <w:szCs w:val="16"/>
          <w:vertAlign w:val="superscript"/>
        </w:rPr>
        <w:t>N</w:t>
      </w:r>
      <w:r w:rsidRPr="000B6C6A">
        <w:rPr>
          <w:sz w:val="16"/>
          <w:szCs w:val="16"/>
        </w:rPr>
        <w:t>).</w:t>
      </w:r>
    </w:p>
  </w:footnote>
  <w:footnote w:id="7">
    <w:p w14:paraId="02F06E5B" w14:textId="63CA6535" w:rsidR="003F2078" w:rsidRPr="000B6C6A" w:rsidRDefault="003F2078">
      <w:pPr>
        <w:pStyle w:val="Textonotapie"/>
        <w:rPr>
          <w:sz w:val="16"/>
          <w:szCs w:val="16"/>
          <w:lang w:val="es-MX"/>
        </w:rPr>
      </w:pPr>
      <w:r w:rsidRPr="000B6C6A">
        <w:rPr>
          <w:rStyle w:val="Refdenotaalpie"/>
          <w:sz w:val="18"/>
          <w:szCs w:val="16"/>
        </w:rPr>
        <w:footnoteRef/>
      </w:r>
      <w:r w:rsidRPr="000B6C6A">
        <w:rPr>
          <w:sz w:val="16"/>
          <w:szCs w:val="16"/>
        </w:rPr>
        <w:t xml:space="preserve"> Proyecciones de población elaboradas y actualizadas por el CONAPO, el 16 de abril de 2013.</w:t>
      </w:r>
    </w:p>
  </w:footnote>
  <w:footnote w:id="8">
    <w:p w14:paraId="480977DA" w14:textId="51977B60" w:rsidR="003F2078" w:rsidRPr="00735049" w:rsidRDefault="003F2078">
      <w:pPr>
        <w:pStyle w:val="Textonotapie"/>
        <w:rPr>
          <w:lang w:val="es-MX"/>
        </w:rPr>
      </w:pPr>
      <w:r w:rsidRPr="000B6C6A">
        <w:rPr>
          <w:rStyle w:val="Refdenotaalpie"/>
          <w:sz w:val="18"/>
          <w:szCs w:val="16"/>
        </w:rPr>
        <w:footnoteRef/>
      </w:r>
      <w:r w:rsidRPr="000B6C6A">
        <w:rPr>
          <w:sz w:val="16"/>
          <w:szCs w:val="16"/>
        </w:rPr>
        <w:t xml:space="preserve"> E</w:t>
      </w:r>
      <w:r w:rsidRPr="00735049">
        <w:rPr>
          <w:sz w:val="16"/>
        </w:rPr>
        <w:t>l primer informe se dio el 17 de febrero de 2021, en el boletín de prensa de los resultados de la ENOE</w:t>
      </w:r>
      <w:r w:rsidRPr="000B6C6A">
        <w:rPr>
          <w:sz w:val="16"/>
          <w:vertAlign w:val="superscript"/>
        </w:rPr>
        <w:t>N</w:t>
      </w:r>
      <w:r w:rsidRPr="00735049">
        <w:rPr>
          <w:sz w:val="16"/>
        </w:rPr>
        <w:t xml:space="preserve"> del cuarto trimestre de 2020, así como en el boletín de prensa del pasado 22 de abril con los resultados de la ENOE</w:t>
      </w:r>
      <w:r w:rsidRPr="000B6C6A">
        <w:rPr>
          <w:sz w:val="16"/>
          <w:vertAlign w:val="superscript"/>
        </w:rPr>
        <w:t>N</w:t>
      </w:r>
      <w:r w:rsidRPr="00735049">
        <w:rPr>
          <w:sz w:val="16"/>
        </w:rPr>
        <w:t xml:space="preserve"> del mes de marzo de 2021. De igual forma, el tema se anunció en la última reunión del Consejo Consultivo Nacional, el 7 de abril de 2021.</w:t>
      </w:r>
    </w:p>
  </w:footnote>
  <w:footnote w:id="9">
    <w:p w14:paraId="6EB07C12" w14:textId="0E0A960F" w:rsidR="003F2078" w:rsidRPr="00052559" w:rsidRDefault="003F2078">
      <w:pPr>
        <w:pStyle w:val="Textonotapie"/>
        <w:rPr>
          <w:lang w:val="es-MX"/>
        </w:rPr>
      </w:pPr>
      <w:r w:rsidRPr="00052559">
        <w:rPr>
          <w:rStyle w:val="Refdenotaalpie"/>
          <w:sz w:val="18"/>
        </w:rPr>
        <w:footnoteRef/>
      </w:r>
      <w:r>
        <w:t xml:space="preserve"> </w:t>
      </w:r>
      <w:r w:rsidRPr="00052559">
        <w:rPr>
          <w:sz w:val="16"/>
        </w:rPr>
        <w:t>En la información del primer trimestre de 2020 se incorpora a la base de datos, el factor de expansión ajustado a la nueva estimación de población de dicho periodo, manteniendo el factor de expansión anterior. Con ello, los usuarios podrán replicar la información tanto del boletín de prensa como de la nota técnica del primer trimestre de 2021.</w:t>
      </w:r>
    </w:p>
  </w:footnote>
  <w:footnote w:id="10">
    <w:p w14:paraId="05B78872" w14:textId="067C644B" w:rsidR="003F2078" w:rsidRPr="00052559" w:rsidRDefault="003F2078">
      <w:pPr>
        <w:pStyle w:val="Textonotapie"/>
        <w:rPr>
          <w:lang w:val="es-MX"/>
        </w:rPr>
      </w:pPr>
      <w:r w:rsidRPr="00052559">
        <w:rPr>
          <w:rStyle w:val="Refdenotaalpie"/>
          <w:sz w:val="18"/>
        </w:rPr>
        <w:footnoteRef/>
      </w:r>
      <w:r>
        <w:t xml:space="preserve"> </w:t>
      </w:r>
      <w:r w:rsidRPr="00052559">
        <w:rPr>
          <w:sz w:val="16"/>
        </w:rPr>
        <w:t>Encuesta Telefónica de Ocupación y Empleo (ETOE).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27709" w14:textId="24CA692B" w:rsidR="003F2078" w:rsidRPr="0012318C" w:rsidRDefault="003F2078" w:rsidP="007B4B63">
    <w:pPr>
      <w:pStyle w:val="Encabezado"/>
      <w:tabs>
        <w:tab w:val="clear" w:pos="4419"/>
        <w:tab w:val="clear" w:pos="8838"/>
      </w:tabs>
      <w:ind w:left="-567" w:right="-518"/>
      <w:jc w:val="right"/>
      <w:rPr>
        <w:rFonts w:ascii="Arial" w:hAnsi="Arial"/>
        <w:b/>
        <w:color w:val="002060"/>
        <w:sz w:val="24"/>
        <w:szCs w:val="24"/>
        <w:lang w:val="pt-BR"/>
      </w:rPr>
    </w:pPr>
    <w:r>
      <w:rPr>
        <w:noProof/>
        <w:lang w:eastAsia="es-MX"/>
      </w:rPr>
      <w:drawing>
        <wp:anchor distT="0" distB="0" distL="114300" distR="114300" simplePos="0" relativeHeight="251663360" behindDoc="0" locked="0" layoutInCell="1" allowOverlap="1" wp14:anchorId="54A418B4" wp14:editId="36548370">
          <wp:simplePos x="0" y="0"/>
          <wp:positionH relativeFrom="margin">
            <wp:posOffset>-276225</wp:posOffset>
          </wp:positionH>
          <wp:positionV relativeFrom="margin">
            <wp:posOffset>-979805</wp:posOffset>
          </wp:positionV>
          <wp:extent cx="687070" cy="714375"/>
          <wp:effectExtent l="0" t="0" r="0" b="9525"/>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07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12318C">
      <w:rPr>
        <w:rFonts w:ascii="Arial" w:hAnsi="Arial" w:cs="Arial"/>
        <w:b/>
        <w:color w:val="002060"/>
        <w:sz w:val="24"/>
        <w:szCs w:val="24"/>
      </w:rPr>
      <w:t>C</w:t>
    </w:r>
    <w:r w:rsidRPr="0012318C">
      <w:rPr>
        <w:rFonts w:ascii="Arial" w:hAnsi="Arial"/>
        <w:b/>
        <w:color w:val="002060"/>
        <w:sz w:val="24"/>
        <w:szCs w:val="24"/>
      </w:rPr>
      <w:t xml:space="preserve">OMUNICADO DE PRENSA NÚM. </w:t>
    </w:r>
    <w:r>
      <w:rPr>
        <w:rFonts w:ascii="Arial" w:hAnsi="Arial"/>
        <w:b/>
        <w:color w:val="002060"/>
        <w:sz w:val="24"/>
        <w:szCs w:val="24"/>
      </w:rPr>
      <w:t>280</w:t>
    </w:r>
    <w:r w:rsidRPr="0012318C">
      <w:rPr>
        <w:rFonts w:ascii="Arial" w:hAnsi="Arial"/>
        <w:b/>
        <w:color w:val="002060"/>
        <w:sz w:val="24"/>
        <w:szCs w:val="24"/>
      </w:rPr>
      <w:t>/2</w:t>
    </w:r>
    <w:r>
      <w:rPr>
        <w:rFonts w:ascii="Arial" w:hAnsi="Arial"/>
        <w:b/>
        <w:color w:val="002060"/>
        <w:sz w:val="24"/>
        <w:szCs w:val="24"/>
      </w:rPr>
      <w:t>1</w:t>
    </w:r>
  </w:p>
  <w:p w14:paraId="3BED57DB" w14:textId="038957C6" w:rsidR="003F2078" w:rsidRPr="0012318C" w:rsidRDefault="003F2078" w:rsidP="007B4B63">
    <w:pPr>
      <w:pStyle w:val="Encabezado"/>
      <w:tabs>
        <w:tab w:val="clear" w:pos="4419"/>
        <w:tab w:val="clear" w:pos="8838"/>
      </w:tabs>
      <w:ind w:left="-567" w:right="-518"/>
      <w:jc w:val="right"/>
      <w:rPr>
        <w:rFonts w:ascii="Arial" w:hAnsi="Arial"/>
        <w:b/>
        <w:color w:val="002060"/>
        <w:sz w:val="24"/>
        <w:szCs w:val="24"/>
        <w:lang w:val="pt-BR"/>
      </w:rPr>
    </w:pPr>
    <w:r>
      <w:rPr>
        <w:rFonts w:ascii="Arial" w:hAnsi="Arial"/>
        <w:b/>
        <w:color w:val="002060"/>
        <w:sz w:val="24"/>
        <w:szCs w:val="24"/>
        <w:lang w:val="pt-BR"/>
      </w:rPr>
      <w:t>17</w:t>
    </w:r>
    <w:r w:rsidRPr="0012318C">
      <w:rPr>
        <w:rFonts w:ascii="Arial" w:hAnsi="Arial"/>
        <w:b/>
        <w:color w:val="002060"/>
        <w:sz w:val="24"/>
        <w:szCs w:val="24"/>
        <w:lang w:val="pt-BR"/>
      </w:rPr>
      <w:t xml:space="preserve"> DE </w:t>
    </w:r>
    <w:r>
      <w:rPr>
        <w:rFonts w:ascii="Arial" w:hAnsi="Arial"/>
        <w:b/>
        <w:color w:val="002060"/>
        <w:sz w:val="24"/>
        <w:szCs w:val="24"/>
        <w:lang w:val="pt-BR"/>
      </w:rPr>
      <w:t xml:space="preserve">MAYO </w:t>
    </w:r>
    <w:r w:rsidRPr="0012318C">
      <w:rPr>
        <w:rFonts w:ascii="Arial" w:hAnsi="Arial"/>
        <w:b/>
        <w:color w:val="002060"/>
        <w:sz w:val="24"/>
        <w:szCs w:val="24"/>
        <w:lang w:val="pt-BR"/>
      </w:rPr>
      <w:t>DE 202</w:t>
    </w:r>
    <w:r>
      <w:rPr>
        <w:rFonts w:ascii="Arial" w:hAnsi="Arial"/>
        <w:b/>
        <w:color w:val="002060"/>
        <w:sz w:val="24"/>
        <w:szCs w:val="24"/>
        <w:lang w:val="pt-BR"/>
      </w:rPr>
      <w:t>1</w:t>
    </w:r>
  </w:p>
  <w:p w14:paraId="1B504042" w14:textId="6855653D" w:rsidR="003F2078" w:rsidRDefault="003F2078" w:rsidP="007B4B63">
    <w:pPr>
      <w:pStyle w:val="Encabezado"/>
      <w:tabs>
        <w:tab w:val="clear" w:pos="4419"/>
        <w:tab w:val="clear" w:pos="8838"/>
      </w:tabs>
      <w:ind w:left="-567" w:right="-518"/>
      <w:jc w:val="right"/>
      <w:rPr>
        <w:rFonts w:ascii="Arial" w:hAnsi="Arial"/>
        <w:b/>
        <w:color w:val="002060"/>
        <w:sz w:val="24"/>
        <w:szCs w:val="24"/>
      </w:rPr>
    </w:pPr>
    <w:r w:rsidRPr="0012318C">
      <w:rPr>
        <w:rFonts w:ascii="Arial" w:hAnsi="Arial"/>
        <w:b/>
        <w:color w:val="002060"/>
        <w:sz w:val="24"/>
        <w:szCs w:val="24"/>
      </w:rPr>
      <w:t xml:space="preserve">PÁGINA </w:t>
    </w:r>
    <w:r w:rsidRPr="0012318C">
      <w:rPr>
        <w:rFonts w:ascii="Arial" w:hAnsi="Arial"/>
        <w:b/>
        <w:color w:val="002060"/>
        <w:sz w:val="24"/>
        <w:szCs w:val="24"/>
      </w:rPr>
      <w:fldChar w:fldCharType="begin"/>
    </w:r>
    <w:r w:rsidRPr="0012318C">
      <w:rPr>
        <w:rFonts w:ascii="Arial" w:hAnsi="Arial"/>
        <w:b/>
        <w:color w:val="002060"/>
        <w:sz w:val="24"/>
        <w:szCs w:val="24"/>
      </w:rPr>
      <w:instrText xml:space="preserve"> PAGE  \* Arabic </w:instrText>
    </w:r>
    <w:r w:rsidRPr="0012318C">
      <w:rPr>
        <w:rFonts w:ascii="Arial" w:hAnsi="Arial"/>
        <w:b/>
        <w:color w:val="002060"/>
        <w:sz w:val="24"/>
        <w:szCs w:val="24"/>
      </w:rPr>
      <w:fldChar w:fldCharType="separate"/>
    </w:r>
    <w:r>
      <w:rPr>
        <w:rFonts w:ascii="Arial" w:hAnsi="Arial"/>
        <w:b/>
        <w:noProof/>
        <w:color w:val="002060"/>
        <w:sz w:val="24"/>
        <w:szCs w:val="24"/>
      </w:rPr>
      <w:t>3</w:t>
    </w:r>
    <w:r w:rsidRPr="0012318C">
      <w:rPr>
        <w:rFonts w:ascii="Arial" w:hAnsi="Arial"/>
        <w:b/>
        <w:color w:val="002060"/>
        <w:sz w:val="24"/>
        <w:szCs w:val="24"/>
      </w:rPr>
      <w:fldChar w:fldCharType="end"/>
    </w:r>
    <w:r w:rsidRPr="0012318C">
      <w:rPr>
        <w:rFonts w:ascii="Arial" w:hAnsi="Arial"/>
        <w:b/>
        <w:color w:val="002060"/>
        <w:sz w:val="24"/>
        <w:szCs w:val="24"/>
      </w:rPr>
      <w:t>/</w:t>
    </w:r>
    <w:r>
      <w:rPr>
        <w:rFonts w:ascii="Arial" w:hAnsi="Arial"/>
        <w:b/>
        <w:color w:val="002060"/>
        <w:sz w:val="24"/>
        <w:szCs w:val="24"/>
      </w:rPr>
      <w:t>3</w:t>
    </w:r>
  </w:p>
  <w:p w14:paraId="70BDD354" w14:textId="77777777" w:rsidR="003F2078" w:rsidRPr="0012318C" w:rsidRDefault="003F2078" w:rsidP="007B4B63">
    <w:pPr>
      <w:pStyle w:val="Encabezado"/>
      <w:tabs>
        <w:tab w:val="clear" w:pos="4419"/>
        <w:tab w:val="clear" w:pos="8838"/>
      </w:tabs>
      <w:ind w:left="-567" w:right="-518"/>
      <w:jc w:val="right"/>
      <w:rPr>
        <w:rFonts w:ascii="Arial" w:hAnsi="Arial"/>
        <w:b/>
        <w:color w:val="002060"/>
        <w:sz w:val="24"/>
        <w:szCs w:val="24"/>
      </w:rPr>
    </w:pPr>
  </w:p>
  <w:p w14:paraId="3D6135ED" w14:textId="77777777" w:rsidR="003F2078" w:rsidRDefault="003F2078" w:rsidP="00395855">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18BBF" w14:textId="77777777" w:rsidR="003F2078" w:rsidRPr="00FE1C98" w:rsidRDefault="003F2078" w:rsidP="00A77492">
    <w:pPr>
      <w:pStyle w:val="Encabezado"/>
      <w:tabs>
        <w:tab w:val="clear" w:pos="4419"/>
        <w:tab w:val="clear" w:pos="8838"/>
      </w:tabs>
      <w:ind w:left="-567" w:right="-518"/>
      <w:jc w:val="right"/>
      <w:rPr>
        <w:rFonts w:ascii="Arial" w:hAnsi="Arial"/>
        <w:b/>
        <w:color w:val="002060"/>
        <w:sz w:val="24"/>
      </w:rPr>
    </w:pPr>
    <w:r>
      <w:rPr>
        <w:noProof/>
        <w:lang w:eastAsia="es-MX"/>
      </w:rPr>
      <w:drawing>
        <wp:anchor distT="0" distB="0" distL="114300" distR="114300" simplePos="0" relativeHeight="251659264" behindDoc="0" locked="0" layoutInCell="1" allowOverlap="1" wp14:anchorId="340DCDD4" wp14:editId="109E0607">
          <wp:simplePos x="0" y="0"/>
          <wp:positionH relativeFrom="margin">
            <wp:posOffset>2462530</wp:posOffset>
          </wp:positionH>
          <wp:positionV relativeFrom="topMargin">
            <wp:posOffset>213995</wp:posOffset>
          </wp:positionV>
          <wp:extent cx="687070" cy="714375"/>
          <wp:effectExtent l="0" t="0" r="0" b="9525"/>
          <wp:wrapSquare wrapText="bothSides"/>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07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24E9">
      <w:rPr>
        <w:rFonts w:ascii="Arial" w:hAnsi="Arial" w:cs="Arial"/>
        <w:b/>
        <w:color w:val="002060"/>
        <w:sz w:val="24"/>
        <w:szCs w:val="24"/>
      </w:rPr>
      <w:t xml:space="preserve"> </w:t>
    </w:r>
  </w:p>
  <w:p w14:paraId="61DAE172" w14:textId="77777777" w:rsidR="003F2078" w:rsidRDefault="003F2078" w:rsidP="00395855">
    <w:pPr>
      <w:pStyle w:val="Encabezado"/>
      <w:jc w:val="center"/>
    </w:pPr>
  </w:p>
  <w:p w14:paraId="2507C20F" w14:textId="77777777" w:rsidR="003F2078" w:rsidRDefault="003F2078" w:rsidP="00395855">
    <w:pPr>
      <w:pStyle w:val="Encabezado"/>
      <w:jc w:val="center"/>
    </w:pPr>
  </w:p>
  <w:p w14:paraId="35AC911E" w14:textId="77777777" w:rsidR="003F2078" w:rsidRDefault="003F2078" w:rsidP="00395855">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5pt;height:8.25pt;visibility:visible;mso-wrap-style:square" o:bullet="t">
        <v:imagedata r:id="rId1" o:title=""/>
      </v:shape>
    </w:pict>
  </w:numPicBullet>
  <w:abstractNum w:abstractNumId="0" w15:restartNumberingAfterBreak="0">
    <w:nsid w:val="897F49C7"/>
    <w:multiLevelType w:val="hybridMultilevel"/>
    <w:tmpl w:val="655D900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35C4606"/>
    <w:multiLevelType w:val="hybridMultilevel"/>
    <w:tmpl w:val="E204827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2A408C"/>
    <w:multiLevelType w:val="hybridMultilevel"/>
    <w:tmpl w:val="E078115C"/>
    <w:lvl w:ilvl="0" w:tplc="049E7E62">
      <w:start w:val="1"/>
      <w:numFmt w:val="lowerLetter"/>
      <w:lvlText w:val="%1)"/>
      <w:lvlJc w:val="left"/>
      <w:pPr>
        <w:ind w:left="720" w:hanging="360"/>
      </w:pPr>
      <w:rPr>
        <w:rFonts w:ascii="Arial" w:eastAsia="Arial" w:hAnsi="Arial" w:cs="Arial" w:hint="default"/>
        <w:b/>
        <w:bCs/>
        <w:i w:val="0"/>
        <w:color w:val="231F20"/>
        <w:spacing w:val="-1"/>
        <w:w w:val="100"/>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3C71ECF"/>
    <w:multiLevelType w:val="hybridMultilevel"/>
    <w:tmpl w:val="64769A12"/>
    <w:lvl w:ilvl="0" w:tplc="6FF6C354">
      <w:start w:val="1"/>
      <w:numFmt w:val="decimal"/>
      <w:lvlText w:val="%1."/>
      <w:lvlJc w:val="left"/>
      <w:pPr>
        <w:ind w:left="720" w:hanging="360"/>
      </w:pPr>
      <w:rPr>
        <w:rFonts w:ascii="Arial" w:hAnsi="Arial"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FB1C22"/>
    <w:multiLevelType w:val="hybridMultilevel"/>
    <w:tmpl w:val="1422C72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6923DF"/>
    <w:multiLevelType w:val="hybridMultilevel"/>
    <w:tmpl w:val="31749376"/>
    <w:lvl w:ilvl="0" w:tplc="BF6C3C34">
      <w:start w:val="1"/>
      <w:numFmt w:val="lowerLetter"/>
      <w:lvlText w:val="%1)"/>
      <w:lvlJc w:val="left"/>
      <w:pPr>
        <w:ind w:left="1080" w:hanging="360"/>
      </w:pPr>
      <w:rPr>
        <w:rFonts w:ascii="Arial" w:eastAsia="Arial" w:hAnsi="Arial" w:cs="Arial" w:hint="default"/>
        <w:b/>
        <w:bCs/>
        <w:color w:val="231F20"/>
        <w:spacing w:val="-1"/>
        <w:w w:val="100"/>
        <w:sz w:val="22"/>
        <w:szCs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1775230C"/>
    <w:multiLevelType w:val="hybridMultilevel"/>
    <w:tmpl w:val="7BE0D2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4C3875"/>
    <w:multiLevelType w:val="hybridMultilevel"/>
    <w:tmpl w:val="094CE4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ED507D9"/>
    <w:multiLevelType w:val="hybridMultilevel"/>
    <w:tmpl w:val="1D04870A"/>
    <w:lvl w:ilvl="0" w:tplc="080A0001">
      <w:start w:val="1"/>
      <w:numFmt w:val="bullet"/>
      <w:lvlText w:val=""/>
      <w:lvlJc w:val="left"/>
      <w:pPr>
        <w:ind w:left="11" w:hanging="360"/>
      </w:pPr>
      <w:rPr>
        <w:rFonts w:ascii="Symbol" w:hAnsi="Symbol" w:hint="default"/>
      </w:rPr>
    </w:lvl>
    <w:lvl w:ilvl="1" w:tplc="080A0003" w:tentative="1">
      <w:start w:val="1"/>
      <w:numFmt w:val="bullet"/>
      <w:lvlText w:val="o"/>
      <w:lvlJc w:val="left"/>
      <w:pPr>
        <w:ind w:left="731" w:hanging="360"/>
      </w:pPr>
      <w:rPr>
        <w:rFonts w:ascii="Courier New" w:hAnsi="Courier New" w:cs="Courier New" w:hint="default"/>
      </w:rPr>
    </w:lvl>
    <w:lvl w:ilvl="2" w:tplc="080A0005" w:tentative="1">
      <w:start w:val="1"/>
      <w:numFmt w:val="bullet"/>
      <w:lvlText w:val=""/>
      <w:lvlJc w:val="left"/>
      <w:pPr>
        <w:ind w:left="1451" w:hanging="360"/>
      </w:pPr>
      <w:rPr>
        <w:rFonts w:ascii="Wingdings" w:hAnsi="Wingdings" w:hint="default"/>
      </w:rPr>
    </w:lvl>
    <w:lvl w:ilvl="3" w:tplc="080A0001" w:tentative="1">
      <w:start w:val="1"/>
      <w:numFmt w:val="bullet"/>
      <w:lvlText w:val=""/>
      <w:lvlJc w:val="left"/>
      <w:pPr>
        <w:ind w:left="2171" w:hanging="360"/>
      </w:pPr>
      <w:rPr>
        <w:rFonts w:ascii="Symbol" w:hAnsi="Symbol" w:hint="default"/>
      </w:rPr>
    </w:lvl>
    <w:lvl w:ilvl="4" w:tplc="080A0003" w:tentative="1">
      <w:start w:val="1"/>
      <w:numFmt w:val="bullet"/>
      <w:lvlText w:val="o"/>
      <w:lvlJc w:val="left"/>
      <w:pPr>
        <w:ind w:left="2891" w:hanging="360"/>
      </w:pPr>
      <w:rPr>
        <w:rFonts w:ascii="Courier New" w:hAnsi="Courier New" w:cs="Courier New" w:hint="default"/>
      </w:rPr>
    </w:lvl>
    <w:lvl w:ilvl="5" w:tplc="080A0005" w:tentative="1">
      <w:start w:val="1"/>
      <w:numFmt w:val="bullet"/>
      <w:lvlText w:val=""/>
      <w:lvlJc w:val="left"/>
      <w:pPr>
        <w:ind w:left="3611" w:hanging="360"/>
      </w:pPr>
      <w:rPr>
        <w:rFonts w:ascii="Wingdings" w:hAnsi="Wingdings" w:hint="default"/>
      </w:rPr>
    </w:lvl>
    <w:lvl w:ilvl="6" w:tplc="080A0001" w:tentative="1">
      <w:start w:val="1"/>
      <w:numFmt w:val="bullet"/>
      <w:lvlText w:val=""/>
      <w:lvlJc w:val="left"/>
      <w:pPr>
        <w:ind w:left="4331" w:hanging="360"/>
      </w:pPr>
      <w:rPr>
        <w:rFonts w:ascii="Symbol" w:hAnsi="Symbol" w:hint="default"/>
      </w:rPr>
    </w:lvl>
    <w:lvl w:ilvl="7" w:tplc="080A0003" w:tentative="1">
      <w:start w:val="1"/>
      <w:numFmt w:val="bullet"/>
      <w:lvlText w:val="o"/>
      <w:lvlJc w:val="left"/>
      <w:pPr>
        <w:ind w:left="5051" w:hanging="360"/>
      </w:pPr>
      <w:rPr>
        <w:rFonts w:ascii="Courier New" w:hAnsi="Courier New" w:cs="Courier New" w:hint="default"/>
      </w:rPr>
    </w:lvl>
    <w:lvl w:ilvl="8" w:tplc="080A0005" w:tentative="1">
      <w:start w:val="1"/>
      <w:numFmt w:val="bullet"/>
      <w:lvlText w:val=""/>
      <w:lvlJc w:val="left"/>
      <w:pPr>
        <w:ind w:left="5771" w:hanging="360"/>
      </w:pPr>
      <w:rPr>
        <w:rFonts w:ascii="Wingdings" w:hAnsi="Wingdings" w:hint="default"/>
      </w:rPr>
    </w:lvl>
  </w:abstractNum>
  <w:abstractNum w:abstractNumId="9" w15:restartNumberingAfterBreak="0">
    <w:nsid w:val="22CF14EB"/>
    <w:multiLevelType w:val="hybridMultilevel"/>
    <w:tmpl w:val="60D410B2"/>
    <w:lvl w:ilvl="0" w:tplc="080A0001">
      <w:start w:val="1"/>
      <w:numFmt w:val="bullet"/>
      <w:lvlText w:val=""/>
      <w:lvlJc w:val="left"/>
      <w:pPr>
        <w:ind w:left="-557" w:hanging="360"/>
      </w:pPr>
      <w:rPr>
        <w:rFonts w:ascii="Symbol" w:hAnsi="Symbol" w:hint="default"/>
      </w:rPr>
    </w:lvl>
    <w:lvl w:ilvl="1" w:tplc="080A0003">
      <w:start w:val="1"/>
      <w:numFmt w:val="bullet"/>
      <w:lvlText w:val="o"/>
      <w:lvlJc w:val="left"/>
      <w:pPr>
        <w:ind w:left="163" w:hanging="360"/>
      </w:pPr>
      <w:rPr>
        <w:rFonts w:ascii="Courier New" w:hAnsi="Courier New" w:cs="Courier New" w:hint="default"/>
      </w:rPr>
    </w:lvl>
    <w:lvl w:ilvl="2" w:tplc="080A0005">
      <w:start w:val="1"/>
      <w:numFmt w:val="bullet"/>
      <w:lvlText w:val=""/>
      <w:lvlJc w:val="left"/>
      <w:pPr>
        <w:ind w:left="883" w:hanging="360"/>
      </w:pPr>
      <w:rPr>
        <w:rFonts w:ascii="Wingdings" w:hAnsi="Wingdings" w:hint="default"/>
      </w:rPr>
    </w:lvl>
    <w:lvl w:ilvl="3" w:tplc="080A0001" w:tentative="1">
      <w:start w:val="1"/>
      <w:numFmt w:val="bullet"/>
      <w:lvlText w:val=""/>
      <w:lvlJc w:val="left"/>
      <w:pPr>
        <w:ind w:left="1603" w:hanging="360"/>
      </w:pPr>
      <w:rPr>
        <w:rFonts w:ascii="Symbol" w:hAnsi="Symbol" w:hint="default"/>
      </w:rPr>
    </w:lvl>
    <w:lvl w:ilvl="4" w:tplc="080A0003" w:tentative="1">
      <w:start w:val="1"/>
      <w:numFmt w:val="bullet"/>
      <w:lvlText w:val="o"/>
      <w:lvlJc w:val="left"/>
      <w:pPr>
        <w:ind w:left="2323" w:hanging="360"/>
      </w:pPr>
      <w:rPr>
        <w:rFonts w:ascii="Courier New" w:hAnsi="Courier New" w:cs="Courier New" w:hint="default"/>
      </w:rPr>
    </w:lvl>
    <w:lvl w:ilvl="5" w:tplc="080A0005" w:tentative="1">
      <w:start w:val="1"/>
      <w:numFmt w:val="bullet"/>
      <w:lvlText w:val=""/>
      <w:lvlJc w:val="left"/>
      <w:pPr>
        <w:ind w:left="3043" w:hanging="360"/>
      </w:pPr>
      <w:rPr>
        <w:rFonts w:ascii="Wingdings" w:hAnsi="Wingdings" w:hint="default"/>
      </w:rPr>
    </w:lvl>
    <w:lvl w:ilvl="6" w:tplc="080A0001" w:tentative="1">
      <w:start w:val="1"/>
      <w:numFmt w:val="bullet"/>
      <w:lvlText w:val=""/>
      <w:lvlJc w:val="left"/>
      <w:pPr>
        <w:ind w:left="3763" w:hanging="360"/>
      </w:pPr>
      <w:rPr>
        <w:rFonts w:ascii="Symbol" w:hAnsi="Symbol" w:hint="default"/>
      </w:rPr>
    </w:lvl>
    <w:lvl w:ilvl="7" w:tplc="080A0003" w:tentative="1">
      <w:start w:val="1"/>
      <w:numFmt w:val="bullet"/>
      <w:lvlText w:val="o"/>
      <w:lvlJc w:val="left"/>
      <w:pPr>
        <w:ind w:left="4483" w:hanging="360"/>
      </w:pPr>
      <w:rPr>
        <w:rFonts w:ascii="Courier New" w:hAnsi="Courier New" w:cs="Courier New" w:hint="default"/>
      </w:rPr>
    </w:lvl>
    <w:lvl w:ilvl="8" w:tplc="080A0005" w:tentative="1">
      <w:start w:val="1"/>
      <w:numFmt w:val="bullet"/>
      <w:lvlText w:val=""/>
      <w:lvlJc w:val="left"/>
      <w:pPr>
        <w:ind w:left="5203" w:hanging="360"/>
      </w:pPr>
      <w:rPr>
        <w:rFonts w:ascii="Wingdings" w:hAnsi="Wingdings" w:hint="default"/>
      </w:rPr>
    </w:lvl>
  </w:abstractNum>
  <w:abstractNum w:abstractNumId="10" w15:restartNumberingAfterBreak="0">
    <w:nsid w:val="27C55D2B"/>
    <w:multiLevelType w:val="hybridMultilevel"/>
    <w:tmpl w:val="FAF2DFB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30EF7AFF"/>
    <w:multiLevelType w:val="hybridMultilevel"/>
    <w:tmpl w:val="CF0696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22D2757"/>
    <w:multiLevelType w:val="hybridMultilevel"/>
    <w:tmpl w:val="FA400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5E71991"/>
    <w:multiLevelType w:val="hybridMultilevel"/>
    <w:tmpl w:val="E8FEE2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9202F20"/>
    <w:multiLevelType w:val="hybridMultilevel"/>
    <w:tmpl w:val="5E8EE594"/>
    <w:lvl w:ilvl="0" w:tplc="BF6C3C34">
      <w:start w:val="1"/>
      <w:numFmt w:val="lowerLetter"/>
      <w:lvlText w:val="%1)"/>
      <w:lvlJc w:val="left"/>
      <w:pPr>
        <w:ind w:left="720" w:hanging="360"/>
      </w:pPr>
      <w:rPr>
        <w:rFonts w:ascii="Arial" w:eastAsia="Arial" w:hAnsi="Arial" w:cs="Arial" w:hint="default"/>
        <w:b/>
        <w:bCs/>
        <w:i w:val="0"/>
        <w:color w:val="231F20"/>
        <w:spacing w:val="-1"/>
        <w:w w:val="100"/>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A784291"/>
    <w:multiLevelType w:val="hybridMultilevel"/>
    <w:tmpl w:val="45C4E23C"/>
    <w:lvl w:ilvl="0" w:tplc="A51A7B1C">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B5A2AE8"/>
    <w:multiLevelType w:val="hybridMultilevel"/>
    <w:tmpl w:val="19F8C52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19C3A06"/>
    <w:multiLevelType w:val="hybridMultilevel"/>
    <w:tmpl w:val="553AFDEC"/>
    <w:lvl w:ilvl="0" w:tplc="080A0001">
      <w:start w:val="1"/>
      <w:numFmt w:val="bullet"/>
      <w:lvlText w:val=""/>
      <w:lvlJc w:val="left"/>
      <w:pPr>
        <w:ind w:left="294" w:hanging="360"/>
      </w:pPr>
      <w:rPr>
        <w:rFonts w:ascii="Symbol" w:hAnsi="Symbol" w:hint="default"/>
      </w:rPr>
    </w:lvl>
    <w:lvl w:ilvl="1" w:tplc="080A0003" w:tentative="1">
      <w:start w:val="1"/>
      <w:numFmt w:val="bullet"/>
      <w:lvlText w:val="o"/>
      <w:lvlJc w:val="left"/>
      <w:pPr>
        <w:ind w:left="1014" w:hanging="360"/>
      </w:pPr>
      <w:rPr>
        <w:rFonts w:ascii="Courier New" w:hAnsi="Courier New" w:cs="Courier New" w:hint="default"/>
      </w:rPr>
    </w:lvl>
    <w:lvl w:ilvl="2" w:tplc="080A0005" w:tentative="1">
      <w:start w:val="1"/>
      <w:numFmt w:val="bullet"/>
      <w:lvlText w:val=""/>
      <w:lvlJc w:val="left"/>
      <w:pPr>
        <w:ind w:left="1734" w:hanging="360"/>
      </w:pPr>
      <w:rPr>
        <w:rFonts w:ascii="Wingdings" w:hAnsi="Wingdings" w:hint="default"/>
      </w:rPr>
    </w:lvl>
    <w:lvl w:ilvl="3" w:tplc="080A0001" w:tentative="1">
      <w:start w:val="1"/>
      <w:numFmt w:val="bullet"/>
      <w:lvlText w:val=""/>
      <w:lvlJc w:val="left"/>
      <w:pPr>
        <w:ind w:left="2454" w:hanging="360"/>
      </w:pPr>
      <w:rPr>
        <w:rFonts w:ascii="Symbol" w:hAnsi="Symbol" w:hint="default"/>
      </w:rPr>
    </w:lvl>
    <w:lvl w:ilvl="4" w:tplc="080A0003" w:tentative="1">
      <w:start w:val="1"/>
      <w:numFmt w:val="bullet"/>
      <w:lvlText w:val="o"/>
      <w:lvlJc w:val="left"/>
      <w:pPr>
        <w:ind w:left="3174" w:hanging="360"/>
      </w:pPr>
      <w:rPr>
        <w:rFonts w:ascii="Courier New" w:hAnsi="Courier New" w:cs="Courier New" w:hint="default"/>
      </w:rPr>
    </w:lvl>
    <w:lvl w:ilvl="5" w:tplc="080A0005" w:tentative="1">
      <w:start w:val="1"/>
      <w:numFmt w:val="bullet"/>
      <w:lvlText w:val=""/>
      <w:lvlJc w:val="left"/>
      <w:pPr>
        <w:ind w:left="3894" w:hanging="360"/>
      </w:pPr>
      <w:rPr>
        <w:rFonts w:ascii="Wingdings" w:hAnsi="Wingdings" w:hint="default"/>
      </w:rPr>
    </w:lvl>
    <w:lvl w:ilvl="6" w:tplc="080A0001" w:tentative="1">
      <w:start w:val="1"/>
      <w:numFmt w:val="bullet"/>
      <w:lvlText w:val=""/>
      <w:lvlJc w:val="left"/>
      <w:pPr>
        <w:ind w:left="4614" w:hanging="360"/>
      </w:pPr>
      <w:rPr>
        <w:rFonts w:ascii="Symbol" w:hAnsi="Symbol" w:hint="default"/>
      </w:rPr>
    </w:lvl>
    <w:lvl w:ilvl="7" w:tplc="080A0003" w:tentative="1">
      <w:start w:val="1"/>
      <w:numFmt w:val="bullet"/>
      <w:lvlText w:val="o"/>
      <w:lvlJc w:val="left"/>
      <w:pPr>
        <w:ind w:left="5334" w:hanging="360"/>
      </w:pPr>
      <w:rPr>
        <w:rFonts w:ascii="Courier New" w:hAnsi="Courier New" w:cs="Courier New" w:hint="default"/>
      </w:rPr>
    </w:lvl>
    <w:lvl w:ilvl="8" w:tplc="080A0005" w:tentative="1">
      <w:start w:val="1"/>
      <w:numFmt w:val="bullet"/>
      <w:lvlText w:val=""/>
      <w:lvlJc w:val="left"/>
      <w:pPr>
        <w:ind w:left="6054" w:hanging="360"/>
      </w:pPr>
      <w:rPr>
        <w:rFonts w:ascii="Wingdings" w:hAnsi="Wingdings" w:hint="default"/>
      </w:rPr>
    </w:lvl>
  </w:abstractNum>
  <w:abstractNum w:abstractNumId="18" w15:restartNumberingAfterBreak="0">
    <w:nsid w:val="45063CC3"/>
    <w:multiLevelType w:val="hybridMultilevel"/>
    <w:tmpl w:val="86FC07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75F383C"/>
    <w:multiLevelType w:val="hybridMultilevel"/>
    <w:tmpl w:val="325A27B4"/>
    <w:lvl w:ilvl="0" w:tplc="080A0001">
      <w:start w:val="1"/>
      <w:numFmt w:val="bullet"/>
      <w:lvlText w:val=""/>
      <w:lvlJc w:val="left"/>
      <w:pPr>
        <w:ind w:left="-851" w:hanging="360"/>
      </w:pPr>
      <w:rPr>
        <w:rFonts w:ascii="Symbol" w:hAnsi="Symbol" w:hint="default"/>
      </w:rPr>
    </w:lvl>
    <w:lvl w:ilvl="1" w:tplc="080A0003" w:tentative="1">
      <w:start w:val="1"/>
      <w:numFmt w:val="bullet"/>
      <w:lvlText w:val="o"/>
      <w:lvlJc w:val="left"/>
      <w:pPr>
        <w:ind w:left="-131" w:hanging="360"/>
      </w:pPr>
      <w:rPr>
        <w:rFonts w:ascii="Courier New" w:hAnsi="Courier New" w:cs="Courier New" w:hint="default"/>
      </w:rPr>
    </w:lvl>
    <w:lvl w:ilvl="2" w:tplc="080A0005" w:tentative="1">
      <w:start w:val="1"/>
      <w:numFmt w:val="bullet"/>
      <w:lvlText w:val=""/>
      <w:lvlJc w:val="left"/>
      <w:pPr>
        <w:ind w:left="589" w:hanging="360"/>
      </w:pPr>
      <w:rPr>
        <w:rFonts w:ascii="Wingdings" w:hAnsi="Wingdings" w:hint="default"/>
      </w:rPr>
    </w:lvl>
    <w:lvl w:ilvl="3" w:tplc="080A0001" w:tentative="1">
      <w:start w:val="1"/>
      <w:numFmt w:val="bullet"/>
      <w:lvlText w:val=""/>
      <w:lvlJc w:val="left"/>
      <w:pPr>
        <w:ind w:left="1309" w:hanging="360"/>
      </w:pPr>
      <w:rPr>
        <w:rFonts w:ascii="Symbol" w:hAnsi="Symbol" w:hint="default"/>
      </w:rPr>
    </w:lvl>
    <w:lvl w:ilvl="4" w:tplc="080A0003" w:tentative="1">
      <w:start w:val="1"/>
      <w:numFmt w:val="bullet"/>
      <w:lvlText w:val="o"/>
      <w:lvlJc w:val="left"/>
      <w:pPr>
        <w:ind w:left="2029" w:hanging="360"/>
      </w:pPr>
      <w:rPr>
        <w:rFonts w:ascii="Courier New" w:hAnsi="Courier New" w:cs="Courier New" w:hint="default"/>
      </w:rPr>
    </w:lvl>
    <w:lvl w:ilvl="5" w:tplc="080A0005" w:tentative="1">
      <w:start w:val="1"/>
      <w:numFmt w:val="bullet"/>
      <w:lvlText w:val=""/>
      <w:lvlJc w:val="left"/>
      <w:pPr>
        <w:ind w:left="2749" w:hanging="360"/>
      </w:pPr>
      <w:rPr>
        <w:rFonts w:ascii="Wingdings" w:hAnsi="Wingdings" w:hint="default"/>
      </w:rPr>
    </w:lvl>
    <w:lvl w:ilvl="6" w:tplc="080A0001" w:tentative="1">
      <w:start w:val="1"/>
      <w:numFmt w:val="bullet"/>
      <w:lvlText w:val=""/>
      <w:lvlJc w:val="left"/>
      <w:pPr>
        <w:ind w:left="3469" w:hanging="360"/>
      </w:pPr>
      <w:rPr>
        <w:rFonts w:ascii="Symbol" w:hAnsi="Symbol" w:hint="default"/>
      </w:rPr>
    </w:lvl>
    <w:lvl w:ilvl="7" w:tplc="080A0003" w:tentative="1">
      <w:start w:val="1"/>
      <w:numFmt w:val="bullet"/>
      <w:lvlText w:val="o"/>
      <w:lvlJc w:val="left"/>
      <w:pPr>
        <w:ind w:left="4189" w:hanging="360"/>
      </w:pPr>
      <w:rPr>
        <w:rFonts w:ascii="Courier New" w:hAnsi="Courier New" w:cs="Courier New" w:hint="default"/>
      </w:rPr>
    </w:lvl>
    <w:lvl w:ilvl="8" w:tplc="080A0005" w:tentative="1">
      <w:start w:val="1"/>
      <w:numFmt w:val="bullet"/>
      <w:lvlText w:val=""/>
      <w:lvlJc w:val="left"/>
      <w:pPr>
        <w:ind w:left="4909" w:hanging="360"/>
      </w:pPr>
      <w:rPr>
        <w:rFonts w:ascii="Wingdings" w:hAnsi="Wingdings" w:hint="default"/>
      </w:rPr>
    </w:lvl>
  </w:abstractNum>
  <w:abstractNum w:abstractNumId="20" w15:restartNumberingAfterBreak="0">
    <w:nsid w:val="4B2040E3"/>
    <w:multiLevelType w:val="hybridMultilevel"/>
    <w:tmpl w:val="27EAA958"/>
    <w:lvl w:ilvl="0" w:tplc="BF6C3C34">
      <w:start w:val="1"/>
      <w:numFmt w:val="lowerLetter"/>
      <w:lvlText w:val="%1)"/>
      <w:lvlJc w:val="left"/>
      <w:pPr>
        <w:ind w:left="720" w:hanging="360"/>
      </w:pPr>
      <w:rPr>
        <w:rFonts w:ascii="Arial" w:eastAsia="Arial" w:hAnsi="Arial" w:cs="Arial" w:hint="default"/>
        <w:b/>
        <w:bCs/>
        <w:color w:val="231F20"/>
        <w:spacing w:val="-1"/>
        <w:w w:val="10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CF06107"/>
    <w:multiLevelType w:val="hybridMultilevel"/>
    <w:tmpl w:val="2A767FD6"/>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15:restartNumberingAfterBreak="0">
    <w:nsid w:val="4D1E45BF"/>
    <w:multiLevelType w:val="hybridMultilevel"/>
    <w:tmpl w:val="07A20B10"/>
    <w:lvl w:ilvl="0" w:tplc="080A0019">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D3479BF"/>
    <w:multiLevelType w:val="hybridMultilevel"/>
    <w:tmpl w:val="E438B7F6"/>
    <w:lvl w:ilvl="0" w:tplc="080A0001">
      <w:start w:val="1"/>
      <w:numFmt w:val="bullet"/>
      <w:lvlText w:val=""/>
      <w:lvlJc w:val="left"/>
      <w:pPr>
        <w:ind w:left="294" w:hanging="360"/>
      </w:pPr>
      <w:rPr>
        <w:rFonts w:ascii="Symbol" w:hAnsi="Symbol" w:hint="default"/>
      </w:rPr>
    </w:lvl>
    <w:lvl w:ilvl="1" w:tplc="080A0003" w:tentative="1">
      <w:start w:val="1"/>
      <w:numFmt w:val="bullet"/>
      <w:lvlText w:val="o"/>
      <w:lvlJc w:val="left"/>
      <w:pPr>
        <w:ind w:left="1014" w:hanging="360"/>
      </w:pPr>
      <w:rPr>
        <w:rFonts w:ascii="Courier New" w:hAnsi="Courier New" w:cs="Courier New" w:hint="default"/>
      </w:rPr>
    </w:lvl>
    <w:lvl w:ilvl="2" w:tplc="080A0005" w:tentative="1">
      <w:start w:val="1"/>
      <w:numFmt w:val="bullet"/>
      <w:lvlText w:val=""/>
      <w:lvlJc w:val="left"/>
      <w:pPr>
        <w:ind w:left="1734" w:hanging="360"/>
      </w:pPr>
      <w:rPr>
        <w:rFonts w:ascii="Wingdings" w:hAnsi="Wingdings" w:hint="default"/>
      </w:rPr>
    </w:lvl>
    <w:lvl w:ilvl="3" w:tplc="080A0001" w:tentative="1">
      <w:start w:val="1"/>
      <w:numFmt w:val="bullet"/>
      <w:lvlText w:val=""/>
      <w:lvlJc w:val="left"/>
      <w:pPr>
        <w:ind w:left="2454" w:hanging="360"/>
      </w:pPr>
      <w:rPr>
        <w:rFonts w:ascii="Symbol" w:hAnsi="Symbol" w:hint="default"/>
      </w:rPr>
    </w:lvl>
    <w:lvl w:ilvl="4" w:tplc="080A0003" w:tentative="1">
      <w:start w:val="1"/>
      <w:numFmt w:val="bullet"/>
      <w:lvlText w:val="o"/>
      <w:lvlJc w:val="left"/>
      <w:pPr>
        <w:ind w:left="3174" w:hanging="360"/>
      </w:pPr>
      <w:rPr>
        <w:rFonts w:ascii="Courier New" w:hAnsi="Courier New" w:cs="Courier New" w:hint="default"/>
      </w:rPr>
    </w:lvl>
    <w:lvl w:ilvl="5" w:tplc="080A0005" w:tentative="1">
      <w:start w:val="1"/>
      <w:numFmt w:val="bullet"/>
      <w:lvlText w:val=""/>
      <w:lvlJc w:val="left"/>
      <w:pPr>
        <w:ind w:left="3894" w:hanging="360"/>
      </w:pPr>
      <w:rPr>
        <w:rFonts w:ascii="Wingdings" w:hAnsi="Wingdings" w:hint="default"/>
      </w:rPr>
    </w:lvl>
    <w:lvl w:ilvl="6" w:tplc="080A0001" w:tentative="1">
      <w:start w:val="1"/>
      <w:numFmt w:val="bullet"/>
      <w:lvlText w:val=""/>
      <w:lvlJc w:val="left"/>
      <w:pPr>
        <w:ind w:left="4614" w:hanging="360"/>
      </w:pPr>
      <w:rPr>
        <w:rFonts w:ascii="Symbol" w:hAnsi="Symbol" w:hint="default"/>
      </w:rPr>
    </w:lvl>
    <w:lvl w:ilvl="7" w:tplc="080A0003" w:tentative="1">
      <w:start w:val="1"/>
      <w:numFmt w:val="bullet"/>
      <w:lvlText w:val="o"/>
      <w:lvlJc w:val="left"/>
      <w:pPr>
        <w:ind w:left="5334" w:hanging="360"/>
      </w:pPr>
      <w:rPr>
        <w:rFonts w:ascii="Courier New" w:hAnsi="Courier New" w:cs="Courier New" w:hint="default"/>
      </w:rPr>
    </w:lvl>
    <w:lvl w:ilvl="8" w:tplc="080A0005" w:tentative="1">
      <w:start w:val="1"/>
      <w:numFmt w:val="bullet"/>
      <w:lvlText w:val=""/>
      <w:lvlJc w:val="left"/>
      <w:pPr>
        <w:ind w:left="6054" w:hanging="360"/>
      </w:pPr>
      <w:rPr>
        <w:rFonts w:ascii="Wingdings" w:hAnsi="Wingdings" w:hint="default"/>
      </w:rPr>
    </w:lvl>
  </w:abstractNum>
  <w:abstractNum w:abstractNumId="24" w15:restartNumberingAfterBreak="0">
    <w:nsid w:val="4FC32D25"/>
    <w:multiLevelType w:val="hybridMultilevel"/>
    <w:tmpl w:val="5BAA26DE"/>
    <w:lvl w:ilvl="0" w:tplc="080A0001">
      <w:start w:val="1"/>
      <w:numFmt w:val="bullet"/>
      <w:lvlText w:val=""/>
      <w:lvlJc w:val="left"/>
      <w:pPr>
        <w:ind w:left="-557" w:hanging="360"/>
      </w:pPr>
      <w:rPr>
        <w:rFonts w:ascii="Symbol" w:hAnsi="Symbol" w:hint="default"/>
      </w:rPr>
    </w:lvl>
    <w:lvl w:ilvl="1" w:tplc="080A0003">
      <w:start w:val="1"/>
      <w:numFmt w:val="bullet"/>
      <w:lvlText w:val="o"/>
      <w:lvlJc w:val="left"/>
      <w:pPr>
        <w:ind w:left="163" w:hanging="360"/>
      </w:pPr>
      <w:rPr>
        <w:rFonts w:ascii="Courier New" w:hAnsi="Courier New" w:cs="Courier New" w:hint="default"/>
      </w:rPr>
    </w:lvl>
    <w:lvl w:ilvl="2" w:tplc="080A0001">
      <w:start w:val="1"/>
      <w:numFmt w:val="bullet"/>
      <w:lvlText w:val=""/>
      <w:lvlJc w:val="left"/>
      <w:pPr>
        <w:ind w:left="883" w:hanging="360"/>
      </w:pPr>
      <w:rPr>
        <w:rFonts w:ascii="Symbol" w:hAnsi="Symbol" w:hint="default"/>
      </w:rPr>
    </w:lvl>
    <w:lvl w:ilvl="3" w:tplc="080A0001" w:tentative="1">
      <w:start w:val="1"/>
      <w:numFmt w:val="bullet"/>
      <w:lvlText w:val=""/>
      <w:lvlJc w:val="left"/>
      <w:pPr>
        <w:ind w:left="1603" w:hanging="360"/>
      </w:pPr>
      <w:rPr>
        <w:rFonts w:ascii="Symbol" w:hAnsi="Symbol" w:hint="default"/>
      </w:rPr>
    </w:lvl>
    <w:lvl w:ilvl="4" w:tplc="080A0003" w:tentative="1">
      <w:start w:val="1"/>
      <w:numFmt w:val="bullet"/>
      <w:lvlText w:val="o"/>
      <w:lvlJc w:val="left"/>
      <w:pPr>
        <w:ind w:left="2323" w:hanging="360"/>
      </w:pPr>
      <w:rPr>
        <w:rFonts w:ascii="Courier New" w:hAnsi="Courier New" w:cs="Courier New" w:hint="default"/>
      </w:rPr>
    </w:lvl>
    <w:lvl w:ilvl="5" w:tplc="080A0005" w:tentative="1">
      <w:start w:val="1"/>
      <w:numFmt w:val="bullet"/>
      <w:lvlText w:val=""/>
      <w:lvlJc w:val="left"/>
      <w:pPr>
        <w:ind w:left="3043" w:hanging="360"/>
      </w:pPr>
      <w:rPr>
        <w:rFonts w:ascii="Wingdings" w:hAnsi="Wingdings" w:hint="default"/>
      </w:rPr>
    </w:lvl>
    <w:lvl w:ilvl="6" w:tplc="080A0001" w:tentative="1">
      <w:start w:val="1"/>
      <w:numFmt w:val="bullet"/>
      <w:lvlText w:val=""/>
      <w:lvlJc w:val="left"/>
      <w:pPr>
        <w:ind w:left="3763" w:hanging="360"/>
      </w:pPr>
      <w:rPr>
        <w:rFonts w:ascii="Symbol" w:hAnsi="Symbol" w:hint="default"/>
      </w:rPr>
    </w:lvl>
    <w:lvl w:ilvl="7" w:tplc="080A0003" w:tentative="1">
      <w:start w:val="1"/>
      <w:numFmt w:val="bullet"/>
      <w:lvlText w:val="o"/>
      <w:lvlJc w:val="left"/>
      <w:pPr>
        <w:ind w:left="4483" w:hanging="360"/>
      </w:pPr>
      <w:rPr>
        <w:rFonts w:ascii="Courier New" w:hAnsi="Courier New" w:cs="Courier New" w:hint="default"/>
      </w:rPr>
    </w:lvl>
    <w:lvl w:ilvl="8" w:tplc="080A0005" w:tentative="1">
      <w:start w:val="1"/>
      <w:numFmt w:val="bullet"/>
      <w:lvlText w:val=""/>
      <w:lvlJc w:val="left"/>
      <w:pPr>
        <w:ind w:left="5203" w:hanging="360"/>
      </w:pPr>
      <w:rPr>
        <w:rFonts w:ascii="Wingdings" w:hAnsi="Wingdings" w:hint="default"/>
      </w:rPr>
    </w:lvl>
  </w:abstractNum>
  <w:abstractNum w:abstractNumId="25" w15:restartNumberingAfterBreak="0">
    <w:nsid w:val="534E184C"/>
    <w:multiLevelType w:val="hybridMultilevel"/>
    <w:tmpl w:val="67E4376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03E66D9"/>
    <w:multiLevelType w:val="hybridMultilevel"/>
    <w:tmpl w:val="AE8245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96F18FB"/>
    <w:multiLevelType w:val="hybridMultilevel"/>
    <w:tmpl w:val="072A4E64"/>
    <w:lvl w:ilvl="0" w:tplc="BF6C3C34">
      <w:start w:val="1"/>
      <w:numFmt w:val="lowerLetter"/>
      <w:lvlText w:val="%1)"/>
      <w:lvlJc w:val="left"/>
      <w:pPr>
        <w:ind w:left="1080" w:hanging="360"/>
      </w:pPr>
      <w:rPr>
        <w:rFonts w:ascii="Arial" w:eastAsia="Arial" w:hAnsi="Arial" w:cs="Arial" w:hint="default"/>
        <w:b/>
        <w:bCs/>
        <w:color w:val="231F20"/>
        <w:spacing w:val="-1"/>
        <w:w w:val="100"/>
        <w:sz w:val="22"/>
        <w:szCs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69E94D0B"/>
    <w:multiLevelType w:val="hybridMultilevel"/>
    <w:tmpl w:val="DE808A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FAF4E0B"/>
    <w:multiLevelType w:val="hybridMultilevel"/>
    <w:tmpl w:val="85D81304"/>
    <w:lvl w:ilvl="0" w:tplc="BF6C3C34">
      <w:start w:val="1"/>
      <w:numFmt w:val="lowerLetter"/>
      <w:lvlText w:val="%1)"/>
      <w:lvlJc w:val="left"/>
      <w:pPr>
        <w:ind w:left="720" w:hanging="360"/>
      </w:pPr>
      <w:rPr>
        <w:rFonts w:ascii="Arial" w:eastAsia="Arial" w:hAnsi="Arial" w:cs="Arial" w:hint="default"/>
        <w:b/>
        <w:bCs/>
        <w:i w:val="0"/>
        <w:color w:val="231F20"/>
        <w:spacing w:val="-1"/>
        <w:w w:val="100"/>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0012974"/>
    <w:multiLevelType w:val="hybridMultilevel"/>
    <w:tmpl w:val="EE0E24B4"/>
    <w:lvl w:ilvl="0" w:tplc="5A304654">
      <w:start w:val="1"/>
      <w:numFmt w:val="decimal"/>
      <w:lvlText w:val="%1."/>
      <w:lvlJc w:val="left"/>
      <w:pPr>
        <w:ind w:left="720" w:hanging="360"/>
      </w:pPr>
      <w:rPr>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08F7C79"/>
    <w:multiLevelType w:val="hybridMultilevel"/>
    <w:tmpl w:val="70421AEA"/>
    <w:lvl w:ilvl="0" w:tplc="BF6C3C34">
      <w:start w:val="1"/>
      <w:numFmt w:val="lowerLetter"/>
      <w:lvlText w:val="%1)"/>
      <w:lvlJc w:val="left"/>
      <w:pPr>
        <w:ind w:left="1080" w:hanging="360"/>
      </w:pPr>
      <w:rPr>
        <w:rFonts w:ascii="Arial" w:eastAsia="Arial" w:hAnsi="Arial" w:cs="Arial" w:hint="default"/>
        <w:b/>
        <w:bCs/>
        <w:color w:val="231F20"/>
        <w:spacing w:val="-1"/>
        <w:w w:val="100"/>
        <w:sz w:val="22"/>
        <w:szCs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15:restartNumberingAfterBreak="0">
    <w:nsid w:val="70AF3F82"/>
    <w:multiLevelType w:val="hybridMultilevel"/>
    <w:tmpl w:val="18F4A2D8"/>
    <w:lvl w:ilvl="0" w:tplc="BF6C3C34">
      <w:start w:val="1"/>
      <w:numFmt w:val="lowerLetter"/>
      <w:lvlText w:val="%1)"/>
      <w:lvlJc w:val="left"/>
      <w:pPr>
        <w:ind w:left="720" w:hanging="360"/>
      </w:pPr>
      <w:rPr>
        <w:rFonts w:ascii="Arial" w:eastAsia="Arial" w:hAnsi="Arial" w:cs="Arial" w:hint="default"/>
        <w:b/>
        <w:bCs/>
        <w:color w:val="231F20"/>
        <w:spacing w:val="-1"/>
        <w:w w:val="10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45D647D"/>
    <w:multiLevelType w:val="hybridMultilevel"/>
    <w:tmpl w:val="945ACE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FF86BDE"/>
    <w:multiLevelType w:val="hybridMultilevel"/>
    <w:tmpl w:val="1F4DE1C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9"/>
  </w:num>
  <w:num w:numId="2">
    <w:abstractNumId w:val="8"/>
  </w:num>
  <w:num w:numId="3">
    <w:abstractNumId w:val="9"/>
  </w:num>
  <w:num w:numId="4">
    <w:abstractNumId w:val="23"/>
  </w:num>
  <w:num w:numId="5">
    <w:abstractNumId w:val="17"/>
  </w:num>
  <w:num w:numId="6">
    <w:abstractNumId w:val="7"/>
  </w:num>
  <w:num w:numId="7">
    <w:abstractNumId w:val="28"/>
  </w:num>
  <w:num w:numId="8">
    <w:abstractNumId w:val="22"/>
  </w:num>
  <w:num w:numId="9">
    <w:abstractNumId w:val="3"/>
  </w:num>
  <w:num w:numId="10">
    <w:abstractNumId w:val="20"/>
  </w:num>
  <w:num w:numId="11">
    <w:abstractNumId w:val="25"/>
  </w:num>
  <w:num w:numId="12">
    <w:abstractNumId w:val="15"/>
  </w:num>
  <w:num w:numId="13">
    <w:abstractNumId w:val="32"/>
  </w:num>
  <w:num w:numId="14">
    <w:abstractNumId w:val="27"/>
  </w:num>
  <w:num w:numId="15">
    <w:abstractNumId w:val="5"/>
  </w:num>
  <w:num w:numId="16">
    <w:abstractNumId w:val="31"/>
  </w:num>
  <w:num w:numId="17">
    <w:abstractNumId w:val="26"/>
  </w:num>
  <w:num w:numId="18">
    <w:abstractNumId w:val="18"/>
  </w:num>
  <w:num w:numId="19">
    <w:abstractNumId w:val="29"/>
  </w:num>
  <w:num w:numId="20">
    <w:abstractNumId w:val="2"/>
  </w:num>
  <w:num w:numId="21">
    <w:abstractNumId w:val="6"/>
  </w:num>
  <w:num w:numId="22">
    <w:abstractNumId w:val="16"/>
  </w:num>
  <w:num w:numId="23">
    <w:abstractNumId w:val="11"/>
  </w:num>
  <w:num w:numId="24">
    <w:abstractNumId w:val="30"/>
  </w:num>
  <w:num w:numId="25">
    <w:abstractNumId w:val="24"/>
  </w:num>
  <w:num w:numId="26">
    <w:abstractNumId w:val="14"/>
  </w:num>
  <w:num w:numId="27">
    <w:abstractNumId w:val="33"/>
  </w:num>
  <w:num w:numId="28">
    <w:abstractNumId w:val="12"/>
  </w:num>
  <w:num w:numId="29">
    <w:abstractNumId w:val="10"/>
  </w:num>
  <w:num w:numId="30">
    <w:abstractNumId w:val="13"/>
  </w:num>
  <w:num w:numId="31">
    <w:abstractNumId w:val="0"/>
  </w:num>
  <w:num w:numId="32">
    <w:abstractNumId w:val="4"/>
  </w:num>
  <w:num w:numId="33">
    <w:abstractNumId w:val="1"/>
  </w:num>
  <w:num w:numId="34">
    <w:abstractNumId w:val="34"/>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activeWritingStyle w:appName="MSWord" w:lang="en-US" w:vendorID="64" w:dllVersion="6" w:nlCheck="1" w:checkStyle="1"/>
  <w:activeWritingStyle w:appName="MSWord" w:lang="pt-BR" w:vendorID="64" w:dllVersion="0" w:nlCheck="1" w:checkStyle="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EDE"/>
    <w:rsid w:val="00000449"/>
    <w:rsid w:val="0000410E"/>
    <w:rsid w:val="000044E4"/>
    <w:rsid w:val="0000500B"/>
    <w:rsid w:val="0000569C"/>
    <w:rsid w:val="00005853"/>
    <w:rsid w:val="0000656B"/>
    <w:rsid w:val="00007115"/>
    <w:rsid w:val="00007612"/>
    <w:rsid w:val="000103F8"/>
    <w:rsid w:val="000127EC"/>
    <w:rsid w:val="00012BE5"/>
    <w:rsid w:val="0001338B"/>
    <w:rsid w:val="00013C97"/>
    <w:rsid w:val="00014404"/>
    <w:rsid w:val="00014BA1"/>
    <w:rsid w:val="0001502C"/>
    <w:rsid w:val="000170BD"/>
    <w:rsid w:val="00017CCF"/>
    <w:rsid w:val="0002334D"/>
    <w:rsid w:val="00024DB5"/>
    <w:rsid w:val="000263CA"/>
    <w:rsid w:val="00026AC1"/>
    <w:rsid w:val="00027DCE"/>
    <w:rsid w:val="00027DDE"/>
    <w:rsid w:val="00030476"/>
    <w:rsid w:val="00031472"/>
    <w:rsid w:val="00031479"/>
    <w:rsid w:val="00032B43"/>
    <w:rsid w:val="00034203"/>
    <w:rsid w:val="000343B0"/>
    <w:rsid w:val="000349C3"/>
    <w:rsid w:val="000360B9"/>
    <w:rsid w:val="00036B89"/>
    <w:rsid w:val="000419D2"/>
    <w:rsid w:val="00041B88"/>
    <w:rsid w:val="000429F6"/>
    <w:rsid w:val="0004410C"/>
    <w:rsid w:val="000456A6"/>
    <w:rsid w:val="0004722C"/>
    <w:rsid w:val="0004741F"/>
    <w:rsid w:val="000478B3"/>
    <w:rsid w:val="00047F84"/>
    <w:rsid w:val="00052559"/>
    <w:rsid w:val="00052B79"/>
    <w:rsid w:val="00052D90"/>
    <w:rsid w:val="0005308A"/>
    <w:rsid w:val="000533DD"/>
    <w:rsid w:val="000534B3"/>
    <w:rsid w:val="00055ABA"/>
    <w:rsid w:val="00060240"/>
    <w:rsid w:val="00060471"/>
    <w:rsid w:val="000609B2"/>
    <w:rsid w:val="00061089"/>
    <w:rsid w:val="00062B81"/>
    <w:rsid w:val="0006385F"/>
    <w:rsid w:val="0006750C"/>
    <w:rsid w:val="00070A45"/>
    <w:rsid w:val="00071E5E"/>
    <w:rsid w:val="000759C3"/>
    <w:rsid w:val="000765AE"/>
    <w:rsid w:val="00082B39"/>
    <w:rsid w:val="00083C32"/>
    <w:rsid w:val="00083F37"/>
    <w:rsid w:val="00084323"/>
    <w:rsid w:val="0008467F"/>
    <w:rsid w:val="000851E5"/>
    <w:rsid w:val="000857E1"/>
    <w:rsid w:val="00085AE1"/>
    <w:rsid w:val="00085D3E"/>
    <w:rsid w:val="00087504"/>
    <w:rsid w:val="00090065"/>
    <w:rsid w:val="0009689C"/>
    <w:rsid w:val="00096D8A"/>
    <w:rsid w:val="000973F7"/>
    <w:rsid w:val="000A3A97"/>
    <w:rsid w:val="000A46F5"/>
    <w:rsid w:val="000A5237"/>
    <w:rsid w:val="000A574F"/>
    <w:rsid w:val="000A5ABC"/>
    <w:rsid w:val="000B0118"/>
    <w:rsid w:val="000B1967"/>
    <w:rsid w:val="000B206F"/>
    <w:rsid w:val="000B256D"/>
    <w:rsid w:val="000B3812"/>
    <w:rsid w:val="000B4D68"/>
    <w:rsid w:val="000B6644"/>
    <w:rsid w:val="000B6C6A"/>
    <w:rsid w:val="000B74FD"/>
    <w:rsid w:val="000C192D"/>
    <w:rsid w:val="000C2469"/>
    <w:rsid w:val="000C304B"/>
    <w:rsid w:val="000C3BB1"/>
    <w:rsid w:val="000C3FA1"/>
    <w:rsid w:val="000C5F88"/>
    <w:rsid w:val="000C73EB"/>
    <w:rsid w:val="000C7858"/>
    <w:rsid w:val="000D0FB4"/>
    <w:rsid w:val="000D1613"/>
    <w:rsid w:val="000D47A4"/>
    <w:rsid w:val="000D6469"/>
    <w:rsid w:val="000D654B"/>
    <w:rsid w:val="000D7D55"/>
    <w:rsid w:val="000E0518"/>
    <w:rsid w:val="000E16CF"/>
    <w:rsid w:val="000E19FE"/>
    <w:rsid w:val="000E293B"/>
    <w:rsid w:val="000E30CA"/>
    <w:rsid w:val="000E397E"/>
    <w:rsid w:val="000E4005"/>
    <w:rsid w:val="000E55A8"/>
    <w:rsid w:val="000E6159"/>
    <w:rsid w:val="000E62A3"/>
    <w:rsid w:val="000E6CEB"/>
    <w:rsid w:val="000E7460"/>
    <w:rsid w:val="000E7BE6"/>
    <w:rsid w:val="000E7CD4"/>
    <w:rsid w:val="000F06FD"/>
    <w:rsid w:val="000F0B17"/>
    <w:rsid w:val="000F1730"/>
    <w:rsid w:val="000F1AE8"/>
    <w:rsid w:val="000F2CD4"/>
    <w:rsid w:val="000F3117"/>
    <w:rsid w:val="000F4128"/>
    <w:rsid w:val="000F469B"/>
    <w:rsid w:val="000F4BDA"/>
    <w:rsid w:val="000F5DF5"/>
    <w:rsid w:val="000F6AB5"/>
    <w:rsid w:val="000F70DC"/>
    <w:rsid w:val="000F7D3E"/>
    <w:rsid w:val="00100104"/>
    <w:rsid w:val="00100315"/>
    <w:rsid w:val="001019F9"/>
    <w:rsid w:val="00101BB9"/>
    <w:rsid w:val="0010263A"/>
    <w:rsid w:val="00102D07"/>
    <w:rsid w:val="00103311"/>
    <w:rsid w:val="001047BD"/>
    <w:rsid w:val="0010615D"/>
    <w:rsid w:val="00106F4D"/>
    <w:rsid w:val="00110FED"/>
    <w:rsid w:val="001125B3"/>
    <w:rsid w:val="00116539"/>
    <w:rsid w:val="00116A92"/>
    <w:rsid w:val="0012093A"/>
    <w:rsid w:val="00120D04"/>
    <w:rsid w:val="00121A1B"/>
    <w:rsid w:val="00121E72"/>
    <w:rsid w:val="0012446A"/>
    <w:rsid w:val="00124873"/>
    <w:rsid w:val="00124D74"/>
    <w:rsid w:val="00125159"/>
    <w:rsid w:val="00125876"/>
    <w:rsid w:val="00126A54"/>
    <w:rsid w:val="00130744"/>
    <w:rsid w:val="001314D4"/>
    <w:rsid w:val="001327FB"/>
    <w:rsid w:val="00132E38"/>
    <w:rsid w:val="00133BD8"/>
    <w:rsid w:val="00135833"/>
    <w:rsid w:val="00137A43"/>
    <w:rsid w:val="00140502"/>
    <w:rsid w:val="001406FA"/>
    <w:rsid w:val="00140AB5"/>
    <w:rsid w:val="0014410F"/>
    <w:rsid w:val="00144389"/>
    <w:rsid w:val="001458DD"/>
    <w:rsid w:val="001521FB"/>
    <w:rsid w:val="001530F2"/>
    <w:rsid w:val="001531CF"/>
    <w:rsid w:val="001535F5"/>
    <w:rsid w:val="00156A76"/>
    <w:rsid w:val="00156D29"/>
    <w:rsid w:val="00156ED7"/>
    <w:rsid w:val="00157838"/>
    <w:rsid w:val="00161EEC"/>
    <w:rsid w:val="00163F99"/>
    <w:rsid w:val="001661D1"/>
    <w:rsid w:val="001664C9"/>
    <w:rsid w:val="00167BAC"/>
    <w:rsid w:val="0017007B"/>
    <w:rsid w:val="00170737"/>
    <w:rsid w:val="001723FE"/>
    <w:rsid w:val="001729F9"/>
    <w:rsid w:val="00172FBF"/>
    <w:rsid w:val="00173607"/>
    <w:rsid w:val="00176375"/>
    <w:rsid w:val="00176A34"/>
    <w:rsid w:val="00176C8B"/>
    <w:rsid w:val="00177695"/>
    <w:rsid w:val="00177B20"/>
    <w:rsid w:val="00181855"/>
    <w:rsid w:val="00181B3E"/>
    <w:rsid w:val="00182481"/>
    <w:rsid w:val="00182EFF"/>
    <w:rsid w:val="001839E4"/>
    <w:rsid w:val="00186B65"/>
    <w:rsid w:val="00192BBC"/>
    <w:rsid w:val="00193E1C"/>
    <w:rsid w:val="00194332"/>
    <w:rsid w:val="00197104"/>
    <w:rsid w:val="001A0A0C"/>
    <w:rsid w:val="001A1D45"/>
    <w:rsid w:val="001A5BAE"/>
    <w:rsid w:val="001A631B"/>
    <w:rsid w:val="001A7BF5"/>
    <w:rsid w:val="001B08D2"/>
    <w:rsid w:val="001B31FA"/>
    <w:rsid w:val="001B5186"/>
    <w:rsid w:val="001B5BD3"/>
    <w:rsid w:val="001B6750"/>
    <w:rsid w:val="001B67A8"/>
    <w:rsid w:val="001B7198"/>
    <w:rsid w:val="001C0DF4"/>
    <w:rsid w:val="001C0FEB"/>
    <w:rsid w:val="001C50A0"/>
    <w:rsid w:val="001C6E34"/>
    <w:rsid w:val="001D0569"/>
    <w:rsid w:val="001D1D98"/>
    <w:rsid w:val="001D1F01"/>
    <w:rsid w:val="001D293E"/>
    <w:rsid w:val="001D4E1E"/>
    <w:rsid w:val="001D528B"/>
    <w:rsid w:val="001D6039"/>
    <w:rsid w:val="001D6545"/>
    <w:rsid w:val="001E089F"/>
    <w:rsid w:val="001E14FD"/>
    <w:rsid w:val="001E2286"/>
    <w:rsid w:val="001E6023"/>
    <w:rsid w:val="001E7124"/>
    <w:rsid w:val="001F0ED8"/>
    <w:rsid w:val="001F13DE"/>
    <w:rsid w:val="001F1F8C"/>
    <w:rsid w:val="001F4770"/>
    <w:rsid w:val="001F51FA"/>
    <w:rsid w:val="001F5251"/>
    <w:rsid w:val="001F6BCC"/>
    <w:rsid w:val="001F7068"/>
    <w:rsid w:val="00200FD9"/>
    <w:rsid w:val="0020118F"/>
    <w:rsid w:val="00201728"/>
    <w:rsid w:val="002024E8"/>
    <w:rsid w:val="00204E2F"/>
    <w:rsid w:val="002064AD"/>
    <w:rsid w:val="00207254"/>
    <w:rsid w:val="0020740F"/>
    <w:rsid w:val="00207C61"/>
    <w:rsid w:val="00210681"/>
    <w:rsid w:val="002136CF"/>
    <w:rsid w:val="0021404B"/>
    <w:rsid w:val="002144A0"/>
    <w:rsid w:val="00215B78"/>
    <w:rsid w:val="002177E6"/>
    <w:rsid w:val="00217B1C"/>
    <w:rsid w:val="002204AF"/>
    <w:rsid w:val="00220E74"/>
    <w:rsid w:val="0022260B"/>
    <w:rsid w:val="0022319E"/>
    <w:rsid w:val="00224419"/>
    <w:rsid w:val="002247F1"/>
    <w:rsid w:val="00226089"/>
    <w:rsid w:val="00227077"/>
    <w:rsid w:val="0022731E"/>
    <w:rsid w:val="00227C5F"/>
    <w:rsid w:val="00230374"/>
    <w:rsid w:val="0023358E"/>
    <w:rsid w:val="002344ED"/>
    <w:rsid w:val="0023498E"/>
    <w:rsid w:val="00234FFC"/>
    <w:rsid w:val="002351AF"/>
    <w:rsid w:val="00236E58"/>
    <w:rsid w:val="00236EDD"/>
    <w:rsid w:val="0024075B"/>
    <w:rsid w:val="0024134C"/>
    <w:rsid w:val="00241CC3"/>
    <w:rsid w:val="00243EBE"/>
    <w:rsid w:val="00244B3F"/>
    <w:rsid w:val="002471D2"/>
    <w:rsid w:val="002503D9"/>
    <w:rsid w:val="0025075E"/>
    <w:rsid w:val="00250B0B"/>
    <w:rsid w:val="00251565"/>
    <w:rsid w:val="00252516"/>
    <w:rsid w:val="002525B7"/>
    <w:rsid w:val="00252EDE"/>
    <w:rsid w:val="002549AA"/>
    <w:rsid w:val="00254C96"/>
    <w:rsid w:val="00255227"/>
    <w:rsid w:val="0026033C"/>
    <w:rsid w:val="00261581"/>
    <w:rsid w:val="002627A2"/>
    <w:rsid w:val="00263175"/>
    <w:rsid w:val="002638C5"/>
    <w:rsid w:val="00263C9D"/>
    <w:rsid w:val="00264CBD"/>
    <w:rsid w:val="00264FC9"/>
    <w:rsid w:val="0026662C"/>
    <w:rsid w:val="002676DE"/>
    <w:rsid w:val="0026789D"/>
    <w:rsid w:val="002702AD"/>
    <w:rsid w:val="0027170E"/>
    <w:rsid w:val="00274148"/>
    <w:rsid w:val="002756BF"/>
    <w:rsid w:val="00275A4B"/>
    <w:rsid w:val="00276398"/>
    <w:rsid w:val="00276B5A"/>
    <w:rsid w:val="0028018C"/>
    <w:rsid w:val="00281D55"/>
    <w:rsid w:val="00284F64"/>
    <w:rsid w:val="002923AD"/>
    <w:rsid w:val="00292E50"/>
    <w:rsid w:val="00293B5C"/>
    <w:rsid w:val="00294F78"/>
    <w:rsid w:val="00297082"/>
    <w:rsid w:val="00297F7C"/>
    <w:rsid w:val="002A0F28"/>
    <w:rsid w:val="002A1C27"/>
    <w:rsid w:val="002A2A18"/>
    <w:rsid w:val="002A45EE"/>
    <w:rsid w:val="002A628B"/>
    <w:rsid w:val="002A64BB"/>
    <w:rsid w:val="002B093F"/>
    <w:rsid w:val="002B23D5"/>
    <w:rsid w:val="002B23E9"/>
    <w:rsid w:val="002B3391"/>
    <w:rsid w:val="002B33C9"/>
    <w:rsid w:val="002B3CA4"/>
    <w:rsid w:val="002B5152"/>
    <w:rsid w:val="002B6B8E"/>
    <w:rsid w:val="002C0933"/>
    <w:rsid w:val="002C1A7F"/>
    <w:rsid w:val="002C2924"/>
    <w:rsid w:val="002C35C8"/>
    <w:rsid w:val="002C3635"/>
    <w:rsid w:val="002C529E"/>
    <w:rsid w:val="002C55F7"/>
    <w:rsid w:val="002D0C18"/>
    <w:rsid w:val="002D0DDF"/>
    <w:rsid w:val="002D1DD4"/>
    <w:rsid w:val="002D2334"/>
    <w:rsid w:val="002D496E"/>
    <w:rsid w:val="002D4982"/>
    <w:rsid w:val="002D749A"/>
    <w:rsid w:val="002E0406"/>
    <w:rsid w:val="002E1C6E"/>
    <w:rsid w:val="002E2336"/>
    <w:rsid w:val="002E29DD"/>
    <w:rsid w:val="002E3151"/>
    <w:rsid w:val="002E4A8D"/>
    <w:rsid w:val="002E4F02"/>
    <w:rsid w:val="002F0A87"/>
    <w:rsid w:val="002F0CEE"/>
    <w:rsid w:val="002F1000"/>
    <w:rsid w:val="002F10E9"/>
    <w:rsid w:val="002F15DA"/>
    <w:rsid w:val="002F17EA"/>
    <w:rsid w:val="002F2660"/>
    <w:rsid w:val="002F2C46"/>
    <w:rsid w:val="002F477C"/>
    <w:rsid w:val="002F4F1D"/>
    <w:rsid w:val="002F621E"/>
    <w:rsid w:val="002F68C6"/>
    <w:rsid w:val="002F72F7"/>
    <w:rsid w:val="00300FEB"/>
    <w:rsid w:val="0030426A"/>
    <w:rsid w:val="00304ABC"/>
    <w:rsid w:val="00307574"/>
    <w:rsid w:val="00311117"/>
    <w:rsid w:val="00311BBD"/>
    <w:rsid w:val="00314301"/>
    <w:rsid w:val="00314BF4"/>
    <w:rsid w:val="00314EB9"/>
    <w:rsid w:val="0031554B"/>
    <w:rsid w:val="00316CD7"/>
    <w:rsid w:val="00317D59"/>
    <w:rsid w:val="00317ED8"/>
    <w:rsid w:val="00320BF2"/>
    <w:rsid w:val="00320EED"/>
    <w:rsid w:val="0032157A"/>
    <w:rsid w:val="0032196F"/>
    <w:rsid w:val="00322069"/>
    <w:rsid w:val="00324697"/>
    <w:rsid w:val="00327531"/>
    <w:rsid w:val="0032783F"/>
    <w:rsid w:val="00330002"/>
    <w:rsid w:val="003314DD"/>
    <w:rsid w:val="00331BCE"/>
    <w:rsid w:val="003338DF"/>
    <w:rsid w:val="0033680D"/>
    <w:rsid w:val="003378FB"/>
    <w:rsid w:val="003427BB"/>
    <w:rsid w:val="00342AF7"/>
    <w:rsid w:val="00342FF0"/>
    <w:rsid w:val="00343375"/>
    <w:rsid w:val="0034353E"/>
    <w:rsid w:val="00343A70"/>
    <w:rsid w:val="003441B7"/>
    <w:rsid w:val="003442F1"/>
    <w:rsid w:val="003473E5"/>
    <w:rsid w:val="003478EF"/>
    <w:rsid w:val="00350F1A"/>
    <w:rsid w:val="0035226A"/>
    <w:rsid w:val="0035282A"/>
    <w:rsid w:val="003538B0"/>
    <w:rsid w:val="00354116"/>
    <w:rsid w:val="00354301"/>
    <w:rsid w:val="00354947"/>
    <w:rsid w:val="00355483"/>
    <w:rsid w:val="00357EE5"/>
    <w:rsid w:val="00357F40"/>
    <w:rsid w:val="00363FFC"/>
    <w:rsid w:val="00365405"/>
    <w:rsid w:val="00365C61"/>
    <w:rsid w:val="003661C7"/>
    <w:rsid w:val="00366564"/>
    <w:rsid w:val="0037146B"/>
    <w:rsid w:val="00372F31"/>
    <w:rsid w:val="0037407A"/>
    <w:rsid w:val="003848B4"/>
    <w:rsid w:val="00384AA7"/>
    <w:rsid w:val="0038651E"/>
    <w:rsid w:val="00387213"/>
    <w:rsid w:val="00390582"/>
    <w:rsid w:val="0039067D"/>
    <w:rsid w:val="00390E88"/>
    <w:rsid w:val="00392FCC"/>
    <w:rsid w:val="00393319"/>
    <w:rsid w:val="003936CE"/>
    <w:rsid w:val="003951AE"/>
    <w:rsid w:val="00395855"/>
    <w:rsid w:val="003966E8"/>
    <w:rsid w:val="00396DF2"/>
    <w:rsid w:val="00397083"/>
    <w:rsid w:val="0039727C"/>
    <w:rsid w:val="00397C9E"/>
    <w:rsid w:val="003A1A4D"/>
    <w:rsid w:val="003A319F"/>
    <w:rsid w:val="003A4F94"/>
    <w:rsid w:val="003A4FC0"/>
    <w:rsid w:val="003A5389"/>
    <w:rsid w:val="003A543B"/>
    <w:rsid w:val="003A5769"/>
    <w:rsid w:val="003A5950"/>
    <w:rsid w:val="003A5FA6"/>
    <w:rsid w:val="003A7249"/>
    <w:rsid w:val="003A795B"/>
    <w:rsid w:val="003B0A8E"/>
    <w:rsid w:val="003B1E78"/>
    <w:rsid w:val="003B463E"/>
    <w:rsid w:val="003B4E17"/>
    <w:rsid w:val="003B4F7A"/>
    <w:rsid w:val="003B5367"/>
    <w:rsid w:val="003B5CC8"/>
    <w:rsid w:val="003B7D34"/>
    <w:rsid w:val="003C02BD"/>
    <w:rsid w:val="003C121E"/>
    <w:rsid w:val="003C255E"/>
    <w:rsid w:val="003C400B"/>
    <w:rsid w:val="003C44CE"/>
    <w:rsid w:val="003C5D59"/>
    <w:rsid w:val="003C7129"/>
    <w:rsid w:val="003D0B51"/>
    <w:rsid w:val="003D2B6A"/>
    <w:rsid w:val="003D49E3"/>
    <w:rsid w:val="003E086D"/>
    <w:rsid w:val="003E1EAC"/>
    <w:rsid w:val="003E203B"/>
    <w:rsid w:val="003E434F"/>
    <w:rsid w:val="003E52FB"/>
    <w:rsid w:val="003E5DA7"/>
    <w:rsid w:val="003E61FA"/>
    <w:rsid w:val="003E6D39"/>
    <w:rsid w:val="003F06B0"/>
    <w:rsid w:val="003F1245"/>
    <w:rsid w:val="003F1FE9"/>
    <w:rsid w:val="003F2078"/>
    <w:rsid w:val="003F24ED"/>
    <w:rsid w:val="003F25FD"/>
    <w:rsid w:val="003F2E12"/>
    <w:rsid w:val="003F3475"/>
    <w:rsid w:val="003F4FB4"/>
    <w:rsid w:val="003F520F"/>
    <w:rsid w:val="003F691E"/>
    <w:rsid w:val="003F6E0D"/>
    <w:rsid w:val="003F7739"/>
    <w:rsid w:val="003F7884"/>
    <w:rsid w:val="004008E0"/>
    <w:rsid w:val="004010FE"/>
    <w:rsid w:val="00404A0C"/>
    <w:rsid w:val="00405792"/>
    <w:rsid w:val="00406D90"/>
    <w:rsid w:val="004076AC"/>
    <w:rsid w:val="0040790D"/>
    <w:rsid w:val="00410475"/>
    <w:rsid w:val="00410FEE"/>
    <w:rsid w:val="004112D2"/>
    <w:rsid w:val="004112D4"/>
    <w:rsid w:val="00411315"/>
    <w:rsid w:val="004140CA"/>
    <w:rsid w:val="004152D3"/>
    <w:rsid w:val="00416493"/>
    <w:rsid w:val="0041757F"/>
    <w:rsid w:val="00420F87"/>
    <w:rsid w:val="00424637"/>
    <w:rsid w:val="004247BF"/>
    <w:rsid w:val="0042507D"/>
    <w:rsid w:val="00426C9A"/>
    <w:rsid w:val="004275AA"/>
    <w:rsid w:val="00427871"/>
    <w:rsid w:val="0043090B"/>
    <w:rsid w:val="00431CB2"/>
    <w:rsid w:val="00434044"/>
    <w:rsid w:val="00434D5B"/>
    <w:rsid w:val="0043545F"/>
    <w:rsid w:val="004356B7"/>
    <w:rsid w:val="0043570F"/>
    <w:rsid w:val="00435A6C"/>
    <w:rsid w:val="00436C36"/>
    <w:rsid w:val="00440634"/>
    <w:rsid w:val="00441008"/>
    <w:rsid w:val="00441450"/>
    <w:rsid w:val="0044186D"/>
    <w:rsid w:val="0044326C"/>
    <w:rsid w:val="0044335D"/>
    <w:rsid w:val="00443C9D"/>
    <w:rsid w:val="0044404D"/>
    <w:rsid w:val="00444BB3"/>
    <w:rsid w:val="004455A8"/>
    <w:rsid w:val="00450478"/>
    <w:rsid w:val="00450FAC"/>
    <w:rsid w:val="00451645"/>
    <w:rsid w:val="004540FE"/>
    <w:rsid w:val="00454108"/>
    <w:rsid w:val="00456512"/>
    <w:rsid w:val="004626B9"/>
    <w:rsid w:val="00462A37"/>
    <w:rsid w:val="00462BF9"/>
    <w:rsid w:val="004670C5"/>
    <w:rsid w:val="00472882"/>
    <w:rsid w:val="00474AEE"/>
    <w:rsid w:val="00480E8A"/>
    <w:rsid w:val="00481417"/>
    <w:rsid w:val="00482443"/>
    <w:rsid w:val="004829C1"/>
    <w:rsid w:val="0048330F"/>
    <w:rsid w:val="00484460"/>
    <w:rsid w:val="0048548C"/>
    <w:rsid w:val="004870E6"/>
    <w:rsid w:val="00487D0E"/>
    <w:rsid w:val="00490CC7"/>
    <w:rsid w:val="00491C7C"/>
    <w:rsid w:val="00492380"/>
    <w:rsid w:val="0049275E"/>
    <w:rsid w:val="0049368F"/>
    <w:rsid w:val="004945E5"/>
    <w:rsid w:val="00496002"/>
    <w:rsid w:val="004A0A2E"/>
    <w:rsid w:val="004A2EE1"/>
    <w:rsid w:val="004A4015"/>
    <w:rsid w:val="004A5619"/>
    <w:rsid w:val="004A5932"/>
    <w:rsid w:val="004B0B64"/>
    <w:rsid w:val="004B0E5B"/>
    <w:rsid w:val="004B2675"/>
    <w:rsid w:val="004B3013"/>
    <w:rsid w:val="004B30CC"/>
    <w:rsid w:val="004B3BE0"/>
    <w:rsid w:val="004B609B"/>
    <w:rsid w:val="004B60E7"/>
    <w:rsid w:val="004B67E2"/>
    <w:rsid w:val="004C0061"/>
    <w:rsid w:val="004C0543"/>
    <w:rsid w:val="004C17FD"/>
    <w:rsid w:val="004C1AB7"/>
    <w:rsid w:val="004C24E9"/>
    <w:rsid w:val="004C2D81"/>
    <w:rsid w:val="004C3778"/>
    <w:rsid w:val="004C4235"/>
    <w:rsid w:val="004C4E2F"/>
    <w:rsid w:val="004C5F77"/>
    <w:rsid w:val="004C6D3F"/>
    <w:rsid w:val="004D0150"/>
    <w:rsid w:val="004D488B"/>
    <w:rsid w:val="004D5BC6"/>
    <w:rsid w:val="004D5C03"/>
    <w:rsid w:val="004D6407"/>
    <w:rsid w:val="004E00FF"/>
    <w:rsid w:val="004E036B"/>
    <w:rsid w:val="004E039F"/>
    <w:rsid w:val="004E12E3"/>
    <w:rsid w:val="004E1598"/>
    <w:rsid w:val="004E1B1D"/>
    <w:rsid w:val="004E65C3"/>
    <w:rsid w:val="004E678C"/>
    <w:rsid w:val="004E770C"/>
    <w:rsid w:val="004F38E6"/>
    <w:rsid w:val="004F51C8"/>
    <w:rsid w:val="004F6D6A"/>
    <w:rsid w:val="00501938"/>
    <w:rsid w:val="00503BD1"/>
    <w:rsid w:val="00505C44"/>
    <w:rsid w:val="005068B9"/>
    <w:rsid w:val="00506F61"/>
    <w:rsid w:val="00507CD0"/>
    <w:rsid w:val="005126F9"/>
    <w:rsid w:val="00513265"/>
    <w:rsid w:val="00513E8F"/>
    <w:rsid w:val="00513EC4"/>
    <w:rsid w:val="00514AF4"/>
    <w:rsid w:val="00515CF9"/>
    <w:rsid w:val="00516F2C"/>
    <w:rsid w:val="00520245"/>
    <w:rsid w:val="00521A09"/>
    <w:rsid w:val="0052446B"/>
    <w:rsid w:val="00524F19"/>
    <w:rsid w:val="00525D23"/>
    <w:rsid w:val="00525D71"/>
    <w:rsid w:val="00527920"/>
    <w:rsid w:val="00527E58"/>
    <w:rsid w:val="005309D4"/>
    <w:rsid w:val="005317BF"/>
    <w:rsid w:val="0053239F"/>
    <w:rsid w:val="00532A08"/>
    <w:rsid w:val="00533043"/>
    <w:rsid w:val="005347BD"/>
    <w:rsid w:val="00534882"/>
    <w:rsid w:val="00534B2F"/>
    <w:rsid w:val="00534F1A"/>
    <w:rsid w:val="0053578B"/>
    <w:rsid w:val="005357A2"/>
    <w:rsid w:val="00536048"/>
    <w:rsid w:val="005363FE"/>
    <w:rsid w:val="0053681E"/>
    <w:rsid w:val="0053694E"/>
    <w:rsid w:val="0054040B"/>
    <w:rsid w:val="00540F23"/>
    <w:rsid w:val="00541FD6"/>
    <w:rsid w:val="00542A95"/>
    <w:rsid w:val="0054404B"/>
    <w:rsid w:val="005441FE"/>
    <w:rsid w:val="005448EC"/>
    <w:rsid w:val="00546CE1"/>
    <w:rsid w:val="00547B67"/>
    <w:rsid w:val="00551725"/>
    <w:rsid w:val="005521E1"/>
    <w:rsid w:val="0055379C"/>
    <w:rsid w:val="0055498C"/>
    <w:rsid w:val="0055593A"/>
    <w:rsid w:val="0055613A"/>
    <w:rsid w:val="005563F6"/>
    <w:rsid w:val="00556C7A"/>
    <w:rsid w:val="00560257"/>
    <w:rsid w:val="005605B2"/>
    <w:rsid w:val="00564D4B"/>
    <w:rsid w:val="00567714"/>
    <w:rsid w:val="005701AB"/>
    <w:rsid w:val="00570480"/>
    <w:rsid w:val="00571052"/>
    <w:rsid w:val="00571C9D"/>
    <w:rsid w:val="00574F1E"/>
    <w:rsid w:val="00576AD4"/>
    <w:rsid w:val="005802F2"/>
    <w:rsid w:val="00582E02"/>
    <w:rsid w:val="00582FC6"/>
    <w:rsid w:val="00583C12"/>
    <w:rsid w:val="00585B30"/>
    <w:rsid w:val="00586151"/>
    <w:rsid w:val="00592464"/>
    <w:rsid w:val="005942C7"/>
    <w:rsid w:val="005A0D6B"/>
    <w:rsid w:val="005A15F8"/>
    <w:rsid w:val="005A1EEB"/>
    <w:rsid w:val="005A37EE"/>
    <w:rsid w:val="005A3886"/>
    <w:rsid w:val="005A3CB1"/>
    <w:rsid w:val="005A47F8"/>
    <w:rsid w:val="005B0767"/>
    <w:rsid w:val="005B19A6"/>
    <w:rsid w:val="005B3B13"/>
    <w:rsid w:val="005B54EE"/>
    <w:rsid w:val="005B551E"/>
    <w:rsid w:val="005B5647"/>
    <w:rsid w:val="005B5D92"/>
    <w:rsid w:val="005B6A70"/>
    <w:rsid w:val="005B7553"/>
    <w:rsid w:val="005B76CF"/>
    <w:rsid w:val="005C06FE"/>
    <w:rsid w:val="005C2CF7"/>
    <w:rsid w:val="005C4141"/>
    <w:rsid w:val="005C58B4"/>
    <w:rsid w:val="005C6415"/>
    <w:rsid w:val="005C6A47"/>
    <w:rsid w:val="005C6BCD"/>
    <w:rsid w:val="005C6EF0"/>
    <w:rsid w:val="005C7C06"/>
    <w:rsid w:val="005D0702"/>
    <w:rsid w:val="005D35A0"/>
    <w:rsid w:val="005D4882"/>
    <w:rsid w:val="005E0992"/>
    <w:rsid w:val="005E1CCB"/>
    <w:rsid w:val="005E26A8"/>
    <w:rsid w:val="005E583C"/>
    <w:rsid w:val="005E600D"/>
    <w:rsid w:val="005E6934"/>
    <w:rsid w:val="005F176A"/>
    <w:rsid w:val="005F235D"/>
    <w:rsid w:val="005F2D33"/>
    <w:rsid w:val="005F4437"/>
    <w:rsid w:val="005F4A51"/>
    <w:rsid w:val="005F5D2F"/>
    <w:rsid w:val="006007E9"/>
    <w:rsid w:val="00601D72"/>
    <w:rsid w:val="0060427D"/>
    <w:rsid w:val="00604A2B"/>
    <w:rsid w:val="00604CE1"/>
    <w:rsid w:val="006058BF"/>
    <w:rsid w:val="0060714C"/>
    <w:rsid w:val="00610A8C"/>
    <w:rsid w:val="00610F1C"/>
    <w:rsid w:val="00611C39"/>
    <w:rsid w:val="00613835"/>
    <w:rsid w:val="00616957"/>
    <w:rsid w:val="00616B14"/>
    <w:rsid w:val="00617F1A"/>
    <w:rsid w:val="006211AC"/>
    <w:rsid w:val="00621655"/>
    <w:rsid w:val="00622E76"/>
    <w:rsid w:val="0062694B"/>
    <w:rsid w:val="0062757F"/>
    <w:rsid w:val="00630A61"/>
    <w:rsid w:val="006319B0"/>
    <w:rsid w:val="00632826"/>
    <w:rsid w:val="00634554"/>
    <w:rsid w:val="00634A65"/>
    <w:rsid w:val="00634BC2"/>
    <w:rsid w:val="006359C4"/>
    <w:rsid w:val="00635A7F"/>
    <w:rsid w:val="00636C16"/>
    <w:rsid w:val="0064016B"/>
    <w:rsid w:val="00640491"/>
    <w:rsid w:val="00641684"/>
    <w:rsid w:val="00641EB4"/>
    <w:rsid w:val="00642853"/>
    <w:rsid w:val="006446E8"/>
    <w:rsid w:val="00645628"/>
    <w:rsid w:val="0064737A"/>
    <w:rsid w:val="00647971"/>
    <w:rsid w:val="00650347"/>
    <w:rsid w:val="00650A14"/>
    <w:rsid w:val="00654881"/>
    <w:rsid w:val="006565E1"/>
    <w:rsid w:val="00657781"/>
    <w:rsid w:val="00660816"/>
    <w:rsid w:val="006644DF"/>
    <w:rsid w:val="006654D5"/>
    <w:rsid w:val="00670276"/>
    <w:rsid w:val="0067095B"/>
    <w:rsid w:val="00671F29"/>
    <w:rsid w:val="0067216E"/>
    <w:rsid w:val="006723B1"/>
    <w:rsid w:val="006742B0"/>
    <w:rsid w:val="00674B11"/>
    <w:rsid w:val="00674D60"/>
    <w:rsid w:val="0067748F"/>
    <w:rsid w:val="00677715"/>
    <w:rsid w:val="0067793F"/>
    <w:rsid w:val="0068246F"/>
    <w:rsid w:val="00682C62"/>
    <w:rsid w:val="00684D36"/>
    <w:rsid w:val="00685A0A"/>
    <w:rsid w:val="0069052D"/>
    <w:rsid w:val="00691194"/>
    <w:rsid w:val="006915B0"/>
    <w:rsid w:val="00692E40"/>
    <w:rsid w:val="006949A3"/>
    <w:rsid w:val="006951E8"/>
    <w:rsid w:val="00695481"/>
    <w:rsid w:val="00695F50"/>
    <w:rsid w:val="006974AD"/>
    <w:rsid w:val="00697510"/>
    <w:rsid w:val="006976A8"/>
    <w:rsid w:val="006A05CD"/>
    <w:rsid w:val="006A1E22"/>
    <w:rsid w:val="006A1EBD"/>
    <w:rsid w:val="006A352A"/>
    <w:rsid w:val="006A616B"/>
    <w:rsid w:val="006A7508"/>
    <w:rsid w:val="006A7673"/>
    <w:rsid w:val="006B0D6C"/>
    <w:rsid w:val="006B1E0A"/>
    <w:rsid w:val="006B26A3"/>
    <w:rsid w:val="006B333F"/>
    <w:rsid w:val="006B50AB"/>
    <w:rsid w:val="006B5902"/>
    <w:rsid w:val="006B5D82"/>
    <w:rsid w:val="006B7D30"/>
    <w:rsid w:val="006B7EB6"/>
    <w:rsid w:val="006C025C"/>
    <w:rsid w:val="006C10C1"/>
    <w:rsid w:val="006C2E61"/>
    <w:rsid w:val="006C580E"/>
    <w:rsid w:val="006C5FC3"/>
    <w:rsid w:val="006C6854"/>
    <w:rsid w:val="006C6BE0"/>
    <w:rsid w:val="006C7730"/>
    <w:rsid w:val="006D0387"/>
    <w:rsid w:val="006D2022"/>
    <w:rsid w:val="006D2885"/>
    <w:rsid w:val="006D2BFA"/>
    <w:rsid w:val="006D2CA9"/>
    <w:rsid w:val="006D3B57"/>
    <w:rsid w:val="006D4507"/>
    <w:rsid w:val="006D6FAE"/>
    <w:rsid w:val="006D7284"/>
    <w:rsid w:val="006E1E03"/>
    <w:rsid w:val="006E2144"/>
    <w:rsid w:val="006E302F"/>
    <w:rsid w:val="006E30B0"/>
    <w:rsid w:val="006E5F04"/>
    <w:rsid w:val="006E770F"/>
    <w:rsid w:val="006F0106"/>
    <w:rsid w:val="006F08EE"/>
    <w:rsid w:val="006F09E2"/>
    <w:rsid w:val="006F0FB6"/>
    <w:rsid w:val="006F10F3"/>
    <w:rsid w:val="006F18D4"/>
    <w:rsid w:val="006F1DF4"/>
    <w:rsid w:val="006F2EF1"/>
    <w:rsid w:val="006F305E"/>
    <w:rsid w:val="006F40C2"/>
    <w:rsid w:val="006F432C"/>
    <w:rsid w:val="006F61A2"/>
    <w:rsid w:val="007007C6"/>
    <w:rsid w:val="00700BE6"/>
    <w:rsid w:val="00702D1E"/>
    <w:rsid w:val="007033FC"/>
    <w:rsid w:val="0070480C"/>
    <w:rsid w:val="007057CB"/>
    <w:rsid w:val="0070727E"/>
    <w:rsid w:val="00707308"/>
    <w:rsid w:val="007074B4"/>
    <w:rsid w:val="007078A6"/>
    <w:rsid w:val="00710CE4"/>
    <w:rsid w:val="00711F65"/>
    <w:rsid w:val="00712F35"/>
    <w:rsid w:val="007142B5"/>
    <w:rsid w:val="00715020"/>
    <w:rsid w:val="00716125"/>
    <w:rsid w:val="00716256"/>
    <w:rsid w:val="00716B9B"/>
    <w:rsid w:val="00717775"/>
    <w:rsid w:val="0072138C"/>
    <w:rsid w:val="00721945"/>
    <w:rsid w:val="00721D75"/>
    <w:rsid w:val="0072488B"/>
    <w:rsid w:val="00724EAC"/>
    <w:rsid w:val="00724F5F"/>
    <w:rsid w:val="007259AD"/>
    <w:rsid w:val="00732472"/>
    <w:rsid w:val="007327A4"/>
    <w:rsid w:val="0073293A"/>
    <w:rsid w:val="00734FF7"/>
    <w:rsid w:val="00735049"/>
    <w:rsid w:val="007369DE"/>
    <w:rsid w:val="0074035D"/>
    <w:rsid w:val="007403D7"/>
    <w:rsid w:val="0074075A"/>
    <w:rsid w:val="00740DA0"/>
    <w:rsid w:val="00742A34"/>
    <w:rsid w:val="00743F28"/>
    <w:rsid w:val="00744775"/>
    <w:rsid w:val="00744F7E"/>
    <w:rsid w:val="0074617E"/>
    <w:rsid w:val="0075095A"/>
    <w:rsid w:val="00750FE2"/>
    <w:rsid w:val="00751905"/>
    <w:rsid w:val="00752EF0"/>
    <w:rsid w:val="00753A2E"/>
    <w:rsid w:val="00753DAF"/>
    <w:rsid w:val="0075417B"/>
    <w:rsid w:val="007543F9"/>
    <w:rsid w:val="00754B6D"/>
    <w:rsid w:val="007566C8"/>
    <w:rsid w:val="00760042"/>
    <w:rsid w:val="007604B5"/>
    <w:rsid w:val="00761A36"/>
    <w:rsid w:val="00761F27"/>
    <w:rsid w:val="0076447E"/>
    <w:rsid w:val="007651E5"/>
    <w:rsid w:val="00767398"/>
    <w:rsid w:val="007705CC"/>
    <w:rsid w:val="00774382"/>
    <w:rsid w:val="007746BC"/>
    <w:rsid w:val="00775ED7"/>
    <w:rsid w:val="00776076"/>
    <w:rsid w:val="007765F6"/>
    <w:rsid w:val="007766FA"/>
    <w:rsid w:val="00777489"/>
    <w:rsid w:val="007775FD"/>
    <w:rsid w:val="0077773A"/>
    <w:rsid w:val="00777953"/>
    <w:rsid w:val="00777DC7"/>
    <w:rsid w:val="00777E1A"/>
    <w:rsid w:val="007802E5"/>
    <w:rsid w:val="007843A4"/>
    <w:rsid w:val="007848D1"/>
    <w:rsid w:val="00785A3E"/>
    <w:rsid w:val="00785FB8"/>
    <w:rsid w:val="00787536"/>
    <w:rsid w:val="007878C5"/>
    <w:rsid w:val="00787F37"/>
    <w:rsid w:val="007911DC"/>
    <w:rsid w:val="00791767"/>
    <w:rsid w:val="00791CBB"/>
    <w:rsid w:val="00792692"/>
    <w:rsid w:val="00792F92"/>
    <w:rsid w:val="00793AC8"/>
    <w:rsid w:val="00793D7D"/>
    <w:rsid w:val="00794B17"/>
    <w:rsid w:val="00794DF9"/>
    <w:rsid w:val="00796032"/>
    <w:rsid w:val="007960B7"/>
    <w:rsid w:val="00797F77"/>
    <w:rsid w:val="007A167F"/>
    <w:rsid w:val="007A2C03"/>
    <w:rsid w:val="007A4119"/>
    <w:rsid w:val="007A467B"/>
    <w:rsid w:val="007A6845"/>
    <w:rsid w:val="007A6A7A"/>
    <w:rsid w:val="007A6B53"/>
    <w:rsid w:val="007B0233"/>
    <w:rsid w:val="007B0768"/>
    <w:rsid w:val="007B2315"/>
    <w:rsid w:val="007B34A4"/>
    <w:rsid w:val="007B4B63"/>
    <w:rsid w:val="007B5A30"/>
    <w:rsid w:val="007B67A7"/>
    <w:rsid w:val="007B77FE"/>
    <w:rsid w:val="007C1238"/>
    <w:rsid w:val="007C1C42"/>
    <w:rsid w:val="007C2018"/>
    <w:rsid w:val="007C3C72"/>
    <w:rsid w:val="007C4946"/>
    <w:rsid w:val="007C5DA2"/>
    <w:rsid w:val="007C6B61"/>
    <w:rsid w:val="007D089E"/>
    <w:rsid w:val="007D283F"/>
    <w:rsid w:val="007D341C"/>
    <w:rsid w:val="007D4103"/>
    <w:rsid w:val="007D4D96"/>
    <w:rsid w:val="007D5091"/>
    <w:rsid w:val="007D51B5"/>
    <w:rsid w:val="007D6795"/>
    <w:rsid w:val="007D6F9D"/>
    <w:rsid w:val="007D715A"/>
    <w:rsid w:val="007D7650"/>
    <w:rsid w:val="007E1614"/>
    <w:rsid w:val="007E1A76"/>
    <w:rsid w:val="007E25D4"/>
    <w:rsid w:val="007E2E7F"/>
    <w:rsid w:val="007E2EEE"/>
    <w:rsid w:val="007E39EE"/>
    <w:rsid w:val="007E4676"/>
    <w:rsid w:val="007E556D"/>
    <w:rsid w:val="007E5AA1"/>
    <w:rsid w:val="007E62CA"/>
    <w:rsid w:val="007E731D"/>
    <w:rsid w:val="007F075E"/>
    <w:rsid w:val="007F1119"/>
    <w:rsid w:val="007F1D32"/>
    <w:rsid w:val="007F3E63"/>
    <w:rsid w:val="007F404B"/>
    <w:rsid w:val="007F456F"/>
    <w:rsid w:val="007F509D"/>
    <w:rsid w:val="007F5554"/>
    <w:rsid w:val="007F7665"/>
    <w:rsid w:val="007F7E68"/>
    <w:rsid w:val="00801797"/>
    <w:rsid w:val="008031AA"/>
    <w:rsid w:val="008036EC"/>
    <w:rsid w:val="00805612"/>
    <w:rsid w:val="00805AD5"/>
    <w:rsid w:val="00806560"/>
    <w:rsid w:val="00806D35"/>
    <w:rsid w:val="008113FC"/>
    <w:rsid w:val="00811F67"/>
    <w:rsid w:val="00812BED"/>
    <w:rsid w:val="00814463"/>
    <w:rsid w:val="008144D1"/>
    <w:rsid w:val="008159AF"/>
    <w:rsid w:val="008179EB"/>
    <w:rsid w:val="00817C2E"/>
    <w:rsid w:val="00821589"/>
    <w:rsid w:val="008219D1"/>
    <w:rsid w:val="00821B83"/>
    <w:rsid w:val="00821F51"/>
    <w:rsid w:val="00823878"/>
    <w:rsid w:val="008243E3"/>
    <w:rsid w:val="00824878"/>
    <w:rsid w:val="00826382"/>
    <w:rsid w:val="00826F09"/>
    <w:rsid w:val="008271F2"/>
    <w:rsid w:val="008300BE"/>
    <w:rsid w:val="00830B84"/>
    <w:rsid w:val="00831EED"/>
    <w:rsid w:val="008322CE"/>
    <w:rsid w:val="008332D8"/>
    <w:rsid w:val="00835862"/>
    <w:rsid w:val="00835BF3"/>
    <w:rsid w:val="00836BA5"/>
    <w:rsid w:val="00837940"/>
    <w:rsid w:val="008400D8"/>
    <w:rsid w:val="00840CCB"/>
    <w:rsid w:val="0084484F"/>
    <w:rsid w:val="00845474"/>
    <w:rsid w:val="00846FD6"/>
    <w:rsid w:val="0084772A"/>
    <w:rsid w:val="0085079C"/>
    <w:rsid w:val="00851476"/>
    <w:rsid w:val="00851681"/>
    <w:rsid w:val="00852B4E"/>
    <w:rsid w:val="00853A21"/>
    <w:rsid w:val="00855ECE"/>
    <w:rsid w:val="008565FF"/>
    <w:rsid w:val="00860186"/>
    <w:rsid w:val="00860BE4"/>
    <w:rsid w:val="008615C4"/>
    <w:rsid w:val="008640CC"/>
    <w:rsid w:val="00864AE8"/>
    <w:rsid w:val="00864D56"/>
    <w:rsid w:val="00867BD2"/>
    <w:rsid w:val="00870211"/>
    <w:rsid w:val="00870F70"/>
    <w:rsid w:val="00871B9C"/>
    <w:rsid w:val="0087275D"/>
    <w:rsid w:val="008728FF"/>
    <w:rsid w:val="008737B6"/>
    <w:rsid w:val="00874633"/>
    <w:rsid w:val="00874B42"/>
    <w:rsid w:val="00874BD1"/>
    <w:rsid w:val="00875822"/>
    <w:rsid w:val="008768A2"/>
    <w:rsid w:val="00877CC9"/>
    <w:rsid w:val="00880C57"/>
    <w:rsid w:val="00881D7E"/>
    <w:rsid w:val="00883364"/>
    <w:rsid w:val="008860B4"/>
    <w:rsid w:val="00886C8E"/>
    <w:rsid w:val="00890006"/>
    <w:rsid w:val="00891604"/>
    <w:rsid w:val="00893EF2"/>
    <w:rsid w:val="00894200"/>
    <w:rsid w:val="00894D47"/>
    <w:rsid w:val="008971E4"/>
    <w:rsid w:val="008977BD"/>
    <w:rsid w:val="008A0688"/>
    <w:rsid w:val="008A2179"/>
    <w:rsid w:val="008A4879"/>
    <w:rsid w:val="008A4E28"/>
    <w:rsid w:val="008A5944"/>
    <w:rsid w:val="008A5D7D"/>
    <w:rsid w:val="008A6B5B"/>
    <w:rsid w:val="008B0650"/>
    <w:rsid w:val="008B0808"/>
    <w:rsid w:val="008B082E"/>
    <w:rsid w:val="008B087D"/>
    <w:rsid w:val="008B0FF6"/>
    <w:rsid w:val="008B19D1"/>
    <w:rsid w:val="008B30DE"/>
    <w:rsid w:val="008B3155"/>
    <w:rsid w:val="008B31A9"/>
    <w:rsid w:val="008B38A1"/>
    <w:rsid w:val="008B4E0B"/>
    <w:rsid w:val="008B58BD"/>
    <w:rsid w:val="008B5A5D"/>
    <w:rsid w:val="008B5E20"/>
    <w:rsid w:val="008B6BCA"/>
    <w:rsid w:val="008B7EB4"/>
    <w:rsid w:val="008C0B0A"/>
    <w:rsid w:val="008C0CC0"/>
    <w:rsid w:val="008C11F6"/>
    <w:rsid w:val="008C3135"/>
    <w:rsid w:val="008C409B"/>
    <w:rsid w:val="008C46B8"/>
    <w:rsid w:val="008C5241"/>
    <w:rsid w:val="008C707C"/>
    <w:rsid w:val="008C75BC"/>
    <w:rsid w:val="008D043B"/>
    <w:rsid w:val="008D1211"/>
    <w:rsid w:val="008D182B"/>
    <w:rsid w:val="008D24A0"/>
    <w:rsid w:val="008D2A45"/>
    <w:rsid w:val="008D402B"/>
    <w:rsid w:val="008D51E3"/>
    <w:rsid w:val="008D547B"/>
    <w:rsid w:val="008D6BFF"/>
    <w:rsid w:val="008D75F7"/>
    <w:rsid w:val="008D7AE0"/>
    <w:rsid w:val="008E04FC"/>
    <w:rsid w:val="008E19F3"/>
    <w:rsid w:val="008E4A53"/>
    <w:rsid w:val="008E5007"/>
    <w:rsid w:val="008E5983"/>
    <w:rsid w:val="008E64D7"/>
    <w:rsid w:val="008F07E7"/>
    <w:rsid w:val="008F129B"/>
    <w:rsid w:val="008F1A6E"/>
    <w:rsid w:val="008F2739"/>
    <w:rsid w:val="008F50DF"/>
    <w:rsid w:val="008F6E9A"/>
    <w:rsid w:val="008F703F"/>
    <w:rsid w:val="008F726E"/>
    <w:rsid w:val="008F7AEA"/>
    <w:rsid w:val="0090112B"/>
    <w:rsid w:val="0090342D"/>
    <w:rsid w:val="00904346"/>
    <w:rsid w:val="00904496"/>
    <w:rsid w:val="0091415D"/>
    <w:rsid w:val="0091587A"/>
    <w:rsid w:val="009172FD"/>
    <w:rsid w:val="00917686"/>
    <w:rsid w:val="0091797A"/>
    <w:rsid w:val="00917CB4"/>
    <w:rsid w:val="00924134"/>
    <w:rsid w:val="009249DD"/>
    <w:rsid w:val="0092504F"/>
    <w:rsid w:val="009254EE"/>
    <w:rsid w:val="00925C4F"/>
    <w:rsid w:val="00926834"/>
    <w:rsid w:val="00926857"/>
    <w:rsid w:val="00926FED"/>
    <w:rsid w:val="0092797B"/>
    <w:rsid w:val="00927BD8"/>
    <w:rsid w:val="00927DD3"/>
    <w:rsid w:val="00930A05"/>
    <w:rsid w:val="009327AE"/>
    <w:rsid w:val="009341EE"/>
    <w:rsid w:val="00934409"/>
    <w:rsid w:val="00943874"/>
    <w:rsid w:val="00944051"/>
    <w:rsid w:val="0094445F"/>
    <w:rsid w:val="00945818"/>
    <w:rsid w:val="00946ABE"/>
    <w:rsid w:val="00947708"/>
    <w:rsid w:val="009477B7"/>
    <w:rsid w:val="0095099D"/>
    <w:rsid w:val="00951A27"/>
    <w:rsid w:val="009520D6"/>
    <w:rsid w:val="00956C38"/>
    <w:rsid w:val="009601BC"/>
    <w:rsid w:val="00960827"/>
    <w:rsid w:val="00960DC5"/>
    <w:rsid w:val="00961F6D"/>
    <w:rsid w:val="00965727"/>
    <w:rsid w:val="00965E24"/>
    <w:rsid w:val="00970064"/>
    <w:rsid w:val="00970998"/>
    <w:rsid w:val="00970B86"/>
    <w:rsid w:val="00971F3C"/>
    <w:rsid w:val="00972F67"/>
    <w:rsid w:val="009749DA"/>
    <w:rsid w:val="00975A6C"/>
    <w:rsid w:val="009769BB"/>
    <w:rsid w:val="00976A35"/>
    <w:rsid w:val="009809DA"/>
    <w:rsid w:val="009809E8"/>
    <w:rsid w:val="009832E8"/>
    <w:rsid w:val="00983879"/>
    <w:rsid w:val="00987295"/>
    <w:rsid w:val="00987B2F"/>
    <w:rsid w:val="00987BAC"/>
    <w:rsid w:val="009925A2"/>
    <w:rsid w:val="0099312F"/>
    <w:rsid w:val="009945EC"/>
    <w:rsid w:val="0099487C"/>
    <w:rsid w:val="00994BC4"/>
    <w:rsid w:val="00994BEE"/>
    <w:rsid w:val="00995BB5"/>
    <w:rsid w:val="009960A8"/>
    <w:rsid w:val="00996137"/>
    <w:rsid w:val="009966D3"/>
    <w:rsid w:val="00997581"/>
    <w:rsid w:val="009A1356"/>
    <w:rsid w:val="009A29AE"/>
    <w:rsid w:val="009A36B9"/>
    <w:rsid w:val="009A47F6"/>
    <w:rsid w:val="009A5557"/>
    <w:rsid w:val="009A6D12"/>
    <w:rsid w:val="009A727D"/>
    <w:rsid w:val="009A7A1E"/>
    <w:rsid w:val="009A7A72"/>
    <w:rsid w:val="009B40A4"/>
    <w:rsid w:val="009B509B"/>
    <w:rsid w:val="009B5BCF"/>
    <w:rsid w:val="009B664B"/>
    <w:rsid w:val="009B71DC"/>
    <w:rsid w:val="009B7D08"/>
    <w:rsid w:val="009C0A3E"/>
    <w:rsid w:val="009C2032"/>
    <w:rsid w:val="009C3938"/>
    <w:rsid w:val="009C3FF7"/>
    <w:rsid w:val="009D0BD7"/>
    <w:rsid w:val="009D1676"/>
    <w:rsid w:val="009D6005"/>
    <w:rsid w:val="009D6C68"/>
    <w:rsid w:val="009D76D5"/>
    <w:rsid w:val="009D78FA"/>
    <w:rsid w:val="009E07AC"/>
    <w:rsid w:val="009E0A4E"/>
    <w:rsid w:val="009E1BC7"/>
    <w:rsid w:val="009E4949"/>
    <w:rsid w:val="009E6AE9"/>
    <w:rsid w:val="009E6DCA"/>
    <w:rsid w:val="009E7104"/>
    <w:rsid w:val="009F07AD"/>
    <w:rsid w:val="009F11DC"/>
    <w:rsid w:val="009F13E8"/>
    <w:rsid w:val="009F2D19"/>
    <w:rsid w:val="009F4DA8"/>
    <w:rsid w:val="009F656A"/>
    <w:rsid w:val="009F65A3"/>
    <w:rsid w:val="009F6EB1"/>
    <w:rsid w:val="009F7969"/>
    <w:rsid w:val="009F7BD9"/>
    <w:rsid w:val="00A020C6"/>
    <w:rsid w:val="00A03870"/>
    <w:rsid w:val="00A038E3"/>
    <w:rsid w:val="00A03930"/>
    <w:rsid w:val="00A03FAA"/>
    <w:rsid w:val="00A046FB"/>
    <w:rsid w:val="00A064D5"/>
    <w:rsid w:val="00A074C0"/>
    <w:rsid w:val="00A11C24"/>
    <w:rsid w:val="00A11D39"/>
    <w:rsid w:val="00A1319D"/>
    <w:rsid w:val="00A14E08"/>
    <w:rsid w:val="00A211FE"/>
    <w:rsid w:val="00A21C5F"/>
    <w:rsid w:val="00A22AFB"/>
    <w:rsid w:val="00A23109"/>
    <w:rsid w:val="00A24896"/>
    <w:rsid w:val="00A25C39"/>
    <w:rsid w:val="00A27BB7"/>
    <w:rsid w:val="00A306D6"/>
    <w:rsid w:val="00A31353"/>
    <w:rsid w:val="00A32280"/>
    <w:rsid w:val="00A33929"/>
    <w:rsid w:val="00A346F6"/>
    <w:rsid w:val="00A34C7E"/>
    <w:rsid w:val="00A35DDD"/>
    <w:rsid w:val="00A36B50"/>
    <w:rsid w:val="00A37731"/>
    <w:rsid w:val="00A40A49"/>
    <w:rsid w:val="00A41207"/>
    <w:rsid w:val="00A417A9"/>
    <w:rsid w:val="00A41953"/>
    <w:rsid w:val="00A42494"/>
    <w:rsid w:val="00A4250F"/>
    <w:rsid w:val="00A44790"/>
    <w:rsid w:val="00A4701D"/>
    <w:rsid w:val="00A47571"/>
    <w:rsid w:val="00A50155"/>
    <w:rsid w:val="00A51C48"/>
    <w:rsid w:val="00A540EA"/>
    <w:rsid w:val="00A54CD9"/>
    <w:rsid w:val="00A577D5"/>
    <w:rsid w:val="00A60085"/>
    <w:rsid w:val="00A602CB"/>
    <w:rsid w:val="00A60B74"/>
    <w:rsid w:val="00A62892"/>
    <w:rsid w:val="00A639A2"/>
    <w:rsid w:val="00A64425"/>
    <w:rsid w:val="00A65782"/>
    <w:rsid w:val="00A65854"/>
    <w:rsid w:val="00A658E0"/>
    <w:rsid w:val="00A65C35"/>
    <w:rsid w:val="00A706A2"/>
    <w:rsid w:val="00A72090"/>
    <w:rsid w:val="00A72863"/>
    <w:rsid w:val="00A72B26"/>
    <w:rsid w:val="00A74C8B"/>
    <w:rsid w:val="00A75CAE"/>
    <w:rsid w:val="00A77492"/>
    <w:rsid w:val="00A804A0"/>
    <w:rsid w:val="00A809FC"/>
    <w:rsid w:val="00A815CA"/>
    <w:rsid w:val="00A816AF"/>
    <w:rsid w:val="00A82502"/>
    <w:rsid w:val="00A83689"/>
    <w:rsid w:val="00A907BA"/>
    <w:rsid w:val="00A91041"/>
    <w:rsid w:val="00A928BF"/>
    <w:rsid w:val="00A94148"/>
    <w:rsid w:val="00A94585"/>
    <w:rsid w:val="00A94999"/>
    <w:rsid w:val="00A94E71"/>
    <w:rsid w:val="00A94EE0"/>
    <w:rsid w:val="00A97763"/>
    <w:rsid w:val="00A97D0D"/>
    <w:rsid w:val="00A97FEB"/>
    <w:rsid w:val="00AA0480"/>
    <w:rsid w:val="00AA049D"/>
    <w:rsid w:val="00AA13F2"/>
    <w:rsid w:val="00AA2AB4"/>
    <w:rsid w:val="00AA38B4"/>
    <w:rsid w:val="00AA57BA"/>
    <w:rsid w:val="00AA6007"/>
    <w:rsid w:val="00AA6DD7"/>
    <w:rsid w:val="00AA75B5"/>
    <w:rsid w:val="00AB17D7"/>
    <w:rsid w:val="00AB390F"/>
    <w:rsid w:val="00AB4783"/>
    <w:rsid w:val="00AB492B"/>
    <w:rsid w:val="00AB5675"/>
    <w:rsid w:val="00AB673F"/>
    <w:rsid w:val="00AC0BDB"/>
    <w:rsid w:val="00AC21DC"/>
    <w:rsid w:val="00AC233F"/>
    <w:rsid w:val="00AC47D6"/>
    <w:rsid w:val="00AC5346"/>
    <w:rsid w:val="00AC6CEA"/>
    <w:rsid w:val="00AC71CB"/>
    <w:rsid w:val="00AC798B"/>
    <w:rsid w:val="00AC7C3D"/>
    <w:rsid w:val="00AD03AE"/>
    <w:rsid w:val="00AD0816"/>
    <w:rsid w:val="00AD1762"/>
    <w:rsid w:val="00AD1A93"/>
    <w:rsid w:val="00AD2164"/>
    <w:rsid w:val="00AD28BA"/>
    <w:rsid w:val="00AD3F1A"/>
    <w:rsid w:val="00AD4258"/>
    <w:rsid w:val="00AD50B3"/>
    <w:rsid w:val="00AD5E46"/>
    <w:rsid w:val="00AD61DE"/>
    <w:rsid w:val="00AD69A7"/>
    <w:rsid w:val="00AD6D17"/>
    <w:rsid w:val="00AD6FC1"/>
    <w:rsid w:val="00AD7036"/>
    <w:rsid w:val="00AD79BC"/>
    <w:rsid w:val="00AE0064"/>
    <w:rsid w:val="00AE0B7F"/>
    <w:rsid w:val="00AE2C98"/>
    <w:rsid w:val="00AE50AE"/>
    <w:rsid w:val="00AE52CF"/>
    <w:rsid w:val="00AE5EA4"/>
    <w:rsid w:val="00AE6B1A"/>
    <w:rsid w:val="00AE7781"/>
    <w:rsid w:val="00AF05FD"/>
    <w:rsid w:val="00AF1130"/>
    <w:rsid w:val="00AF1501"/>
    <w:rsid w:val="00AF1CC0"/>
    <w:rsid w:val="00AF2073"/>
    <w:rsid w:val="00AF42C6"/>
    <w:rsid w:val="00AF485F"/>
    <w:rsid w:val="00AF4C4B"/>
    <w:rsid w:val="00AF4D07"/>
    <w:rsid w:val="00AF53F6"/>
    <w:rsid w:val="00AF5778"/>
    <w:rsid w:val="00AF5EEC"/>
    <w:rsid w:val="00AF6F8C"/>
    <w:rsid w:val="00B03A28"/>
    <w:rsid w:val="00B03CE3"/>
    <w:rsid w:val="00B07094"/>
    <w:rsid w:val="00B1000D"/>
    <w:rsid w:val="00B11292"/>
    <w:rsid w:val="00B12321"/>
    <w:rsid w:val="00B12ED3"/>
    <w:rsid w:val="00B13044"/>
    <w:rsid w:val="00B137FD"/>
    <w:rsid w:val="00B13F2F"/>
    <w:rsid w:val="00B14A4C"/>
    <w:rsid w:val="00B14E93"/>
    <w:rsid w:val="00B15C6D"/>
    <w:rsid w:val="00B1622D"/>
    <w:rsid w:val="00B2121D"/>
    <w:rsid w:val="00B22A4A"/>
    <w:rsid w:val="00B22A9D"/>
    <w:rsid w:val="00B24791"/>
    <w:rsid w:val="00B2541D"/>
    <w:rsid w:val="00B25B60"/>
    <w:rsid w:val="00B26B90"/>
    <w:rsid w:val="00B26CAB"/>
    <w:rsid w:val="00B26FC2"/>
    <w:rsid w:val="00B40DA8"/>
    <w:rsid w:val="00B42C8E"/>
    <w:rsid w:val="00B42E4E"/>
    <w:rsid w:val="00B434DF"/>
    <w:rsid w:val="00B44B86"/>
    <w:rsid w:val="00B44D45"/>
    <w:rsid w:val="00B44E95"/>
    <w:rsid w:val="00B473EB"/>
    <w:rsid w:val="00B47C14"/>
    <w:rsid w:val="00B506CD"/>
    <w:rsid w:val="00B5198B"/>
    <w:rsid w:val="00B52C42"/>
    <w:rsid w:val="00B5424F"/>
    <w:rsid w:val="00B560ED"/>
    <w:rsid w:val="00B62091"/>
    <w:rsid w:val="00B62178"/>
    <w:rsid w:val="00B64C2D"/>
    <w:rsid w:val="00B64D10"/>
    <w:rsid w:val="00B70278"/>
    <w:rsid w:val="00B70A71"/>
    <w:rsid w:val="00B71173"/>
    <w:rsid w:val="00B718A8"/>
    <w:rsid w:val="00B71F4C"/>
    <w:rsid w:val="00B72929"/>
    <w:rsid w:val="00B75416"/>
    <w:rsid w:val="00B756C2"/>
    <w:rsid w:val="00B75ECB"/>
    <w:rsid w:val="00B760D4"/>
    <w:rsid w:val="00B76B1A"/>
    <w:rsid w:val="00B7794A"/>
    <w:rsid w:val="00B77B6A"/>
    <w:rsid w:val="00B77C92"/>
    <w:rsid w:val="00B80DBC"/>
    <w:rsid w:val="00B81725"/>
    <w:rsid w:val="00B85EC3"/>
    <w:rsid w:val="00B87695"/>
    <w:rsid w:val="00B9038B"/>
    <w:rsid w:val="00B9203C"/>
    <w:rsid w:val="00B9251B"/>
    <w:rsid w:val="00B92C41"/>
    <w:rsid w:val="00B934A9"/>
    <w:rsid w:val="00B958E6"/>
    <w:rsid w:val="00B96AE2"/>
    <w:rsid w:val="00B96E1D"/>
    <w:rsid w:val="00B97470"/>
    <w:rsid w:val="00B974FD"/>
    <w:rsid w:val="00BA23FE"/>
    <w:rsid w:val="00BA7CFD"/>
    <w:rsid w:val="00BB02E1"/>
    <w:rsid w:val="00BB0732"/>
    <w:rsid w:val="00BB0DFA"/>
    <w:rsid w:val="00BB0EC4"/>
    <w:rsid w:val="00BB0EEE"/>
    <w:rsid w:val="00BB10BB"/>
    <w:rsid w:val="00BB448E"/>
    <w:rsid w:val="00BC004D"/>
    <w:rsid w:val="00BC09A9"/>
    <w:rsid w:val="00BC0CF2"/>
    <w:rsid w:val="00BC0E2C"/>
    <w:rsid w:val="00BC1073"/>
    <w:rsid w:val="00BC1730"/>
    <w:rsid w:val="00BC1CA2"/>
    <w:rsid w:val="00BC2CAC"/>
    <w:rsid w:val="00BC3918"/>
    <w:rsid w:val="00BC39B9"/>
    <w:rsid w:val="00BC41A0"/>
    <w:rsid w:val="00BC5BBD"/>
    <w:rsid w:val="00BD3375"/>
    <w:rsid w:val="00BD439C"/>
    <w:rsid w:val="00BD4A1A"/>
    <w:rsid w:val="00BD508B"/>
    <w:rsid w:val="00BD52C3"/>
    <w:rsid w:val="00BD72B4"/>
    <w:rsid w:val="00BE52ED"/>
    <w:rsid w:val="00BE5B81"/>
    <w:rsid w:val="00BE6741"/>
    <w:rsid w:val="00BE6BA6"/>
    <w:rsid w:val="00BF0DC6"/>
    <w:rsid w:val="00BF407F"/>
    <w:rsid w:val="00BF6813"/>
    <w:rsid w:val="00BF71A5"/>
    <w:rsid w:val="00BF738D"/>
    <w:rsid w:val="00BF7845"/>
    <w:rsid w:val="00C00552"/>
    <w:rsid w:val="00C00C95"/>
    <w:rsid w:val="00C02F9A"/>
    <w:rsid w:val="00C056D1"/>
    <w:rsid w:val="00C05C29"/>
    <w:rsid w:val="00C05EB7"/>
    <w:rsid w:val="00C06D63"/>
    <w:rsid w:val="00C07A29"/>
    <w:rsid w:val="00C10A85"/>
    <w:rsid w:val="00C1107E"/>
    <w:rsid w:val="00C13047"/>
    <w:rsid w:val="00C134DB"/>
    <w:rsid w:val="00C142BC"/>
    <w:rsid w:val="00C14D5A"/>
    <w:rsid w:val="00C16303"/>
    <w:rsid w:val="00C203C1"/>
    <w:rsid w:val="00C20E09"/>
    <w:rsid w:val="00C216BB"/>
    <w:rsid w:val="00C22166"/>
    <w:rsid w:val="00C23551"/>
    <w:rsid w:val="00C2382C"/>
    <w:rsid w:val="00C23E03"/>
    <w:rsid w:val="00C23EEE"/>
    <w:rsid w:val="00C23F40"/>
    <w:rsid w:val="00C24989"/>
    <w:rsid w:val="00C26C9A"/>
    <w:rsid w:val="00C27F85"/>
    <w:rsid w:val="00C27FE7"/>
    <w:rsid w:val="00C302D1"/>
    <w:rsid w:val="00C306BC"/>
    <w:rsid w:val="00C3081E"/>
    <w:rsid w:val="00C30B97"/>
    <w:rsid w:val="00C315D2"/>
    <w:rsid w:val="00C33C8D"/>
    <w:rsid w:val="00C365C5"/>
    <w:rsid w:val="00C37670"/>
    <w:rsid w:val="00C40F6C"/>
    <w:rsid w:val="00C424DC"/>
    <w:rsid w:val="00C427D7"/>
    <w:rsid w:val="00C44CE2"/>
    <w:rsid w:val="00C451FD"/>
    <w:rsid w:val="00C5078C"/>
    <w:rsid w:val="00C50B4B"/>
    <w:rsid w:val="00C51713"/>
    <w:rsid w:val="00C53AE4"/>
    <w:rsid w:val="00C5522A"/>
    <w:rsid w:val="00C55B83"/>
    <w:rsid w:val="00C5619A"/>
    <w:rsid w:val="00C562B0"/>
    <w:rsid w:val="00C60515"/>
    <w:rsid w:val="00C60D6E"/>
    <w:rsid w:val="00C62294"/>
    <w:rsid w:val="00C6307E"/>
    <w:rsid w:val="00C63172"/>
    <w:rsid w:val="00C64FA6"/>
    <w:rsid w:val="00C6697D"/>
    <w:rsid w:val="00C66AEC"/>
    <w:rsid w:val="00C70D7D"/>
    <w:rsid w:val="00C714C5"/>
    <w:rsid w:val="00C71849"/>
    <w:rsid w:val="00C7265B"/>
    <w:rsid w:val="00C740D9"/>
    <w:rsid w:val="00C743E1"/>
    <w:rsid w:val="00C7495D"/>
    <w:rsid w:val="00C75407"/>
    <w:rsid w:val="00C807A6"/>
    <w:rsid w:val="00C809CB"/>
    <w:rsid w:val="00C8279E"/>
    <w:rsid w:val="00C83514"/>
    <w:rsid w:val="00C83A02"/>
    <w:rsid w:val="00C83B9E"/>
    <w:rsid w:val="00C8437C"/>
    <w:rsid w:val="00C90755"/>
    <w:rsid w:val="00C908DB"/>
    <w:rsid w:val="00C90A93"/>
    <w:rsid w:val="00C9144A"/>
    <w:rsid w:val="00C91AF0"/>
    <w:rsid w:val="00C95C62"/>
    <w:rsid w:val="00C96045"/>
    <w:rsid w:val="00C96EBC"/>
    <w:rsid w:val="00CA4ACC"/>
    <w:rsid w:val="00CA5D62"/>
    <w:rsid w:val="00CA5D96"/>
    <w:rsid w:val="00CA64BC"/>
    <w:rsid w:val="00CA655A"/>
    <w:rsid w:val="00CA720D"/>
    <w:rsid w:val="00CA7B28"/>
    <w:rsid w:val="00CB0067"/>
    <w:rsid w:val="00CB0099"/>
    <w:rsid w:val="00CB1225"/>
    <w:rsid w:val="00CB2B58"/>
    <w:rsid w:val="00CB4664"/>
    <w:rsid w:val="00CB5709"/>
    <w:rsid w:val="00CB6162"/>
    <w:rsid w:val="00CB706E"/>
    <w:rsid w:val="00CC04DD"/>
    <w:rsid w:val="00CC0D2F"/>
    <w:rsid w:val="00CC0DA5"/>
    <w:rsid w:val="00CC1530"/>
    <w:rsid w:val="00CC15D8"/>
    <w:rsid w:val="00CC1BAE"/>
    <w:rsid w:val="00CC5E3A"/>
    <w:rsid w:val="00CC6188"/>
    <w:rsid w:val="00CC61A8"/>
    <w:rsid w:val="00CC64E4"/>
    <w:rsid w:val="00CD08BA"/>
    <w:rsid w:val="00CD2EEE"/>
    <w:rsid w:val="00CD40CF"/>
    <w:rsid w:val="00CD416D"/>
    <w:rsid w:val="00CD5805"/>
    <w:rsid w:val="00CD5EA1"/>
    <w:rsid w:val="00CE03F1"/>
    <w:rsid w:val="00CE17DE"/>
    <w:rsid w:val="00CE31A4"/>
    <w:rsid w:val="00CE455D"/>
    <w:rsid w:val="00CE4998"/>
    <w:rsid w:val="00CE54E6"/>
    <w:rsid w:val="00CE5AC3"/>
    <w:rsid w:val="00CE684F"/>
    <w:rsid w:val="00CE7172"/>
    <w:rsid w:val="00CF0A25"/>
    <w:rsid w:val="00CF41CD"/>
    <w:rsid w:val="00CF538E"/>
    <w:rsid w:val="00CF6529"/>
    <w:rsid w:val="00D04290"/>
    <w:rsid w:val="00D07C65"/>
    <w:rsid w:val="00D10565"/>
    <w:rsid w:val="00D11030"/>
    <w:rsid w:val="00D1260E"/>
    <w:rsid w:val="00D1444B"/>
    <w:rsid w:val="00D14A14"/>
    <w:rsid w:val="00D15F9B"/>
    <w:rsid w:val="00D16484"/>
    <w:rsid w:val="00D16763"/>
    <w:rsid w:val="00D16F44"/>
    <w:rsid w:val="00D20C12"/>
    <w:rsid w:val="00D2189C"/>
    <w:rsid w:val="00D22ECA"/>
    <w:rsid w:val="00D22FC4"/>
    <w:rsid w:val="00D23113"/>
    <w:rsid w:val="00D25566"/>
    <w:rsid w:val="00D25B40"/>
    <w:rsid w:val="00D25D34"/>
    <w:rsid w:val="00D26976"/>
    <w:rsid w:val="00D301FB"/>
    <w:rsid w:val="00D323A0"/>
    <w:rsid w:val="00D34383"/>
    <w:rsid w:val="00D3449B"/>
    <w:rsid w:val="00D349F2"/>
    <w:rsid w:val="00D3555F"/>
    <w:rsid w:val="00D360CA"/>
    <w:rsid w:val="00D36D44"/>
    <w:rsid w:val="00D36DEB"/>
    <w:rsid w:val="00D41527"/>
    <w:rsid w:val="00D4286A"/>
    <w:rsid w:val="00D44113"/>
    <w:rsid w:val="00D4416A"/>
    <w:rsid w:val="00D44468"/>
    <w:rsid w:val="00D444EE"/>
    <w:rsid w:val="00D450A8"/>
    <w:rsid w:val="00D46266"/>
    <w:rsid w:val="00D517B7"/>
    <w:rsid w:val="00D52B17"/>
    <w:rsid w:val="00D52BA7"/>
    <w:rsid w:val="00D552DC"/>
    <w:rsid w:val="00D55E3E"/>
    <w:rsid w:val="00D56FC6"/>
    <w:rsid w:val="00D57FD7"/>
    <w:rsid w:val="00D60FB7"/>
    <w:rsid w:val="00D6148B"/>
    <w:rsid w:val="00D63DF2"/>
    <w:rsid w:val="00D64DB0"/>
    <w:rsid w:val="00D65D08"/>
    <w:rsid w:val="00D66A7E"/>
    <w:rsid w:val="00D66E53"/>
    <w:rsid w:val="00D66E60"/>
    <w:rsid w:val="00D677E9"/>
    <w:rsid w:val="00D70B86"/>
    <w:rsid w:val="00D71B09"/>
    <w:rsid w:val="00D72000"/>
    <w:rsid w:val="00D720BF"/>
    <w:rsid w:val="00D7350D"/>
    <w:rsid w:val="00D73A6C"/>
    <w:rsid w:val="00D7488B"/>
    <w:rsid w:val="00D75849"/>
    <w:rsid w:val="00D75A98"/>
    <w:rsid w:val="00D76A00"/>
    <w:rsid w:val="00D77606"/>
    <w:rsid w:val="00D82622"/>
    <w:rsid w:val="00D85271"/>
    <w:rsid w:val="00D87955"/>
    <w:rsid w:val="00D90756"/>
    <w:rsid w:val="00D91805"/>
    <w:rsid w:val="00D92570"/>
    <w:rsid w:val="00D92903"/>
    <w:rsid w:val="00D92C9F"/>
    <w:rsid w:val="00D92DDC"/>
    <w:rsid w:val="00D930CC"/>
    <w:rsid w:val="00D96FF6"/>
    <w:rsid w:val="00D97242"/>
    <w:rsid w:val="00DA0242"/>
    <w:rsid w:val="00DA03E7"/>
    <w:rsid w:val="00DA1491"/>
    <w:rsid w:val="00DA1607"/>
    <w:rsid w:val="00DA17F1"/>
    <w:rsid w:val="00DA61E9"/>
    <w:rsid w:val="00DA7BAE"/>
    <w:rsid w:val="00DB1A03"/>
    <w:rsid w:val="00DB4812"/>
    <w:rsid w:val="00DB4F74"/>
    <w:rsid w:val="00DB5236"/>
    <w:rsid w:val="00DB5584"/>
    <w:rsid w:val="00DB6509"/>
    <w:rsid w:val="00DB7569"/>
    <w:rsid w:val="00DC0615"/>
    <w:rsid w:val="00DC22C5"/>
    <w:rsid w:val="00DC4022"/>
    <w:rsid w:val="00DC4CD6"/>
    <w:rsid w:val="00DC50F3"/>
    <w:rsid w:val="00DC6656"/>
    <w:rsid w:val="00DD1CEE"/>
    <w:rsid w:val="00DD2104"/>
    <w:rsid w:val="00DD3175"/>
    <w:rsid w:val="00DD366B"/>
    <w:rsid w:val="00DD458E"/>
    <w:rsid w:val="00DD4B6D"/>
    <w:rsid w:val="00DD57D2"/>
    <w:rsid w:val="00DD62E3"/>
    <w:rsid w:val="00DD6926"/>
    <w:rsid w:val="00DD770C"/>
    <w:rsid w:val="00DE0759"/>
    <w:rsid w:val="00DE1072"/>
    <w:rsid w:val="00DE1B11"/>
    <w:rsid w:val="00DE2C89"/>
    <w:rsid w:val="00DE35E6"/>
    <w:rsid w:val="00DE4311"/>
    <w:rsid w:val="00DE46F9"/>
    <w:rsid w:val="00DE5724"/>
    <w:rsid w:val="00DE7CEF"/>
    <w:rsid w:val="00DF0201"/>
    <w:rsid w:val="00DF0204"/>
    <w:rsid w:val="00DF12BC"/>
    <w:rsid w:val="00DF2689"/>
    <w:rsid w:val="00DF5786"/>
    <w:rsid w:val="00DF5D01"/>
    <w:rsid w:val="00DF7254"/>
    <w:rsid w:val="00DF76F4"/>
    <w:rsid w:val="00DF798C"/>
    <w:rsid w:val="00E00E6E"/>
    <w:rsid w:val="00E00FA1"/>
    <w:rsid w:val="00E01D1A"/>
    <w:rsid w:val="00E03C5E"/>
    <w:rsid w:val="00E04E81"/>
    <w:rsid w:val="00E04FB8"/>
    <w:rsid w:val="00E05F81"/>
    <w:rsid w:val="00E06120"/>
    <w:rsid w:val="00E0629D"/>
    <w:rsid w:val="00E06C9A"/>
    <w:rsid w:val="00E07312"/>
    <w:rsid w:val="00E1201D"/>
    <w:rsid w:val="00E16A1B"/>
    <w:rsid w:val="00E20C94"/>
    <w:rsid w:val="00E212F9"/>
    <w:rsid w:val="00E21543"/>
    <w:rsid w:val="00E22622"/>
    <w:rsid w:val="00E24595"/>
    <w:rsid w:val="00E252B0"/>
    <w:rsid w:val="00E26428"/>
    <w:rsid w:val="00E264B7"/>
    <w:rsid w:val="00E27274"/>
    <w:rsid w:val="00E27CA9"/>
    <w:rsid w:val="00E318F4"/>
    <w:rsid w:val="00E31C6F"/>
    <w:rsid w:val="00E31DFB"/>
    <w:rsid w:val="00E33F09"/>
    <w:rsid w:val="00E347EC"/>
    <w:rsid w:val="00E355E8"/>
    <w:rsid w:val="00E35E93"/>
    <w:rsid w:val="00E36813"/>
    <w:rsid w:val="00E37215"/>
    <w:rsid w:val="00E37C4F"/>
    <w:rsid w:val="00E41F0C"/>
    <w:rsid w:val="00E41F47"/>
    <w:rsid w:val="00E42482"/>
    <w:rsid w:val="00E43372"/>
    <w:rsid w:val="00E47930"/>
    <w:rsid w:val="00E50951"/>
    <w:rsid w:val="00E51800"/>
    <w:rsid w:val="00E51F75"/>
    <w:rsid w:val="00E525BF"/>
    <w:rsid w:val="00E53893"/>
    <w:rsid w:val="00E546AE"/>
    <w:rsid w:val="00E56BAF"/>
    <w:rsid w:val="00E6296F"/>
    <w:rsid w:val="00E64BDF"/>
    <w:rsid w:val="00E64D72"/>
    <w:rsid w:val="00E64F4D"/>
    <w:rsid w:val="00E65291"/>
    <w:rsid w:val="00E65A6A"/>
    <w:rsid w:val="00E66607"/>
    <w:rsid w:val="00E67BB4"/>
    <w:rsid w:val="00E67D43"/>
    <w:rsid w:val="00E709B0"/>
    <w:rsid w:val="00E70AA1"/>
    <w:rsid w:val="00E7410D"/>
    <w:rsid w:val="00E74233"/>
    <w:rsid w:val="00E74B3A"/>
    <w:rsid w:val="00E75D91"/>
    <w:rsid w:val="00E7630F"/>
    <w:rsid w:val="00E80A2C"/>
    <w:rsid w:val="00E812B6"/>
    <w:rsid w:val="00E8274E"/>
    <w:rsid w:val="00E828E9"/>
    <w:rsid w:val="00E83198"/>
    <w:rsid w:val="00E845EC"/>
    <w:rsid w:val="00E84930"/>
    <w:rsid w:val="00E84BE5"/>
    <w:rsid w:val="00E84E5C"/>
    <w:rsid w:val="00E85E79"/>
    <w:rsid w:val="00E87BF6"/>
    <w:rsid w:val="00E87D5A"/>
    <w:rsid w:val="00E900F2"/>
    <w:rsid w:val="00E92083"/>
    <w:rsid w:val="00E9280F"/>
    <w:rsid w:val="00E92C70"/>
    <w:rsid w:val="00E94EE0"/>
    <w:rsid w:val="00E95AC0"/>
    <w:rsid w:val="00E95EFC"/>
    <w:rsid w:val="00E9764C"/>
    <w:rsid w:val="00E979E4"/>
    <w:rsid w:val="00E97CA7"/>
    <w:rsid w:val="00EA005E"/>
    <w:rsid w:val="00EA0748"/>
    <w:rsid w:val="00EA36B9"/>
    <w:rsid w:val="00EA50D2"/>
    <w:rsid w:val="00EA6098"/>
    <w:rsid w:val="00EA79C3"/>
    <w:rsid w:val="00EA7BF2"/>
    <w:rsid w:val="00EB1D48"/>
    <w:rsid w:val="00EB357F"/>
    <w:rsid w:val="00EB3851"/>
    <w:rsid w:val="00EB3982"/>
    <w:rsid w:val="00EB42D1"/>
    <w:rsid w:val="00EB439C"/>
    <w:rsid w:val="00EB4832"/>
    <w:rsid w:val="00EB572F"/>
    <w:rsid w:val="00EB5AA6"/>
    <w:rsid w:val="00EB7A82"/>
    <w:rsid w:val="00EC1468"/>
    <w:rsid w:val="00EC2502"/>
    <w:rsid w:val="00EC4140"/>
    <w:rsid w:val="00EC4C38"/>
    <w:rsid w:val="00EC5279"/>
    <w:rsid w:val="00EC5F13"/>
    <w:rsid w:val="00EC6D77"/>
    <w:rsid w:val="00ED217F"/>
    <w:rsid w:val="00ED27C0"/>
    <w:rsid w:val="00ED3CF5"/>
    <w:rsid w:val="00ED46FB"/>
    <w:rsid w:val="00ED59AC"/>
    <w:rsid w:val="00ED60B9"/>
    <w:rsid w:val="00EE01C6"/>
    <w:rsid w:val="00EE0DC3"/>
    <w:rsid w:val="00EE3B92"/>
    <w:rsid w:val="00EE43E5"/>
    <w:rsid w:val="00EE46BD"/>
    <w:rsid w:val="00EE4755"/>
    <w:rsid w:val="00EE6AE6"/>
    <w:rsid w:val="00EE71CA"/>
    <w:rsid w:val="00EE7CE9"/>
    <w:rsid w:val="00EE7F44"/>
    <w:rsid w:val="00EF0025"/>
    <w:rsid w:val="00EF0E8F"/>
    <w:rsid w:val="00EF0FE0"/>
    <w:rsid w:val="00EF1322"/>
    <w:rsid w:val="00EF27C2"/>
    <w:rsid w:val="00EF4747"/>
    <w:rsid w:val="00EF4921"/>
    <w:rsid w:val="00EF53E9"/>
    <w:rsid w:val="00EF56D9"/>
    <w:rsid w:val="00EF668D"/>
    <w:rsid w:val="00EF6B2E"/>
    <w:rsid w:val="00EF6B65"/>
    <w:rsid w:val="00EF7FB9"/>
    <w:rsid w:val="00F014FE"/>
    <w:rsid w:val="00F02B8B"/>
    <w:rsid w:val="00F02F3A"/>
    <w:rsid w:val="00F03539"/>
    <w:rsid w:val="00F03BA9"/>
    <w:rsid w:val="00F04031"/>
    <w:rsid w:val="00F04CC3"/>
    <w:rsid w:val="00F05625"/>
    <w:rsid w:val="00F0584C"/>
    <w:rsid w:val="00F059CA"/>
    <w:rsid w:val="00F06827"/>
    <w:rsid w:val="00F07417"/>
    <w:rsid w:val="00F1124E"/>
    <w:rsid w:val="00F122E1"/>
    <w:rsid w:val="00F1281F"/>
    <w:rsid w:val="00F1498A"/>
    <w:rsid w:val="00F14CF7"/>
    <w:rsid w:val="00F155BC"/>
    <w:rsid w:val="00F1634C"/>
    <w:rsid w:val="00F17C64"/>
    <w:rsid w:val="00F20707"/>
    <w:rsid w:val="00F209EE"/>
    <w:rsid w:val="00F212CC"/>
    <w:rsid w:val="00F22B5D"/>
    <w:rsid w:val="00F236F6"/>
    <w:rsid w:val="00F263AE"/>
    <w:rsid w:val="00F27519"/>
    <w:rsid w:val="00F27B73"/>
    <w:rsid w:val="00F31379"/>
    <w:rsid w:val="00F31D74"/>
    <w:rsid w:val="00F31FD3"/>
    <w:rsid w:val="00F31FF9"/>
    <w:rsid w:val="00F334A7"/>
    <w:rsid w:val="00F3358D"/>
    <w:rsid w:val="00F342E6"/>
    <w:rsid w:val="00F34D8B"/>
    <w:rsid w:val="00F37682"/>
    <w:rsid w:val="00F40407"/>
    <w:rsid w:val="00F409E1"/>
    <w:rsid w:val="00F40F52"/>
    <w:rsid w:val="00F41008"/>
    <w:rsid w:val="00F4168A"/>
    <w:rsid w:val="00F418B0"/>
    <w:rsid w:val="00F42F67"/>
    <w:rsid w:val="00F4489A"/>
    <w:rsid w:val="00F44A4A"/>
    <w:rsid w:val="00F45312"/>
    <w:rsid w:val="00F45EE3"/>
    <w:rsid w:val="00F470FB"/>
    <w:rsid w:val="00F47217"/>
    <w:rsid w:val="00F47C10"/>
    <w:rsid w:val="00F47FBA"/>
    <w:rsid w:val="00F52B10"/>
    <w:rsid w:val="00F5494C"/>
    <w:rsid w:val="00F54EC6"/>
    <w:rsid w:val="00F5732F"/>
    <w:rsid w:val="00F57CA2"/>
    <w:rsid w:val="00F60DD2"/>
    <w:rsid w:val="00F61BF3"/>
    <w:rsid w:val="00F61CE8"/>
    <w:rsid w:val="00F642FA"/>
    <w:rsid w:val="00F64ADC"/>
    <w:rsid w:val="00F66482"/>
    <w:rsid w:val="00F67359"/>
    <w:rsid w:val="00F67A3D"/>
    <w:rsid w:val="00F709DD"/>
    <w:rsid w:val="00F74947"/>
    <w:rsid w:val="00F77A42"/>
    <w:rsid w:val="00F77B1C"/>
    <w:rsid w:val="00F80F93"/>
    <w:rsid w:val="00F80FD9"/>
    <w:rsid w:val="00F82B9A"/>
    <w:rsid w:val="00F830C7"/>
    <w:rsid w:val="00F90E08"/>
    <w:rsid w:val="00F91282"/>
    <w:rsid w:val="00F913DD"/>
    <w:rsid w:val="00F913E3"/>
    <w:rsid w:val="00F91650"/>
    <w:rsid w:val="00F92E96"/>
    <w:rsid w:val="00F94583"/>
    <w:rsid w:val="00F95958"/>
    <w:rsid w:val="00F97B53"/>
    <w:rsid w:val="00F97FB7"/>
    <w:rsid w:val="00FA0C56"/>
    <w:rsid w:val="00FA6FA1"/>
    <w:rsid w:val="00FA74CC"/>
    <w:rsid w:val="00FA7507"/>
    <w:rsid w:val="00FA7CA0"/>
    <w:rsid w:val="00FB1136"/>
    <w:rsid w:val="00FB394D"/>
    <w:rsid w:val="00FB4A13"/>
    <w:rsid w:val="00FB4B73"/>
    <w:rsid w:val="00FB536E"/>
    <w:rsid w:val="00FB5CAB"/>
    <w:rsid w:val="00FB7848"/>
    <w:rsid w:val="00FB7CA0"/>
    <w:rsid w:val="00FC07F1"/>
    <w:rsid w:val="00FC0AAB"/>
    <w:rsid w:val="00FC11E1"/>
    <w:rsid w:val="00FC14B0"/>
    <w:rsid w:val="00FC18A6"/>
    <w:rsid w:val="00FC4A2B"/>
    <w:rsid w:val="00FC4BDF"/>
    <w:rsid w:val="00FC54DE"/>
    <w:rsid w:val="00FC6A68"/>
    <w:rsid w:val="00FD2BE9"/>
    <w:rsid w:val="00FD40FC"/>
    <w:rsid w:val="00FD6657"/>
    <w:rsid w:val="00FE0D36"/>
    <w:rsid w:val="00FE2982"/>
    <w:rsid w:val="00FE2D15"/>
    <w:rsid w:val="00FE4C0A"/>
    <w:rsid w:val="00FE4E28"/>
    <w:rsid w:val="00FE5FE5"/>
    <w:rsid w:val="00FE71A6"/>
    <w:rsid w:val="00FE7A4F"/>
    <w:rsid w:val="00FE7EB9"/>
    <w:rsid w:val="00FF12F7"/>
    <w:rsid w:val="00FF2904"/>
    <w:rsid w:val="00FF381B"/>
    <w:rsid w:val="00FF42DA"/>
    <w:rsid w:val="00FF73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6D80F3"/>
  <w15:chartTrackingRefBased/>
  <w15:docId w15:val="{002DC4CB-0C21-4E06-B5FF-3B8D02AA4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3013"/>
  </w:style>
  <w:style w:type="paragraph" w:styleId="Ttulo2">
    <w:name w:val="heading 2"/>
    <w:basedOn w:val="Normal"/>
    <w:next w:val="Normal"/>
    <w:link w:val="Ttulo2Car"/>
    <w:uiPriority w:val="9"/>
    <w:unhideWhenUsed/>
    <w:qFormat/>
    <w:rsid w:val="00252EDE"/>
    <w:pPr>
      <w:keepNext/>
      <w:keepLines/>
      <w:spacing w:after="0" w:line="240" w:lineRule="auto"/>
      <w:outlineLvl w:val="1"/>
    </w:pPr>
    <w:rPr>
      <w:rFonts w:ascii="Arial" w:eastAsiaTheme="majorEastAsia" w:hAnsi="Arial" w:cstheme="majorBidi"/>
      <w:b/>
      <w:color w:val="2F5496" w:themeColor="accent1" w:themeShade="BF"/>
      <w:sz w:val="24"/>
      <w:szCs w:val="26"/>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52EDE"/>
    <w:rPr>
      <w:rFonts w:ascii="Arial" w:eastAsiaTheme="majorEastAsia" w:hAnsi="Arial" w:cstheme="majorBidi"/>
      <w:b/>
      <w:color w:val="2F5496" w:themeColor="accent1" w:themeShade="BF"/>
      <w:sz w:val="24"/>
      <w:szCs w:val="26"/>
      <w:lang w:val="en-US"/>
    </w:rPr>
  </w:style>
  <w:style w:type="paragraph" w:customStyle="1" w:styleId="n0">
    <w:name w:val="n0"/>
    <w:basedOn w:val="Normal"/>
    <w:rsid w:val="00252EDE"/>
    <w:pPr>
      <w:keepLines/>
      <w:spacing w:before="240" w:after="0" w:line="240" w:lineRule="auto"/>
      <w:ind w:left="709" w:right="-351" w:hanging="709"/>
      <w:jc w:val="both"/>
    </w:pPr>
    <w:rPr>
      <w:rFonts w:ascii="Arial" w:eastAsia="Times New Roman" w:hAnsi="Arial" w:cs="Arial"/>
      <w:color w:val="800080"/>
      <w:sz w:val="24"/>
      <w:szCs w:val="24"/>
      <w:lang w:val="es-ES_tradnl" w:eastAsia="es-ES"/>
    </w:rPr>
  </w:style>
  <w:style w:type="paragraph" w:styleId="Subttulo">
    <w:name w:val="Subtitle"/>
    <w:basedOn w:val="Normal"/>
    <w:link w:val="SubttuloCar"/>
    <w:qFormat/>
    <w:rsid w:val="00252EDE"/>
    <w:pPr>
      <w:spacing w:after="0" w:line="240" w:lineRule="auto"/>
      <w:jc w:val="center"/>
    </w:pPr>
    <w:rPr>
      <w:rFonts w:ascii="Arial" w:eastAsia="Times New Roman" w:hAnsi="Arial" w:cs="Arial"/>
      <w:b/>
      <w:bCs/>
      <w:sz w:val="24"/>
      <w:szCs w:val="24"/>
      <w:lang w:val="es-ES_tradnl" w:eastAsia="es-ES"/>
    </w:rPr>
  </w:style>
  <w:style w:type="character" w:customStyle="1" w:styleId="SubttuloCar">
    <w:name w:val="Subtítulo Car"/>
    <w:basedOn w:val="Fuentedeprrafopredeter"/>
    <w:link w:val="Subttulo"/>
    <w:rsid w:val="00252EDE"/>
    <w:rPr>
      <w:rFonts w:ascii="Arial" w:eastAsia="Times New Roman" w:hAnsi="Arial" w:cs="Arial"/>
      <w:b/>
      <w:bCs/>
      <w:sz w:val="24"/>
      <w:szCs w:val="24"/>
      <w:lang w:val="es-ES_tradnl" w:eastAsia="es-ES"/>
    </w:rPr>
  </w:style>
  <w:style w:type="paragraph" w:styleId="Textonotapie">
    <w:name w:val="footnote text"/>
    <w:basedOn w:val="Normal"/>
    <w:link w:val="TextonotapieCar"/>
    <w:rsid w:val="00252EDE"/>
    <w:pPr>
      <w:spacing w:after="0" w:line="240" w:lineRule="auto"/>
      <w:jc w:val="both"/>
    </w:pPr>
    <w:rPr>
      <w:rFonts w:ascii="Arial" w:eastAsia="Times New Roman" w:hAnsi="Arial" w:cs="Arial"/>
      <w:sz w:val="20"/>
      <w:szCs w:val="20"/>
      <w:lang w:val="es-ES_tradnl" w:eastAsia="es-ES"/>
    </w:rPr>
  </w:style>
  <w:style w:type="character" w:customStyle="1" w:styleId="TextonotapieCar">
    <w:name w:val="Texto nota pie Car"/>
    <w:basedOn w:val="Fuentedeprrafopredeter"/>
    <w:link w:val="Textonotapie"/>
    <w:rsid w:val="00252EDE"/>
    <w:rPr>
      <w:rFonts w:ascii="Arial" w:eastAsia="Times New Roman" w:hAnsi="Arial" w:cs="Arial"/>
      <w:sz w:val="20"/>
      <w:szCs w:val="20"/>
      <w:lang w:val="es-ES_tradnl" w:eastAsia="es-ES"/>
    </w:rPr>
  </w:style>
  <w:style w:type="character" w:styleId="Refdenotaalpie">
    <w:name w:val="footnote reference"/>
    <w:basedOn w:val="Fuentedeprrafopredeter"/>
    <w:rsid w:val="00252EDE"/>
    <w:rPr>
      <w:vertAlign w:val="superscript"/>
    </w:rPr>
  </w:style>
  <w:style w:type="paragraph" w:styleId="Ttulo">
    <w:name w:val="Title"/>
    <w:basedOn w:val="Normal"/>
    <w:link w:val="TtuloCar"/>
    <w:qFormat/>
    <w:rsid w:val="00252EDE"/>
    <w:pPr>
      <w:spacing w:after="0" w:line="240" w:lineRule="auto"/>
      <w:jc w:val="center"/>
    </w:pPr>
    <w:rPr>
      <w:rFonts w:ascii="Arial" w:eastAsia="Times New Roman" w:hAnsi="Arial" w:cs="Times New Roman"/>
      <w:b/>
      <w:sz w:val="24"/>
      <w:szCs w:val="20"/>
      <w:lang w:val="es-ES" w:eastAsia="es-ES"/>
    </w:rPr>
  </w:style>
  <w:style w:type="character" w:customStyle="1" w:styleId="TtuloCar">
    <w:name w:val="Título Car"/>
    <w:basedOn w:val="Fuentedeprrafopredeter"/>
    <w:link w:val="Ttulo"/>
    <w:rsid w:val="00252EDE"/>
    <w:rPr>
      <w:rFonts w:ascii="Arial" w:eastAsia="Times New Roman" w:hAnsi="Arial" w:cs="Times New Roman"/>
      <w:b/>
      <w:sz w:val="24"/>
      <w:szCs w:val="20"/>
      <w:lang w:val="es-ES" w:eastAsia="es-ES"/>
    </w:rPr>
  </w:style>
  <w:style w:type="table" w:customStyle="1" w:styleId="Tabladelista4-nfasis21">
    <w:name w:val="Tabla de lista 4 - Énfasis 21"/>
    <w:basedOn w:val="Tablanormal"/>
    <w:uiPriority w:val="49"/>
    <w:rsid w:val="00252EDE"/>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Mapadeldocumento1">
    <w:name w:val="Mapa del documento1"/>
    <w:basedOn w:val="Normal"/>
    <w:rsid w:val="00252EDE"/>
    <w:pPr>
      <w:shd w:val="clear" w:color="auto" w:fill="000080"/>
      <w:spacing w:after="0" w:line="240" w:lineRule="auto"/>
      <w:jc w:val="both"/>
    </w:pPr>
    <w:rPr>
      <w:rFonts w:ascii="Tahoma" w:eastAsia="Times New Roman" w:hAnsi="Tahoma" w:cs="Tahoma"/>
      <w:sz w:val="24"/>
      <w:szCs w:val="24"/>
      <w:lang w:val="es-ES_tradnl" w:eastAsia="es-ES"/>
    </w:rPr>
  </w:style>
  <w:style w:type="paragraph" w:styleId="Prrafodelista">
    <w:name w:val="List Paragraph"/>
    <w:basedOn w:val="Normal"/>
    <w:uiPriority w:val="34"/>
    <w:qFormat/>
    <w:rsid w:val="00252EDE"/>
    <w:pPr>
      <w:ind w:left="720"/>
      <w:contextualSpacing/>
    </w:pPr>
  </w:style>
  <w:style w:type="paragraph" w:styleId="Textodeglobo">
    <w:name w:val="Balloon Text"/>
    <w:basedOn w:val="Normal"/>
    <w:link w:val="TextodegloboCar"/>
    <w:uiPriority w:val="99"/>
    <w:semiHidden/>
    <w:unhideWhenUsed/>
    <w:rsid w:val="00252ED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2EDE"/>
    <w:rPr>
      <w:rFonts w:ascii="Segoe UI" w:hAnsi="Segoe UI" w:cs="Segoe UI"/>
      <w:sz w:val="18"/>
      <w:szCs w:val="18"/>
    </w:rPr>
  </w:style>
  <w:style w:type="paragraph" w:styleId="NormalWeb">
    <w:name w:val="Normal (Web)"/>
    <w:basedOn w:val="Normal"/>
    <w:uiPriority w:val="99"/>
    <w:semiHidden/>
    <w:unhideWhenUsed/>
    <w:rsid w:val="00252EDE"/>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252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6">
    <w:name w:val="Grid Table 4 Accent 6"/>
    <w:basedOn w:val="Tablanormal"/>
    <w:uiPriority w:val="49"/>
    <w:rsid w:val="00252EDE"/>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5oscura-nfasis4">
    <w:name w:val="Grid Table 5 Dark Accent 4"/>
    <w:basedOn w:val="Tablanormal"/>
    <w:uiPriority w:val="50"/>
    <w:rsid w:val="00252ED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concuadrcula5oscura-nfasis3">
    <w:name w:val="Grid Table 5 Dark Accent 3"/>
    <w:basedOn w:val="Tablanormal"/>
    <w:uiPriority w:val="50"/>
    <w:rsid w:val="00252ED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5oscura-nfasis2">
    <w:name w:val="Grid Table 5 Dark Accent 2"/>
    <w:basedOn w:val="Tablanormal"/>
    <w:uiPriority w:val="50"/>
    <w:rsid w:val="00252ED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customStyle="1" w:styleId="xmsolistparagraph">
    <w:name w:val="x_msolistparagraph"/>
    <w:basedOn w:val="Normal"/>
    <w:rsid w:val="00252EDE"/>
    <w:pPr>
      <w:spacing w:after="0" w:line="240" w:lineRule="auto"/>
      <w:ind w:left="720"/>
    </w:pPr>
    <w:rPr>
      <w:rFonts w:ascii="Calibri" w:hAnsi="Calibri" w:cs="Calibri"/>
      <w:lang w:eastAsia="es-MX"/>
    </w:rPr>
  </w:style>
  <w:style w:type="table" w:styleId="Tablaconcuadrcula4-nfasis1">
    <w:name w:val="Grid Table 4 Accent 1"/>
    <w:basedOn w:val="Tablanormal"/>
    <w:uiPriority w:val="49"/>
    <w:rsid w:val="00252EDE"/>
    <w:pPr>
      <w:spacing w:after="0" w:line="240" w:lineRule="auto"/>
    </w:pPr>
    <w:rPr>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n01">
    <w:name w:val="n01"/>
    <w:basedOn w:val="Normal"/>
    <w:rsid w:val="00252EDE"/>
    <w:pPr>
      <w:keepLines/>
      <w:spacing w:before="240" w:after="0" w:line="240" w:lineRule="auto"/>
      <w:ind w:left="720" w:hanging="720"/>
      <w:jc w:val="both"/>
    </w:pPr>
    <w:rPr>
      <w:rFonts w:ascii="Univers (W1)" w:eastAsia="Times New Roman" w:hAnsi="Univers (W1)" w:cs="Arial"/>
      <w:color w:val="800080"/>
      <w:sz w:val="24"/>
      <w:szCs w:val="24"/>
      <w:lang w:val="es-ES_tradnl" w:eastAsia="es-ES"/>
    </w:rPr>
  </w:style>
  <w:style w:type="character" w:styleId="Hipervnculo">
    <w:name w:val="Hyperlink"/>
    <w:basedOn w:val="Fuentedeprrafopredeter"/>
    <w:rsid w:val="00252EDE"/>
    <w:rPr>
      <w:color w:val="0000FF"/>
      <w:u w:val="single"/>
    </w:rPr>
  </w:style>
  <w:style w:type="character" w:styleId="Textodelmarcadordeposicin">
    <w:name w:val="Placeholder Text"/>
    <w:basedOn w:val="Fuentedeprrafopredeter"/>
    <w:uiPriority w:val="99"/>
    <w:semiHidden/>
    <w:rsid w:val="00252EDE"/>
    <w:rPr>
      <w:color w:val="808080"/>
    </w:rPr>
  </w:style>
  <w:style w:type="paragraph" w:styleId="Encabezado">
    <w:name w:val="header"/>
    <w:basedOn w:val="Normal"/>
    <w:link w:val="EncabezadoCar"/>
    <w:uiPriority w:val="99"/>
    <w:unhideWhenUsed/>
    <w:rsid w:val="00743F2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43F28"/>
  </w:style>
  <w:style w:type="paragraph" w:styleId="Piedepgina">
    <w:name w:val="footer"/>
    <w:basedOn w:val="Normal"/>
    <w:link w:val="PiedepginaCar"/>
    <w:uiPriority w:val="99"/>
    <w:unhideWhenUsed/>
    <w:rsid w:val="00743F2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3F28"/>
  </w:style>
  <w:style w:type="character" w:customStyle="1" w:styleId="Mencinsinresolver1">
    <w:name w:val="Mención sin resolver1"/>
    <w:basedOn w:val="Fuentedeprrafopredeter"/>
    <w:uiPriority w:val="99"/>
    <w:semiHidden/>
    <w:unhideWhenUsed/>
    <w:rsid w:val="00743F28"/>
    <w:rPr>
      <w:color w:val="605E5C"/>
      <w:shd w:val="clear" w:color="auto" w:fill="E1DFDD"/>
    </w:rPr>
  </w:style>
  <w:style w:type="paragraph" w:styleId="Revisin">
    <w:name w:val="Revision"/>
    <w:hidden/>
    <w:uiPriority w:val="99"/>
    <w:semiHidden/>
    <w:rsid w:val="00A83689"/>
    <w:pPr>
      <w:spacing w:after="0" w:line="240" w:lineRule="auto"/>
    </w:pPr>
  </w:style>
  <w:style w:type="character" w:styleId="Refdecomentario">
    <w:name w:val="annotation reference"/>
    <w:basedOn w:val="Fuentedeprrafopredeter"/>
    <w:uiPriority w:val="99"/>
    <w:semiHidden/>
    <w:unhideWhenUsed/>
    <w:rsid w:val="002525B7"/>
    <w:rPr>
      <w:sz w:val="16"/>
      <w:szCs w:val="16"/>
    </w:rPr>
  </w:style>
  <w:style w:type="paragraph" w:styleId="Textocomentario">
    <w:name w:val="annotation text"/>
    <w:basedOn w:val="Normal"/>
    <w:link w:val="TextocomentarioCar"/>
    <w:uiPriority w:val="99"/>
    <w:semiHidden/>
    <w:unhideWhenUsed/>
    <w:rsid w:val="002525B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525B7"/>
    <w:rPr>
      <w:sz w:val="20"/>
      <w:szCs w:val="20"/>
    </w:rPr>
  </w:style>
  <w:style w:type="paragraph" w:styleId="Asuntodelcomentario">
    <w:name w:val="annotation subject"/>
    <w:basedOn w:val="Textocomentario"/>
    <w:next w:val="Textocomentario"/>
    <w:link w:val="AsuntodelcomentarioCar"/>
    <w:uiPriority w:val="99"/>
    <w:semiHidden/>
    <w:unhideWhenUsed/>
    <w:rsid w:val="002525B7"/>
    <w:rPr>
      <w:b/>
      <w:bCs/>
    </w:rPr>
  </w:style>
  <w:style w:type="character" w:customStyle="1" w:styleId="AsuntodelcomentarioCar">
    <w:name w:val="Asunto del comentario Car"/>
    <w:basedOn w:val="TextocomentarioCar"/>
    <w:link w:val="Asuntodelcomentario"/>
    <w:uiPriority w:val="99"/>
    <w:semiHidden/>
    <w:rsid w:val="002525B7"/>
    <w:rPr>
      <w:b/>
      <w:bCs/>
      <w:sz w:val="20"/>
      <w:szCs w:val="20"/>
    </w:rPr>
  </w:style>
  <w:style w:type="paragraph" w:customStyle="1" w:styleId="Default">
    <w:name w:val="Default"/>
    <w:rsid w:val="00FE7A4F"/>
    <w:pPr>
      <w:autoSpaceDE w:val="0"/>
      <w:autoSpaceDN w:val="0"/>
      <w:adjustRightInd w:val="0"/>
      <w:spacing w:after="0" w:line="240" w:lineRule="auto"/>
    </w:pPr>
    <w:rPr>
      <w:rFonts w:ascii="Chilena" w:hAnsi="Chilena" w:cs="Chilena"/>
      <w:color w:val="000000"/>
      <w:sz w:val="24"/>
      <w:szCs w:val="24"/>
    </w:rPr>
  </w:style>
  <w:style w:type="character" w:customStyle="1" w:styleId="A2">
    <w:name w:val="A2"/>
    <w:uiPriority w:val="99"/>
    <w:rsid w:val="00FE7A4F"/>
    <w:rPr>
      <w:rFonts w:cs="Chilena"/>
      <w:b/>
      <w:bCs/>
      <w:color w:val="FFFFFF"/>
      <w:sz w:val="40"/>
      <w:szCs w:val="40"/>
    </w:rPr>
  </w:style>
  <w:style w:type="paragraph" w:styleId="Textoindependiente2">
    <w:name w:val="Body Text 2"/>
    <w:basedOn w:val="Normal"/>
    <w:link w:val="Textoindependiente2Car"/>
    <w:semiHidden/>
    <w:unhideWhenUsed/>
    <w:rsid w:val="00B75416"/>
    <w:pPr>
      <w:spacing w:before="240" w:after="0" w:line="240" w:lineRule="auto"/>
      <w:ind w:right="1951"/>
      <w:jc w:val="both"/>
    </w:pPr>
    <w:rPr>
      <w:rFonts w:ascii="Arial" w:eastAsia="Times New Roman" w:hAnsi="Arial" w:cs="Arial"/>
      <w:sz w:val="24"/>
      <w:szCs w:val="24"/>
      <w:lang w:val="es-ES_tradnl" w:eastAsia="es-ES"/>
    </w:rPr>
  </w:style>
  <w:style w:type="character" w:customStyle="1" w:styleId="Textoindependiente2Car">
    <w:name w:val="Texto independiente 2 Car"/>
    <w:basedOn w:val="Fuentedeprrafopredeter"/>
    <w:link w:val="Textoindependiente2"/>
    <w:semiHidden/>
    <w:rsid w:val="00B75416"/>
    <w:rPr>
      <w:rFonts w:ascii="Arial" w:eastAsia="Times New Roman" w:hAnsi="Arial" w:cs="Arial"/>
      <w:sz w:val="24"/>
      <w:szCs w:val="24"/>
      <w:lang w:val="es-ES_tradnl" w:eastAsia="es-ES"/>
    </w:rPr>
  </w:style>
  <w:style w:type="paragraph" w:customStyle="1" w:styleId="p0">
    <w:name w:val="p0"/>
    <w:basedOn w:val="Normal"/>
    <w:rsid w:val="00B75416"/>
    <w:pPr>
      <w:keepLines/>
      <w:widowControl w:val="0"/>
      <w:snapToGrid w:val="0"/>
      <w:spacing w:before="240" w:after="0" w:line="240" w:lineRule="auto"/>
      <w:jc w:val="both"/>
    </w:pPr>
    <w:rPr>
      <w:rFonts w:ascii="Helvetica" w:eastAsia="Times New Roman" w:hAnsi="Helvetica" w:cs="Arial"/>
      <w:color w:val="0000FF"/>
      <w:sz w:val="24"/>
      <w:szCs w:val="24"/>
      <w:lang w:val="es-ES_tradnl" w:eastAsia="es-ES"/>
    </w:rPr>
  </w:style>
  <w:style w:type="table" w:styleId="Tablaconcuadrcula4-nfasis2">
    <w:name w:val="Grid Table 4 Accent 2"/>
    <w:basedOn w:val="Tablanormal"/>
    <w:uiPriority w:val="49"/>
    <w:rsid w:val="00811F6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Mencinsinresolver2">
    <w:name w:val="Mención sin resolver2"/>
    <w:basedOn w:val="Fuentedeprrafopredeter"/>
    <w:uiPriority w:val="99"/>
    <w:semiHidden/>
    <w:unhideWhenUsed/>
    <w:rsid w:val="005068B9"/>
    <w:rPr>
      <w:color w:val="605E5C"/>
      <w:shd w:val="clear" w:color="auto" w:fill="E1DFDD"/>
    </w:rPr>
  </w:style>
  <w:style w:type="paragraph" w:customStyle="1" w:styleId="Profesin">
    <w:name w:val="Profesión"/>
    <w:basedOn w:val="Normal"/>
    <w:rsid w:val="00C60D6E"/>
    <w:pPr>
      <w:spacing w:after="0" w:line="240" w:lineRule="auto"/>
      <w:jc w:val="center"/>
    </w:pPr>
    <w:rPr>
      <w:rFonts w:ascii="Arial" w:eastAsia="Times New Roman" w:hAnsi="Arial" w:cs="Arial"/>
      <w:b/>
      <w:bCs/>
      <w:caps/>
      <w:sz w:val="28"/>
      <w:szCs w:val="28"/>
      <w:lang w:val="es-ES_tradnl" w:eastAsia="es-ES"/>
    </w:rPr>
  </w:style>
  <w:style w:type="paragraph" w:customStyle="1" w:styleId="Textonotafinal">
    <w:name w:val="Texto nota final"/>
    <w:basedOn w:val="Normal"/>
    <w:rsid w:val="00945818"/>
    <w:pPr>
      <w:spacing w:after="0" w:line="240" w:lineRule="auto"/>
      <w:jc w:val="both"/>
    </w:pPr>
    <w:rPr>
      <w:rFonts w:ascii="Arial" w:eastAsia="Times New Roman" w:hAnsi="Arial" w:cs="Arial"/>
      <w:sz w:val="20"/>
      <w:szCs w:val="20"/>
      <w:lang w:val="es-ES_tradnl" w:eastAsia="es-ES"/>
    </w:rPr>
  </w:style>
  <w:style w:type="paragraph" w:styleId="Textosinformato">
    <w:name w:val="Plain Text"/>
    <w:basedOn w:val="Normal"/>
    <w:link w:val="TextosinformatoCar"/>
    <w:uiPriority w:val="99"/>
    <w:unhideWhenUsed/>
    <w:rsid w:val="00761F27"/>
    <w:pPr>
      <w:spacing w:after="0" w:line="240" w:lineRule="auto"/>
    </w:pPr>
    <w:rPr>
      <w:rFonts w:ascii="Calibri" w:hAnsi="Calibri"/>
      <w:szCs w:val="21"/>
    </w:rPr>
  </w:style>
  <w:style w:type="character" w:customStyle="1" w:styleId="TextosinformatoCar">
    <w:name w:val="Texto sin formato Car"/>
    <w:basedOn w:val="Fuentedeprrafopredeter"/>
    <w:link w:val="Textosinformato"/>
    <w:uiPriority w:val="99"/>
    <w:rsid w:val="00761F27"/>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06084">
      <w:bodyDiv w:val="1"/>
      <w:marLeft w:val="0"/>
      <w:marRight w:val="0"/>
      <w:marTop w:val="0"/>
      <w:marBottom w:val="0"/>
      <w:divBdr>
        <w:top w:val="none" w:sz="0" w:space="0" w:color="auto"/>
        <w:left w:val="none" w:sz="0" w:space="0" w:color="auto"/>
        <w:bottom w:val="none" w:sz="0" w:space="0" w:color="auto"/>
        <w:right w:val="none" w:sz="0" w:space="0" w:color="auto"/>
      </w:divBdr>
    </w:div>
    <w:div w:id="64575043">
      <w:bodyDiv w:val="1"/>
      <w:marLeft w:val="0"/>
      <w:marRight w:val="0"/>
      <w:marTop w:val="0"/>
      <w:marBottom w:val="0"/>
      <w:divBdr>
        <w:top w:val="none" w:sz="0" w:space="0" w:color="auto"/>
        <w:left w:val="none" w:sz="0" w:space="0" w:color="auto"/>
        <w:bottom w:val="none" w:sz="0" w:space="0" w:color="auto"/>
        <w:right w:val="none" w:sz="0" w:space="0" w:color="auto"/>
      </w:divBdr>
    </w:div>
    <w:div w:id="65421716">
      <w:bodyDiv w:val="1"/>
      <w:marLeft w:val="0"/>
      <w:marRight w:val="0"/>
      <w:marTop w:val="0"/>
      <w:marBottom w:val="0"/>
      <w:divBdr>
        <w:top w:val="none" w:sz="0" w:space="0" w:color="auto"/>
        <w:left w:val="none" w:sz="0" w:space="0" w:color="auto"/>
        <w:bottom w:val="none" w:sz="0" w:space="0" w:color="auto"/>
        <w:right w:val="none" w:sz="0" w:space="0" w:color="auto"/>
      </w:divBdr>
    </w:div>
    <w:div w:id="65688568">
      <w:bodyDiv w:val="1"/>
      <w:marLeft w:val="0"/>
      <w:marRight w:val="0"/>
      <w:marTop w:val="0"/>
      <w:marBottom w:val="0"/>
      <w:divBdr>
        <w:top w:val="none" w:sz="0" w:space="0" w:color="auto"/>
        <w:left w:val="none" w:sz="0" w:space="0" w:color="auto"/>
        <w:bottom w:val="none" w:sz="0" w:space="0" w:color="auto"/>
        <w:right w:val="none" w:sz="0" w:space="0" w:color="auto"/>
      </w:divBdr>
    </w:div>
    <w:div w:id="65692073">
      <w:bodyDiv w:val="1"/>
      <w:marLeft w:val="0"/>
      <w:marRight w:val="0"/>
      <w:marTop w:val="0"/>
      <w:marBottom w:val="0"/>
      <w:divBdr>
        <w:top w:val="none" w:sz="0" w:space="0" w:color="auto"/>
        <w:left w:val="none" w:sz="0" w:space="0" w:color="auto"/>
        <w:bottom w:val="none" w:sz="0" w:space="0" w:color="auto"/>
        <w:right w:val="none" w:sz="0" w:space="0" w:color="auto"/>
      </w:divBdr>
    </w:div>
    <w:div w:id="73823318">
      <w:bodyDiv w:val="1"/>
      <w:marLeft w:val="0"/>
      <w:marRight w:val="0"/>
      <w:marTop w:val="0"/>
      <w:marBottom w:val="0"/>
      <w:divBdr>
        <w:top w:val="none" w:sz="0" w:space="0" w:color="auto"/>
        <w:left w:val="none" w:sz="0" w:space="0" w:color="auto"/>
        <w:bottom w:val="none" w:sz="0" w:space="0" w:color="auto"/>
        <w:right w:val="none" w:sz="0" w:space="0" w:color="auto"/>
      </w:divBdr>
    </w:div>
    <w:div w:id="101925133">
      <w:bodyDiv w:val="1"/>
      <w:marLeft w:val="0"/>
      <w:marRight w:val="0"/>
      <w:marTop w:val="0"/>
      <w:marBottom w:val="0"/>
      <w:divBdr>
        <w:top w:val="none" w:sz="0" w:space="0" w:color="auto"/>
        <w:left w:val="none" w:sz="0" w:space="0" w:color="auto"/>
        <w:bottom w:val="none" w:sz="0" w:space="0" w:color="auto"/>
        <w:right w:val="none" w:sz="0" w:space="0" w:color="auto"/>
      </w:divBdr>
    </w:div>
    <w:div w:id="134878289">
      <w:bodyDiv w:val="1"/>
      <w:marLeft w:val="0"/>
      <w:marRight w:val="0"/>
      <w:marTop w:val="0"/>
      <w:marBottom w:val="0"/>
      <w:divBdr>
        <w:top w:val="none" w:sz="0" w:space="0" w:color="auto"/>
        <w:left w:val="none" w:sz="0" w:space="0" w:color="auto"/>
        <w:bottom w:val="none" w:sz="0" w:space="0" w:color="auto"/>
        <w:right w:val="none" w:sz="0" w:space="0" w:color="auto"/>
      </w:divBdr>
    </w:div>
    <w:div w:id="138159015">
      <w:bodyDiv w:val="1"/>
      <w:marLeft w:val="0"/>
      <w:marRight w:val="0"/>
      <w:marTop w:val="0"/>
      <w:marBottom w:val="0"/>
      <w:divBdr>
        <w:top w:val="none" w:sz="0" w:space="0" w:color="auto"/>
        <w:left w:val="none" w:sz="0" w:space="0" w:color="auto"/>
        <w:bottom w:val="none" w:sz="0" w:space="0" w:color="auto"/>
        <w:right w:val="none" w:sz="0" w:space="0" w:color="auto"/>
      </w:divBdr>
    </w:div>
    <w:div w:id="141626399">
      <w:bodyDiv w:val="1"/>
      <w:marLeft w:val="0"/>
      <w:marRight w:val="0"/>
      <w:marTop w:val="0"/>
      <w:marBottom w:val="0"/>
      <w:divBdr>
        <w:top w:val="none" w:sz="0" w:space="0" w:color="auto"/>
        <w:left w:val="none" w:sz="0" w:space="0" w:color="auto"/>
        <w:bottom w:val="none" w:sz="0" w:space="0" w:color="auto"/>
        <w:right w:val="none" w:sz="0" w:space="0" w:color="auto"/>
      </w:divBdr>
    </w:div>
    <w:div w:id="153761878">
      <w:bodyDiv w:val="1"/>
      <w:marLeft w:val="0"/>
      <w:marRight w:val="0"/>
      <w:marTop w:val="0"/>
      <w:marBottom w:val="0"/>
      <w:divBdr>
        <w:top w:val="none" w:sz="0" w:space="0" w:color="auto"/>
        <w:left w:val="none" w:sz="0" w:space="0" w:color="auto"/>
        <w:bottom w:val="none" w:sz="0" w:space="0" w:color="auto"/>
        <w:right w:val="none" w:sz="0" w:space="0" w:color="auto"/>
      </w:divBdr>
    </w:div>
    <w:div w:id="162548260">
      <w:bodyDiv w:val="1"/>
      <w:marLeft w:val="0"/>
      <w:marRight w:val="0"/>
      <w:marTop w:val="0"/>
      <w:marBottom w:val="0"/>
      <w:divBdr>
        <w:top w:val="none" w:sz="0" w:space="0" w:color="auto"/>
        <w:left w:val="none" w:sz="0" w:space="0" w:color="auto"/>
        <w:bottom w:val="none" w:sz="0" w:space="0" w:color="auto"/>
        <w:right w:val="none" w:sz="0" w:space="0" w:color="auto"/>
      </w:divBdr>
    </w:div>
    <w:div w:id="173036271">
      <w:bodyDiv w:val="1"/>
      <w:marLeft w:val="0"/>
      <w:marRight w:val="0"/>
      <w:marTop w:val="0"/>
      <w:marBottom w:val="0"/>
      <w:divBdr>
        <w:top w:val="none" w:sz="0" w:space="0" w:color="auto"/>
        <w:left w:val="none" w:sz="0" w:space="0" w:color="auto"/>
        <w:bottom w:val="none" w:sz="0" w:space="0" w:color="auto"/>
        <w:right w:val="none" w:sz="0" w:space="0" w:color="auto"/>
      </w:divBdr>
    </w:div>
    <w:div w:id="173616451">
      <w:bodyDiv w:val="1"/>
      <w:marLeft w:val="0"/>
      <w:marRight w:val="0"/>
      <w:marTop w:val="0"/>
      <w:marBottom w:val="0"/>
      <w:divBdr>
        <w:top w:val="none" w:sz="0" w:space="0" w:color="auto"/>
        <w:left w:val="none" w:sz="0" w:space="0" w:color="auto"/>
        <w:bottom w:val="none" w:sz="0" w:space="0" w:color="auto"/>
        <w:right w:val="none" w:sz="0" w:space="0" w:color="auto"/>
      </w:divBdr>
    </w:div>
    <w:div w:id="197546983">
      <w:bodyDiv w:val="1"/>
      <w:marLeft w:val="0"/>
      <w:marRight w:val="0"/>
      <w:marTop w:val="0"/>
      <w:marBottom w:val="0"/>
      <w:divBdr>
        <w:top w:val="none" w:sz="0" w:space="0" w:color="auto"/>
        <w:left w:val="none" w:sz="0" w:space="0" w:color="auto"/>
        <w:bottom w:val="none" w:sz="0" w:space="0" w:color="auto"/>
        <w:right w:val="none" w:sz="0" w:space="0" w:color="auto"/>
      </w:divBdr>
    </w:div>
    <w:div w:id="215632035">
      <w:bodyDiv w:val="1"/>
      <w:marLeft w:val="0"/>
      <w:marRight w:val="0"/>
      <w:marTop w:val="0"/>
      <w:marBottom w:val="0"/>
      <w:divBdr>
        <w:top w:val="none" w:sz="0" w:space="0" w:color="auto"/>
        <w:left w:val="none" w:sz="0" w:space="0" w:color="auto"/>
        <w:bottom w:val="none" w:sz="0" w:space="0" w:color="auto"/>
        <w:right w:val="none" w:sz="0" w:space="0" w:color="auto"/>
      </w:divBdr>
    </w:div>
    <w:div w:id="220405689">
      <w:bodyDiv w:val="1"/>
      <w:marLeft w:val="0"/>
      <w:marRight w:val="0"/>
      <w:marTop w:val="0"/>
      <w:marBottom w:val="0"/>
      <w:divBdr>
        <w:top w:val="none" w:sz="0" w:space="0" w:color="auto"/>
        <w:left w:val="none" w:sz="0" w:space="0" w:color="auto"/>
        <w:bottom w:val="none" w:sz="0" w:space="0" w:color="auto"/>
        <w:right w:val="none" w:sz="0" w:space="0" w:color="auto"/>
      </w:divBdr>
    </w:div>
    <w:div w:id="229315933">
      <w:bodyDiv w:val="1"/>
      <w:marLeft w:val="0"/>
      <w:marRight w:val="0"/>
      <w:marTop w:val="0"/>
      <w:marBottom w:val="0"/>
      <w:divBdr>
        <w:top w:val="none" w:sz="0" w:space="0" w:color="auto"/>
        <w:left w:val="none" w:sz="0" w:space="0" w:color="auto"/>
        <w:bottom w:val="none" w:sz="0" w:space="0" w:color="auto"/>
        <w:right w:val="none" w:sz="0" w:space="0" w:color="auto"/>
      </w:divBdr>
    </w:div>
    <w:div w:id="232006153">
      <w:bodyDiv w:val="1"/>
      <w:marLeft w:val="0"/>
      <w:marRight w:val="0"/>
      <w:marTop w:val="0"/>
      <w:marBottom w:val="0"/>
      <w:divBdr>
        <w:top w:val="none" w:sz="0" w:space="0" w:color="auto"/>
        <w:left w:val="none" w:sz="0" w:space="0" w:color="auto"/>
        <w:bottom w:val="none" w:sz="0" w:space="0" w:color="auto"/>
        <w:right w:val="none" w:sz="0" w:space="0" w:color="auto"/>
      </w:divBdr>
    </w:div>
    <w:div w:id="233862155">
      <w:bodyDiv w:val="1"/>
      <w:marLeft w:val="0"/>
      <w:marRight w:val="0"/>
      <w:marTop w:val="0"/>
      <w:marBottom w:val="0"/>
      <w:divBdr>
        <w:top w:val="none" w:sz="0" w:space="0" w:color="auto"/>
        <w:left w:val="none" w:sz="0" w:space="0" w:color="auto"/>
        <w:bottom w:val="none" w:sz="0" w:space="0" w:color="auto"/>
        <w:right w:val="none" w:sz="0" w:space="0" w:color="auto"/>
      </w:divBdr>
    </w:div>
    <w:div w:id="247421394">
      <w:bodyDiv w:val="1"/>
      <w:marLeft w:val="0"/>
      <w:marRight w:val="0"/>
      <w:marTop w:val="0"/>
      <w:marBottom w:val="0"/>
      <w:divBdr>
        <w:top w:val="none" w:sz="0" w:space="0" w:color="auto"/>
        <w:left w:val="none" w:sz="0" w:space="0" w:color="auto"/>
        <w:bottom w:val="none" w:sz="0" w:space="0" w:color="auto"/>
        <w:right w:val="none" w:sz="0" w:space="0" w:color="auto"/>
      </w:divBdr>
    </w:div>
    <w:div w:id="271135127">
      <w:bodyDiv w:val="1"/>
      <w:marLeft w:val="0"/>
      <w:marRight w:val="0"/>
      <w:marTop w:val="0"/>
      <w:marBottom w:val="0"/>
      <w:divBdr>
        <w:top w:val="none" w:sz="0" w:space="0" w:color="auto"/>
        <w:left w:val="none" w:sz="0" w:space="0" w:color="auto"/>
        <w:bottom w:val="none" w:sz="0" w:space="0" w:color="auto"/>
        <w:right w:val="none" w:sz="0" w:space="0" w:color="auto"/>
      </w:divBdr>
    </w:div>
    <w:div w:id="280305091">
      <w:bodyDiv w:val="1"/>
      <w:marLeft w:val="0"/>
      <w:marRight w:val="0"/>
      <w:marTop w:val="0"/>
      <w:marBottom w:val="0"/>
      <w:divBdr>
        <w:top w:val="none" w:sz="0" w:space="0" w:color="auto"/>
        <w:left w:val="none" w:sz="0" w:space="0" w:color="auto"/>
        <w:bottom w:val="none" w:sz="0" w:space="0" w:color="auto"/>
        <w:right w:val="none" w:sz="0" w:space="0" w:color="auto"/>
      </w:divBdr>
    </w:div>
    <w:div w:id="287249515">
      <w:bodyDiv w:val="1"/>
      <w:marLeft w:val="0"/>
      <w:marRight w:val="0"/>
      <w:marTop w:val="0"/>
      <w:marBottom w:val="0"/>
      <w:divBdr>
        <w:top w:val="none" w:sz="0" w:space="0" w:color="auto"/>
        <w:left w:val="none" w:sz="0" w:space="0" w:color="auto"/>
        <w:bottom w:val="none" w:sz="0" w:space="0" w:color="auto"/>
        <w:right w:val="none" w:sz="0" w:space="0" w:color="auto"/>
      </w:divBdr>
    </w:div>
    <w:div w:id="296497855">
      <w:bodyDiv w:val="1"/>
      <w:marLeft w:val="0"/>
      <w:marRight w:val="0"/>
      <w:marTop w:val="0"/>
      <w:marBottom w:val="0"/>
      <w:divBdr>
        <w:top w:val="none" w:sz="0" w:space="0" w:color="auto"/>
        <w:left w:val="none" w:sz="0" w:space="0" w:color="auto"/>
        <w:bottom w:val="none" w:sz="0" w:space="0" w:color="auto"/>
        <w:right w:val="none" w:sz="0" w:space="0" w:color="auto"/>
      </w:divBdr>
    </w:div>
    <w:div w:id="298650827">
      <w:bodyDiv w:val="1"/>
      <w:marLeft w:val="0"/>
      <w:marRight w:val="0"/>
      <w:marTop w:val="0"/>
      <w:marBottom w:val="0"/>
      <w:divBdr>
        <w:top w:val="none" w:sz="0" w:space="0" w:color="auto"/>
        <w:left w:val="none" w:sz="0" w:space="0" w:color="auto"/>
        <w:bottom w:val="none" w:sz="0" w:space="0" w:color="auto"/>
        <w:right w:val="none" w:sz="0" w:space="0" w:color="auto"/>
      </w:divBdr>
    </w:div>
    <w:div w:id="301079980">
      <w:bodyDiv w:val="1"/>
      <w:marLeft w:val="0"/>
      <w:marRight w:val="0"/>
      <w:marTop w:val="0"/>
      <w:marBottom w:val="0"/>
      <w:divBdr>
        <w:top w:val="none" w:sz="0" w:space="0" w:color="auto"/>
        <w:left w:val="none" w:sz="0" w:space="0" w:color="auto"/>
        <w:bottom w:val="none" w:sz="0" w:space="0" w:color="auto"/>
        <w:right w:val="none" w:sz="0" w:space="0" w:color="auto"/>
      </w:divBdr>
    </w:div>
    <w:div w:id="304285371">
      <w:bodyDiv w:val="1"/>
      <w:marLeft w:val="0"/>
      <w:marRight w:val="0"/>
      <w:marTop w:val="0"/>
      <w:marBottom w:val="0"/>
      <w:divBdr>
        <w:top w:val="none" w:sz="0" w:space="0" w:color="auto"/>
        <w:left w:val="none" w:sz="0" w:space="0" w:color="auto"/>
        <w:bottom w:val="none" w:sz="0" w:space="0" w:color="auto"/>
        <w:right w:val="none" w:sz="0" w:space="0" w:color="auto"/>
      </w:divBdr>
    </w:div>
    <w:div w:id="330449965">
      <w:bodyDiv w:val="1"/>
      <w:marLeft w:val="0"/>
      <w:marRight w:val="0"/>
      <w:marTop w:val="0"/>
      <w:marBottom w:val="0"/>
      <w:divBdr>
        <w:top w:val="none" w:sz="0" w:space="0" w:color="auto"/>
        <w:left w:val="none" w:sz="0" w:space="0" w:color="auto"/>
        <w:bottom w:val="none" w:sz="0" w:space="0" w:color="auto"/>
        <w:right w:val="none" w:sz="0" w:space="0" w:color="auto"/>
      </w:divBdr>
    </w:div>
    <w:div w:id="340277453">
      <w:bodyDiv w:val="1"/>
      <w:marLeft w:val="0"/>
      <w:marRight w:val="0"/>
      <w:marTop w:val="0"/>
      <w:marBottom w:val="0"/>
      <w:divBdr>
        <w:top w:val="none" w:sz="0" w:space="0" w:color="auto"/>
        <w:left w:val="none" w:sz="0" w:space="0" w:color="auto"/>
        <w:bottom w:val="none" w:sz="0" w:space="0" w:color="auto"/>
        <w:right w:val="none" w:sz="0" w:space="0" w:color="auto"/>
      </w:divBdr>
    </w:div>
    <w:div w:id="361825291">
      <w:bodyDiv w:val="1"/>
      <w:marLeft w:val="0"/>
      <w:marRight w:val="0"/>
      <w:marTop w:val="0"/>
      <w:marBottom w:val="0"/>
      <w:divBdr>
        <w:top w:val="none" w:sz="0" w:space="0" w:color="auto"/>
        <w:left w:val="none" w:sz="0" w:space="0" w:color="auto"/>
        <w:bottom w:val="none" w:sz="0" w:space="0" w:color="auto"/>
        <w:right w:val="none" w:sz="0" w:space="0" w:color="auto"/>
      </w:divBdr>
    </w:div>
    <w:div w:id="404643879">
      <w:bodyDiv w:val="1"/>
      <w:marLeft w:val="0"/>
      <w:marRight w:val="0"/>
      <w:marTop w:val="0"/>
      <w:marBottom w:val="0"/>
      <w:divBdr>
        <w:top w:val="none" w:sz="0" w:space="0" w:color="auto"/>
        <w:left w:val="none" w:sz="0" w:space="0" w:color="auto"/>
        <w:bottom w:val="none" w:sz="0" w:space="0" w:color="auto"/>
        <w:right w:val="none" w:sz="0" w:space="0" w:color="auto"/>
      </w:divBdr>
    </w:div>
    <w:div w:id="405421358">
      <w:bodyDiv w:val="1"/>
      <w:marLeft w:val="0"/>
      <w:marRight w:val="0"/>
      <w:marTop w:val="0"/>
      <w:marBottom w:val="0"/>
      <w:divBdr>
        <w:top w:val="none" w:sz="0" w:space="0" w:color="auto"/>
        <w:left w:val="none" w:sz="0" w:space="0" w:color="auto"/>
        <w:bottom w:val="none" w:sz="0" w:space="0" w:color="auto"/>
        <w:right w:val="none" w:sz="0" w:space="0" w:color="auto"/>
      </w:divBdr>
    </w:div>
    <w:div w:id="421530516">
      <w:bodyDiv w:val="1"/>
      <w:marLeft w:val="0"/>
      <w:marRight w:val="0"/>
      <w:marTop w:val="0"/>
      <w:marBottom w:val="0"/>
      <w:divBdr>
        <w:top w:val="none" w:sz="0" w:space="0" w:color="auto"/>
        <w:left w:val="none" w:sz="0" w:space="0" w:color="auto"/>
        <w:bottom w:val="none" w:sz="0" w:space="0" w:color="auto"/>
        <w:right w:val="none" w:sz="0" w:space="0" w:color="auto"/>
      </w:divBdr>
    </w:div>
    <w:div w:id="452134230">
      <w:bodyDiv w:val="1"/>
      <w:marLeft w:val="0"/>
      <w:marRight w:val="0"/>
      <w:marTop w:val="0"/>
      <w:marBottom w:val="0"/>
      <w:divBdr>
        <w:top w:val="none" w:sz="0" w:space="0" w:color="auto"/>
        <w:left w:val="none" w:sz="0" w:space="0" w:color="auto"/>
        <w:bottom w:val="none" w:sz="0" w:space="0" w:color="auto"/>
        <w:right w:val="none" w:sz="0" w:space="0" w:color="auto"/>
      </w:divBdr>
    </w:div>
    <w:div w:id="455832643">
      <w:bodyDiv w:val="1"/>
      <w:marLeft w:val="0"/>
      <w:marRight w:val="0"/>
      <w:marTop w:val="0"/>
      <w:marBottom w:val="0"/>
      <w:divBdr>
        <w:top w:val="none" w:sz="0" w:space="0" w:color="auto"/>
        <w:left w:val="none" w:sz="0" w:space="0" w:color="auto"/>
        <w:bottom w:val="none" w:sz="0" w:space="0" w:color="auto"/>
        <w:right w:val="none" w:sz="0" w:space="0" w:color="auto"/>
      </w:divBdr>
    </w:div>
    <w:div w:id="461770626">
      <w:bodyDiv w:val="1"/>
      <w:marLeft w:val="0"/>
      <w:marRight w:val="0"/>
      <w:marTop w:val="0"/>
      <w:marBottom w:val="0"/>
      <w:divBdr>
        <w:top w:val="none" w:sz="0" w:space="0" w:color="auto"/>
        <w:left w:val="none" w:sz="0" w:space="0" w:color="auto"/>
        <w:bottom w:val="none" w:sz="0" w:space="0" w:color="auto"/>
        <w:right w:val="none" w:sz="0" w:space="0" w:color="auto"/>
      </w:divBdr>
    </w:div>
    <w:div w:id="463428624">
      <w:bodyDiv w:val="1"/>
      <w:marLeft w:val="0"/>
      <w:marRight w:val="0"/>
      <w:marTop w:val="0"/>
      <w:marBottom w:val="0"/>
      <w:divBdr>
        <w:top w:val="none" w:sz="0" w:space="0" w:color="auto"/>
        <w:left w:val="none" w:sz="0" w:space="0" w:color="auto"/>
        <w:bottom w:val="none" w:sz="0" w:space="0" w:color="auto"/>
        <w:right w:val="none" w:sz="0" w:space="0" w:color="auto"/>
      </w:divBdr>
    </w:div>
    <w:div w:id="465464560">
      <w:bodyDiv w:val="1"/>
      <w:marLeft w:val="0"/>
      <w:marRight w:val="0"/>
      <w:marTop w:val="0"/>
      <w:marBottom w:val="0"/>
      <w:divBdr>
        <w:top w:val="none" w:sz="0" w:space="0" w:color="auto"/>
        <w:left w:val="none" w:sz="0" w:space="0" w:color="auto"/>
        <w:bottom w:val="none" w:sz="0" w:space="0" w:color="auto"/>
        <w:right w:val="none" w:sz="0" w:space="0" w:color="auto"/>
      </w:divBdr>
    </w:div>
    <w:div w:id="476534687">
      <w:bodyDiv w:val="1"/>
      <w:marLeft w:val="0"/>
      <w:marRight w:val="0"/>
      <w:marTop w:val="0"/>
      <w:marBottom w:val="0"/>
      <w:divBdr>
        <w:top w:val="none" w:sz="0" w:space="0" w:color="auto"/>
        <w:left w:val="none" w:sz="0" w:space="0" w:color="auto"/>
        <w:bottom w:val="none" w:sz="0" w:space="0" w:color="auto"/>
        <w:right w:val="none" w:sz="0" w:space="0" w:color="auto"/>
      </w:divBdr>
    </w:div>
    <w:div w:id="489447828">
      <w:bodyDiv w:val="1"/>
      <w:marLeft w:val="0"/>
      <w:marRight w:val="0"/>
      <w:marTop w:val="0"/>
      <w:marBottom w:val="0"/>
      <w:divBdr>
        <w:top w:val="none" w:sz="0" w:space="0" w:color="auto"/>
        <w:left w:val="none" w:sz="0" w:space="0" w:color="auto"/>
        <w:bottom w:val="none" w:sz="0" w:space="0" w:color="auto"/>
        <w:right w:val="none" w:sz="0" w:space="0" w:color="auto"/>
      </w:divBdr>
    </w:div>
    <w:div w:id="508641775">
      <w:bodyDiv w:val="1"/>
      <w:marLeft w:val="0"/>
      <w:marRight w:val="0"/>
      <w:marTop w:val="0"/>
      <w:marBottom w:val="0"/>
      <w:divBdr>
        <w:top w:val="none" w:sz="0" w:space="0" w:color="auto"/>
        <w:left w:val="none" w:sz="0" w:space="0" w:color="auto"/>
        <w:bottom w:val="none" w:sz="0" w:space="0" w:color="auto"/>
        <w:right w:val="none" w:sz="0" w:space="0" w:color="auto"/>
      </w:divBdr>
    </w:div>
    <w:div w:id="522136450">
      <w:bodyDiv w:val="1"/>
      <w:marLeft w:val="0"/>
      <w:marRight w:val="0"/>
      <w:marTop w:val="0"/>
      <w:marBottom w:val="0"/>
      <w:divBdr>
        <w:top w:val="none" w:sz="0" w:space="0" w:color="auto"/>
        <w:left w:val="none" w:sz="0" w:space="0" w:color="auto"/>
        <w:bottom w:val="none" w:sz="0" w:space="0" w:color="auto"/>
        <w:right w:val="none" w:sz="0" w:space="0" w:color="auto"/>
      </w:divBdr>
    </w:div>
    <w:div w:id="533344872">
      <w:bodyDiv w:val="1"/>
      <w:marLeft w:val="0"/>
      <w:marRight w:val="0"/>
      <w:marTop w:val="0"/>
      <w:marBottom w:val="0"/>
      <w:divBdr>
        <w:top w:val="none" w:sz="0" w:space="0" w:color="auto"/>
        <w:left w:val="none" w:sz="0" w:space="0" w:color="auto"/>
        <w:bottom w:val="none" w:sz="0" w:space="0" w:color="auto"/>
        <w:right w:val="none" w:sz="0" w:space="0" w:color="auto"/>
      </w:divBdr>
    </w:div>
    <w:div w:id="542015198">
      <w:bodyDiv w:val="1"/>
      <w:marLeft w:val="0"/>
      <w:marRight w:val="0"/>
      <w:marTop w:val="0"/>
      <w:marBottom w:val="0"/>
      <w:divBdr>
        <w:top w:val="none" w:sz="0" w:space="0" w:color="auto"/>
        <w:left w:val="none" w:sz="0" w:space="0" w:color="auto"/>
        <w:bottom w:val="none" w:sz="0" w:space="0" w:color="auto"/>
        <w:right w:val="none" w:sz="0" w:space="0" w:color="auto"/>
      </w:divBdr>
    </w:div>
    <w:div w:id="554856788">
      <w:bodyDiv w:val="1"/>
      <w:marLeft w:val="0"/>
      <w:marRight w:val="0"/>
      <w:marTop w:val="0"/>
      <w:marBottom w:val="0"/>
      <w:divBdr>
        <w:top w:val="none" w:sz="0" w:space="0" w:color="auto"/>
        <w:left w:val="none" w:sz="0" w:space="0" w:color="auto"/>
        <w:bottom w:val="none" w:sz="0" w:space="0" w:color="auto"/>
        <w:right w:val="none" w:sz="0" w:space="0" w:color="auto"/>
      </w:divBdr>
    </w:div>
    <w:div w:id="573853750">
      <w:bodyDiv w:val="1"/>
      <w:marLeft w:val="0"/>
      <w:marRight w:val="0"/>
      <w:marTop w:val="0"/>
      <w:marBottom w:val="0"/>
      <w:divBdr>
        <w:top w:val="none" w:sz="0" w:space="0" w:color="auto"/>
        <w:left w:val="none" w:sz="0" w:space="0" w:color="auto"/>
        <w:bottom w:val="none" w:sz="0" w:space="0" w:color="auto"/>
        <w:right w:val="none" w:sz="0" w:space="0" w:color="auto"/>
      </w:divBdr>
    </w:div>
    <w:div w:id="574706376">
      <w:bodyDiv w:val="1"/>
      <w:marLeft w:val="0"/>
      <w:marRight w:val="0"/>
      <w:marTop w:val="0"/>
      <w:marBottom w:val="0"/>
      <w:divBdr>
        <w:top w:val="none" w:sz="0" w:space="0" w:color="auto"/>
        <w:left w:val="none" w:sz="0" w:space="0" w:color="auto"/>
        <w:bottom w:val="none" w:sz="0" w:space="0" w:color="auto"/>
        <w:right w:val="none" w:sz="0" w:space="0" w:color="auto"/>
      </w:divBdr>
    </w:div>
    <w:div w:id="586234421">
      <w:bodyDiv w:val="1"/>
      <w:marLeft w:val="0"/>
      <w:marRight w:val="0"/>
      <w:marTop w:val="0"/>
      <w:marBottom w:val="0"/>
      <w:divBdr>
        <w:top w:val="none" w:sz="0" w:space="0" w:color="auto"/>
        <w:left w:val="none" w:sz="0" w:space="0" w:color="auto"/>
        <w:bottom w:val="none" w:sz="0" w:space="0" w:color="auto"/>
        <w:right w:val="none" w:sz="0" w:space="0" w:color="auto"/>
      </w:divBdr>
    </w:div>
    <w:div w:id="589311020">
      <w:bodyDiv w:val="1"/>
      <w:marLeft w:val="0"/>
      <w:marRight w:val="0"/>
      <w:marTop w:val="0"/>
      <w:marBottom w:val="0"/>
      <w:divBdr>
        <w:top w:val="none" w:sz="0" w:space="0" w:color="auto"/>
        <w:left w:val="none" w:sz="0" w:space="0" w:color="auto"/>
        <w:bottom w:val="none" w:sz="0" w:space="0" w:color="auto"/>
        <w:right w:val="none" w:sz="0" w:space="0" w:color="auto"/>
      </w:divBdr>
    </w:div>
    <w:div w:id="598030108">
      <w:bodyDiv w:val="1"/>
      <w:marLeft w:val="0"/>
      <w:marRight w:val="0"/>
      <w:marTop w:val="0"/>
      <w:marBottom w:val="0"/>
      <w:divBdr>
        <w:top w:val="none" w:sz="0" w:space="0" w:color="auto"/>
        <w:left w:val="none" w:sz="0" w:space="0" w:color="auto"/>
        <w:bottom w:val="none" w:sz="0" w:space="0" w:color="auto"/>
        <w:right w:val="none" w:sz="0" w:space="0" w:color="auto"/>
      </w:divBdr>
    </w:div>
    <w:div w:id="601030727">
      <w:bodyDiv w:val="1"/>
      <w:marLeft w:val="0"/>
      <w:marRight w:val="0"/>
      <w:marTop w:val="0"/>
      <w:marBottom w:val="0"/>
      <w:divBdr>
        <w:top w:val="none" w:sz="0" w:space="0" w:color="auto"/>
        <w:left w:val="none" w:sz="0" w:space="0" w:color="auto"/>
        <w:bottom w:val="none" w:sz="0" w:space="0" w:color="auto"/>
        <w:right w:val="none" w:sz="0" w:space="0" w:color="auto"/>
      </w:divBdr>
    </w:div>
    <w:div w:id="603923182">
      <w:bodyDiv w:val="1"/>
      <w:marLeft w:val="0"/>
      <w:marRight w:val="0"/>
      <w:marTop w:val="0"/>
      <w:marBottom w:val="0"/>
      <w:divBdr>
        <w:top w:val="none" w:sz="0" w:space="0" w:color="auto"/>
        <w:left w:val="none" w:sz="0" w:space="0" w:color="auto"/>
        <w:bottom w:val="none" w:sz="0" w:space="0" w:color="auto"/>
        <w:right w:val="none" w:sz="0" w:space="0" w:color="auto"/>
      </w:divBdr>
    </w:div>
    <w:div w:id="626395878">
      <w:bodyDiv w:val="1"/>
      <w:marLeft w:val="0"/>
      <w:marRight w:val="0"/>
      <w:marTop w:val="0"/>
      <w:marBottom w:val="0"/>
      <w:divBdr>
        <w:top w:val="none" w:sz="0" w:space="0" w:color="auto"/>
        <w:left w:val="none" w:sz="0" w:space="0" w:color="auto"/>
        <w:bottom w:val="none" w:sz="0" w:space="0" w:color="auto"/>
        <w:right w:val="none" w:sz="0" w:space="0" w:color="auto"/>
      </w:divBdr>
    </w:div>
    <w:div w:id="631405057">
      <w:bodyDiv w:val="1"/>
      <w:marLeft w:val="0"/>
      <w:marRight w:val="0"/>
      <w:marTop w:val="0"/>
      <w:marBottom w:val="0"/>
      <w:divBdr>
        <w:top w:val="none" w:sz="0" w:space="0" w:color="auto"/>
        <w:left w:val="none" w:sz="0" w:space="0" w:color="auto"/>
        <w:bottom w:val="none" w:sz="0" w:space="0" w:color="auto"/>
        <w:right w:val="none" w:sz="0" w:space="0" w:color="auto"/>
      </w:divBdr>
    </w:div>
    <w:div w:id="633371213">
      <w:bodyDiv w:val="1"/>
      <w:marLeft w:val="0"/>
      <w:marRight w:val="0"/>
      <w:marTop w:val="0"/>
      <w:marBottom w:val="0"/>
      <w:divBdr>
        <w:top w:val="none" w:sz="0" w:space="0" w:color="auto"/>
        <w:left w:val="none" w:sz="0" w:space="0" w:color="auto"/>
        <w:bottom w:val="none" w:sz="0" w:space="0" w:color="auto"/>
        <w:right w:val="none" w:sz="0" w:space="0" w:color="auto"/>
      </w:divBdr>
    </w:div>
    <w:div w:id="637996835">
      <w:bodyDiv w:val="1"/>
      <w:marLeft w:val="0"/>
      <w:marRight w:val="0"/>
      <w:marTop w:val="0"/>
      <w:marBottom w:val="0"/>
      <w:divBdr>
        <w:top w:val="none" w:sz="0" w:space="0" w:color="auto"/>
        <w:left w:val="none" w:sz="0" w:space="0" w:color="auto"/>
        <w:bottom w:val="none" w:sz="0" w:space="0" w:color="auto"/>
        <w:right w:val="none" w:sz="0" w:space="0" w:color="auto"/>
      </w:divBdr>
    </w:div>
    <w:div w:id="641809154">
      <w:bodyDiv w:val="1"/>
      <w:marLeft w:val="0"/>
      <w:marRight w:val="0"/>
      <w:marTop w:val="0"/>
      <w:marBottom w:val="0"/>
      <w:divBdr>
        <w:top w:val="none" w:sz="0" w:space="0" w:color="auto"/>
        <w:left w:val="none" w:sz="0" w:space="0" w:color="auto"/>
        <w:bottom w:val="none" w:sz="0" w:space="0" w:color="auto"/>
        <w:right w:val="none" w:sz="0" w:space="0" w:color="auto"/>
      </w:divBdr>
    </w:div>
    <w:div w:id="655766048">
      <w:bodyDiv w:val="1"/>
      <w:marLeft w:val="0"/>
      <w:marRight w:val="0"/>
      <w:marTop w:val="0"/>
      <w:marBottom w:val="0"/>
      <w:divBdr>
        <w:top w:val="none" w:sz="0" w:space="0" w:color="auto"/>
        <w:left w:val="none" w:sz="0" w:space="0" w:color="auto"/>
        <w:bottom w:val="none" w:sz="0" w:space="0" w:color="auto"/>
        <w:right w:val="none" w:sz="0" w:space="0" w:color="auto"/>
      </w:divBdr>
    </w:div>
    <w:div w:id="658845748">
      <w:bodyDiv w:val="1"/>
      <w:marLeft w:val="0"/>
      <w:marRight w:val="0"/>
      <w:marTop w:val="0"/>
      <w:marBottom w:val="0"/>
      <w:divBdr>
        <w:top w:val="none" w:sz="0" w:space="0" w:color="auto"/>
        <w:left w:val="none" w:sz="0" w:space="0" w:color="auto"/>
        <w:bottom w:val="none" w:sz="0" w:space="0" w:color="auto"/>
        <w:right w:val="none" w:sz="0" w:space="0" w:color="auto"/>
      </w:divBdr>
    </w:div>
    <w:div w:id="668094687">
      <w:bodyDiv w:val="1"/>
      <w:marLeft w:val="0"/>
      <w:marRight w:val="0"/>
      <w:marTop w:val="0"/>
      <w:marBottom w:val="0"/>
      <w:divBdr>
        <w:top w:val="none" w:sz="0" w:space="0" w:color="auto"/>
        <w:left w:val="none" w:sz="0" w:space="0" w:color="auto"/>
        <w:bottom w:val="none" w:sz="0" w:space="0" w:color="auto"/>
        <w:right w:val="none" w:sz="0" w:space="0" w:color="auto"/>
      </w:divBdr>
    </w:div>
    <w:div w:id="682165358">
      <w:bodyDiv w:val="1"/>
      <w:marLeft w:val="0"/>
      <w:marRight w:val="0"/>
      <w:marTop w:val="0"/>
      <w:marBottom w:val="0"/>
      <w:divBdr>
        <w:top w:val="none" w:sz="0" w:space="0" w:color="auto"/>
        <w:left w:val="none" w:sz="0" w:space="0" w:color="auto"/>
        <w:bottom w:val="none" w:sz="0" w:space="0" w:color="auto"/>
        <w:right w:val="none" w:sz="0" w:space="0" w:color="auto"/>
      </w:divBdr>
    </w:div>
    <w:div w:id="685599739">
      <w:bodyDiv w:val="1"/>
      <w:marLeft w:val="0"/>
      <w:marRight w:val="0"/>
      <w:marTop w:val="0"/>
      <w:marBottom w:val="0"/>
      <w:divBdr>
        <w:top w:val="none" w:sz="0" w:space="0" w:color="auto"/>
        <w:left w:val="none" w:sz="0" w:space="0" w:color="auto"/>
        <w:bottom w:val="none" w:sz="0" w:space="0" w:color="auto"/>
        <w:right w:val="none" w:sz="0" w:space="0" w:color="auto"/>
      </w:divBdr>
    </w:div>
    <w:div w:id="696545029">
      <w:bodyDiv w:val="1"/>
      <w:marLeft w:val="0"/>
      <w:marRight w:val="0"/>
      <w:marTop w:val="0"/>
      <w:marBottom w:val="0"/>
      <w:divBdr>
        <w:top w:val="none" w:sz="0" w:space="0" w:color="auto"/>
        <w:left w:val="none" w:sz="0" w:space="0" w:color="auto"/>
        <w:bottom w:val="none" w:sz="0" w:space="0" w:color="auto"/>
        <w:right w:val="none" w:sz="0" w:space="0" w:color="auto"/>
      </w:divBdr>
    </w:div>
    <w:div w:id="709065414">
      <w:bodyDiv w:val="1"/>
      <w:marLeft w:val="0"/>
      <w:marRight w:val="0"/>
      <w:marTop w:val="0"/>
      <w:marBottom w:val="0"/>
      <w:divBdr>
        <w:top w:val="none" w:sz="0" w:space="0" w:color="auto"/>
        <w:left w:val="none" w:sz="0" w:space="0" w:color="auto"/>
        <w:bottom w:val="none" w:sz="0" w:space="0" w:color="auto"/>
        <w:right w:val="none" w:sz="0" w:space="0" w:color="auto"/>
      </w:divBdr>
    </w:div>
    <w:div w:id="711609983">
      <w:bodyDiv w:val="1"/>
      <w:marLeft w:val="0"/>
      <w:marRight w:val="0"/>
      <w:marTop w:val="0"/>
      <w:marBottom w:val="0"/>
      <w:divBdr>
        <w:top w:val="none" w:sz="0" w:space="0" w:color="auto"/>
        <w:left w:val="none" w:sz="0" w:space="0" w:color="auto"/>
        <w:bottom w:val="none" w:sz="0" w:space="0" w:color="auto"/>
        <w:right w:val="none" w:sz="0" w:space="0" w:color="auto"/>
      </w:divBdr>
    </w:div>
    <w:div w:id="714281406">
      <w:bodyDiv w:val="1"/>
      <w:marLeft w:val="0"/>
      <w:marRight w:val="0"/>
      <w:marTop w:val="0"/>
      <w:marBottom w:val="0"/>
      <w:divBdr>
        <w:top w:val="none" w:sz="0" w:space="0" w:color="auto"/>
        <w:left w:val="none" w:sz="0" w:space="0" w:color="auto"/>
        <w:bottom w:val="none" w:sz="0" w:space="0" w:color="auto"/>
        <w:right w:val="none" w:sz="0" w:space="0" w:color="auto"/>
      </w:divBdr>
    </w:div>
    <w:div w:id="726954225">
      <w:bodyDiv w:val="1"/>
      <w:marLeft w:val="0"/>
      <w:marRight w:val="0"/>
      <w:marTop w:val="0"/>
      <w:marBottom w:val="0"/>
      <w:divBdr>
        <w:top w:val="none" w:sz="0" w:space="0" w:color="auto"/>
        <w:left w:val="none" w:sz="0" w:space="0" w:color="auto"/>
        <w:bottom w:val="none" w:sz="0" w:space="0" w:color="auto"/>
        <w:right w:val="none" w:sz="0" w:space="0" w:color="auto"/>
      </w:divBdr>
    </w:div>
    <w:div w:id="739518176">
      <w:bodyDiv w:val="1"/>
      <w:marLeft w:val="0"/>
      <w:marRight w:val="0"/>
      <w:marTop w:val="0"/>
      <w:marBottom w:val="0"/>
      <w:divBdr>
        <w:top w:val="none" w:sz="0" w:space="0" w:color="auto"/>
        <w:left w:val="none" w:sz="0" w:space="0" w:color="auto"/>
        <w:bottom w:val="none" w:sz="0" w:space="0" w:color="auto"/>
        <w:right w:val="none" w:sz="0" w:space="0" w:color="auto"/>
      </w:divBdr>
    </w:div>
    <w:div w:id="766922645">
      <w:bodyDiv w:val="1"/>
      <w:marLeft w:val="0"/>
      <w:marRight w:val="0"/>
      <w:marTop w:val="0"/>
      <w:marBottom w:val="0"/>
      <w:divBdr>
        <w:top w:val="none" w:sz="0" w:space="0" w:color="auto"/>
        <w:left w:val="none" w:sz="0" w:space="0" w:color="auto"/>
        <w:bottom w:val="none" w:sz="0" w:space="0" w:color="auto"/>
        <w:right w:val="none" w:sz="0" w:space="0" w:color="auto"/>
      </w:divBdr>
    </w:div>
    <w:div w:id="796723962">
      <w:bodyDiv w:val="1"/>
      <w:marLeft w:val="0"/>
      <w:marRight w:val="0"/>
      <w:marTop w:val="0"/>
      <w:marBottom w:val="0"/>
      <w:divBdr>
        <w:top w:val="none" w:sz="0" w:space="0" w:color="auto"/>
        <w:left w:val="none" w:sz="0" w:space="0" w:color="auto"/>
        <w:bottom w:val="none" w:sz="0" w:space="0" w:color="auto"/>
        <w:right w:val="none" w:sz="0" w:space="0" w:color="auto"/>
      </w:divBdr>
    </w:div>
    <w:div w:id="825318559">
      <w:bodyDiv w:val="1"/>
      <w:marLeft w:val="0"/>
      <w:marRight w:val="0"/>
      <w:marTop w:val="0"/>
      <w:marBottom w:val="0"/>
      <w:divBdr>
        <w:top w:val="none" w:sz="0" w:space="0" w:color="auto"/>
        <w:left w:val="none" w:sz="0" w:space="0" w:color="auto"/>
        <w:bottom w:val="none" w:sz="0" w:space="0" w:color="auto"/>
        <w:right w:val="none" w:sz="0" w:space="0" w:color="auto"/>
      </w:divBdr>
    </w:div>
    <w:div w:id="828057492">
      <w:bodyDiv w:val="1"/>
      <w:marLeft w:val="0"/>
      <w:marRight w:val="0"/>
      <w:marTop w:val="0"/>
      <w:marBottom w:val="0"/>
      <w:divBdr>
        <w:top w:val="none" w:sz="0" w:space="0" w:color="auto"/>
        <w:left w:val="none" w:sz="0" w:space="0" w:color="auto"/>
        <w:bottom w:val="none" w:sz="0" w:space="0" w:color="auto"/>
        <w:right w:val="none" w:sz="0" w:space="0" w:color="auto"/>
      </w:divBdr>
    </w:div>
    <w:div w:id="837622559">
      <w:bodyDiv w:val="1"/>
      <w:marLeft w:val="0"/>
      <w:marRight w:val="0"/>
      <w:marTop w:val="0"/>
      <w:marBottom w:val="0"/>
      <w:divBdr>
        <w:top w:val="none" w:sz="0" w:space="0" w:color="auto"/>
        <w:left w:val="none" w:sz="0" w:space="0" w:color="auto"/>
        <w:bottom w:val="none" w:sz="0" w:space="0" w:color="auto"/>
        <w:right w:val="none" w:sz="0" w:space="0" w:color="auto"/>
      </w:divBdr>
    </w:div>
    <w:div w:id="842664657">
      <w:bodyDiv w:val="1"/>
      <w:marLeft w:val="0"/>
      <w:marRight w:val="0"/>
      <w:marTop w:val="0"/>
      <w:marBottom w:val="0"/>
      <w:divBdr>
        <w:top w:val="none" w:sz="0" w:space="0" w:color="auto"/>
        <w:left w:val="none" w:sz="0" w:space="0" w:color="auto"/>
        <w:bottom w:val="none" w:sz="0" w:space="0" w:color="auto"/>
        <w:right w:val="none" w:sz="0" w:space="0" w:color="auto"/>
      </w:divBdr>
    </w:div>
    <w:div w:id="843396223">
      <w:bodyDiv w:val="1"/>
      <w:marLeft w:val="0"/>
      <w:marRight w:val="0"/>
      <w:marTop w:val="0"/>
      <w:marBottom w:val="0"/>
      <w:divBdr>
        <w:top w:val="none" w:sz="0" w:space="0" w:color="auto"/>
        <w:left w:val="none" w:sz="0" w:space="0" w:color="auto"/>
        <w:bottom w:val="none" w:sz="0" w:space="0" w:color="auto"/>
        <w:right w:val="none" w:sz="0" w:space="0" w:color="auto"/>
      </w:divBdr>
    </w:div>
    <w:div w:id="849221876">
      <w:bodyDiv w:val="1"/>
      <w:marLeft w:val="0"/>
      <w:marRight w:val="0"/>
      <w:marTop w:val="0"/>
      <w:marBottom w:val="0"/>
      <w:divBdr>
        <w:top w:val="none" w:sz="0" w:space="0" w:color="auto"/>
        <w:left w:val="none" w:sz="0" w:space="0" w:color="auto"/>
        <w:bottom w:val="none" w:sz="0" w:space="0" w:color="auto"/>
        <w:right w:val="none" w:sz="0" w:space="0" w:color="auto"/>
      </w:divBdr>
    </w:div>
    <w:div w:id="853151696">
      <w:bodyDiv w:val="1"/>
      <w:marLeft w:val="0"/>
      <w:marRight w:val="0"/>
      <w:marTop w:val="0"/>
      <w:marBottom w:val="0"/>
      <w:divBdr>
        <w:top w:val="none" w:sz="0" w:space="0" w:color="auto"/>
        <w:left w:val="none" w:sz="0" w:space="0" w:color="auto"/>
        <w:bottom w:val="none" w:sz="0" w:space="0" w:color="auto"/>
        <w:right w:val="none" w:sz="0" w:space="0" w:color="auto"/>
      </w:divBdr>
    </w:div>
    <w:div w:id="853226283">
      <w:bodyDiv w:val="1"/>
      <w:marLeft w:val="0"/>
      <w:marRight w:val="0"/>
      <w:marTop w:val="0"/>
      <w:marBottom w:val="0"/>
      <w:divBdr>
        <w:top w:val="none" w:sz="0" w:space="0" w:color="auto"/>
        <w:left w:val="none" w:sz="0" w:space="0" w:color="auto"/>
        <w:bottom w:val="none" w:sz="0" w:space="0" w:color="auto"/>
        <w:right w:val="none" w:sz="0" w:space="0" w:color="auto"/>
      </w:divBdr>
    </w:div>
    <w:div w:id="855997972">
      <w:bodyDiv w:val="1"/>
      <w:marLeft w:val="0"/>
      <w:marRight w:val="0"/>
      <w:marTop w:val="0"/>
      <w:marBottom w:val="0"/>
      <w:divBdr>
        <w:top w:val="none" w:sz="0" w:space="0" w:color="auto"/>
        <w:left w:val="none" w:sz="0" w:space="0" w:color="auto"/>
        <w:bottom w:val="none" w:sz="0" w:space="0" w:color="auto"/>
        <w:right w:val="none" w:sz="0" w:space="0" w:color="auto"/>
      </w:divBdr>
    </w:div>
    <w:div w:id="870335749">
      <w:bodyDiv w:val="1"/>
      <w:marLeft w:val="0"/>
      <w:marRight w:val="0"/>
      <w:marTop w:val="0"/>
      <w:marBottom w:val="0"/>
      <w:divBdr>
        <w:top w:val="none" w:sz="0" w:space="0" w:color="auto"/>
        <w:left w:val="none" w:sz="0" w:space="0" w:color="auto"/>
        <w:bottom w:val="none" w:sz="0" w:space="0" w:color="auto"/>
        <w:right w:val="none" w:sz="0" w:space="0" w:color="auto"/>
      </w:divBdr>
    </w:div>
    <w:div w:id="872497749">
      <w:bodyDiv w:val="1"/>
      <w:marLeft w:val="0"/>
      <w:marRight w:val="0"/>
      <w:marTop w:val="0"/>
      <w:marBottom w:val="0"/>
      <w:divBdr>
        <w:top w:val="none" w:sz="0" w:space="0" w:color="auto"/>
        <w:left w:val="none" w:sz="0" w:space="0" w:color="auto"/>
        <w:bottom w:val="none" w:sz="0" w:space="0" w:color="auto"/>
        <w:right w:val="none" w:sz="0" w:space="0" w:color="auto"/>
      </w:divBdr>
    </w:div>
    <w:div w:id="880629056">
      <w:bodyDiv w:val="1"/>
      <w:marLeft w:val="0"/>
      <w:marRight w:val="0"/>
      <w:marTop w:val="0"/>
      <w:marBottom w:val="0"/>
      <w:divBdr>
        <w:top w:val="none" w:sz="0" w:space="0" w:color="auto"/>
        <w:left w:val="none" w:sz="0" w:space="0" w:color="auto"/>
        <w:bottom w:val="none" w:sz="0" w:space="0" w:color="auto"/>
        <w:right w:val="none" w:sz="0" w:space="0" w:color="auto"/>
      </w:divBdr>
    </w:div>
    <w:div w:id="891888108">
      <w:bodyDiv w:val="1"/>
      <w:marLeft w:val="0"/>
      <w:marRight w:val="0"/>
      <w:marTop w:val="0"/>
      <w:marBottom w:val="0"/>
      <w:divBdr>
        <w:top w:val="none" w:sz="0" w:space="0" w:color="auto"/>
        <w:left w:val="none" w:sz="0" w:space="0" w:color="auto"/>
        <w:bottom w:val="none" w:sz="0" w:space="0" w:color="auto"/>
        <w:right w:val="none" w:sz="0" w:space="0" w:color="auto"/>
      </w:divBdr>
    </w:div>
    <w:div w:id="931476839">
      <w:bodyDiv w:val="1"/>
      <w:marLeft w:val="0"/>
      <w:marRight w:val="0"/>
      <w:marTop w:val="0"/>
      <w:marBottom w:val="0"/>
      <w:divBdr>
        <w:top w:val="none" w:sz="0" w:space="0" w:color="auto"/>
        <w:left w:val="none" w:sz="0" w:space="0" w:color="auto"/>
        <w:bottom w:val="none" w:sz="0" w:space="0" w:color="auto"/>
        <w:right w:val="none" w:sz="0" w:space="0" w:color="auto"/>
      </w:divBdr>
    </w:div>
    <w:div w:id="934022358">
      <w:bodyDiv w:val="1"/>
      <w:marLeft w:val="0"/>
      <w:marRight w:val="0"/>
      <w:marTop w:val="0"/>
      <w:marBottom w:val="0"/>
      <w:divBdr>
        <w:top w:val="none" w:sz="0" w:space="0" w:color="auto"/>
        <w:left w:val="none" w:sz="0" w:space="0" w:color="auto"/>
        <w:bottom w:val="none" w:sz="0" w:space="0" w:color="auto"/>
        <w:right w:val="none" w:sz="0" w:space="0" w:color="auto"/>
      </w:divBdr>
    </w:div>
    <w:div w:id="937982086">
      <w:bodyDiv w:val="1"/>
      <w:marLeft w:val="0"/>
      <w:marRight w:val="0"/>
      <w:marTop w:val="0"/>
      <w:marBottom w:val="0"/>
      <w:divBdr>
        <w:top w:val="none" w:sz="0" w:space="0" w:color="auto"/>
        <w:left w:val="none" w:sz="0" w:space="0" w:color="auto"/>
        <w:bottom w:val="none" w:sz="0" w:space="0" w:color="auto"/>
        <w:right w:val="none" w:sz="0" w:space="0" w:color="auto"/>
      </w:divBdr>
    </w:div>
    <w:div w:id="939948872">
      <w:bodyDiv w:val="1"/>
      <w:marLeft w:val="0"/>
      <w:marRight w:val="0"/>
      <w:marTop w:val="0"/>
      <w:marBottom w:val="0"/>
      <w:divBdr>
        <w:top w:val="none" w:sz="0" w:space="0" w:color="auto"/>
        <w:left w:val="none" w:sz="0" w:space="0" w:color="auto"/>
        <w:bottom w:val="none" w:sz="0" w:space="0" w:color="auto"/>
        <w:right w:val="none" w:sz="0" w:space="0" w:color="auto"/>
      </w:divBdr>
    </w:div>
    <w:div w:id="941885092">
      <w:bodyDiv w:val="1"/>
      <w:marLeft w:val="0"/>
      <w:marRight w:val="0"/>
      <w:marTop w:val="0"/>
      <w:marBottom w:val="0"/>
      <w:divBdr>
        <w:top w:val="none" w:sz="0" w:space="0" w:color="auto"/>
        <w:left w:val="none" w:sz="0" w:space="0" w:color="auto"/>
        <w:bottom w:val="none" w:sz="0" w:space="0" w:color="auto"/>
        <w:right w:val="none" w:sz="0" w:space="0" w:color="auto"/>
      </w:divBdr>
    </w:div>
    <w:div w:id="969363277">
      <w:bodyDiv w:val="1"/>
      <w:marLeft w:val="0"/>
      <w:marRight w:val="0"/>
      <w:marTop w:val="0"/>
      <w:marBottom w:val="0"/>
      <w:divBdr>
        <w:top w:val="none" w:sz="0" w:space="0" w:color="auto"/>
        <w:left w:val="none" w:sz="0" w:space="0" w:color="auto"/>
        <w:bottom w:val="none" w:sz="0" w:space="0" w:color="auto"/>
        <w:right w:val="none" w:sz="0" w:space="0" w:color="auto"/>
      </w:divBdr>
    </w:div>
    <w:div w:id="983392764">
      <w:bodyDiv w:val="1"/>
      <w:marLeft w:val="0"/>
      <w:marRight w:val="0"/>
      <w:marTop w:val="0"/>
      <w:marBottom w:val="0"/>
      <w:divBdr>
        <w:top w:val="none" w:sz="0" w:space="0" w:color="auto"/>
        <w:left w:val="none" w:sz="0" w:space="0" w:color="auto"/>
        <w:bottom w:val="none" w:sz="0" w:space="0" w:color="auto"/>
        <w:right w:val="none" w:sz="0" w:space="0" w:color="auto"/>
      </w:divBdr>
    </w:div>
    <w:div w:id="988708022">
      <w:bodyDiv w:val="1"/>
      <w:marLeft w:val="0"/>
      <w:marRight w:val="0"/>
      <w:marTop w:val="0"/>
      <w:marBottom w:val="0"/>
      <w:divBdr>
        <w:top w:val="none" w:sz="0" w:space="0" w:color="auto"/>
        <w:left w:val="none" w:sz="0" w:space="0" w:color="auto"/>
        <w:bottom w:val="none" w:sz="0" w:space="0" w:color="auto"/>
        <w:right w:val="none" w:sz="0" w:space="0" w:color="auto"/>
      </w:divBdr>
    </w:div>
    <w:div w:id="988947833">
      <w:bodyDiv w:val="1"/>
      <w:marLeft w:val="0"/>
      <w:marRight w:val="0"/>
      <w:marTop w:val="0"/>
      <w:marBottom w:val="0"/>
      <w:divBdr>
        <w:top w:val="none" w:sz="0" w:space="0" w:color="auto"/>
        <w:left w:val="none" w:sz="0" w:space="0" w:color="auto"/>
        <w:bottom w:val="none" w:sz="0" w:space="0" w:color="auto"/>
        <w:right w:val="none" w:sz="0" w:space="0" w:color="auto"/>
      </w:divBdr>
    </w:div>
    <w:div w:id="989600475">
      <w:bodyDiv w:val="1"/>
      <w:marLeft w:val="0"/>
      <w:marRight w:val="0"/>
      <w:marTop w:val="0"/>
      <w:marBottom w:val="0"/>
      <w:divBdr>
        <w:top w:val="none" w:sz="0" w:space="0" w:color="auto"/>
        <w:left w:val="none" w:sz="0" w:space="0" w:color="auto"/>
        <w:bottom w:val="none" w:sz="0" w:space="0" w:color="auto"/>
        <w:right w:val="none" w:sz="0" w:space="0" w:color="auto"/>
      </w:divBdr>
    </w:div>
    <w:div w:id="998847620">
      <w:bodyDiv w:val="1"/>
      <w:marLeft w:val="0"/>
      <w:marRight w:val="0"/>
      <w:marTop w:val="0"/>
      <w:marBottom w:val="0"/>
      <w:divBdr>
        <w:top w:val="none" w:sz="0" w:space="0" w:color="auto"/>
        <w:left w:val="none" w:sz="0" w:space="0" w:color="auto"/>
        <w:bottom w:val="none" w:sz="0" w:space="0" w:color="auto"/>
        <w:right w:val="none" w:sz="0" w:space="0" w:color="auto"/>
      </w:divBdr>
    </w:div>
    <w:div w:id="1009412764">
      <w:bodyDiv w:val="1"/>
      <w:marLeft w:val="0"/>
      <w:marRight w:val="0"/>
      <w:marTop w:val="0"/>
      <w:marBottom w:val="0"/>
      <w:divBdr>
        <w:top w:val="none" w:sz="0" w:space="0" w:color="auto"/>
        <w:left w:val="none" w:sz="0" w:space="0" w:color="auto"/>
        <w:bottom w:val="none" w:sz="0" w:space="0" w:color="auto"/>
        <w:right w:val="none" w:sz="0" w:space="0" w:color="auto"/>
      </w:divBdr>
    </w:div>
    <w:div w:id="1027490595">
      <w:bodyDiv w:val="1"/>
      <w:marLeft w:val="0"/>
      <w:marRight w:val="0"/>
      <w:marTop w:val="0"/>
      <w:marBottom w:val="0"/>
      <w:divBdr>
        <w:top w:val="none" w:sz="0" w:space="0" w:color="auto"/>
        <w:left w:val="none" w:sz="0" w:space="0" w:color="auto"/>
        <w:bottom w:val="none" w:sz="0" w:space="0" w:color="auto"/>
        <w:right w:val="none" w:sz="0" w:space="0" w:color="auto"/>
      </w:divBdr>
    </w:div>
    <w:div w:id="1045134697">
      <w:bodyDiv w:val="1"/>
      <w:marLeft w:val="0"/>
      <w:marRight w:val="0"/>
      <w:marTop w:val="0"/>
      <w:marBottom w:val="0"/>
      <w:divBdr>
        <w:top w:val="none" w:sz="0" w:space="0" w:color="auto"/>
        <w:left w:val="none" w:sz="0" w:space="0" w:color="auto"/>
        <w:bottom w:val="none" w:sz="0" w:space="0" w:color="auto"/>
        <w:right w:val="none" w:sz="0" w:space="0" w:color="auto"/>
      </w:divBdr>
    </w:div>
    <w:div w:id="1058287689">
      <w:bodyDiv w:val="1"/>
      <w:marLeft w:val="0"/>
      <w:marRight w:val="0"/>
      <w:marTop w:val="0"/>
      <w:marBottom w:val="0"/>
      <w:divBdr>
        <w:top w:val="none" w:sz="0" w:space="0" w:color="auto"/>
        <w:left w:val="none" w:sz="0" w:space="0" w:color="auto"/>
        <w:bottom w:val="none" w:sz="0" w:space="0" w:color="auto"/>
        <w:right w:val="none" w:sz="0" w:space="0" w:color="auto"/>
      </w:divBdr>
    </w:div>
    <w:div w:id="1058361929">
      <w:bodyDiv w:val="1"/>
      <w:marLeft w:val="0"/>
      <w:marRight w:val="0"/>
      <w:marTop w:val="0"/>
      <w:marBottom w:val="0"/>
      <w:divBdr>
        <w:top w:val="none" w:sz="0" w:space="0" w:color="auto"/>
        <w:left w:val="none" w:sz="0" w:space="0" w:color="auto"/>
        <w:bottom w:val="none" w:sz="0" w:space="0" w:color="auto"/>
        <w:right w:val="none" w:sz="0" w:space="0" w:color="auto"/>
      </w:divBdr>
    </w:div>
    <w:div w:id="1059784166">
      <w:bodyDiv w:val="1"/>
      <w:marLeft w:val="0"/>
      <w:marRight w:val="0"/>
      <w:marTop w:val="0"/>
      <w:marBottom w:val="0"/>
      <w:divBdr>
        <w:top w:val="none" w:sz="0" w:space="0" w:color="auto"/>
        <w:left w:val="none" w:sz="0" w:space="0" w:color="auto"/>
        <w:bottom w:val="none" w:sz="0" w:space="0" w:color="auto"/>
        <w:right w:val="none" w:sz="0" w:space="0" w:color="auto"/>
      </w:divBdr>
    </w:div>
    <w:div w:id="1061564608">
      <w:bodyDiv w:val="1"/>
      <w:marLeft w:val="0"/>
      <w:marRight w:val="0"/>
      <w:marTop w:val="0"/>
      <w:marBottom w:val="0"/>
      <w:divBdr>
        <w:top w:val="none" w:sz="0" w:space="0" w:color="auto"/>
        <w:left w:val="none" w:sz="0" w:space="0" w:color="auto"/>
        <w:bottom w:val="none" w:sz="0" w:space="0" w:color="auto"/>
        <w:right w:val="none" w:sz="0" w:space="0" w:color="auto"/>
      </w:divBdr>
    </w:div>
    <w:div w:id="1071269146">
      <w:bodyDiv w:val="1"/>
      <w:marLeft w:val="0"/>
      <w:marRight w:val="0"/>
      <w:marTop w:val="0"/>
      <w:marBottom w:val="0"/>
      <w:divBdr>
        <w:top w:val="none" w:sz="0" w:space="0" w:color="auto"/>
        <w:left w:val="none" w:sz="0" w:space="0" w:color="auto"/>
        <w:bottom w:val="none" w:sz="0" w:space="0" w:color="auto"/>
        <w:right w:val="none" w:sz="0" w:space="0" w:color="auto"/>
      </w:divBdr>
    </w:div>
    <w:div w:id="1081563922">
      <w:bodyDiv w:val="1"/>
      <w:marLeft w:val="0"/>
      <w:marRight w:val="0"/>
      <w:marTop w:val="0"/>
      <w:marBottom w:val="0"/>
      <w:divBdr>
        <w:top w:val="none" w:sz="0" w:space="0" w:color="auto"/>
        <w:left w:val="none" w:sz="0" w:space="0" w:color="auto"/>
        <w:bottom w:val="none" w:sz="0" w:space="0" w:color="auto"/>
        <w:right w:val="none" w:sz="0" w:space="0" w:color="auto"/>
      </w:divBdr>
    </w:div>
    <w:div w:id="1083725152">
      <w:bodyDiv w:val="1"/>
      <w:marLeft w:val="0"/>
      <w:marRight w:val="0"/>
      <w:marTop w:val="0"/>
      <w:marBottom w:val="0"/>
      <w:divBdr>
        <w:top w:val="none" w:sz="0" w:space="0" w:color="auto"/>
        <w:left w:val="none" w:sz="0" w:space="0" w:color="auto"/>
        <w:bottom w:val="none" w:sz="0" w:space="0" w:color="auto"/>
        <w:right w:val="none" w:sz="0" w:space="0" w:color="auto"/>
      </w:divBdr>
    </w:div>
    <w:div w:id="1103114907">
      <w:bodyDiv w:val="1"/>
      <w:marLeft w:val="0"/>
      <w:marRight w:val="0"/>
      <w:marTop w:val="0"/>
      <w:marBottom w:val="0"/>
      <w:divBdr>
        <w:top w:val="none" w:sz="0" w:space="0" w:color="auto"/>
        <w:left w:val="none" w:sz="0" w:space="0" w:color="auto"/>
        <w:bottom w:val="none" w:sz="0" w:space="0" w:color="auto"/>
        <w:right w:val="none" w:sz="0" w:space="0" w:color="auto"/>
      </w:divBdr>
    </w:div>
    <w:div w:id="1122723629">
      <w:bodyDiv w:val="1"/>
      <w:marLeft w:val="0"/>
      <w:marRight w:val="0"/>
      <w:marTop w:val="0"/>
      <w:marBottom w:val="0"/>
      <w:divBdr>
        <w:top w:val="none" w:sz="0" w:space="0" w:color="auto"/>
        <w:left w:val="none" w:sz="0" w:space="0" w:color="auto"/>
        <w:bottom w:val="none" w:sz="0" w:space="0" w:color="auto"/>
        <w:right w:val="none" w:sz="0" w:space="0" w:color="auto"/>
      </w:divBdr>
    </w:div>
    <w:div w:id="1124887863">
      <w:bodyDiv w:val="1"/>
      <w:marLeft w:val="0"/>
      <w:marRight w:val="0"/>
      <w:marTop w:val="0"/>
      <w:marBottom w:val="0"/>
      <w:divBdr>
        <w:top w:val="none" w:sz="0" w:space="0" w:color="auto"/>
        <w:left w:val="none" w:sz="0" w:space="0" w:color="auto"/>
        <w:bottom w:val="none" w:sz="0" w:space="0" w:color="auto"/>
        <w:right w:val="none" w:sz="0" w:space="0" w:color="auto"/>
      </w:divBdr>
    </w:div>
    <w:div w:id="1131703451">
      <w:bodyDiv w:val="1"/>
      <w:marLeft w:val="0"/>
      <w:marRight w:val="0"/>
      <w:marTop w:val="0"/>
      <w:marBottom w:val="0"/>
      <w:divBdr>
        <w:top w:val="none" w:sz="0" w:space="0" w:color="auto"/>
        <w:left w:val="none" w:sz="0" w:space="0" w:color="auto"/>
        <w:bottom w:val="none" w:sz="0" w:space="0" w:color="auto"/>
        <w:right w:val="none" w:sz="0" w:space="0" w:color="auto"/>
      </w:divBdr>
    </w:div>
    <w:div w:id="1141845259">
      <w:bodyDiv w:val="1"/>
      <w:marLeft w:val="0"/>
      <w:marRight w:val="0"/>
      <w:marTop w:val="0"/>
      <w:marBottom w:val="0"/>
      <w:divBdr>
        <w:top w:val="none" w:sz="0" w:space="0" w:color="auto"/>
        <w:left w:val="none" w:sz="0" w:space="0" w:color="auto"/>
        <w:bottom w:val="none" w:sz="0" w:space="0" w:color="auto"/>
        <w:right w:val="none" w:sz="0" w:space="0" w:color="auto"/>
      </w:divBdr>
    </w:div>
    <w:div w:id="1150291025">
      <w:bodyDiv w:val="1"/>
      <w:marLeft w:val="0"/>
      <w:marRight w:val="0"/>
      <w:marTop w:val="0"/>
      <w:marBottom w:val="0"/>
      <w:divBdr>
        <w:top w:val="none" w:sz="0" w:space="0" w:color="auto"/>
        <w:left w:val="none" w:sz="0" w:space="0" w:color="auto"/>
        <w:bottom w:val="none" w:sz="0" w:space="0" w:color="auto"/>
        <w:right w:val="none" w:sz="0" w:space="0" w:color="auto"/>
      </w:divBdr>
    </w:div>
    <w:div w:id="1150292644">
      <w:bodyDiv w:val="1"/>
      <w:marLeft w:val="0"/>
      <w:marRight w:val="0"/>
      <w:marTop w:val="0"/>
      <w:marBottom w:val="0"/>
      <w:divBdr>
        <w:top w:val="none" w:sz="0" w:space="0" w:color="auto"/>
        <w:left w:val="none" w:sz="0" w:space="0" w:color="auto"/>
        <w:bottom w:val="none" w:sz="0" w:space="0" w:color="auto"/>
        <w:right w:val="none" w:sz="0" w:space="0" w:color="auto"/>
      </w:divBdr>
    </w:div>
    <w:div w:id="1155993243">
      <w:bodyDiv w:val="1"/>
      <w:marLeft w:val="0"/>
      <w:marRight w:val="0"/>
      <w:marTop w:val="0"/>
      <w:marBottom w:val="0"/>
      <w:divBdr>
        <w:top w:val="none" w:sz="0" w:space="0" w:color="auto"/>
        <w:left w:val="none" w:sz="0" w:space="0" w:color="auto"/>
        <w:bottom w:val="none" w:sz="0" w:space="0" w:color="auto"/>
        <w:right w:val="none" w:sz="0" w:space="0" w:color="auto"/>
      </w:divBdr>
    </w:div>
    <w:div w:id="1159150880">
      <w:bodyDiv w:val="1"/>
      <w:marLeft w:val="0"/>
      <w:marRight w:val="0"/>
      <w:marTop w:val="0"/>
      <w:marBottom w:val="0"/>
      <w:divBdr>
        <w:top w:val="none" w:sz="0" w:space="0" w:color="auto"/>
        <w:left w:val="none" w:sz="0" w:space="0" w:color="auto"/>
        <w:bottom w:val="none" w:sz="0" w:space="0" w:color="auto"/>
        <w:right w:val="none" w:sz="0" w:space="0" w:color="auto"/>
      </w:divBdr>
    </w:div>
    <w:div w:id="1160852960">
      <w:bodyDiv w:val="1"/>
      <w:marLeft w:val="0"/>
      <w:marRight w:val="0"/>
      <w:marTop w:val="0"/>
      <w:marBottom w:val="0"/>
      <w:divBdr>
        <w:top w:val="none" w:sz="0" w:space="0" w:color="auto"/>
        <w:left w:val="none" w:sz="0" w:space="0" w:color="auto"/>
        <w:bottom w:val="none" w:sz="0" w:space="0" w:color="auto"/>
        <w:right w:val="none" w:sz="0" w:space="0" w:color="auto"/>
      </w:divBdr>
    </w:div>
    <w:div w:id="1162159746">
      <w:bodyDiv w:val="1"/>
      <w:marLeft w:val="0"/>
      <w:marRight w:val="0"/>
      <w:marTop w:val="0"/>
      <w:marBottom w:val="0"/>
      <w:divBdr>
        <w:top w:val="none" w:sz="0" w:space="0" w:color="auto"/>
        <w:left w:val="none" w:sz="0" w:space="0" w:color="auto"/>
        <w:bottom w:val="none" w:sz="0" w:space="0" w:color="auto"/>
        <w:right w:val="none" w:sz="0" w:space="0" w:color="auto"/>
      </w:divBdr>
    </w:div>
    <w:div w:id="1177814008">
      <w:bodyDiv w:val="1"/>
      <w:marLeft w:val="0"/>
      <w:marRight w:val="0"/>
      <w:marTop w:val="0"/>
      <w:marBottom w:val="0"/>
      <w:divBdr>
        <w:top w:val="none" w:sz="0" w:space="0" w:color="auto"/>
        <w:left w:val="none" w:sz="0" w:space="0" w:color="auto"/>
        <w:bottom w:val="none" w:sz="0" w:space="0" w:color="auto"/>
        <w:right w:val="none" w:sz="0" w:space="0" w:color="auto"/>
      </w:divBdr>
    </w:div>
    <w:div w:id="1182623578">
      <w:bodyDiv w:val="1"/>
      <w:marLeft w:val="0"/>
      <w:marRight w:val="0"/>
      <w:marTop w:val="0"/>
      <w:marBottom w:val="0"/>
      <w:divBdr>
        <w:top w:val="none" w:sz="0" w:space="0" w:color="auto"/>
        <w:left w:val="none" w:sz="0" w:space="0" w:color="auto"/>
        <w:bottom w:val="none" w:sz="0" w:space="0" w:color="auto"/>
        <w:right w:val="none" w:sz="0" w:space="0" w:color="auto"/>
      </w:divBdr>
    </w:div>
    <w:div w:id="1208177969">
      <w:bodyDiv w:val="1"/>
      <w:marLeft w:val="0"/>
      <w:marRight w:val="0"/>
      <w:marTop w:val="0"/>
      <w:marBottom w:val="0"/>
      <w:divBdr>
        <w:top w:val="none" w:sz="0" w:space="0" w:color="auto"/>
        <w:left w:val="none" w:sz="0" w:space="0" w:color="auto"/>
        <w:bottom w:val="none" w:sz="0" w:space="0" w:color="auto"/>
        <w:right w:val="none" w:sz="0" w:space="0" w:color="auto"/>
      </w:divBdr>
    </w:div>
    <w:div w:id="1210266115">
      <w:bodyDiv w:val="1"/>
      <w:marLeft w:val="0"/>
      <w:marRight w:val="0"/>
      <w:marTop w:val="0"/>
      <w:marBottom w:val="0"/>
      <w:divBdr>
        <w:top w:val="none" w:sz="0" w:space="0" w:color="auto"/>
        <w:left w:val="none" w:sz="0" w:space="0" w:color="auto"/>
        <w:bottom w:val="none" w:sz="0" w:space="0" w:color="auto"/>
        <w:right w:val="none" w:sz="0" w:space="0" w:color="auto"/>
      </w:divBdr>
    </w:div>
    <w:div w:id="1216746421">
      <w:bodyDiv w:val="1"/>
      <w:marLeft w:val="0"/>
      <w:marRight w:val="0"/>
      <w:marTop w:val="0"/>
      <w:marBottom w:val="0"/>
      <w:divBdr>
        <w:top w:val="none" w:sz="0" w:space="0" w:color="auto"/>
        <w:left w:val="none" w:sz="0" w:space="0" w:color="auto"/>
        <w:bottom w:val="none" w:sz="0" w:space="0" w:color="auto"/>
        <w:right w:val="none" w:sz="0" w:space="0" w:color="auto"/>
      </w:divBdr>
    </w:div>
    <w:div w:id="1218711700">
      <w:bodyDiv w:val="1"/>
      <w:marLeft w:val="0"/>
      <w:marRight w:val="0"/>
      <w:marTop w:val="0"/>
      <w:marBottom w:val="0"/>
      <w:divBdr>
        <w:top w:val="none" w:sz="0" w:space="0" w:color="auto"/>
        <w:left w:val="none" w:sz="0" w:space="0" w:color="auto"/>
        <w:bottom w:val="none" w:sz="0" w:space="0" w:color="auto"/>
        <w:right w:val="none" w:sz="0" w:space="0" w:color="auto"/>
      </w:divBdr>
    </w:div>
    <w:div w:id="1223130623">
      <w:bodyDiv w:val="1"/>
      <w:marLeft w:val="0"/>
      <w:marRight w:val="0"/>
      <w:marTop w:val="0"/>
      <w:marBottom w:val="0"/>
      <w:divBdr>
        <w:top w:val="none" w:sz="0" w:space="0" w:color="auto"/>
        <w:left w:val="none" w:sz="0" w:space="0" w:color="auto"/>
        <w:bottom w:val="none" w:sz="0" w:space="0" w:color="auto"/>
        <w:right w:val="none" w:sz="0" w:space="0" w:color="auto"/>
      </w:divBdr>
    </w:div>
    <w:div w:id="1228035750">
      <w:bodyDiv w:val="1"/>
      <w:marLeft w:val="0"/>
      <w:marRight w:val="0"/>
      <w:marTop w:val="0"/>
      <w:marBottom w:val="0"/>
      <w:divBdr>
        <w:top w:val="none" w:sz="0" w:space="0" w:color="auto"/>
        <w:left w:val="none" w:sz="0" w:space="0" w:color="auto"/>
        <w:bottom w:val="none" w:sz="0" w:space="0" w:color="auto"/>
        <w:right w:val="none" w:sz="0" w:space="0" w:color="auto"/>
      </w:divBdr>
    </w:div>
    <w:div w:id="1229538495">
      <w:bodyDiv w:val="1"/>
      <w:marLeft w:val="0"/>
      <w:marRight w:val="0"/>
      <w:marTop w:val="0"/>
      <w:marBottom w:val="0"/>
      <w:divBdr>
        <w:top w:val="none" w:sz="0" w:space="0" w:color="auto"/>
        <w:left w:val="none" w:sz="0" w:space="0" w:color="auto"/>
        <w:bottom w:val="none" w:sz="0" w:space="0" w:color="auto"/>
        <w:right w:val="none" w:sz="0" w:space="0" w:color="auto"/>
      </w:divBdr>
    </w:div>
    <w:div w:id="1241059752">
      <w:bodyDiv w:val="1"/>
      <w:marLeft w:val="0"/>
      <w:marRight w:val="0"/>
      <w:marTop w:val="0"/>
      <w:marBottom w:val="0"/>
      <w:divBdr>
        <w:top w:val="none" w:sz="0" w:space="0" w:color="auto"/>
        <w:left w:val="none" w:sz="0" w:space="0" w:color="auto"/>
        <w:bottom w:val="none" w:sz="0" w:space="0" w:color="auto"/>
        <w:right w:val="none" w:sz="0" w:space="0" w:color="auto"/>
      </w:divBdr>
    </w:div>
    <w:div w:id="1249190343">
      <w:bodyDiv w:val="1"/>
      <w:marLeft w:val="0"/>
      <w:marRight w:val="0"/>
      <w:marTop w:val="0"/>
      <w:marBottom w:val="0"/>
      <w:divBdr>
        <w:top w:val="none" w:sz="0" w:space="0" w:color="auto"/>
        <w:left w:val="none" w:sz="0" w:space="0" w:color="auto"/>
        <w:bottom w:val="none" w:sz="0" w:space="0" w:color="auto"/>
        <w:right w:val="none" w:sz="0" w:space="0" w:color="auto"/>
      </w:divBdr>
    </w:div>
    <w:div w:id="1265377949">
      <w:bodyDiv w:val="1"/>
      <w:marLeft w:val="0"/>
      <w:marRight w:val="0"/>
      <w:marTop w:val="0"/>
      <w:marBottom w:val="0"/>
      <w:divBdr>
        <w:top w:val="none" w:sz="0" w:space="0" w:color="auto"/>
        <w:left w:val="none" w:sz="0" w:space="0" w:color="auto"/>
        <w:bottom w:val="none" w:sz="0" w:space="0" w:color="auto"/>
        <w:right w:val="none" w:sz="0" w:space="0" w:color="auto"/>
      </w:divBdr>
    </w:div>
    <w:div w:id="1279411914">
      <w:bodyDiv w:val="1"/>
      <w:marLeft w:val="0"/>
      <w:marRight w:val="0"/>
      <w:marTop w:val="0"/>
      <w:marBottom w:val="0"/>
      <w:divBdr>
        <w:top w:val="none" w:sz="0" w:space="0" w:color="auto"/>
        <w:left w:val="none" w:sz="0" w:space="0" w:color="auto"/>
        <w:bottom w:val="none" w:sz="0" w:space="0" w:color="auto"/>
        <w:right w:val="none" w:sz="0" w:space="0" w:color="auto"/>
      </w:divBdr>
    </w:div>
    <w:div w:id="1284309558">
      <w:bodyDiv w:val="1"/>
      <w:marLeft w:val="0"/>
      <w:marRight w:val="0"/>
      <w:marTop w:val="0"/>
      <w:marBottom w:val="0"/>
      <w:divBdr>
        <w:top w:val="none" w:sz="0" w:space="0" w:color="auto"/>
        <w:left w:val="none" w:sz="0" w:space="0" w:color="auto"/>
        <w:bottom w:val="none" w:sz="0" w:space="0" w:color="auto"/>
        <w:right w:val="none" w:sz="0" w:space="0" w:color="auto"/>
      </w:divBdr>
    </w:div>
    <w:div w:id="1284311324">
      <w:bodyDiv w:val="1"/>
      <w:marLeft w:val="0"/>
      <w:marRight w:val="0"/>
      <w:marTop w:val="0"/>
      <w:marBottom w:val="0"/>
      <w:divBdr>
        <w:top w:val="none" w:sz="0" w:space="0" w:color="auto"/>
        <w:left w:val="none" w:sz="0" w:space="0" w:color="auto"/>
        <w:bottom w:val="none" w:sz="0" w:space="0" w:color="auto"/>
        <w:right w:val="none" w:sz="0" w:space="0" w:color="auto"/>
      </w:divBdr>
    </w:div>
    <w:div w:id="1303080647">
      <w:bodyDiv w:val="1"/>
      <w:marLeft w:val="0"/>
      <w:marRight w:val="0"/>
      <w:marTop w:val="0"/>
      <w:marBottom w:val="0"/>
      <w:divBdr>
        <w:top w:val="none" w:sz="0" w:space="0" w:color="auto"/>
        <w:left w:val="none" w:sz="0" w:space="0" w:color="auto"/>
        <w:bottom w:val="none" w:sz="0" w:space="0" w:color="auto"/>
        <w:right w:val="none" w:sz="0" w:space="0" w:color="auto"/>
      </w:divBdr>
    </w:div>
    <w:div w:id="1313633410">
      <w:bodyDiv w:val="1"/>
      <w:marLeft w:val="0"/>
      <w:marRight w:val="0"/>
      <w:marTop w:val="0"/>
      <w:marBottom w:val="0"/>
      <w:divBdr>
        <w:top w:val="none" w:sz="0" w:space="0" w:color="auto"/>
        <w:left w:val="none" w:sz="0" w:space="0" w:color="auto"/>
        <w:bottom w:val="none" w:sz="0" w:space="0" w:color="auto"/>
        <w:right w:val="none" w:sz="0" w:space="0" w:color="auto"/>
      </w:divBdr>
    </w:div>
    <w:div w:id="1322194807">
      <w:bodyDiv w:val="1"/>
      <w:marLeft w:val="0"/>
      <w:marRight w:val="0"/>
      <w:marTop w:val="0"/>
      <w:marBottom w:val="0"/>
      <w:divBdr>
        <w:top w:val="none" w:sz="0" w:space="0" w:color="auto"/>
        <w:left w:val="none" w:sz="0" w:space="0" w:color="auto"/>
        <w:bottom w:val="none" w:sz="0" w:space="0" w:color="auto"/>
        <w:right w:val="none" w:sz="0" w:space="0" w:color="auto"/>
      </w:divBdr>
    </w:div>
    <w:div w:id="1329164567">
      <w:bodyDiv w:val="1"/>
      <w:marLeft w:val="0"/>
      <w:marRight w:val="0"/>
      <w:marTop w:val="0"/>
      <w:marBottom w:val="0"/>
      <w:divBdr>
        <w:top w:val="none" w:sz="0" w:space="0" w:color="auto"/>
        <w:left w:val="none" w:sz="0" w:space="0" w:color="auto"/>
        <w:bottom w:val="none" w:sz="0" w:space="0" w:color="auto"/>
        <w:right w:val="none" w:sz="0" w:space="0" w:color="auto"/>
      </w:divBdr>
    </w:div>
    <w:div w:id="1330912171">
      <w:bodyDiv w:val="1"/>
      <w:marLeft w:val="0"/>
      <w:marRight w:val="0"/>
      <w:marTop w:val="0"/>
      <w:marBottom w:val="0"/>
      <w:divBdr>
        <w:top w:val="none" w:sz="0" w:space="0" w:color="auto"/>
        <w:left w:val="none" w:sz="0" w:space="0" w:color="auto"/>
        <w:bottom w:val="none" w:sz="0" w:space="0" w:color="auto"/>
        <w:right w:val="none" w:sz="0" w:space="0" w:color="auto"/>
      </w:divBdr>
    </w:div>
    <w:div w:id="1361197710">
      <w:bodyDiv w:val="1"/>
      <w:marLeft w:val="0"/>
      <w:marRight w:val="0"/>
      <w:marTop w:val="0"/>
      <w:marBottom w:val="0"/>
      <w:divBdr>
        <w:top w:val="none" w:sz="0" w:space="0" w:color="auto"/>
        <w:left w:val="none" w:sz="0" w:space="0" w:color="auto"/>
        <w:bottom w:val="none" w:sz="0" w:space="0" w:color="auto"/>
        <w:right w:val="none" w:sz="0" w:space="0" w:color="auto"/>
      </w:divBdr>
    </w:div>
    <w:div w:id="1381202415">
      <w:bodyDiv w:val="1"/>
      <w:marLeft w:val="0"/>
      <w:marRight w:val="0"/>
      <w:marTop w:val="0"/>
      <w:marBottom w:val="0"/>
      <w:divBdr>
        <w:top w:val="none" w:sz="0" w:space="0" w:color="auto"/>
        <w:left w:val="none" w:sz="0" w:space="0" w:color="auto"/>
        <w:bottom w:val="none" w:sz="0" w:space="0" w:color="auto"/>
        <w:right w:val="none" w:sz="0" w:space="0" w:color="auto"/>
      </w:divBdr>
    </w:div>
    <w:div w:id="1382293460">
      <w:bodyDiv w:val="1"/>
      <w:marLeft w:val="0"/>
      <w:marRight w:val="0"/>
      <w:marTop w:val="0"/>
      <w:marBottom w:val="0"/>
      <w:divBdr>
        <w:top w:val="none" w:sz="0" w:space="0" w:color="auto"/>
        <w:left w:val="none" w:sz="0" w:space="0" w:color="auto"/>
        <w:bottom w:val="none" w:sz="0" w:space="0" w:color="auto"/>
        <w:right w:val="none" w:sz="0" w:space="0" w:color="auto"/>
      </w:divBdr>
    </w:div>
    <w:div w:id="1386101233">
      <w:bodyDiv w:val="1"/>
      <w:marLeft w:val="0"/>
      <w:marRight w:val="0"/>
      <w:marTop w:val="0"/>
      <w:marBottom w:val="0"/>
      <w:divBdr>
        <w:top w:val="none" w:sz="0" w:space="0" w:color="auto"/>
        <w:left w:val="none" w:sz="0" w:space="0" w:color="auto"/>
        <w:bottom w:val="none" w:sz="0" w:space="0" w:color="auto"/>
        <w:right w:val="none" w:sz="0" w:space="0" w:color="auto"/>
      </w:divBdr>
    </w:div>
    <w:div w:id="1386635892">
      <w:bodyDiv w:val="1"/>
      <w:marLeft w:val="0"/>
      <w:marRight w:val="0"/>
      <w:marTop w:val="0"/>
      <w:marBottom w:val="0"/>
      <w:divBdr>
        <w:top w:val="none" w:sz="0" w:space="0" w:color="auto"/>
        <w:left w:val="none" w:sz="0" w:space="0" w:color="auto"/>
        <w:bottom w:val="none" w:sz="0" w:space="0" w:color="auto"/>
        <w:right w:val="none" w:sz="0" w:space="0" w:color="auto"/>
      </w:divBdr>
    </w:div>
    <w:div w:id="1393888223">
      <w:bodyDiv w:val="1"/>
      <w:marLeft w:val="0"/>
      <w:marRight w:val="0"/>
      <w:marTop w:val="0"/>
      <w:marBottom w:val="0"/>
      <w:divBdr>
        <w:top w:val="none" w:sz="0" w:space="0" w:color="auto"/>
        <w:left w:val="none" w:sz="0" w:space="0" w:color="auto"/>
        <w:bottom w:val="none" w:sz="0" w:space="0" w:color="auto"/>
        <w:right w:val="none" w:sz="0" w:space="0" w:color="auto"/>
      </w:divBdr>
    </w:div>
    <w:div w:id="1398090252">
      <w:bodyDiv w:val="1"/>
      <w:marLeft w:val="0"/>
      <w:marRight w:val="0"/>
      <w:marTop w:val="0"/>
      <w:marBottom w:val="0"/>
      <w:divBdr>
        <w:top w:val="none" w:sz="0" w:space="0" w:color="auto"/>
        <w:left w:val="none" w:sz="0" w:space="0" w:color="auto"/>
        <w:bottom w:val="none" w:sz="0" w:space="0" w:color="auto"/>
        <w:right w:val="none" w:sz="0" w:space="0" w:color="auto"/>
      </w:divBdr>
    </w:div>
    <w:div w:id="1418597793">
      <w:bodyDiv w:val="1"/>
      <w:marLeft w:val="0"/>
      <w:marRight w:val="0"/>
      <w:marTop w:val="0"/>
      <w:marBottom w:val="0"/>
      <w:divBdr>
        <w:top w:val="none" w:sz="0" w:space="0" w:color="auto"/>
        <w:left w:val="none" w:sz="0" w:space="0" w:color="auto"/>
        <w:bottom w:val="none" w:sz="0" w:space="0" w:color="auto"/>
        <w:right w:val="none" w:sz="0" w:space="0" w:color="auto"/>
      </w:divBdr>
    </w:div>
    <w:div w:id="1443190377">
      <w:bodyDiv w:val="1"/>
      <w:marLeft w:val="0"/>
      <w:marRight w:val="0"/>
      <w:marTop w:val="0"/>
      <w:marBottom w:val="0"/>
      <w:divBdr>
        <w:top w:val="none" w:sz="0" w:space="0" w:color="auto"/>
        <w:left w:val="none" w:sz="0" w:space="0" w:color="auto"/>
        <w:bottom w:val="none" w:sz="0" w:space="0" w:color="auto"/>
        <w:right w:val="none" w:sz="0" w:space="0" w:color="auto"/>
      </w:divBdr>
    </w:div>
    <w:div w:id="1487428526">
      <w:bodyDiv w:val="1"/>
      <w:marLeft w:val="0"/>
      <w:marRight w:val="0"/>
      <w:marTop w:val="0"/>
      <w:marBottom w:val="0"/>
      <w:divBdr>
        <w:top w:val="none" w:sz="0" w:space="0" w:color="auto"/>
        <w:left w:val="none" w:sz="0" w:space="0" w:color="auto"/>
        <w:bottom w:val="none" w:sz="0" w:space="0" w:color="auto"/>
        <w:right w:val="none" w:sz="0" w:space="0" w:color="auto"/>
      </w:divBdr>
    </w:div>
    <w:div w:id="1487936313">
      <w:bodyDiv w:val="1"/>
      <w:marLeft w:val="0"/>
      <w:marRight w:val="0"/>
      <w:marTop w:val="0"/>
      <w:marBottom w:val="0"/>
      <w:divBdr>
        <w:top w:val="none" w:sz="0" w:space="0" w:color="auto"/>
        <w:left w:val="none" w:sz="0" w:space="0" w:color="auto"/>
        <w:bottom w:val="none" w:sz="0" w:space="0" w:color="auto"/>
        <w:right w:val="none" w:sz="0" w:space="0" w:color="auto"/>
      </w:divBdr>
    </w:div>
    <w:div w:id="1489980395">
      <w:bodyDiv w:val="1"/>
      <w:marLeft w:val="0"/>
      <w:marRight w:val="0"/>
      <w:marTop w:val="0"/>
      <w:marBottom w:val="0"/>
      <w:divBdr>
        <w:top w:val="none" w:sz="0" w:space="0" w:color="auto"/>
        <w:left w:val="none" w:sz="0" w:space="0" w:color="auto"/>
        <w:bottom w:val="none" w:sz="0" w:space="0" w:color="auto"/>
        <w:right w:val="none" w:sz="0" w:space="0" w:color="auto"/>
      </w:divBdr>
    </w:div>
    <w:div w:id="1504542111">
      <w:bodyDiv w:val="1"/>
      <w:marLeft w:val="0"/>
      <w:marRight w:val="0"/>
      <w:marTop w:val="0"/>
      <w:marBottom w:val="0"/>
      <w:divBdr>
        <w:top w:val="none" w:sz="0" w:space="0" w:color="auto"/>
        <w:left w:val="none" w:sz="0" w:space="0" w:color="auto"/>
        <w:bottom w:val="none" w:sz="0" w:space="0" w:color="auto"/>
        <w:right w:val="none" w:sz="0" w:space="0" w:color="auto"/>
      </w:divBdr>
    </w:div>
    <w:div w:id="1504736221">
      <w:bodyDiv w:val="1"/>
      <w:marLeft w:val="0"/>
      <w:marRight w:val="0"/>
      <w:marTop w:val="0"/>
      <w:marBottom w:val="0"/>
      <w:divBdr>
        <w:top w:val="none" w:sz="0" w:space="0" w:color="auto"/>
        <w:left w:val="none" w:sz="0" w:space="0" w:color="auto"/>
        <w:bottom w:val="none" w:sz="0" w:space="0" w:color="auto"/>
        <w:right w:val="none" w:sz="0" w:space="0" w:color="auto"/>
      </w:divBdr>
    </w:div>
    <w:div w:id="1510370707">
      <w:bodyDiv w:val="1"/>
      <w:marLeft w:val="0"/>
      <w:marRight w:val="0"/>
      <w:marTop w:val="0"/>
      <w:marBottom w:val="0"/>
      <w:divBdr>
        <w:top w:val="none" w:sz="0" w:space="0" w:color="auto"/>
        <w:left w:val="none" w:sz="0" w:space="0" w:color="auto"/>
        <w:bottom w:val="none" w:sz="0" w:space="0" w:color="auto"/>
        <w:right w:val="none" w:sz="0" w:space="0" w:color="auto"/>
      </w:divBdr>
    </w:div>
    <w:div w:id="1514954521">
      <w:bodyDiv w:val="1"/>
      <w:marLeft w:val="0"/>
      <w:marRight w:val="0"/>
      <w:marTop w:val="0"/>
      <w:marBottom w:val="0"/>
      <w:divBdr>
        <w:top w:val="none" w:sz="0" w:space="0" w:color="auto"/>
        <w:left w:val="none" w:sz="0" w:space="0" w:color="auto"/>
        <w:bottom w:val="none" w:sz="0" w:space="0" w:color="auto"/>
        <w:right w:val="none" w:sz="0" w:space="0" w:color="auto"/>
      </w:divBdr>
    </w:div>
    <w:div w:id="1517108855">
      <w:bodyDiv w:val="1"/>
      <w:marLeft w:val="0"/>
      <w:marRight w:val="0"/>
      <w:marTop w:val="0"/>
      <w:marBottom w:val="0"/>
      <w:divBdr>
        <w:top w:val="none" w:sz="0" w:space="0" w:color="auto"/>
        <w:left w:val="none" w:sz="0" w:space="0" w:color="auto"/>
        <w:bottom w:val="none" w:sz="0" w:space="0" w:color="auto"/>
        <w:right w:val="none" w:sz="0" w:space="0" w:color="auto"/>
      </w:divBdr>
    </w:div>
    <w:div w:id="1550188957">
      <w:bodyDiv w:val="1"/>
      <w:marLeft w:val="0"/>
      <w:marRight w:val="0"/>
      <w:marTop w:val="0"/>
      <w:marBottom w:val="0"/>
      <w:divBdr>
        <w:top w:val="none" w:sz="0" w:space="0" w:color="auto"/>
        <w:left w:val="none" w:sz="0" w:space="0" w:color="auto"/>
        <w:bottom w:val="none" w:sz="0" w:space="0" w:color="auto"/>
        <w:right w:val="none" w:sz="0" w:space="0" w:color="auto"/>
      </w:divBdr>
    </w:div>
    <w:div w:id="1565676634">
      <w:bodyDiv w:val="1"/>
      <w:marLeft w:val="0"/>
      <w:marRight w:val="0"/>
      <w:marTop w:val="0"/>
      <w:marBottom w:val="0"/>
      <w:divBdr>
        <w:top w:val="none" w:sz="0" w:space="0" w:color="auto"/>
        <w:left w:val="none" w:sz="0" w:space="0" w:color="auto"/>
        <w:bottom w:val="none" w:sz="0" w:space="0" w:color="auto"/>
        <w:right w:val="none" w:sz="0" w:space="0" w:color="auto"/>
      </w:divBdr>
    </w:div>
    <w:div w:id="1573853443">
      <w:bodyDiv w:val="1"/>
      <w:marLeft w:val="0"/>
      <w:marRight w:val="0"/>
      <w:marTop w:val="0"/>
      <w:marBottom w:val="0"/>
      <w:divBdr>
        <w:top w:val="none" w:sz="0" w:space="0" w:color="auto"/>
        <w:left w:val="none" w:sz="0" w:space="0" w:color="auto"/>
        <w:bottom w:val="none" w:sz="0" w:space="0" w:color="auto"/>
        <w:right w:val="none" w:sz="0" w:space="0" w:color="auto"/>
      </w:divBdr>
    </w:div>
    <w:div w:id="1581987284">
      <w:bodyDiv w:val="1"/>
      <w:marLeft w:val="0"/>
      <w:marRight w:val="0"/>
      <w:marTop w:val="0"/>
      <w:marBottom w:val="0"/>
      <w:divBdr>
        <w:top w:val="none" w:sz="0" w:space="0" w:color="auto"/>
        <w:left w:val="none" w:sz="0" w:space="0" w:color="auto"/>
        <w:bottom w:val="none" w:sz="0" w:space="0" w:color="auto"/>
        <w:right w:val="none" w:sz="0" w:space="0" w:color="auto"/>
      </w:divBdr>
    </w:div>
    <w:div w:id="1586258857">
      <w:bodyDiv w:val="1"/>
      <w:marLeft w:val="0"/>
      <w:marRight w:val="0"/>
      <w:marTop w:val="0"/>
      <w:marBottom w:val="0"/>
      <w:divBdr>
        <w:top w:val="none" w:sz="0" w:space="0" w:color="auto"/>
        <w:left w:val="none" w:sz="0" w:space="0" w:color="auto"/>
        <w:bottom w:val="none" w:sz="0" w:space="0" w:color="auto"/>
        <w:right w:val="none" w:sz="0" w:space="0" w:color="auto"/>
      </w:divBdr>
    </w:div>
    <w:div w:id="1594046846">
      <w:bodyDiv w:val="1"/>
      <w:marLeft w:val="0"/>
      <w:marRight w:val="0"/>
      <w:marTop w:val="0"/>
      <w:marBottom w:val="0"/>
      <w:divBdr>
        <w:top w:val="none" w:sz="0" w:space="0" w:color="auto"/>
        <w:left w:val="none" w:sz="0" w:space="0" w:color="auto"/>
        <w:bottom w:val="none" w:sz="0" w:space="0" w:color="auto"/>
        <w:right w:val="none" w:sz="0" w:space="0" w:color="auto"/>
      </w:divBdr>
    </w:div>
    <w:div w:id="1599673681">
      <w:bodyDiv w:val="1"/>
      <w:marLeft w:val="0"/>
      <w:marRight w:val="0"/>
      <w:marTop w:val="0"/>
      <w:marBottom w:val="0"/>
      <w:divBdr>
        <w:top w:val="none" w:sz="0" w:space="0" w:color="auto"/>
        <w:left w:val="none" w:sz="0" w:space="0" w:color="auto"/>
        <w:bottom w:val="none" w:sz="0" w:space="0" w:color="auto"/>
        <w:right w:val="none" w:sz="0" w:space="0" w:color="auto"/>
      </w:divBdr>
    </w:div>
    <w:div w:id="1630819288">
      <w:bodyDiv w:val="1"/>
      <w:marLeft w:val="0"/>
      <w:marRight w:val="0"/>
      <w:marTop w:val="0"/>
      <w:marBottom w:val="0"/>
      <w:divBdr>
        <w:top w:val="none" w:sz="0" w:space="0" w:color="auto"/>
        <w:left w:val="none" w:sz="0" w:space="0" w:color="auto"/>
        <w:bottom w:val="none" w:sz="0" w:space="0" w:color="auto"/>
        <w:right w:val="none" w:sz="0" w:space="0" w:color="auto"/>
      </w:divBdr>
    </w:div>
    <w:div w:id="1648823787">
      <w:bodyDiv w:val="1"/>
      <w:marLeft w:val="0"/>
      <w:marRight w:val="0"/>
      <w:marTop w:val="0"/>
      <w:marBottom w:val="0"/>
      <w:divBdr>
        <w:top w:val="none" w:sz="0" w:space="0" w:color="auto"/>
        <w:left w:val="none" w:sz="0" w:space="0" w:color="auto"/>
        <w:bottom w:val="none" w:sz="0" w:space="0" w:color="auto"/>
        <w:right w:val="none" w:sz="0" w:space="0" w:color="auto"/>
      </w:divBdr>
    </w:div>
    <w:div w:id="1652248071">
      <w:bodyDiv w:val="1"/>
      <w:marLeft w:val="0"/>
      <w:marRight w:val="0"/>
      <w:marTop w:val="0"/>
      <w:marBottom w:val="0"/>
      <w:divBdr>
        <w:top w:val="none" w:sz="0" w:space="0" w:color="auto"/>
        <w:left w:val="none" w:sz="0" w:space="0" w:color="auto"/>
        <w:bottom w:val="none" w:sz="0" w:space="0" w:color="auto"/>
        <w:right w:val="none" w:sz="0" w:space="0" w:color="auto"/>
      </w:divBdr>
    </w:div>
    <w:div w:id="1656059780">
      <w:bodyDiv w:val="1"/>
      <w:marLeft w:val="0"/>
      <w:marRight w:val="0"/>
      <w:marTop w:val="0"/>
      <w:marBottom w:val="0"/>
      <w:divBdr>
        <w:top w:val="none" w:sz="0" w:space="0" w:color="auto"/>
        <w:left w:val="none" w:sz="0" w:space="0" w:color="auto"/>
        <w:bottom w:val="none" w:sz="0" w:space="0" w:color="auto"/>
        <w:right w:val="none" w:sz="0" w:space="0" w:color="auto"/>
      </w:divBdr>
    </w:div>
    <w:div w:id="1675255954">
      <w:bodyDiv w:val="1"/>
      <w:marLeft w:val="0"/>
      <w:marRight w:val="0"/>
      <w:marTop w:val="0"/>
      <w:marBottom w:val="0"/>
      <w:divBdr>
        <w:top w:val="none" w:sz="0" w:space="0" w:color="auto"/>
        <w:left w:val="none" w:sz="0" w:space="0" w:color="auto"/>
        <w:bottom w:val="none" w:sz="0" w:space="0" w:color="auto"/>
        <w:right w:val="none" w:sz="0" w:space="0" w:color="auto"/>
      </w:divBdr>
    </w:div>
    <w:div w:id="1677267194">
      <w:bodyDiv w:val="1"/>
      <w:marLeft w:val="0"/>
      <w:marRight w:val="0"/>
      <w:marTop w:val="0"/>
      <w:marBottom w:val="0"/>
      <w:divBdr>
        <w:top w:val="none" w:sz="0" w:space="0" w:color="auto"/>
        <w:left w:val="none" w:sz="0" w:space="0" w:color="auto"/>
        <w:bottom w:val="none" w:sz="0" w:space="0" w:color="auto"/>
        <w:right w:val="none" w:sz="0" w:space="0" w:color="auto"/>
      </w:divBdr>
    </w:div>
    <w:div w:id="1677995601">
      <w:bodyDiv w:val="1"/>
      <w:marLeft w:val="0"/>
      <w:marRight w:val="0"/>
      <w:marTop w:val="0"/>
      <w:marBottom w:val="0"/>
      <w:divBdr>
        <w:top w:val="none" w:sz="0" w:space="0" w:color="auto"/>
        <w:left w:val="none" w:sz="0" w:space="0" w:color="auto"/>
        <w:bottom w:val="none" w:sz="0" w:space="0" w:color="auto"/>
        <w:right w:val="none" w:sz="0" w:space="0" w:color="auto"/>
      </w:divBdr>
    </w:div>
    <w:div w:id="1684865998">
      <w:bodyDiv w:val="1"/>
      <w:marLeft w:val="0"/>
      <w:marRight w:val="0"/>
      <w:marTop w:val="0"/>
      <w:marBottom w:val="0"/>
      <w:divBdr>
        <w:top w:val="none" w:sz="0" w:space="0" w:color="auto"/>
        <w:left w:val="none" w:sz="0" w:space="0" w:color="auto"/>
        <w:bottom w:val="none" w:sz="0" w:space="0" w:color="auto"/>
        <w:right w:val="none" w:sz="0" w:space="0" w:color="auto"/>
      </w:divBdr>
    </w:div>
    <w:div w:id="1688823496">
      <w:bodyDiv w:val="1"/>
      <w:marLeft w:val="0"/>
      <w:marRight w:val="0"/>
      <w:marTop w:val="0"/>
      <w:marBottom w:val="0"/>
      <w:divBdr>
        <w:top w:val="none" w:sz="0" w:space="0" w:color="auto"/>
        <w:left w:val="none" w:sz="0" w:space="0" w:color="auto"/>
        <w:bottom w:val="none" w:sz="0" w:space="0" w:color="auto"/>
        <w:right w:val="none" w:sz="0" w:space="0" w:color="auto"/>
      </w:divBdr>
    </w:div>
    <w:div w:id="1693457585">
      <w:bodyDiv w:val="1"/>
      <w:marLeft w:val="0"/>
      <w:marRight w:val="0"/>
      <w:marTop w:val="0"/>
      <w:marBottom w:val="0"/>
      <w:divBdr>
        <w:top w:val="none" w:sz="0" w:space="0" w:color="auto"/>
        <w:left w:val="none" w:sz="0" w:space="0" w:color="auto"/>
        <w:bottom w:val="none" w:sz="0" w:space="0" w:color="auto"/>
        <w:right w:val="none" w:sz="0" w:space="0" w:color="auto"/>
      </w:divBdr>
    </w:div>
    <w:div w:id="1701540810">
      <w:bodyDiv w:val="1"/>
      <w:marLeft w:val="0"/>
      <w:marRight w:val="0"/>
      <w:marTop w:val="0"/>
      <w:marBottom w:val="0"/>
      <w:divBdr>
        <w:top w:val="none" w:sz="0" w:space="0" w:color="auto"/>
        <w:left w:val="none" w:sz="0" w:space="0" w:color="auto"/>
        <w:bottom w:val="none" w:sz="0" w:space="0" w:color="auto"/>
        <w:right w:val="none" w:sz="0" w:space="0" w:color="auto"/>
      </w:divBdr>
    </w:div>
    <w:div w:id="1722099484">
      <w:bodyDiv w:val="1"/>
      <w:marLeft w:val="0"/>
      <w:marRight w:val="0"/>
      <w:marTop w:val="0"/>
      <w:marBottom w:val="0"/>
      <w:divBdr>
        <w:top w:val="none" w:sz="0" w:space="0" w:color="auto"/>
        <w:left w:val="none" w:sz="0" w:space="0" w:color="auto"/>
        <w:bottom w:val="none" w:sz="0" w:space="0" w:color="auto"/>
        <w:right w:val="none" w:sz="0" w:space="0" w:color="auto"/>
      </w:divBdr>
    </w:div>
    <w:div w:id="1733692208">
      <w:bodyDiv w:val="1"/>
      <w:marLeft w:val="0"/>
      <w:marRight w:val="0"/>
      <w:marTop w:val="0"/>
      <w:marBottom w:val="0"/>
      <w:divBdr>
        <w:top w:val="none" w:sz="0" w:space="0" w:color="auto"/>
        <w:left w:val="none" w:sz="0" w:space="0" w:color="auto"/>
        <w:bottom w:val="none" w:sz="0" w:space="0" w:color="auto"/>
        <w:right w:val="none" w:sz="0" w:space="0" w:color="auto"/>
      </w:divBdr>
    </w:div>
    <w:div w:id="1737126094">
      <w:bodyDiv w:val="1"/>
      <w:marLeft w:val="0"/>
      <w:marRight w:val="0"/>
      <w:marTop w:val="0"/>
      <w:marBottom w:val="0"/>
      <w:divBdr>
        <w:top w:val="none" w:sz="0" w:space="0" w:color="auto"/>
        <w:left w:val="none" w:sz="0" w:space="0" w:color="auto"/>
        <w:bottom w:val="none" w:sz="0" w:space="0" w:color="auto"/>
        <w:right w:val="none" w:sz="0" w:space="0" w:color="auto"/>
      </w:divBdr>
    </w:div>
    <w:div w:id="1743984268">
      <w:bodyDiv w:val="1"/>
      <w:marLeft w:val="0"/>
      <w:marRight w:val="0"/>
      <w:marTop w:val="0"/>
      <w:marBottom w:val="0"/>
      <w:divBdr>
        <w:top w:val="none" w:sz="0" w:space="0" w:color="auto"/>
        <w:left w:val="none" w:sz="0" w:space="0" w:color="auto"/>
        <w:bottom w:val="none" w:sz="0" w:space="0" w:color="auto"/>
        <w:right w:val="none" w:sz="0" w:space="0" w:color="auto"/>
      </w:divBdr>
    </w:div>
    <w:div w:id="1752505685">
      <w:bodyDiv w:val="1"/>
      <w:marLeft w:val="0"/>
      <w:marRight w:val="0"/>
      <w:marTop w:val="0"/>
      <w:marBottom w:val="0"/>
      <w:divBdr>
        <w:top w:val="none" w:sz="0" w:space="0" w:color="auto"/>
        <w:left w:val="none" w:sz="0" w:space="0" w:color="auto"/>
        <w:bottom w:val="none" w:sz="0" w:space="0" w:color="auto"/>
        <w:right w:val="none" w:sz="0" w:space="0" w:color="auto"/>
      </w:divBdr>
    </w:div>
    <w:div w:id="1754355470">
      <w:bodyDiv w:val="1"/>
      <w:marLeft w:val="0"/>
      <w:marRight w:val="0"/>
      <w:marTop w:val="0"/>
      <w:marBottom w:val="0"/>
      <w:divBdr>
        <w:top w:val="none" w:sz="0" w:space="0" w:color="auto"/>
        <w:left w:val="none" w:sz="0" w:space="0" w:color="auto"/>
        <w:bottom w:val="none" w:sz="0" w:space="0" w:color="auto"/>
        <w:right w:val="none" w:sz="0" w:space="0" w:color="auto"/>
      </w:divBdr>
    </w:div>
    <w:div w:id="1774130847">
      <w:bodyDiv w:val="1"/>
      <w:marLeft w:val="0"/>
      <w:marRight w:val="0"/>
      <w:marTop w:val="0"/>
      <w:marBottom w:val="0"/>
      <w:divBdr>
        <w:top w:val="none" w:sz="0" w:space="0" w:color="auto"/>
        <w:left w:val="none" w:sz="0" w:space="0" w:color="auto"/>
        <w:bottom w:val="none" w:sz="0" w:space="0" w:color="auto"/>
        <w:right w:val="none" w:sz="0" w:space="0" w:color="auto"/>
      </w:divBdr>
    </w:div>
    <w:div w:id="1780644120">
      <w:bodyDiv w:val="1"/>
      <w:marLeft w:val="0"/>
      <w:marRight w:val="0"/>
      <w:marTop w:val="0"/>
      <w:marBottom w:val="0"/>
      <w:divBdr>
        <w:top w:val="none" w:sz="0" w:space="0" w:color="auto"/>
        <w:left w:val="none" w:sz="0" w:space="0" w:color="auto"/>
        <w:bottom w:val="none" w:sz="0" w:space="0" w:color="auto"/>
        <w:right w:val="none" w:sz="0" w:space="0" w:color="auto"/>
      </w:divBdr>
    </w:div>
    <w:div w:id="1815677234">
      <w:bodyDiv w:val="1"/>
      <w:marLeft w:val="0"/>
      <w:marRight w:val="0"/>
      <w:marTop w:val="0"/>
      <w:marBottom w:val="0"/>
      <w:divBdr>
        <w:top w:val="none" w:sz="0" w:space="0" w:color="auto"/>
        <w:left w:val="none" w:sz="0" w:space="0" w:color="auto"/>
        <w:bottom w:val="none" w:sz="0" w:space="0" w:color="auto"/>
        <w:right w:val="none" w:sz="0" w:space="0" w:color="auto"/>
      </w:divBdr>
    </w:div>
    <w:div w:id="1842545159">
      <w:bodyDiv w:val="1"/>
      <w:marLeft w:val="0"/>
      <w:marRight w:val="0"/>
      <w:marTop w:val="0"/>
      <w:marBottom w:val="0"/>
      <w:divBdr>
        <w:top w:val="none" w:sz="0" w:space="0" w:color="auto"/>
        <w:left w:val="none" w:sz="0" w:space="0" w:color="auto"/>
        <w:bottom w:val="none" w:sz="0" w:space="0" w:color="auto"/>
        <w:right w:val="none" w:sz="0" w:space="0" w:color="auto"/>
      </w:divBdr>
    </w:div>
    <w:div w:id="1870683761">
      <w:bodyDiv w:val="1"/>
      <w:marLeft w:val="0"/>
      <w:marRight w:val="0"/>
      <w:marTop w:val="0"/>
      <w:marBottom w:val="0"/>
      <w:divBdr>
        <w:top w:val="none" w:sz="0" w:space="0" w:color="auto"/>
        <w:left w:val="none" w:sz="0" w:space="0" w:color="auto"/>
        <w:bottom w:val="none" w:sz="0" w:space="0" w:color="auto"/>
        <w:right w:val="none" w:sz="0" w:space="0" w:color="auto"/>
      </w:divBdr>
    </w:div>
    <w:div w:id="1874614081">
      <w:bodyDiv w:val="1"/>
      <w:marLeft w:val="0"/>
      <w:marRight w:val="0"/>
      <w:marTop w:val="0"/>
      <w:marBottom w:val="0"/>
      <w:divBdr>
        <w:top w:val="none" w:sz="0" w:space="0" w:color="auto"/>
        <w:left w:val="none" w:sz="0" w:space="0" w:color="auto"/>
        <w:bottom w:val="none" w:sz="0" w:space="0" w:color="auto"/>
        <w:right w:val="none" w:sz="0" w:space="0" w:color="auto"/>
      </w:divBdr>
    </w:div>
    <w:div w:id="1886941259">
      <w:bodyDiv w:val="1"/>
      <w:marLeft w:val="0"/>
      <w:marRight w:val="0"/>
      <w:marTop w:val="0"/>
      <w:marBottom w:val="0"/>
      <w:divBdr>
        <w:top w:val="none" w:sz="0" w:space="0" w:color="auto"/>
        <w:left w:val="none" w:sz="0" w:space="0" w:color="auto"/>
        <w:bottom w:val="none" w:sz="0" w:space="0" w:color="auto"/>
        <w:right w:val="none" w:sz="0" w:space="0" w:color="auto"/>
      </w:divBdr>
    </w:div>
    <w:div w:id="1888301627">
      <w:bodyDiv w:val="1"/>
      <w:marLeft w:val="0"/>
      <w:marRight w:val="0"/>
      <w:marTop w:val="0"/>
      <w:marBottom w:val="0"/>
      <w:divBdr>
        <w:top w:val="none" w:sz="0" w:space="0" w:color="auto"/>
        <w:left w:val="none" w:sz="0" w:space="0" w:color="auto"/>
        <w:bottom w:val="none" w:sz="0" w:space="0" w:color="auto"/>
        <w:right w:val="none" w:sz="0" w:space="0" w:color="auto"/>
      </w:divBdr>
    </w:div>
    <w:div w:id="1903831052">
      <w:bodyDiv w:val="1"/>
      <w:marLeft w:val="0"/>
      <w:marRight w:val="0"/>
      <w:marTop w:val="0"/>
      <w:marBottom w:val="0"/>
      <w:divBdr>
        <w:top w:val="none" w:sz="0" w:space="0" w:color="auto"/>
        <w:left w:val="none" w:sz="0" w:space="0" w:color="auto"/>
        <w:bottom w:val="none" w:sz="0" w:space="0" w:color="auto"/>
        <w:right w:val="none" w:sz="0" w:space="0" w:color="auto"/>
      </w:divBdr>
    </w:div>
    <w:div w:id="1915970943">
      <w:bodyDiv w:val="1"/>
      <w:marLeft w:val="0"/>
      <w:marRight w:val="0"/>
      <w:marTop w:val="0"/>
      <w:marBottom w:val="0"/>
      <w:divBdr>
        <w:top w:val="none" w:sz="0" w:space="0" w:color="auto"/>
        <w:left w:val="none" w:sz="0" w:space="0" w:color="auto"/>
        <w:bottom w:val="none" w:sz="0" w:space="0" w:color="auto"/>
        <w:right w:val="none" w:sz="0" w:space="0" w:color="auto"/>
      </w:divBdr>
    </w:div>
    <w:div w:id="1917662116">
      <w:bodyDiv w:val="1"/>
      <w:marLeft w:val="0"/>
      <w:marRight w:val="0"/>
      <w:marTop w:val="0"/>
      <w:marBottom w:val="0"/>
      <w:divBdr>
        <w:top w:val="none" w:sz="0" w:space="0" w:color="auto"/>
        <w:left w:val="none" w:sz="0" w:space="0" w:color="auto"/>
        <w:bottom w:val="none" w:sz="0" w:space="0" w:color="auto"/>
        <w:right w:val="none" w:sz="0" w:space="0" w:color="auto"/>
      </w:divBdr>
    </w:div>
    <w:div w:id="1921136349">
      <w:bodyDiv w:val="1"/>
      <w:marLeft w:val="0"/>
      <w:marRight w:val="0"/>
      <w:marTop w:val="0"/>
      <w:marBottom w:val="0"/>
      <w:divBdr>
        <w:top w:val="none" w:sz="0" w:space="0" w:color="auto"/>
        <w:left w:val="none" w:sz="0" w:space="0" w:color="auto"/>
        <w:bottom w:val="none" w:sz="0" w:space="0" w:color="auto"/>
        <w:right w:val="none" w:sz="0" w:space="0" w:color="auto"/>
      </w:divBdr>
    </w:div>
    <w:div w:id="1945993214">
      <w:bodyDiv w:val="1"/>
      <w:marLeft w:val="0"/>
      <w:marRight w:val="0"/>
      <w:marTop w:val="0"/>
      <w:marBottom w:val="0"/>
      <w:divBdr>
        <w:top w:val="none" w:sz="0" w:space="0" w:color="auto"/>
        <w:left w:val="none" w:sz="0" w:space="0" w:color="auto"/>
        <w:bottom w:val="none" w:sz="0" w:space="0" w:color="auto"/>
        <w:right w:val="none" w:sz="0" w:space="0" w:color="auto"/>
      </w:divBdr>
    </w:div>
    <w:div w:id="1948154838">
      <w:bodyDiv w:val="1"/>
      <w:marLeft w:val="0"/>
      <w:marRight w:val="0"/>
      <w:marTop w:val="0"/>
      <w:marBottom w:val="0"/>
      <w:divBdr>
        <w:top w:val="none" w:sz="0" w:space="0" w:color="auto"/>
        <w:left w:val="none" w:sz="0" w:space="0" w:color="auto"/>
        <w:bottom w:val="none" w:sz="0" w:space="0" w:color="auto"/>
        <w:right w:val="none" w:sz="0" w:space="0" w:color="auto"/>
      </w:divBdr>
    </w:div>
    <w:div w:id="1951089860">
      <w:bodyDiv w:val="1"/>
      <w:marLeft w:val="0"/>
      <w:marRight w:val="0"/>
      <w:marTop w:val="0"/>
      <w:marBottom w:val="0"/>
      <w:divBdr>
        <w:top w:val="none" w:sz="0" w:space="0" w:color="auto"/>
        <w:left w:val="none" w:sz="0" w:space="0" w:color="auto"/>
        <w:bottom w:val="none" w:sz="0" w:space="0" w:color="auto"/>
        <w:right w:val="none" w:sz="0" w:space="0" w:color="auto"/>
      </w:divBdr>
    </w:div>
    <w:div w:id="1957980869">
      <w:bodyDiv w:val="1"/>
      <w:marLeft w:val="0"/>
      <w:marRight w:val="0"/>
      <w:marTop w:val="0"/>
      <w:marBottom w:val="0"/>
      <w:divBdr>
        <w:top w:val="none" w:sz="0" w:space="0" w:color="auto"/>
        <w:left w:val="none" w:sz="0" w:space="0" w:color="auto"/>
        <w:bottom w:val="none" w:sz="0" w:space="0" w:color="auto"/>
        <w:right w:val="none" w:sz="0" w:space="0" w:color="auto"/>
      </w:divBdr>
    </w:div>
    <w:div w:id="1965963213">
      <w:bodyDiv w:val="1"/>
      <w:marLeft w:val="0"/>
      <w:marRight w:val="0"/>
      <w:marTop w:val="0"/>
      <w:marBottom w:val="0"/>
      <w:divBdr>
        <w:top w:val="none" w:sz="0" w:space="0" w:color="auto"/>
        <w:left w:val="none" w:sz="0" w:space="0" w:color="auto"/>
        <w:bottom w:val="none" w:sz="0" w:space="0" w:color="auto"/>
        <w:right w:val="none" w:sz="0" w:space="0" w:color="auto"/>
      </w:divBdr>
    </w:div>
    <w:div w:id="1974093313">
      <w:bodyDiv w:val="1"/>
      <w:marLeft w:val="0"/>
      <w:marRight w:val="0"/>
      <w:marTop w:val="0"/>
      <w:marBottom w:val="0"/>
      <w:divBdr>
        <w:top w:val="none" w:sz="0" w:space="0" w:color="auto"/>
        <w:left w:val="none" w:sz="0" w:space="0" w:color="auto"/>
        <w:bottom w:val="none" w:sz="0" w:space="0" w:color="auto"/>
        <w:right w:val="none" w:sz="0" w:space="0" w:color="auto"/>
      </w:divBdr>
    </w:div>
    <w:div w:id="1981574555">
      <w:bodyDiv w:val="1"/>
      <w:marLeft w:val="0"/>
      <w:marRight w:val="0"/>
      <w:marTop w:val="0"/>
      <w:marBottom w:val="0"/>
      <w:divBdr>
        <w:top w:val="none" w:sz="0" w:space="0" w:color="auto"/>
        <w:left w:val="none" w:sz="0" w:space="0" w:color="auto"/>
        <w:bottom w:val="none" w:sz="0" w:space="0" w:color="auto"/>
        <w:right w:val="none" w:sz="0" w:space="0" w:color="auto"/>
      </w:divBdr>
    </w:div>
    <w:div w:id="1981838250">
      <w:bodyDiv w:val="1"/>
      <w:marLeft w:val="0"/>
      <w:marRight w:val="0"/>
      <w:marTop w:val="0"/>
      <w:marBottom w:val="0"/>
      <w:divBdr>
        <w:top w:val="none" w:sz="0" w:space="0" w:color="auto"/>
        <w:left w:val="none" w:sz="0" w:space="0" w:color="auto"/>
        <w:bottom w:val="none" w:sz="0" w:space="0" w:color="auto"/>
        <w:right w:val="none" w:sz="0" w:space="0" w:color="auto"/>
      </w:divBdr>
    </w:div>
    <w:div w:id="1997222228">
      <w:bodyDiv w:val="1"/>
      <w:marLeft w:val="0"/>
      <w:marRight w:val="0"/>
      <w:marTop w:val="0"/>
      <w:marBottom w:val="0"/>
      <w:divBdr>
        <w:top w:val="none" w:sz="0" w:space="0" w:color="auto"/>
        <w:left w:val="none" w:sz="0" w:space="0" w:color="auto"/>
        <w:bottom w:val="none" w:sz="0" w:space="0" w:color="auto"/>
        <w:right w:val="none" w:sz="0" w:space="0" w:color="auto"/>
      </w:divBdr>
    </w:div>
    <w:div w:id="2008440013">
      <w:bodyDiv w:val="1"/>
      <w:marLeft w:val="0"/>
      <w:marRight w:val="0"/>
      <w:marTop w:val="0"/>
      <w:marBottom w:val="0"/>
      <w:divBdr>
        <w:top w:val="none" w:sz="0" w:space="0" w:color="auto"/>
        <w:left w:val="none" w:sz="0" w:space="0" w:color="auto"/>
        <w:bottom w:val="none" w:sz="0" w:space="0" w:color="auto"/>
        <w:right w:val="none" w:sz="0" w:space="0" w:color="auto"/>
      </w:divBdr>
    </w:div>
    <w:div w:id="2009287773">
      <w:bodyDiv w:val="1"/>
      <w:marLeft w:val="0"/>
      <w:marRight w:val="0"/>
      <w:marTop w:val="0"/>
      <w:marBottom w:val="0"/>
      <w:divBdr>
        <w:top w:val="none" w:sz="0" w:space="0" w:color="auto"/>
        <w:left w:val="none" w:sz="0" w:space="0" w:color="auto"/>
        <w:bottom w:val="none" w:sz="0" w:space="0" w:color="auto"/>
        <w:right w:val="none" w:sz="0" w:space="0" w:color="auto"/>
      </w:divBdr>
    </w:div>
    <w:div w:id="2013989902">
      <w:bodyDiv w:val="1"/>
      <w:marLeft w:val="0"/>
      <w:marRight w:val="0"/>
      <w:marTop w:val="0"/>
      <w:marBottom w:val="0"/>
      <w:divBdr>
        <w:top w:val="none" w:sz="0" w:space="0" w:color="auto"/>
        <w:left w:val="none" w:sz="0" w:space="0" w:color="auto"/>
        <w:bottom w:val="none" w:sz="0" w:space="0" w:color="auto"/>
        <w:right w:val="none" w:sz="0" w:space="0" w:color="auto"/>
      </w:divBdr>
    </w:div>
    <w:div w:id="2018842162">
      <w:bodyDiv w:val="1"/>
      <w:marLeft w:val="0"/>
      <w:marRight w:val="0"/>
      <w:marTop w:val="0"/>
      <w:marBottom w:val="0"/>
      <w:divBdr>
        <w:top w:val="none" w:sz="0" w:space="0" w:color="auto"/>
        <w:left w:val="none" w:sz="0" w:space="0" w:color="auto"/>
        <w:bottom w:val="none" w:sz="0" w:space="0" w:color="auto"/>
        <w:right w:val="none" w:sz="0" w:space="0" w:color="auto"/>
      </w:divBdr>
    </w:div>
    <w:div w:id="2054890057">
      <w:bodyDiv w:val="1"/>
      <w:marLeft w:val="0"/>
      <w:marRight w:val="0"/>
      <w:marTop w:val="0"/>
      <w:marBottom w:val="0"/>
      <w:divBdr>
        <w:top w:val="none" w:sz="0" w:space="0" w:color="auto"/>
        <w:left w:val="none" w:sz="0" w:space="0" w:color="auto"/>
        <w:bottom w:val="none" w:sz="0" w:space="0" w:color="auto"/>
        <w:right w:val="none" w:sz="0" w:space="0" w:color="auto"/>
      </w:divBdr>
    </w:div>
    <w:div w:id="2062442192">
      <w:bodyDiv w:val="1"/>
      <w:marLeft w:val="0"/>
      <w:marRight w:val="0"/>
      <w:marTop w:val="0"/>
      <w:marBottom w:val="0"/>
      <w:divBdr>
        <w:top w:val="none" w:sz="0" w:space="0" w:color="auto"/>
        <w:left w:val="none" w:sz="0" w:space="0" w:color="auto"/>
        <w:bottom w:val="none" w:sz="0" w:space="0" w:color="auto"/>
        <w:right w:val="none" w:sz="0" w:space="0" w:color="auto"/>
      </w:divBdr>
    </w:div>
    <w:div w:id="2068144642">
      <w:bodyDiv w:val="1"/>
      <w:marLeft w:val="0"/>
      <w:marRight w:val="0"/>
      <w:marTop w:val="0"/>
      <w:marBottom w:val="0"/>
      <w:divBdr>
        <w:top w:val="none" w:sz="0" w:space="0" w:color="auto"/>
        <w:left w:val="none" w:sz="0" w:space="0" w:color="auto"/>
        <w:bottom w:val="none" w:sz="0" w:space="0" w:color="auto"/>
        <w:right w:val="none" w:sz="0" w:space="0" w:color="auto"/>
      </w:divBdr>
    </w:div>
    <w:div w:id="2078084988">
      <w:bodyDiv w:val="1"/>
      <w:marLeft w:val="0"/>
      <w:marRight w:val="0"/>
      <w:marTop w:val="0"/>
      <w:marBottom w:val="0"/>
      <w:divBdr>
        <w:top w:val="none" w:sz="0" w:space="0" w:color="auto"/>
        <w:left w:val="none" w:sz="0" w:space="0" w:color="auto"/>
        <w:bottom w:val="none" w:sz="0" w:space="0" w:color="auto"/>
        <w:right w:val="none" w:sz="0" w:space="0" w:color="auto"/>
      </w:divBdr>
    </w:div>
    <w:div w:id="2079477872">
      <w:bodyDiv w:val="1"/>
      <w:marLeft w:val="0"/>
      <w:marRight w:val="0"/>
      <w:marTop w:val="0"/>
      <w:marBottom w:val="0"/>
      <w:divBdr>
        <w:top w:val="none" w:sz="0" w:space="0" w:color="auto"/>
        <w:left w:val="none" w:sz="0" w:space="0" w:color="auto"/>
        <w:bottom w:val="none" w:sz="0" w:space="0" w:color="auto"/>
        <w:right w:val="none" w:sz="0" w:space="0" w:color="auto"/>
      </w:divBdr>
    </w:div>
    <w:div w:id="2095010442">
      <w:bodyDiv w:val="1"/>
      <w:marLeft w:val="0"/>
      <w:marRight w:val="0"/>
      <w:marTop w:val="0"/>
      <w:marBottom w:val="0"/>
      <w:divBdr>
        <w:top w:val="none" w:sz="0" w:space="0" w:color="auto"/>
        <w:left w:val="none" w:sz="0" w:space="0" w:color="auto"/>
        <w:bottom w:val="none" w:sz="0" w:space="0" w:color="auto"/>
        <w:right w:val="none" w:sz="0" w:space="0" w:color="auto"/>
      </w:divBdr>
    </w:div>
    <w:div w:id="212719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www.youtube.com/user/INEGIInforma" TargetMode="External"/><Relationship Id="rId26" Type="http://schemas.openxmlformats.org/officeDocument/2006/relationships/image" Target="media/image10.jpeg"/><Relationship Id="rId39" Type="http://schemas.openxmlformats.org/officeDocument/2006/relationships/image" Target="media/image23.emf"/><Relationship Id="rId21" Type="http://schemas.openxmlformats.org/officeDocument/2006/relationships/image" Target="media/image6.png"/><Relationship Id="rId34" Type="http://schemas.openxmlformats.org/officeDocument/2006/relationships/image" Target="media/image18.jpeg"/><Relationship Id="rId42" Type="http://schemas.openxmlformats.org/officeDocument/2006/relationships/image" Target="media/image26.emf"/><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twitter.com/INEGI_INFORMA" TargetMode="External"/><Relationship Id="rId29"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egi.org.mx/programas/enoe/15ymas/" TargetMode="External"/><Relationship Id="rId24" Type="http://schemas.openxmlformats.org/officeDocument/2006/relationships/image" Target="media/image8.emf"/><Relationship Id="rId32" Type="http://schemas.openxmlformats.org/officeDocument/2006/relationships/image" Target="media/image16.emf"/><Relationship Id="rId37" Type="http://schemas.openxmlformats.org/officeDocument/2006/relationships/image" Target="media/image21.emf"/><Relationship Id="rId40" Type="http://schemas.openxmlformats.org/officeDocument/2006/relationships/image" Target="media/image24.emf"/><Relationship Id="rId45"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footer" Target="footer1.xml"/><Relationship Id="rId28" Type="http://schemas.openxmlformats.org/officeDocument/2006/relationships/image" Target="media/image12.emf"/><Relationship Id="rId36" Type="http://schemas.openxmlformats.org/officeDocument/2006/relationships/image" Target="media/image20.jpeg"/><Relationship Id="rId10" Type="http://schemas.openxmlformats.org/officeDocument/2006/relationships/endnotes" Target="endnotes.xml"/><Relationship Id="rId19" Type="http://schemas.openxmlformats.org/officeDocument/2006/relationships/image" Target="media/image5.jpeg"/><Relationship Id="rId31" Type="http://schemas.openxmlformats.org/officeDocument/2006/relationships/image" Target="media/image15.jpeg"/><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stagram.com/inegi_informa/" TargetMode="External"/><Relationship Id="rId22" Type="http://schemas.openxmlformats.org/officeDocument/2006/relationships/header" Target="header1.xml"/><Relationship Id="rId27" Type="http://schemas.openxmlformats.org/officeDocument/2006/relationships/image" Target="media/image11.emf"/><Relationship Id="rId30" Type="http://schemas.openxmlformats.org/officeDocument/2006/relationships/image" Target="media/image14.emf"/><Relationship Id="rId35" Type="http://schemas.openxmlformats.org/officeDocument/2006/relationships/image" Target="media/image19.emf"/><Relationship Id="rId43" Type="http://schemas.openxmlformats.org/officeDocument/2006/relationships/hyperlink" Target="https://www.inegi.org.mx/"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facebook.com/INEGIInforma/" TargetMode="External"/><Relationship Id="rId17" Type="http://schemas.openxmlformats.org/officeDocument/2006/relationships/image" Target="media/image4.jpeg"/><Relationship Id="rId25" Type="http://schemas.openxmlformats.org/officeDocument/2006/relationships/image" Target="media/image9.jpeg"/><Relationship Id="rId33" Type="http://schemas.openxmlformats.org/officeDocument/2006/relationships/image" Target="media/image17.emf"/><Relationship Id="rId38" Type="http://schemas.openxmlformats.org/officeDocument/2006/relationships/image" Target="media/image22.emf"/><Relationship Id="rId46" Type="http://schemas.openxmlformats.org/officeDocument/2006/relationships/fontTable" Target="fontTable.xml"/><Relationship Id="rId20" Type="http://schemas.openxmlformats.org/officeDocument/2006/relationships/hyperlink" Target="http://www.inegi.org.mx/" TargetMode="External"/><Relationship Id="rId41" Type="http://schemas.openxmlformats.org/officeDocument/2006/relationships/image" Target="media/image25.emf"/></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BCF906B9E2CD479979948FBA231C39" ma:contentTypeVersion="7" ma:contentTypeDescription="Create a new document." ma:contentTypeScope="" ma:versionID="ad62ef61b049b757d5d127db14ebce30">
  <xsd:schema xmlns:xsd="http://www.w3.org/2001/XMLSchema" xmlns:xs="http://www.w3.org/2001/XMLSchema" xmlns:p="http://schemas.microsoft.com/office/2006/metadata/properties" xmlns:ns3="0921883c-71ca-4649-a9e6-15958c063a2d" xmlns:ns4="e33e3730-0c95-4e62-81c3-f423b515f4cb" targetNamespace="http://schemas.microsoft.com/office/2006/metadata/properties" ma:root="true" ma:fieldsID="77ea4e018893c82f785cb01802a2d6bd" ns3:_="" ns4:_="">
    <xsd:import namespace="0921883c-71ca-4649-a9e6-15958c063a2d"/>
    <xsd:import namespace="e33e3730-0c95-4e62-81c3-f423b515f4c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1883c-71ca-4649-a9e6-15958c063a2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3e3730-0c95-4e62-81c3-f423b515f4c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B0299-C35C-4EF3-A315-2E9E9D1F8B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306BDD-4A95-440F-80A1-6FC28CA677F6}">
  <ds:schemaRefs>
    <ds:schemaRef ds:uri="http://schemas.microsoft.com/sharepoint/v3/contenttype/forms"/>
  </ds:schemaRefs>
</ds:datastoreItem>
</file>

<file path=customXml/itemProps3.xml><?xml version="1.0" encoding="utf-8"?>
<ds:datastoreItem xmlns:ds="http://schemas.openxmlformats.org/officeDocument/2006/customXml" ds:itemID="{A3B59769-2FCA-4376-AFB1-C0F68F0E5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21883c-71ca-4649-a9e6-15958c063a2d"/>
    <ds:schemaRef ds:uri="e33e3730-0c95-4e62-81c3-f423b515f4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16727F-0852-4512-9003-884D3314A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10170</Words>
  <Characters>55940</Characters>
  <Application>Microsoft Office Word</Application>
  <DocSecurity>0</DocSecurity>
  <Lines>466</Lines>
  <Paragraphs>131</Paragraphs>
  <ScaleCrop>false</ScaleCrop>
  <HeadingPairs>
    <vt:vector size="2" baseType="variant">
      <vt:variant>
        <vt:lpstr>Título</vt:lpstr>
      </vt:variant>
      <vt:variant>
        <vt:i4>1</vt:i4>
      </vt:variant>
    </vt:vector>
  </HeadingPairs>
  <TitlesOfParts>
    <vt:vector size="1" baseType="lpstr">
      <vt:lpstr>RESULTADOS DE LA ENCUESTA NACIONAL DE OCUPACIÓN Y EMPLEO. NUEVA EDICIÓN (ENOEN)</vt:lpstr>
    </vt:vector>
  </TitlesOfParts>
  <Company/>
  <LinksUpToDate>false</LinksUpToDate>
  <CharactersWithSpaces>65979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RESULTADOS DE LA ENCUESTA NACIONAL DE OCUPACIÓN Y EMPLEO. NUEVA EDICIÓN (ENOEN)</dc:title>
  <dc:subject/>
  <dc:creator>INEGI</dc:creator>
  <cp:keywords>RESULTADOS DE LA ENCUESTA NACIONAL DE OCUPACIÓN Y EMPLEO. NUEVA EDICIÓN (ENOEN)</cp:keywords>
  <dc:description/>
  <cp:lastModifiedBy>COLLAZO GALLEGOS MARCOS DARIO</cp:lastModifiedBy>
  <cp:revision>3</cp:revision>
  <cp:lastPrinted>2020-11-15T04:36:00Z</cp:lastPrinted>
  <dcterms:created xsi:type="dcterms:W3CDTF">2021-05-18T20:14:00Z</dcterms:created>
  <dcterms:modified xsi:type="dcterms:W3CDTF">2021-05-18T20:20:00Z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0x0101005FBCF906B9E2CD479979948FBA231C39</vt:lpwstr>
  </property>
</Properties>
</file>