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2658" w14:textId="77777777" w:rsidR="004E32AB" w:rsidRDefault="004E32AB" w:rsidP="00407C0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0F29E6DD" w14:textId="77777777" w:rsidR="00BD474B" w:rsidRDefault="00BD474B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3841CCA5" w14:textId="280CD3E6" w:rsidR="00407C0F" w:rsidRDefault="00016F09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PRESENTAN DOCUMENTO “</w:t>
      </w:r>
      <w:r w:rsidR="00407C0F" w:rsidRPr="00436E32">
        <w:rPr>
          <w:rFonts w:ascii="Arial" w:hAnsi="Arial" w:cs="Arial"/>
          <w:b/>
          <w:sz w:val="24"/>
          <w:szCs w:val="24"/>
        </w:rPr>
        <w:t xml:space="preserve">CONOCIENDO </w:t>
      </w:r>
      <w:r w:rsidR="001957FF" w:rsidRPr="001957FF">
        <w:rPr>
          <w:rFonts w:ascii="Arial" w:hAnsi="Arial" w:cs="Arial"/>
          <w:b/>
          <w:sz w:val="24"/>
          <w:szCs w:val="24"/>
        </w:rPr>
        <w:t>LA INDUSTRIA</w:t>
      </w:r>
      <w:r w:rsidR="001957FF">
        <w:rPr>
          <w:rFonts w:ascii="Arial" w:hAnsi="Arial" w:cs="Arial"/>
          <w:b/>
          <w:sz w:val="24"/>
          <w:szCs w:val="24"/>
        </w:rPr>
        <w:t xml:space="preserve"> </w:t>
      </w:r>
      <w:r w:rsidR="00227693">
        <w:rPr>
          <w:rFonts w:ascii="Arial" w:hAnsi="Arial" w:cs="Arial"/>
          <w:b/>
          <w:sz w:val="24"/>
          <w:szCs w:val="24"/>
        </w:rPr>
        <w:t>RESTAURANTERA</w:t>
      </w:r>
      <w:r>
        <w:rPr>
          <w:rFonts w:ascii="Arial" w:hAnsi="Arial" w:cs="Arial"/>
          <w:b/>
          <w:sz w:val="24"/>
          <w:szCs w:val="24"/>
        </w:rPr>
        <w:t>”</w:t>
      </w:r>
    </w:p>
    <w:p w14:paraId="4F54A524" w14:textId="77777777" w:rsidR="00407C0F" w:rsidRPr="00717CFC" w:rsidRDefault="00407C0F" w:rsidP="00AF76B9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D502FB0" w14:textId="02B384F7" w:rsidR="00407C0F" w:rsidRPr="00717CFC" w:rsidRDefault="00407C0F" w:rsidP="00EE433A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717CFC">
        <w:rPr>
          <w:rFonts w:ascii="Arial" w:hAnsi="Arial" w:cs="Arial"/>
        </w:rPr>
        <w:t xml:space="preserve">El </w:t>
      </w:r>
      <w:r w:rsidRPr="00717CFC">
        <w:rPr>
          <w:rFonts w:ascii="Arial" w:hAnsi="Arial" w:cs="Arial"/>
          <w:bCs/>
        </w:rPr>
        <w:t>Instituto Nacional de Estadística y Geografía (INEGI)</w:t>
      </w:r>
      <w:r w:rsidRPr="00717CFC">
        <w:rPr>
          <w:rFonts w:ascii="Arial" w:hAnsi="Arial" w:cs="Arial"/>
        </w:rPr>
        <w:t xml:space="preserve"> y </w:t>
      </w:r>
      <w:r w:rsidR="00B0319E" w:rsidRPr="00717CFC">
        <w:rPr>
          <w:rFonts w:ascii="Arial" w:hAnsi="Arial" w:cs="Arial"/>
        </w:rPr>
        <w:t>l</w:t>
      </w:r>
      <w:r w:rsidR="0025453C" w:rsidRPr="00717CFC">
        <w:rPr>
          <w:rFonts w:ascii="Arial" w:hAnsi="Arial" w:cs="Arial"/>
        </w:rPr>
        <w:t xml:space="preserve">a </w:t>
      </w:r>
      <w:r w:rsidR="00EE433A" w:rsidRPr="00717CFC">
        <w:rPr>
          <w:rFonts w:ascii="Arial" w:hAnsi="Arial" w:cs="Arial"/>
          <w:bCs/>
        </w:rPr>
        <w:t>Cámara Nacional de la Industria de Restaurantes y Alimentos Condimentados (CANIRAC)</w:t>
      </w:r>
      <w:r w:rsidRPr="00717CFC">
        <w:rPr>
          <w:rFonts w:ascii="Arial" w:hAnsi="Arial" w:cs="Arial"/>
        </w:rPr>
        <w:t xml:space="preserve"> dan a conocer el documento </w:t>
      </w:r>
      <w:r w:rsidR="00EE433A" w:rsidRPr="00717CFC">
        <w:rPr>
          <w:rFonts w:ascii="Arial" w:hAnsi="Arial" w:cs="Arial"/>
        </w:rPr>
        <w:t>Conociendo la industria restaurantera</w:t>
      </w:r>
      <w:r w:rsidRPr="00717CFC">
        <w:rPr>
          <w:rFonts w:ascii="Arial" w:hAnsi="Arial" w:cs="Arial"/>
        </w:rPr>
        <w:t>, mismo que forma parte de la Colección de estudios sectoriales y regionales del INEGI.</w:t>
      </w:r>
    </w:p>
    <w:p w14:paraId="08427C6F" w14:textId="77777777" w:rsidR="00407C0F" w:rsidRPr="00717CFC" w:rsidRDefault="00407C0F" w:rsidP="00AF76B9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9AC6DC9" w14:textId="6231AFA1" w:rsidR="00407C0F" w:rsidRPr="00717CFC" w:rsidRDefault="00EE433A" w:rsidP="00EE433A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717CFC">
        <w:rPr>
          <w:rFonts w:ascii="Arial" w:hAnsi="Arial" w:cs="Arial"/>
        </w:rPr>
        <w:t>Este documento ofrece un panorama económico de las actividades productivas, empleo</w:t>
      </w:r>
      <w:r w:rsidR="00717CFC">
        <w:rPr>
          <w:rFonts w:ascii="Arial" w:hAnsi="Arial" w:cs="Arial"/>
        </w:rPr>
        <w:t xml:space="preserve"> y</w:t>
      </w:r>
      <w:r w:rsidRPr="00717CFC">
        <w:rPr>
          <w:rFonts w:ascii="Arial" w:hAnsi="Arial" w:cs="Arial"/>
        </w:rPr>
        <w:t xml:space="preserve"> salarios,</w:t>
      </w:r>
      <w:r w:rsidR="002518F3" w:rsidRPr="00717CFC">
        <w:rPr>
          <w:rFonts w:ascii="Arial" w:hAnsi="Arial" w:cs="Arial"/>
        </w:rPr>
        <w:t xml:space="preserve"> </w:t>
      </w:r>
      <w:r w:rsidR="00717CFC">
        <w:rPr>
          <w:rFonts w:ascii="Arial" w:hAnsi="Arial" w:cs="Arial"/>
        </w:rPr>
        <w:t xml:space="preserve">así como las </w:t>
      </w:r>
      <w:r w:rsidRPr="00717CFC">
        <w:rPr>
          <w:rFonts w:ascii="Arial" w:hAnsi="Arial" w:cs="Arial"/>
        </w:rPr>
        <w:t>cadenas productivas y la inflación, para dimensionar la importancia de la industria restaurantera</w:t>
      </w:r>
      <w:r w:rsidR="002518F3" w:rsidRPr="00717CFC">
        <w:rPr>
          <w:rFonts w:ascii="Arial" w:hAnsi="Arial" w:cs="Arial"/>
        </w:rPr>
        <w:t xml:space="preserve"> </w:t>
      </w:r>
      <w:r w:rsidRPr="00717CFC">
        <w:rPr>
          <w:rFonts w:ascii="Arial" w:hAnsi="Arial" w:cs="Arial"/>
        </w:rPr>
        <w:t>en la economía.</w:t>
      </w:r>
    </w:p>
    <w:p w14:paraId="66FCB273" w14:textId="77777777" w:rsidR="00407C0F" w:rsidRPr="00717CFC" w:rsidRDefault="00407C0F" w:rsidP="00AF76B9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0756DE7E" w14:textId="1F6F674B" w:rsidR="00407C0F" w:rsidRDefault="00717CFC" w:rsidP="00AF76B9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El INEGI genera y difunde l</w:t>
      </w:r>
      <w:r w:rsidR="00407C0F" w:rsidRPr="002C7442">
        <w:rPr>
          <w:rFonts w:ascii="Arial" w:hAnsi="Arial" w:cs="Arial"/>
        </w:rPr>
        <w:t xml:space="preserve">a información </w:t>
      </w:r>
      <w:r w:rsidR="00FD7E9B">
        <w:rPr>
          <w:rFonts w:ascii="Arial" w:hAnsi="Arial" w:cs="Arial"/>
        </w:rPr>
        <w:t>de</w:t>
      </w:r>
      <w:r w:rsidR="00254B79">
        <w:rPr>
          <w:rFonts w:ascii="Arial" w:hAnsi="Arial" w:cs="Arial"/>
        </w:rPr>
        <w:t xml:space="preserve"> </w:t>
      </w:r>
      <w:r w:rsidR="00407C0F" w:rsidRPr="002C7442">
        <w:rPr>
          <w:rFonts w:ascii="Arial" w:hAnsi="Arial" w:cs="Arial"/>
        </w:rPr>
        <w:t>este</w:t>
      </w:r>
      <w:r>
        <w:rPr>
          <w:rFonts w:ascii="Arial" w:hAnsi="Arial" w:cs="Arial"/>
        </w:rPr>
        <w:t xml:space="preserve"> estudio, misma que </w:t>
      </w:r>
      <w:r w:rsidR="00407C0F" w:rsidRPr="002C7442">
        <w:rPr>
          <w:rFonts w:ascii="Arial" w:hAnsi="Arial" w:cs="Arial"/>
        </w:rPr>
        <w:t xml:space="preserve">es pública, gratuita y se puede consultar en </w:t>
      </w:r>
      <w:r>
        <w:rPr>
          <w:rFonts w:ascii="Arial" w:hAnsi="Arial" w:cs="Arial"/>
        </w:rPr>
        <w:t>i</w:t>
      </w:r>
      <w:r w:rsidR="00407C0F" w:rsidRPr="002C7442">
        <w:rPr>
          <w:rFonts w:ascii="Arial" w:hAnsi="Arial" w:cs="Arial"/>
        </w:rPr>
        <w:t>nternet.</w:t>
      </w:r>
    </w:p>
    <w:p w14:paraId="4BEFE3ED" w14:textId="77777777" w:rsidR="00D638A3" w:rsidRPr="002C7442" w:rsidRDefault="00D638A3" w:rsidP="00AF76B9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6EC2461" w14:textId="6A8B187B" w:rsidR="006A407D" w:rsidRDefault="00407C0F" w:rsidP="00D17DC1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</w:rPr>
      </w:pPr>
      <w:r w:rsidRPr="002C7442">
        <w:rPr>
          <w:rFonts w:ascii="Arial" w:hAnsi="Arial" w:cs="Arial"/>
          <w:b/>
          <w:bCs/>
        </w:rPr>
        <w:t xml:space="preserve">Algunos </w:t>
      </w:r>
      <w:r w:rsidR="00BB2238">
        <w:rPr>
          <w:rFonts w:ascii="Arial" w:hAnsi="Arial" w:cs="Arial"/>
          <w:b/>
          <w:bCs/>
        </w:rPr>
        <w:t>aspectos</w:t>
      </w:r>
      <w:r w:rsidRPr="002C7442">
        <w:rPr>
          <w:rFonts w:ascii="Arial" w:hAnsi="Arial" w:cs="Arial"/>
          <w:b/>
          <w:bCs/>
        </w:rPr>
        <w:t xml:space="preserve"> relevantes de la </w:t>
      </w:r>
      <w:r w:rsidR="006C6F42" w:rsidRPr="006C6F42">
        <w:rPr>
          <w:rFonts w:ascii="Arial" w:hAnsi="Arial" w:cs="Arial"/>
          <w:b/>
          <w:bCs/>
        </w:rPr>
        <w:t xml:space="preserve">industria restaurantera </w:t>
      </w:r>
      <w:r w:rsidRPr="002C7442">
        <w:rPr>
          <w:rFonts w:ascii="Arial" w:hAnsi="Arial" w:cs="Arial"/>
          <w:b/>
          <w:bCs/>
        </w:rPr>
        <w:t>en México son:</w:t>
      </w:r>
    </w:p>
    <w:p w14:paraId="7537113B" w14:textId="77777777" w:rsidR="00D17DC1" w:rsidRPr="00D17DC1" w:rsidRDefault="00D17DC1" w:rsidP="00D17DC1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6A6A6660" w14:textId="3719E3C6" w:rsidR="006A407D" w:rsidRDefault="004A2725" w:rsidP="004A2725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4A2725">
        <w:rPr>
          <w:rFonts w:ascii="Arial" w:hAnsi="Arial" w:cs="Arial"/>
        </w:rPr>
        <w:t>Las unidades económicas de la industria restaurantera representan 12.2% de todos los</w:t>
      </w:r>
      <w:r w:rsidR="001E1E53">
        <w:rPr>
          <w:rFonts w:ascii="Arial" w:hAnsi="Arial" w:cs="Arial"/>
        </w:rPr>
        <w:t xml:space="preserve"> </w:t>
      </w:r>
      <w:r w:rsidRPr="004A2725">
        <w:rPr>
          <w:rFonts w:ascii="Arial" w:hAnsi="Arial" w:cs="Arial"/>
        </w:rPr>
        <w:t>negocios del país y generan poco más de dos millones de empleos.</w:t>
      </w:r>
    </w:p>
    <w:p w14:paraId="7A8B45BE" w14:textId="77777777" w:rsidR="004A2725" w:rsidRDefault="004A2725" w:rsidP="004A2725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60E87545" w14:textId="4CA6FD04" w:rsidR="009A7218" w:rsidRDefault="00D21E23" w:rsidP="00D21E23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D21E23">
        <w:rPr>
          <w:rFonts w:ascii="Arial" w:hAnsi="Arial" w:cs="Arial"/>
        </w:rPr>
        <w:t>La industria restaurantera está conformada principalmente por microempresas (aquellas que</w:t>
      </w:r>
      <w:r w:rsidR="001E1E53">
        <w:rPr>
          <w:rFonts w:ascii="Arial" w:hAnsi="Arial" w:cs="Arial"/>
        </w:rPr>
        <w:t xml:space="preserve"> </w:t>
      </w:r>
      <w:r w:rsidRPr="00D21E23">
        <w:rPr>
          <w:rFonts w:ascii="Arial" w:hAnsi="Arial" w:cs="Arial"/>
        </w:rPr>
        <w:t>dan empleo hasta a 10 personas), ya que 96 de cada 100</w:t>
      </w:r>
      <w:r w:rsidR="00717CFC">
        <w:rPr>
          <w:rFonts w:ascii="Arial" w:hAnsi="Arial" w:cs="Arial"/>
        </w:rPr>
        <w:t xml:space="preserve"> unidades económicas</w:t>
      </w:r>
      <w:r w:rsidRPr="00D21E23">
        <w:rPr>
          <w:rFonts w:ascii="Arial" w:hAnsi="Arial" w:cs="Arial"/>
        </w:rPr>
        <w:t xml:space="preserve"> corresponden a este tamaño</w:t>
      </w:r>
      <w:r w:rsidR="00717CFC">
        <w:rPr>
          <w:rFonts w:ascii="Arial" w:hAnsi="Arial" w:cs="Arial"/>
        </w:rPr>
        <w:t xml:space="preserve"> y </w:t>
      </w:r>
      <w:r w:rsidRPr="00D21E23">
        <w:rPr>
          <w:rFonts w:ascii="Arial" w:hAnsi="Arial" w:cs="Arial"/>
        </w:rPr>
        <w:t>ofrecen</w:t>
      </w:r>
      <w:r w:rsidR="001E1E53">
        <w:rPr>
          <w:rFonts w:ascii="Arial" w:hAnsi="Arial" w:cs="Arial"/>
        </w:rPr>
        <w:t xml:space="preserve"> </w:t>
      </w:r>
      <w:r w:rsidRPr="00D21E23">
        <w:rPr>
          <w:rFonts w:ascii="Arial" w:hAnsi="Arial" w:cs="Arial"/>
        </w:rPr>
        <w:t>empleos a 70 de cada 100 personas ocupadas</w:t>
      </w:r>
      <w:r w:rsidR="006A6330">
        <w:rPr>
          <w:rFonts w:ascii="Arial" w:hAnsi="Arial" w:cs="Arial"/>
        </w:rPr>
        <w:t xml:space="preserve"> en este sector</w:t>
      </w:r>
      <w:r w:rsidR="00717CFC">
        <w:rPr>
          <w:rFonts w:ascii="Arial" w:hAnsi="Arial" w:cs="Arial"/>
        </w:rPr>
        <w:t>. E</w:t>
      </w:r>
      <w:r w:rsidRPr="00D21E23">
        <w:rPr>
          <w:rFonts w:ascii="Arial" w:hAnsi="Arial" w:cs="Arial"/>
        </w:rPr>
        <w:t>n términos de producción</w:t>
      </w:r>
      <w:r w:rsidR="00AB0B14">
        <w:rPr>
          <w:rFonts w:ascii="Arial" w:hAnsi="Arial" w:cs="Arial"/>
        </w:rPr>
        <w:t>,</w:t>
      </w:r>
      <w:r w:rsidRPr="00D21E23">
        <w:rPr>
          <w:rFonts w:ascii="Arial" w:hAnsi="Arial" w:cs="Arial"/>
        </w:rPr>
        <w:t xml:space="preserve"> generan 55.9 de</w:t>
      </w:r>
      <w:r w:rsidR="001E1E53">
        <w:rPr>
          <w:rFonts w:ascii="Arial" w:hAnsi="Arial" w:cs="Arial"/>
        </w:rPr>
        <w:t xml:space="preserve"> </w:t>
      </w:r>
      <w:r w:rsidRPr="00D21E23">
        <w:rPr>
          <w:rFonts w:ascii="Arial" w:hAnsi="Arial" w:cs="Arial"/>
        </w:rPr>
        <w:t>cada 100 pesos.</w:t>
      </w:r>
    </w:p>
    <w:p w14:paraId="1561138C" w14:textId="77777777" w:rsidR="00D21E23" w:rsidRDefault="00D21E23" w:rsidP="00D21E23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1F17D102" w14:textId="200BD675" w:rsidR="0097447C" w:rsidRDefault="00D21E23" w:rsidP="00D21E23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D21E23">
        <w:rPr>
          <w:rFonts w:ascii="Arial" w:hAnsi="Arial" w:cs="Arial"/>
        </w:rPr>
        <w:t xml:space="preserve">Debido a las restricciones y cierres de establecimientos al inicio de la crisis sanitaria </w:t>
      </w:r>
      <w:r w:rsidR="006A6330">
        <w:rPr>
          <w:rFonts w:ascii="Arial" w:hAnsi="Arial" w:cs="Arial"/>
        </w:rPr>
        <w:t xml:space="preserve">causada por </w:t>
      </w:r>
      <w:r w:rsidR="00717CFC">
        <w:rPr>
          <w:rFonts w:ascii="Arial" w:hAnsi="Arial" w:cs="Arial"/>
        </w:rPr>
        <w:t>la</w:t>
      </w:r>
      <w:r w:rsidRPr="00D21E23">
        <w:rPr>
          <w:rFonts w:ascii="Arial" w:hAnsi="Arial" w:cs="Arial"/>
        </w:rPr>
        <w:t xml:space="preserve"> C</w:t>
      </w:r>
      <w:r w:rsidR="00717CFC">
        <w:rPr>
          <w:rFonts w:ascii="Arial" w:hAnsi="Arial" w:cs="Arial"/>
        </w:rPr>
        <w:t>OVID</w:t>
      </w:r>
      <w:r w:rsidRPr="00D21E23">
        <w:rPr>
          <w:rFonts w:ascii="Arial" w:hAnsi="Arial" w:cs="Arial"/>
        </w:rPr>
        <w:t xml:space="preserve">-19, </w:t>
      </w:r>
      <w:r w:rsidR="002B0E81">
        <w:rPr>
          <w:rFonts w:ascii="Arial" w:hAnsi="Arial" w:cs="Arial"/>
        </w:rPr>
        <w:t xml:space="preserve">se observó </w:t>
      </w:r>
      <w:r w:rsidR="002B0E81" w:rsidRPr="00D21E23">
        <w:rPr>
          <w:rFonts w:ascii="Arial" w:hAnsi="Arial" w:cs="Arial"/>
        </w:rPr>
        <w:t xml:space="preserve">una caída profunda </w:t>
      </w:r>
      <w:r w:rsidR="002B0E81">
        <w:rPr>
          <w:rFonts w:ascii="Arial" w:hAnsi="Arial" w:cs="Arial"/>
        </w:rPr>
        <w:t>d</w:t>
      </w:r>
      <w:r w:rsidRPr="00D21E23">
        <w:rPr>
          <w:rFonts w:ascii="Arial" w:hAnsi="Arial" w:cs="Arial"/>
        </w:rPr>
        <w:t xml:space="preserve">el Producto Interno Bruto (PIB) de la industria restaurantera </w:t>
      </w:r>
      <w:r w:rsidR="002B0E81">
        <w:rPr>
          <w:rFonts w:ascii="Arial" w:hAnsi="Arial" w:cs="Arial"/>
        </w:rPr>
        <w:t xml:space="preserve">de </w:t>
      </w:r>
      <w:r w:rsidR="00FD0673">
        <w:rPr>
          <w:rFonts w:ascii="Arial" w:hAnsi="Arial" w:cs="Arial"/>
        </w:rPr>
        <w:t>29.3</w:t>
      </w:r>
      <w:r w:rsidR="002B0E81">
        <w:rPr>
          <w:rFonts w:ascii="Arial" w:hAnsi="Arial" w:cs="Arial"/>
        </w:rPr>
        <w:t>%</w:t>
      </w:r>
      <w:r w:rsidR="006A6330">
        <w:rPr>
          <w:rFonts w:ascii="Arial" w:hAnsi="Arial" w:cs="Arial"/>
        </w:rPr>
        <w:t xml:space="preserve"> en 2020 respecto a 2019</w:t>
      </w:r>
      <w:r w:rsidR="008B0E2D">
        <w:rPr>
          <w:rFonts w:ascii="Arial" w:hAnsi="Arial" w:cs="Arial"/>
        </w:rPr>
        <w:t>,</w:t>
      </w:r>
      <w:r w:rsidR="002B0E81">
        <w:rPr>
          <w:rFonts w:ascii="Arial" w:hAnsi="Arial" w:cs="Arial"/>
        </w:rPr>
        <w:t xml:space="preserve"> </w:t>
      </w:r>
      <w:r w:rsidR="00D24031">
        <w:rPr>
          <w:rFonts w:ascii="Arial" w:hAnsi="Arial" w:cs="Arial"/>
        </w:rPr>
        <w:t xml:space="preserve">en tanto que </w:t>
      </w:r>
      <w:r w:rsidRPr="00D21E23">
        <w:rPr>
          <w:rFonts w:ascii="Arial" w:hAnsi="Arial" w:cs="Arial"/>
        </w:rPr>
        <w:t>el de la economía</w:t>
      </w:r>
      <w:r w:rsidR="007C5D61">
        <w:rPr>
          <w:rFonts w:ascii="Arial" w:hAnsi="Arial" w:cs="Arial"/>
        </w:rPr>
        <w:t xml:space="preserve"> </w:t>
      </w:r>
      <w:r w:rsidRPr="00D21E23">
        <w:rPr>
          <w:rFonts w:ascii="Arial" w:hAnsi="Arial" w:cs="Arial"/>
        </w:rPr>
        <w:t xml:space="preserve">nacional </w:t>
      </w:r>
      <w:r w:rsidR="009F4924">
        <w:rPr>
          <w:rFonts w:ascii="Arial" w:hAnsi="Arial" w:cs="Arial"/>
        </w:rPr>
        <w:t xml:space="preserve">se redujo </w:t>
      </w:r>
      <w:r w:rsidR="002B0E81">
        <w:rPr>
          <w:rFonts w:ascii="Arial" w:hAnsi="Arial" w:cs="Arial"/>
        </w:rPr>
        <w:t>8.</w:t>
      </w:r>
      <w:r w:rsidR="00FD0673">
        <w:rPr>
          <w:rFonts w:ascii="Arial" w:hAnsi="Arial" w:cs="Arial"/>
        </w:rPr>
        <w:t>2</w:t>
      </w:r>
      <w:r w:rsidR="002B0E81">
        <w:rPr>
          <w:rFonts w:ascii="Arial" w:hAnsi="Arial" w:cs="Arial"/>
        </w:rPr>
        <w:t xml:space="preserve"> por ciento.</w:t>
      </w:r>
    </w:p>
    <w:p w14:paraId="4D029971" w14:textId="77777777" w:rsidR="00FD0673" w:rsidRDefault="00FD0673" w:rsidP="00D21E23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1A5EB574" w14:textId="053ECAD4" w:rsidR="000B5A05" w:rsidRDefault="00FD0673" w:rsidP="00FD0673">
      <w:pPr>
        <w:spacing w:after="0" w:line="240" w:lineRule="auto"/>
        <w:ind w:left="-567" w:right="-516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A051A0B" wp14:editId="35B41BD7">
            <wp:extent cx="6362700" cy="2906395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305" cy="2915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3BFC6" w14:textId="73762F35" w:rsidR="000B5A05" w:rsidRDefault="000B5A05" w:rsidP="00717CFC">
      <w:pPr>
        <w:spacing w:after="0" w:line="240" w:lineRule="auto"/>
        <w:ind w:left="-567" w:right="-516"/>
        <w:rPr>
          <w:rFonts w:ascii="MyriadPro-Cond" w:hAnsi="MyriadPro-Cond" w:cs="MyriadPro-Cond"/>
          <w:sz w:val="18"/>
          <w:szCs w:val="18"/>
        </w:rPr>
      </w:pPr>
      <w:r w:rsidRPr="00333967">
        <w:rPr>
          <w:rFonts w:ascii="MyriadPro-Cond" w:hAnsi="MyriadPro-Cond" w:cs="MyriadPro-Cond"/>
          <w:sz w:val="18"/>
          <w:szCs w:val="18"/>
        </w:rPr>
        <w:t>Fuente: INEGI. Sistema de Cuentas Nacionales, 2013.</w:t>
      </w:r>
    </w:p>
    <w:p w14:paraId="0C70F9BD" w14:textId="77777777" w:rsidR="00F64CB1" w:rsidRDefault="00F64CB1" w:rsidP="00CB16FB">
      <w:pPr>
        <w:spacing w:after="0" w:line="240" w:lineRule="auto"/>
        <w:ind w:left="-567" w:right="-516"/>
        <w:rPr>
          <w:rFonts w:ascii="Arial" w:hAnsi="Arial" w:cs="Arial"/>
        </w:rPr>
      </w:pPr>
    </w:p>
    <w:p w14:paraId="04151780" w14:textId="77777777" w:rsidR="00F64CB1" w:rsidRDefault="00F64CB1" w:rsidP="00CB16FB">
      <w:pPr>
        <w:spacing w:after="0" w:line="240" w:lineRule="auto"/>
        <w:ind w:left="-567" w:right="-516"/>
        <w:rPr>
          <w:rFonts w:ascii="Arial" w:hAnsi="Arial" w:cs="Arial"/>
        </w:rPr>
      </w:pPr>
    </w:p>
    <w:p w14:paraId="7362CA97" w14:textId="77777777" w:rsidR="00717CFC" w:rsidRDefault="00717CFC" w:rsidP="00D323DF">
      <w:pPr>
        <w:spacing w:after="0" w:line="240" w:lineRule="auto"/>
        <w:ind w:right="-516"/>
        <w:rPr>
          <w:rFonts w:ascii="Arial" w:hAnsi="Arial" w:cs="Arial"/>
        </w:rPr>
      </w:pPr>
    </w:p>
    <w:p w14:paraId="71E7E087" w14:textId="6091B9C6" w:rsidR="00E61598" w:rsidRPr="007D136B" w:rsidRDefault="00E61598" w:rsidP="007D136B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7D136B">
        <w:rPr>
          <w:rFonts w:ascii="Arial" w:hAnsi="Arial" w:cs="Arial"/>
          <w:color w:val="000000" w:themeColor="text1"/>
        </w:rPr>
        <w:t xml:space="preserve">La industria </w:t>
      </w:r>
      <w:r w:rsidR="007D136B">
        <w:rPr>
          <w:rFonts w:ascii="Arial" w:hAnsi="Arial" w:cs="Arial"/>
          <w:color w:val="000000" w:themeColor="text1"/>
        </w:rPr>
        <w:t>restaurantera</w:t>
      </w:r>
      <w:r w:rsidRPr="007D136B">
        <w:rPr>
          <w:rFonts w:ascii="Arial" w:hAnsi="Arial" w:cs="Arial"/>
          <w:color w:val="000000" w:themeColor="text1"/>
        </w:rPr>
        <w:t xml:space="preserve"> utiliza un porcentaje mayor de insumos nacionales que el promedio de</w:t>
      </w:r>
      <w:r w:rsidR="00C3352A" w:rsidRPr="007D136B">
        <w:rPr>
          <w:rFonts w:ascii="Arial" w:hAnsi="Arial" w:cs="Arial"/>
          <w:color w:val="000000" w:themeColor="text1"/>
        </w:rPr>
        <w:t xml:space="preserve"> </w:t>
      </w:r>
      <w:r w:rsidRPr="007D136B">
        <w:rPr>
          <w:rFonts w:ascii="Arial" w:hAnsi="Arial" w:cs="Arial"/>
          <w:color w:val="000000" w:themeColor="text1"/>
        </w:rPr>
        <w:t xml:space="preserve">todas las actividades de la economía y de las actividades de </w:t>
      </w:r>
      <w:r w:rsidR="001A2438" w:rsidRPr="007D136B">
        <w:rPr>
          <w:rFonts w:ascii="Arial" w:hAnsi="Arial" w:cs="Arial"/>
          <w:color w:val="000000" w:themeColor="text1"/>
        </w:rPr>
        <w:t>servicios, situación que la pone en ventaja respecto al impacto positivo en la producción y el empleo local y regional</w:t>
      </w:r>
      <w:r w:rsidRPr="007D136B">
        <w:rPr>
          <w:rFonts w:ascii="Arial" w:hAnsi="Arial" w:cs="Arial"/>
          <w:color w:val="000000" w:themeColor="text1"/>
        </w:rPr>
        <w:t>.</w:t>
      </w:r>
      <w:r w:rsidR="007D136B" w:rsidRPr="007D136B">
        <w:rPr>
          <w:rFonts w:ascii="Arial" w:hAnsi="Arial" w:cs="Arial"/>
          <w:color w:val="000000" w:themeColor="text1"/>
        </w:rPr>
        <w:t xml:space="preserve"> Esta industria le compra insumos a 278 clases de actividad, que representan 33.8% de 822 actividades</w:t>
      </w:r>
      <w:r w:rsidR="007D136B">
        <w:rPr>
          <w:rFonts w:ascii="Arial" w:hAnsi="Arial" w:cs="Arial"/>
          <w:color w:val="000000" w:themeColor="text1"/>
        </w:rPr>
        <w:t xml:space="preserve"> </w:t>
      </w:r>
      <w:r w:rsidR="007D136B" w:rsidRPr="007D136B">
        <w:rPr>
          <w:rFonts w:ascii="Arial" w:hAnsi="Arial" w:cs="Arial"/>
          <w:color w:val="000000" w:themeColor="text1"/>
        </w:rPr>
        <w:t>económicas que integran a toda la economía</w:t>
      </w:r>
      <w:r w:rsidR="007D136B">
        <w:rPr>
          <w:rFonts w:ascii="Arial" w:hAnsi="Arial" w:cs="Arial"/>
          <w:color w:val="000000" w:themeColor="text1"/>
        </w:rPr>
        <w:t>.</w:t>
      </w:r>
    </w:p>
    <w:p w14:paraId="238A9AF2" w14:textId="77777777" w:rsidR="00E61598" w:rsidRDefault="00E61598" w:rsidP="00CB16FB">
      <w:pPr>
        <w:spacing w:after="0" w:line="240" w:lineRule="auto"/>
        <w:ind w:left="-567" w:right="-516"/>
        <w:rPr>
          <w:rFonts w:ascii="Arial" w:hAnsi="Arial" w:cs="Arial"/>
        </w:rPr>
      </w:pPr>
    </w:p>
    <w:p w14:paraId="1954AF93" w14:textId="065B2AED" w:rsidR="00CB16FB" w:rsidRDefault="00CB16FB" w:rsidP="00FA1267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causa de la crisis sanitaria por </w:t>
      </w:r>
      <w:r w:rsidR="00FA1267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C</w:t>
      </w:r>
      <w:r w:rsidR="00FA1267">
        <w:rPr>
          <w:rFonts w:ascii="Arial" w:hAnsi="Arial" w:cs="Arial"/>
        </w:rPr>
        <w:t>OVID</w:t>
      </w:r>
      <w:r>
        <w:rPr>
          <w:rFonts w:ascii="Arial" w:hAnsi="Arial" w:cs="Arial"/>
        </w:rPr>
        <w:t>-19, l</w:t>
      </w:r>
      <w:r w:rsidRPr="00CB16FB">
        <w:rPr>
          <w:rFonts w:ascii="Arial" w:hAnsi="Arial" w:cs="Arial"/>
        </w:rPr>
        <w:t>a proporción del gasto total que realizaron las familias en alimentos y bebidas fuera del hogar</w:t>
      </w:r>
      <w:r>
        <w:rPr>
          <w:rFonts w:ascii="Arial" w:hAnsi="Arial" w:cs="Arial"/>
        </w:rPr>
        <w:t xml:space="preserve"> </w:t>
      </w:r>
      <w:r w:rsidRPr="00CB16FB">
        <w:rPr>
          <w:rFonts w:ascii="Arial" w:hAnsi="Arial" w:cs="Arial"/>
        </w:rPr>
        <w:t xml:space="preserve">(restaurantes) </w:t>
      </w:r>
      <w:r w:rsidR="006A6330">
        <w:rPr>
          <w:rFonts w:ascii="Arial" w:hAnsi="Arial" w:cs="Arial"/>
        </w:rPr>
        <w:t>disminuyó</w:t>
      </w:r>
      <w:r w:rsidRPr="00CB16FB">
        <w:rPr>
          <w:rFonts w:ascii="Arial" w:hAnsi="Arial" w:cs="Arial"/>
        </w:rPr>
        <w:t xml:space="preserve"> de </w:t>
      </w:r>
      <w:r w:rsidR="000169CA">
        <w:rPr>
          <w:rFonts w:ascii="Arial" w:hAnsi="Arial" w:cs="Arial"/>
        </w:rPr>
        <w:t>22.8</w:t>
      </w:r>
      <w:r w:rsidRPr="00CB16FB">
        <w:rPr>
          <w:rFonts w:ascii="Arial" w:hAnsi="Arial" w:cs="Arial"/>
        </w:rPr>
        <w:t xml:space="preserve">% en 2018 </w:t>
      </w:r>
      <w:r w:rsidR="007C282B">
        <w:rPr>
          <w:rFonts w:ascii="Arial" w:hAnsi="Arial" w:cs="Arial"/>
        </w:rPr>
        <w:t xml:space="preserve">a </w:t>
      </w:r>
      <w:r w:rsidR="000169CA">
        <w:rPr>
          <w:rFonts w:ascii="Arial" w:hAnsi="Arial" w:cs="Arial"/>
        </w:rPr>
        <w:t>13.4</w:t>
      </w:r>
      <w:r w:rsidRPr="00CB16FB">
        <w:rPr>
          <w:rFonts w:ascii="Arial" w:hAnsi="Arial" w:cs="Arial"/>
        </w:rPr>
        <w:t>% en 2020. Esto significa que en 2020 las familias</w:t>
      </w:r>
      <w:r>
        <w:rPr>
          <w:rFonts w:ascii="Arial" w:hAnsi="Arial" w:cs="Arial"/>
        </w:rPr>
        <w:t xml:space="preserve"> </w:t>
      </w:r>
      <w:r w:rsidRPr="00CB16FB">
        <w:rPr>
          <w:rFonts w:ascii="Arial" w:hAnsi="Arial" w:cs="Arial"/>
        </w:rPr>
        <w:t xml:space="preserve">gastaron una proporción menor de sus </w:t>
      </w:r>
      <w:r w:rsidR="00920258">
        <w:rPr>
          <w:rFonts w:ascii="Arial" w:hAnsi="Arial" w:cs="Arial"/>
        </w:rPr>
        <w:t>gastos</w:t>
      </w:r>
      <w:r w:rsidRPr="00CB16FB">
        <w:rPr>
          <w:rFonts w:ascii="Arial" w:hAnsi="Arial" w:cs="Arial"/>
        </w:rPr>
        <w:t xml:space="preserve"> en restaurantes respecto a 2018.</w:t>
      </w:r>
    </w:p>
    <w:p w14:paraId="357F8FC8" w14:textId="3F39CDD3" w:rsidR="00CB16FB" w:rsidRDefault="00CB16FB" w:rsidP="00CB16FB">
      <w:pPr>
        <w:spacing w:after="0" w:line="240" w:lineRule="auto"/>
        <w:ind w:left="-567" w:right="-516"/>
        <w:rPr>
          <w:rFonts w:ascii="Arial" w:hAnsi="Arial" w:cs="Arial"/>
        </w:rPr>
      </w:pPr>
    </w:p>
    <w:p w14:paraId="2799EB20" w14:textId="0DC6FAE4" w:rsidR="00E61598" w:rsidRDefault="00E61598" w:rsidP="00FA1267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E61598">
        <w:rPr>
          <w:rFonts w:ascii="Arial" w:hAnsi="Arial" w:cs="Arial"/>
        </w:rPr>
        <w:t xml:space="preserve">En la industria restaurantera labora un porcentaje mayor de mujeres </w:t>
      </w:r>
      <w:r w:rsidR="007D136B">
        <w:rPr>
          <w:rFonts w:ascii="Arial" w:hAnsi="Arial" w:cs="Arial"/>
        </w:rPr>
        <w:t>(55.8%)</w:t>
      </w:r>
      <w:r w:rsidR="005C61CC">
        <w:rPr>
          <w:rFonts w:ascii="Arial" w:hAnsi="Arial" w:cs="Arial"/>
        </w:rPr>
        <w:t xml:space="preserve"> </w:t>
      </w:r>
      <w:r w:rsidRPr="00E61598">
        <w:rPr>
          <w:rFonts w:ascii="Arial" w:hAnsi="Arial" w:cs="Arial"/>
        </w:rPr>
        <w:t xml:space="preserve">que de hombres </w:t>
      </w:r>
      <w:r w:rsidR="007D136B">
        <w:rPr>
          <w:rFonts w:ascii="Arial" w:hAnsi="Arial" w:cs="Arial"/>
        </w:rPr>
        <w:t xml:space="preserve">(44.2%) </w:t>
      </w:r>
      <w:r w:rsidRPr="00E61598">
        <w:rPr>
          <w:rFonts w:ascii="Arial" w:hAnsi="Arial" w:cs="Arial"/>
        </w:rPr>
        <w:t>en comparación</w:t>
      </w:r>
      <w:r>
        <w:rPr>
          <w:rFonts w:ascii="Arial" w:hAnsi="Arial" w:cs="Arial"/>
        </w:rPr>
        <w:t xml:space="preserve"> </w:t>
      </w:r>
      <w:r w:rsidRPr="00E61598">
        <w:rPr>
          <w:rFonts w:ascii="Arial" w:hAnsi="Arial" w:cs="Arial"/>
        </w:rPr>
        <w:t xml:space="preserve">con la economía en general y </w:t>
      </w:r>
      <w:r w:rsidR="007C282B">
        <w:rPr>
          <w:rFonts w:ascii="Arial" w:hAnsi="Arial" w:cs="Arial"/>
        </w:rPr>
        <w:t xml:space="preserve">el total de </w:t>
      </w:r>
      <w:r w:rsidRPr="00E61598">
        <w:rPr>
          <w:rFonts w:ascii="Arial" w:hAnsi="Arial" w:cs="Arial"/>
        </w:rPr>
        <w:t>los servicios.</w:t>
      </w:r>
    </w:p>
    <w:p w14:paraId="32EDB250" w14:textId="77777777" w:rsidR="00CB16FB" w:rsidRDefault="00CB16FB" w:rsidP="00407C0F">
      <w:pPr>
        <w:autoSpaceDE w:val="0"/>
        <w:autoSpaceDN w:val="0"/>
        <w:adjustRightInd w:val="0"/>
        <w:ind w:left="-579" w:right="-518"/>
        <w:rPr>
          <w:rFonts w:ascii="Arial" w:hAnsi="Arial" w:cs="Arial"/>
        </w:rPr>
      </w:pPr>
    </w:p>
    <w:p w14:paraId="10CE9A51" w14:textId="5AF7380F" w:rsidR="00407C0F" w:rsidRDefault="00407C0F" w:rsidP="00FA1267">
      <w:pPr>
        <w:autoSpaceDE w:val="0"/>
        <w:autoSpaceDN w:val="0"/>
        <w:adjustRightInd w:val="0"/>
        <w:ind w:left="-579" w:right="-518"/>
        <w:jc w:val="both"/>
        <w:rPr>
          <w:rFonts w:ascii="Arial" w:hAnsi="Arial" w:cs="Arial"/>
        </w:rPr>
      </w:pPr>
      <w:r w:rsidRPr="002C7442">
        <w:rPr>
          <w:rFonts w:ascii="Arial" w:hAnsi="Arial" w:cs="Arial"/>
        </w:rPr>
        <w:t>Información más detallada se puede consultar en el documento disponible en internet:</w:t>
      </w:r>
      <w:r w:rsidR="004E1596">
        <w:rPr>
          <w:rFonts w:ascii="Arial" w:hAnsi="Arial" w:cs="Arial"/>
        </w:rPr>
        <w:t xml:space="preserve"> </w:t>
      </w:r>
      <w:r w:rsidRPr="002C7442">
        <w:rPr>
          <w:rFonts w:ascii="Arial" w:hAnsi="Arial" w:cs="Arial"/>
        </w:rPr>
        <w:t xml:space="preserve"> </w:t>
      </w:r>
      <w:hyperlink r:id="rId9" w:history="1">
        <w:r w:rsidR="004E1596" w:rsidRPr="00115C2D">
          <w:rPr>
            <w:rStyle w:val="Hipervnculo"/>
            <w:rFonts w:ascii="Arial" w:hAnsi="Arial" w:cs="Arial"/>
          </w:rPr>
          <w:t>https://www.inegi.org.mx/app/biblioteca/ficha.html?upc=889463903369</w:t>
        </w:r>
      </w:hyperlink>
    </w:p>
    <w:p w14:paraId="0781DD3E" w14:textId="77777777" w:rsidR="004E1596" w:rsidRPr="004E1596" w:rsidRDefault="004E1596" w:rsidP="00FA1267">
      <w:pPr>
        <w:autoSpaceDE w:val="0"/>
        <w:autoSpaceDN w:val="0"/>
        <w:adjustRightInd w:val="0"/>
        <w:ind w:left="-579" w:right="-518"/>
        <w:jc w:val="both"/>
        <w:rPr>
          <w:rStyle w:val="Hipervnculo"/>
          <w:rFonts w:ascii="Arial" w:hAnsi="Arial" w:cs="Arial"/>
        </w:rPr>
      </w:pPr>
    </w:p>
    <w:p w14:paraId="1534B394" w14:textId="5E537D56" w:rsidR="00415EBB" w:rsidRDefault="00B47558" w:rsidP="00DE0660">
      <w:pPr>
        <w:ind w:left="-567" w:right="-5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proofErr w:type="spellStart"/>
      <w:r>
        <w:rPr>
          <w:rFonts w:ascii="Arial" w:hAnsi="Arial" w:cs="Arial"/>
          <w:b/>
        </w:rPr>
        <w:t>oOo</w:t>
      </w:r>
      <w:proofErr w:type="spellEnd"/>
    </w:p>
    <w:p w14:paraId="43FC246F" w14:textId="3B0E8826" w:rsidR="00FA1267" w:rsidRDefault="00FA1267" w:rsidP="00DE0660">
      <w:pPr>
        <w:ind w:left="-567" w:right="-518"/>
        <w:jc w:val="center"/>
        <w:rPr>
          <w:rFonts w:ascii="Arial" w:hAnsi="Arial" w:cs="Arial"/>
          <w:b/>
        </w:rPr>
      </w:pPr>
    </w:p>
    <w:p w14:paraId="3789DAC5" w14:textId="3E9A7D8D" w:rsidR="00FA1267" w:rsidRDefault="00FA1267" w:rsidP="00DE0660">
      <w:pPr>
        <w:ind w:left="-567" w:right="-518"/>
        <w:jc w:val="center"/>
        <w:rPr>
          <w:rFonts w:ascii="Arial" w:hAnsi="Arial" w:cs="Arial"/>
          <w:b/>
        </w:rPr>
      </w:pPr>
    </w:p>
    <w:tbl>
      <w:tblPr>
        <w:tblStyle w:val="Tablaconcuadrcula"/>
        <w:tblW w:w="1049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938"/>
      </w:tblGrid>
      <w:tr w:rsidR="00FA1267" w:rsidRPr="00AC1D04" w14:paraId="4FE33C5C" w14:textId="77777777" w:rsidTr="00894543">
        <w:trPr>
          <w:trHeight w:val="470"/>
        </w:trPr>
        <w:tc>
          <w:tcPr>
            <w:tcW w:w="2552" w:type="dxa"/>
            <w:vAlign w:val="bottom"/>
          </w:tcPr>
          <w:p w14:paraId="783EE280" w14:textId="77777777" w:rsidR="00FA1267" w:rsidRPr="00937070" w:rsidRDefault="00D57AB4" w:rsidP="00894543">
            <w:pPr>
              <w:pStyle w:val="Piedepgina"/>
              <w:jc w:val="center"/>
              <w:rPr>
                <w:rStyle w:val="Hipervnculo"/>
                <w:rFonts w:ascii="Arial" w:hAnsi="Arial" w:cs="Arial"/>
                <w:color w:val="4472C4" w:themeColor="accent1"/>
                <w:lang w:val="es-MX"/>
              </w:rPr>
            </w:pPr>
            <w:hyperlink r:id="rId10" w:history="1">
              <w:r w:rsidR="00FA1267" w:rsidRPr="00937070">
                <w:rPr>
                  <w:rStyle w:val="Hipervnculo"/>
                  <w:rFonts w:ascii="Arial" w:hAnsi="Arial" w:cs="Arial"/>
                  <w:color w:val="4472C4" w:themeColor="accent1"/>
                  <w:lang w:val="es-MX"/>
                </w:rPr>
                <w:t>www.inegi.org.mx</w:t>
              </w:r>
            </w:hyperlink>
          </w:p>
          <w:p w14:paraId="1F844CE7" w14:textId="77777777" w:rsidR="00FA1267" w:rsidRPr="00937070" w:rsidRDefault="00FA1267" w:rsidP="00894543">
            <w:pPr>
              <w:pStyle w:val="Piedepgina"/>
              <w:jc w:val="center"/>
              <w:rPr>
                <w:rFonts w:ascii="Arial" w:hAnsi="Arial" w:cs="Arial"/>
                <w:color w:val="4472C4" w:themeColor="accent1"/>
                <w:u w:val="single"/>
                <w:lang w:val="es-MX"/>
              </w:rPr>
            </w:pPr>
            <w:r w:rsidRPr="00937070">
              <w:rPr>
                <w:rStyle w:val="Hipervnculo"/>
                <w:rFonts w:ascii="Arial" w:hAnsi="Arial" w:cs="Arial"/>
                <w:color w:val="4472C4" w:themeColor="accent1"/>
                <w:lang w:val="es-MX"/>
              </w:rPr>
              <w:t>@INEGI_INFORMA</w:t>
            </w:r>
          </w:p>
        </w:tc>
        <w:tc>
          <w:tcPr>
            <w:tcW w:w="7938" w:type="dxa"/>
            <w:vAlign w:val="center"/>
          </w:tcPr>
          <w:p w14:paraId="3186EBE5" w14:textId="77777777" w:rsidR="00FA1267" w:rsidRPr="00414A7D" w:rsidRDefault="00D57AB4" w:rsidP="00894543">
            <w:pPr>
              <w:ind w:left="-109"/>
              <w:jc w:val="center"/>
              <w:rPr>
                <w:rFonts w:ascii="Arial" w:hAnsi="Arial" w:cs="Arial"/>
                <w:lang w:val="es-MX"/>
              </w:rPr>
            </w:pPr>
            <w:hyperlink r:id="rId11" w:history="1">
              <w:r w:rsidR="00FA1267" w:rsidRPr="00414A7D">
                <w:rPr>
                  <w:rStyle w:val="Hipervnculo"/>
                  <w:rFonts w:ascii="Arial" w:hAnsi="Arial" w:cs="Arial"/>
                  <w:lang w:val="es-MX"/>
                </w:rPr>
                <w:t>https://canirac.org.mx/</w:t>
              </w:r>
            </w:hyperlink>
          </w:p>
          <w:p w14:paraId="20148FF4" w14:textId="77777777" w:rsidR="00FA1267" w:rsidRPr="001D7000" w:rsidRDefault="00FA1267" w:rsidP="00894543">
            <w:pPr>
              <w:ind w:left="-109"/>
              <w:jc w:val="center"/>
              <w:rPr>
                <w:rFonts w:ascii="Arial" w:hAnsi="Arial" w:cs="Arial"/>
                <w:color w:val="4472C4" w:themeColor="accent1"/>
                <w:lang w:val="es-MX"/>
              </w:rPr>
            </w:pPr>
            <w:r w:rsidRPr="001D7000">
              <w:rPr>
                <w:rFonts w:ascii="Arial" w:hAnsi="Arial" w:cs="Arial"/>
                <w:color w:val="4472C4" w:themeColor="accent1"/>
                <w:lang w:val="es-MX"/>
              </w:rPr>
              <w:t>@</w:t>
            </w:r>
            <w:r>
              <w:rPr>
                <w:rFonts w:ascii="Arial" w:hAnsi="Arial" w:cs="Arial"/>
                <w:color w:val="4472C4" w:themeColor="accent1"/>
                <w:lang w:val="es-MX"/>
              </w:rPr>
              <w:t>canirac</w:t>
            </w:r>
            <w:r w:rsidRPr="001D7000">
              <w:rPr>
                <w:rFonts w:ascii="Arial" w:hAnsi="Arial" w:cs="Arial"/>
                <w:color w:val="4472C4" w:themeColor="accent1"/>
                <w:lang w:val="es-MX"/>
              </w:rPr>
              <w:t xml:space="preserve"> </w:t>
            </w:r>
          </w:p>
        </w:tc>
      </w:tr>
    </w:tbl>
    <w:p w14:paraId="47CF56B9" w14:textId="77777777" w:rsidR="00FA1267" w:rsidRPr="00DE0660" w:rsidRDefault="00FA1267" w:rsidP="00DE0660">
      <w:pPr>
        <w:ind w:left="-567" w:right="-518"/>
        <w:jc w:val="center"/>
        <w:rPr>
          <w:rFonts w:ascii="Arial" w:hAnsi="Arial" w:cs="Arial"/>
          <w:b/>
        </w:rPr>
      </w:pPr>
    </w:p>
    <w:sectPr w:rsidR="00FA1267" w:rsidRPr="00DE0660" w:rsidSect="00AC1D04">
      <w:headerReference w:type="default" r:id="rId12"/>
      <w:footerReference w:type="default" r:id="rId13"/>
      <w:type w:val="continuous"/>
      <w:pgSz w:w="12240" w:h="15840"/>
      <w:pgMar w:top="1417" w:right="1701" w:bottom="567" w:left="1701" w:header="56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2CDD" w14:textId="77777777" w:rsidR="00D57AB4" w:rsidRDefault="00D57AB4" w:rsidP="00407C0F">
      <w:pPr>
        <w:spacing w:after="0" w:line="240" w:lineRule="auto"/>
      </w:pPr>
      <w:r>
        <w:separator/>
      </w:r>
    </w:p>
  </w:endnote>
  <w:endnote w:type="continuationSeparator" w:id="0">
    <w:p w14:paraId="4C51F482" w14:textId="77777777" w:rsidR="00D57AB4" w:rsidRDefault="00D57AB4" w:rsidP="004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B599" w14:textId="77777777" w:rsidR="00B47558" w:rsidRPr="00B47558" w:rsidRDefault="00B47558" w:rsidP="00B47558">
    <w:pPr>
      <w:pStyle w:val="Piedepgina"/>
      <w:jc w:val="center"/>
      <w:rPr>
        <w:b/>
        <w:color w:val="002060"/>
      </w:rPr>
    </w:pPr>
    <w:r w:rsidRPr="00B47558">
      <w:rPr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F215" w14:textId="77777777" w:rsidR="00D57AB4" w:rsidRDefault="00D57AB4" w:rsidP="00407C0F">
      <w:pPr>
        <w:spacing w:after="0" w:line="240" w:lineRule="auto"/>
      </w:pPr>
      <w:r>
        <w:separator/>
      </w:r>
    </w:p>
  </w:footnote>
  <w:footnote w:type="continuationSeparator" w:id="0">
    <w:p w14:paraId="45D6AE46" w14:textId="77777777" w:rsidR="00D57AB4" w:rsidRDefault="00D57AB4" w:rsidP="0040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98B1" w14:textId="40F9FEA1" w:rsidR="00407C0F" w:rsidRPr="000D42D4" w:rsidRDefault="00D323DF" w:rsidP="00717CFC">
    <w:pPr>
      <w:pStyle w:val="Encabezado"/>
      <w:tabs>
        <w:tab w:val="clear" w:pos="4419"/>
        <w:tab w:val="clear" w:pos="8838"/>
      </w:tabs>
      <w:spacing w:before="120"/>
      <w:ind w:left="4678" w:right="-518" w:hanging="142"/>
      <w:jc w:val="right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D4D9CD" wp14:editId="3B98FC0D">
          <wp:simplePos x="0" y="0"/>
          <wp:positionH relativeFrom="margin">
            <wp:posOffset>1155700</wp:posOffset>
          </wp:positionH>
          <wp:positionV relativeFrom="margin">
            <wp:posOffset>-685165</wp:posOffset>
          </wp:positionV>
          <wp:extent cx="1424940" cy="600075"/>
          <wp:effectExtent l="0" t="0" r="381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CFC" w:rsidRPr="000D42D4"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3DFB9D6E" wp14:editId="317FBA62">
          <wp:simplePos x="0" y="0"/>
          <wp:positionH relativeFrom="margin">
            <wp:posOffset>-352425</wp:posOffset>
          </wp:positionH>
          <wp:positionV relativeFrom="margin">
            <wp:posOffset>-685800</wp:posOffset>
          </wp:positionV>
          <wp:extent cx="648335" cy="674370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660" w:rsidRPr="000D42D4">
      <w:rPr>
        <w:rFonts w:ascii="Arial" w:hAnsi="Arial" w:cs="Arial"/>
        <w:noProof/>
        <w:sz w:val="24"/>
        <w:szCs w:val="24"/>
        <w:lang w:eastAsia="es-MX"/>
      </w:rPr>
      <w:t xml:space="preserve"> </w:t>
    </w:r>
    <w:r w:rsidR="00407C0F" w:rsidRPr="000D42D4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717CFC">
      <w:rPr>
        <w:rFonts w:ascii="Arial" w:hAnsi="Arial" w:cs="Arial"/>
        <w:b/>
        <w:color w:val="002060"/>
        <w:sz w:val="24"/>
        <w:szCs w:val="24"/>
      </w:rPr>
      <w:t>578</w:t>
    </w:r>
    <w:r w:rsidR="00407C0F" w:rsidRPr="000D42D4">
      <w:rPr>
        <w:rFonts w:ascii="Arial" w:hAnsi="Arial" w:cs="Arial"/>
        <w:b/>
        <w:color w:val="002060"/>
        <w:sz w:val="24"/>
        <w:szCs w:val="24"/>
      </w:rPr>
      <w:t>/2</w:t>
    </w:r>
    <w:r w:rsidR="00407C0F">
      <w:rPr>
        <w:rFonts w:ascii="Arial" w:hAnsi="Arial" w:cs="Arial"/>
        <w:b/>
        <w:color w:val="002060"/>
        <w:sz w:val="24"/>
        <w:szCs w:val="24"/>
      </w:rPr>
      <w:t>1</w:t>
    </w:r>
  </w:p>
  <w:p w14:paraId="03F8772D" w14:textId="676FA42B" w:rsidR="00407C0F" w:rsidRPr="000D42D4" w:rsidRDefault="00717CFC" w:rsidP="00717CFC">
    <w:pPr>
      <w:pStyle w:val="Encabezado"/>
      <w:tabs>
        <w:tab w:val="clear" w:pos="4419"/>
        <w:tab w:val="clear" w:pos="8838"/>
      </w:tabs>
      <w:ind w:left="4678" w:right="-518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21</w:t>
    </w:r>
    <w:r w:rsidR="00407C0F" w:rsidRPr="000D42D4">
      <w:rPr>
        <w:rFonts w:ascii="Arial" w:hAnsi="Arial" w:cs="Arial"/>
        <w:b/>
        <w:color w:val="002060"/>
        <w:sz w:val="24"/>
        <w:szCs w:val="24"/>
      </w:rPr>
      <w:t xml:space="preserve"> DE </w:t>
    </w:r>
    <w:r w:rsidR="00C3352A">
      <w:rPr>
        <w:rFonts w:ascii="Arial" w:hAnsi="Arial" w:cs="Arial"/>
        <w:b/>
        <w:color w:val="002060"/>
        <w:sz w:val="24"/>
        <w:szCs w:val="24"/>
      </w:rPr>
      <w:t>OCTUBRE</w:t>
    </w:r>
    <w:r w:rsidR="00407C0F" w:rsidRPr="000D42D4">
      <w:rPr>
        <w:rFonts w:ascii="Arial" w:hAnsi="Arial" w:cs="Arial"/>
        <w:b/>
        <w:color w:val="002060"/>
        <w:sz w:val="24"/>
        <w:szCs w:val="24"/>
      </w:rPr>
      <w:t xml:space="preserve"> DE 202</w:t>
    </w:r>
    <w:r w:rsidR="00407C0F">
      <w:rPr>
        <w:rFonts w:ascii="Arial" w:hAnsi="Arial" w:cs="Arial"/>
        <w:b/>
        <w:color w:val="002060"/>
        <w:sz w:val="24"/>
        <w:szCs w:val="24"/>
      </w:rPr>
      <w:t>1</w:t>
    </w:r>
  </w:p>
  <w:p w14:paraId="6E00A7A7" w14:textId="4836B35D" w:rsidR="00407C0F" w:rsidRPr="000D42D4" w:rsidRDefault="00407C0F" w:rsidP="00717CFC">
    <w:pPr>
      <w:pStyle w:val="Encabezado"/>
      <w:tabs>
        <w:tab w:val="clear" w:pos="4419"/>
        <w:tab w:val="clear" w:pos="8838"/>
      </w:tabs>
      <w:ind w:left="4678" w:right="-518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begin"/>
    </w:r>
    <w:r w:rsidRPr="000D42D4">
      <w:rPr>
        <w:rFonts w:ascii="Arial" w:hAnsi="Arial" w:cs="Arial"/>
        <w:b/>
        <w:color w:val="002060"/>
        <w:sz w:val="24"/>
        <w:szCs w:val="24"/>
      </w:rPr>
      <w:instrText>PAGE</w:instrText>
    </w:r>
    <w:r w:rsidRPr="000D42D4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end"/>
    </w:r>
    <w:r w:rsidRPr="000D42D4">
      <w:rPr>
        <w:rFonts w:ascii="Arial" w:hAnsi="Arial" w:cs="Arial"/>
        <w:b/>
        <w:color w:val="002060"/>
        <w:sz w:val="24"/>
        <w:szCs w:val="24"/>
      </w:rPr>
      <w:t>/2</w:t>
    </w:r>
  </w:p>
  <w:p w14:paraId="2A2C9540" w14:textId="07795CBB" w:rsidR="00407C0F" w:rsidRDefault="00407C0F" w:rsidP="00717CFC">
    <w:pPr>
      <w:pStyle w:val="Encabezado"/>
      <w:ind w:left="46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795C"/>
    <w:multiLevelType w:val="hybridMultilevel"/>
    <w:tmpl w:val="9AC03476"/>
    <w:lvl w:ilvl="0" w:tplc="F2462368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1B07A2B"/>
    <w:multiLevelType w:val="hybridMultilevel"/>
    <w:tmpl w:val="9EB4050E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0F"/>
    <w:rsid w:val="00013AB3"/>
    <w:rsid w:val="000169CA"/>
    <w:rsid w:val="00016F09"/>
    <w:rsid w:val="00020E10"/>
    <w:rsid w:val="0002793C"/>
    <w:rsid w:val="00040E2C"/>
    <w:rsid w:val="00044C06"/>
    <w:rsid w:val="00067AFE"/>
    <w:rsid w:val="000B5A05"/>
    <w:rsid w:val="000B5BF1"/>
    <w:rsid w:val="000C0355"/>
    <w:rsid w:val="000C05D3"/>
    <w:rsid w:val="000C4FCD"/>
    <w:rsid w:val="000F19C8"/>
    <w:rsid w:val="00105B3A"/>
    <w:rsid w:val="00146CB2"/>
    <w:rsid w:val="00177247"/>
    <w:rsid w:val="001957FF"/>
    <w:rsid w:val="001A2438"/>
    <w:rsid w:val="001C0A68"/>
    <w:rsid w:val="001C474E"/>
    <w:rsid w:val="001D7000"/>
    <w:rsid w:val="001D7484"/>
    <w:rsid w:val="001E1E53"/>
    <w:rsid w:val="00201B0C"/>
    <w:rsid w:val="00227693"/>
    <w:rsid w:val="002354F1"/>
    <w:rsid w:val="00243E09"/>
    <w:rsid w:val="002518F3"/>
    <w:rsid w:val="0025453C"/>
    <w:rsid w:val="00254B79"/>
    <w:rsid w:val="00262895"/>
    <w:rsid w:val="0026682D"/>
    <w:rsid w:val="002B0E81"/>
    <w:rsid w:val="002B4825"/>
    <w:rsid w:val="002B543B"/>
    <w:rsid w:val="002C1F95"/>
    <w:rsid w:val="003071C0"/>
    <w:rsid w:val="0031789C"/>
    <w:rsid w:val="00333967"/>
    <w:rsid w:val="003554B8"/>
    <w:rsid w:val="00367FDF"/>
    <w:rsid w:val="003D2EA4"/>
    <w:rsid w:val="003D39B0"/>
    <w:rsid w:val="003D7065"/>
    <w:rsid w:val="003E5BC7"/>
    <w:rsid w:val="003F11B6"/>
    <w:rsid w:val="003F68CC"/>
    <w:rsid w:val="00407C0F"/>
    <w:rsid w:val="00414A7D"/>
    <w:rsid w:val="00415EBB"/>
    <w:rsid w:val="00423480"/>
    <w:rsid w:val="00433FCE"/>
    <w:rsid w:val="00461E7B"/>
    <w:rsid w:val="00462DC8"/>
    <w:rsid w:val="00490A12"/>
    <w:rsid w:val="004A2725"/>
    <w:rsid w:val="004C11F4"/>
    <w:rsid w:val="004C70AE"/>
    <w:rsid w:val="004E1596"/>
    <w:rsid w:val="004E32AB"/>
    <w:rsid w:val="004E5E1B"/>
    <w:rsid w:val="00502E7E"/>
    <w:rsid w:val="0050496E"/>
    <w:rsid w:val="00505874"/>
    <w:rsid w:val="005158D6"/>
    <w:rsid w:val="00523A29"/>
    <w:rsid w:val="00545345"/>
    <w:rsid w:val="00552DFB"/>
    <w:rsid w:val="005544B8"/>
    <w:rsid w:val="00570BBF"/>
    <w:rsid w:val="00571931"/>
    <w:rsid w:val="005C5856"/>
    <w:rsid w:val="005C61CC"/>
    <w:rsid w:val="005F16DA"/>
    <w:rsid w:val="00653268"/>
    <w:rsid w:val="006666A9"/>
    <w:rsid w:val="0067705B"/>
    <w:rsid w:val="006A283F"/>
    <w:rsid w:val="006A407D"/>
    <w:rsid w:val="006A6330"/>
    <w:rsid w:val="006C6F42"/>
    <w:rsid w:val="006E01DE"/>
    <w:rsid w:val="006E213F"/>
    <w:rsid w:val="006F1768"/>
    <w:rsid w:val="00717CFC"/>
    <w:rsid w:val="00726585"/>
    <w:rsid w:val="007315B9"/>
    <w:rsid w:val="007316D9"/>
    <w:rsid w:val="00747B67"/>
    <w:rsid w:val="00762B45"/>
    <w:rsid w:val="00795260"/>
    <w:rsid w:val="007C08C3"/>
    <w:rsid w:val="007C1B3B"/>
    <w:rsid w:val="007C282B"/>
    <w:rsid w:val="007C5D61"/>
    <w:rsid w:val="007D10B3"/>
    <w:rsid w:val="007D136B"/>
    <w:rsid w:val="007E0073"/>
    <w:rsid w:val="00801655"/>
    <w:rsid w:val="00817B74"/>
    <w:rsid w:val="00831791"/>
    <w:rsid w:val="008413CB"/>
    <w:rsid w:val="00841752"/>
    <w:rsid w:val="0085189C"/>
    <w:rsid w:val="00894958"/>
    <w:rsid w:val="0089773B"/>
    <w:rsid w:val="008B0E2D"/>
    <w:rsid w:val="008C2420"/>
    <w:rsid w:val="008C3D47"/>
    <w:rsid w:val="008D1289"/>
    <w:rsid w:val="00914A48"/>
    <w:rsid w:val="0091705A"/>
    <w:rsid w:val="00920258"/>
    <w:rsid w:val="00937070"/>
    <w:rsid w:val="0097447C"/>
    <w:rsid w:val="009A7218"/>
    <w:rsid w:val="009B1012"/>
    <w:rsid w:val="009B22C3"/>
    <w:rsid w:val="009B29B0"/>
    <w:rsid w:val="009C4898"/>
    <w:rsid w:val="009C5583"/>
    <w:rsid w:val="009D0167"/>
    <w:rsid w:val="009E3B2A"/>
    <w:rsid w:val="009F011F"/>
    <w:rsid w:val="009F20AA"/>
    <w:rsid w:val="009F4924"/>
    <w:rsid w:val="00A57257"/>
    <w:rsid w:val="00A60CA1"/>
    <w:rsid w:val="00A874AC"/>
    <w:rsid w:val="00AB0B14"/>
    <w:rsid w:val="00AC0643"/>
    <w:rsid w:val="00AC1D04"/>
    <w:rsid w:val="00AF76B9"/>
    <w:rsid w:val="00B0319E"/>
    <w:rsid w:val="00B1607F"/>
    <w:rsid w:val="00B179DA"/>
    <w:rsid w:val="00B25D54"/>
    <w:rsid w:val="00B26F4D"/>
    <w:rsid w:val="00B461DA"/>
    <w:rsid w:val="00B47558"/>
    <w:rsid w:val="00BA394A"/>
    <w:rsid w:val="00BB2238"/>
    <w:rsid w:val="00BD0D82"/>
    <w:rsid w:val="00BD474B"/>
    <w:rsid w:val="00BE5B4C"/>
    <w:rsid w:val="00BE7045"/>
    <w:rsid w:val="00BF64CF"/>
    <w:rsid w:val="00C26069"/>
    <w:rsid w:val="00C3352A"/>
    <w:rsid w:val="00C54BF7"/>
    <w:rsid w:val="00C85C09"/>
    <w:rsid w:val="00CB16FB"/>
    <w:rsid w:val="00CB47E4"/>
    <w:rsid w:val="00CC2FDB"/>
    <w:rsid w:val="00CC5120"/>
    <w:rsid w:val="00CD483F"/>
    <w:rsid w:val="00CE0454"/>
    <w:rsid w:val="00CE26A5"/>
    <w:rsid w:val="00CF2A92"/>
    <w:rsid w:val="00D17DC1"/>
    <w:rsid w:val="00D21E23"/>
    <w:rsid w:val="00D24031"/>
    <w:rsid w:val="00D323DF"/>
    <w:rsid w:val="00D57AB4"/>
    <w:rsid w:val="00D62F07"/>
    <w:rsid w:val="00D638A3"/>
    <w:rsid w:val="00D8461D"/>
    <w:rsid w:val="00D872EC"/>
    <w:rsid w:val="00D913F0"/>
    <w:rsid w:val="00DA6873"/>
    <w:rsid w:val="00DE0660"/>
    <w:rsid w:val="00DE43F9"/>
    <w:rsid w:val="00DF4894"/>
    <w:rsid w:val="00E01716"/>
    <w:rsid w:val="00E046FE"/>
    <w:rsid w:val="00E060FF"/>
    <w:rsid w:val="00E064A8"/>
    <w:rsid w:val="00E15DCC"/>
    <w:rsid w:val="00E530D1"/>
    <w:rsid w:val="00E61598"/>
    <w:rsid w:val="00E65BB2"/>
    <w:rsid w:val="00EA1592"/>
    <w:rsid w:val="00EA3945"/>
    <w:rsid w:val="00EC1485"/>
    <w:rsid w:val="00EE433A"/>
    <w:rsid w:val="00EF77BE"/>
    <w:rsid w:val="00F24677"/>
    <w:rsid w:val="00F306EA"/>
    <w:rsid w:val="00F33D7B"/>
    <w:rsid w:val="00F4017F"/>
    <w:rsid w:val="00F64CB1"/>
    <w:rsid w:val="00F67584"/>
    <w:rsid w:val="00FA1267"/>
    <w:rsid w:val="00FD0673"/>
    <w:rsid w:val="00FD7E9B"/>
    <w:rsid w:val="00FF4789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8A8BC"/>
  <w15:chartTrackingRefBased/>
  <w15:docId w15:val="{35EC998C-9787-40C7-A7F4-C2971F1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C0F"/>
  </w:style>
  <w:style w:type="paragraph" w:styleId="Piedepgina">
    <w:name w:val="footer"/>
    <w:basedOn w:val="Normal"/>
    <w:link w:val="PiedepginaCar"/>
    <w:uiPriority w:val="99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C0F"/>
  </w:style>
  <w:style w:type="character" w:styleId="Hipervnculo">
    <w:name w:val="Hyperlink"/>
    <w:basedOn w:val="Fuentedeprrafopredeter"/>
    <w:uiPriority w:val="99"/>
    <w:unhideWhenUsed/>
    <w:rsid w:val="00407C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7C0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475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475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475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E06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nirac.org.m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mda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egi.org.mx/app/biblioteca/ficha.html?upc=88946390336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2A74-FF76-4975-B57D-9AF30C28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dcterms:created xsi:type="dcterms:W3CDTF">2021-10-21T15:10:00Z</dcterms:created>
  <dcterms:modified xsi:type="dcterms:W3CDTF">2021-10-21T15:10:00Z</dcterms:modified>
</cp:coreProperties>
</file>