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2D974" w14:textId="77777777" w:rsidR="00E463F2" w:rsidRPr="000509AF" w:rsidRDefault="00E463F2" w:rsidP="0082401B">
      <w:pPr>
        <w:pStyle w:val="Profesin"/>
        <w:outlineLvl w:val="0"/>
        <w:rPr>
          <w:lang w:val="es-MX"/>
        </w:rPr>
      </w:pPr>
    </w:p>
    <w:p w14:paraId="7FA65AB2" w14:textId="77777777" w:rsidR="003C218A" w:rsidRDefault="003C218A" w:rsidP="003C218A">
      <w:pPr>
        <w:tabs>
          <w:tab w:val="left" w:pos="1985"/>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4F3A537A" wp14:editId="0BA14EDB">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28728680" w14:textId="77777777" w:rsidR="003C218A" w:rsidRPr="00265B8C" w:rsidRDefault="003C218A" w:rsidP="003C218A">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27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septiembre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3A537A"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28728680" w14:textId="77777777" w:rsidR="003C218A" w:rsidRPr="00265B8C" w:rsidRDefault="003C218A" w:rsidP="003C218A">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27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septiembre</w:t>
                      </w:r>
                    </w:p>
                  </w:txbxContent>
                </v:textbox>
                <w10:wrap type="square"/>
              </v:shape>
            </w:pict>
          </mc:Fallback>
        </mc:AlternateContent>
      </w:r>
    </w:p>
    <w:p w14:paraId="2BF26563" w14:textId="77777777" w:rsidR="003C218A" w:rsidRDefault="003C218A" w:rsidP="003C218A">
      <w:pPr>
        <w:pStyle w:val="Profesin"/>
        <w:outlineLvl w:val="0"/>
        <w:rPr>
          <w:lang w:val="es-MX"/>
        </w:rPr>
      </w:pPr>
    </w:p>
    <w:p w14:paraId="0D285139" w14:textId="77777777" w:rsidR="003C218A" w:rsidRPr="000509AF" w:rsidRDefault="003C218A" w:rsidP="003C218A">
      <w:pPr>
        <w:pStyle w:val="Profesin"/>
        <w:outlineLvl w:val="0"/>
        <w:rPr>
          <w:lang w:val="es-MX"/>
        </w:rPr>
      </w:pPr>
    </w:p>
    <w:p w14:paraId="5EC0AB68" w14:textId="77777777" w:rsidR="003C218A" w:rsidRPr="00C02E0F" w:rsidRDefault="003C218A" w:rsidP="003C218A">
      <w:pPr>
        <w:pStyle w:val="Profesin"/>
        <w:outlineLvl w:val="0"/>
        <w:rPr>
          <w:sz w:val="24"/>
          <w:szCs w:val="24"/>
          <w:lang w:val="es-MX"/>
        </w:rPr>
      </w:pPr>
      <w:r w:rsidRPr="00C02E0F">
        <w:rPr>
          <w:sz w:val="24"/>
          <w:szCs w:val="24"/>
          <w:lang w:val="es-MX"/>
        </w:rPr>
        <w:t>INDICADOR GLOBAL DE LA ACTIVIDAD ECONÓMICA</w:t>
      </w:r>
      <w:r w:rsidRPr="00C02E0F">
        <w:rPr>
          <w:sz w:val="24"/>
          <w:szCs w:val="24"/>
          <w:vertAlign w:val="superscript"/>
        </w:rPr>
        <w:footnoteReference w:id="1"/>
      </w:r>
    </w:p>
    <w:p w14:paraId="207C9B5C" w14:textId="77777777" w:rsidR="003C218A" w:rsidRPr="00C02E0F" w:rsidRDefault="003C218A" w:rsidP="003C218A">
      <w:pPr>
        <w:jc w:val="center"/>
        <w:rPr>
          <w:b/>
          <w:spacing w:val="25"/>
          <w:lang w:val="es-MX"/>
        </w:rPr>
      </w:pPr>
      <w:r w:rsidRPr="00C02E0F">
        <w:rPr>
          <w:b/>
          <w:spacing w:val="25"/>
          <w:lang w:val="es-MX"/>
        </w:rPr>
        <w:t>DURANTE JUNIO DE 2021</w:t>
      </w:r>
    </w:p>
    <w:p w14:paraId="6760E572" w14:textId="0AAAF8CA" w:rsidR="003C218A" w:rsidRPr="00C02E0F" w:rsidRDefault="003C218A" w:rsidP="003C218A">
      <w:pPr>
        <w:jc w:val="center"/>
        <w:rPr>
          <w:b/>
          <w:spacing w:val="25"/>
          <w:lang w:val="es-MX"/>
        </w:rPr>
      </w:pPr>
      <w:r w:rsidRPr="00C02E0F">
        <w:rPr>
          <w:b/>
          <w:spacing w:val="25"/>
          <w:lang w:val="es-MX"/>
        </w:rPr>
        <w:t>(</w:t>
      </w:r>
      <w:r w:rsidRPr="00C02E0F">
        <w:rPr>
          <w:b/>
          <w:i/>
          <w:spacing w:val="25"/>
          <w:lang w:val="es-MX"/>
        </w:rPr>
        <w:t>Cifras desestacionalizadas</w:t>
      </w:r>
      <w:r w:rsidRPr="00C02E0F">
        <w:rPr>
          <w:b/>
          <w:spacing w:val="25"/>
          <w:lang w:val="es-MX"/>
        </w:rPr>
        <w:t>)</w:t>
      </w:r>
      <w:bookmarkStart w:id="0" w:name="_GoBack"/>
      <w:bookmarkEnd w:id="0"/>
    </w:p>
    <w:p w14:paraId="0B4F3C21" w14:textId="77777777" w:rsidR="003C218A" w:rsidRPr="006E612E" w:rsidRDefault="003C218A" w:rsidP="003C218A">
      <w:pPr>
        <w:pStyle w:val="bullet"/>
        <w:keepLines w:val="0"/>
        <w:spacing w:before="360" w:after="0"/>
        <w:ind w:left="-284" w:right="-547" w:firstLine="0"/>
        <w:rPr>
          <w:b w:val="0"/>
          <w:color w:val="auto"/>
          <w:szCs w:val="24"/>
        </w:rPr>
      </w:pPr>
      <w:r w:rsidRPr="006E612E">
        <w:rPr>
          <w:b w:val="0"/>
          <w:color w:val="auto"/>
          <w:szCs w:val="24"/>
        </w:rPr>
        <w:t>El INEGI informa que el Indicador Global de la Actividad Económica (IGAE) mostró una disminución de 0.9% en términos reales en el sexto mes del año en curso respecto al mes previo, con cifras desestacionalizadas</w:t>
      </w:r>
      <w:r w:rsidRPr="006E612E">
        <w:rPr>
          <w:b w:val="0"/>
          <w:color w:val="auto"/>
          <w:szCs w:val="24"/>
          <w:vertAlign w:val="superscript"/>
        </w:rPr>
        <w:footnoteReference w:id="2"/>
      </w:r>
      <w:r w:rsidRPr="006E612E">
        <w:rPr>
          <w:b w:val="0"/>
          <w:color w:val="auto"/>
          <w:szCs w:val="24"/>
        </w:rPr>
        <w:t>.</w:t>
      </w:r>
    </w:p>
    <w:p w14:paraId="79C27F2C" w14:textId="77777777" w:rsidR="003C218A" w:rsidRPr="00BD2EB2" w:rsidRDefault="003C218A" w:rsidP="003C218A">
      <w:pPr>
        <w:pStyle w:val="p02"/>
        <w:keepNext/>
        <w:widowControl w:val="0"/>
        <w:spacing w:before="0"/>
        <w:ind w:right="23"/>
        <w:jc w:val="center"/>
        <w:rPr>
          <w:rFonts w:ascii="Arial" w:hAnsi="Arial" w:cs="Arial"/>
          <w:smallCaps/>
          <w:color w:val="auto"/>
          <w:sz w:val="22"/>
        </w:rPr>
      </w:pPr>
    </w:p>
    <w:p w14:paraId="3595BC3D" w14:textId="77777777" w:rsidR="003C218A" w:rsidRDefault="003C218A" w:rsidP="003C218A">
      <w:pPr>
        <w:pStyle w:val="p02"/>
        <w:keepNext/>
        <w:widowControl w:val="0"/>
        <w:spacing w:before="120"/>
        <w:ind w:right="23"/>
        <w:jc w:val="center"/>
        <w:rPr>
          <w:rFonts w:ascii="Arial" w:hAnsi="Arial" w:cs="Arial"/>
          <w:b/>
          <w:smallCaps/>
          <w:color w:val="000000"/>
          <w:sz w:val="22"/>
          <w:szCs w:val="22"/>
          <w:lang w:val="es-MX"/>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r>
        <w:rPr>
          <w:rFonts w:ascii="Arial" w:hAnsi="Arial" w:cs="Arial"/>
          <w:b/>
          <w:smallCaps/>
          <w:color w:val="auto"/>
          <w:sz w:val="22"/>
        </w:rPr>
        <w:t xml:space="preserve"> a junio </w:t>
      </w:r>
      <w:r>
        <w:rPr>
          <w:rFonts w:ascii="Arial" w:hAnsi="Arial" w:cs="Arial"/>
          <w:b/>
          <w:smallCaps/>
          <w:color w:val="000000"/>
          <w:sz w:val="22"/>
          <w:szCs w:val="22"/>
          <w:lang w:val="es-MX"/>
        </w:rPr>
        <w:t>de 2021</w:t>
      </w:r>
    </w:p>
    <w:p w14:paraId="4C633060" w14:textId="77777777" w:rsidR="003C218A" w:rsidRPr="00961776" w:rsidRDefault="003C218A" w:rsidP="003C218A">
      <w:pPr>
        <w:pStyle w:val="p02"/>
        <w:keepNext/>
        <w:widowControl w:val="0"/>
        <w:spacing w:before="0"/>
        <w:ind w:right="23"/>
        <w:jc w:val="center"/>
        <w:rPr>
          <w:rFonts w:ascii="Arial" w:hAnsi="Arial" w:cs="Arial"/>
          <w:b/>
          <w:smallCaps/>
          <w:color w:val="000000"/>
          <w:sz w:val="22"/>
          <w:lang w:val="es-MX"/>
        </w:rPr>
      </w:pPr>
      <w:r>
        <w:rPr>
          <w:rFonts w:ascii="Arial" w:hAnsi="Arial" w:cs="Arial"/>
          <w:b/>
          <w:smallCaps/>
          <w:color w:val="000000"/>
          <w:sz w:val="22"/>
          <w:lang w:val="es-MX"/>
        </w:rPr>
        <w:t>Series desestacionalizada</w:t>
      </w:r>
      <w:r w:rsidRPr="00961776">
        <w:rPr>
          <w:rFonts w:ascii="Arial" w:hAnsi="Arial" w:cs="Arial"/>
          <w:b/>
          <w:smallCaps/>
          <w:color w:val="000000"/>
          <w:sz w:val="22"/>
          <w:lang w:val="es-MX"/>
        </w:rPr>
        <w:t xml:space="preserve"> y </w:t>
      </w:r>
      <w:r>
        <w:rPr>
          <w:rFonts w:ascii="Arial" w:hAnsi="Arial" w:cs="Arial"/>
          <w:b/>
          <w:smallCaps/>
          <w:color w:val="000000"/>
          <w:sz w:val="22"/>
          <w:lang w:val="es-MX"/>
        </w:rPr>
        <w:t xml:space="preserve">de </w:t>
      </w:r>
      <w:r w:rsidRPr="00961776">
        <w:rPr>
          <w:rFonts w:ascii="Arial" w:hAnsi="Arial" w:cs="Arial"/>
          <w:b/>
          <w:smallCaps/>
          <w:color w:val="000000"/>
          <w:sz w:val="22"/>
          <w:lang w:val="es-MX"/>
        </w:rPr>
        <w:t>tendencia</w:t>
      </w:r>
      <w:r>
        <w:rPr>
          <w:rFonts w:ascii="Arial" w:hAnsi="Arial" w:cs="Arial"/>
          <w:b/>
          <w:smallCaps/>
          <w:color w:val="000000"/>
          <w:sz w:val="22"/>
          <w:lang w:val="es-MX"/>
        </w:rPr>
        <w:t>-ciclo</w:t>
      </w:r>
    </w:p>
    <w:p w14:paraId="14439FE7" w14:textId="77777777" w:rsidR="003C218A" w:rsidRPr="009B388F" w:rsidRDefault="003C218A" w:rsidP="003C218A">
      <w:pPr>
        <w:pStyle w:val="p02"/>
        <w:keepNext/>
        <w:widowControl w:val="0"/>
        <w:spacing w:before="0"/>
        <w:ind w:right="21"/>
        <w:jc w:val="center"/>
        <w:rPr>
          <w:rFonts w:ascii="Arial" w:hAnsi="Arial" w:cs="Arial"/>
          <w:color w:val="auto"/>
          <w:sz w:val="18"/>
          <w:szCs w:val="18"/>
        </w:rPr>
      </w:pPr>
      <w:r w:rsidRPr="00961776">
        <w:rPr>
          <w:rFonts w:ascii="Arial" w:hAnsi="Arial" w:cs="Arial"/>
          <w:color w:val="000000"/>
          <w:sz w:val="18"/>
          <w:lang w:val="es-MX"/>
        </w:rPr>
        <w:t xml:space="preserve">(Índice </w:t>
      </w:r>
      <w:r>
        <w:rPr>
          <w:rFonts w:ascii="Arial" w:hAnsi="Arial" w:cs="Arial"/>
          <w:color w:val="000000"/>
          <w:sz w:val="18"/>
          <w:lang w:val="es-MX"/>
        </w:rPr>
        <w:t>2013</w:t>
      </w:r>
      <w:r w:rsidRPr="00961776">
        <w:rPr>
          <w:rFonts w:ascii="Arial" w:hAnsi="Arial" w:cs="Arial"/>
          <w:color w:val="000000"/>
          <w:sz w:val="18"/>
          <w:lang w:val="es-MX"/>
        </w:rPr>
        <w:t>=</w:t>
      </w:r>
      <w:r w:rsidRPr="009B388F">
        <w:rPr>
          <w:rFonts w:ascii="Arial" w:hAnsi="Arial" w:cs="Arial"/>
          <w:color w:val="000000"/>
          <w:sz w:val="18"/>
          <w:szCs w:val="18"/>
          <w:lang w:val="es-MX"/>
        </w:rPr>
        <w:t>100)</w:t>
      </w:r>
      <w:r w:rsidRPr="00EA03CA">
        <w:t xml:space="preserve"> </w:t>
      </w:r>
    </w:p>
    <w:p w14:paraId="015A3045" w14:textId="77777777" w:rsidR="003C218A" w:rsidRPr="000B1975" w:rsidRDefault="003C218A" w:rsidP="003C218A">
      <w:pPr>
        <w:pStyle w:val="p02"/>
        <w:keepLines w:val="0"/>
        <w:widowControl w:val="0"/>
        <w:spacing w:before="0"/>
        <w:ind w:right="21"/>
        <w:jc w:val="center"/>
        <w:rPr>
          <w:rFonts w:ascii="Arial" w:hAnsi="Arial" w:cs="Arial"/>
          <w:color w:val="000000"/>
          <w:sz w:val="18"/>
        </w:rPr>
      </w:pPr>
      <w:r>
        <w:rPr>
          <w:noProof/>
        </w:rPr>
        <w:drawing>
          <wp:inline distT="0" distB="0" distL="0" distR="0" wp14:anchorId="465AF1BD" wp14:editId="29F8B2C2">
            <wp:extent cx="4680000" cy="2736000"/>
            <wp:effectExtent l="0" t="0" r="25400" b="26670"/>
            <wp:docPr id="14" name="Gráfico 1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BFA8840" w14:textId="77777777" w:rsidR="003C218A" w:rsidRPr="00AA768F" w:rsidRDefault="003C218A" w:rsidP="003C218A">
      <w:pPr>
        <w:pStyle w:val="Textoindependiente"/>
        <w:tabs>
          <w:tab w:val="center" w:pos="1985"/>
          <w:tab w:val="left" w:pos="7949"/>
        </w:tabs>
        <w:spacing w:before="0"/>
        <w:ind w:left="993" w:right="51"/>
        <w:jc w:val="left"/>
        <w:rPr>
          <w:b/>
          <w:smallCaps/>
          <w:color w:val="auto"/>
          <w:sz w:val="16"/>
          <w:szCs w:val="16"/>
        </w:rPr>
      </w:pPr>
      <w:r w:rsidRPr="00AA768F">
        <w:rPr>
          <w:color w:val="auto"/>
          <w:sz w:val="16"/>
          <w:szCs w:val="16"/>
        </w:rPr>
        <w:t>Fuente: INEGI.</w:t>
      </w:r>
      <w:r>
        <w:rPr>
          <w:color w:val="auto"/>
          <w:sz w:val="16"/>
          <w:szCs w:val="16"/>
        </w:rPr>
        <w:tab/>
      </w:r>
    </w:p>
    <w:p w14:paraId="554A0080" w14:textId="77777777" w:rsidR="003C218A" w:rsidRPr="00AE3030" w:rsidRDefault="003C218A" w:rsidP="003C218A">
      <w:pPr>
        <w:pStyle w:val="bullet"/>
        <w:keepLines w:val="0"/>
        <w:spacing w:before="600" w:after="0"/>
        <w:ind w:left="-284" w:right="-547" w:firstLine="0"/>
        <w:rPr>
          <w:b w:val="0"/>
          <w:color w:val="auto"/>
          <w:szCs w:val="24"/>
        </w:rPr>
      </w:pPr>
      <w:r w:rsidRPr="00AE3030">
        <w:rPr>
          <w:b w:val="0"/>
          <w:color w:val="auto"/>
          <w:szCs w:val="24"/>
        </w:rPr>
        <w:t>Por grandes grupos de actividades, las Primarias descendieron 4.4%, las Terciarias 0.7% y las Secundarias cayeron 0.5% durante junio de 2021 frente al mes precedente.</w:t>
      </w:r>
    </w:p>
    <w:p w14:paraId="53AA1960" w14:textId="6E3D627F" w:rsidR="00092FF8" w:rsidRDefault="00092FF8">
      <w:pPr>
        <w:jc w:val="left"/>
        <w:rPr>
          <w:rFonts w:cs="Times New Roman"/>
          <w:bCs/>
          <w:spacing w:val="10"/>
          <w:lang w:val="es-MX"/>
        </w:rPr>
      </w:pPr>
      <w:r>
        <w:rPr>
          <w:b/>
          <w:bCs/>
        </w:rPr>
        <w:br w:type="page"/>
      </w:r>
    </w:p>
    <w:p w14:paraId="43F881BF" w14:textId="77777777" w:rsidR="003C218A" w:rsidRDefault="003C218A" w:rsidP="003C218A">
      <w:pPr>
        <w:pStyle w:val="bullet"/>
        <w:keepLines w:val="0"/>
        <w:spacing w:before="360" w:after="0"/>
        <w:ind w:left="-284" w:right="-547" w:firstLine="0"/>
        <w:rPr>
          <w:b w:val="0"/>
          <w:bCs/>
          <w:color w:val="auto"/>
          <w:szCs w:val="24"/>
        </w:rPr>
      </w:pPr>
    </w:p>
    <w:p w14:paraId="6C05DEFE" w14:textId="77777777" w:rsidR="003C218A" w:rsidRPr="00AE3030" w:rsidRDefault="003C218A" w:rsidP="003C218A">
      <w:pPr>
        <w:pStyle w:val="bullet"/>
        <w:keepLines w:val="0"/>
        <w:spacing w:before="360" w:after="0"/>
        <w:ind w:left="-284" w:right="-547" w:firstLine="0"/>
        <w:rPr>
          <w:rFonts w:cs="Arial"/>
          <w:b w:val="0"/>
          <w:smallCaps/>
          <w:color w:val="auto"/>
          <w:szCs w:val="24"/>
        </w:rPr>
      </w:pPr>
      <w:r w:rsidRPr="00AE3030">
        <w:rPr>
          <w:b w:val="0"/>
          <w:color w:val="auto"/>
          <w:szCs w:val="24"/>
        </w:rPr>
        <w:t>En términos anuales</w:t>
      </w:r>
      <w:r w:rsidRPr="00AE3030">
        <w:rPr>
          <w:b w:val="0"/>
          <w:color w:val="auto"/>
          <w:szCs w:val="24"/>
          <w:vertAlign w:val="superscript"/>
        </w:rPr>
        <w:footnoteReference w:id="3"/>
      </w:r>
      <w:r w:rsidRPr="00AE3030">
        <w:rPr>
          <w:b w:val="0"/>
          <w:color w:val="auto"/>
          <w:szCs w:val="24"/>
        </w:rPr>
        <w:t>, el IGAE registró un avance real de 13.4% en el mes de referencia. Por grandes grupos de actividades, las Secundarias y las Terciarias aumentaron 13.6%, en lo individual, y las actividades Primarias crecieron 8% con relación a igual mes de 2020.</w:t>
      </w:r>
    </w:p>
    <w:p w14:paraId="3848B248" w14:textId="77777777" w:rsidR="003C218A" w:rsidRDefault="003C218A" w:rsidP="002C305F">
      <w:pPr>
        <w:pStyle w:val="bullet"/>
        <w:keepLines w:val="0"/>
        <w:spacing w:before="480" w:after="0"/>
        <w:ind w:left="0" w:right="0" w:firstLine="0"/>
        <w:jc w:val="center"/>
        <w:rPr>
          <w:rFonts w:cs="Arial"/>
          <w:smallCaps/>
          <w:color w:val="auto"/>
          <w:spacing w:val="0"/>
          <w:sz w:val="22"/>
        </w:rPr>
      </w:pPr>
      <w:r w:rsidRPr="0082401B">
        <w:rPr>
          <w:rFonts w:cs="Arial"/>
          <w:smallCaps/>
          <w:color w:val="auto"/>
          <w:spacing w:val="0"/>
          <w:sz w:val="22"/>
        </w:rPr>
        <w:t xml:space="preserve">Indicador global de la actividad económica durante </w:t>
      </w:r>
      <w:r>
        <w:rPr>
          <w:rFonts w:cs="Arial"/>
          <w:smallCaps/>
          <w:color w:val="auto"/>
          <w:spacing w:val="0"/>
          <w:sz w:val="22"/>
        </w:rPr>
        <w:t>junio de 2021</w:t>
      </w:r>
    </w:p>
    <w:p w14:paraId="57EC3F4F" w14:textId="77777777" w:rsidR="003C218A" w:rsidRPr="0082401B" w:rsidRDefault="003C218A" w:rsidP="003C218A">
      <w:pPr>
        <w:pStyle w:val="bullet"/>
        <w:keepLines w:val="0"/>
        <w:spacing w:before="0" w:after="0"/>
        <w:ind w:left="0" w:right="0" w:firstLine="0"/>
        <w:jc w:val="center"/>
        <w:rPr>
          <w:rFonts w:cs="Arial"/>
          <w:smallCaps/>
          <w:color w:val="auto"/>
          <w:spacing w:val="0"/>
          <w:sz w:val="22"/>
        </w:rPr>
      </w:pPr>
      <w:r w:rsidRPr="0082401B">
        <w:rPr>
          <w:rFonts w:cs="Arial"/>
          <w:smallCaps/>
          <w:color w:val="auto"/>
          <w:spacing w:val="0"/>
          <w:sz w:val="22"/>
        </w:rPr>
        <w:t xml:space="preserve">Cifras desestacionalizadas por grandes grupos de actividades económicas </w:t>
      </w:r>
    </w:p>
    <w:tbl>
      <w:tblPr>
        <w:tblStyle w:val="Tablaconcuadrcula"/>
        <w:tblW w:w="0" w:type="auto"/>
        <w:jc w:val="center"/>
        <w:tblBorders>
          <w:top w:val="double" w:sz="4" w:space="0" w:color="auto"/>
          <w:left w:val="double" w:sz="4" w:space="0" w:color="auto"/>
          <w:bottom w:val="double" w:sz="4" w:space="0" w:color="auto"/>
          <w:right w:val="double" w:sz="4" w:space="0" w:color="auto"/>
          <w:insideH w:val="none" w:sz="0" w:space="0" w:color="auto"/>
          <w:insideV w:val="single" w:sz="4" w:space="0" w:color="000000"/>
        </w:tblBorders>
        <w:tblLook w:val="04A0" w:firstRow="1" w:lastRow="0" w:firstColumn="1" w:lastColumn="0" w:noHBand="0" w:noVBand="1"/>
      </w:tblPr>
      <w:tblGrid>
        <w:gridCol w:w="2977"/>
        <w:gridCol w:w="2268"/>
        <w:gridCol w:w="2410"/>
      </w:tblGrid>
      <w:tr w:rsidR="003C218A" w14:paraId="0FDCB090" w14:textId="77777777" w:rsidTr="006A01E5">
        <w:trPr>
          <w:jc w:val="center"/>
        </w:trPr>
        <w:tc>
          <w:tcPr>
            <w:tcW w:w="2977" w:type="dxa"/>
            <w:tcBorders>
              <w:top w:val="double" w:sz="4" w:space="0" w:color="auto"/>
              <w:left w:val="double" w:sz="4" w:space="0" w:color="auto"/>
              <w:bottom w:val="single" w:sz="4" w:space="0" w:color="auto"/>
              <w:right w:val="single" w:sz="4" w:space="0" w:color="000000"/>
            </w:tcBorders>
            <w:shd w:val="clear" w:color="auto" w:fill="D6E3BC" w:themeFill="accent3" w:themeFillTint="66"/>
            <w:vAlign w:val="center"/>
            <w:hideMark/>
          </w:tcPr>
          <w:p w14:paraId="1D459AA9" w14:textId="77777777" w:rsidR="003C218A" w:rsidRPr="008F66F2" w:rsidRDefault="003C218A" w:rsidP="006A01E5">
            <w:pPr>
              <w:pStyle w:val="p0"/>
              <w:spacing w:before="60" w:after="60"/>
              <w:jc w:val="center"/>
              <w:rPr>
                <w:rFonts w:ascii="Arial" w:hAnsi="Arial"/>
                <w:b/>
                <w:color w:val="000000" w:themeColor="text1"/>
                <w:sz w:val="16"/>
              </w:rPr>
            </w:pPr>
            <w:r w:rsidRPr="008F66F2">
              <w:rPr>
                <w:rFonts w:ascii="Arial" w:hAnsi="Arial"/>
                <w:b/>
                <w:color w:val="000000" w:themeColor="text1"/>
                <w:sz w:val="16"/>
              </w:rPr>
              <w:t>Actividades</w:t>
            </w:r>
          </w:p>
        </w:tc>
        <w:tc>
          <w:tcPr>
            <w:tcW w:w="2268" w:type="dxa"/>
            <w:tcBorders>
              <w:top w:val="double" w:sz="4" w:space="0" w:color="auto"/>
              <w:left w:val="single" w:sz="4" w:space="0" w:color="000000"/>
              <w:bottom w:val="single" w:sz="4" w:space="0" w:color="auto"/>
              <w:right w:val="single" w:sz="4" w:space="0" w:color="000000"/>
            </w:tcBorders>
            <w:shd w:val="clear" w:color="auto" w:fill="D6E3BC" w:themeFill="accent3" w:themeFillTint="66"/>
            <w:vAlign w:val="center"/>
            <w:hideMark/>
          </w:tcPr>
          <w:p w14:paraId="124AFA86" w14:textId="77777777" w:rsidR="003C218A" w:rsidRPr="008F66F2" w:rsidRDefault="003C218A" w:rsidP="006A01E5">
            <w:pPr>
              <w:pStyle w:val="p0"/>
              <w:spacing w:before="60" w:after="60"/>
              <w:jc w:val="center"/>
              <w:rPr>
                <w:rFonts w:ascii="Arial" w:hAnsi="Arial"/>
                <w:b/>
                <w:color w:val="000000" w:themeColor="text1"/>
                <w:sz w:val="16"/>
              </w:rPr>
            </w:pPr>
            <w:r w:rsidRPr="008F66F2">
              <w:rPr>
                <w:rFonts w:ascii="Arial" w:hAnsi="Arial"/>
                <w:b/>
                <w:color w:val="000000" w:themeColor="text1"/>
                <w:sz w:val="16"/>
              </w:rPr>
              <w:t>Variación % real respecto al mes previo</w:t>
            </w:r>
          </w:p>
        </w:tc>
        <w:tc>
          <w:tcPr>
            <w:tcW w:w="2410" w:type="dxa"/>
            <w:tcBorders>
              <w:top w:val="double" w:sz="4" w:space="0" w:color="auto"/>
              <w:left w:val="single" w:sz="4" w:space="0" w:color="000000"/>
              <w:bottom w:val="single" w:sz="4" w:space="0" w:color="auto"/>
              <w:right w:val="double" w:sz="4" w:space="0" w:color="auto"/>
            </w:tcBorders>
            <w:shd w:val="clear" w:color="auto" w:fill="D6E3BC" w:themeFill="accent3" w:themeFillTint="66"/>
            <w:vAlign w:val="center"/>
            <w:hideMark/>
          </w:tcPr>
          <w:p w14:paraId="617991D6" w14:textId="77777777" w:rsidR="003C218A" w:rsidRPr="008F66F2" w:rsidRDefault="003C218A" w:rsidP="006A01E5">
            <w:pPr>
              <w:pStyle w:val="p0"/>
              <w:spacing w:before="60" w:after="60"/>
              <w:jc w:val="center"/>
              <w:rPr>
                <w:rFonts w:ascii="Arial" w:hAnsi="Arial"/>
                <w:b/>
                <w:color w:val="000000" w:themeColor="text1"/>
                <w:sz w:val="16"/>
              </w:rPr>
            </w:pPr>
            <w:r w:rsidRPr="008F66F2">
              <w:rPr>
                <w:rFonts w:ascii="Arial" w:hAnsi="Arial"/>
                <w:b/>
                <w:color w:val="000000" w:themeColor="text1"/>
                <w:sz w:val="16"/>
              </w:rPr>
              <w:t>Variación % real respecto a igual mes de 20</w:t>
            </w:r>
            <w:r>
              <w:rPr>
                <w:rFonts w:ascii="Arial" w:hAnsi="Arial"/>
                <w:b/>
                <w:color w:val="000000" w:themeColor="text1"/>
                <w:sz w:val="16"/>
              </w:rPr>
              <w:t>20</w:t>
            </w:r>
          </w:p>
        </w:tc>
      </w:tr>
      <w:tr w:rsidR="003C218A" w:rsidRPr="00F507D7" w14:paraId="72FE096B" w14:textId="77777777" w:rsidTr="006A01E5">
        <w:trPr>
          <w:jc w:val="center"/>
        </w:trPr>
        <w:tc>
          <w:tcPr>
            <w:tcW w:w="2977" w:type="dxa"/>
            <w:tcBorders>
              <w:top w:val="single" w:sz="4" w:space="0" w:color="auto"/>
              <w:left w:val="double" w:sz="4" w:space="0" w:color="auto"/>
              <w:bottom w:val="nil"/>
              <w:right w:val="single" w:sz="4" w:space="0" w:color="000000"/>
            </w:tcBorders>
            <w:vAlign w:val="center"/>
            <w:hideMark/>
          </w:tcPr>
          <w:p w14:paraId="206E346B" w14:textId="77777777" w:rsidR="003C218A" w:rsidRPr="00901570" w:rsidRDefault="003C218A" w:rsidP="006A01E5">
            <w:pPr>
              <w:pStyle w:val="p0"/>
              <w:spacing w:before="120"/>
              <w:ind w:left="161"/>
              <w:rPr>
                <w:rFonts w:ascii="Arial" w:hAnsi="Arial"/>
                <w:b/>
                <w:color w:val="auto"/>
                <w:sz w:val="18"/>
              </w:rPr>
            </w:pPr>
            <w:r w:rsidRPr="00901570">
              <w:rPr>
                <w:rFonts w:ascii="Arial" w:hAnsi="Arial"/>
                <w:b/>
                <w:color w:val="auto"/>
                <w:sz w:val="18"/>
                <w:szCs w:val="18"/>
              </w:rPr>
              <w:t>IGAE</w:t>
            </w:r>
          </w:p>
        </w:tc>
        <w:tc>
          <w:tcPr>
            <w:tcW w:w="2268" w:type="dxa"/>
            <w:tcBorders>
              <w:top w:val="single" w:sz="4" w:space="0" w:color="auto"/>
              <w:left w:val="single" w:sz="4" w:space="0" w:color="000000"/>
              <w:bottom w:val="nil"/>
              <w:right w:val="single" w:sz="4" w:space="0" w:color="000000"/>
            </w:tcBorders>
            <w:vAlign w:val="center"/>
            <w:hideMark/>
          </w:tcPr>
          <w:p w14:paraId="3EDDB7E0" w14:textId="77777777" w:rsidR="003C218A" w:rsidRPr="00305115" w:rsidRDefault="003C218A" w:rsidP="006A01E5">
            <w:pPr>
              <w:pStyle w:val="p0"/>
              <w:spacing w:before="120"/>
              <w:ind w:right="907"/>
              <w:jc w:val="right"/>
              <w:rPr>
                <w:rFonts w:ascii="Arial" w:hAnsi="Arial"/>
                <w:b/>
                <w:color w:val="auto"/>
                <w:sz w:val="18"/>
              </w:rPr>
            </w:pPr>
            <w:r w:rsidRPr="00305115">
              <w:rPr>
                <w:rFonts w:ascii="Arial" w:hAnsi="Arial"/>
                <w:b/>
                <w:color w:val="auto"/>
                <w:sz w:val="18"/>
              </w:rPr>
              <w:t xml:space="preserve">  </w:t>
            </w:r>
            <w:r>
              <w:rPr>
                <w:rFonts w:ascii="Arial" w:hAnsi="Arial"/>
                <w:b/>
                <w:color w:val="auto"/>
                <w:sz w:val="18"/>
              </w:rPr>
              <w:t>(-</w:t>
            </w:r>
            <w:proofErr w:type="gramStart"/>
            <w:r>
              <w:rPr>
                <w:rFonts w:ascii="Arial" w:hAnsi="Arial"/>
                <w:b/>
                <w:color w:val="auto"/>
                <w:sz w:val="18"/>
              </w:rPr>
              <w:t xml:space="preserve">) </w:t>
            </w:r>
            <w:r w:rsidRPr="00305115">
              <w:rPr>
                <w:rFonts w:ascii="Arial" w:hAnsi="Arial"/>
                <w:b/>
                <w:color w:val="auto"/>
                <w:sz w:val="18"/>
              </w:rPr>
              <w:t xml:space="preserve"> 0</w:t>
            </w:r>
            <w:proofErr w:type="gramEnd"/>
            <w:r w:rsidRPr="00305115">
              <w:rPr>
                <w:rFonts w:ascii="Arial" w:hAnsi="Arial"/>
                <w:b/>
                <w:color w:val="auto"/>
                <w:sz w:val="18"/>
              </w:rPr>
              <w:t>.</w:t>
            </w:r>
            <w:r>
              <w:rPr>
                <w:rFonts w:ascii="Arial" w:hAnsi="Arial"/>
                <w:b/>
                <w:color w:val="auto"/>
                <w:sz w:val="18"/>
              </w:rPr>
              <w:t>9</w:t>
            </w:r>
          </w:p>
        </w:tc>
        <w:tc>
          <w:tcPr>
            <w:tcW w:w="2410" w:type="dxa"/>
            <w:tcBorders>
              <w:top w:val="single" w:sz="4" w:space="0" w:color="auto"/>
              <w:left w:val="single" w:sz="4" w:space="0" w:color="000000"/>
              <w:bottom w:val="nil"/>
              <w:right w:val="double" w:sz="4" w:space="0" w:color="auto"/>
            </w:tcBorders>
            <w:vAlign w:val="center"/>
            <w:hideMark/>
          </w:tcPr>
          <w:p w14:paraId="5AE3DF65" w14:textId="77777777" w:rsidR="003C218A" w:rsidRPr="00305115" w:rsidRDefault="003C218A" w:rsidP="006A01E5">
            <w:pPr>
              <w:pStyle w:val="p0"/>
              <w:spacing w:before="120"/>
              <w:ind w:right="964"/>
              <w:jc w:val="right"/>
              <w:rPr>
                <w:rFonts w:ascii="Arial" w:hAnsi="Arial"/>
                <w:b/>
                <w:color w:val="auto"/>
                <w:sz w:val="18"/>
              </w:rPr>
            </w:pPr>
            <w:r>
              <w:rPr>
                <w:rFonts w:ascii="Arial" w:hAnsi="Arial"/>
                <w:b/>
                <w:color w:val="auto"/>
                <w:sz w:val="18"/>
              </w:rPr>
              <w:t>1</w:t>
            </w:r>
            <w:r w:rsidRPr="00305115">
              <w:rPr>
                <w:rFonts w:ascii="Arial" w:hAnsi="Arial"/>
                <w:b/>
                <w:color w:val="auto"/>
                <w:sz w:val="18"/>
              </w:rPr>
              <w:t>3</w:t>
            </w:r>
            <w:r>
              <w:rPr>
                <w:rFonts w:ascii="Arial" w:hAnsi="Arial"/>
                <w:b/>
                <w:color w:val="auto"/>
                <w:sz w:val="18"/>
              </w:rPr>
              <w:t>.4</w:t>
            </w:r>
          </w:p>
        </w:tc>
      </w:tr>
      <w:tr w:rsidR="003C218A" w:rsidRPr="00F507D7" w14:paraId="6FFD8537" w14:textId="77777777" w:rsidTr="006A01E5">
        <w:trPr>
          <w:jc w:val="center"/>
        </w:trPr>
        <w:tc>
          <w:tcPr>
            <w:tcW w:w="2977" w:type="dxa"/>
            <w:tcBorders>
              <w:top w:val="nil"/>
              <w:left w:val="double" w:sz="4" w:space="0" w:color="auto"/>
              <w:bottom w:val="nil"/>
              <w:right w:val="single" w:sz="4" w:space="0" w:color="000000"/>
            </w:tcBorders>
            <w:vAlign w:val="center"/>
            <w:hideMark/>
          </w:tcPr>
          <w:p w14:paraId="16BC4503" w14:textId="77777777" w:rsidR="003C218A" w:rsidRPr="00901570" w:rsidRDefault="003C218A" w:rsidP="006A01E5">
            <w:pPr>
              <w:pStyle w:val="p0"/>
              <w:spacing w:before="120"/>
              <w:ind w:left="171"/>
              <w:jc w:val="left"/>
              <w:rPr>
                <w:rFonts w:ascii="Arial" w:hAnsi="Arial"/>
                <w:color w:val="auto"/>
                <w:sz w:val="18"/>
              </w:rPr>
            </w:pPr>
            <w:r w:rsidRPr="00901570">
              <w:rPr>
                <w:rFonts w:ascii="Arial" w:hAnsi="Arial"/>
                <w:color w:val="auto"/>
                <w:sz w:val="18"/>
              </w:rPr>
              <w:t>Actividades Primarias</w:t>
            </w:r>
          </w:p>
        </w:tc>
        <w:tc>
          <w:tcPr>
            <w:tcW w:w="2268" w:type="dxa"/>
            <w:tcBorders>
              <w:top w:val="nil"/>
              <w:left w:val="single" w:sz="4" w:space="0" w:color="000000"/>
              <w:bottom w:val="nil"/>
              <w:right w:val="single" w:sz="4" w:space="0" w:color="000000"/>
            </w:tcBorders>
            <w:vAlign w:val="center"/>
            <w:hideMark/>
          </w:tcPr>
          <w:p w14:paraId="4FB0305F" w14:textId="77777777" w:rsidR="003C218A" w:rsidRPr="00305115" w:rsidRDefault="003C218A" w:rsidP="006A01E5">
            <w:pPr>
              <w:pStyle w:val="p0"/>
              <w:spacing w:before="120"/>
              <w:ind w:right="907"/>
              <w:jc w:val="right"/>
              <w:rPr>
                <w:rFonts w:ascii="Arial" w:hAnsi="Arial"/>
                <w:color w:val="auto"/>
                <w:sz w:val="18"/>
              </w:rPr>
            </w:pPr>
            <w:r>
              <w:rPr>
                <w:rFonts w:ascii="Arial" w:hAnsi="Arial"/>
                <w:color w:val="auto"/>
                <w:sz w:val="18"/>
              </w:rPr>
              <w:t>(-</w:t>
            </w:r>
            <w:proofErr w:type="gramStart"/>
            <w:r>
              <w:rPr>
                <w:rFonts w:ascii="Arial" w:hAnsi="Arial"/>
                <w:color w:val="auto"/>
                <w:sz w:val="18"/>
              </w:rPr>
              <w:t>)</w:t>
            </w:r>
            <w:r w:rsidRPr="00305115">
              <w:rPr>
                <w:rFonts w:ascii="Arial" w:hAnsi="Arial"/>
                <w:color w:val="auto"/>
                <w:sz w:val="18"/>
              </w:rPr>
              <w:t xml:space="preserve">  </w:t>
            </w:r>
            <w:r>
              <w:rPr>
                <w:rFonts w:ascii="Arial" w:hAnsi="Arial"/>
                <w:color w:val="auto"/>
                <w:sz w:val="18"/>
              </w:rPr>
              <w:t>4</w:t>
            </w:r>
            <w:proofErr w:type="gramEnd"/>
            <w:r w:rsidRPr="00305115">
              <w:rPr>
                <w:rFonts w:ascii="Arial" w:hAnsi="Arial"/>
                <w:color w:val="auto"/>
                <w:sz w:val="18"/>
              </w:rPr>
              <w:t>.4</w:t>
            </w:r>
          </w:p>
        </w:tc>
        <w:tc>
          <w:tcPr>
            <w:tcW w:w="2410" w:type="dxa"/>
            <w:tcBorders>
              <w:top w:val="nil"/>
              <w:left w:val="single" w:sz="4" w:space="0" w:color="000000"/>
              <w:bottom w:val="nil"/>
              <w:right w:val="double" w:sz="4" w:space="0" w:color="auto"/>
            </w:tcBorders>
            <w:vAlign w:val="center"/>
            <w:hideMark/>
          </w:tcPr>
          <w:p w14:paraId="353C93C4" w14:textId="77777777" w:rsidR="003C218A" w:rsidRPr="00305115" w:rsidRDefault="003C218A" w:rsidP="006A01E5">
            <w:pPr>
              <w:pStyle w:val="p0"/>
              <w:spacing w:before="120"/>
              <w:ind w:right="964"/>
              <w:jc w:val="right"/>
              <w:rPr>
                <w:rFonts w:ascii="Arial" w:hAnsi="Arial"/>
                <w:color w:val="auto"/>
                <w:sz w:val="18"/>
              </w:rPr>
            </w:pPr>
            <w:r w:rsidRPr="00305115">
              <w:rPr>
                <w:rFonts w:ascii="Arial" w:hAnsi="Arial"/>
                <w:color w:val="auto"/>
                <w:sz w:val="18"/>
              </w:rPr>
              <w:t xml:space="preserve">    </w:t>
            </w:r>
            <w:r>
              <w:rPr>
                <w:rFonts w:ascii="Arial" w:hAnsi="Arial"/>
                <w:color w:val="auto"/>
                <w:sz w:val="18"/>
              </w:rPr>
              <w:t>8</w:t>
            </w:r>
            <w:r w:rsidRPr="00305115">
              <w:rPr>
                <w:rFonts w:ascii="Arial" w:hAnsi="Arial"/>
                <w:color w:val="auto"/>
                <w:sz w:val="18"/>
              </w:rPr>
              <w:t>.0</w:t>
            </w:r>
          </w:p>
        </w:tc>
      </w:tr>
      <w:tr w:rsidR="003C218A" w:rsidRPr="00F507D7" w14:paraId="63BE1686" w14:textId="77777777" w:rsidTr="006A01E5">
        <w:trPr>
          <w:jc w:val="center"/>
        </w:trPr>
        <w:tc>
          <w:tcPr>
            <w:tcW w:w="2977" w:type="dxa"/>
            <w:tcBorders>
              <w:top w:val="nil"/>
              <w:left w:val="double" w:sz="4" w:space="0" w:color="auto"/>
              <w:bottom w:val="nil"/>
              <w:right w:val="single" w:sz="4" w:space="0" w:color="000000"/>
            </w:tcBorders>
            <w:vAlign w:val="center"/>
            <w:hideMark/>
          </w:tcPr>
          <w:p w14:paraId="6BEC85F7" w14:textId="77777777" w:rsidR="003C218A" w:rsidRPr="00901570" w:rsidRDefault="003C218A" w:rsidP="006A01E5">
            <w:pPr>
              <w:pStyle w:val="p0"/>
              <w:spacing w:before="120"/>
              <w:ind w:left="171"/>
              <w:jc w:val="left"/>
              <w:rPr>
                <w:rFonts w:ascii="Arial" w:hAnsi="Arial"/>
                <w:color w:val="auto"/>
                <w:sz w:val="18"/>
              </w:rPr>
            </w:pPr>
            <w:r w:rsidRPr="00901570">
              <w:rPr>
                <w:rFonts w:ascii="Arial" w:hAnsi="Arial"/>
                <w:color w:val="auto"/>
                <w:sz w:val="18"/>
              </w:rPr>
              <w:t>Actividades Secundarias</w:t>
            </w:r>
          </w:p>
        </w:tc>
        <w:tc>
          <w:tcPr>
            <w:tcW w:w="2268" w:type="dxa"/>
            <w:tcBorders>
              <w:top w:val="nil"/>
              <w:left w:val="single" w:sz="4" w:space="0" w:color="000000"/>
              <w:bottom w:val="nil"/>
              <w:right w:val="single" w:sz="4" w:space="0" w:color="000000"/>
            </w:tcBorders>
            <w:vAlign w:val="center"/>
            <w:hideMark/>
          </w:tcPr>
          <w:p w14:paraId="6BDC3FA7" w14:textId="77777777" w:rsidR="003C218A" w:rsidRPr="00305115" w:rsidRDefault="003C218A" w:rsidP="006A01E5">
            <w:pPr>
              <w:pStyle w:val="p0"/>
              <w:spacing w:before="120"/>
              <w:ind w:right="907"/>
              <w:jc w:val="right"/>
              <w:rPr>
                <w:rFonts w:ascii="Arial" w:hAnsi="Arial"/>
                <w:color w:val="auto"/>
                <w:sz w:val="18"/>
              </w:rPr>
            </w:pPr>
            <w:r>
              <w:rPr>
                <w:rFonts w:ascii="Arial" w:hAnsi="Arial"/>
                <w:color w:val="auto"/>
                <w:sz w:val="18"/>
              </w:rPr>
              <w:t>(-</w:t>
            </w:r>
            <w:proofErr w:type="gramStart"/>
            <w:r>
              <w:rPr>
                <w:rFonts w:ascii="Arial" w:hAnsi="Arial"/>
                <w:color w:val="auto"/>
                <w:sz w:val="18"/>
              </w:rPr>
              <w:t>)</w:t>
            </w:r>
            <w:r w:rsidRPr="00305115">
              <w:rPr>
                <w:rFonts w:ascii="Arial" w:hAnsi="Arial"/>
                <w:color w:val="auto"/>
                <w:sz w:val="18"/>
              </w:rPr>
              <w:t xml:space="preserve">  0</w:t>
            </w:r>
            <w:proofErr w:type="gramEnd"/>
            <w:r w:rsidRPr="00305115">
              <w:rPr>
                <w:rFonts w:ascii="Arial" w:hAnsi="Arial"/>
                <w:color w:val="auto"/>
                <w:sz w:val="18"/>
              </w:rPr>
              <w:t>.</w:t>
            </w:r>
            <w:r>
              <w:rPr>
                <w:rFonts w:ascii="Arial" w:hAnsi="Arial"/>
                <w:color w:val="auto"/>
                <w:sz w:val="18"/>
              </w:rPr>
              <w:t>5</w:t>
            </w:r>
          </w:p>
        </w:tc>
        <w:tc>
          <w:tcPr>
            <w:tcW w:w="2410" w:type="dxa"/>
            <w:tcBorders>
              <w:top w:val="nil"/>
              <w:left w:val="single" w:sz="4" w:space="0" w:color="000000"/>
              <w:bottom w:val="nil"/>
              <w:right w:val="double" w:sz="4" w:space="0" w:color="auto"/>
            </w:tcBorders>
            <w:vAlign w:val="center"/>
            <w:hideMark/>
          </w:tcPr>
          <w:p w14:paraId="7B82CB4C" w14:textId="77777777" w:rsidR="003C218A" w:rsidRPr="00305115" w:rsidRDefault="003C218A" w:rsidP="006A01E5">
            <w:pPr>
              <w:pStyle w:val="p0"/>
              <w:spacing w:before="120"/>
              <w:ind w:right="964"/>
              <w:jc w:val="right"/>
              <w:rPr>
                <w:rFonts w:ascii="Arial" w:hAnsi="Arial"/>
                <w:color w:val="auto"/>
                <w:sz w:val="18"/>
              </w:rPr>
            </w:pPr>
            <w:r>
              <w:rPr>
                <w:rFonts w:ascii="Arial" w:hAnsi="Arial"/>
                <w:color w:val="auto"/>
                <w:sz w:val="18"/>
              </w:rPr>
              <w:t>1</w:t>
            </w:r>
            <w:r w:rsidRPr="00305115">
              <w:rPr>
                <w:rFonts w:ascii="Arial" w:hAnsi="Arial"/>
                <w:color w:val="auto"/>
                <w:sz w:val="18"/>
              </w:rPr>
              <w:t>3.6</w:t>
            </w:r>
          </w:p>
        </w:tc>
      </w:tr>
      <w:tr w:rsidR="003C218A" w:rsidRPr="00F507D7" w14:paraId="14D2C233" w14:textId="77777777" w:rsidTr="006A01E5">
        <w:trPr>
          <w:jc w:val="center"/>
        </w:trPr>
        <w:tc>
          <w:tcPr>
            <w:tcW w:w="2977" w:type="dxa"/>
            <w:tcBorders>
              <w:top w:val="nil"/>
              <w:left w:val="double" w:sz="4" w:space="0" w:color="auto"/>
              <w:bottom w:val="double" w:sz="4" w:space="0" w:color="auto"/>
              <w:right w:val="single" w:sz="4" w:space="0" w:color="000000"/>
            </w:tcBorders>
            <w:vAlign w:val="center"/>
            <w:hideMark/>
          </w:tcPr>
          <w:p w14:paraId="0E72EC86" w14:textId="77777777" w:rsidR="003C218A" w:rsidRPr="00901570" w:rsidRDefault="003C218A" w:rsidP="006A01E5">
            <w:pPr>
              <w:pStyle w:val="p0"/>
              <w:spacing w:before="120" w:after="120"/>
              <w:jc w:val="left"/>
              <w:rPr>
                <w:rFonts w:ascii="Arial" w:hAnsi="Arial"/>
                <w:color w:val="auto"/>
                <w:sz w:val="18"/>
              </w:rPr>
            </w:pPr>
            <w:r>
              <w:rPr>
                <w:rFonts w:ascii="Arial" w:hAnsi="Arial"/>
                <w:color w:val="auto"/>
                <w:sz w:val="18"/>
              </w:rPr>
              <w:t xml:space="preserve">   </w:t>
            </w:r>
            <w:r w:rsidRPr="00901570">
              <w:rPr>
                <w:rFonts w:ascii="Arial" w:hAnsi="Arial"/>
                <w:color w:val="auto"/>
                <w:sz w:val="18"/>
              </w:rPr>
              <w:t>Actividades Terciarias</w:t>
            </w:r>
          </w:p>
        </w:tc>
        <w:tc>
          <w:tcPr>
            <w:tcW w:w="2268" w:type="dxa"/>
            <w:tcBorders>
              <w:top w:val="nil"/>
              <w:left w:val="single" w:sz="4" w:space="0" w:color="000000"/>
              <w:bottom w:val="double" w:sz="4" w:space="0" w:color="auto"/>
              <w:right w:val="single" w:sz="4" w:space="0" w:color="000000"/>
            </w:tcBorders>
            <w:vAlign w:val="center"/>
            <w:hideMark/>
          </w:tcPr>
          <w:p w14:paraId="69E87BFC" w14:textId="77777777" w:rsidR="003C218A" w:rsidRPr="00305115" w:rsidRDefault="003C218A" w:rsidP="006A01E5">
            <w:pPr>
              <w:pStyle w:val="p0"/>
              <w:spacing w:before="120" w:after="120"/>
              <w:ind w:right="907"/>
              <w:jc w:val="right"/>
              <w:rPr>
                <w:rFonts w:ascii="Arial" w:hAnsi="Arial"/>
                <w:color w:val="auto"/>
                <w:sz w:val="18"/>
              </w:rPr>
            </w:pPr>
            <w:r>
              <w:rPr>
                <w:rFonts w:ascii="Arial" w:hAnsi="Arial"/>
                <w:color w:val="auto"/>
                <w:sz w:val="18"/>
              </w:rPr>
              <w:t>(-</w:t>
            </w:r>
            <w:proofErr w:type="gramStart"/>
            <w:r>
              <w:rPr>
                <w:rFonts w:ascii="Arial" w:hAnsi="Arial"/>
                <w:color w:val="auto"/>
                <w:sz w:val="18"/>
              </w:rPr>
              <w:t xml:space="preserve">)  </w:t>
            </w:r>
            <w:r w:rsidRPr="00305115">
              <w:rPr>
                <w:rFonts w:ascii="Arial" w:hAnsi="Arial"/>
                <w:color w:val="auto"/>
                <w:sz w:val="18"/>
              </w:rPr>
              <w:t>0</w:t>
            </w:r>
            <w:proofErr w:type="gramEnd"/>
            <w:r w:rsidRPr="00305115">
              <w:rPr>
                <w:rFonts w:ascii="Arial" w:hAnsi="Arial"/>
                <w:color w:val="auto"/>
                <w:sz w:val="18"/>
              </w:rPr>
              <w:t>.</w:t>
            </w:r>
            <w:r>
              <w:rPr>
                <w:rFonts w:ascii="Arial" w:hAnsi="Arial"/>
                <w:color w:val="auto"/>
                <w:sz w:val="18"/>
              </w:rPr>
              <w:t>7</w:t>
            </w:r>
          </w:p>
        </w:tc>
        <w:tc>
          <w:tcPr>
            <w:tcW w:w="2410" w:type="dxa"/>
            <w:tcBorders>
              <w:top w:val="nil"/>
              <w:left w:val="single" w:sz="4" w:space="0" w:color="000000"/>
              <w:bottom w:val="double" w:sz="4" w:space="0" w:color="auto"/>
              <w:right w:val="double" w:sz="4" w:space="0" w:color="auto"/>
            </w:tcBorders>
            <w:vAlign w:val="center"/>
            <w:hideMark/>
          </w:tcPr>
          <w:p w14:paraId="16E9724D" w14:textId="77777777" w:rsidR="003C218A" w:rsidRPr="00305115" w:rsidRDefault="003C218A" w:rsidP="006A01E5">
            <w:pPr>
              <w:pStyle w:val="p0"/>
              <w:spacing w:before="120" w:after="120"/>
              <w:ind w:right="964"/>
              <w:jc w:val="right"/>
              <w:rPr>
                <w:rFonts w:ascii="Arial" w:hAnsi="Arial"/>
                <w:color w:val="auto"/>
                <w:sz w:val="18"/>
              </w:rPr>
            </w:pPr>
            <w:r w:rsidRPr="00305115">
              <w:rPr>
                <w:rFonts w:ascii="Arial" w:hAnsi="Arial"/>
                <w:color w:val="auto"/>
                <w:sz w:val="18"/>
              </w:rPr>
              <w:t>1</w:t>
            </w:r>
            <w:r>
              <w:rPr>
                <w:rFonts w:ascii="Arial" w:hAnsi="Arial"/>
                <w:color w:val="auto"/>
                <w:sz w:val="18"/>
              </w:rPr>
              <w:t>3</w:t>
            </w:r>
            <w:r w:rsidRPr="00305115">
              <w:rPr>
                <w:rFonts w:ascii="Arial" w:hAnsi="Arial"/>
                <w:color w:val="auto"/>
                <w:sz w:val="18"/>
              </w:rPr>
              <w:t>.6</w:t>
            </w:r>
          </w:p>
        </w:tc>
      </w:tr>
    </w:tbl>
    <w:p w14:paraId="7470EA47" w14:textId="77777777" w:rsidR="003C218A" w:rsidRPr="0082401B" w:rsidRDefault="003C218A" w:rsidP="003C218A">
      <w:pPr>
        <w:ind w:left="709" w:right="729"/>
        <w:rPr>
          <w:sz w:val="16"/>
          <w:szCs w:val="16"/>
        </w:rPr>
      </w:pPr>
      <w:r w:rsidRPr="00901570">
        <w:rPr>
          <w:sz w:val="16"/>
          <w:szCs w:val="16"/>
        </w:rPr>
        <w:t>Nota: La serie desestacionalizada del IGAE</w:t>
      </w:r>
      <w:r w:rsidRPr="00901570">
        <w:rPr>
          <w:sz w:val="16"/>
        </w:rPr>
        <w:t xml:space="preserve"> se calcula de manera independiente a la de </w:t>
      </w:r>
      <w:r w:rsidRPr="0082401B">
        <w:rPr>
          <w:color w:val="000000" w:themeColor="text1"/>
          <w:sz w:val="16"/>
        </w:rPr>
        <w:t>sus componentes.</w:t>
      </w:r>
    </w:p>
    <w:p w14:paraId="2AD89823" w14:textId="77777777" w:rsidR="003C218A" w:rsidRPr="0082401B" w:rsidRDefault="003C218A" w:rsidP="003C218A">
      <w:pPr>
        <w:tabs>
          <w:tab w:val="num" w:pos="1843"/>
        </w:tabs>
        <w:spacing w:after="240"/>
        <w:ind w:left="709" w:right="729"/>
        <w:rPr>
          <w:lang w:val="es-MX"/>
        </w:rPr>
      </w:pPr>
      <w:r w:rsidRPr="0082401B">
        <w:rPr>
          <w:sz w:val="16"/>
          <w:szCs w:val="16"/>
        </w:rPr>
        <w:t>Fuente: INEGI.</w:t>
      </w:r>
    </w:p>
    <w:p w14:paraId="52513162" w14:textId="77777777" w:rsidR="003C218A" w:rsidRDefault="003C218A" w:rsidP="003C218A">
      <w:pPr>
        <w:pStyle w:val="bullet"/>
        <w:keepLines w:val="0"/>
        <w:spacing w:after="0"/>
        <w:ind w:left="0" w:right="0" w:firstLine="0"/>
        <w:jc w:val="center"/>
        <w:rPr>
          <w:rFonts w:cs="Arial"/>
          <w:smallCaps/>
          <w:color w:val="auto"/>
          <w:spacing w:val="0"/>
          <w:sz w:val="22"/>
        </w:rPr>
      </w:pPr>
    </w:p>
    <w:p w14:paraId="0FE05F10" w14:textId="77777777" w:rsidR="003C218A" w:rsidRDefault="003C218A" w:rsidP="003C218A">
      <w:pPr>
        <w:pStyle w:val="bullet"/>
        <w:keepLines w:val="0"/>
        <w:spacing w:after="0"/>
        <w:ind w:left="0" w:right="0" w:firstLine="0"/>
        <w:jc w:val="center"/>
        <w:rPr>
          <w:rFonts w:cs="Arial"/>
          <w:smallCaps/>
          <w:color w:val="auto"/>
          <w:spacing w:val="0"/>
          <w:sz w:val="22"/>
        </w:rPr>
      </w:pPr>
    </w:p>
    <w:p w14:paraId="2DAB8FDA" w14:textId="77777777" w:rsidR="003C218A" w:rsidRDefault="003C218A" w:rsidP="003C218A">
      <w:pPr>
        <w:spacing w:before="240"/>
        <w:ind w:left="-284" w:right="-547"/>
        <w:rPr>
          <w:b/>
          <w:i/>
          <w:lang w:val="es-MX"/>
        </w:rPr>
      </w:pPr>
      <w:r w:rsidRPr="005D6B95">
        <w:rPr>
          <w:b/>
          <w:i/>
          <w:lang w:val="es-MX"/>
        </w:rPr>
        <w:t>Nota al usuario</w:t>
      </w:r>
    </w:p>
    <w:p w14:paraId="29BA6A06" w14:textId="77777777" w:rsidR="003C218A" w:rsidRPr="00D467CB" w:rsidRDefault="003C218A" w:rsidP="003C218A">
      <w:pPr>
        <w:spacing w:before="240"/>
        <w:ind w:left="-284" w:right="-547"/>
      </w:pPr>
      <w:r w:rsidRPr="00D467CB">
        <w:t xml:space="preserve">Con base en los </w:t>
      </w:r>
      <w:r>
        <w:t>“</w:t>
      </w:r>
      <w:r w:rsidRPr="00D467CB">
        <w:t>Lineamientos de cambios a la información divulgada en las publicaciones estadísticas y geográficas del INEGI</w:t>
      </w:r>
      <w:r>
        <w:t>”</w:t>
      </w:r>
      <w:r w:rsidRPr="00D467CB">
        <w:t xml:space="preserve"> y que complementan las </w:t>
      </w:r>
      <w:r>
        <w:t>“</w:t>
      </w:r>
      <w:r w:rsidRPr="00D467CB">
        <w:t>Normas Especiales para la Divulgación de Datos</w:t>
      </w:r>
      <w:r>
        <w:t>”</w:t>
      </w:r>
      <w:r w:rsidRPr="00D467CB">
        <w:t xml:space="preserve"> del FMI, los resultados del Indicador </w:t>
      </w:r>
      <w:r>
        <w:t>Glob</w:t>
      </w:r>
      <w:r w:rsidRPr="00D467CB">
        <w:t xml:space="preserve">al de la Actividad </w:t>
      </w:r>
      <w:r>
        <w:t>Económica (IGAE)</w:t>
      </w:r>
      <w:r w:rsidRPr="00D467CB">
        <w:t xml:space="preserve"> incorporan la última información estadística disponible del año 2021. Como resultado de incorporar dicha información, se identifican diferencias en los niveles de los índices y variaciones que fueron oportunamente publicadas.</w:t>
      </w:r>
    </w:p>
    <w:p w14:paraId="6F823B1F" w14:textId="77777777" w:rsidR="003C218A" w:rsidRDefault="003C218A" w:rsidP="00106F93">
      <w:pPr>
        <w:spacing w:before="240"/>
        <w:ind w:left="-284" w:right="-547"/>
      </w:pPr>
      <w:r w:rsidRPr="00A87BA1">
        <w:t xml:space="preserve">La Tasa de No Respuesta en la captación de las Encuestas Económicas que se consideraron para la integración del IGAE </w:t>
      </w:r>
      <w:r>
        <w:t>c</w:t>
      </w:r>
      <w:r w:rsidRPr="00A87BA1">
        <w:t>omo lo son: Encuesta Nacional de Empresas Constructoras (ENEC),</w:t>
      </w:r>
      <w:r>
        <w:t xml:space="preserve"> </w:t>
      </w:r>
      <w:r w:rsidRPr="00A87BA1">
        <w:t>Encuesta Mensual de la Industria Manufacturera (EMIM), Encuesta Mensual sobre Empresas Comerciales (EMEC</w:t>
      </w:r>
      <w:r>
        <w:t>)</w:t>
      </w:r>
      <w:r w:rsidRPr="00061421">
        <w:t xml:space="preserve"> </w:t>
      </w:r>
      <w:r w:rsidRPr="00A87BA1">
        <w:t xml:space="preserve">y Encuesta Mensual de Servicios (EMS), </w:t>
      </w:r>
      <w:r w:rsidRPr="00061421">
        <w:t xml:space="preserve">en </w:t>
      </w:r>
      <w:r>
        <w:t xml:space="preserve">junio </w:t>
      </w:r>
      <w:r w:rsidRPr="00061421">
        <w:t>de 2021, registraron porcentajes apropiados de acuerdo con el diseño estadístico de las muestras</w:t>
      </w:r>
      <w:r>
        <w:t>;</w:t>
      </w:r>
      <w:r w:rsidRPr="00A87BA1">
        <w:t xml:space="preserve"> </w:t>
      </w:r>
      <w:r w:rsidRPr="00061421">
        <w:t xml:space="preserve">así como la </w:t>
      </w:r>
      <w:r>
        <w:t xml:space="preserve">captación de la </w:t>
      </w:r>
      <w:r w:rsidRPr="00061421">
        <w:t xml:space="preserve">Estadística de la Industria </w:t>
      </w:r>
      <w:proofErr w:type="spellStart"/>
      <w:r w:rsidRPr="00061421">
        <w:t>Minerometalúrgica</w:t>
      </w:r>
      <w:proofErr w:type="spellEnd"/>
      <w:r>
        <w:t xml:space="preserve"> (EIMM)</w:t>
      </w:r>
      <w:r w:rsidRPr="00061421">
        <w:t xml:space="preserve"> y los </w:t>
      </w:r>
      <w:r>
        <w:t>r</w:t>
      </w:r>
      <w:r w:rsidRPr="00061421">
        <w:t xml:space="preserve">egistros </w:t>
      </w:r>
      <w:r>
        <w:t>a</w:t>
      </w:r>
      <w:r w:rsidRPr="00061421">
        <w:t>dministrativos que difunde el Instituto</w:t>
      </w:r>
      <w:r>
        <w:t>.</w:t>
      </w:r>
    </w:p>
    <w:p w14:paraId="481E857C" w14:textId="2F964D89" w:rsidR="00092FF8" w:rsidRDefault="00092FF8">
      <w:pPr>
        <w:jc w:val="left"/>
        <w:rPr>
          <w:lang w:val="es-MX" w:eastAsia="es-MX"/>
        </w:rPr>
      </w:pPr>
      <w:r>
        <w:br w:type="page"/>
      </w:r>
    </w:p>
    <w:p w14:paraId="34294FBF" w14:textId="77777777" w:rsidR="003C218A" w:rsidRDefault="003C218A" w:rsidP="003C218A">
      <w:pPr>
        <w:pStyle w:val="Default"/>
        <w:spacing w:before="240" w:after="240"/>
        <w:ind w:left="-284" w:right="-547"/>
        <w:jc w:val="both"/>
        <w:rPr>
          <w:color w:val="auto"/>
        </w:rPr>
      </w:pPr>
    </w:p>
    <w:p w14:paraId="55F3BE89" w14:textId="77777777" w:rsidR="003C218A" w:rsidRPr="00A87BA1" w:rsidRDefault="003C218A" w:rsidP="00E86EEC">
      <w:pPr>
        <w:pStyle w:val="Default"/>
        <w:spacing w:before="100" w:beforeAutospacing="1" w:after="240"/>
        <w:ind w:left="-284" w:right="-547"/>
        <w:jc w:val="both"/>
        <w:rPr>
          <w:color w:val="auto"/>
        </w:rPr>
      </w:pPr>
      <w:r w:rsidRPr="00A87BA1">
        <w:rPr>
          <w:color w:val="auto"/>
        </w:rPr>
        <w:t>Para las actividades agropecuarias, de servicios financieros y del gobierno se complementa</w:t>
      </w:r>
      <w:r>
        <w:rPr>
          <w:color w:val="auto"/>
        </w:rPr>
        <w:t>ro</w:t>
      </w:r>
      <w:r w:rsidRPr="00A87BA1">
        <w:rPr>
          <w:color w:val="auto"/>
        </w:rPr>
        <w:t>n con otros registros administrativos provenientes de las Unidades del Estado que se recibieron oportunamente vía correo electrónico y captación por Internet, lo que permitió la generación de estadísticas con niveles altos de cobertura y precisión estadística, para su integración en el I</w:t>
      </w:r>
      <w:r>
        <w:rPr>
          <w:color w:val="auto"/>
        </w:rPr>
        <w:t>GAE</w:t>
      </w:r>
      <w:r w:rsidRPr="00A87BA1">
        <w:rPr>
          <w:color w:val="auto"/>
        </w:rPr>
        <w:t xml:space="preserve"> en el mes de referencia.</w:t>
      </w:r>
    </w:p>
    <w:p w14:paraId="02E17B78" w14:textId="77777777" w:rsidR="003C218A" w:rsidRDefault="003C218A" w:rsidP="003C218A">
      <w:pPr>
        <w:ind w:left="-284" w:right="-547" w:firstLine="284"/>
        <w:jc w:val="center"/>
        <w:rPr>
          <w:b/>
          <w:color w:val="000000"/>
        </w:rPr>
      </w:pPr>
    </w:p>
    <w:p w14:paraId="1F4A5B13" w14:textId="77777777" w:rsidR="003C218A" w:rsidRDefault="003C218A" w:rsidP="003C218A">
      <w:pPr>
        <w:ind w:firstLine="708"/>
        <w:jc w:val="center"/>
        <w:rPr>
          <w:b/>
          <w:color w:val="000000"/>
        </w:rPr>
      </w:pPr>
    </w:p>
    <w:p w14:paraId="0294AF64" w14:textId="77777777" w:rsidR="003C218A" w:rsidRDefault="003C218A" w:rsidP="003C218A">
      <w:pPr>
        <w:ind w:firstLine="708"/>
        <w:jc w:val="center"/>
        <w:rPr>
          <w:b/>
          <w:color w:val="000000"/>
        </w:rPr>
      </w:pPr>
      <w:r w:rsidRPr="003B1ACA">
        <w:rPr>
          <w:b/>
          <w:color w:val="000000"/>
        </w:rPr>
        <w:t>Se anexa Nota Técnica</w:t>
      </w:r>
    </w:p>
    <w:p w14:paraId="1D193E63" w14:textId="77777777" w:rsidR="003C218A" w:rsidRDefault="003C218A" w:rsidP="003C218A">
      <w:pPr>
        <w:ind w:firstLine="708"/>
        <w:jc w:val="center"/>
        <w:rPr>
          <w:b/>
          <w:color w:val="000000"/>
        </w:rPr>
      </w:pPr>
    </w:p>
    <w:p w14:paraId="6C7B1223" w14:textId="77777777" w:rsidR="003C218A" w:rsidRDefault="003C218A" w:rsidP="003C218A">
      <w:pPr>
        <w:ind w:firstLine="708"/>
        <w:jc w:val="center"/>
        <w:rPr>
          <w:b/>
          <w:color w:val="000000"/>
        </w:rPr>
      </w:pPr>
    </w:p>
    <w:p w14:paraId="4873C612" w14:textId="77777777" w:rsidR="003C218A" w:rsidRDefault="003C218A" w:rsidP="003C218A">
      <w:pPr>
        <w:ind w:firstLine="708"/>
        <w:jc w:val="center"/>
        <w:rPr>
          <w:b/>
          <w:color w:val="000000"/>
        </w:rPr>
      </w:pPr>
    </w:p>
    <w:p w14:paraId="1C827609" w14:textId="77777777" w:rsidR="003C218A" w:rsidRDefault="003C218A" w:rsidP="003C218A">
      <w:pPr>
        <w:ind w:firstLine="708"/>
        <w:jc w:val="center"/>
        <w:rPr>
          <w:b/>
          <w:color w:val="000000"/>
        </w:rPr>
      </w:pPr>
    </w:p>
    <w:p w14:paraId="53F6F469" w14:textId="77777777" w:rsidR="003C218A" w:rsidRDefault="003C218A" w:rsidP="003C218A">
      <w:pPr>
        <w:ind w:firstLine="708"/>
        <w:jc w:val="center"/>
        <w:rPr>
          <w:b/>
          <w:color w:val="000000"/>
        </w:rPr>
      </w:pPr>
    </w:p>
    <w:p w14:paraId="440B4260" w14:textId="77777777" w:rsidR="003C218A" w:rsidRDefault="003C218A" w:rsidP="003C218A">
      <w:pPr>
        <w:ind w:firstLine="708"/>
        <w:jc w:val="center"/>
        <w:rPr>
          <w:b/>
          <w:color w:val="000000"/>
        </w:rPr>
      </w:pPr>
    </w:p>
    <w:p w14:paraId="7EFE3BBB" w14:textId="77777777" w:rsidR="003C218A" w:rsidRDefault="003C218A" w:rsidP="003C218A">
      <w:pPr>
        <w:ind w:firstLine="708"/>
        <w:jc w:val="center"/>
        <w:rPr>
          <w:b/>
          <w:color w:val="000000"/>
        </w:rPr>
      </w:pPr>
    </w:p>
    <w:p w14:paraId="7A46737C" w14:textId="77777777" w:rsidR="003C218A" w:rsidRDefault="003C218A" w:rsidP="003C218A">
      <w:pPr>
        <w:ind w:firstLine="708"/>
        <w:jc w:val="center"/>
        <w:rPr>
          <w:b/>
          <w:color w:val="000000"/>
        </w:rPr>
      </w:pPr>
    </w:p>
    <w:p w14:paraId="7BC9544E" w14:textId="77777777" w:rsidR="003C218A" w:rsidRDefault="003C218A" w:rsidP="003C218A">
      <w:pPr>
        <w:ind w:firstLine="708"/>
        <w:jc w:val="center"/>
        <w:rPr>
          <w:b/>
          <w:color w:val="000000"/>
        </w:rPr>
      </w:pPr>
    </w:p>
    <w:p w14:paraId="75B422B4" w14:textId="77777777" w:rsidR="003C218A" w:rsidRDefault="003C218A" w:rsidP="003C218A">
      <w:pPr>
        <w:ind w:firstLine="708"/>
        <w:jc w:val="center"/>
        <w:rPr>
          <w:b/>
          <w:color w:val="000000"/>
        </w:rPr>
      </w:pPr>
    </w:p>
    <w:p w14:paraId="1AA442A9" w14:textId="77777777" w:rsidR="003C218A" w:rsidRDefault="003C218A" w:rsidP="003C218A">
      <w:pPr>
        <w:ind w:firstLine="708"/>
        <w:jc w:val="center"/>
        <w:rPr>
          <w:b/>
          <w:color w:val="000000"/>
        </w:rPr>
      </w:pPr>
    </w:p>
    <w:p w14:paraId="2A9E1D32" w14:textId="77777777" w:rsidR="003C218A" w:rsidRDefault="003C218A" w:rsidP="003C218A">
      <w:pPr>
        <w:ind w:firstLine="708"/>
        <w:jc w:val="center"/>
        <w:rPr>
          <w:b/>
          <w:color w:val="000000"/>
        </w:rPr>
      </w:pPr>
    </w:p>
    <w:p w14:paraId="0ED2CBCD" w14:textId="77777777" w:rsidR="003C218A" w:rsidRDefault="003C218A" w:rsidP="003C218A">
      <w:pPr>
        <w:ind w:firstLine="708"/>
        <w:jc w:val="center"/>
        <w:rPr>
          <w:b/>
          <w:color w:val="000000"/>
        </w:rPr>
      </w:pPr>
    </w:p>
    <w:p w14:paraId="47E139A2" w14:textId="77777777" w:rsidR="003C218A" w:rsidRDefault="003C218A" w:rsidP="003C218A">
      <w:pPr>
        <w:ind w:firstLine="708"/>
        <w:jc w:val="center"/>
        <w:rPr>
          <w:b/>
          <w:color w:val="000000"/>
        </w:rPr>
      </w:pPr>
    </w:p>
    <w:p w14:paraId="266CE49A" w14:textId="77777777" w:rsidR="003C218A" w:rsidRDefault="003C218A" w:rsidP="003C218A">
      <w:pPr>
        <w:ind w:firstLine="708"/>
        <w:jc w:val="center"/>
        <w:rPr>
          <w:b/>
          <w:color w:val="000000"/>
        </w:rPr>
      </w:pPr>
    </w:p>
    <w:p w14:paraId="3A8ABF3D" w14:textId="77777777" w:rsidR="003C218A" w:rsidRDefault="003C218A" w:rsidP="003C218A">
      <w:pPr>
        <w:ind w:firstLine="708"/>
        <w:jc w:val="center"/>
        <w:rPr>
          <w:b/>
          <w:color w:val="000000"/>
        </w:rPr>
      </w:pPr>
    </w:p>
    <w:p w14:paraId="77D75216" w14:textId="77777777" w:rsidR="003C218A" w:rsidRDefault="003C218A" w:rsidP="003C218A">
      <w:pPr>
        <w:ind w:firstLine="708"/>
        <w:jc w:val="center"/>
        <w:rPr>
          <w:b/>
          <w:color w:val="000000"/>
        </w:rPr>
      </w:pPr>
    </w:p>
    <w:p w14:paraId="1A750869" w14:textId="77777777" w:rsidR="003C218A" w:rsidRDefault="003C218A" w:rsidP="003C218A">
      <w:pPr>
        <w:ind w:firstLine="708"/>
        <w:jc w:val="center"/>
        <w:rPr>
          <w:b/>
          <w:color w:val="000000"/>
        </w:rPr>
      </w:pPr>
    </w:p>
    <w:p w14:paraId="16D065B6" w14:textId="77777777" w:rsidR="003C218A" w:rsidRDefault="003C218A" w:rsidP="003C218A">
      <w:pPr>
        <w:ind w:firstLine="708"/>
        <w:jc w:val="center"/>
        <w:rPr>
          <w:b/>
          <w:color w:val="000000"/>
        </w:rPr>
      </w:pPr>
    </w:p>
    <w:p w14:paraId="06707F2A" w14:textId="77777777" w:rsidR="003C218A" w:rsidRDefault="003C218A" w:rsidP="003C218A">
      <w:pPr>
        <w:ind w:firstLine="708"/>
        <w:jc w:val="center"/>
        <w:rPr>
          <w:b/>
          <w:color w:val="000000"/>
        </w:rPr>
      </w:pPr>
    </w:p>
    <w:p w14:paraId="24CB0FD4" w14:textId="77777777" w:rsidR="003C218A" w:rsidRDefault="003C218A" w:rsidP="003C218A">
      <w:pPr>
        <w:ind w:firstLine="708"/>
        <w:jc w:val="center"/>
        <w:rPr>
          <w:b/>
          <w:color w:val="000000"/>
        </w:rPr>
      </w:pPr>
    </w:p>
    <w:p w14:paraId="1D2AF9E1" w14:textId="77777777" w:rsidR="003C218A" w:rsidRPr="00086C10" w:rsidRDefault="003C218A" w:rsidP="003C218A">
      <w:pPr>
        <w:pStyle w:val="NormalWeb"/>
        <w:spacing w:before="0" w:beforeAutospacing="0" w:after="0" w:afterAutospacing="0"/>
        <w:ind w:left="-426" w:right="-518"/>
        <w:contextualSpacing/>
        <w:jc w:val="center"/>
        <w:rPr>
          <w:rFonts w:ascii="Arial" w:hAnsi="Arial" w:cs="Arial"/>
          <w:sz w:val="22"/>
          <w:szCs w:val="22"/>
        </w:rPr>
      </w:pPr>
    </w:p>
    <w:p w14:paraId="14C0F99E" w14:textId="77777777" w:rsidR="003C218A" w:rsidRDefault="003C218A" w:rsidP="003C218A">
      <w:pPr>
        <w:pStyle w:val="NormalWeb"/>
        <w:spacing w:before="240" w:beforeAutospacing="0" w:after="0" w:afterAutospacing="0"/>
        <w:ind w:left="-426" w:right="-518"/>
        <w:contextualSpacing/>
        <w:jc w:val="center"/>
        <w:rPr>
          <w:rFonts w:ascii="Arial" w:hAnsi="Arial" w:cs="Arial"/>
          <w:sz w:val="20"/>
          <w:szCs w:val="20"/>
        </w:rPr>
      </w:pPr>
    </w:p>
    <w:p w14:paraId="4A34E3CF" w14:textId="77777777" w:rsidR="003C218A" w:rsidRPr="00BE71CC" w:rsidRDefault="003C218A" w:rsidP="003C218A">
      <w:pPr>
        <w:pStyle w:val="NormalWeb"/>
        <w:spacing w:before="240" w:beforeAutospacing="0" w:after="0" w:afterAutospacing="0"/>
        <w:ind w:left="-426" w:right="-518"/>
        <w:contextualSpacing/>
        <w:jc w:val="center"/>
        <w:rPr>
          <w:rFonts w:ascii="Arial" w:hAnsi="Arial" w:cs="Arial"/>
          <w:sz w:val="22"/>
          <w:szCs w:val="22"/>
        </w:rPr>
      </w:pPr>
      <w:r w:rsidRPr="00BE71CC">
        <w:rPr>
          <w:rFonts w:ascii="Arial" w:hAnsi="Arial" w:cs="Arial"/>
          <w:sz w:val="22"/>
          <w:szCs w:val="22"/>
        </w:rPr>
        <w:t xml:space="preserve">Para consultas de medios y periodistas, contactar a: </w:t>
      </w:r>
      <w:hyperlink r:id="rId9" w:history="1">
        <w:r w:rsidRPr="00BE71CC">
          <w:rPr>
            <w:rStyle w:val="Hipervnculo"/>
            <w:rFonts w:ascii="Arial" w:hAnsi="Arial" w:cs="Arial"/>
            <w:sz w:val="22"/>
            <w:szCs w:val="22"/>
          </w:rPr>
          <w:t>comunicacionsocial@inegi.org.mx</w:t>
        </w:r>
      </w:hyperlink>
      <w:r w:rsidRPr="00BE71CC">
        <w:rPr>
          <w:rFonts w:ascii="Arial" w:hAnsi="Arial" w:cs="Arial"/>
          <w:sz w:val="22"/>
          <w:szCs w:val="22"/>
        </w:rPr>
        <w:t xml:space="preserve"> </w:t>
      </w:r>
    </w:p>
    <w:p w14:paraId="6A146BFD" w14:textId="77777777" w:rsidR="003C218A" w:rsidRPr="00BE71CC" w:rsidRDefault="003C218A" w:rsidP="003C218A">
      <w:pPr>
        <w:pStyle w:val="NormalWeb"/>
        <w:spacing w:before="0" w:beforeAutospacing="0" w:after="0" w:afterAutospacing="0"/>
        <w:ind w:left="-426" w:right="-518"/>
        <w:contextualSpacing/>
        <w:jc w:val="center"/>
        <w:rPr>
          <w:rFonts w:ascii="Arial" w:hAnsi="Arial" w:cs="Arial"/>
          <w:sz w:val="22"/>
          <w:szCs w:val="22"/>
        </w:rPr>
      </w:pPr>
      <w:r w:rsidRPr="00BE71CC">
        <w:rPr>
          <w:rFonts w:ascii="Arial" w:hAnsi="Arial" w:cs="Arial"/>
          <w:sz w:val="22"/>
          <w:szCs w:val="22"/>
        </w:rPr>
        <w:t xml:space="preserve">o llamar al teléfono (55) 52-78-10-00, </w:t>
      </w:r>
      <w:proofErr w:type="spellStart"/>
      <w:r w:rsidRPr="00BE71CC">
        <w:rPr>
          <w:rFonts w:ascii="Arial" w:hAnsi="Arial" w:cs="Arial"/>
          <w:sz w:val="22"/>
          <w:szCs w:val="22"/>
        </w:rPr>
        <w:t>exts</w:t>
      </w:r>
      <w:proofErr w:type="spellEnd"/>
      <w:r w:rsidRPr="00BE71CC">
        <w:rPr>
          <w:rFonts w:ascii="Arial" w:hAnsi="Arial" w:cs="Arial"/>
          <w:sz w:val="22"/>
          <w:szCs w:val="22"/>
        </w:rPr>
        <w:t>. 1134, 1260 y 1241.</w:t>
      </w:r>
    </w:p>
    <w:p w14:paraId="2C7FC96A" w14:textId="77777777" w:rsidR="003C218A" w:rsidRPr="00BE71CC" w:rsidRDefault="003C218A" w:rsidP="003C218A">
      <w:pPr>
        <w:ind w:left="-426" w:right="-518"/>
        <w:contextualSpacing/>
        <w:jc w:val="center"/>
        <w:rPr>
          <w:sz w:val="22"/>
          <w:szCs w:val="22"/>
        </w:rPr>
      </w:pPr>
    </w:p>
    <w:p w14:paraId="3D5EAEB1" w14:textId="77777777" w:rsidR="003C218A" w:rsidRPr="00BE71CC" w:rsidRDefault="003C218A" w:rsidP="003C218A">
      <w:pPr>
        <w:ind w:left="-426" w:right="-518"/>
        <w:contextualSpacing/>
        <w:jc w:val="center"/>
        <w:rPr>
          <w:sz w:val="22"/>
          <w:szCs w:val="22"/>
        </w:rPr>
      </w:pPr>
      <w:r w:rsidRPr="00BE71CC">
        <w:rPr>
          <w:sz w:val="22"/>
          <w:szCs w:val="22"/>
        </w:rPr>
        <w:t xml:space="preserve">Dirección de Atención a Medios / Dirección General Adjunta de Comunicación </w:t>
      </w:r>
    </w:p>
    <w:p w14:paraId="74608534" w14:textId="77777777" w:rsidR="003C218A" w:rsidRPr="00AA36AB" w:rsidRDefault="003C218A" w:rsidP="003C218A">
      <w:pPr>
        <w:ind w:left="-426" w:right="-518"/>
        <w:contextualSpacing/>
        <w:jc w:val="center"/>
        <w:rPr>
          <w:sz w:val="22"/>
          <w:szCs w:val="22"/>
        </w:rPr>
      </w:pPr>
    </w:p>
    <w:p w14:paraId="35E311FB" w14:textId="77777777" w:rsidR="003C218A" w:rsidRPr="003C537A" w:rsidRDefault="003C218A" w:rsidP="003C218A">
      <w:pPr>
        <w:ind w:left="-425" w:right="-516"/>
        <w:contextualSpacing/>
        <w:jc w:val="center"/>
        <w:rPr>
          <w:strike/>
          <w:sz w:val="8"/>
          <w:szCs w:val="8"/>
        </w:rPr>
      </w:pPr>
      <w:r w:rsidRPr="00FF1218">
        <w:rPr>
          <w:noProof/>
          <w:lang w:val="es-MX" w:eastAsia="es-MX"/>
        </w:rPr>
        <w:drawing>
          <wp:inline distT="0" distB="0" distL="0" distR="0" wp14:anchorId="44EE80D0" wp14:editId="0CD07838">
            <wp:extent cx="274320" cy="365760"/>
            <wp:effectExtent l="0" t="0" r="0" b="0"/>
            <wp:docPr id="10" name="Imagen 10"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4A0A8DA" wp14:editId="127A88FE">
            <wp:extent cx="365760" cy="365760"/>
            <wp:effectExtent l="0" t="0" r="0" b="0"/>
            <wp:docPr id="3" name="Imagen 3"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1E62AEE" wp14:editId="760997D7">
            <wp:extent cx="365760" cy="365760"/>
            <wp:effectExtent l="0" t="0" r="0"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91319D4" wp14:editId="1CD2BB33">
            <wp:extent cx="365760" cy="36576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B645D8E" wp14:editId="3465FC1C">
            <wp:extent cx="2286000" cy="274320"/>
            <wp:effectExtent l="0" t="0" r="0" b="0"/>
            <wp:docPr id="13" name="Imagen 1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33587D9" w14:textId="77777777" w:rsidR="003C218A" w:rsidRDefault="003C218A" w:rsidP="003C218A">
      <w:pPr>
        <w:pStyle w:val="NormalWeb"/>
        <w:spacing w:before="0" w:beforeAutospacing="0" w:after="0" w:afterAutospacing="0"/>
        <w:ind w:left="-426" w:right="-518"/>
        <w:contextualSpacing/>
        <w:jc w:val="center"/>
        <w:rPr>
          <w:rFonts w:ascii="Arial" w:hAnsi="Arial" w:cs="Arial"/>
          <w:sz w:val="18"/>
          <w:szCs w:val="18"/>
        </w:rPr>
      </w:pPr>
    </w:p>
    <w:p w14:paraId="17A97C7B" w14:textId="77777777" w:rsidR="003C218A" w:rsidRPr="00157C43" w:rsidRDefault="003C218A" w:rsidP="003C218A">
      <w:pPr>
        <w:pStyle w:val="bullet"/>
        <w:tabs>
          <w:tab w:val="left" w:pos="8789"/>
        </w:tabs>
        <w:spacing w:before="0"/>
        <w:ind w:left="0" w:right="51" w:firstLine="0"/>
        <w:jc w:val="center"/>
        <w:rPr>
          <w:rFonts w:cs="Arial"/>
          <w:szCs w:val="24"/>
        </w:rPr>
        <w:sectPr w:rsidR="003C218A" w:rsidRPr="00157C43" w:rsidSect="004C150C">
          <w:headerReference w:type="default" r:id="rId20"/>
          <w:footerReference w:type="default" r:id="rId21"/>
          <w:pgSz w:w="12240" w:h="15840" w:code="1"/>
          <w:pgMar w:top="1" w:right="1701" w:bottom="0" w:left="1588" w:header="510" w:footer="510" w:gutter="0"/>
          <w:cols w:space="720"/>
          <w:docGrid w:linePitch="272"/>
        </w:sectPr>
      </w:pPr>
    </w:p>
    <w:p w14:paraId="5C193CB2" w14:textId="2A789267" w:rsidR="003C218A" w:rsidRPr="00206945" w:rsidRDefault="003C218A" w:rsidP="00C133B9">
      <w:pPr>
        <w:tabs>
          <w:tab w:val="left" w:pos="8789"/>
        </w:tabs>
        <w:spacing w:before="360"/>
        <w:ind w:right="51"/>
        <w:jc w:val="center"/>
        <w:rPr>
          <w:b/>
        </w:rPr>
      </w:pPr>
      <w:r w:rsidRPr="00206945">
        <w:rPr>
          <w:b/>
        </w:rPr>
        <w:lastRenderedPageBreak/>
        <w:t>NOTA TÉCNICA</w:t>
      </w:r>
    </w:p>
    <w:p w14:paraId="58B858BF" w14:textId="77777777" w:rsidR="00C4005B" w:rsidRPr="00206945" w:rsidRDefault="00C4005B" w:rsidP="003C218A">
      <w:pPr>
        <w:tabs>
          <w:tab w:val="left" w:pos="8789"/>
        </w:tabs>
        <w:ind w:right="51"/>
        <w:jc w:val="center"/>
        <w:rPr>
          <w:b/>
        </w:rPr>
      </w:pPr>
    </w:p>
    <w:p w14:paraId="236D08E4" w14:textId="77777777" w:rsidR="0082401B" w:rsidRPr="00206945" w:rsidRDefault="0082401B" w:rsidP="0082401B">
      <w:pPr>
        <w:pStyle w:val="Profesin"/>
        <w:outlineLvl w:val="0"/>
        <w:rPr>
          <w:sz w:val="24"/>
          <w:szCs w:val="24"/>
          <w:lang w:val="es-MX"/>
        </w:rPr>
      </w:pPr>
      <w:r w:rsidRPr="00206945">
        <w:rPr>
          <w:sz w:val="24"/>
          <w:szCs w:val="24"/>
          <w:lang w:val="es-MX"/>
        </w:rPr>
        <w:t>INDICADOR GLOBAL DE LA ACTIVIDAD ECONÓMICA</w:t>
      </w:r>
      <w:r w:rsidR="00524FC0" w:rsidRPr="00206945">
        <w:rPr>
          <w:sz w:val="24"/>
          <w:szCs w:val="24"/>
          <w:vertAlign w:val="superscript"/>
        </w:rPr>
        <w:footnoteReference w:id="4"/>
      </w:r>
    </w:p>
    <w:p w14:paraId="28FACCD3" w14:textId="007A4667" w:rsidR="0082401B" w:rsidRPr="00206945" w:rsidRDefault="0082401B" w:rsidP="0082401B">
      <w:pPr>
        <w:jc w:val="center"/>
        <w:rPr>
          <w:b/>
          <w:spacing w:val="25"/>
          <w:lang w:val="es-MX"/>
        </w:rPr>
      </w:pPr>
      <w:r w:rsidRPr="00206945">
        <w:rPr>
          <w:b/>
          <w:spacing w:val="25"/>
          <w:lang w:val="es-MX"/>
        </w:rPr>
        <w:t xml:space="preserve">DURANTE </w:t>
      </w:r>
      <w:r w:rsidR="00CA2CEB" w:rsidRPr="00206945">
        <w:rPr>
          <w:b/>
          <w:spacing w:val="25"/>
          <w:lang w:val="es-MX"/>
        </w:rPr>
        <w:t>JUNI</w:t>
      </w:r>
      <w:r w:rsidR="000A4EB4" w:rsidRPr="00206945">
        <w:rPr>
          <w:b/>
          <w:spacing w:val="25"/>
          <w:lang w:val="es-MX"/>
        </w:rPr>
        <w:t>O</w:t>
      </w:r>
      <w:r w:rsidR="00662155" w:rsidRPr="00206945">
        <w:rPr>
          <w:b/>
          <w:spacing w:val="25"/>
          <w:lang w:val="es-MX"/>
        </w:rPr>
        <w:t xml:space="preserve"> DE 20</w:t>
      </w:r>
      <w:r w:rsidR="00235F56" w:rsidRPr="00206945">
        <w:rPr>
          <w:b/>
          <w:spacing w:val="25"/>
          <w:lang w:val="es-MX"/>
        </w:rPr>
        <w:t>2</w:t>
      </w:r>
      <w:r w:rsidR="00C273F1" w:rsidRPr="00206945">
        <w:rPr>
          <w:b/>
          <w:spacing w:val="25"/>
          <w:lang w:val="es-MX"/>
        </w:rPr>
        <w:t>1</w:t>
      </w:r>
    </w:p>
    <w:p w14:paraId="389084C2" w14:textId="77777777" w:rsidR="0082401B" w:rsidRPr="00206945" w:rsidRDefault="0082401B" w:rsidP="0082401B">
      <w:pPr>
        <w:jc w:val="center"/>
        <w:rPr>
          <w:b/>
          <w:spacing w:val="25"/>
          <w:lang w:val="es-MX"/>
        </w:rPr>
      </w:pPr>
      <w:r w:rsidRPr="00206945">
        <w:rPr>
          <w:b/>
          <w:spacing w:val="25"/>
          <w:lang w:val="es-MX"/>
        </w:rPr>
        <w:t>(</w:t>
      </w:r>
      <w:r w:rsidRPr="00206945">
        <w:rPr>
          <w:b/>
          <w:i/>
          <w:spacing w:val="25"/>
          <w:lang w:val="es-MX"/>
        </w:rPr>
        <w:t>Cifras desestacionalizadas</w:t>
      </w:r>
      <w:r w:rsidRPr="00206945">
        <w:rPr>
          <w:b/>
          <w:spacing w:val="25"/>
          <w:lang w:val="es-MX"/>
        </w:rPr>
        <w:t>)</w:t>
      </w:r>
    </w:p>
    <w:p w14:paraId="1D59436E" w14:textId="77777777" w:rsidR="00635009" w:rsidRPr="00206945" w:rsidRDefault="00635009" w:rsidP="00635009">
      <w:pPr>
        <w:jc w:val="left"/>
        <w:rPr>
          <w:b/>
          <w:bCs/>
          <w:i/>
          <w:iCs/>
        </w:rPr>
      </w:pPr>
    </w:p>
    <w:p w14:paraId="461029C7" w14:textId="175AFA55" w:rsidR="00635009" w:rsidRDefault="00635009" w:rsidP="00635009">
      <w:pPr>
        <w:rPr>
          <w:lang w:val="es-MX"/>
        </w:rPr>
      </w:pPr>
      <w:r w:rsidRPr="0018374E">
        <w:rPr>
          <w:lang w:val="es-MX"/>
        </w:rPr>
        <w:t xml:space="preserve">El Instituto Nacional de Estadística y Geografía </w:t>
      </w:r>
      <w:r>
        <w:rPr>
          <w:lang w:val="es-MX"/>
        </w:rPr>
        <w:t xml:space="preserve">(INEGI) </w:t>
      </w:r>
      <w:r w:rsidRPr="0018374E">
        <w:rPr>
          <w:lang w:val="es-MX"/>
        </w:rPr>
        <w:t>informa</w:t>
      </w:r>
      <w:r>
        <w:rPr>
          <w:lang w:val="es-MX"/>
        </w:rPr>
        <w:t xml:space="preserve"> que,</w:t>
      </w:r>
      <w:r w:rsidRPr="0018374E">
        <w:rPr>
          <w:lang w:val="es-MX"/>
        </w:rPr>
        <w:t xml:space="preserve"> con base en </w:t>
      </w:r>
      <w:r>
        <w:rPr>
          <w:lang w:val="es-MX"/>
        </w:rPr>
        <w:t>datos desestacionalizado</w:t>
      </w:r>
      <w:r w:rsidRPr="0018374E">
        <w:rPr>
          <w:lang w:val="es-MX"/>
        </w:rPr>
        <w:t>s</w:t>
      </w:r>
      <w:r>
        <w:rPr>
          <w:lang w:val="es-MX"/>
        </w:rPr>
        <w:t xml:space="preserve">, </w:t>
      </w:r>
      <w:r w:rsidRPr="0018374E">
        <w:rPr>
          <w:lang w:val="es-MX"/>
        </w:rPr>
        <w:t xml:space="preserve">el Indicador Global de la Actividad Económica (IGAE) </w:t>
      </w:r>
      <w:r>
        <w:rPr>
          <w:lang w:val="es-MX"/>
        </w:rPr>
        <w:t>mostró un</w:t>
      </w:r>
      <w:r w:rsidR="009A6477">
        <w:rPr>
          <w:lang w:val="es-MX"/>
        </w:rPr>
        <w:t>a</w:t>
      </w:r>
      <w:r w:rsidR="00BE1BB2">
        <w:rPr>
          <w:lang w:val="es-MX"/>
        </w:rPr>
        <w:t xml:space="preserve"> </w:t>
      </w:r>
      <w:r w:rsidR="009A6477">
        <w:rPr>
          <w:lang w:val="es-MX"/>
        </w:rPr>
        <w:t>disminución</w:t>
      </w:r>
      <w:r w:rsidR="00332B03">
        <w:rPr>
          <w:lang w:val="es-MX"/>
        </w:rPr>
        <w:t xml:space="preserve"> de</w:t>
      </w:r>
      <w:r w:rsidR="00D04E66">
        <w:rPr>
          <w:lang w:val="es-MX"/>
        </w:rPr>
        <w:t xml:space="preserve"> </w:t>
      </w:r>
      <w:r w:rsidR="009A6477">
        <w:rPr>
          <w:lang w:val="es-MX"/>
        </w:rPr>
        <w:t>0.9</w:t>
      </w:r>
      <w:r w:rsidR="00292798">
        <w:rPr>
          <w:lang w:val="es-MX"/>
        </w:rPr>
        <w:t>%</w:t>
      </w:r>
      <w:r>
        <w:rPr>
          <w:lang w:val="es-MX"/>
        </w:rPr>
        <w:t xml:space="preserve"> en términos reales </w:t>
      </w:r>
      <w:r w:rsidRPr="005D7C37">
        <w:rPr>
          <w:lang w:val="es-MX"/>
        </w:rPr>
        <w:t>e</w:t>
      </w:r>
      <w:r>
        <w:rPr>
          <w:lang w:val="es-MX"/>
        </w:rPr>
        <w:t>n</w:t>
      </w:r>
      <w:r w:rsidRPr="005D7C37">
        <w:rPr>
          <w:lang w:val="es-MX"/>
        </w:rPr>
        <w:t xml:space="preserve"> </w:t>
      </w:r>
      <w:r>
        <w:rPr>
          <w:lang w:val="es-MX"/>
        </w:rPr>
        <w:t xml:space="preserve">el </w:t>
      </w:r>
      <w:r w:rsidR="00CA2CEB">
        <w:rPr>
          <w:lang w:val="es-MX"/>
        </w:rPr>
        <w:t>sex</w:t>
      </w:r>
      <w:r w:rsidR="00B96E7A">
        <w:rPr>
          <w:lang w:val="es-MX"/>
        </w:rPr>
        <w:t>to</w:t>
      </w:r>
      <w:r w:rsidR="007C1905">
        <w:rPr>
          <w:lang w:val="es-MX"/>
        </w:rPr>
        <w:t xml:space="preserve"> </w:t>
      </w:r>
      <w:r>
        <w:rPr>
          <w:lang w:val="es-MX"/>
        </w:rPr>
        <w:t>mes de</w:t>
      </w:r>
      <w:r w:rsidR="004F1A8B">
        <w:rPr>
          <w:lang w:val="es-MX"/>
        </w:rPr>
        <w:t xml:space="preserve">l año </w:t>
      </w:r>
      <w:r w:rsidR="00E616A2">
        <w:rPr>
          <w:lang w:val="es-MX"/>
        </w:rPr>
        <w:t>en curso</w:t>
      </w:r>
      <w:r w:rsidR="004F1A8B">
        <w:rPr>
          <w:lang w:val="es-MX"/>
        </w:rPr>
        <w:t xml:space="preserve"> </w:t>
      </w:r>
      <w:r>
        <w:rPr>
          <w:lang w:val="es-MX"/>
        </w:rPr>
        <w:t>con relación al mes inmediato anterior.</w:t>
      </w:r>
    </w:p>
    <w:p w14:paraId="751FA0DD" w14:textId="26BA1639" w:rsidR="00635009" w:rsidRPr="003B6473" w:rsidRDefault="00635009" w:rsidP="003D2A96">
      <w:pPr>
        <w:keepNext/>
        <w:keepLines/>
        <w:widowControl w:val="0"/>
        <w:spacing w:before="480"/>
        <w:jc w:val="center"/>
      </w:pPr>
      <w:r w:rsidRPr="00B90B81">
        <w:rPr>
          <w:color w:val="000000"/>
          <w:sz w:val="20"/>
          <w:lang w:val="es-MX"/>
        </w:rPr>
        <w:t>Gráfica 1</w:t>
      </w:r>
    </w:p>
    <w:p w14:paraId="596B3BDD" w14:textId="06938C2F" w:rsidR="00635009" w:rsidRDefault="00635009" w:rsidP="00635009">
      <w:pPr>
        <w:pStyle w:val="p02"/>
        <w:keepNext/>
        <w:widowControl w:val="0"/>
        <w:spacing w:before="0"/>
        <w:ind w:right="23"/>
        <w:jc w:val="center"/>
        <w:rPr>
          <w:rFonts w:ascii="Arial" w:hAnsi="Arial" w:cs="Arial"/>
          <w:b/>
          <w:smallCaps/>
          <w:color w:val="000000"/>
          <w:sz w:val="22"/>
          <w:szCs w:val="22"/>
          <w:lang w:val="es-MX"/>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r>
        <w:rPr>
          <w:rFonts w:ascii="Arial" w:hAnsi="Arial" w:cs="Arial"/>
          <w:b/>
          <w:smallCaps/>
          <w:color w:val="auto"/>
          <w:sz w:val="22"/>
        </w:rPr>
        <w:t xml:space="preserve"> a</w:t>
      </w:r>
      <w:r w:rsidR="00B96E7A">
        <w:rPr>
          <w:rFonts w:ascii="Arial" w:hAnsi="Arial" w:cs="Arial"/>
          <w:b/>
          <w:smallCaps/>
          <w:color w:val="auto"/>
          <w:sz w:val="22"/>
        </w:rPr>
        <w:t xml:space="preserve"> </w:t>
      </w:r>
      <w:r w:rsidR="00CA2CEB">
        <w:rPr>
          <w:rFonts w:ascii="Arial" w:hAnsi="Arial" w:cs="Arial"/>
          <w:b/>
          <w:smallCaps/>
          <w:color w:val="auto"/>
          <w:sz w:val="22"/>
        </w:rPr>
        <w:t>juni</w:t>
      </w:r>
      <w:r w:rsidR="000A4EB4">
        <w:rPr>
          <w:rFonts w:ascii="Arial" w:hAnsi="Arial" w:cs="Arial"/>
          <w:b/>
          <w:smallCaps/>
          <w:color w:val="auto"/>
          <w:sz w:val="22"/>
        </w:rPr>
        <w:t>o</w:t>
      </w:r>
      <w:r>
        <w:rPr>
          <w:rFonts w:ascii="Arial" w:hAnsi="Arial" w:cs="Arial"/>
          <w:b/>
          <w:smallCaps/>
          <w:color w:val="auto"/>
          <w:sz w:val="22"/>
        </w:rPr>
        <w:t xml:space="preserve"> </w:t>
      </w:r>
      <w:r>
        <w:rPr>
          <w:rFonts w:ascii="Arial" w:hAnsi="Arial" w:cs="Arial"/>
          <w:b/>
          <w:smallCaps/>
          <w:color w:val="000000"/>
          <w:sz w:val="22"/>
          <w:szCs w:val="22"/>
          <w:lang w:val="es-MX"/>
        </w:rPr>
        <w:t>de 202</w:t>
      </w:r>
      <w:r w:rsidR="00E616A2">
        <w:rPr>
          <w:rFonts w:ascii="Arial" w:hAnsi="Arial" w:cs="Arial"/>
          <w:b/>
          <w:smallCaps/>
          <w:color w:val="000000"/>
          <w:sz w:val="22"/>
          <w:szCs w:val="22"/>
          <w:lang w:val="es-MX"/>
        </w:rPr>
        <w:t>1</w:t>
      </w:r>
    </w:p>
    <w:p w14:paraId="01E4779D" w14:textId="77777777" w:rsidR="00635009" w:rsidRPr="00961776" w:rsidRDefault="00635009" w:rsidP="00635009">
      <w:pPr>
        <w:pStyle w:val="p02"/>
        <w:keepNext/>
        <w:widowControl w:val="0"/>
        <w:spacing w:before="0"/>
        <w:ind w:right="23"/>
        <w:jc w:val="center"/>
        <w:rPr>
          <w:rFonts w:ascii="Arial" w:hAnsi="Arial" w:cs="Arial"/>
          <w:b/>
          <w:smallCaps/>
          <w:color w:val="000000"/>
          <w:sz w:val="22"/>
          <w:lang w:val="es-MX"/>
        </w:rPr>
      </w:pPr>
      <w:r>
        <w:rPr>
          <w:rFonts w:ascii="Arial" w:hAnsi="Arial" w:cs="Arial"/>
          <w:b/>
          <w:smallCaps/>
          <w:color w:val="000000"/>
          <w:sz w:val="22"/>
          <w:lang w:val="es-MX"/>
        </w:rPr>
        <w:t>Series desestacionalizada</w:t>
      </w:r>
      <w:r w:rsidRPr="00961776">
        <w:rPr>
          <w:rFonts w:ascii="Arial" w:hAnsi="Arial" w:cs="Arial"/>
          <w:b/>
          <w:smallCaps/>
          <w:color w:val="000000"/>
          <w:sz w:val="22"/>
          <w:lang w:val="es-MX"/>
        </w:rPr>
        <w:t xml:space="preserve"> y </w:t>
      </w:r>
      <w:r>
        <w:rPr>
          <w:rFonts w:ascii="Arial" w:hAnsi="Arial" w:cs="Arial"/>
          <w:b/>
          <w:smallCaps/>
          <w:color w:val="000000"/>
          <w:sz w:val="22"/>
          <w:lang w:val="es-MX"/>
        </w:rPr>
        <w:t xml:space="preserve">de </w:t>
      </w:r>
      <w:r w:rsidRPr="00961776">
        <w:rPr>
          <w:rFonts w:ascii="Arial" w:hAnsi="Arial" w:cs="Arial"/>
          <w:b/>
          <w:smallCaps/>
          <w:color w:val="000000"/>
          <w:sz w:val="22"/>
          <w:lang w:val="es-MX"/>
        </w:rPr>
        <w:t>tendencia</w:t>
      </w:r>
      <w:r>
        <w:rPr>
          <w:rFonts w:ascii="Arial" w:hAnsi="Arial" w:cs="Arial"/>
          <w:b/>
          <w:smallCaps/>
          <w:color w:val="000000"/>
          <w:sz w:val="22"/>
          <w:lang w:val="es-MX"/>
        </w:rPr>
        <w:t>-ciclo</w:t>
      </w:r>
    </w:p>
    <w:p w14:paraId="34CD6BD9" w14:textId="77777777" w:rsidR="00635009" w:rsidRPr="009B388F" w:rsidRDefault="00635009" w:rsidP="00635009">
      <w:pPr>
        <w:pStyle w:val="p02"/>
        <w:keepNext/>
        <w:widowControl w:val="0"/>
        <w:spacing w:before="0"/>
        <w:ind w:right="21"/>
        <w:jc w:val="center"/>
        <w:rPr>
          <w:rFonts w:ascii="Arial" w:hAnsi="Arial" w:cs="Arial"/>
          <w:color w:val="auto"/>
          <w:sz w:val="18"/>
          <w:szCs w:val="18"/>
        </w:rPr>
      </w:pPr>
      <w:r w:rsidRPr="00961776">
        <w:rPr>
          <w:rFonts w:ascii="Arial" w:hAnsi="Arial" w:cs="Arial"/>
          <w:color w:val="000000"/>
          <w:sz w:val="18"/>
          <w:lang w:val="es-MX"/>
        </w:rPr>
        <w:t xml:space="preserve">(Índice </w:t>
      </w:r>
      <w:r>
        <w:rPr>
          <w:rFonts w:ascii="Arial" w:hAnsi="Arial" w:cs="Arial"/>
          <w:color w:val="000000"/>
          <w:sz w:val="18"/>
          <w:lang w:val="es-MX"/>
        </w:rPr>
        <w:t>2013</w:t>
      </w:r>
      <w:r w:rsidRPr="00961776">
        <w:rPr>
          <w:rFonts w:ascii="Arial" w:hAnsi="Arial" w:cs="Arial"/>
          <w:color w:val="000000"/>
          <w:sz w:val="18"/>
          <w:lang w:val="es-MX"/>
        </w:rPr>
        <w:t>=</w:t>
      </w:r>
      <w:r w:rsidRPr="009B388F">
        <w:rPr>
          <w:rFonts w:ascii="Arial" w:hAnsi="Arial" w:cs="Arial"/>
          <w:color w:val="000000"/>
          <w:sz w:val="18"/>
          <w:szCs w:val="18"/>
          <w:lang w:val="es-MX"/>
        </w:rPr>
        <w:t>100)</w:t>
      </w:r>
      <w:r w:rsidRPr="00EA03CA">
        <w:t xml:space="preserve"> </w:t>
      </w:r>
    </w:p>
    <w:p w14:paraId="47AF24F2" w14:textId="497E8258" w:rsidR="00635009" w:rsidRPr="000B1975" w:rsidRDefault="00EC4A3C" w:rsidP="00635009">
      <w:pPr>
        <w:pStyle w:val="p02"/>
        <w:keepLines w:val="0"/>
        <w:widowControl w:val="0"/>
        <w:spacing w:before="0"/>
        <w:ind w:right="21"/>
        <w:jc w:val="center"/>
        <w:rPr>
          <w:rFonts w:ascii="Arial" w:hAnsi="Arial" w:cs="Arial"/>
          <w:color w:val="000000"/>
          <w:sz w:val="18"/>
        </w:rPr>
      </w:pPr>
      <w:r>
        <w:rPr>
          <w:noProof/>
        </w:rPr>
        <w:drawing>
          <wp:inline distT="0" distB="0" distL="0" distR="0" wp14:anchorId="155B33C7" wp14:editId="1A57B140">
            <wp:extent cx="4680000" cy="2736000"/>
            <wp:effectExtent l="0" t="0" r="25400" b="26670"/>
            <wp:docPr id="2" name="Gráfico 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52942D7" w14:textId="77777777" w:rsidR="00635009" w:rsidRPr="00AA768F" w:rsidRDefault="00635009" w:rsidP="00635009">
      <w:pPr>
        <w:pStyle w:val="Textoindependiente"/>
        <w:tabs>
          <w:tab w:val="center" w:pos="1985"/>
          <w:tab w:val="left" w:pos="7949"/>
        </w:tabs>
        <w:spacing w:before="0"/>
        <w:ind w:left="1134" w:right="51"/>
        <w:jc w:val="left"/>
        <w:rPr>
          <w:b/>
          <w:smallCaps/>
          <w:color w:val="auto"/>
          <w:sz w:val="16"/>
          <w:szCs w:val="16"/>
        </w:rPr>
      </w:pPr>
      <w:r w:rsidRPr="00AA768F">
        <w:rPr>
          <w:color w:val="auto"/>
          <w:sz w:val="16"/>
          <w:szCs w:val="16"/>
        </w:rPr>
        <w:t>Fuente: INEGI.</w:t>
      </w:r>
      <w:r>
        <w:rPr>
          <w:color w:val="auto"/>
          <w:sz w:val="16"/>
          <w:szCs w:val="16"/>
        </w:rPr>
        <w:tab/>
      </w:r>
    </w:p>
    <w:p w14:paraId="3AF5ED4D" w14:textId="77777777" w:rsidR="00635009" w:rsidRPr="00AA768F" w:rsidRDefault="00635009" w:rsidP="00635009">
      <w:pPr>
        <w:rPr>
          <w:szCs w:val="16"/>
          <w:lang w:val="es-MX"/>
        </w:rPr>
      </w:pPr>
    </w:p>
    <w:p w14:paraId="50141344" w14:textId="28B77923" w:rsidR="009A6477" w:rsidRPr="009A6477" w:rsidRDefault="009A6477" w:rsidP="00C4005B">
      <w:pPr>
        <w:spacing w:before="240"/>
        <w:rPr>
          <w:lang w:val="es-MX"/>
        </w:rPr>
      </w:pPr>
      <w:r w:rsidRPr="009A6477">
        <w:rPr>
          <w:lang w:val="es-MX"/>
        </w:rPr>
        <w:t>Por grandes grupos de actividades, las Primarias descendieron 4.4%, las Terciarias 0.7% y las Secundarias cayeron 0.5% durante junio de 2021 frente al mes precedente.</w:t>
      </w:r>
    </w:p>
    <w:p w14:paraId="625C8AF2" w14:textId="091ECEFD" w:rsidR="00DD118E" w:rsidRDefault="00DD118E">
      <w:pPr>
        <w:jc w:val="left"/>
        <w:rPr>
          <w:color w:val="000000"/>
          <w:sz w:val="20"/>
          <w:lang w:val="es-MX"/>
        </w:rPr>
      </w:pPr>
    </w:p>
    <w:p w14:paraId="7DF77122" w14:textId="567A5019" w:rsidR="007E2646" w:rsidRDefault="007E2646">
      <w:pPr>
        <w:jc w:val="left"/>
        <w:rPr>
          <w:color w:val="000000"/>
          <w:sz w:val="20"/>
          <w:lang w:val="es-MX"/>
        </w:rPr>
      </w:pPr>
      <w:r>
        <w:rPr>
          <w:color w:val="000000"/>
          <w:sz w:val="20"/>
          <w:lang w:val="es-MX"/>
        </w:rPr>
        <w:br w:type="page"/>
      </w:r>
    </w:p>
    <w:p w14:paraId="21DA6466" w14:textId="7CEE7071" w:rsidR="00635009" w:rsidRPr="00022D8E" w:rsidRDefault="00635009" w:rsidP="00635009">
      <w:pPr>
        <w:spacing w:before="120"/>
        <w:ind w:left="3540" w:firstLine="708"/>
        <w:rPr>
          <w:szCs w:val="22"/>
        </w:rPr>
      </w:pPr>
      <w:r>
        <w:rPr>
          <w:color w:val="000000"/>
          <w:sz w:val="20"/>
          <w:lang w:val="es-MX"/>
        </w:rPr>
        <w:lastRenderedPageBreak/>
        <w:t>Grá</w:t>
      </w:r>
      <w:r w:rsidRPr="00E07EB7">
        <w:rPr>
          <w:color w:val="000000"/>
          <w:sz w:val="20"/>
          <w:lang w:val="es-MX"/>
        </w:rPr>
        <w:t>fica</w:t>
      </w:r>
      <w:r>
        <w:rPr>
          <w:color w:val="000000"/>
          <w:sz w:val="20"/>
          <w:lang w:val="es-MX"/>
        </w:rPr>
        <w:t xml:space="preserve"> 2</w:t>
      </w:r>
    </w:p>
    <w:p w14:paraId="524A5759" w14:textId="7A474C5F" w:rsidR="00635009" w:rsidRPr="001F1169" w:rsidRDefault="00635009" w:rsidP="00635009">
      <w:pPr>
        <w:pStyle w:val="Textoindependiente"/>
        <w:keepNext/>
        <w:keepLines/>
        <w:spacing w:before="0"/>
        <w:jc w:val="center"/>
        <w:rPr>
          <w:b/>
          <w:smallCaps/>
          <w:color w:val="auto"/>
          <w:sz w:val="22"/>
          <w:szCs w:val="22"/>
        </w:rPr>
      </w:pPr>
      <w:r w:rsidRPr="001F1169">
        <w:rPr>
          <w:b/>
          <w:smallCaps/>
          <w:color w:val="auto"/>
          <w:sz w:val="22"/>
          <w:szCs w:val="22"/>
        </w:rPr>
        <w:t xml:space="preserve">Actividades Primarias </w:t>
      </w:r>
      <w:r>
        <w:rPr>
          <w:b/>
          <w:smallCaps/>
          <w:color w:val="auto"/>
          <w:sz w:val="22"/>
          <w:szCs w:val="22"/>
        </w:rPr>
        <w:t>a</w:t>
      </w:r>
      <w:r w:rsidR="00B96E7A">
        <w:rPr>
          <w:b/>
          <w:smallCaps/>
          <w:color w:val="auto"/>
          <w:sz w:val="22"/>
          <w:szCs w:val="22"/>
        </w:rPr>
        <w:t xml:space="preserve"> </w:t>
      </w:r>
      <w:r w:rsidR="00CA2CEB">
        <w:rPr>
          <w:b/>
          <w:smallCaps/>
          <w:color w:val="auto"/>
          <w:sz w:val="22"/>
          <w:szCs w:val="22"/>
        </w:rPr>
        <w:t>juni</w:t>
      </w:r>
      <w:r w:rsidR="000A4EB4">
        <w:rPr>
          <w:b/>
          <w:smallCaps/>
          <w:color w:val="auto"/>
          <w:sz w:val="22"/>
          <w:szCs w:val="22"/>
        </w:rPr>
        <w:t>o</w:t>
      </w:r>
      <w:r>
        <w:rPr>
          <w:b/>
          <w:smallCaps/>
          <w:color w:val="auto"/>
          <w:sz w:val="22"/>
          <w:szCs w:val="22"/>
        </w:rPr>
        <w:t xml:space="preserve"> </w:t>
      </w:r>
      <w:r w:rsidRPr="001F1169">
        <w:rPr>
          <w:b/>
          <w:smallCaps/>
          <w:color w:val="auto"/>
          <w:sz w:val="22"/>
          <w:szCs w:val="22"/>
        </w:rPr>
        <w:t xml:space="preserve">de </w:t>
      </w:r>
      <w:r>
        <w:rPr>
          <w:b/>
          <w:smallCaps/>
          <w:color w:val="auto"/>
          <w:sz w:val="22"/>
          <w:szCs w:val="22"/>
        </w:rPr>
        <w:t>202</w:t>
      </w:r>
      <w:r w:rsidR="00E616A2">
        <w:rPr>
          <w:b/>
          <w:smallCaps/>
          <w:color w:val="auto"/>
          <w:sz w:val="22"/>
          <w:szCs w:val="22"/>
        </w:rPr>
        <w:t>1</w:t>
      </w:r>
    </w:p>
    <w:p w14:paraId="0905D750" w14:textId="77777777" w:rsidR="00635009" w:rsidRPr="001F1169" w:rsidRDefault="00635009" w:rsidP="00635009">
      <w:pPr>
        <w:pStyle w:val="Textoindependiente"/>
        <w:keepNext/>
        <w:keepLines/>
        <w:spacing w:before="0"/>
        <w:jc w:val="center"/>
        <w:rPr>
          <w:b/>
          <w:smallCaps/>
          <w:color w:val="auto"/>
          <w:sz w:val="22"/>
          <w:szCs w:val="22"/>
        </w:rPr>
      </w:pPr>
      <w:r w:rsidRPr="001F1169">
        <w:rPr>
          <w:b/>
          <w:smallCaps/>
          <w:color w:val="auto"/>
          <w:sz w:val="22"/>
          <w:szCs w:val="22"/>
        </w:rPr>
        <w:t>Series desestacionalizada y de tendencia-ciclo</w:t>
      </w:r>
    </w:p>
    <w:p w14:paraId="4021D3B5" w14:textId="77777777" w:rsidR="00635009" w:rsidRDefault="00635009" w:rsidP="00635009">
      <w:pPr>
        <w:pStyle w:val="p0"/>
        <w:keepNext/>
        <w:spacing w:before="0"/>
        <w:jc w:val="center"/>
        <w:rPr>
          <w:color w:val="000000"/>
          <w:sz w:val="18"/>
          <w:szCs w:val="18"/>
          <w:lang w:val="es-MX"/>
        </w:rPr>
      </w:pPr>
      <w:r w:rsidRPr="00961776">
        <w:rPr>
          <w:color w:val="000000"/>
          <w:sz w:val="18"/>
          <w:lang w:val="es-MX"/>
        </w:rPr>
        <w:t xml:space="preserve">(Índice </w:t>
      </w:r>
      <w:r>
        <w:rPr>
          <w:color w:val="000000"/>
          <w:sz w:val="18"/>
          <w:lang w:val="es-MX"/>
        </w:rPr>
        <w:t>2013</w:t>
      </w:r>
      <w:r w:rsidRPr="00961776">
        <w:rPr>
          <w:color w:val="000000"/>
          <w:sz w:val="18"/>
          <w:lang w:val="es-MX"/>
        </w:rPr>
        <w:t>=</w:t>
      </w:r>
      <w:r w:rsidRPr="009B388F">
        <w:rPr>
          <w:color w:val="000000"/>
          <w:sz w:val="18"/>
          <w:szCs w:val="18"/>
          <w:lang w:val="es-MX"/>
        </w:rPr>
        <w:t>100)</w:t>
      </w:r>
    </w:p>
    <w:p w14:paraId="6CC390B5" w14:textId="1595BF81" w:rsidR="00635009" w:rsidRPr="000509AF" w:rsidRDefault="00EC4A3C" w:rsidP="00635009">
      <w:pPr>
        <w:pStyle w:val="p0"/>
        <w:spacing w:before="0"/>
        <w:ind w:left="992" w:right="1021"/>
        <w:jc w:val="center"/>
        <w:rPr>
          <w:color w:val="auto"/>
        </w:rPr>
      </w:pPr>
      <w:r>
        <w:rPr>
          <w:noProof/>
        </w:rPr>
        <w:drawing>
          <wp:inline distT="0" distB="0" distL="0" distR="0" wp14:anchorId="2CE0724F" wp14:editId="33B1021B">
            <wp:extent cx="4680000" cy="2736000"/>
            <wp:effectExtent l="0" t="0" r="25400" b="26670"/>
            <wp:docPr id="6" name="Gráfico 6">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593544F" w14:textId="77777777" w:rsidR="00635009" w:rsidRPr="000509AF" w:rsidRDefault="00635009" w:rsidP="00635009">
      <w:pPr>
        <w:pStyle w:val="p0"/>
        <w:spacing w:before="0"/>
        <w:ind w:left="1276" w:right="1021"/>
        <w:jc w:val="left"/>
        <w:rPr>
          <w:rFonts w:ascii="Arial" w:hAnsi="Arial"/>
          <w:color w:val="auto"/>
          <w:sz w:val="16"/>
          <w:szCs w:val="16"/>
        </w:rPr>
      </w:pPr>
      <w:r w:rsidRPr="000509AF">
        <w:rPr>
          <w:rFonts w:ascii="Arial" w:hAnsi="Arial"/>
          <w:color w:val="auto"/>
          <w:sz w:val="16"/>
          <w:szCs w:val="16"/>
        </w:rPr>
        <w:t>Fuente: INEGI.</w:t>
      </w:r>
    </w:p>
    <w:p w14:paraId="20162B8D" w14:textId="77777777" w:rsidR="00635009" w:rsidRDefault="00635009" w:rsidP="00635009">
      <w:pPr>
        <w:ind w:left="2127"/>
        <w:jc w:val="left"/>
        <w:rPr>
          <w:sz w:val="16"/>
        </w:rPr>
      </w:pPr>
    </w:p>
    <w:p w14:paraId="0D917354" w14:textId="77777777" w:rsidR="00635009" w:rsidRDefault="00635009" w:rsidP="00635009">
      <w:pPr>
        <w:ind w:left="2127"/>
        <w:jc w:val="left"/>
        <w:rPr>
          <w:sz w:val="16"/>
        </w:rPr>
      </w:pPr>
    </w:p>
    <w:p w14:paraId="20020C59" w14:textId="77777777" w:rsidR="00635009" w:rsidRPr="000509AF" w:rsidRDefault="00635009" w:rsidP="00635009">
      <w:pPr>
        <w:pStyle w:val="Textoindependiente"/>
        <w:spacing w:before="360"/>
        <w:ind w:right="51"/>
        <w:jc w:val="center"/>
        <w:rPr>
          <w:b/>
          <w:smallCaps/>
          <w:color w:val="auto"/>
          <w:sz w:val="22"/>
          <w:szCs w:val="22"/>
        </w:rPr>
      </w:pPr>
      <w:r>
        <w:rPr>
          <w:color w:val="000000"/>
          <w:sz w:val="20"/>
          <w:lang w:val="es-MX"/>
        </w:rPr>
        <w:t>Grá</w:t>
      </w:r>
      <w:r w:rsidRPr="00E07EB7">
        <w:rPr>
          <w:color w:val="000000"/>
          <w:sz w:val="20"/>
          <w:lang w:val="es-MX"/>
        </w:rPr>
        <w:t>fica</w:t>
      </w:r>
      <w:r>
        <w:rPr>
          <w:color w:val="000000"/>
          <w:sz w:val="20"/>
          <w:lang w:val="es-MX"/>
        </w:rPr>
        <w:t xml:space="preserve"> 3</w:t>
      </w:r>
    </w:p>
    <w:p w14:paraId="09A079F8" w14:textId="1E4EAF6C" w:rsidR="00635009" w:rsidRPr="001F1169" w:rsidRDefault="00635009" w:rsidP="00635009">
      <w:pPr>
        <w:pStyle w:val="Textoindependiente"/>
        <w:spacing w:before="0"/>
        <w:jc w:val="center"/>
        <w:rPr>
          <w:b/>
          <w:smallCaps/>
          <w:color w:val="auto"/>
          <w:sz w:val="22"/>
          <w:szCs w:val="22"/>
        </w:rPr>
      </w:pPr>
      <w:r w:rsidRPr="001F1169">
        <w:rPr>
          <w:b/>
          <w:smallCaps/>
          <w:color w:val="auto"/>
          <w:sz w:val="22"/>
          <w:szCs w:val="22"/>
        </w:rPr>
        <w:t xml:space="preserve">Actividades Secundarias </w:t>
      </w:r>
      <w:r>
        <w:rPr>
          <w:b/>
          <w:smallCaps/>
          <w:color w:val="auto"/>
          <w:sz w:val="22"/>
          <w:szCs w:val="22"/>
        </w:rPr>
        <w:t>a</w:t>
      </w:r>
      <w:r w:rsidR="000A4EB4">
        <w:rPr>
          <w:b/>
          <w:smallCaps/>
          <w:color w:val="auto"/>
          <w:sz w:val="22"/>
          <w:szCs w:val="22"/>
        </w:rPr>
        <w:t xml:space="preserve"> </w:t>
      </w:r>
      <w:r w:rsidR="00CA2CEB">
        <w:rPr>
          <w:b/>
          <w:smallCaps/>
          <w:color w:val="auto"/>
          <w:sz w:val="22"/>
          <w:szCs w:val="22"/>
        </w:rPr>
        <w:t>juni</w:t>
      </w:r>
      <w:r w:rsidR="000A4EB4">
        <w:rPr>
          <w:b/>
          <w:smallCaps/>
          <w:color w:val="auto"/>
          <w:sz w:val="22"/>
          <w:szCs w:val="22"/>
        </w:rPr>
        <w:t>o</w:t>
      </w:r>
      <w:r>
        <w:rPr>
          <w:b/>
          <w:smallCaps/>
          <w:color w:val="auto"/>
          <w:sz w:val="22"/>
          <w:szCs w:val="22"/>
        </w:rPr>
        <w:t xml:space="preserve"> de 202</w:t>
      </w:r>
      <w:r w:rsidR="00E616A2">
        <w:rPr>
          <w:b/>
          <w:smallCaps/>
          <w:color w:val="auto"/>
          <w:sz w:val="22"/>
          <w:szCs w:val="22"/>
        </w:rPr>
        <w:t>1</w:t>
      </w:r>
    </w:p>
    <w:p w14:paraId="6C73C514" w14:textId="77777777" w:rsidR="00635009" w:rsidRPr="001F1169" w:rsidRDefault="00635009" w:rsidP="00635009">
      <w:pPr>
        <w:pStyle w:val="Textoindependiente"/>
        <w:spacing w:before="0"/>
        <w:ind w:right="51"/>
        <w:jc w:val="center"/>
        <w:rPr>
          <w:b/>
          <w:smallCaps/>
          <w:color w:val="auto"/>
          <w:sz w:val="22"/>
          <w:szCs w:val="22"/>
        </w:rPr>
      </w:pPr>
      <w:r w:rsidRPr="001F1169">
        <w:rPr>
          <w:b/>
          <w:smallCaps/>
          <w:color w:val="auto"/>
          <w:sz w:val="22"/>
          <w:szCs w:val="22"/>
        </w:rPr>
        <w:t>Series desestacionalizada y de tendencia-ciclo</w:t>
      </w:r>
    </w:p>
    <w:p w14:paraId="305C93FE" w14:textId="19106662" w:rsidR="00635009" w:rsidRPr="000509AF" w:rsidRDefault="00635009" w:rsidP="00635009">
      <w:pPr>
        <w:pStyle w:val="p0"/>
        <w:spacing w:before="0"/>
        <w:ind w:left="992" w:right="1021"/>
        <w:jc w:val="center"/>
        <w:rPr>
          <w:color w:val="auto"/>
        </w:rPr>
      </w:pPr>
      <w:r w:rsidRPr="00961776">
        <w:rPr>
          <w:color w:val="000000"/>
          <w:sz w:val="18"/>
          <w:lang w:val="es-MX"/>
        </w:rPr>
        <w:t xml:space="preserve">(Índice </w:t>
      </w:r>
      <w:r>
        <w:rPr>
          <w:color w:val="000000"/>
          <w:sz w:val="18"/>
          <w:lang w:val="es-MX"/>
        </w:rPr>
        <w:t>2013</w:t>
      </w:r>
      <w:r w:rsidRPr="00961776">
        <w:rPr>
          <w:color w:val="000000"/>
          <w:sz w:val="18"/>
          <w:lang w:val="es-MX"/>
        </w:rPr>
        <w:t>=</w:t>
      </w:r>
      <w:r w:rsidRPr="009B388F">
        <w:rPr>
          <w:color w:val="000000"/>
          <w:sz w:val="18"/>
          <w:szCs w:val="18"/>
          <w:lang w:val="es-MX"/>
        </w:rPr>
        <w:t>100)</w:t>
      </w:r>
      <w:r w:rsidRPr="00D67363">
        <w:rPr>
          <w:noProof/>
          <w:lang w:val="es-MX" w:eastAsia="es-MX"/>
        </w:rPr>
        <w:t xml:space="preserve"> </w:t>
      </w:r>
      <w:r w:rsidR="00EC4A3C">
        <w:rPr>
          <w:noProof/>
        </w:rPr>
        <w:drawing>
          <wp:inline distT="0" distB="0" distL="0" distR="0" wp14:anchorId="25347D38" wp14:editId="7C57EC38">
            <wp:extent cx="4680000" cy="2736000"/>
            <wp:effectExtent l="0" t="0" r="25400" b="26670"/>
            <wp:docPr id="7" name="Gráfico 7">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AA63756" w14:textId="77777777" w:rsidR="00635009" w:rsidRPr="00AA768F" w:rsidRDefault="00635009" w:rsidP="00635009">
      <w:pPr>
        <w:pStyle w:val="p0"/>
        <w:spacing w:before="0"/>
        <w:ind w:left="1276" w:right="1021"/>
        <w:rPr>
          <w:rFonts w:ascii="Arial" w:hAnsi="Arial"/>
          <w:color w:val="auto"/>
          <w:sz w:val="16"/>
          <w:szCs w:val="16"/>
        </w:rPr>
      </w:pPr>
      <w:r w:rsidRPr="00A613B7">
        <w:rPr>
          <w:rFonts w:ascii="Arial" w:hAnsi="Arial"/>
          <w:color w:val="auto"/>
          <w:sz w:val="16"/>
          <w:szCs w:val="16"/>
        </w:rPr>
        <w:t>Fuente</w:t>
      </w:r>
      <w:r w:rsidRPr="00AA768F">
        <w:rPr>
          <w:rFonts w:ascii="Arial" w:hAnsi="Arial"/>
          <w:color w:val="auto"/>
          <w:sz w:val="16"/>
          <w:szCs w:val="16"/>
        </w:rPr>
        <w:t>: INEGI.</w:t>
      </w:r>
    </w:p>
    <w:p w14:paraId="05A5C3B3" w14:textId="77777777" w:rsidR="00635009" w:rsidRDefault="00635009" w:rsidP="00635009">
      <w:pPr>
        <w:pStyle w:val="p0"/>
        <w:spacing w:before="0"/>
        <w:ind w:left="567"/>
        <w:jc w:val="center"/>
        <w:rPr>
          <w:rFonts w:ascii="Arial" w:hAnsi="Arial"/>
          <w:b/>
          <w:smallCaps/>
          <w:color w:val="auto"/>
          <w:sz w:val="22"/>
        </w:rPr>
      </w:pPr>
    </w:p>
    <w:p w14:paraId="43515B41" w14:textId="77777777" w:rsidR="00635009" w:rsidRDefault="00635009" w:rsidP="00635009">
      <w:pPr>
        <w:jc w:val="left"/>
        <w:rPr>
          <w:b/>
          <w:smallCaps/>
          <w:snapToGrid w:val="0"/>
          <w:sz w:val="28"/>
          <w:szCs w:val="28"/>
        </w:rPr>
      </w:pPr>
      <w:r>
        <w:rPr>
          <w:b/>
          <w:smallCaps/>
          <w:sz w:val="28"/>
          <w:szCs w:val="28"/>
        </w:rPr>
        <w:br w:type="page"/>
      </w:r>
    </w:p>
    <w:p w14:paraId="2326B36B" w14:textId="77777777" w:rsidR="00635009" w:rsidRPr="000509AF" w:rsidRDefault="00635009" w:rsidP="00635009">
      <w:pPr>
        <w:pStyle w:val="Textoindependiente"/>
        <w:keepNext/>
        <w:keepLines/>
        <w:spacing w:before="0"/>
        <w:ind w:right="51"/>
        <w:jc w:val="center"/>
        <w:rPr>
          <w:b/>
          <w:smallCaps/>
          <w:color w:val="auto"/>
          <w:sz w:val="22"/>
          <w:szCs w:val="22"/>
        </w:rPr>
      </w:pPr>
      <w:r>
        <w:rPr>
          <w:color w:val="000000"/>
          <w:sz w:val="20"/>
          <w:lang w:val="es-MX"/>
        </w:rPr>
        <w:lastRenderedPageBreak/>
        <w:t>Grá</w:t>
      </w:r>
      <w:r w:rsidRPr="00E07EB7">
        <w:rPr>
          <w:color w:val="000000"/>
          <w:sz w:val="20"/>
          <w:lang w:val="es-MX"/>
        </w:rPr>
        <w:t>fica</w:t>
      </w:r>
      <w:r>
        <w:rPr>
          <w:color w:val="000000"/>
          <w:sz w:val="20"/>
          <w:lang w:val="es-MX"/>
        </w:rPr>
        <w:t xml:space="preserve"> 4</w:t>
      </w:r>
    </w:p>
    <w:p w14:paraId="1EBDCB71" w14:textId="2978F507" w:rsidR="00635009" w:rsidRPr="001F1169" w:rsidRDefault="00635009" w:rsidP="00635009">
      <w:pPr>
        <w:pStyle w:val="Textoindependiente"/>
        <w:spacing w:before="0"/>
        <w:ind w:right="51"/>
        <w:jc w:val="center"/>
        <w:rPr>
          <w:b/>
          <w:smallCaps/>
          <w:color w:val="auto"/>
          <w:sz w:val="22"/>
          <w:szCs w:val="22"/>
        </w:rPr>
      </w:pPr>
      <w:r w:rsidRPr="001F1169">
        <w:rPr>
          <w:b/>
          <w:smallCaps/>
          <w:color w:val="auto"/>
          <w:sz w:val="22"/>
          <w:szCs w:val="22"/>
        </w:rPr>
        <w:t xml:space="preserve">Actividades Terciarias </w:t>
      </w:r>
      <w:r>
        <w:rPr>
          <w:b/>
          <w:smallCaps/>
          <w:color w:val="auto"/>
          <w:sz w:val="22"/>
          <w:szCs w:val="22"/>
        </w:rPr>
        <w:t>a</w:t>
      </w:r>
      <w:r w:rsidR="00EA44BC">
        <w:rPr>
          <w:b/>
          <w:smallCaps/>
          <w:color w:val="auto"/>
          <w:sz w:val="22"/>
          <w:szCs w:val="22"/>
        </w:rPr>
        <w:t xml:space="preserve"> </w:t>
      </w:r>
      <w:r w:rsidR="00CA2CEB">
        <w:rPr>
          <w:b/>
          <w:smallCaps/>
          <w:color w:val="auto"/>
          <w:sz w:val="22"/>
          <w:szCs w:val="22"/>
        </w:rPr>
        <w:t>juni</w:t>
      </w:r>
      <w:r w:rsidR="000A4EB4">
        <w:rPr>
          <w:b/>
          <w:smallCaps/>
          <w:color w:val="auto"/>
          <w:sz w:val="22"/>
          <w:szCs w:val="22"/>
        </w:rPr>
        <w:t>o</w:t>
      </w:r>
      <w:r>
        <w:rPr>
          <w:b/>
          <w:smallCaps/>
          <w:color w:val="auto"/>
          <w:sz w:val="22"/>
          <w:szCs w:val="22"/>
        </w:rPr>
        <w:t xml:space="preserve"> de 202</w:t>
      </w:r>
      <w:r w:rsidR="00E616A2">
        <w:rPr>
          <w:b/>
          <w:smallCaps/>
          <w:color w:val="auto"/>
          <w:sz w:val="22"/>
          <w:szCs w:val="22"/>
        </w:rPr>
        <w:t>1</w:t>
      </w:r>
    </w:p>
    <w:p w14:paraId="72327109" w14:textId="77777777" w:rsidR="00635009" w:rsidRPr="001F1169" w:rsidRDefault="00635009" w:rsidP="00635009">
      <w:pPr>
        <w:pStyle w:val="Textoindependiente"/>
        <w:spacing w:before="0"/>
        <w:ind w:right="51"/>
        <w:jc w:val="center"/>
        <w:rPr>
          <w:b/>
          <w:smallCaps/>
          <w:color w:val="auto"/>
          <w:sz w:val="22"/>
          <w:szCs w:val="22"/>
        </w:rPr>
      </w:pPr>
      <w:r w:rsidRPr="001F1169">
        <w:rPr>
          <w:b/>
          <w:smallCaps/>
          <w:color w:val="auto"/>
          <w:sz w:val="22"/>
          <w:szCs w:val="22"/>
        </w:rPr>
        <w:t>Series desestacionalizada y de tendencia-ciclo</w:t>
      </w:r>
    </w:p>
    <w:p w14:paraId="14274EF3" w14:textId="77777777" w:rsidR="00635009" w:rsidRPr="00191064" w:rsidRDefault="00635009" w:rsidP="00635009">
      <w:pPr>
        <w:pStyle w:val="n0"/>
        <w:keepLines w:val="0"/>
        <w:spacing w:before="0"/>
        <w:ind w:left="0" w:right="0" w:firstLine="0"/>
        <w:jc w:val="center"/>
        <w:rPr>
          <w:b/>
          <w:smallCaps/>
          <w:color w:val="auto"/>
          <w:sz w:val="22"/>
        </w:rPr>
      </w:pPr>
      <w:r>
        <w:rPr>
          <w:color w:val="000000"/>
          <w:sz w:val="18"/>
          <w:lang w:val="es-MX"/>
        </w:rPr>
        <w:t>(</w:t>
      </w:r>
      <w:r w:rsidRPr="00961776">
        <w:rPr>
          <w:color w:val="000000"/>
          <w:sz w:val="18"/>
          <w:lang w:val="es-MX"/>
        </w:rPr>
        <w:t xml:space="preserve">Índice </w:t>
      </w:r>
      <w:r>
        <w:rPr>
          <w:color w:val="000000"/>
          <w:sz w:val="18"/>
          <w:lang w:val="es-MX"/>
        </w:rPr>
        <w:t>2013</w:t>
      </w:r>
      <w:r w:rsidRPr="00961776">
        <w:rPr>
          <w:color w:val="000000"/>
          <w:sz w:val="18"/>
          <w:lang w:val="es-MX"/>
        </w:rPr>
        <w:t>=</w:t>
      </w:r>
      <w:r w:rsidRPr="009B388F">
        <w:rPr>
          <w:color w:val="000000"/>
          <w:sz w:val="18"/>
          <w:szCs w:val="18"/>
          <w:lang w:val="es-MX"/>
        </w:rPr>
        <w:t>100)</w:t>
      </w:r>
    </w:p>
    <w:p w14:paraId="430C6A50" w14:textId="60F08B0F" w:rsidR="00635009" w:rsidRPr="00D079E1" w:rsidRDefault="00EC4A3C" w:rsidP="00635009">
      <w:pPr>
        <w:pStyle w:val="p02"/>
        <w:keepLines w:val="0"/>
        <w:widowControl w:val="0"/>
        <w:spacing w:before="0"/>
        <w:jc w:val="center"/>
        <w:rPr>
          <w:color w:val="auto"/>
          <w:sz w:val="16"/>
          <w:szCs w:val="16"/>
          <w:lang w:val="es-MX"/>
        </w:rPr>
      </w:pPr>
      <w:r>
        <w:rPr>
          <w:noProof/>
        </w:rPr>
        <w:drawing>
          <wp:inline distT="0" distB="0" distL="0" distR="0" wp14:anchorId="071398AB" wp14:editId="2551E9B3">
            <wp:extent cx="4679950" cy="2578443"/>
            <wp:effectExtent l="0" t="0" r="25400" b="31750"/>
            <wp:docPr id="8" name="Gráfico 8">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E575514" w14:textId="77777777" w:rsidR="00635009" w:rsidRPr="005A21E0" w:rsidRDefault="00635009" w:rsidP="000A6E92">
      <w:pPr>
        <w:pStyle w:val="p02"/>
        <w:keepLines w:val="0"/>
        <w:widowControl w:val="0"/>
        <w:spacing w:before="0"/>
        <w:ind w:left="709"/>
        <w:rPr>
          <w:rFonts w:ascii="Arial" w:hAnsi="Arial" w:cs="Arial"/>
          <w:color w:val="auto"/>
          <w:lang w:val="es-MX"/>
        </w:rPr>
      </w:pPr>
      <w:r w:rsidRPr="00E42AC9">
        <w:rPr>
          <w:rFonts w:ascii="Arial" w:hAnsi="Arial" w:cs="Arial"/>
          <w:sz w:val="16"/>
          <w:szCs w:val="16"/>
        </w:rPr>
        <w:t xml:space="preserve">         </w:t>
      </w:r>
      <w:r w:rsidRPr="00E42AC9">
        <w:rPr>
          <w:rFonts w:ascii="Arial" w:hAnsi="Arial" w:cs="Arial"/>
          <w:color w:val="000000" w:themeColor="text1"/>
          <w:sz w:val="16"/>
          <w:szCs w:val="16"/>
        </w:rPr>
        <w:t>Fuente: INEGI.</w:t>
      </w:r>
    </w:p>
    <w:p w14:paraId="0767CE30" w14:textId="77777777" w:rsidR="00635009" w:rsidRPr="001A449E" w:rsidRDefault="00635009" w:rsidP="00D7088A">
      <w:pPr>
        <w:spacing w:before="120" w:after="120"/>
        <w:rPr>
          <w:b/>
          <w:i/>
          <w:lang w:val="es-MX"/>
        </w:rPr>
      </w:pPr>
      <w:r>
        <w:rPr>
          <w:b/>
          <w:i/>
          <w:lang w:val="es-MX"/>
        </w:rPr>
        <w:t>Cifras</w:t>
      </w:r>
      <w:r w:rsidRPr="001A449E">
        <w:rPr>
          <w:b/>
          <w:i/>
          <w:lang w:val="es-MX"/>
        </w:rPr>
        <w:t xml:space="preserve"> Originales</w:t>
      </w:r>
    </w:p>
    <w:p w14:paraId="345DCCD2" w14:textId="77777777" w:rsidR="00635009" w:rsidRDefault="00635009" w:rsidP="00D7088A">
      <w:pPr>
        <w:tabs>
          <w:tab w:val="num" w:pos="1843"/>
          <w:tab w:val="left" w:pos="7939"/>
        </w:tabs>
        <w:spacing w:after="120"/>
        <w:ind w:right="51"/>
        <w:rPr>
          <w:lang w:val="es-MX"/>
        </w:rPr>
      </w:pPr>
      <w:r>
        <w:rPr>
          <w:lang w:val="es-MX"/>
        </w:rPr>
        <w:t xml:space="preserve">En la siguiente gráfica </w:t>
      </w:r>
      <w:r w:rsidRPr="00743B39">
        <w:rPr>
          <w:lang w:val="es-MX"/>
        </w:rPr>
        <w:t>se muestr</w:t>
      </w:r>
      <w:r>
        <w:rPr>
          <w:lang w:val="es-MX"/>
        </w:rPr>
        <w:t>a la variación de los datos originales del IGAE y de los tres grandes grupos de actividades que lo conforman.</w:t>
      </w:r>
    </w:p>
    <w:p w14:paraId="0D8775C6" w14:textId="77777777" w:rsidR="00635009" w:rsidRDefault="00635009" w:rsidP="00C33D85">
      <w:pPr>
        <w:tabs>
          <w:tab w:val="num" w:pos="1843"/>
          <w:tab w:val="left" w:pos="7939"/>
        </w:tabs>
        <w:spacing w:before="120"/>
        <w:ind w:right="51"/>
        <w:jc w:val="center"/>
        <w:rPr>
          <w:b/>
          <w:smallCaps/>
          <w:sz w:val="22"/>
          <w:szCs w:val="22"/>
        </w:rPr>
      </w:pPr>
      <w:r>
        <w:rPr>
          <w:color w:val="000000"/>
          <w:sz w:val="20"/>
          <w:lang w:val="es-MX"/>
        </w:rPr>
        <w:t>Grá</w:t>
      </w:r>
      <w:r w:rsidRPr="00E07EB7">
        <w:rPr>
          <w:color w:val="000000"/>
          <w:sz w:val="20"/>
          <w:lang w:val="es-MX"/>
        </w:rPr>
        <w:t>fica</w:t>
      </w:r>
      <w:r>
        <w:rPr>
          <w:color w:val="000000"/>
          <w:sz w:val="20"/>
          <w:lang w:val="es-MX"/>
        </w:rPr>
        <w:t xml:space="preserve"> 5</w:t>
      </w:r>
    </w:p>
    <w:p w14:paraId="20BDEC79" w14:textId="15FF08AB" w:rsidR="00635009" w:rsidRPr="006F056B" w:rsidRDefault="00635009" w:rsidP="00635009">
      <w:pPr>
        <w:pStyle w:val="p02"/>
        <w:keepLines w:val="0"/>
        <w:widowControl w:val="0"/>
        <w:spacing w:before="0"/>
        <w:jc w:val="center"/>
        <w:rPr>
          <w:rFonts w:ascii="Arial" w:hAnsi="Arial" w:cs="Arial"/>
          <w:b/>
          <w:smallCaps/>
          <w:color w:val="auto"/>
          <w:sz w:val="22"/>
          <w:szCs w:val="22"/>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 xml:space="preserve">a </w:t>
      </w:r>
      <w:r>
        <w:rPr>
          <w:rFonts w:ascii="Arial" w:hAnsi="Arial" w:cs="Arial"/>
          <w:b/>
          <w:smallCaps/>
          <w:color w:val="auto"/>
          <w:sz w:val="22"/>
          <w:szCs w:val="22"/>
        </w:rPr>
        <w:t xml:space="preserve">durante </w:t>
      </w:r>
      <w:proofErr w:type="spellStart"/>
      <w:r w:rsidR="00CA2CEB">
        <w:rPr>
          <w:rFonts w:ascii="Arial" w:hAnsi="Arial" w:cs="Arial"/>
          <w:b/>
          <w:smallCaps/>
          <w:color w:val="auto"/>
          <w:sz w:val="22"/>
          <w:szCs w:val="22"/>
        </w:rPr>
        <w:t>juni</w:t>
      </w:r>
      <w:r w:rsidR="000A4EB4">
        <w:rPr>
          <w:rFonts w:ascii="Arial" w:hAnsi="Arial" w:cs="Arial"/>
          <w:b/>
          <w:smallCaps/>
          <w:color w:val="auto"/>
          <w:sz w:val="22"/>
          <w:szCs w:val="22"/>
        </w:rPr>
        <w:t>o</w:t>
      </w:r>
      <w:r w:rsidRPr="00C10633">
        <w:rPr>
          <w:rFonts w:ascii="Arial" w:hAnsi="Arial" w:cs="Arial"/>
          <w:b/>
          <w:smallCaps/>
          <w:color w:val="auto"/>
          <w:sz w:val="22"/>
          <w:szCs w:val="22"/>
          <w:vertAlign w:val="superscript"/>
        </w:rPr>
        <w:t>p</w:t>
      </w:r>
      <w:proofErr w:type="spellEnd"/>
      <w:r w:rsidRPr="00D15BA9">
        <w:rPr>
          <w:rFonts w:ascii="Arial" w:hAnsi="Arial" w:cs="Arial"/>
          <w:color w:val="000000"/>
          <w:sz w:val="22"/>
          <w:szCs w:val="22"/>
          <w:vertAlign w:val="superscript"/>
        </w:rPr>
        <w:t>/</w:t>
      </w:r>
      <w:r>
        <w:rPr>
          <w:rFonts w:ascii="Arial" w:hAnsi="Arial" w:cs="Arial"/>
          <w:b/>
          <w:smallCaps/>
          <w:color w:val="auto"/>
          <w:sz w:val="22"/>
          <w:szCs w:val="22"/>
        </w:rPr>
        <w:t xml:space="preserve"> de</w:t>
      </w:r>
      <w:r w:rsidRPr="006F056B">
        <w:rPr>
          <w:rFonts w:ascii="Arial" w:hAnsi="Arial" w:cs="Arial"/>
          <w:b/>
          <w:smallCaps/>
          <w:color w:val="auto"/>
          <w:sz w:val="22"/>
          <w:szCs w:val="22"/>
        </w:rPr>
        <w:t xml:space="preserve"> </w:t>
      </w:r>
      <w:r>
        <w:rPr>
          <w:rFonts w:ascii="Arial" w:hAnsi="Arial" w:cs="Arial"/>
          <w:b/>
          <w:smallCaps/>
          <w:color w:val="auto"/>
          <w:sz w:val="22"/>
          <w:szCs w:val="22"/>
        </w:rPr>
        <w:t>202</w:t>
      </w:r>
      <w:r w:rsidR="00203F93">
        <w:rPr>
          <w:rFonts w:ascii="Arial" w:hAnsi="Arial" w:cs="Arial"/>
          <w:b/>
          <w:smallCaps/>
          <w:color w:val="auto"/>
          <w:sz w:val="22"/>
          <w:szCs w:val="22"/>
        </w:rPr>
        <w:t>1</w:t>
      </w:r>
    </w:p>
    <w:p w14:paraId="312592A2" w14:textId="406E1C41" w:rsidR="00635009" w:rsidRDefault="00635009" w:rsidP="00635009">
      <w:pPr>
        <w:pStyle w:val="p02"/>
        <w:keepLines w:val="0"/>
        <w:widowControl w:val="0"/>
        <w:spacing w:before="0"/>
        <w:jc w:val="center"/>
        <w:rPr>
          <w:rFonts w:ascii="Arial" w:hAnsi="Arial" w:cs="Arial"/>
          <w:color w:val="auto"/>
          <w:sz w:val="18"/>
        </w:rPr>
      </w:pPr>
      <w:r w:rsidRPr="00156EF2">
        <w:rPr>
          <w:rFonts w:ascii="Arial" w:hAnsi="Arial" w:cs="Arial"/>
          <w:color w:val="auto"/>
          <w:sz w:val="18"/>
        </w:rPr>
        <w:t>(Variación % real respecto al mismo mes del año anterior)</w:t>
      </w:r>
    </w:p>
    <w:p w14:paraId="09771EEE" w14:textId="75B59C2E" w:rsidR="00635009" w:rsidRPr="000509AF" w:rsidRDefault="00FE7A52" w:rsidP="00635009">
      <w:pPr>
        <w:pStyle w:val="p0"/>
        <w:spacing w:before="0"/>
        <w:jc w:val="center"/>
        <w:rPr>
          <w:color w:val="auto"/>
        </w:rPr>
      </w:pPr>
      <w:r>
        <w:rPr>
          <w:noProof/>
        </w:rPr>
        <w:drawing>
          <wp:inline distT="0" distB="0" distL="0" distR="0" wp14:anchorId="533582AD" wp14:editId="661F3D84">
            <wp:extent cx="4679950" cy="2199502"/>
            <wp:effectExtent l="0" t="0" r="25400" b="29845"/>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9EA4E47" w14:textId="211BDA48" w:rsidR="00635009" w:rsidRDefault="00635009" w:rsidP="00660D2B">
      <w:pPr>
        <w:pStyle w:val="p02"/>
        <w:keepLines w:val="0"/>
        <w:widowControl w:val="0"/>
        <w:spacing w:before="0"/>
        <w:ind w:left="1560" w:right="1077" w:hanging="425"/>
        <w:rPr>
          <w:rFonts w:ascii="Arial" w:hAnsi="Arial" w:cs="Arial"/>
          <w:color w:val="000000"/>
          <w:sz w:val="16"/>
          <w:szCs w:val="16"/>
          <w:lang w:val="es-MX"/>
        </w:rPr>
      </w:pPr>
      <w:r>
        <w:rPr>
          <w:rFonts w:ascii="Arial" w:hAnsi="Arial" w:cs="Arial"/>
          <w:color w:val="000000"/>
          <w:sz w:val="16"/>
          <w:szCs w:val="16"/>
          <w:lang w:val="es-MX"/>
        </w:rPr>
        <w:t>Nota:</w:t>
      </w:r>
      <w:r>
        <w:rPr>
          <w:rFonts w:ascii="Arial" w:hAnsi="Arial" w:cs="Arial"/>
          <w:color w:val="000000"/>
          <w:sz w:val="16"/>
          <w:szCs w:val="16"/>
          <w:lang w:val="es-MX"/>
        </w:rPr>
        <w:tab/>
      </w:r>
      <w:r w:rsidRPr="00C102E2">
        <w:rPr>
          <w:rFonts w:ascii="Arial" w:hAnsi="Arial" w:cs="Arial"/>
          <w:color w:val="000000"/>
          <w:sz w:val="16"/>
          <w:szCs w:val="16"/>
          <w:lang w:val="es-MX"/>
        </w:rPr>
        <w:t>El IGAE no incluye los subsectores d</w:t>
      </w:r>
      <w:r>
        <w:rPr>
          <w:rFonts w:ascii="Arial" w:hAnsi="Arial" w:cs="Arial"/>
          <w:color w:val="000000"/>
          <w:sz w:val="16"/>
          <w:szCs w:val="16"/>
          <w:lang w:val="es-MX"/>
        </w:rPr>
        <w:t>e Aprovechamiento forestal, de p</w:t>
      </w:r>
      <w:r w:rsidRPr="00C102E2">
        <w:rPr>
          <w:rFonts w:ascii="Arial" w:hAnsi="Arial" w:cs="Arial"/>
          <w:color w:val="000000"/>
          <w:sz w:val="16"/>
          <w:szCs w:val="16"/>
          <w:lang w:val="es-MX"/>
        </w:rPr>
        <w:t>esca, caza y captura, ni la totalidad de las Actividades Terciarias, por lo que su tasa de crecimiento puede diferir de la que registre el PIB.</w:t>
      </w:r>
      <w:r>
        <w:rPr>
          <w:rFonts w:ascii="Arial" w:hAnsi="Arial" w:cs="Arial"/>
          <w:color w:val="000000"/>
          <w:sz w:val="16"/>
          <w:szCs w:val="16"/>
          <w:lang w:val="es-MX"/>
        </w:rPr>
        <w:t xml:space="preserve"> </w:t>
      </w:r>
    </w:p>
    <w:p w14:paraId="6CC9CE03" w14:textId="244859DF" w:rsidR="00635009" w:rsidRDefault="00635009" w:rsidP="00635009">
      <w:pPr>
        <w:pStyle w:val="p02"/>
        <w:keepLines w:val="0"/>
        <w:widowControl w:val="0"/>
        <w:spacing w:before="0"/>
        <w:ind w:left="1778" w:right="1077" w:hanging="630"/>
        <w:rPr>
          <w:rFonts w:ascii="Arial" w:hAnsi="Arial" w:cs="Arial"/>
          <w:color w:val="auto"/>
          <w:sz w:val="16"/>
          <w:lang w:val="es-MX"/>
        </w:rPr>
      </w:pPr>
      <w:r>
        <w:rPr>
          <w:rFonts w:ascii="Arial" w:hAnsi="Arial" w:cs="Arial"/>
          <w:color w:val="auto"/>
          <w:sz w:val="16"/>
          <w:lang w:val="es-MX"/>
        </w:rPr>
        <w:t>p/</w:t>
      </w:r>
      <w:r w:rsidR="000A5308">
        <w:rPr>
          <w:rFonts w:ascii="Arial" w:hAnsi="Arial" w:cs="Arial"/>
          <w:color w:val="auto"/>
          <w:sz w:val="16"/>
          <w:lang w:val="es-MX"/>
        </w:rPr>
        <w:t xml:space="preserve">      </w:t>
      </w:r>
      <w:r w:rsidRPr="00FE5FE0">
        <w:rPr>
          <w:rFonts w:ascii="Arial" w:hAnsi="Arial" w:cs="Arial"/>
          <w:color w:val="auto"/>
          <w:sz w:val="16"/>
          <w:lang w:val="es-MX"/>
        </w:rPr>
        <w:t>Cifras preliminares.</w:t>
      </w:r>
      <w:r>
        <w:rPr>
          <w:rFonts w:ascii="Arial" w:hAnsi="Arial" w:cs="Arial"/>
          <w:color w:val="auto"/>
          <w:sz w:val="16"/>
          <w:lang w:val="es-MX"/>
        </w:rPr>
        <w:t xml:space="preserve"> </w:t>
      </w:r>
    </w:p>
    <w:p w14:paraId="14F1293A" w14:textId="77777777" w:rsidR="00635009" w:rsidRDefault="00635009" w:rsidP="00635009">
      <w:pPr>
        <w:widowControl w:val="0"/>
        <w:tabs>
          <w:tab w:val="num" w:pos="1843"/>
          <w:tab w:val="left" w:pos="7939"/>
        </w:tabs>
        <w:ind w:left="1778" w:right="1077" w:hanging="630"/>
        <w:rPr>
          <w:b/>
          <w:smallCaps/>
        </w:rPr>
      </w:pPr>
      <w:r>
        <w:rPr>
          <w:color w:val="000000"/>
          <w:sz w:val="16"/>
          <w:szCs w:val="16"/>
          <w:lang w:val="es-MX"/>
        </w:rPr>
        <w:t>Fuente:</w:t>
      </w:r>
      <w:r>
        <w:rPr>
          <w:color w:val="000000"/>
          <w:sz w:val="16"/>
          <w:szCs w:val="16"/>
          <w:lang w:val="es-MX"/>
        </w:rPr>
        <w:tab/>
      </w:r>
      <w:r w:rsidRPr="00FE2019">
        <w:rPr>
          <w:color w:val="000000"/>
          <w:sz w:val="16"/>
          <w:szCs w:val="16"/>
          <w:lang w:val="es-MX"/>
        </w:rPr>
        <w:t>INEGI.</w:t>
      </w:r>
    </w:p>
    <w:p w14:paraId="30D55360" w14:textId="77777777" w:rsidR="00743FF0" w:rsidRDefault="00743FF0">
      <w:pPr>
        <w:jc w:val="left"/>
        <w:rPr>
          <w:b/>
          <w:i/>
          <w:lang w:val="es-MX"/>
        </w:rPr>
      </w:pPr>
      <w:bookmarkStart w:id="1" w:name="_Hlk40107795"/>
      <w:r>
        <w:rPr>
          <w:b/>
          <w:i/>
          <w:lang w:val="es-MX"/>
        </w:rPr>
        <w:br w:type="page"/>
      </w:r>
    </w:p>
    <w:p w14:paraId="32A24E6E" w14:textId="38B91E8A" w:rsidR="00635009" w:rsidRDefault="00635009" w:rsidP="00635009">
      <w:pPr>
        <w:spacing w:before="240"/>
        <w:rPr>
          <w:b/>
          <w:i/>
          <w:lang w:val="es-MX"/>
        </w:rPr>
      </w:pPr>
      <w:r w:rsidRPr="005D6B95">
        <w:rPr>
          <w:b/>
          <w:i/>
          <w:lang w:val="es-MX"/>
        </w:rPr>
        <w:lastRenderedPageBreak/>
        <w:t>Nota al usuario</w:t>
      </w:r>
    </w:p>
    <w:bookmarkEnd w:id="1"/>
    <w:p w14:paraId="6F4C1CEF" w14:textId="679C456D" w:rsidR="00CA2CEB" w:rsidRPr="00D467CB" w:rsidRDefault="00CA2CEB" w:rsidP="00CA2CEB">
      <w:pPr>
        <w:spacing w:before="240"/>
      </w:pPr>
      <w:r w:rsidRPr="00D467CB">
        <w:t xml:space="preserve">Con base en los </w:t>
      </w:r>
      <w:r w:rsidR="00743FF0">
        <w:t>“</w:t>
      </w:r>
      <w:r w:rsidRPr="00D467CB">
        <w:t>Lineamientos de cambios a la información divulgada en las publicaciones estadísticas y geográficas del INEGI</w:t>
      </w:r>
      <w:r w:rsidR="00743FF0">
        <w:t>”</w:t>
      </w:r>
      <w:r w:rsidRPr="00D467CB">
        <w:t xml:space="preserve"> y que complementan las </w:t>
      </w:r>
      <w:r w:rsidR="00743FF0">
        <w:t>“</w:t>
      </w:r>
      <w:r w:rsidRPr="00D467CB">
        <w:t>Normas Especiales para la Divulgación de Datos</w:t>
      </w:r>
      <w:r w:rsidR="00743FF0">
        <w:t>”</w:t>
      </w:r>
      <w:r w:rsidRPr="00D467CB">
        <w:t xml:space="preserve"> del FMI, los resultados del Indicador </w:t>
      </w:r>
      <w:r>
        <w:t>Glob</w:t>
      </w:r>
      <w:r w:rsidRPr="00D467CB">
        <w:t xml:space="preserve">al de la Actividad </w:t>
      </w:r>
      <w:r>
        <w:t>Económica (IGAE)</w:t>
      </w:r>
      <w:r w:rsidRPr="00D467CB">
        <w:t xml:space="preserve"> incorporan la última información estadística disponible del año 2021. Como resultado de incorporar dicha información, se identifican diferencias en los niveles de los índices y variaciones que fueron oportunamente publicadas.</w:t>
      </w:r>
    </w:p>
    <w:p w14:paraId="6C4E491A" w14:textId="2F3856B6" w:rsidR="008D0218" w:rsidRDefault="008D0218" w:rsidP="00332B03">
      <w:pPr>
        <w:spacing w:before="120"/>
      </w:pPr>
      <w:r w:rsidRPr="00A87BA1">
        <w:t xml:space="preserve">La Tasa de No Respuesta en la captación de las Encuestas Económicas que se consideraron para la integración del IGAE </w:t>
      </w:r>
      <w:r>
        <w:t>c</w:t>
      </w:r>
      <w:r w:rsidRPr="00A87BA1">
        <w:t>omo lo son: Encuesta Nacional de Empresas Constructoras (ENEC),</w:t>
      </w:r>
      <w:r>
        <w:t xml:space="preserve"> </w:t>
      </w:r>
      <w:r w:rsidRPr="00A87BA1">
        <w:t>Encuesta Mensual de la Industria Manufacturera (EMIM), Encuesta Mensual sobre Empresas Comerciales (EMEC</w:t>
      </w:r>
      <w:r>
        <w:t>)</w:t>
      </w:r>
      <w:r w:rsidRPr="00061421">
        <w:t xml:space="preserve"> </w:t>
      </w:r>
      <w:r w:rsidRPr="00A87BA1">
        <w:t xml:space="preserve">y Encuesta Mensual de Servicios (EMS), </w:t>
      </w:r>
      <w:r w:rsidRPr="00061421">
        <w:t xml:space="preserve">en </w:t>
      </w:r>
      <w:r w:rsidR="00CA2CEB">
        <w:t>juni</w:t>
      </w:r>
      <w:r>
        <w:t xml:space="preserve">o </w:t>
      </w:r>
      <w:r w:rsidRPr="00061421">
        <w:t>de 2021, registraron porcentajes apropiados de acuerdo con el diseño estadístico de las muestras</w:t>
      </w:r>
      <w:r>
        <w:t>;</w:t>
      </w:r>
      <w:r w:rsidRPr="00A87BA1">
        <w:t xml:space="preserve"> </w:t>
      </w:r>
      <w:r w:rsidRPr="00061421">
        <w:t xml:space="preserve">así como la </w:t>
      </w:r>
      <w:r>
        <w:t xml:space="preserve">captación de la </w:t>
      </w:r>
      <w:r w:rsidRPr="00061421">
        <w:t xml:space="preserve">Estadística de la Industria </w:t>
      </w:r>
      <w:proofErr w:type="spellStart"/>
      <w:r w:rsidRPr="00061421">
        <w:t>Minerometalúrgica</w:t>
      </w:r>
      <w:proofErr w:type="spellEnd"/>
      <w:r w:rsidR="00743FF0">
        <w:t xml:space="preserve"> (EIMM)</w:t>
      </w:r>
      <w:r w:rsidRPr="00061421">
        <w:t xml:space="preserve"> y los </w:t>
      </w:r>
      <w:r w:rsidR="00CA4C39">
        <w:t>r</w:t>
      </w:r>
      <w:r w:rsidRPr="00061421">
        <w:t xml:space="preserve">egistros </w:t>
      </w:r>
      <w:r w:rsidR="00CA4C39">
        <w:t>a</w:t>
      </w:r>
      <w:r w:rsidRPr="00061421">
        <w:t>dministrativos que difunde el Instituto</w:t>
      </w:r>
      <w:r>
        <w:t>.</w:t>
      </w:r>
    </w:p>
    <w:p w14:paraId="1277646E" w14:textId="6C8DB28D" w:rsidR="008D0218" w:rsidRPr="00A87BA1" w:rsidRDefault="008D0218" w:rsidP="008D0218">
      <w:pPr>
        <w:pStyle w:val="Default"/>
        <w:spacing w:before="240" w:after="240"/>
        <w:jc w:val="both"/>
        <w:rPr>
          <w:color w:val="auto"/>
        </w:rPr>
      </w:pPr>
      <w:r w:rsidRPr="00A87BA1">
        <w:rPr>
          <w:color w:val="auto"/>
        </w:rPr>
        <w:t>Para las actividades agropecuarias, de servicios financieros y del gobierno se complementa</w:t>
      </w:r>
      <w:r w:rsidR="006D19FF">
        <w:rPr>
          <w:color w:val="auto"/>
        </w:rPr>
        <w:t>ro</w:t>
      </w:r>
      <w:r w:rsidRPr="00A87BA1">
        <w:rPr>
          <w:color w:val="auto"/>
        </w:rPr>
        <w:t>n con otros registros administrativos provenientes de las Unidades del Estado que se recibieron oportunamente vía correo electrónico y captación por Internet, lo que permitió la generación de estadísticas con niveles altos de cobertura y precisión estadística, para su integración en el I</w:t>
      </w:r>
      <w:r>
        <w:rPr>
          <w:color w:val="auto"/>
        </w:rPr>
        <w:t>GAE</w:t>
      </w:r>
      <w:r w:rsidRPr="00A87BA1">
        <w:rPr>
          <w:color w:val="auto"/>
        </w:rPr>
        <w:t xml:space="preserve"> en el mes de referencia.</w:t>
      </w:r>
    </w:p>
    <w:p w14:paraId="4DA55726" w14:textId="03A5021A" w:rsidR="00635009" w:rsidRDefault="00C7265A" w:rsidP="00332B03">
      <w:pPr>
        <w:spacing w:before="120"/>
      </w:pPr>
      <w:r>
        <w:t>P</w:t>
      </w:r>
      <w:r w:rsidR="00635009" w:rsidRPr="00117302">
        <w:t>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00635009" w:rsidRPr="00546BD2">
        <w:rPr>
          <w:i/>
          <w:iCs/>
        </w:rPr>
        <w:t>outliers</w:t>
      </w:r>
      <w:proofErr w:type="spellEnd"/>
      <w:r w:rsidR="00635009" w:rsidRPr="00117302">
        <w:t>) en los modelos de ajuste estacional para los meses de la contingencia. Lo anterior con el objetivo de que los grandes cambios en las cifras originales no influyan de manera desproporcionada en los factores estacionales utilizados.</w:t>
      </w:r>
    </w:p>
    <w:p w14:paraId="5B0D1DCD" w14:textId="6EFA251F" w:rsidR="00635009" w:rsidRPr="00390E26" w:rsidRDefault="00635009" w:rsidP="00865300">
      <w:pPr>
        <w:spacing w:before="120"/>
        <w:rPr>
          <w:b/>
          <w:bCs/>
          <w:lang w:val="es-MX"/>
        </w:rPr>
      </w:pPr>
      <w:r w:rsidRPr="00EF7102">
        <w:rPr>
          <w:b/>
          <w:i/>
          <w:lang w:val="es-MX"/>
        </w:rPr>
        <w:t>Nota metodológica</w:t>
      </w:r>
    </w:p>
    <w:p w14:paraId="213D28E0" w14:textId="77777777" w:rsidR="00635009" w:rsidRPr="00DE1840" w:rsidRDefault="00635009" w:rsidP="00C73CC4">
      <w:pPr>
        <w:pStyle w:val="Textoindependiente"/>
        <w:spacing w:before="180"/>
        <w:ind w:right="51"/>
        <w:rPr>
          <w:color w:val="auto"/>
          <w:lang w:val="es-MX"/>
        </w:rPr>
      </w:pPr>
      <w:r w:rsidRPr="00DE1840">
        <w:rPr>
          <w:color w:val="auto"/>
          <w:lang w:val="es-MX"/>
        </w:rPr>
        <w:t>El Indicador Global de la Actividad Económica (IGAE) permite conocer y dar seguimiento a la evolución del sector real de la economía, en el corto plazo, proporcionando valiosa información para la toma de decisiones.</w:t>
      </w:r>
    </w:p>
    <w:p w14:paraId="4255E654" w14:textId="77777777" w:rsidR="00635009" w:rsidRPr="00DE1840" w:rsidRDefault="00635009" w:rsidP="00C73CC4">
      <w:pPr>
        <w:pStyle w:val="p0"/>
        <w:keepLines w:val="0"/>
        <w:widowControl/>
        <w:spacing w:before="180"/>
        <w:ind w:right="51"/>
        <w:rPr>
          <w:rFonts w:ascii="Arial" w:hAnsi="Arial"/>
          <w:color w:val="auto"/>
        </w:rPr>
      </w:pPr>
      <w:r w:rsidRPr="00DE1840">
        <w:rPr>
          <w:rFonts w:ascii="Arial" w:hAnsi="Arial"/>
          <w:color w:val="auto"/>
        </w:rPr>
        <w:t>Su cobertura geográfica es nacional y alcanza una representatividad del 94.7% del valor agregado bruto del año 2013, año base de los productos del Sistema de Cuentas Nacionales de México (SCNM).</w:t>
      </w:r>
    </w:p>
    <w:p w14:paraId="7471ECE5" w14:textId="555B9F0F" w:rsidR="00635009" w:rsidRDefault="00635009" w:rsidP="00C73CC4">
      <w:pPr>
        <w:pStyle w:val="Textoindependiente"/>
        <w:spacing w:before="180"/>
        <w:ind w:right="51"/>
        <w:rPr>
          <w:color w:val="auto"/>
          <w:lang w:val="es-MX"/>
        </w:rPr>
      </w:pPr>
      <w:r w:rsidRPr="00DE1840">
        <w:rPr>
          <w:color w:val="auto"/>
          <w:lang w:val="es-MX"/>
        </w:rPr>
        <w:t>Las cifras mensuales del IGAE están disponibles desde el mes de enero de 1993 y se expresan en índices de volumen físico con base fija en el año 2013=100, los cuales son de tipo Laspeyres.</w:t>
      </w:r>
    </w:p>
    <w:p w14:paraId="5199F8DD" w14:textId="7E9C6BEE" w:rsidR="00635009" w:rsidRPr="00DE1840" w:rsidRDefault="00546BD2" w:rsidP="00C73CC4">
      <w:pPr>
        <w:pStyle w:val="p0"/>
        <w:keepLines w:val="0"/>
        <w:widowControl/>
        <w:spacing w:before="180"/>
        <w:ind w:right="51"/>
        <w:rPr>
          <w:rFonts w:ascii="Arial" w:hAnsi="Arial"/>
          <w:color w:val="auto"/>
        </w:rPr>
      </w:pPr>
      <w:r w:rsidRPr="00546BD2">
        <w:rPr>
          <w:rFonts w:ascii="Arial" w:hAnsi="Arial"/>
          <w:snapToGrid/>
          <w:color w:val="auto"/>
          <w:lang w:val="es-MX"/>
        </w:rPr>
        <w:lastRenderedPageBreak/>
        <w:t>Es importante destacar que la mayoría de las series económicas se ven afectadas por factores estacionales.</w:t>
      </w:r>
      <w:r w:rsidR="00635009" w:rsidRPr="00546BD2">
        <w:rPr>
          <w:rFonts w:ascii="Arial" w:hAnsi="Arial"/>
          <w:snapToGrid/>
          <w:color w:val="auto"/>
          <w:lang w:val="es-MX"/>
        </w:rPr>
        <w:t xml:space="preserve"> Éstos</w:t>
      </w:r>
      <w:r w:rsidR="00635009" w:rsidRPr="00DE1840">
        <w:rPr>
          <w:rFonts w:ascii="Arial" w:hAnsi="Arial"/>
          <w:color w:val="auto"/>
        </w:rPr>
        <w:t xml:space="preserve">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w:t>
      </w:r>
      <w:r w:rsidR="00495E4C" w:rsidRPr="00DE1840">
        <w:rPr>
          <w:rFonts w:ascii="Arial" w:hAnsi="Arial"/>
          <w:color w:val="auto"/>
        </w:rPr>
        <w:t>estacionales,</w:t>
      </w:r>
      <w:r w:rsidR="00635009" w:rsidRPr="00DE1840">
        <w:rPr>
          <w:rFonts w:ascii="Arial" w:hAnsi="Arial"/>
          <w:color w:val="auto"/>
        </w:rPr>
        <w:t xml:space="preserve"> </w:t>
      </w:r>
      <w:r w:rsidR="00332B03">
        <w:rPr>
          <w:rFonts w:ascii="Arial" w:hAnsi="Arial"/>
          <w:color w:val="auto"/>
        </w:rPr>
        <w:t xml:space="preserve">por </w:t>
      </w:r>
      <w:r w:rsidR="00635009" w:rsidRPr="00DE1840">
        <w:rPr>
          <w:rFonts w:ascii="Arial" w:hAnsi="Arial"/>
          <w:color w:val="auto"/>
        </w:rPr>
        <w:t>ejemplo, la elevada producción de juguetes en los meses previos a la Navidad provocada por la expectativa de mayores ventas en diciembre.</w:t>
      </w:r>
    </w:p>
    <w:p w14:paraId="6EA741B2" w14:textId="58E82F82" w:rsidR="00546BD2" w:rsidRDefault="00546BD2" w:rsidP="00332B03">
      <w:pPr>
        <w:spacing w:before="100" w:beforeAutospacing="1"/>
        <w:outlineLvl w:val="3"/>
      </w:pPr>
      <w:r w:rsidRPr="00434EAE">
        <w:t xml:space="preserve">En este sentido, la desestacionalización o ajuste estacional de series económicas consiste en remover estas influencias </w:t>
      </w:r>
      <w:proofErr w:type="spellStart"/>
      <w:r w:rsidRPr="00434EAE">
        <w:t>intra-anuales</w:t>
      </w:r>
      <w:proofErr w:type="spellEnd"/>
      <w:r w:rsidRPr="00434EAE">
        <w:t xml:space="preserve"> periódicas, debido a que su presencia dificulta diagnosticar o describir el comportamiento de una serie </w:t>
      </w:r>
      <w:r w:rsidRPr="00BE64DF">
        <w:t>económica</w:t>
      </w:r>
      <w:r>
        <w:t xml:space="preserve"> </w:t>
      </w:r>
      <w:r w:rsidRPr="00434EAE">
        <w:t xml:space="preserve">al no poder comparar adecuadamente un determinado mes con el inmediato anterior.  </w:t>
      </w:r>
    </w:p>
    <w:p w14:paraId="1AED10E0" w14:textId="21904945" w:rsidR="00635009" w:rsidRPr="00DE1840" w:rsidRDefault="00546BD2" w:rsidP="00546BD2">
      <w:pPr>
        <w:spacing w:before="240"/>
        <w:outlineLvl w:val="3"/>
      </w:pPr>
      <w:r w:rsidRPr="00434EAE">
        <w:t xml:space="preserve">Analizar la serie </w:t>
      </w:r>
      <w:r w:rsidRPr="00BE64DF">
        <w:t>desestacionalizada</w:t>
      </w:r>
      <w:r>
        <w:t xml:space="preserve"> </w:t>
      </w:r>
      <w:r w:rsidRPr="00434EAE">
        <w:t xml:space="preserve">ayuda a realizar un mejor diagnóstico y pronóstico de </w:t>
      </w:r>
      <w:r w:rsidRPr="00BE64DF">
        <w:t>su</w:t>
      </w:r>
      <w:r w:rsidRPr="00434EAE">
        <w:t xml:space="preserve"> evolución, ya que facilita la identificación de la posible dirección de los movimientos que pudiera tener la variable en cuestión, en el corto plazo.</w:t>
      </w:r>
    </w:p>
    <w:p w14:paraId="13AD2C02" w14:textId="77777777" w:rsidR="00635009" w:rsidRPr="00DE1840" w:rsidRDefault="00635009" w:rsidP="00F336C3">
      <w:pPr>
        <w:widowControl w:val="0"/>
        <w:spacing w:before="240"/>
        <w:ind w:right="50"/>
        <w:rPr>
          <w:szCs w:val="20"/>
          <w:lang w:val="es-MX"/>
        </w:rPr>
      </w:pPr>
      <w:r w:rsidRPr="00DE1840">
        <w:rPr>
          <w:szCs w:val="20"/>
          <w:lang w:val="es-MX"/>
        </w:rPr>
        <w:t>Las series originales se ajustan estacionalmente mediante el paquete estadístico X</w:t>
      </w:r>
      <w:r w:rsidRPr="00DE1840">
        <w:rPr>
          <w:szCs w:val="20"/>
          <w:lang w:val="es-MX"/>
        </w:rPr>
        <w:noBreakHyphen/>
        <w:t>13ARIMA-SEATS. Para conocer la metodología se sugiere consultar la siguiente liga:</w:t>
      </w:r>
    </w:p>
    <w:p w14:paraId="757DF8E7" w14:textId="77777777" w:rsidR="00635009" w:rsidRPr="00EA2F02" w:rsidRDefault="003C73DD" w:rsidP="00635009">
      <w:pPr>
        <w:widowControl w:val="0"/>
        <w:spacing w:before="240"/>
      </w:pPr>
      <w:hyperlink r:id="rId27" w:history="1">
        <w:r w:rsidR="00635009" w:rsidRPr="007E551F">
          <w:rPr>
            <w:rStyle w:val="Hipervnculo"/>
            <w:szCs w:val="20"/>
            <w:lang w:val="es-MX" w:eastAsia="en-US"/>
          </w:rPr>
          <w:t>https://www.inegi.org.mx/app/biblioteca/ficha.html?upc=702825099060</w:t>
        </w:r>
      </w:hyperlink>
    </w:p>
    <w:p w14:paraId="7CC2AE40" w14:textId="77777777" w:rsidR="00635009" w:rsidRPr="00DE1840" w:rsidRDefault="00635009" w:rsidP="00F336C3">
      <w:pPr>
        <w:widowControl w:val="0"/>
        <w:spacing w:before="240"/>
        <w:ind w:right="50"/>
      </w:pPr>
      <w:r w:rsidRPr="00EA2F02">
        <w:rPr>
          <w:szCs w:val="20"/>
          <w:lang w:val="es-MX"/>
        </w:rPr>
        <w:t>Asimismo, las especificaciones de los modelos utilizados para realizar el ajuste estacional están disponibles en el Banco de Información Económica, seleccionando</w:t>
      </w:r>
      <w:r w:rsidRPr="00DE1840">
        <w:t xml:space="preserve"> el icono de información </w:t>
      </w:r>
      <w:r w:rsidRPr="00DE1840">
        <w:rPr>
          <w:noProof/>
          <w:sz w:val="18"/>
          <w:szCs w:val="18"/>
          <w:lang w:val="es-MX" w:eastAsia="es-MX"/>
        </w:rPr>
        <w:drawing>
          <wp:inline distT="0" distB="0" distL="0" distR="0" wp14:anchorId="15B4C41F" wp14:editId="52D485D8">
            <wp:extent cx="152400" cy="152400"/>
            <wp:effectExtent l="0" t="0" r="0" b="0"/>
            <wp:docPr id="4" name="Imagen 4" descr="http://www.inegi.org.mx/sistemas/bie/img/MetadatoC.GIF">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28"/>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1840">
        <w:t xml:space="preserve"> correspondiente a las “series desestacionalizadas y de tendencia-ciclo” del IGAE.</w:t>
      </w:r>
    </w:p>
    <w:p w14:paraId="1A5E9FDA" w14:textId="77777777" w:rsidR="00673D8C" w:rsidRDefault="00635009" w:rsidP="00673D8C">
      <w:pPr>
        <w:pStyle w:val="Textoindependiente"/>
        <w:ind w:right="51"/>
        <w:rPr>
          <w:color w:val="auto"/>
        </w:rPr>
      </w:pPr>
      <w:r w:rsidRPr="00DE1840">
        <w:rPr>
          <w:color w:val="auto"/>
        </w:rPr>
        <w:t xml:space="preserve">Las cifras </w:t>
      </w:r>
      <w:r w:rsidRPr="00DE1840">
        <w:rPr>
          <w:color w:val="auto"/>
          <w:lang w:val="es-MX"/>
        </w:rPr>
        <w:t xml:space="preserve">del IGAE </w:t>
      </w:r>
      <w:r w:rsidRPr="00DE1840">
        <w:rPr>
          <w:color w:val="auto"/>
        </w:rPr>
        <w:t xml:space="preserve">se elaboran utilizando el mismo marco conceptual y metodológico empleado en el cálculo de las Cuentas de Bienes y Servicios del SCNM, </w:t>
      </w:r>
      <w:r w:rsidRPr="00DE1840">
        <w:rPr>
          <w:color w:val="auto"/>
          <w:lang w:val="es-MX"/>
        </w:rPr>
        <w:t xml:space="preserve">mismo que sigue el cálculo del Producto Interno Bruto Trimestral (PIBT) y del Indicador Mensual de la Actividad Industrial (IMAI). </w:t>
      </w:r>
      <w:r>
        <w:rPr>
          <w:color w:val="auto"/>
          <w:lang w:val="es-MX"/>
        </w:rPr>
        <w:t>Igualmente</w:t>
      </w:r>
      <w:r w:rsidRPr="00DE1840">
        <w:rPr>
          <w:color w:val="auto"/>
        </w:rPr>
        <w:t xml:space="preserve"> incorpora los lineamientos internacionales sobre contabilidad nacional, que se han establecido por las Naciones Unidas (NU), la Organización para la Cooperación y Desarrollo Económicos (OCDE), el Banco Mundial (BM), el Fondo Monetario Internacional (FMI), y la Comisión Europea; dichas recomendaciones se encuentran difundidas en el Manual del Sistema de Cuentas Nacionales 2008 (SCN2008) y en el Manual de Cuentas Nacionales Trimestrales, Conceptos, Fuentes de Datos y Compilación 2001 (CNT 2001) editado por el Fondo Monetario Internacional.</w:t>
      </w:r>
    </w:p>
    <w:p w14:paraId="6B021168" w14:textId="4F42D991" w:rsidR="00495E4C" w:rsidRPr="009A6477" w:rsidRDefault="00635009" w:rsidP="009A6477">
      <w:pPr>
        <w:pStyle w:val="Textoindependiente"/>
        <w:ind w:right="51"/>
        <w:rPr>
          <w:color w:val="auto"/>
          <w:lang w:val="es-MX"/>
        </w:rPr>
      </w:pPr>
      <w:r w:rsidRPr="00DE1840">
        <w:rPr>
          <w:color w:val="auto"/>
        </w:rPr>
        <w:t xml:space="preserve">Los cálculos de corto plazo se alinean con las cifras anuales de las Cuentas de Bienes y Servicios, aplicando la técnica Denton a nivel de clase de actividad económica, evitando que se interpreten de diferente manera resultados que pueden diferir por su grado de cobertura o por la fecha de su disponibilidad, pero nunca en su base conceptual. Los resultados de </w:t>
      </w:r>
      <w:r w:rsidRPr="00DE1840">
        <w:rPr>
          <w:color w:val="auto"/>
          <w:lang w:val="es-MX"/>
        </w:rPr>
        <w:t>las Actividades Secundarias y Terciarias se desagregan en 13 actividades económicas.</w:t>
      </w:r>
    </w:p>
    <w:p w14:paraId="4AD82B8F" w14:textId="4962AB3B" w:rsidR="00635009" w:rsidRPr="00DE1840" w:rsidRDefault="00635009" w:rsidP="00F336C3">
      <w:pPr>
        <w:pStyle w:val="Textoindependiente"/>
        <w:spacing w:before="120"/>
        <w:ind w:right="50"/>
        <w:rPr>
          <w:color w:val="auto"/>
          <w:lang w:val="es-MX"/>
        </w:rPr>
      </w:pPr>
      <w:r w:rsidRPr="00DE1840">
        <w:rPr>
          <w:color w:val="auto"/>
          <w:lang w:val="es-MX"/>
        </w:rPr>
        <w:lastRenderedPageBreak/>
        <w:t xml:space="preserve">Las principales fuentes de información para este indicador son: la Estadística de la </w:t>
      </w:r>
      <w:r>
        <w:rPr>
          <w:color w:val="auto"/>
          <w:lang w:val="es-MX"/>
        </w:rPr>
        <w:t>Industria Minero-Metalúrgica (E</w:t>
      </w:r>
      <w:r w:rsidRPr="00DE1840">
        <w:rPr>
          <w:color w:val="auto"/>
          <w:lang w:val="es-MX"/>
        </w:rPr>
        <w:t xml:space="preserve">IMM); la Encuesta Mensual de la Industria Manufacturera (EMIM); la Encuesta Nacional de Empresas Constructoras (ENEC) y la Encuesta Nacional de Ocupación y Empleo (ENOE), elaboradas por el INEGI. También se obtienen datos proporcionados por cámaras y asociaciones de productores e instituciones públicas y privadas. </w:t>
      </w:r>
    </w:p>
    <w:p w14:paraId="620BE18B" w14:textId="40AF765D" w:rsidR="00635009" w:rsidRPr="00DE1840" w:rsidRDefault="00635009" w:rsidP="00495E4C">
      <w:pPr>
        <w:pStyle w:val="Textoindependiente"/>
        <w:ind w:right="50"/>
        <w:rPr>
          <w:color w:val="auto"/>
          <w:lang w:val="es-MX"/>
        </w:rPr>
      </w:pPr>
      <w:r w:rsidRPr="00DE1840">
        <w:rPr>
          <w:color w:val="auto"/>
          <w:lang w:val="es-MX"/>
        </w:rPr>
        <w:t>La información contenida en este documento es generada por el INEGI con base en los indicadores de corto plazo del Sistema de Cuentas Nacionales de México y se da a conocer en la fecha establecida en el Calendario de difusión de información estadística y geográfica y de Interés Nacional.</w:t>
      </w:r>
    </w:p>
    <w:p w14:paraId="7CD86E1B" w14:textId="77777777" w:rsidR="00635009" w:rsidRDefault="00635009" w:rsidP="00495E4C">
      <w:pPr>
        <w:pStyle w:val="texto0"/>
        <w:spacing w:before="360"/>
        <w:ind w:right="50"/>
        <w:rPr>
          <w:rFonts w:cs="Arial"/>
          <w:color w:val="auto"/>
        </w:rPr>
      </w:pPr>
      <w:r w:rsidRPr="00DE1840">
        <w:rPr>
          <w:rFonts w:cs="Arial"/>
          <w:color w:val="auto"/>
        </w:rPr>
        <w:t xml:space="preserve">Las series del IGAE, podrán ser consultadas en la sección PIB y Cuentas Nacionales de México y en el Banco de Información Económica (BIE), de la página del Instituto en Internet: </w:t>
      </w:r>
    </w:p>
    <w:p w14:paraId="487FEF78" w14:textId="1604EF22" w:rsidR="00593F5A" w:rsidRPr="001F1169" w:rsidRDefault="00635009" w:rsidP="00635009">
      <w:pPr>
        <w:pStyle w:val="texto0"/>
        <w:rPr>
          <w:color w:val="auto"/>
        </w:rPr>
      </w:pPr>
      <w:r w:rsidRPr="00350636">
        <w:rPr>
          <w:rFonts w:cs="Arial"/>
          <w:color w:val="0000FF"/>
          <w:u w:val="single"/>
          <w:lang w:eastAsia="en-US"/>
        </w:rPr>
        <w:t>https://</w:t>
      </w:r>
      <w:hyperlink r:id="rId30" w:history="1">
        <w:r w:rsidRPr="007E551F">
          <w:rPr>
            <w:rStyle w:val="Hipervnculo"/>
            <w:rFonts w:cs="Arial"/>
            <w:lang w:eastAsia="en-US"/>
          </w:rPr>
          <w:t>www.inegi.org.mx</w:t>
        </w:r>
      </w:hyperlink>
      <w:r w:rsidRPr="00DE1840">
        <w:rPr>
          <w:rFonts w:cs="Arial"/>
          <w:color w:val="0000FF"/>
          <w:lang w:eastAsia="en-US"/>
        </w:rPr>
        <w:t>.</w:t>
      </w:r>
    </w:p>
    <w:sectPr w:rsidR="00593F5A" w:rsidRPr="001F1169" w:rsidSect="004750E3">
      <w:headerReference w:type="default" r:id="rId31"/>
      <w:footerReference w:type="default" r:id="rId32"/>
      <w:pgSz w:w="12242" w:h="15842" w:code="1"/>
      <w:pgMar w:top="1134" w:right="1418" w:bottom="1134" w:left="1418" w:header="567" w:footer="567" w:gutter="0"/>
      <w:paperSrc w:first="3"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CEF84" w14:textId="77777777" w:rsidR="003C73DD" w:rsidRDefault="003C73DD">
      <w:r>
        <w:separator/>
      </w:r>
    </w:p>
  </w:endnote>
  <w:endnote w:type="continuationSeparator" w:id="0">
    <w:p w14:paraId="7ED589C4" w14:textId="77777777" w:rsidR="003C73DD" w:rsidRDefault="003C7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CADC9" w14:textId="77777777" w:rsidR="003C218A" w:rsidRPr="00B824C9" w:rsidRDefault="003C218A" w:rsidP="004C150C">
    <w:pPr>
      <w:pStyle w:val="Piedepgina"/>
      <w:contextualSpacing/>
      <w:jc w:val="center"/>
      <w:rPr>
        <w:color w:val="002060"/>
        <w:sz w:val="18"/>
        <w:szCs w:val="18"/>
      </w:rPr>
    </w:pPr>
    <w:r w:rsidRPr="00B824C9">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B4A25" w14:textId="77777777" w:rsidR="003B5757" w:rsidRPr="00FC5FE5" w:rsidRDefault="003B5757" w:rsidP="003076C4">
    <w:pPr>
      <w:pStyle w:val="Piedepgina"/>
      <w:jc w:val="center"/>
      <w:rPr>
        <w:b/>
        <w:color w:val="002060"/>
        <w:sz w:val="20"/>
        <w:szCs w:val="20"/>
        <w:lang w:val="es-MX"/>
      </w:rPr>
    </w:pPr>
    <w:r w:rsidRPr="00FC5FE5">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2EC90" w14:textId="77777777" w:rsidR="003C73DD" w:rsidRDefault="003C73DD">
      <w:r>
        <w:separator/>
      </w:r>
    </w:p>
  </w:footnote>
  <w:footnote w:type="continuationSeparator" w:id="0">
    <w:p w14:paraId="1F8B5AC5" w14:textId="77777777" w:rsidR="003C73DD" w:rsidRDefault="003C73DD">
      <w:r>
        <w:continuationSeparator/>
      </w:r>
    </w:p>
  </w:footnote>
  <w:footnote w:id="1">
    <w:p w14:paraId="47858AC0" w14:textId="77777777" w:rsidR="003C218A" w:rsidRPr="00C07AE5" w:rsidRDefault="003C218A" w:rsidP="003C218A">
      <w:pPr>
        <w:pStyle w:val="Textonotapie"/>
        <w:ind w:left="142" w:right="-547"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Año base 2013.</w:t>
      </w:r>
    </w:p>
  </w:footnote>
  <w:footnote w:id="2">
    <w:p w14:paraId="6928B3A6" w14:textId="77777777" w:rsidR="003C218A" w:rsidRDefault="003C218A" w:rsidP="003C218A">
      <w:pPr>
        <w:pStyle w:val="Textonotapie"/>
        <w:ind w:left="142" w:right="-547"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L</w:t>
      </w:r>
      <w:r w:rsidRPr="002B7F1F">
        <w:rPr>
          <w:sz w:val="16"/>
          <w:szCs w:val="16"/>
        </w:rPr>
        <w:t>a mayoría de</w:t>
      </w:r>
      <w:r>
        <w:rPr>
          <w:sz w:val="16"/>
          <w:szCs w:val="16"/>
        </w:rPr>
        <w:t xml:space="preserve"> </w:t>
      </w:r>
      <w:r w:rsidRPr="002B7F1F">
        <w:rPr>
          <w:sz w:val="16"/>
          <w:szCs w:val="16"/>
        </w:rPr>
        <w:t>las series económicas se ven afectadas por factores estacionales</w:t>
      </w:r>
      <w:r>
        <w:rPr>
          <w:sz w:val="16"/>
          <w:szCs w:val="16"/>
        </w:rPr>
        <w:t xml:space="preserve"> y de calendario. El ajuste de las cifras por dichos factores permite obtener las cifras desestacionalizadas, cuyo análisis </w:t>
      </w:r>
      <w:r w:rsidRPr="00C07AE5">
        <w:rPr>
          <w:sz w:val="16"/>
          <w:szCs w:val="16"/>
        </w:rPr>
        <w:t>ayuda a realizar un mejor diagnóstico de la evolución de la</w:t>
      </w:r>
      <w:r>
        <w:rPr>
          <w:sz w:val="16"/>
          <w:szCs w:val="16"/>
        </w:rPr>
        <w:t>s</w:t>
      </w:r>
      <w:r w:rsidRPr="00C07AE5">
        <w:rPr>
          <w:sz w:val="16"/>
          <w:szCs w:val="16"/>
        </w:rPr>
        <w:t xml:space="preserve"> </w:t>
      </w:r>
      <w:r>
        <w:rPr>
          <w:sz w:val="16"/>
          <w:szCs w:val="16"/>
        </w:rPr>
        <w:t>variables.</w:t>
      </w:r>
    </w:p>
    <w:p w14:paraId="5980E795" w14:textId="77777777" w:rsidR="003C218A" w:rsidRDefault="003C218A" w:rsidP="003C218A">
      <w:pPr>
        <w:pStyle w:val="Textonotapie"/>
        <w:ind w:left="142" w:right="-547" w:hanging="142"/>
        <w:rPr>
          <w:sz w:val="16"/>
          <w:szCs w:val="16"/>
        </w:rPr>
      </w:pPr>
    </w:p>
    <w:p w14:paraId="414117C5" w14:textId="77777777" w:rsidR="003C218A" w:rsidRDefault="003C218A" w:rsidP="003C218A">
      <w:pPr>
        <w:pStyle w:val="Textonotapie"/>
        <w:ind w:left="142" w:right="-547" w:hanging="142"/>
        <w:rPr>
          <w:sz w:val="16"/>
          <w:szCs w:val="16"/>
        </w:rPr>
      </w:pPr>
    </w:p>
    <w:p w14:paraId="7939B5D5" w14:textId="77777777" w:rsidR="003C218A" w:rsidRPr="00C07AE5" w:rsidRDefault="003C218A" w:rsidP="003C218A">
      <w:pPr>
        <w:pStyle w:val="Textonotapie"/>
        <w:ind w:left="142" w:hanging="142"/>
        <w:rPr>
          <w:sz w:val="16"/>
          <w:szCs w:val="16"/>
        </w:rPr>
      </w:pPr>
    </w:p>
  </w:footnote>
  <w:footnote w:id="3">
    <w:p w14:paraId="3601A158" w14:textId="77777777" w:rsidR="003C218A" w:rsidRDefault="003C218A" w:rsidP="003C218A">
      <w:pPr>
        <w:pStyle w:val="Textonotapie"/>
        <w:ind w:left="142"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Variación anual de las cifras desestacionalizadas.</w:t>
      </w:r>
    </w:p>
    <w:p w14:paraId="77977546" w14:textId="77777777" w:rsidR="003C218A" w:rsidRDefault="003C218A" w:rsidP="003C218A">
      <w:pPr>
        <w:pStyle w:val="Textonotapie"/>
        <w:ind w:left="142" w:hanging="142"/>
        <w:rPr>
          <w:sz w:val="16"/>
          <w:szCs w:val="16"/>
        </w:rPr>
      </w:pPr>
    </w:p>
    <w:p w14:paraId="087AE323" w14:textId="77777777" w:rsidR="003C218A" w:rsidRPr="00C07AE5" w:rsidRDefault="003C218A" w:rsidP="003C218A">
      <w:pPr>
        <w:pStyle w:val="Textonotapie"/>
        <w:ind w:left="142" w:hanging="142"/>
        <w:rPr>
          <w:sz w:val="16"/>
          <w:szCs w:val="16"/>
        </w:rPr>
      </w:pPr>
    </w:p>
  </w:footnote>
  <w:footnote w:id="4">
    <w:p w14:paraId="5AB093CB" w14:textId="77777777" w:rsidR="00524FC0" w:rsidRPr="00C07AE5" w:rsidRDefault="00524FC0" w:rsidP="00524FC0">
      <w:pPr>
        <w:pStyle w:val="Textonotapie"/>
        <w:ind w:left="142"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Año base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86DFC" w14:textId="42604FB4" w:rsidR="003C218A" w:rsidRPr="00265B8C" w:rsidRDefault="003C218A" w:rsidP="00FC5FE5">
    <w:pPr>
      <w:pStyle w:val="Encabezado"/>
      <w:framePr w:w="5241" w:hSpace="141" w:wrap="auto" w:vAnchor="text" w:hAnchor="page" w:x="5851" w:y="34"/>
      <w:ind w:left="567" w:hanging="11"/>
      <w:jc w:val="right"/>
      <w:rPr>
        <w:b/>
        <w:color w:val="002060"/>
      </w:rPr>
    </w:pPr>
    <w:r w:rsidRPr="00265B8C">
      <w:rPr>
        <w:b/>
        <w:color w:val="002060"/>
      </w:rPr>
      <w:t xml:space="preserve">COMUNICADO DE PRENSA NÚM. </w:t>
    </w:r>
    <w:r w:rsidR="00FC5FE5">
      <w:rPr>
        <w:b/>
        <w:color w:val="002060"/>
      </w:rPr>
      <w:t>49</w:t>
    </w:r>
    <w:r w:rsidR="00FD0D25">
      <w:rPr>
        <w:b/>
        <w:color w:val="002060"/>
      </w:rPr>
      <w:t>7</w:t>
    </w:r>
    <w:r w:rsidRPr="00265B8C">
      <w:rPr>
        <w:b/>
        <w:color w:val="002060"/>
      </w:rPr>
      <w:t>/</w:t>
    </w:r>
    <w:r>
      <w:rPr>
        <w:b/>
        <w:color w:val="002060"/>
      </w:rPr>
      <w:t>21</w:t>
    </w:r>
  </w:p>
  <w:p w14:paraId="5A504632" w14:textId="77777777" w:rsidR="003C218A" w:rsidRPr="00265B8C" w:rsidRDefault="003C218A" w:rsidP="00FC5FE5">
    <w:pPr>
      <w:pStyle w:val="Encabezado"/>
      <w:framePr w:w="5241" w:hSpace="141" w:wrap="auto" w:vAnchor="text" w:hAnchor="page" w:x="5851" w:y="34"/>
      <w:ind w:left="567" w:hanging="11"/>
      <w:jc w:val="right"/>
      <w:rPr>
        <w:b/>
        <w:color w:val="002060"/>
        <w:lang w:val="pt-BR"/>
      </w:rPr>
    </w:pPr>
    <w:r>
      <w:rPr>
        <w:b/>
        <w:color w:val="002060"/>
        <w:lang w:val="pt-BR"/>
      </w:rPr>
      <w:t xml:space="preserve">25 DE AGOSTO </w:t>
    </w:r>
    <w:r w:rsidRPr="00265B8C">
      <w:rPr>
        <w:b/>
        <w:color w:val="002060"/>
        <w:lang w:val="pt-BR"/>
      </w:rPr>
      <w:t>DE 20</w:t>
    </w:r>
    <w:r>
      <w:rPr>
        <w:b/>
        <w:color w:val="002060"/>
        <w:lang w:val="pt-BR"/>
      </w:rPr>
      <w:t>21</w:t>
    </w:r>
  </w:p>
  <w:p w14:paraId="54A1CA7F" w14:textId="77777777" w:rsidR="003C218A" w:rsidRPr="00265B8C" w:rsidRDefault="003C218A" w:rsidP="00FC5FE5">
    <w:pPr>
      <w:pStyle w:val="Encabezado"/>
      <w:framePr w:w="5241" w:hSpace="141" w:wrap="auto" w:vAnchor="text" w:hAnchor="page" w:x="5851" w:y="34"/>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3</w:t>
    </w:r>
  </w:p>
  <w:p w14:paraId="5DE25E46" w14:textId="77777777" w:rsidR="003C218A" w:rsidRDefault="003C218A" w:rsidP="00FC5FE5">
    <w:pPr>
      <w:pStyle w:val="Encabezado"/>
      <w:ind w:left="-142"/>
    </w:pPr>
    <w:r>
      <w:rPr>
        <w:noProof/>
      </w:rPr>
      <w:drawing>
        <wp:inline distT="0" distB="0" distL="0" distR="0" wp14:anchorId="522EAE51" wp14:editId="52E5881D">
          <wp:extent cx="762043" cy="791560"/>
          <wp:effectExtent l="0" t="0" r="0" b="889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091" cy="81757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865DA" w14:textId="475C5128" w:rsidR="003B5757" w:rsidRDefault="00E463F2" w:rsidP="00C4005B">
    <w:pPr>
      <w:pStyle w:val="Encabezado"/>
      <w:jc w:val="center"/>
      <w:rPr>
        <w:noProof/>
        <w:lang w:val="es-MX" w:eastAsia="es-MX"/>
      </w:rPr>
    </w:pPr>
    <w:r>
      <w:rPr>
        <w:noProof/>
        <w:lang w:val="es-MX" w:eastAsia="es-MX"/>
      </w:rPr>
      <w:drawing>
        <wp:inline distT="0" distB="0" distL="0" distR="0" wp14:anchorId="2FF607B2" wp14:editId="0C92115B">
          <wp:extent cx="1008000" cy="988597"/>
          <wp:effectExtent l="0" t="0" r="1905" b="2540"/>
          <wp:docPr id="5" name="Imagen 5"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p w14:paraId="73381F54" w14:textId="77777777" w:rsidR="00C52D66" w:rsidRDefault="00C52D66" w:rsidP="003702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E4635B"/>
    <w:multiLevelType w:val="singleLevel"/>
    <w:tmpl w:val="A744799E"/>
    <w:lvl w:ilvl="0">
      <w:numFmt w:val="decimal"/>
      <w:lvlText w:val="*"/>
      <w:lvlJc w:val="left"/>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6"/>
  </w:num>
  <w:num w:numId="13">
    <w:abstractNumId w:val="17"/>
  </w:num>
  <w:num w:numId="14">
    <w:abstractNumId w:val="11"/>
  </w:num>
  <w:num w:numId="15">
    <w:abstractNumId w:val="8"/>
  </w:num>
  <w:num w:numId="16">
    <w:abstractNumId w:val="14"/>
  </w:num>
  <w:num w:numId="17">
    <w:abstractNumId w:val="10"/>
  </w:num>
  <w:num w:numId="18">
    <w:abstractNumId w:val="13"/>
  </w:num>
  <w:num w:numId="19">
    <w:abstractNumId w:val="5"/>
  </w:num>
  <w:num w:numId="20">
    <w:abstractNumId w:val="2"/>
  </w:num>
  <w:num w:numId="21">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2BA8"/>
    <w:rsid w:val="00003C25"/>
    <w:rsid w:val="00003C68"/>
    <w:rsid w:val="00004291"/>
    <w:rsid w:val="0000458A"/>
    <w:rsid w:val="000050C6"/>
    <w:rsid w:val="00005940"/>
    <w:rsid w:val="00006B5A"/>
    <w:rsid w:val="000078B1"/>
    <w:rsid w:val="00007A1A"/>
    <w:rsid w:val="00010A59"/>
    <w:rsid w:val="000112A7"/>
    <w:rsid w:val="0001151F"/>
    <w:rsid w:val="00011840"/>
    <w:rsid w:val="00011AC0"/>
    <w:rsid w:val="00011BD3"/>
    <w:rsid w:val="0001211A"/>
    <w:rsid w:val="00012278"/>
    <w:rsid w:val="00012A27"/>
    <w:rsid w:val="00012E16"/>
    <w:rsid w:val="0001302A"/>
    <w:rsid w:val="00013212"/>
    <w:rsid w:val="000132A4"/>
    <w:rsid w:val="00013319"/>
    <w:rsid w:val="00013E55"/>
    <w:rsid w:val="000141A8"/>
    <w:rsid w:val="0001447E"/>
    <w:rsid w:val="000144ED"/>
    <w:rsid w:val="00014FBD"/>
    <w:rsid w:val="00015302"/>
    <w:rsid w:val="00015CDC"/>
    <w:rsid w:val="00016590"/>
    <w:rsid w:val="00016B4E"/>
    <w:rsid w:val="00016D3A"/>
    <w:rsid w:val="0001718D"/>
    <w:rsid w:val="000176AC"/>
    <w:rsid w:val="00021432"/>
    <w:rsid w:val="00021492"/>
    <w:rsid w:val="000216A3"/>
    <w:rsid w:val="00022469"/>
    <w:rsid w:val="000228C4"/>
    <w:rsid w:val="00022CA3"/>
    <w:rsid w:val="00022D8E"/>
    <w:rsid w:val="00024146"/>
    <w:rsid w:val="00024AC7"/>
    <w:rsid w:val="00025B42"/>
    <w:rsid w:val="000260EE"/>
    <w:rsid w:val="00026B3C"/>
    <w:rsid w:val="00026B52"/>
    <w:rsid w:val="0002754B"/>
    <w:rsid w:val="000300AA"/>
    <w:rsid w:val="00030480"/>
    <w:rsid w:val="0003064D"/>
    <w:rsid w:val="0003065F"/>
    <w:rsid w:val="00030D10"/>
    <w:rsid w:val="00031231"/>
    <w:rsid w:val="000314D3"/>
    <w:rsid w:val="00031BCF"/>
    <w:rsid w:val="00032970"/>
    <w:rsid w:val="00032B16"/>
    <w:rsid w:val="00033603"/>
    <w:rsid w:val="00033A14"/>
    <w:rsid w:val="0003447A"/>
    <w:rsid w:val="00034BC3"/>
    <w:rsid w:val="00035376"/>
    <w:rsid w:val="000353F3"/>
    <w:rsid w:val="00035600"/>
    <w:rsid w:val="00035B2D"/>
    <w:rsid w:val="00035DA7"/>
    <w:rsid w:val="00036D72"/>
    <w:rsid w:val="00037089"/>
    <w:rsid w:val="00037177"/>
    <w:rsid w:val="00037CC4"/>
    <w:rsid w:val="0004066E"/>
    <w:rsid w:val="00040F75"/>
    <w:rsid w:val="000415AB"/>
    <w:rsid w:val="00041FF7"/>
    <w:rsid w:val="0004225C"/>
    <w:rsid w:val="00042909"/>
    <w:rsid w:val="00043535"/>
    <w:rsid w:val="000436EA"/>
    <w:rsid w:val="00043B32"/>
    <w:rsid w:val="00043E2B"/>
    <w:rsid w:val="0004427A"/>
    <w:rsid w:val="00044296"/>
    <w:rsid w:val="00044699"/>
    <w:rsid w:val="00044700"/>
    <w:rsid w:val="00044C5E"/>
    <w:rsid w:val="0004596A"/>
    <w:rsid w:val="00045AF1"/>
    <w:rsid w:val="00045E9B"/>
    <w:rsid w:val="00046139"/>
    <w:rsid w:val="000465BF"/>
    <w:rsid w:val="00046822"/>
    <w:rsid w:val="00046AB6"/>
    <w:rsid w:val="00046D06"/>
    <w:rsid w:val="00046D37"/>
    <w:rsid w:val="000471BE"/>
    <w:rsid w:val="000471CD"/>
    <w:rsid w:val="0004735D"/>
    <w:rsid w:val="0004777C"/>
    <w:rsid w:val="000501E0"/>
    <w:rsid w:val="00050934"/>
    <w:rsid w:val="000509AF"/>
    <w:rsid w:val="00050FB5"/>
    <w:rsid w:val="000516A0"/>
    <w:rsid w:val="00051C72"/>
    <w:rsid w:val="00051D1C"/>
    <w:rsid w:val="00051D9E"/>
    <w:rsid w:val="00052F04"/>
    <w:rsid w:val="00052F1E"/>
    <w:rsid w:val="000536D2"/>
    <w:rsid w:val="00053B2C"/>
    <w:rsid w:val="00053EB7"/>
    <w:rsid w:val="00054A4F"/>
    <w:rsid w:val="00055047"/>
    <w:rsid w:val="00055B54"/>
    <w:rsid w:val="00056F51"/>
    <w:rsid w:val="000573F5"/>
    <w:rsid w:val="00057DFD"/>
    <w:rsid w:val="00057F37"/>
    <w:rsid w:val="000602B0"/>
    <w:rsid w:val="0006056C"/>
    <w:rsid w:val="00061109"/>
    <w:rsid w:val="0006228A"/>
    <w:rsid w:val="00063614"/>
    <w:rsid w:val="00063838"/>
    <w:rsid w:val="00063D4B"/>
    <w:rsid w:val="0006433F"/>
    <w:rsid w:val="000645E1"/>
    <w:rsid w:val="000646BA"/>
    <w:rsid w:val="00064BBC"/>
    <w:rsid w:val="00064E9D"/>
    <w:rsid w:val="00064FDB"/>
    <w:rsid w:val="00065106"/>
    <w:rsid w:val="000651F1"/>
    <w:rsid w:val="00065708"/>
    <w:rsid w:val="00065A07"/>
    <w:rsid w:val="00065BC1"/>
    <w:rsid w:val="00066638"/>
    <w:rsid w:val="00066EA7"/>
    <w:rsid w:val="0007012A"/>
    <w:rsid w:val="0007017F"/>
    <w:rsid w:val="00070219"/>
    <w:rsid w:val="0007024E"/>
    <w:rsid w:val="00070431"/>
    <w:rsid w:val="000707FF"/>
    <w:rsid w:val="00070864"/>
    <w:rsid w:val="0007145A"/>
    <w:rsid w:val="00071F33"/>
    <w:rsid w:val="000725AC"/>
    <w:rsid w:val="000728D7"/>
    <w:rsid w:val="00072B18"/>
    <w:rsid w:val="000730F3"/>
    <w:rsid w:val="00073491"/>
    <w:rsid w:val="000739D2"/>
    <w:rsid w:val="00073A6C"/>
    <w:rsid w:val="00073EF4"/>
    <w:rsid w:val="000753EC"/>
    <w:rsid w:val="0007567F"/>
    <w:rsid w:val="00075B3A"/>
    <w:rsid w:val="00075DEC"/>
    <w:rsid w:val="000761DF"/>
    <w:rsid w:val="00076234"/>
    <w:rsid w:val="000767F7"/>
    <w:rsid w:val="00076CC9"/>
    <w:rsid w:val="00076EE9"/>
    <w:rsid w:val="00077C46"/>
    <w:rsid w:val="0008027F"/>
    <w:rsid w:val="000806EB"/>
    <w:rsid w:val="0008084D"/>
    <w:rsid w:val="00080FB7"/>
    <w:rsid w:val="000814ED"/>
    <w:rsid w:val="0008175A"/>
    <w:rsid w:val="0008195B"/>
    <w:rsid w:val="000826F7"/>
    <w:rsid w:val="00082C9B"/>
    <w:rsid w:val="00082F11"/>
    <w:rsid w:val="0008325D"/>
    <w:rsid w:val="000834DD"/>
    <w:rsid w:val="00084687"/>
    <w:rsid w:val="00084A57"/>
    <w:rsid w:val="00084BED"/>
    <w:rsid w:val="00084EDB"/>
    <w:rsid w:val="00084FF2"/>
    <w:rsid w:val="0008524D"/>
    <w:rsid w:val="000856E9"/>
    <w:rsid w:val="00086295"/>
    <w:rsid w:val="0008756B"/>
    <w:rsid w:val="0008798D"/>
    <w:rsid w:val="00087DB7"/>
    <w:rsid w:val="00090191"/>
    <w:rsid w:val="0009025D"/>
    <w:rsid w:val="00090997"/>
    <w:rsid w:val="00090B9C"/>
    <w:rsid w:val="00090D7B"/>
    <w:rsid w:val="00090F4A"/>
    <w:rsid w:val="00091474"/>
    <w:rsid w:val="000915F7"/>
    <w:rsid w:val="00092764"/>
    <w:rsid w:val="0009292F"/>
    <w:rsid w:val="00092F4C"/>
    <w:rsid w:val="00092FF8"/>
    <w:rsid w:val="00094496"/>
    <w:rsid w:val="000950E7"/>
    <w:rsid w:val="00095360"/>
    <w:rsid w:val="000955AA"/>
    <w:rsid w:val="00095692"/>
    <w:rsid w:val="000957BC"/>
    <w:rsid w:val="00096737"/>
    <w:rsid w:val="00097B55"/>
    <w:rsid w:val="00097C0A"/>
    <w:rsid w:val="000A0344"/>
    <w:rsid w:val="000A06B1"/>
    <w:rsid w:val="000A0823"/>
    <w:rsid w:val="000A21D6"/>
    <w:rsid w:val="000A2F4F"/>
    <w:rsid w:val="000A2F92"/>
    <w:rsid w:val="000A31EF"/>
    <w:rsid w:val="000A330C"/>
    <w:rsid w:val="000A3354"/>
    <w:rsid w:val="000A3733"/>
    <w:rsid w:val="000A43B0"/>
    <w:rsid w:val="000A4AF8"/>
    <w:rsid w:val="000A4EB4"/>
    <w:rsid w:val="000A5308"/>
    <w:rsid w:val="000A53E6"/>
    <w:rsid w:val="000A574B"/>
    <w:rsid w:val="000A5B04"/>
    <w:rsid w:val="000A5E2A"/>
    <w:rsid w:val="000A5E5E"/>
    <w:rsid w:val="000A643B"/>
    <w:rsid w:val="000A6E92"/>
    <w:rsid w:val="000A707A"/>
    <w:rsid w:val="000A78BA"/>
    <w:rsid w:val="000B0710"/>
    <w:rsid w:val="000B1C11"/>
    <w:rsid w:val="000B1D13"/>
    <w:rsid w:val="000B29B8"/>
    <w:rsid w:val="000B2A27"/>
    <w:rsid w:val="000B47B1"/>
    <w:rsid w:val="000B4A6A"/>
    <w:rsid w:val="000B50FB"/>
    <w:rsid w:val="000B515D"/>
    <w:rsid w:val="000B5A74"/>
    <w:rsid w:val="000B5FA3"/>
    <w:rsid w:val="000B6AF6"/>
    <w:rsid w:val="000C0FEE"/>
    <w:rsid w:val="000C1051"/>
    <w:rsid w:val="000C1F04"/>
    <w:rsid w:val="000C2892"/>
    <w:rsid w:val="000C2B3C"/>
    <w:rsid w:val="000C30D7"/>
    <w:rsid w:val="000C3105"/>
    <w:rsid w:val="000C34DD"/>
    <w:rsid w:val="000C37BC"/>
    <w:rsid w:val="000C3B87"/>
    <w:rsid w:val="000C482F"/>
    <w:rsid w:val="000C4992"/>
    <w:rsid w:val="000C4C15"/>
    <w:rsid w:val="000C5299"/>
    <w:rsid w:val="000C5468"/>
    <w:rsid w:val="000C55CC"/>
    <w:rsid w:val="000C5852"/>
    <w:rsid w:val="000C5D0E"/>
    <w:rsid w:val="000C6A4A"/>
    <w:rsid w:val="000C6AFD"/>
    <w:rsid w:val="000D06FA"/>
    <w:rsid w:val="000D0825"/>
    <w:rsid w:val="000D0DDA"/>
    <w:rsid w:val="000D0ED5"/>
    <w:rsid w:val="000D0F57"/>
    <w:rsid w:val="000D113E"/>
    <w:rsid w:val="000D1169"/>
    <w:rsid w:val="000D15C5"/>
    <w:rsid w:val="000D1EF3"/>
    <w:rsid w:val="000D25DA"/>
    <w:rsid w:val="000D28A5"/>
    <w:rsid w:val="000D31C1"/>
    <w:rsid w:val="000D32F1"/>
    <w:rsid w:val="000D33E6"/>
    <w:rsid w:val="000D36B2"/>
    <w:rsid w:val="000D39FD"/>
    <w:rsid w:val="000D43DC"/>
    <w:rsid w:val="000D4833"/>
    <w:rsid w:val="000D49D2"/>
    <w:rsid w:val="000D4A88"/>
    <w:rsid w:val="000D4BBC"/>
    <w:rsid w:val="000D4D90"/>
    <w:rsid w:val="000D4E26"/>
    <w:rsid w:val="000D5176"/>
    <w:rsid w:val="000D5EDB"/>
    <w:rsid w:val="000D6C0F"/>
    <w:rsid w:val="000D6F1E"/>
    <w:rsid w:val="000D7A95"/>
    <w:rsid w:val="000D7BBD"/>
    <w:rsid w:val="000D7FF6"/>
    <w:rsid w:val="000E03C0"/>
    <w:rsid w:val="000E0654"/>
    <w:rsid w:val="000E19B3"/>
    <w:rsid w:val="000E2970"/>
    <w:rsid w:val="000E3099"/>
    <w:rsid w:val="000E3BD8"/>
    <w:rsid w:val="000E3CC1"/>
    <w:rsid w:val="000E5331"/>
    <w:rsid w:val="000E5526"/>
    <w:rsid w:val="000E5990"/>
    <w:rsid w:val="000E5D6B"/>
    <w:rsid w:val="000E5FE0"/>
    <w:rsid w:val="000E6262"/>
    <w:rsid w:val="000E6D5D"/>
    <w:rsid w:val="000F0023"/>
    <w:rsid w:val="000F05D5"/>
    <w:rsid w:val="000F0BC2"/>
    <w:rsid w:val="000F1DEB"/>
    <w:rsid w:val="000F30E6"/>
    <w:rsid w:val="000F3491"/>
    <w:rsid w:val="000F3DE6"/>
    <w:rsid w:val="000F44E7"/>
    <w:rsid w:val="000F49F1"/>
    <w:rsid w:val="000F4C41"/>
    <w:rsid w:val="000F4E66"/>
    <w:rsid w:val="000F4FA7"/>
    <w:rsid w:val="000F536A"/>
    <w:rsid w:val="000F541D"/>
    <w:rsid w:val="000F5AD1"/>
    <w:rsid w:val="000F649E"/>
    <w:rsid w:val="000F69FA"/>
    <w:rsid w:val="000F6F28"/>
    <w:rsid w:val="000F7577"/>
    <w:rsid w:val="000F7892"/>
    <w:rsid w:val="000F7974"/>
    <w:rsid w:val="000F7ECD"/>
    <w:rsid w:val="000F7FB5"/>
    <w:rsid w:val="00100317"/>
    <w:rsid w:val="0010113A"/>
    <w:rsid w:val="001011EC"/>
    <w:rsid w:val="001017C1"/>
    <w:rsid w:val="00101A87"/>
    <w:rsid w:val="00101E92"/>
    <w:rsid w:val="00101F40"/>
    <w:rsid w:val="00102206"/>
    <w:rsid w:val="00102729"/>
    <w:rsid w:val="00102B59"/>
    <w:rsid w:val="00103847"/>
    <w:rsid w:val="00103913"/>
    <w:rsid w:val="00105234"/>
    <w:rsid w:val="00105E2B"/>
    <w:rsid w:val="0010619C"/>
    <w:rsid w:val="0010664D"/>
    <w:rsid w:val="00106CDE"/>
    <w:rsid w:val="00106F93"/>
    <w:rsid w:val="00110453"/>
    <w:rsid w:val="00110510"/>
    <w:rsid w:val="0011076D"/>
    <w:rsid w:val="00110DB1"/>
    <w:rsid w:val="00110DF0"/>
    <w:rsid w:val="001114D0"/>
    <w:rsid w:val="00111703"/>
    <w:rsid w:val="00111AA3"/>
    <w:rsid w:val="00111F29"/>
    <w:rsid w:val="00111FA3"/>
    <w:rsid w:val="00113348"/>
    <w:rsid w:val="00113404"/>
    <w:rsid w:val="001134B4"/>
    <w:rsid w:val="00113DE8"/>
    <w:rsid w:val="0011424C"/>
    <w:rsid w:val="0011478A"/>
    <w:rsid w:val="00114B56"/>
    <w:rsid w:val="00114B96"/>
    <w:rsid w:val="00114E47"/>
    <w:rsid w:val="00115A20"/>
    <w:rsid w:val="00116647"/>
    <w:rsid w:val="00116F84"/>
    <w:rsid w:val="00117067"/>
    <w:rsid w:val="00117193"/>
    <w:rsid w:val="00117302"/>
    <w:rsid w:val="0011763B"/>
    <w:rsid w:val="00117D7A"/>
    <w:rsid w:val="00120112"/>
    <w:rsid w:val="001206BD"/>
    <w:rsid w:val="00120EA1"/>
    <w:rsid w:val="0012181E"/>
    <w:rsid w:val="00122048"/>
    <w:rsid w:val="001228A0"/>
    <w:rsid w:val="00122CD2"/>
    <w:rsid w:val="00123EFF"/>
    <w:rsid w:val="001241F7"/>
    <w:rsid w:val="001245E3"/>
    <w:rsid w:val="00124D1A"/>
    <w:rsid w:val="001251AF"/>
    <w:rsid w:val="001253B4"/>
    <w:rsid w:val="00125654"/>
    <w:rsid w:val="00125D0D"/>
    <w:rsid w:val="00125D9D"/>
    <w:rsid w:val="001263E8"/>
    <w:rsid w:val="00127810"/>
    <w:rsid w:val="00127CE3"/>
    <w:rsid w:val="001301E6"/>
    <w:rsid w:val="001304F2"/>
    <w:rsid w:val="00130C4C"/>
    <w:rsid w:val="001313EB"/>
    <w:rsid w:val="0013193B"/>
    <w:rsid w:val="00131D67"/>
    <w:rsid w:val="0013222E"/>
    <w:rsid w:val="00134904"/>
    <w:rsid w:val="001349AB"/>
    <w:rsid w:val="00134B68"/>
    <w:rsid w:val="00134F4E"/>
    <w:rsid w:val="00134FB0"/>
    <w:rsid w:val="001350AC"/>
    <w:rsid w:val="001352EC"/>
    <w:rsid w:val="00135E0B"/>
    <w:rsid w:val="001361A8"/>
    <w:rsid w:val="001365A5"/>
    <w:rsid w:val="001368CC"/>
    <w:rsid w:val="00136ACB"/>
    <w:rsid w:val="001372CA"/>
    <w:rsid w:val="00137AFD"/>
    <w:rsid w:val="0014012A"/>
    <w:rsid w:val="00140AD8"/>
    <w:rsid w:val="00140BE4"/>
    <w:rsid w:val="001411DE"/>
    <w:rsid w:val="00141399"/>
    <w:rsid w:val="001418EF"/>
    <w:rsid w:val="00141A0B"/>
    <w:rsid w:val="00141AF4"/>
    <w:rsid w:val="001427B3"/>
    <w:rsid w:val="00142E09"/>
    <w:rsid w:val="0014377B"/>
    <w:rsid w:val="00143D3A"/>
    <w:rsid w:val="001440AA"/>
    <w:rsid w:val="001455FA"/>
    <w:rsid w:val="0014594B"/>
    <w:rsid w:val="00145F65"/>
    <w:rsid w:val="001460E0"/>
    <w:rsid w:val="00146902"/>
    <w:rsid w:val="00146DFA"/>
    <w:rsid w:val="0015018D"/>
    <w:rsid w:val="00150228"/>
    <w:rsid w:val="001502C3"/>
    <w:rsid w:val="001504E8"/>
    <w:rsid w:val="00150536"/>
    <w:rsid w:val="001523B1"/>
    <w:rsid w:val="001533B2"/>
    <w:rsid w:val="001534CA"/>
    <w:rsid w:val="0015369A"/>
    <w:rsid w:val="0015386A"/>
    <w:rsid w:val="001540F9"/>
    <w:rsid w:val="00154E90"/>
    <w:rsid w:val="001557A9"/>
    <w:rsid w:val="00155878"/>
    <w:rsid w:val="0015599D"/>
    <w:rsid w:val="00155A36"/>
    <w:rsid w:val="00156B20"/>
    <w:rsid w:val="0015755C"/>
    <w:rsid w:val="001577D4"/>
    <w:rsid w:val="001600C9"/>
    <w:rsid w:val="00160208"/>
    <w:rsid w:val="00160308"/>
    <w:rsid w:val="0016052B"/>
    <w:rsid w:val="00160957"/>
    <w:rsid w:val="00160B56"/>
    <w:rsid w:val="0016159C"/>
    <w:rsid w:val="00161833"/>
    <w:rsid w:val="00161E62"/>
    <w:rsid w:val="00162797"/>
    <w:rsid w:val="00162A20"/>
    <w:rsid w:val="00164CD1"/>
    <w:rsid w:val="001655BD"/>
    <w:rsid w:val="00165810"/>
    <w:rsid w:val="00165E36"/>
    <w:rsid w:val="0016614B"/>
    <w:rsid w:val="001665FD"/>
    <w:rsid w:val="00167A72"/>
    <w:rsid w:val="0017080F"/>
    <w:rsid w:val="00170972"/>
    <w:rsid w:val="00170BD4"/>
    <w:rsid w:val="001711E3"/>
    <w:rsid w:val="001715D2"/>
    <w:rsid w:val="00171F31"/>
    <w:rsid w:val="00171F36"/>
    <w:rsid w:val="001723FC"/>
    <w:rsid w:val="00172464"/>
    <w:rsid w:val="00172600"/>
    <w:rsid w:val="00172614"/>
    <w:rsid w:val="00172AA4"/>
    <w:rsid w:val="0017308E"/>
    <w:rsid w:val="0017325D"/>
    <w:rsid w:val="00173309"/>
    <w:rsid w:val="0017357E"/>
    <w:rsid w:val="001735A8"/>
    <w:rsid w:val="00173881"/>
    <w:rsid w:val="001740E5"/>
    <w:rsid w:val="0017446E"/>
    <w:rsid w:val="0017451D"/>
    <w:rsid w:val="00174587"/>
    <w:rsid w:val="0017474C"/>
    <w:rsid w:val="00174783"/>
    <w:rsid w:val="00175869"/>
    <w:rsid w:val="00175CF4"/>
    <w:rsid w:val="0017618C"/>
    <w:rsid w:val="001763FA"/>
    <w:rsid w:val="001763FC"/>
    <w:rsid w:val="00176592"/>
    <w:rsid w:val="00176E7D"/>
    <w:rsid w:val="00177026"/>
    <w:rsid w:val="00177187"/>
    <w:rsid w:val="001773BC"/>
    <w:rsid w:val="00180887"/>
    <w:rsid w:val="00180A83"/>
    <w:rsid w:val="001813AB"/>
    <w:rsid w:val="001819C6"/>
    <w:rsid w:val="00181AA2"/>
    <w:rsid w:val="00181B78"/>
    <w:rsid w:val="0018211C"/>
    <w:rsid w:val="001821F8"/>
    <w:rsid w:val="00182CBE"/>
    <w:rsid w:val="001831B3"/>
    <w:rsid w:val="00184537"/>
    <w:rsid w:val="001845FA"/>
    <w:rsid w:val="00184EBD"/>
    <w:rsid w:val="0018522B"/>
    <w:rsid w:val="001854A8"/>
    <w:rsid w:val="00185D40"/>
    <w:rsid w:val="00186980"/>
    <w:rsid w:val="00186C17"/>
    <w:rsid w:val="001876B4"/>
    <w:rsid w:val="00187E87"/>
    <w:rsid w:val="00190180"/>
    <w:rsid w:val="00190A43"/>
    <w:rsid w:val="00190D0B"/>
    <w:rsid w:val="001912FB"/>
    <w:rsid w:val="00191608"/>
    <w:rsid w:val="00191664"/>
    <w:rsid w:val="00192065"/>
    <w:rsid w:val="001941AA"/>
    <w:rsid w:val="00194F73"/>
    <w:rsid w:val="00195EC2"/>
    <w:rsid w:val="00195F99"/>
    <w:rsid w:val="00197E8D"/>
    <w:rsid w:val="001A016C"/>
    <w:rsid w:val="001A0422"/>
    <w:rsid w:val="001A06C8"/>
    <w:rsid w:val="001A102F"/>
    <w:rsid w:val="001A1A27"/>
    <w:rsid w:val="001A1ED0"/>
    <w:rsid w:val="001A3372"/>
    <w:rsid w:val="001A35A6"/>
    <w:rsid w:val="001A368A"/>
    <w:rsid w:val="001A3963"/>
    <w:rsid w:val="001A41DF"/>
    <w:rsid w:val="001A43F5"/>
    <w:rsid w:val="001A4E0E"/>
    <w:rsid w:val="001A4E8C"/>
    <w:rsid w:val="001A4EF7"/>
    <w:rsid w:val="001A4F6E"/>
    <w:rsid w:val="001A5ABD"/>
    <w:rsid w:val="001A5CE0"/>
    <w:rsid w:val="001A60E2"/>
    <w:rsid w:val="001A69F0"/>
    <w:rsid w:val="001A7926"/>
    <w:rsid w:val="001A79AA"/>
    <w:rsid w:val="001A7F95"/>
    <w:rsid w:val="001B07B0"/>
    <w:rsid w:val="001B0992"/>
    <w:rsid w:val="001B0AC4"/>
    <w:rsid w:val="001B0AD9"/>
    <w:rsid w:val="001B1075"/>
    <w:rsid w:val="001B1120"/>
    <w:rsid w:val="001B15E2"/>
    <w:rsid w:val="001B163A"/>
    <w:rsid w:val="001B1C66"/>
    <w:rsid w:val="001B253D"/>
    <w:rsid w:val="001B277C"/>
    <w:rsid w:val="001B2C6A"/>
    <w:rsid w:val="001B2F19"/>
    <w:rsid w:val="001B35ED"/>
    <w:rsid w:val="001B369D"/>
    <w:rsid w:val="001B3E39"/>
    <w:rsid w:val="001B450E"/>
    <w:rsid w:val="001B46DB"/>
    <w:rsid w:val="001B4F75"/>
    <w:rsid w:val="001B544C"/>
    <w:rsid w:val="001B5DDB"/>
    <w:rsid w:val="001B6006"/>
    <w:rsid w:val="001B62D3"/>
    <w:rsid w:val="001B74F4"/>
    <w:rsid w:val="001B75DC"/>
    <w:rsid w:val="001B795A"/>
    <w:rsid w:val="001B7F66"/>
    <w:rsid w:val="001C0136"/>
    <w:rsid w:val="001C0A6E"/>
    <w:rsid w:val="001C0AD1"/>
    <w:rsid w:val="001C0BCC"/>
    <w:rsid w:val="001C117D"/>
    <w:rsid w:val="001C15B6"/>
    <w:rsid w:val="001C177D"/>
    <w:rsid w:val="001C1F9C"/>
    <w:rsid w:val="001C226A"/>
    <w:rsid w:val="001C236E"/>
    <w:rsid w:val="001C2629"/>
    <w:rsid w:val="001C29E7"/>
    <w:rsid w:val="001C32C6"/>
    <w:rsid w:val="001C3810"/>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06D"/>
    <w:rsid w:val="001D6186"/>
    <w:rsid w:val="001D62AF"/>
    <w:rsid w:val="001D637E"/>
    <w:rsid w:val="001D6652"/>
    <w:rsid w:val="001D69E5"/>
    <w:rsid w:val="001D6B3D"/>
    <w:rsid w:val="001D7104"/>
    <w:rsid w:val="001D71B1"/>
    <w:rsid w:val="001E075F"/>
    <w:rsid w:val="001E0933"/>
    <w:rsid w:val="001E0A09"/>
    <w:rsid w:val="001E0B64"/>
    <w:rsid w:val="001E14B0"/>
    <w:rsid w:val="001E14E8"/>
    <w:rsid w:val="001E1627"/>
    <w:rsid w:val="001E18BD"/>
    <w:rsid w:val="001E1DBA"/>
    <w:rsid w:val="001E1EF2"/>
    <w:rsid w:val="001E290B"/>
    <w:rsid w:val="001E385F"/>
    <w:rsid w:val="001E39E4"/>
    <w:rsid w:val="001E3F11"/>
    <w:rsid w:val="001E490C"/>
    <w:rsid w:val="001E4C68"/>
    <w:rsid w:val="001E50FD"/>
    <w:rsid w:val="001E5310"/>
    <w:rsid w:val="001E59DC"/>
    <w:rsid w:val="001E5DD7"/>
    <w:rsid w:val="001E5EEE"/>
    <w:rsid w:val="001E63AD"/>
    <w:rsid w:val="001E7358"/>
    <w:rsid w:val="001E7C72"/>
    <w:rsid w:val="001E7EDD"/>
    <w:rsid w:val="001F02CD"/>
    <w:rsid w:val="001F05C6"/>
    <w:rsid w:val="001F0B7F"/>
    <w:rsid w:val="001F0CD0"/>
    <w:rsid w:val="001F0F71"/>
    <w:rsid w:val="001F1169"/>
    <w:rsid w:val="001F19D1"/>
    <w:rsid w:val="001F1AD8"/>
    <w:rsid w:val="001F1B69"/>
    <w:rsid w:val="001F1CB8"/>
    <w:rsid w:val="001F1D9A"/>
    <w:rsid w:val="001F2740"/>
    <w:rsid w:val="001F2B0D"/>
    <w:rsid w:val="001F2C3A"/>
    <w:rsid w:val="001F2E29"/>
    <w:rsid w:val="001F2E51"/>
    <w:rsid w:val="001F3531"/>
    <w:rsid w:val="001F3696"/>
    <w:rsid w:val="001F42FF"/>
    <w:rsid w:val="001F44B4"/>
    <w:rsid w:val="001F44D3"/>
    <w:rsid w:val="001F4510"/>
    <w:rsid w:val="001F5708"/>
    <w:rsid w:val="001F58D3"/>
    <w:rsid w:val="001F5D89"/>
    <w:rsid w:val="001F65A4"/>
    <w:rsid w:val="001F65E0"/>
    <w:rsid w:val="001F696A"/>
    <w:rsid w:val="001F6EE3"/>
    <w:rsid w:val="001F720B"/>
    <w:rsid w:val="001F7362"/>
    <w:rsid w:val="001F7AE9"/>
    <w:rsid w:val="001F7CFD"/>
    <w:rsid w:val="002011D5"/>
    <w:rsid w:val="00201C2D"/>
    <w:rsid w:val="00201E78"/>
    <w:rsid w:val="002029DF"/>
    <w:rsid w:val="00203367"/>
    <w:rsid w:val="00203F93"/>
    <w:rsid w:val="00204438"/>
    <w:rsid w:val="00204A44"/>
    <w:rsid w:val="00205562"/>
    <w:rsid w:val="00206147"/>
    <w:rsid w:val="002064F3"/>
    <w:rsid w:val="00206945"/>
    <w:rsid w:val="002069A8"/>
    <w:rsid w:val="00206EE7"/>
    <w:rsid w:val="00207559"/>
    <w:rsid w:val="0020789A"/>
    <w:rsid w:val="00207C83"/>
    <w:rsid w:val="00210869"/>
    <w:rsid w:val="002116AD"/>
    <w:rsid w:val="00211999"/>
    <w:rsid w:val="002123A4"/>
    <w:rsid w:val="002126CD"/>
    <w:rsid w:val="00213773"/>
    <w:rsid w:val="002138B5"/>
    <w:rsid w:val="00213B0E"/>
    <w:rsid w:val="00213B63"/>
    <w:rsid w:val="00213CBC"/>
    <w:rsid w:val="00213F31"/>
    <w:rsid w:val="002141FB"/>
    <w:rsid w:val="0021455A"/>
    <w:rsid w:val="002146CA"/>
    <w:rsid w:val="002147D6"/>
    <w:rsid w:val="00214A76"/>
    <w:rsid w:val="0021575B"/>
    <w:rsid w:val="00215783"/>
    <w:rsid w:val="0021669B"/>
    <w:rsid w:val="00216876"/>
    <w:rsid w:val="00216BDA"/>
    <w:rsid w:val="0022018A"/>
    <w:rsid w:val="00220ADA"/>
    <w:rsid w:val="00220B7B"/>
    <w:rsid w:val="00221406"/>
    <w:rsid w:val="0022180E"/>
    <w:rsid w:val="002220BA"/>
    <w:rsid w:val="00222220"/>
    <w:rsid w:val="002227B3"/>
    <w:rsid w:val="00222CE3"/>
    <w:rsid w:val="002234AC"/>
    <w:rsid w:val="002235D7"/>
    <w:rsid w:val="002239C4"/>
    <w:rsid w:val="00224617"/>
    <w:rsid w:val="00224B4A"/>
    <w:rsid w:val="00225591"/>
    <w:rsid w:val="00225690"/>
    <w:rsid w:val="0022574F"/>
    <w:rsid w:val="00225920"/>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6B3"/>
    <w:rsid w:val="0023170E"/>
    <w:rsid w:val="00231839"/>
    <w:rsid w:val="0023262B"/>
    <w:rsid w:val="00232A4E"/>
    <w:rsid w:val="00233541"/>
    <w:rsid w:val="00233A7D"/>
    <w:rsid w:val="00233EDD"/>
    <w:rsid w:val="0023482B"/>
    <w:rsid w:val="0023482C"/>
    <w:rsid w:val="00234AA4"/>
    <w:rsid w:val="00234C7F"/>
    <w:rsid w:val="00234E62"/>
    <w:rsid w:val="00234F8F"/>
    <w:rsid w:val="00235F56"/>
    <w:rsid w:val="0023658F"/>
    <w:rsid w:val="00236872"/>
    <w:rsid w:val="00236890"/>
    <w:rsid w:val="002368C0"/>
    <w:rsid w:val="00236CC2"/>
    <w:rsid w:val="00236CDE"/>
    <w:rsid w:val="002370E2"/>
    <w:rsid w:val="0023763A"/>
    <w:rsid w:val="00237769"/>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5E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10E"/>
    <w:rsid w:val="00250260"/>
    <w:rsid w:val="00250FD5"/>
    <w:rsid w:val="00251167"/>
    <w:rsid w:val="002511BA"/>
    <w:rsid w:val="0025212E"/>
    <w:rsid w:val="002526B9"/>
    <w:rsid w:val="00252B3F"/>
    <w:rsid w:val="00252DD3"/>
    <w:rsid w:val="0025394F"/>
    <w:rsid w:val="00253B97"/>
    <w:rsid w:val="002544CB"/>
    <w:rsid w:val="00254724"/>
    <w:rsid w:val="0025504A"/>
    <w:rsid w:val="00255D8E"/>
    <w:rsid w:val="00256077"/>
    <w:rsid w:val="00256194"/>
    <w:rsid w:val="00256584"/>
    <w:rsid w:val="00256A9C"/>
    <w:rsid w:val="00256C48"/>
    <w:rsid w:val="00256EF8"/>
    <w:rsid w:val="002570D5"/>
    <w:rsid w:val="00257177"/>
    <w:rsid w:val="002573A3"/>
    <w:rsid w:val="00257730"/>
    <w:rsid w:val="00257803"/>
    <w:rsid w:val="00257B74"/>
    <w:rsid w:val="00257CD8"/>
    <w:rsid w:val="00260B48"/>
    <w:rsid w:val="002610D8"/>
    <w:rsid w:val="00261A6C"/>
    <w:rsid w:val="002629E2"/>
    <w:rsid w:val="00262BA8"/>
    <w:rsid w:val="00262BC8"/>
    <w:rsid w:val="00263C36"/>
    <w:rsid w:val="002641D9"/>
    <w:rsid w:val="002643C5"/>
    <w:rsid w:val="00264917"/>
    <w:rsid w:val="002651EC"/>
    <w:rsid w:val="00265DC2"/>
    <w:rsid w:val="0026638C"/>
    <w:rsid w:val="00266400"/>
    <w:rsid w:val="00266F00"/>
    <w:rsid w:val="002670EF"/>
    <w:rsid w:val="002671A2"/>
    <w:rsid w:val="00267A38"/>
    <w:rsid w:val="00267F5F"/>
    <w:rsid w:val="00270261"/>
    <w:rsid w:val="00270419"/>
    <w:rsid w:val="00270965"/>
    <w:rsid w:val="00271E5D"/>
    <w:rsid w:val="00272082"/>
    <w:rsid w:val="002730C5"/>
    <w:rsid w:val="0027349D"/>
    <w:rsid w:val="00273516"/>
    <w:rsid w:val="00273985"/>
    <w:rsid w:val="00273B82"/>
    <w:rsid w:val="00273E7A"/>
    <w:rsid w:val="00274372"/>
    <w:rsid w:val="0027475A"/>
    <w:rsid w:val="0027537B"/>
    <w:rsid w:val="00275F56"/>
    <w:rsid w:val="002765B7"/>
    <w:rsid w:val="00276EAA"/>
    <w:rsid w:val="00277713"/>
    <w:rsid w:val="00277DBC"/>
    <w:rsid w:val="00277F64"/>
    <w:rsid w:val="002802A0"/>
    <w:rsid w:val="00280509"/>
    <w:rsid w:val="00280550"/>
    <w:rsid w:val="00281063"/>
    <w:rsid w:val="00281676"/>
    <w:rsid w:val="00281855"/>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228"/>
    <w:rsid w:val="00286A03"/>
    <w:rsid w:val="00287514"/>
    <w:rsid w:val="00287836"/>
    <w:rsid w:val="0028791B"/>
    <w:rsid w:val="00287E44"/>
    <w:rsid w:val="00287F79"/>
    <w:rsid w:val="002900A9"/>
    <w:rsid w:val="00290C43"/>
    <w:rsid w:val="00290C90"/>
    <w:rsid w:val="002916DB"/>
    <w:rsid w:val="0029190A"/>
    <w:rsid w:val="00292798"/>
    <w:rsid w:val="00292B2A"/>
    <w:rsid w:val="00293271"/>
    <w:rsid w:val="00293587"/>
    <w:rsid w:val="00293896"/>
    <w:rsid w:val="00293ED1"/>
    <w:rsid w:val="00294A06"/>
    <w:rsid w:val="00294FFB"/>
    <w:rsid w:val="002954FD"/>
    <w:rsid w:val="00295A73"/>
    <w:rsid w:val="00296242"/>
    <w:rsid w:val="002963A5"/>
    <w:rsid w:val="002965DF"/>
    <w:rsid w:val="00296CE6"/>
    <w:rsid w:val="002973DF"/>
    <w:rsid w:val="00297A9E"/>
    <w:rsid w:val="00297D6A"/>
    <w:rsid w:val="002A0190"/>
    <w:rsid w:val="002A0983"/>
    <w:rsid w:val="002A0BF5"/>
    <w:rsid w:val="002A1128"/>
    <w:rsid w:val="002A1422"/>
    <w:rsid w:val="002A1525"/>
    <w:rsid w:val="002A158C"/>
    <w:rsid w:val="002A2356"/>
    <w:rsid w:val="002A24EB"/>
    <w:rsid w:val="002A2627"/>
    <w:rsid w:val="002A26DB"/>
    <w:rsid w:val="002A2C5E"/>
    <w:rsid w:val="002A2D66"/>
    <w:rsid w:val="002A2E09"/>
    <w:rsid w:val="002A3DB5"/>
    <w:rsid w:val="002A428E"/>
    <w:rsid w:val="002A440F"/>
    <w:rsid w:val="002A45BD"/>
    <w:rsid w:val="002A46FA"/>
    <w:rsid w:val="002A5227"/>
    <w:rsid w:val="002A522F"/>
    <w:rsid w:val="002A57BC"/>
    <w:rsid w:val="002A581C"/>
    <w:rsid w:val="002B00FE"/>
    <w:rsid w:val="002B0D43"/>
    <w:rsid w:val="002B0E27"/>
    <w:rsid w:val="002B10B6"/>
    <w:rsid w:val="002B10D3"/>
    <w:rsid w:val="002B1113"/>
    <w:rsid w:val="002B1867"/>
    <w:rsid w:val="002B1EA3"/>
    <w:rsid w:val="002B2A55"/>
    <w:rsid w:val="002B2CE4"/>
    <w:rsid w:val="002B2DA9"/>
    <w:rsid w:val="002B306E"/>
    <w:rsid w:val="002B30C8"/>
    <w:rsid w:val="002B31FA"/>
    <w:rsid w:val="002B33D5"/>
    <w:rsid w:val="002B3A06"/>
    <w:rsid w:val="002B4552"/>
    <w:rsid w:val="002B4B8B"/>
    <w:rsid w:val="002B4C84"/>
    <w:rsid w:val="002B5746"/>
    <w:rsid w:val="002B5F7F"/>
    <w:rsid w:val="002B63D3"/>
    <w:rsid w:val="002B6815"/>
    <w:rsid w:val="002B6AB1"/>
    <w:rsid w:val="002B71D1"/>
    <w:rsid w:val="002B7DCC"/>
    <w:rsid w:val="002C0144"/>
    <w:rsid w:val="002C0CAC"/>
    <w:rsid w:val="002C1F28"/>
    <w:rsid w:val="002C2517"/>
    <w:rsid w:val="002C254B"/>
    <w:rsid w:val="002C25DE"/>
    <w:rsid w:val="002C27E8"/>
    <w:rsid w:val="002C2ACB"/>
    <w:rsid w:val="002C2F60"/>
    <w:rsid w:val="002C305F"/>
    <w:rsid w:val="002C414C"/>
    <w:rsid w:val="002C41CB"/>
    <w:rsid w:val="002C45C6"/>
    <w:rsid w:val="002C5C58"/>
    <w:rsid w:val="002C6A1A"/>
    <w:rsid w:val="002C6B67"/>
    <w:rsid w:val="002C73EE"/>
    <w:rsid w:val="002C7660"/>
    <w:rsid w:val="002C7718"/>
    <w:rsid w:val="002C77DB"/>
    <w:rsid w:val="002C77F7"/>
    <w:rsid w:val="002C7CD4"/>
    <w:rsid w:val="002D0321"/>
    <w:rsid w:val="002D0E7A"/>
    <w:rsid w:val="002D155B"/>
    <w:rsid w:val="002D1AD3"/>
    <w:rsid w:val="002D26FE"/>
    <w:rsid w:val="002D308D"/>
    <w:rsid w:val="002D40A5"/>
    <w:rsid w:val="002D473F"/>
    <w:rsid w:val="002D48E1"/>
    <w:rsid w:val="002D5A82"/>
    <w:rsid w:val="002D61C8"/>
    <w:rsid w:val="002D629E"/>
    <w:rsid w:val="002D6E9A"/>
    <w:rsid w:val="002D726B"/>
    <w:rsid w:val="002D75DB"/>
    <w:rsid w:val="002E0067"/>
    <w:rsid w:val="002E02D0"/>
    <w:rsid w:val="002E0489"/>
    <w:rsid w:val="002E04C0"/>
    <w:rsid w:val="002E0544"/>
    <w:rsid w:val="002E09BE"/>
    <w:rsid w:val="002E1DF4"/>
    <w:rsid w:val="002E1FFC"/>
    <w:rsid w:val="002E2C3B"/>
    <w:rsid w:val="002E3C37"/>
    <w:rsid w:val="002E454D"/>
    <w:rsid w:val="002E45DA"/>
    <w:rsid w:val="002E4BA7"/>
    <w:rsid w:val="002E4D3D"/>
    <w:rsid w:val="002E5922"/>
    <w:rsid w:val="002E5CA7"/>
    <w:rsid w:val="002E620C"/>
    <w:rsid w:val="002E653A"/>
    <w:rsid w:val="002E668B"/>
    <w:rsid w:val="002E6A29"/>
    <w:rsid w:val="002E7235"/>
    <w:rsid w:val="002E77BC"/>
    <w:rsid w:val="002E7DEA"/>
    <w:rsid w:val="002F0276"/>
    <w:rsid w:val="002F10E7"/>
    <w:rsid w:val="002F11F9"/>
    <w:rsid w:val="002F1274"/>
    <w:rsid w:val="002F13E0"/>
    <w:rsid w:val="002F16CB"/>
    <w:rsid w:val="002F1742"/>
    <w:rsid w:val="002F1AB0"/>
    <w:rsid w:val="002F3C64"/>
    <w:rsid w:val="002F3E2E"/>
    <w:rsid w:val="002F4431"/>
    <w:rsid w:val="002F47E7"/>
    <w:rsid w:val="002F4AF9"/>
    <w:rsid w:val="002F510D"/>
    <w:rsid w:val="002F5F61"/>
    <w:rsid w:val="00300081"/>
    <w:rsid w:val="0030023E"/>
    <w:rsid w:val="00300317"/>
    <w:rsid w:val="0030059B"/>
    <w:rsid w:val="00300FC5"/>
    <w:rsid w:val="00301277"/>
    <w:rsid w:val="003017B6"/>
    <w:rsid w:val="00301837"/>
    <w:rsid w:val="003019CD"/>
    <w:rsid w:val="0030341B"/>
    <w:rsid w:val="003034D2"/>
    <w:rsid w:val="0030373E"/>
    <w:rsid w:val="00303A1B"/>
    <w:rsid w:val="003045BE"/>
    <w:rsid w:val="00305115"/>
    <w:rsid w:val="00305BF6"/>
    <w:rsid w:val="00305F53"/>
    <w:rsid w:val="003060F3"/>
    <w:rsid w:val="0030611D"/>
    <w:rsid w:val="0030612A"/>
    <w:rsid w:val="003068EC"/>
    <w:rsid w:val="00306C01"/>
    <w:rsid w:val="00307495"/>
    <w:rsid w:val="0030759B"/>
    <w:rsid w:val="003076C4"/>
    <w:rsid w:val="003079A6"/>
    <w:rsid w:val="003106C8"/>
    <w:rsid w:val="00310E3F"/>
    <w:rsid w:val="00311270"/>
    <w:rsid w:val="0031175D"/>
    <w:rsid w:val="003119DD"/>
    <w:rsid w:val="00312297"/>
    <w:rsid w:val="00312D27"/>
    <w:rsid w:val="00312DBF"/>
    <w:rsid w:val="0031311B"/>
    <w:rsid w:val="00313367"/>
    <w:rsid w:val="0031354F"/>
    <w:rsid w:val="00313B33"/>
    <w:rsid w:val="00314614"/>
    <w:rsid w:val="00314739"/>
    <w:rsid w:val="00314773"/>
    <w:rsid w:val="00314F8A"/>
    <w:rsid w:val="003151F3"/>
    <w:rsid w:val="003152FA"/>
    <w:rsid w:val="003154DB"/>
    <w:rsid w:val="00316779"/>
    <w:rsid w:val="003175BF"/>
    <w:rsid w:val="00317BDD"/>
    <w:rsid w:val="00317DA5"/>
    <w:rsid w:val="003201D0"/>
    <w:rsid w:val="003205E0"/>
    <w:rsid w:val="00321386"/>
    <w:rsid w:val="00321788"/>
    <w:rsid w:val="00321848"/>
    <w:rsid w:val="003218B1"/>
    <w:rsid w:val="00321CB3"/>
    <w:rsid w:val="00322341"/>
    <w:rsid w:val="00322D22"/>
    <w:rsid w:val="0032345B"/>
    <w:rsid w:val="003235FE"/>
    <w:rsid w:val="00323B4E"/>
    <w:rsid w:val="00324FF5"/>
    <w:rsid w:val="00325490"/>
    <w:rsid w:val="003256A0"/>
    <w:rsid w:val="003265DE"/>
    <w:rsid w:val="00326898"/>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2B03"/>
    <w:rsid w:val="003338EB"/>
    <w:rsid w:val="00334446"/>
    <w:rsid w:val="0033444C"/>
    <w:rsid w:val="00334725"/>
    <w:rsid w:val="00334A38"/>
    <w:rsid w:val="00334AF1"/>
    <w:rsid w:val="003353D5"/>
    <w:rsid w:val="00335A53"/>
    <w:rsid w:val="003363FA"/>
    <w:rsid w:val="003379A4"/>
    <w:rsid w:val="00337BB0"/>
    <w:rsid w:val="00337CB6"/>
    <w:rsid w:val="003403AE"/>
    <w:rsid w:val="003409BD"/>
    <w:rsid w:val="0034111B"/>
    <w:rsid w:val="00341EEA"/>
    <w:rsid w:val="00342559"/>
    <w:rsid w:val="00342D1A"/>
    <w:rsid w:val="0034339B"/>
    <w:rsid w:val="00343860"/>
    <w:rsid w:val="00343AB5"/>
    <w:rsid w:val="00344CEF"/>
    <w:rsid w:val="00344D3F"/>
    <w:rsid w:val="00344F44"/>
    <w:rsid w:val="0034511C"/>
    <w:rsid w:val="00345191"/>
    <w:rsid w:val="0034550A"/>
    <w:rsid w:val="00345B7B"/>
    <w:rsid w:val="0034620C"/>
    <w:rsid w:val="00346579"/>
    <w:rsid w:val="00346C50"/>
    <w:rsid w:val="003474B3"/>
    <w:rsid w:val="00347A1B"/>
    <w:rsid w:val="00347CA3"/>
    <w:rsid w:val="00347F9F"/>
    <w:rsid w:val="00350636"/>
    <w:rsid w:val="00351032"/>
    <w:rsid w:val="0035149A"/>
    <w:rsid w:val="00351668"/>
    <w:rsid w:val="003524F4"/>
    <w:rsid w:val="00352775"/>
    <w:rsid w:val="00352F14"/>
    <w:rsid w:val="003530B3"/>
    <w:rsid w:val="0035546F"/>
    <w:rsid w:val="003554BD"/>
    <w:rsid w:val="003554CE"/>
    <w:rsid w:val="00356392"/>
    <w:rsid w:val="00356586"/>
    <w:rsid w:val="00356792"/>
    <w:rsid w:val="003571E2"/>
    <w:rsid w:val="00360A82"/>
    <w:rsid w:val="00361062"/>
    <w:rsid w:val="003610F5"/>
    <w:rsid w:val="00361228"/>
    <w:rsid w:val="003616F4"/>
    <w:rsid w:val="003617E8"/>
    <w:rsid w:val="003623A0"/>
    <w:rsid w:val="00362B5E"/>
    <w:rsid w:val="003638E9"/>
    <w:rsid w:val="003643A5"/>
    <w:rsid w:val="00364A29"/>
    <w:rsid w:val="00364D97"/>
    <w:rsid w:val="0036533F"/>
    <w:rsid w:val="00365370"/>
    <w:rsid w:val="00365D38"/>
    <w:rsid w:val="003661C9"/>
    <w:rsid w:val="0036646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6AF"/>
    <w:rsid w:val="0037398E"/>
    <w:rsid w:val="0037443B"/>
    <w:rsid w:val="00374D3E"/>
    <w:rsid w:val="00375490"/>
    <w:rsid w:val="00375820"/>
    <w:rsid w:val="00375B14"/>
    <w:rsid w:val="00375D85"/>
    <w:rsid w:val="003760FD"/>
    <w:rsid w:val="003769D5"/>
    <w:rsid w:val="0037714B"/>
    <w:rsid w:val="00377475"/>
    <w:rsid w:val="0037777C"/>
    <w:rsid w:val="00377A8C"/>
    <w:rsid w:val="0038054C"/>
    <w:rsid w:val="0038061C"/>
    <w:rsid w:val="00381168"/>
    <w:rsid w:val="0038153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4EFF"/>
    <w:rsid w:val="00386092"/>
    <w:rsid w:val="00386891"/>
    <w:rsid w:val="00386A21"/>
    <w:rsid w:val="0038735C"/>
    <w:rsid w:val="003874B4"/>
    <w:rsid w:val="00387631"/>
    <w:rsid w:val="00387823"/>
    <w:rsid w:val="00387C8E"/>
    <w:rsid w:val="00390044"/>
    <w:rsid w:val="00390095"/>
    <w:rsid w:val="003903FB"/>
    <w:rsid w:val="00390644"/>
    <w:rsid w:val="0039066F"/>
    <w:rsid w:val="00390D50"/>
    <w:rsid w:val="00390E26"/>
    <w:rsid w:val="00390EAD"/>
    <w:rsid w:val="00390EAF"/>
    <w:rsid w:val="00391CBB"/>
    <w:rsid w:val="00391D90"/>
    <w:rsid w:val="00391DDE"/>
    <w:rsid w:val="0039208E"/>
    <w:rsid w:val="003923A6"/>
    <w:rsid w:val="0039257A"/>
    <w:rsid w:val="00393231"/>
    <w:rsid w:val="0039372B"/>
    <w:rsid w:val="0039383D"/>
    <w:rsid w:val="00393906"/>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6562"/>
    <w:rsid w:val="003A701E"/>
    <w:rsid w:val="003A7161"/>
    <w:rsid w:val="003A7200"/>
    <w:rsid w:val="003A75C6"/>
    <w:rsid w:val="003A7973"/>
    <w:rsid w:val="003A79FF"/>
    <w:rsid w:val="003A7DFF"/>
    <w:rsid w:val="003B00E9"/>
    <w:rsid w:val="003B02DF"/>
    <w:rsid w:val="003B0A8B"/>
    <w:rsid w:val="003B106D"/>
    <w:rsid w:val="003B1083"/>
    <w:rsid w:val="003B12DB"/>
    <w:rsid w:val="003B13AB"/>
    <w:rsid w:val="003B1862"/>
    <w:rsid w:val="003B1C5D"/>
    <w:rsid w:val="003B1EAD"/>
    <w:rsid w:val="003B1F1C"/>
    <w:rsid w:val="003B23A8"/>
    <w:rsid w:val="003B3822"/>
    <w:rsid w:val="003B3BAD"/>
    <w:rsid w:val="003B3F02"/>
    <w:rsid w:val="003B3F64"/>
    <w:rsid w:val="003B4644"/>
    <w:rsid w:val="003B4B26"/>
    <w:rsid w:val="003B4E29"/>
    <w:rsid w:val="003B5306"/>
    <w:rsid w:val="003B5757"/>
    <w:rsid w:val="003B6179"/>
    <w:rsid w:val="003B6302"/>
    <w:rsid w:val="003B69D0"/>
    <w:rsid w:val="003B7B4D"/>
    <w:rsid w:val="003C00A2"/>
    <w:rsid w:val="003C0125"/>
    <w:rsid w:val="003C03F7"/>
    <w:rsid w:val="003C05CD"/>
    <w:rsid w:val="003C0FE5"/>
    <w:rsid w:val="003C12F6"/>
    <w:rsid w:val="003C1CAF"/>
    <w:rsid w:val="003C218A"/>
    <w:rsid w:val="003C22D4"/>
    <w:rsid w:val="003C29AF"/>
    <w:rsid w:val="003C2C17"/>
    <w:rsid w:val="003C3209"/>
    <w:rsid w:val="003C3F73"/>
    <w:rsid w:val="003C40A2"/>
    <w:rsid w:val="003C48FA"/>
    <w:rsid w:val="003C5519"/>
    <w:rsid w:val="003C5A97"/>
    <w:rsid w:val="003C616B"/>
    <w:rsid w:val="003C6434"/>
    <w:rsid w:val="003C681D"/>
    <w:rsid w:val="003C69CF"/>
    <w:rsid w:val="003C6BED"/>
    <w:rsid w:val="003C73DD"/>
    <w:rsid w:val="003C7855"/>
    <w:rsid w:val="003C7965"/>
    <w:rsid w:val="003C7D06"/>
    <w:rsid w:val="003C7EF7"/>
    <w:rsid w:val="003D0920"/>
    <w:rsid w:val="003D0AB7"/>
    <w:rsid w:val="003D0E1F"/>
    <w:rsid w:val="003D1182"/>
    <w:rsid w:val="003D1AE0"/>
    <w:rsid w:val="003D22DA"/>
    <w:rsid w:val="003D2A96"/>
    <w:rsid w:val="003D3779"/>
    <w:rsid w:val="003D425A"/>
    <w:rsid w:val="003D4866"/>
    <w:rsid w:val="003D4ADC"/>
    <w:rsid w:val="003D507A"/>
    <w:rsid w:val="003D53FE"/>
    <w:rsid w:val="003D6280"/>
    <w:rsid w:val="003D66CB"/>
    <w:rsid w:val="003D687A"/>
    <w:rsid w:val="003D6E45"/>
    <w:rsid w:val="003D79B8"/>
    <w:rsid w:val="003D7A2D"/>
    <w:rsid w:val="003D7C91"/>
    <w:rsid w:val="003E043F"/>
    <w:rsid w:val="003E07F1"/>
    <w:rsid w:val="003E0E8C"/>
    <w:rsid w:val="003E113F"/>
    <w:rsid w:val="003E1418"/>
    <w:rsid w:val="003E2F08"/>
    <w:rsid w:val="003E3DA0"/>
    <w:rsid w:val="003E45F2"/>
    <w:rsid w:val="003E4979"/>
    <w:rsid w:val="003E4B79"/>
    <w:rsid w:val="003E4B85"/>
    <w:rsid w:val="003E581F"/>
    <w:rsid w:val="003E5F16"/>
    <w:rsid w:val="003E634D"/>
    <w:rsid w:val="003E64A3"/>
    <w:rsid w:val="003E64BB"/>
    <w:rsid w:val="003E6AC1"/>
    <w:rsid w:val="003E6B60"/>
    <w:rsid w:val="003E7EEA"/>
    <w:rsid w:val="003F01E7"/>
    <w:rsid w:val="003F040D"/>
    <w:rsid w:val="003F18CF"/>
    <w:rsid w:val="003F2BFE"/>
    <w:rsid w:val="003F2C80"/>
    <w:rsid w:val="003F3A44"/>
    <w:rsid w:val="003F5F0A"/>
    <w:rsid w:val="003F697A"/>
    <w:rsid w:val="003F6DF4"/>
    <w:rsid w:val="003F7022"/>
    <w:rsid w:val="003F7263"/>
    <w:rsid w:val="003F7B82"/>
    <w:rsid w:val="003F7D77"/>
    <w:rsid w:val="0040046F"/>
    <w:rsid w:val="00400686"/>
    <w:rsid w:val="00400A5E"/>
    <w:rsid w:val="004015B0"/>
    <w:rsid w:val="004016AD"/>
    <w:rsid w:val="00401A15"/>
    <w:rsid w:val="00401C5B"/>
    <w:rsid w:val="00401DB1"/>
    <w:rsid w:val="004020FB"/>
    <w:rsid w:val="0040230D"/>
    <w:rsid w:val="004028D0"/>
    <w:rsid w:val="00402940"/>
    <w:rsid w:val="00403226"/>
    <w:rsid w:val="00403827"/>
    <w:rsid w:val="00403BA6"/>
    <w:rsid w:val="00403E68"/>
    <w:rsid w:val="004040E3"/>
    <w:rsid w:val="00404D4D"/>
    <w:rsid w:val="00406A35"/>
    <w:rsid w:val="0040743C"/>
    <w:rsid w:val="004078A4"/>
    <w:rsid w:val="00407CDA"/>
    <w:rsid w:val="004100FD"/>
    <w:rsid w:val="0041029D"/>
    <w:rsid w:val="00410347"/>
    <w:rsid w:val="004104BF"/>
    <w:rsid w:val="0041068A"/>
    <w:rsid w:val="00410DEC"/>
    <w:rsid w:val="004111F8"/>
    <w:rsid w:val="0041138F"/>
    <w:rsid w:val="004118D5"/>
    <w:rsid w:val="004119D9"/>
    <w:rsid w:val="00412E11"/>
    <w:rsid w:val="00412EF3"/>
    <w:rsid w:val="004133CD"/>
    <w:rsid w:val="00413549"/>
    <w:rsid w:val="00414080"/>
    <w:rsid w:val="00414283"/>
    <w:rsid w:val="00414538"/>
    <w:rsid w:val="0041479C"/>
    <w:rsid w:val="00415643"/>
    <w:rsid w:val="00416787"/>
    <w:rsid w:val="00416D2E"/>
    <w:rsid w:val="004203CA"/>
    <w:rsid w:val="004208D7"/>
    <w:rsid w:val="00420CA2"/>
    <w:rsid w:val="00420CBA"/>
    <w:rsid w:val="00421878"/>
    <w:rsid w:val="004228EE"/>
    <w:rsid w:val="00422BB1"/>
    <w:rsid w:val="00422D87"/>
    <w:rsid w:val="0042325A"/>
    <w:rsid w:val="0042336F"/>
    <w:rsid w:val="004234EF"/>
    <w:rsid w:val="00423E81"/>
    <w:rsid w:val="004242F2"/>
    <w:rsid w:val="004249DB"/>
    <w:rsid w:val="00424A55"/>
    <w:rsid w:val="00424C76"/>
    <w:rsid w:val="00425286"/>
    <w:rsid w:val="00425554"/>
    <w:rsid w:val="0042556A"/>
    <w:rsid w:val="00425B68"/>
    <w:rsid w:val="00425C9F"/>
    <w:rsid w:val="004268A5"/>
    <w:rsid w:val="00426B99"/>
    <w:rsid w:val="004300E1"/>
    <w:rsid w:val="00430294"/>
    <w:rsid w:val="004309CF"/>
    <w:rsid w:val="00430B44"/>
    <w:rsid w:val="00430F27"/>
    <w:rsid w:val="0043104B"/>
    <w:rsid w:val="0043181D"/>
    <w:rsid w:val="004328E4"/>
    <w:rsid w:val="00432937"/>
    <w:rsid w:val="00432ED6"/>
    <w:rsid w:val="00432FCB"/>
    <w:rsid w:val="00433460"/>
    <w:rsid w:val="00433D87"/>
    <w:rsid w:val="00433ECE"/>
    <w:rsid w:val="004347A7"/>
    <w:rsid w:val="00434800"/>
    <w:rsid w:val="00434F9C"/>
    <w:rsid w:val="00435D61"/>
    <w:rsid w:val="00435F09"/>
    <w:rsid w:val="00435F6F"/>
    <w:rsid w:val="00436548"/>
    <w:rsid w:val="00436C20"/>
    <w:rsid w:val="004373A1"/>
    <w:rsid w:val="00440392"/>
    <w:rsid w:val="00440502"/>
    <w:rsid w:val="00440E8F"/>
    <w:rsid w:val="004412E5"/>
    <w:rsid w:val="004415FC"/>
    <w:rsid w:val="00441989"/>
    <w:rsid w:val="00442112"/>
    <w:rsid w:val="00442822"/>
    <w:rsid w:val="00442E14"/>
    <w:rsid w:val="00442EA1"/>
    <w:rsid w:val="004437F3"/>
    <w:rsid w:val="00443A3A"/>
    <w:rsid w:val="00443AE0"/>
    <w:rsid w:val="00443D1A"/>
    <w:rsid w:val="00444075"/>
    <w:rsid w:val="004442B1"/>
    <w:rsid w:val="004443FB"/>
    <w:rsid w:val="0044476D"/>
    <w:rsid w:val="00444DA1"/>
    <w:rsid w:val="00445064"/>
    <w:rsid w:val="00445172"/>
    <w:rsid w:val="004461DF"/>
    <w:rsid w:val="00446929"/>
    <w:rsid w:val="00447603"/>
    <w:rsid w:val="00447999"/>
    <w:rsid w:val="00447AC5"/>
    <w:rsid w:val="00447EAD"/>
    <w:rsid w:val="004504A7"/>
    <w:rsid w:val="00450899"/>
    <w:rsid w:val="004508B7"/>
    <w:rsid w:val="00450FE9"/>
    <w:rsid w:val="00451A7B"/>
    <w:rsid w:val="004522A6"/>
    <w:rsid w:val="004529D7"/>
    <w:rsid w:val="00452A11"/>
    <w:rsid w:val="00453BF4"/>
    <w:rsid w:val="00453D19"/>
    <w:rsid w:val="00454571"/>
    <w:rsid w:val="004551E8"/>
    <w:rsid w:val="00455AFA"/>
    <w:rsid w:val="00456308"/>
    <w:rsid w:val="004566BE"/>
    <w:rsid w:val="0045682E"/>
    <w:rsid w:val="004568B4"/>
    <w:rsid w:val="00456A0C"/>
    <w:rsid w:val="00457142"/>
    <w:rsid w:val="004573A4"/>
    <w:rsid w:val="00457493"/>
    <w:rsid w:val="00457958"/>
    <w:rsid w:val="0046115F"/>
    <w:rsid w:val="0046148D"/>
    <w:rsid w:val="00461535"/>
    <w:rsid w:val="00462745"/>
    <w:rsid w:val="004627CF"/>
    <w:rsid w:val="00462977"/>
    <w:rsid w:val="00462DBA"/>
    <w:rsid w:val="004635B7"/>
    <w:rsid w:val="0046362F"/>
    <w:rsid w:val="0046366F"/>
    <w:rsid w:val="00464027"/>
    <w:rsid w:val="004641CB"/>
    <w:rsid w:val="0046443B"/>
    <w:rsid w:val="00464BC7"/>
    <w:rsid w:val="004651B8"/>
    <w:rsid w:val="00465580"/>
    <w:rsid w:val="00465972"/>
    <w:rsid w:val="00465B78"/>
    <w:rsid w:val="00465E7E"/>
    <w:rsid w:val="00466BB5"/>
    <w:rsid w:val="004672E8"/>
    <w:rsid w:val="004677E9"/>
    <w:rsid w:val="004679F2"/>
    <w:rsid w:val="00467BDE"/>
    <w:rsid w:val="00470535"/>
    <w:rsid w:val="00471183"/>
    <w:rsid w:val="0047123C"/>
    <w:rsid w:val="004714F6"/>
    <w:rsid w:val="00471948"/>
    <w:rsid w:val="0047289C"/>
    <w:rsid w:val="00472E22"/>
    <w:rsid w:val="00472F67"/>
    <w:rsid w:val="00473948"/>
    <w:rsid w:val="004739A1"/>
    <w:rsid w:val="0047430D"/>
    <w:rsid w:val="00474FDF"/>
    <w:rsid w:val="004750E3"/>
    <w:rsid w:val="00475688"/>
    <w:rsid w:val="004758F6"/>
    <w:rsid w:val="004759E3"/>
    <w:rsid w:val="00475C51"/>
    <w:rsid w:val="004760EC"/>
    <w:rsid w:val="00476161"/>
    <w:rsid w:val="0047664F"/>
    <w:rsid w:val="00476658"/>
    <w:rsid w:val="00476E34"/>
    <w:rsid w:val="00476EE1"/>
    <w:rsid w:val="00477163"/>
    <w:rsid w:val="00477B0E"/>
    <w:rsid w:val="00477DA0"/>
    <w:rsid w:val="00481688"/>
    <w:rsid w:val="004820E0"/>
    <w:rsid w:val="004822CA"/>
    <w:rsid w:val="00482E54"/>
    <w:rsid w:val="004831A1"/>
    <w:rsid w:val="00483F95"/>
    <w:rsid w:val="004842A2"/>
    <w:rsid w:val="00484D20"/>
    <w:rsid w:val="004850C1"/>
    <w:rsid w:val="00485565"/>
    <w:rsid w:val="00485D9D"/>
    <w:rsid w:val="00486F54"/>
    <w:rsid w:val="004871B4"/>
    <w:rsid w:val="00487374"/>
    <w:rsid w:val="004876DD"/>
    <w:rsid w:val="00487DD2"/>
    <w:rsid w:val="00490357"/>
    <w:rsid w:val="0049066D"/>
    <w:rsid w:val="0049178A"/>
    <w:rsid w:val="00491C1D"/>
    <w:rsid w:val="00491D59"/>
    <w:rsid w:val="00491DF1"/>
    <w:rsid w:val="00492535"/>
    <w:rsid w:val="00493435"/>
    <w:rsid w:val="00494B28"/>
    <w:rsid w:val="00495328"/>
    <w:rsid w:val="00495E4C"/>
    <w:rsid w:val="00495FFF"/>
    <w:rsid w:val="00496811"/>
    <w:rsid w:val="00496A37"/>
    <w:rsid w:val="00496A9F"/>
    <w:rsid w:val="00497358"/>
    <w:rsid w:val="00497B27"/>
    <w:rsid w:val="00497B80"/>
    <w:rsid w:val="00497C8C"/>
    <w:rsid w:val="00497FA5"/>
    <w:rsid w:val="004A03B3"/>
    <w:rsid w:val="004A04D5"/>
    <w:rsid w:val="004A1388"/>
    <w:rsid w:val="004A17BD"/>
    <w:rsid w:val="004A1B07"/>
    <w:rsid w:val="004A1C7F"/>
    <w:rsid w:val="004A2E04"/>
    <w:rsid w:val="004A3226"/>
    <w:rsid w:val="004A399F"/>
    <w:rsid w:val="004A405B"/>
    <w:rsid w:val="004A4096"/>
    <w:rsid w:val="004A4516"/>
    <w:rsid w:val="004A4692"/>
    <w:rsid w:val="004A5912"/>
    <w:rsid w:val="004A669F"/>
    <w:rsid w:val="004A6842"/>
    <w:rsid w:val="004A718C"/>
    <w:rsid w:val="004A71C1"/>
    <w:rsid w:val="004A722D"/>
    <w:rsid w:val="004A7456"/>
    <w:rsid w:val="004A7DBE"/>
    <w:rsid w:val="004A7E0C"/>
    <w:rsid w:val="004A7F94"/>
    <w:rsid w:val="004B08AC"/>
    <w:rsid w:val="004B0D88"/>
    <w:rsid w:val="004B1C0D"/>
    <w:rsid w:val="004B206E"/>
    <w:rsid w:val="004B229E"/>
    <w:rsid w:val="004B29C2"/>
    <w:rsid w:val="004B29E1"/>
    <w:rsid w:val="004B2C52"/>
    <w:rsid w:val="004B2F46"/>
    <w:rsid w:val="004B395D"/>
    <w:rsid w:val="004B4194"/>
    <w:rsid w:val="004B457E"/>
    <w:rsid w:val="004B55F0"/>
    <w:rsid w:val="004B56C3"/>
    <w:rsid w:val="004B6928"/>
    <w:rsid w:val="004B6DD8"/>
    <w:rsid w:val="004B79FA"/>
    <w:rsid w:val="004B7D94"/>
    <w:rsid w:val="004C0FB7"/>
    <w:rsid w:val="004C104B"/>
    <w:rsid w:val="004C164A"/>
    <w:rsid w:val="004C2E14"/>
    <w:rsid w:val="004C2FE3"/>
    <w:rsid w:val="004C305A"/>
    <w:rsid w:val="004C35EF"/>
    <w:rsid w:val="004C3BCF"/>
    <w:rsid w:val="004C4829"/>
    <w:rsid w:val="004C49F8"/>
    <w:rsid w:val="004C4D30"/>
    <w:rsid w:val="004C4EAB"/>
    <w:rsid w:val="004C5570"/>
    <w:rsid w:val="004C5BD0"/>
    <w:rsid w:val="004C5D52"/>
    <w:rsid w:val="004C5DB0"/>
    <w:rsid w:val="004C60D8"/>
    <w:rsid w:val="004C62EE"/>
    <w:rsid w:val="004C6A0D"/>
    <w:rsid w:val="004C6B4B"/>
    <w:rsid w:val="004C7B72"/>
    <w:rsid w:val="004D1000"/>
    <w:rsid w:val="004D1144"/>
    <w:rsid w:val="004D1D27"/>
    <w:rsid w:val="004D2EC3"/>
    <w:rsid w:val="004D2FF6"/>
    <w:rsid w:val="004D3FD6"/>
    <w:rsid w:val="004D405F"/>
    <w:rsid w:val="004D55CA"/>
    <w:rsid w:val="004D5A27"/>
    <w:rsid w:val="004D5F0E"/>
    <w:rsid w:val="004D6626"/>
    <w:rsid w:val="004D6758"/>
    <w:rsid w:val="004D7966"/>
    <w:rsid w:val="004D7B1A"/>
    <w:rsid w:val="004E01E8"/>
    <w:rsid w:val="004E0830"/>
    <w:rsid w:val="004E0E82"/>
    <w:rsid w:val="004E169C"/>
    <w:rsid w:val="004E1BF0"/>
    <w:rsid w:val="004E1E6A"/>
    <w:rsid w:val="004E28E1"/>
    <w:rsid w:val="004E2B01"/>
    <w:rsid w:val="004E34C7"/>
    <w:rsid w:val="004E356A"/>
    <w:rsid w:val="004E375D"/>
    <w:rsid w:val="004E3850"/>
    <w:rsid w:val="004E3FC1"/>
    <w:rsid w:val="004E58EA"/>
    <w:rsid w:val="004E5B75"/>
    <w:rsid w:val="004E5F65"/>
    <w:rsid w:val="004E6806"/>
    <w:rsid w:val="004E6C7A"/>
    <w:rsid w:val="004E7615"/>
    <w:rsid w:val="004E7CDF"/>
    <w:rsid w:val="004F078C"/>
    <w:rsid w:val="004F1324"/>
    <w:rsid w:val="004F19F6"/>
    <w:rsid w:val="004F1A8B"/>
    <w:rsid w:val="004F1C7D"/>
    <w:rsid w:val="004F1D24"/>
    <w:rsid w:val="004F21D2"/>
    <w:rsid w:val="004F2641"/>
    <w:rsid w:val="004F27F3"/>
    <w:rsid w:val="004F29B9"/>
    <w:rsid w:val="004F2B8E"/>
    <w:rsid w:val="004F2C85"/>
    <w:rsid w:val="004F32BF"/>
    <w:rsid w:val="004F3E6A"/>
    <w:rsid w:val="004F469D"/>
    <w:rsid w:val="004F5346"/>
    <w:rsid w:val="004F54CA"/>
    <w:rsid w:val="004F56A5"/>
    <w:rsid w:val="004F5C09"/>
    <w:rsid w:val="004F5E4E"/>
    <w:rsid w:val="004F61F6"/>
    <w:rsid w:val="004F63CC"/>
    <w:rsid w:val="004F6678"/>
    <w:rsid w:val="004F6937"/>
    <w:rsid w:val="004F6B28"/>
    <w:rsid w:val="004F6C65"/>
    <w:rsid w:val="004F6D2E"/>
    <w:rsid w:val="004F7F0F"/>
    <w:rsid w:val="004F7FBC"/>
    <w:rsid w:val="005001AE"/>
    <w:rsid w:val="00500292"/>
    <w:rsid w:val="005007E7"/>
    <w:rsid w:val="00501141"/>
    <w:rsid w:val="005012FC"/>
    <w:rsid w:val="00501938"/>
    <w:rsid w:val="00501C30"/>
    <w:rsid w:val="00501EBE"/>
    <w:rsid w:val="005020EB"/>
    <w:rsid w:val="00503551"/>
    <w:rsid w:val="00503821"/>
    <w:rsid w:val="00503F38"/>
    <w:rsid w:val="005043FC"/>
    <w:rsid w:val="00504A55"/>
    <w:rsid w:val="00505F08"/>
    <w:rsid w:val="00506610"/>
    <w:rsid w:val="0050671D"/>
    <w:rsid w:val="0050672C"/>
    <w:rsid w:val="00506C4C"/>
    <w:rsid w:val="0050700E"/>
    <w:rsid w:val="005075DC"/>
    <w:rsid w:val="005075EB"/>
    <w:rsid w:val="005079D7"/>
    <w:rsid w:val="00507B2A"/>
    <w:rsid w:val="005105F5"/>
    <w:rsid w:val="00510892"/>
    <w:rsid w:val="00510A22"/>
    <w:rsid w:val="00510BEA"/>
    <w:rsid w:val="00510D8A"/>
    <w:rsid w:val="00511EBC"/>
    <w:rsid w:val="005125D5"/>
    <w:rsid w:val="00512D51"/>
    <w:rsid w:val="00512E95"/>
    <w:rsid w:val="00513976"/>
    <w:rsid w:val="00514674"/>
    <w:rsid w:val="0051477F"/>
    <w:rsid w:val="00514C46"/>
    <w:rsid w:val="00515BCF"/>
    <w:rsid w:val="00516083"/>
    <w:rsid w:val="00516196"/>
    <w:rsid w:val="0051635A"/>
    <w:rsid w:val="0051646E"/>
    <w:rsid w:val="005166C3"/>
    <w:rsid w:val="00516EA5"/>
    <w:rsid w:val="005179DA"/>
    <w:rsid w:val="00517E2A"/>
    <w:rsid w:val="00520C1C"/>
    <w:rsid w:val="0052117B"/>
    <w:rsid w:val="00521439"/>
    <w:rsid w:val="00522133"/>
    <w:rsid w:val="0052292E"/>
    <w:rsid w:val="005232E0"/>
    <w:rsid w:val="0052373B"/>
    <w:rsid w:val="00523900"/>
    <w:rsid w:val="00523D70"/>
    <w:rsid w:val="00523E00"/>
    <w:rsid w:val="0052439F"/>
    <w:rsid w:val="005243EB"/>
    <w:rsid w:val="00524FC0"/>
    <w:rsid w:val="00525789"/>
    <w:rsid w:val="00525890"/>
    <w:rsid w:val="00525C4D"/>
    <w:rsid w:val="00525F34"/>
    <w:rsid w:val="005260BC"/>
    <w:rsid w:val="00526452"/>
    <w:rsid w:val="00526816"/>
    <w:rsid w:val="00526AE3"/>
    <w:rsid w:val="00526F09"/>
    <w:rsid w:val="00527B9D"/>
    <w:rsid w:val="00527F3A"/>
    <w:rsid w:val="00527F4F"/>
    <w:rsid w:val="00530512"/>
    <w:rsid w:val="00530799"/>
    <w:rsid w:val="00530F0B"/>
    <w:rsid w:val="0053109F"/>
    <w:rsid w:val="005311E8"/>
    <w:rsid w:val="005312C3"/>
    <w:rsid w:val="005312C4"/>
    <w:rsid w:val="0053133A"/>
    <w:rsid w:val="00531822"/>
    <w:rsid w:val="005326D0"/>
    <w:rsid w:val="005327CB"/>
    <w:rsid w:val="00532800"/>
    <w:rsid w:val="00532A80"/>
    <w:rsid w:val="00532FDA"/>
    <w:rsid w:val="00533EE8"/>
    <w:rsid w:val="0053417D"/>
    <w:rsid w:val="00534689"/>
    <w:rsid w:val="00534821"/>
    <w:rsid w:val="0053490C"/>
    <w:rsid w:val="00535585"/>
    <w:rsid w:val="00536A08"/>
    <w:rsid w:val="00536A58"/>
    <w:rsid w:val="00536AB4"/>
    <w:rsid w:val="00537127"/>
    <w:rsid w:val="0053764B"/>
    <w:rsid w:val="0054069F"/>
    <w:rsid w:val="005408D5"/>
    <w:rsid w:val="00541307"/>
    <w:rsid w:val="00541B60"/>
    <w:rsid w:val="00541DB8"/>
    <w:rsid w:val="00541DDA"/>
    <w:rsid w:val="00541F9A"/>
    <w:rsid w:val="00542599"/>
    <w:rsid w:val="00542EB4"/>
    <w:rsid w:val="00543C95"/>
    <w:rsid w:val="00544320"/>
    <w:rsid w:val="0054460B"/>
    <w:rsid w:val="005448B9"/>
    <w:rsid w:val="00545136"/>
    <w:rsid w:val="005452C1"/>
    <w:rsid w:val="005452CD"/>
    <w:rsid w:val="00545B42"/>
    <w:rsid w:val="0054612B"/>
    <w:rsid w:val="00546BD2"/>
    <w:rsid w:val="00547753"/>
    <w:rsid w:val="005479F5"/>
    <w:rsid w:val="00547D90"/>
    <w:rsid w:val="005508EF"/>
    <w:rsid w:val="005510E3"/>
    <w:rsid w:val="0055173F"/>
    <w:rsid w:val="00551AE8"/>
    <w:rsid w:val="00551D57"/>
    <w:rsid w:val="00552E11"/>
    <w:rsid w:val="00552FEB"/>
    <w:rsid w:val="00553115"/>
    <w:rsid w:val="0055326B"/>
    <w:rsid w:val="005532A3"/>
    <w:rsid w:val="00553395"/>
    <w:rsid w:val="00553567"/>
    <w:rsid w:val="005538EF"/>
    <w:rsid w:val="0055400F"/>
    <w:rsid w:val="00554034"/>
    <w:rsid w:val="005548DD"/>
    <w:rsid w:val="005552D3"/>
    <w:rsid w:val="00555500"/>
    <w:rsid w:val="00555FC3"/>
    <w:rsid w:val="00556027"/>
    <w:rsid w:val="00556506"/>
    <w:rsid w:val="0055659A"/>
    <w:rsid w:val="00556731"/>
    <w:rsid w:val="00557401"/>
    <w:rsid w:val="0055747C"/>
    <w:rsid w:val="00557D41"/>
    <w:rsid w:val="00557F5B"/>
    <w:rsid w:val="00557FE2"/>
    <w:rsid w:val="005603DA"/>
    <w:rsid w:val="00560729"/>
    <w:rsid w:val="00560A86"/>
    <w:rsid w:val="00560EFC"/>
    <w:rsid w:val="00560F1B"/>
    <w:rsid w:val="00561C64"/>
    <w:rsid w:val="0056218D"/>
    <w:rsid w:val="00562EAD"/>
    <w:rsid w:val="00563222"/>
    <w:rsid w:val="00563AEB"/>
    <w:rsid w:val="00564775"/>
    <w:rsid w:val="00566473"/>
    <w:rsid w:val="00566C28"/>
    <w:rsid w:val="00566EBC"/>
    <w:rsid w:val="00567500"/>
    <w:rsid w:val="0056753D"/>
    <w:rsid w:val="00567811"/>
    <w:rsid w:val="00567CDA"/>
    <w:rsid w:val="00570163"/>
    <w:rsid w:val="005701B3"/>
    <w:rsid w:val="005702BD"/>
    <w:rsid w:val="005704B1"/>
    <w:rsid w:val="0057096F"/>
    <w:rsid w:val="00571D81"/>
    <w:rsid w:val="00572749"/>
    <w:rsid w:val="005739A1"/>
    <w:rsid w:val="005739F4"/>
    <w:rsid w:val="00573A7F"/>
    <w:rsid w:val="00573EE1"/>
    <w:rsid w:val="0057406C"/>
    <w:rsid w:val="00574434"/>
    <w:rsid w:val="0057470D"/>
    <w:rsid w:val="00574DD0"/>
    <w:rsid w:val="00575051"/>
    <w:rsid w:val="005758E3"/>
    <w:rsid w:val="00576D35"/>
    <w:rsid w:val="005777C8"/>
    <w:rsid w:val="00577AD5"/>
    <w:rsid w:val="00577F23"/>
    <w:rsid w:val="0058080C"/>
    <w:rsid w:val="00580A72"/>
    <w:rsid w:val="0058107B"/>
    <w:rsid w:val="0058149F"/>
    <w:rsid w:val="0058161B"/>
    <w:rsid w:val="005817A5"/>
    <w:rsid w:val="0058185B"/>
    <w:rsid w:val="00581DF3"/>
    <w:rsid w:val="00581E5D"/>
    <w:rsid w:val="00582853"/>
    <w:rsid w:val="00582893"/>
    <w:rsid w:val="00582C76"/>
    <w:rsid w:val="005833DB"/>
    <w:rsid w:val="00583A87"/>
    <w:rsid w:val="0058403B"/>
    <w:rsid w:val="005842BA"/>
    <w:rsid w:val="005843E6"/>
    <w:rsid w:val="005845FA"/>
    <w:rsid w:val="00584AC0"/>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C1A"/>
    <w:rsid w:val="00595106"/>
    <w:rsid w:val="00595692"/>
    <w:rsid w:val="00595B7B"/>
    <w:rsid w:val="00596020"/>
    <w:rsid w:val="0059632F"/>
    <w:rsid w:val="00597651"/>
    <w:rsid w:val="00597799"/>
    <w:rsid w:val="005977F9"/>
    <w:rsid w:val="00597BA8"/>
    <w:rsid w:val="005A01E7"/>
    <w:rsid w:val="005A02C8"/>
    <w:rsid w:val="005A09E5"/>
    <w:rsid w:val="005A1473"/>
    <w:rsid w:val="005A1923"/>
    <w:rsid w:val="005A19FF"/>
    <w:rsid w:val="005A2074"/>
    <w:rsid w:val="005A21E0"/>
    <w:rsid w:val="005A24AE"/>
    <w:rsid w:val="005A3394"/>
    <w:rsid w:val="005A403A"/>
    <w:rsid w:val="005A41EB"/>
    <w:rsid w:val="005A43BE"/>
    <w:rsid w:val="005A4624"/>
    <w:rsid w:val="005A5011"/>
    <w:rsid w:val="005A508D"/>
    <w:rsid w:val="005A53E1"/>
    <w:rsid w:val="005A60BA"/>
    <w:rsid w:val="005A761B"/>
    <w:rsid w:val="005B096F"/>
    <w:rsid w:val="005B0987"/>
    <w:rsid w:val="005B0FB5"/>
    <w:rsid w:val="005B1191"/>
    <w:rsid w:val="005B1205"/>
    <w:rsid w:val="005B1D3B"/>
    <w:rsid w:val="005B2088"/>
    <w:rsid w:val="005B2466"/>
    <w:rsid w:val="005B2607"/>
    <w:rsid w:val="005B2BBB"/>
    <w:rsid w:val="005B2BF5"/>
    <w:rsid w:val="005B2FD3"/>
    <w:rsid w:val="005B41B3"/>
    <w:rsid w:val="005B4289"/>
    <w:rsid w:val="005B4476"/>
    <w:rsid w:val="005B5926"/>
    <w:rsid w:val="005B5A74"/>
    <w:rsid w:val="005B5DBE"/>
    <w:rsid w:val="005B66DA"/>
    <w:rsid w:val="005B6927"/>
    <w:rsid w:val="005B698D"/>
    <w:rsid w:val="005B6B33"/>
    <w:rsid w:val="005B6B72"/>
    <w:rsid w:val="005B6BFD"/>
    <w:rsid w:val="005B7331"/>
    <w:rsid w:val="005B75A5"/>
    <w:rsid w:val="005B75B6"/>
    <w:rsid w:val="005B7909"/>
    <w:rsid w:val="005B7F6E"/>
    <w:rsid w:val="005C05F1"/>
    <w:rsid w:val="005C12AC"/>
    <w:rsid w:val="005C13A3"/>
    <w:rsid w:val="005C18A6"/>
    <w:rsid w:val="005C1C90"/>
    <w:rsid w:val="005C1CEF"/>
    <w:rsid w:val="005C1F6E"/>
    <w:rsid w:val="005C241D"/>
    <w:rsid w:val="005C3964"/>
    <w:rsid w:val="005C3D1F"/>
    <w:rsid w:val="005C417A"/>
    <w:rsid w:val="005C428A"/>
    <w:rsid w:val="005C4330"/>
    <w:rsid w:val="005C4787"/>
    <w:rsid w:val="005C5113"/>
    <w:rsid w:val="005C54B8"/>
    <w:rsid w:val="005C557C"/>
    <w:rsid w:val="005C56B7"/>
    <w:rsid w:val="005C5CDF"/>
    <w:rsid w:val="005C61C4"/>
    <w:rsid w:val="005C677E"/>
    <w:rsid w:val="005C6A82"/>
    <w:rsid w:val="005C6B0C"/>
    <w:rsid w:val="005C6BD2"/>
    <w:rsid w:val="005C6CD0"/>
    <w:rsid w:val="005C7072"/>
    <w:rsid w:val="005C785E"/>
    <w:rsid w:val="005C78D5"/>
    <w:rsid w:val="005D00B6"/>
    <w:rsid w:val="005D101F"/>
    <w:rsid w:val="005D1247"/>
    <w:rsid w:val="005D19D4"/>
    <w:rsid w:val="005D1D60"/>
    <w:rsid w:val="005D205D"/>
    <w:rsid w:val="005D2F54"/>
    <w:rsid w:val="005D3370"/>
    <w:rsid w:val="005D33D2"/>
    <w:rsid w:val="005D353D"/>
    <w:rsid w:val="005D3FD5"/>
    <w:rsid w:val="005D463B"/>
    <w:rsid w:val="005D4E2C"/>
    <w:rsid w:val="005D593D"/>
    <w:rsid w:val="005D6377"/>
    <w:rsid w:val="005D63A5"/>
    <w:rsid w:val="005D69A4"/>
    <w:rsid w:val="005D6B95"/>
    <w:rsid w:val="005D79B5"/>
    <w:rsid w:val="005D7BDA"/>
    <w:rsid w:val="005D7E90"/>
    <w:rsid w:val="005D7FED"/>
    <w:rsid w:val="005E0A1F"/>
    <w:rsid w:val="005E0DEA"/>
    <w:rsid w:val="005E1667"/>
    <w:rsid w:val="005E17B3"/>
    <w:rsid w:val="005E1BB5"/>
    <w:rsid w:val="005E1BD6"/>
    <w:rsid w:val="005E20D0"/>
    <w:rsid w:val="005E2793"/>
    <w:rsid w:val="005E2A79"/>
    <w:rsid w:val="005E2D15"/>
    <w:rsid w:val="005E2EDB"/>
    <w:rsid w:val="005E2FB1"/>
    <w:rsid w:val="005E3485"/>
    <w:rsid w:val="005E3850"/>
    <w:rsid w:val="005E3EB4"/>
    <w:rsid w:val="005E40C8"/>
    <w:rsid w:val="005E43DF"/>
    <w:rsid w:val="005E48DE"/>
    <w:rsid w:val="005E4F3B"/>
    <w:rsid w:val="005E566F"/>
    <w:rsid w:val="005E57C0"/>
    <w:rsid w:val="005E64AF"/>
    <w:rsid w:val="005E6B2D"/>
    <w:rsid w:val="005E6BE9"/>
    <w:rsid w:val="005E71A5"/>
    <w:rsid w:val="005E73EC"/>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608"/>
    <w:rsid w:val="005F764A"/>
    <w:rsid w:val="005F7895"/>
    <w:rsid w:val="0060008E"/>
    <w:rsid w:val="006005C1"/>
    <w:rsid w:val="00600661"/>
    <w:rsid w:val="006011A0"/>
    <w:rsid w:val="006021B3"/>
    <w:rsid w:val="00602475"/>
    <w:rsid w:val="00602A78"/>
    <w:rsid w:val="00602BCA"/>
    <w:rsid w:val="0060305F"/>
    <w:rsid w:val="006034C7"/>
    <w:rsid w:val="00604617"/>
    <w:rsid w:val="00604710"/>
    <w:rsid w:val="00604730"/>
    <w:rsid w:val="006049CE"/>
    <w:rsid w:val="00604AE3"/>
    <w:rsid w:val="00604D1B"/>
    <w:rsid w:val="00604F7C"/>
    <w:rsid w:val="006052A3"/>
    <w:rsid w:val="006052DE"/>
    <w:rsid w:val="006053D8"/>
    <w:rsid w:val="006057CF"/>
    <w:rsid w:val="006059A0"/>
    <w:rsid w:val="00605A1A"/>
    <w:rsid w:val="00606054"/>
    <w:rsid w:val="0060611E"/>
    <w:rsid w:val="006063E0"/>
    <w:rsid w:val="00606906"/>
    <w:rsid w:val="00606EE7"/>
    <w:rsid w:val="00606FAA"/>
    <w:rsid w:val="00607C10"/>
    <w:rsid w:val="00610C37"/>
    <w:rsid w:val="00611BA6"/>
    <w:rsid w:val="00612D19"/>
    <w:rsid w:val="0061330F"/>
    <w:rsid w:val="00613641"/>
    <w:rsid w:val="00614139"/>
    <w:rsid w:val="00614483"/>
    <w:rsid w:val="0061478C"/>
    <w:rsid w:val="0061516E"/>
    <w:rsid w:val="006151BC"/>
    <w:rsid w:val="00615204"/>
    <w:rsid w:val="006154F0"/>
    <w:rsid w:val="00615E77"/>
    <w:rsid w:val="006162A3"/>
    <w:rsid w:val="00616B8A"/>
    <w:rsid w:val="00616C7D"/>
    <w:rsid w:val="0061735F"/>
    <w:rsid w:val="00617A80"/>
    <w:rsid w:val="00617F9A"/>
    <w:rsid w:val="006205E1"/>
    <w:rsid w:val="006208EE"/>
    <w:rsid w:val="0062091D"/>
    <w:rsid w:val="00620C44"/>
    <w:rsid w:val="0062100E"/>
    <w:rsid w:val="006211A5"/>
    <w:rsid w:val="006219BC"/>
    <w:rsid w:val="00622789"/>
    <w:rsid w:val="0062292B"/>
    <w:rsid w:val="00622F8E"/>
    <w:rsid w:val="006233C1"/>
    <w:rsid w:val="00624649"/>
    <w:rsid w:val="0062469E"/>
    <w:rsid w:val="006249A7"/>
    <w:rsid w:val="006249D1"/>
    <w:rsid w:val="00624D4F"/>
    <w:rsid w:val="00625713"/>
    <w:rsid w:val="00625B22"/>
    <w:rsid w:val="00625C53"/>
    <w:rsid w:val="00626203"/>
    <w:rsid w:val="00626415"/>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C32"/>
    <w:rsid w:val="00633F74"/>
    <w:rsid w:val="006349B7"/>
    <w:rsid w:val="00635009"/>
    <w:rsid w:val="006357F2"/>
    <w:rsid w:val="00635AEB"/>
    <w:rsid w:val="00636EF8"/>
    <w:rsid w:val="00636FEF"/>
    <w:rsid w:val="0063715F"/>
    <w:rsid w:val="006377DB"/>
    <w:rsid w:val="00637E6F"/>
    <w:rsid w:val="006405A2"/>
    <w:rsid w:val="00640699"/>
    <w:rsid w:val="006407E0"/>
    <w:rsid w:val="0064096C"/>
    <w:rsid w:val="00640C0B"/>
    <w:rsid w:val="006417E0"/>
    <w:rsid w:val="006418D2"/>
    <w:rsid w:val="006419D4"/>
    <w:rsid w:val="00641E1E"/>
    <w:rsid w:val="00642453"/>
    <w:rsid w:val="006443B2"/>
    <w:rsid w:val="00644746"/>
    <w:rsid w:val="00645210"/>
    <w:rsid w:val="00645933"/>
    <w:rsid w:val="006459B3"/>
    <w:rsid w:val="00645D57"/>
    <w:rsid w:val="00646970"/>
    <w:rsid w:val="00646FDD"/>
    <w:rsid w:val="00647C38"/>
    <w:rsid w:val="00647D39"/>
    <w:rsid w:val="006500A2"/>
    <w:rsid w:val="0065058D"/>
    <w:rsid w:val="00650709"/>
    <w:rsid w:val="00650C5E"/>
    <w:rsid w:val="00651147"/>
    <w:rsid w:val="0065131D"/>
    <w:rsid w:val="00651DC1"/>
    <w:rsid w:val="00651FD6"/>
    <w:rsid w:val="0065234B"/>
    <w:rsid w:val="0065252C"/>
    <w:rsid w:val="00653AC4"/>
    <w:rsid w:val="00653C52"/>
    <w:rsid w:val="006540C1"/>
    <w:rsid w:val="00654413"/>
    <w:rsid w:val="00654642"/>
    <w:rsid w:val="00654AF4"/>
    <w:rsid w:val="00654CB8"/>
    <w:rsid w:val="0065561D"/>
    <w:rsid w:val="006556D9"/>
    <w:rsid w:val="00655F61"/>
    <w:rsid w:val="006562F3"/>
    <w:rsid w:val="006565D3"/>
    <w:rsid w:val="00656F87"/>
    <w:rsid w:val="00656FC3"/>
    <w:rsid w:val="00657081"/>
    <w:rsid w:val="00657693"/>
    <w:rsid w:val="00657861"/>
    <w:rsid w:val="00657B97"/>
    <w:rsid w:val="00660010"/>
    <w:rsid w:val="00660083"/>
    <w:rsid w:val="0066026B"/>
    <w:rsid w:val="00660680"/>
    <w:rsid w:val="00660BFB"/>
    <w:rsid w:val="00660D2B"/>
    <w:rsid w:val="00660E23"/>
    <w:rsid w:val="00662155"/>
    <w:rsid w:val="00662A70"/>
    <w:rsid w:val="00662AF9"/>
    <w:rsid w:val="00662C14"/>
    <w:rsid w:val="00662C97"/>
    <w:rsid w:val="00662CBB"/>
    <w:rsid w:val="00662F3E"/>
    <w:rsid w:val="006630C6"/>
    <w:rsid w:val="00663688"/>
    <w:rsid w:val="0066398B"/>
    <w:rsid w:val="00663F53"/>
    <w:rsid w:val="0066486A"/>
    <w:rsid w:val="0066527F"/>
    <w:rsid w:val="006653B7"/>
    <w:rsid w:val="00666754"/>
    <w:rsid w:val="00666AEA"/>
    <w:rsid w:val="00667025"/>
    <w:rsid w:val="00667FB2"/>
    <w:rsid w:val="00670009"/>
    <w:rsid w:val="006702EB"/>
    <w:rsid w:val="00670D2E"/>
    <w:rsid w:val="0067269F"/>
    <w:rsid w:val="006726CB"/>
    <w:rsid w:val="0067272F"/>
    <w:rsid w:val="0067385F"/>
    <w:rsid w:val="00673BA4"/>
    <w:rsid w:val="00673D8C"/>
    <w:rsid w:val="00674C5D"/>
    <w:rsid w:val="00674ED8"/>
    <w:rsid w:val="006755B4"/>
    <w:rsid w:val="00675793"/>
    <w:rsid w:val="00675AD4"/>
    <w:rsid w:val="00675C5E"/>
    <w:rsid w:val="00676F0B"/>
    <w:rsid w:val="006773D1"/>
    <w:rsid w:val="006801BB"/>
    <w:rsid w:val="006802E3"/>
    <w:rsid w:val="00680CC6"/>
    <w:rsid w:val="00681FF0"/>
    <w:rsid w:val="0068223D"/>
    <w:rsid w:val="0068241B"/>
    <w:rsid w:val="00683889"/>
    <w:rsid w:val="006842A2"/>
    <w:rsid w:val="006848BB"/>
    <w:rsid w:val="00685075"/>
    <w:rsid w:val="006850E0"/>
    <w:rsid w:val="00685339"/>
    <w:rsid w:val="00685597"/>
    <w:rsid w:val="00686338"/>
    <w:rsid w:val="006869CB"/>
    <w:rsid w:val="00686EA0"/>
    <w:rsid w:val="00686F56"/>
    <w:rsid w:val="0068731C"/>
    <w:rsid w:val="006904AD"/>
    <w:rsid w:val="006905F1"/>
    <w:rsid w:val="006912E6"/>
    <w:rsid w:val="006914E9"/>
    <w:rsid w:val="006915F9"/>
    <w:rsid w:val="00691815"/>
    <w:rsid w:val="00691E51"/>
    <w:rsid w:val="006920CA"/>
    <w:rsid w:val="006927F0"/>
    <w:rsid w:val="00692C4E"/>
    <w:rsid w:val="006936DB"/>
    <w:rsid w:val="00693801"/>
    <w:rsid w:val="00694042"/>
    <w:rsid w:val="006944B8"/>
    <w:rsid w:val="00694706"/>
    <w:rsid w:val="00694DF8"/>
    <w:rsid w:val="006956E0"/>
    <w:rsid w:val="00695D95"/>
    <w:rsid w:val="00695DDA"/>
    <w:rsid w:val="00696136"/>
    <w:rsid w:val="00696243"/>
    <w:rsid w:val="006962E6"/>
    <w:rsid w:val="0069657D"/>
    <w:rsid w:val="00696A8E"/>
    <w:rsid w:val="0069703E"/>
    <w:rsid w:val="006970B4"/>
    <w:rsid w:val="00697208"/>
    <w:rsid w:val="006972BF"/>
    <w:rsid w:val="006973DE"/>
    <w:rsid w:val="006975B8"/>
    <w:rsid w:val="00697A32"/>
    <w:rsid w:val="006A06E3"/>
    <w:rsid w:val="006A0844"/>
    <w:rsid w:val="006A0B03"/>
    <w:rsid w:val="006A0ECA"/>
    <w:rsid w:val="006A11F4"/>
    <w:rsid w:val="006A1307"/>
    <w:rsid w:val="006A14A8"/>
    <w:rsid w:val="006A182D"/>
    <w:rsid w:val="006A1ADF"/>
    <w:rsid w:val="006A23AC"/>
    <w:rsid w:val="006A2835"/>
    <w:rsid w:val="006A2BDE"/>
    <w:rsid w:val="006A322C"/>
    <w:rsid w:val="006A3999"/>
    <w:rsid w:val="006A3A19"/>
    <w:rsid w:val="006A3B9E"/>
    <w:rsid w:val="006A3D6D"/>
    <w:rsid w:val="006A3D73"/>
    <w:rsid w:val="006A43EA"/>
    <w:rsid w:val="006A471A"/>
    <w:rsid w:val="006A5290"/>
    <w:rsid w:val="006A641C"/>
    <w:rsid w:val="006A69DB"/>
    <w:rsid w:val="006A69F5"/>
    <w:rsid w:val="006A6EA6"/>
    <w:rsid w:val="006A777A"/>
    <w:rsid w:val="006A7AE9"/>
    <w:rsid w:val="006A7C9D"/>
    <w:rsid w:val="006B020E"/>
    <w:rsid w:val="006B0264"/>
    <w:rsid w:val="006B10D9"/>
    <w:rsid w:val="006B1245"/>
    <w:rsid w:val="006B17D8"/>
    <w:rsid w:val="006B1E59"/>
    <w:rsid w:val="006B2995"/>
    <w:rsid w:val="006B2F13"/>
    <w:rsid w:val="006B3EFD"/>
    <w:rsid w:val="006B40C8"/>
    <w:rsid w:val="006B465A"/>
    <w:rsid w:val="006B472A"/>
    <w:rsid w:val="006B5182"/>
    <w:rsid w:val="006B549F"/>
    <w:rsid w:val="006B5635"/>
    <w:rsid w:val="006B5959"/>
    <w:rsid w:val="006B65CB"/>
    <w:rsid w:val="006B765D"/>
    <w:rsid w:val="006C0867"/>
    <w:rsid w:val="006C12F3"/>
    <w:rsid w:val="006C215A"/>
    <w:rsid w:val="006C24C7"/>
    <w:rsid w:val="006C273C"/>
    <w:rsid w:val="006C374A"/>
    <w:rsid w:val="006C3769"/>
    <w:rsid w:val="006C3A0F"/>
    <w:rsid w:val="006C479E"/>
    <w:rsid w:val="006C5713"/>
    <w:rsid w:val="006C57FE"/>
    <w:rsid w:val="006C5AB5"/>
    <w:rsid w:val="006C6E36"/>
    <w:rsid w:val="006C705E"/>
    <w:rsid w:val="006C7216"/>
    <w:rsid w:val="006C7266"/>
    <w:rsid w:val="006D021E"/>
    <w:rsid w:val="006D045E"/>
    <w:rsid w:val="006D0B6D"/>
    <w:rsid w:val="006D1549"/>
    <w:rsid w:val="006D19FF"/>
    <w:rsid w:val="006D1A5F"/>
    <w:rsid w:val="006D3282"/>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390"/>
    <w:rsid w:val="006E171B"/>
    <w:rsid w:val="006E1C11"/>
    <w:rsid w:val="006E2C6D"/>
    <w:rsid w:val="006E33D2"/>
    <w:rsid w:val="006E374B"/>
    <w:rsid w:val="006E3B50"/>
    <w:rsid w:val="006E3FE7"/>
    <w:rsid w:val="006E44D3"/>
    <w:rsid w:val="006E4705"/>
    <w:rsid w:val="006E470D"/>
    <w:rsid w:val="006E49DF"/>
    <w:rsid w:val="006E4E81"/>
    <w:rsid w:val="006E510A"/>
    <w:rsid w:val="006E58CF"/>
    <w:rsid w:val="006E6241"/>
    <w:rsid w:val="006E645F"/>
    <w:rsid w:val="006E6F3D"/>
    <w:rsid w:val="006F117D"/>
    <w:rsid w:val="006F1195"/>
    <w:rsid w:val="006F13F3"/>
    <w:rsid w:val="006F1DBD"/>
    <w:rsid w:val="006F1E00"/>
    <w:rsid w:val="006F1F53"/>
    <w:rsid w:val="006F301F"/>
    <w:rsid w:val="006F3858"/>
    <w:rsid w:val="006F477C"/>
    <w:rsid w:val="006F5847"/>
    <w:rsid w:val="006F5B1A"/>
    <w:rsid w:val="006F5F76"/>
    <w:rsid w:val="006F6790"/>
    <w:rsid w:val="006F704E"/>
    <w:rsid w:val="006F7C26"/>
    <w:rsid w:val="00700408"/>
    <w:rsid w:val="00700821"/>
    <w:rsid w:val="007010A7"/>
    <w:rsid w:val="007011D1"/>
    <w:rsid w:val="007011D8"/>
    <w:rsid w:val="00702723"/>
    <w:rsid w:val="0070303A"/>
    <w:rsid w:val="00703050"/>
    <w:rsid w:val="0070328F"/>
    <w:rsid w:val="007037D6"/>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B4B"/>
    <w:rsid w:val="00711C0F"/>
    <w:rsid w:val="00712020"/>
    <w:rsid w:val="00712026"/>
    <w:rsid w:val="007121C0"/>
    <w:rsid w:val="00712638"/>
    <w:rsid w:val="00712685"/>
    <w:rsid w:val="0071276A"/>
    <w:rsid w:val="00712B22"/>
    <w:rsid w:val="00712D93"/>
    <w:rsid w:val="007139BF"/>
    <w:rsid w:val="00713C11"/>
    <w:rsid w:val="00714A38"/>
    <w:rsid w:val="00714B10"/>
    <w:rsid w:val="00714B64"/>
    <w:rsid w:val="00714BA7"/>
    <w:rsid w:val="00714F03"/>
    <w:rsid w:val="00715703"/>
    <w:rsid w:val="00715C06"/>
    <w:rsid w:val="00716D4E"/>
    <w:rsid w:val="0071717E"/>
    <w:rsid w:val="00717F58"/>
    <w:rsid w:val="00720A2C"/>
    <w:rsid w:val="00720B85"/>
    <w:rsid w:val="00720C22"/>
    <w:rsid w:val="00720C6E"/>
    <w:rsid w:val="00720E58"/>
    <w:rsid w:val="00720E79"/>
    <w:rsid w:val="00722BE6"/>
    <w:rsid w:val="00722CD9"/>
    <w:rsid w:val="00722EF9"/>
    <w:rsid w:val="007232F1"/>
    <w:rsid w:val="00723F60"/>
    <w:rsid w:val="007242AA"/>
    <w:rsid w:val="0072454A"/>
    <w:rsid w:val="007245B1"/>
    <w:rsid w:val="00724952"/>
    <w:rsid w:val="00724CD4"/>
    <w:rsid w:val="00725D1A"/>
    <w:rsid w:val="00725DF3"/>
    <w:rsid w:val="00726451"/>
    <w:rsid w:val="00726AD6"/>
    <w:rsid w:val="00726B7D"/>
    <w:rsid w:val="00727285"/>
    <w:rsid w:val="00727380"/>
    <w:rsid w:val="00727D91"/>
    <w:rsid w:val="00727E44"/>
    <w:rsid w:val="007300E1"/>
    <w:rsid w:val="00730152"/>
    <w:rsid w:val="007301B7"/>
    <w:rsid w:val="0073071A"/>
    <w:rsid w:val="00730DD2"/>
    <w:rsid w:val="007310E4"/>
    <w:rsid w:val="00731129"/>
    <w:rsid w:val="007312BF"/>
    <w:rsid w:val="007313E8"/>
    <w:rsid w:val="00732121"/>
    <w:rsid w:val="00732732"/>
    <w:rsid w:val="0073397C"/>
    <w:rsid w:val="00734051"/>
    <w:rsid w:val="00734519"/>
    <w:rsid w:val="0073458B"/>
    <w:rsid w:val="00734B84"/>
    <w:rsid w:val="00735EBF"/>
    <w:rsid w:val="007365ED"/>
    <w:rsid w:val="00736927"/>
    <w:rsid w:val="00736A93"/>
    <w:rsid w:val="00736D31"/>
    <w:rsid w:val="00737A4B"/>
    <w:rsid w:val="00740008"/>
    <w:rsid w:val="00741355"/>
    <w:rsid w:val="007415A1"/>
    <w:rsid w:val="00741C56"/>
    <w:rsid w:val="00741C83"/>
    <w:rsid w:val="00741E9A"/>
    <w:rsid w:val="00742891"/>
    <w:rsid w:val="00742C3D"/>
    <w:rsid w:val="00742DAD"/>
    <w:rsid w:val="00743455"/>
    <w:rsid w:val="007435B8"/>
    <w:rsid w:val="00743B39"/>
    <w:rsid w:val="00743FF0"/>
    <w:rsid w:val="007444AE"/>
    <w:rsid w:val="007447C6"/>
    <w:rsid w:val="007449FE"/>
    <w:rsid w:val="00744BEC"/>
    <w:rsid w:val="00744CEC"/>
    <w:rsid w:val="00745A05"/>
    <w:rsid w:val="00745F8E"/>
    <w:rsid w:val="00746564"/>
    <w:rsid w:val="00746721"/>
    <w:rsid w:val="00747741"/>
    <w:rsid w:val="007505F4"/>
    <w:rsid w:val="00750979"/>
    <w:rsid w:val="00751313"/>
    <w:rsid w:val="007514AA"/>
    <w:rsid w:val="00751760"/>
    <w:rsid w:val="007518C9"/>
    <w:rsid w:val="0075218A"/>
    <w:rsid w:val="00752238"/>
    <w:rsid w:val="00752DE0"/>
    <w:rsid w:val="00752E14"/>
    <w:rsid w:val="00753DA5"/>
    <w:rsid w:val="0075432D"/>
    <w:rsid w:val="00754E53"/>
    <w:rsid w:val="0075502B"/>
    <w:rsid w:val="0075532D"/>
    <w:rsid w:val="00755633"/>
    <w:rsid w:val="00755B6F"/>
    <w:rsid w:val="00756A17"/>
    <w:rsid w:val="00756B41"/>
    <w:rsid w:val="007574CC"/>
    <w:rsid w:val="007576EC"/>
    <w:rsid w:val="00757957"/>
    <w:rsid w:val="00757C3A"/>
    <w:rsid w:val="00760518"/>
    <w:rsid w:val="00760978"/>
    <w:rsid w:val="00760D42"/>
    <w:rsid w:val="00761EE2"/>
    <w:rsid w:val="00762390"/>
    <w:rsid w:val="007623B0"/>
    <w:rsid w:val="0076299D"/>
    <w:rsid w:val="00762A7D"/>
    <w:rsid w:val="007636CB"/>
    <w:rsid w:val="00763B9E"/>
    <w:rsid w:val="00764588"/>
    <w:rsid w:val="007648FE"/>
    <w:rsid w:val="00764B39"/>
    <w:rsid w:val="00764CA2"/>
    <w:rsid w:val="00765FAC"/>
    <w:rsid w:val="007664EA"/>
    <w:rsid w:val="007667C4"/>
    <w:rsid w:val="007670FC"/>
    <w:rsid w:val="00767282"/>
    <w:rsid w:val="007678B9"/>
    <w:rsid w:val="00767DDD"/>
    <w:rsid w:val="00767F7F"/>
    <w:rsid w:val="007701BE"/>
    <w:rsid w:val="007703EA"/>
    <w:rsid w:val="00770660"/>
    <w:rsid w:val="00770C49"/>
    <w:rsid w:val="0077130E"/>
    <w:rsid w:val="007713D7"/>
    <w:rsid w:val="00771BF6"/>
    <w:rsid w:val="0077249A"/>
    <w:rsid w:val="0077262C"/>
    <w:rsid w:val="00772A29"/>
    <w:rsid w:val="007733E9"/>
    <w:rsid w:val="00773B3E"/>
    <w:rsid w:val="00773E65"/>
    <w:rsid w:val="007741B0"/>
    <w:rsid w:val="007741F9"/>
    <w:rsid w:val="007745D3"/>
    <w:rsid w:val="007746DC"/>
    <w:rsid w:val="0077558B"/>
    <w:rsid w:val="007756E4"/>
    <w:rsid w:val="00776874"/>
    <w:rsid w:val="0077726C"/>
    <w:rsid w:val="00777AAB"/>
    <w:rsid w:val="00780747"/>
    <w:rsid w:val="00780FF9"/>
    <w:rsid w:val="0078285C"/>
    <w:rsid w:val="00782B30"/>
    <w:rsid w:val="00783952"/>
    <w:rsid w:val="00783A36"/>
    <w:rsid w:val="007845D4"/>
    <w:rsid w:val="00784DF0"/>
    <w:rsid w:val="00785A38"/>
    <w:rsid w:val="00785C2A"/>
    <w:rsid w:val="0078668F"/>
    <w:rsid w:val="00786706"/>
    <w:rsid w:val="0078700E"/>
    <w:rsid w:val="00787339"/>
    <w:rsid w:val="00787B59"/>
    <w:rsid w:val="007900A9"/>
    <w:rsid w:val="007910C3"/>
    <w:rsid w:val="00791110"/>
    <w:rsid w:val="00791250"/>
    <w:rsid w:val="0079150D"/>
    <w:rsid w:val="00791DE1"/>
    <w:rsid w:val="00793181"/>
    <w:rsid w:val="007936BD"/>
    <w:rsid w:val="007936C1"/>
    <w:rsid w:val="0079385B"/>
    <w:rsid w:val="00793D45"/>
    <w:rsid w:val="00795051"/>
    <w:rsid w:val="007952E6"/>
    <w:rsid w:val="007953F4"/>
    <w:rsid w:val="00795E20"/>
    <w:rsid w:val="00796787"/>
    <w:rsid w:val="007975BD"/>
    <w:rsid w:val="00797B7E"/>
    <w:rsid w:val="007A03CF"/>
    <w:rsid w:val="007A05A2"/>
    <w:rsid w:val="007A10D6"/>
    <w:rsid w:val="007A12EE"/>
    <w:rsid w:val="007A138C"/>
    <w:rsid w:val="007A1834"/>
    <w:rsid w:val="007A1856"/>
    <w:rsid w:val="007A1E52"/>
    <w:rsid w:val="007A1FBE"/>
    <w:rsid w:val="007A2A4D"/>
    <w:rsid w:val="007A31B2"/>
    <w:rsid w:val="007A3629"/>
    <w:rsid w:val="007A385C"/>
    <w:rsid w:val="007A38F5"/>
    <w:rsid w:val="007A3D24"/>
    <w:rsid w:val="007A3D38"/>
    <w:rsid w:val="007A4860"/>
    <w:rsid w:val="007A4CAF"/>
    <w:rsid w:val="007A4F73"/>
    <w:rsid w:val="007A4F7B"/>
    <w:rsid w:val="007A5823"/>
    <w:rsid w:val="007A61E4"/>
    <w:rsid w:val="007A704A"/>
    <w:rsid w:val="007A7242"/>
    <w:rsid w:val="007B12B0"/>
    <w:rsid w:val="007B1392"/>
    <w:rsid w:val="007B1785"/>
    <w:rsid w:val="007B215A"/>
    <w:rsid w:val="007B22D2"/>
    <w:rsid w:val="007B22DC"/>
    <w:rsid w:val="007B24F0"/>
    <w:rsid w:val="007B2E1A"/>
    <w:rsid w:val="007B2F48"/>
    <w:rsid w:val="007B34DC"/>
    <w:rsid w:val="007B3748"/>
    <w:rsid w:val="007B3795"/>
    <w:rsid w:val="007B3A98"/>
    <w:rsid w:val="007B4008"/>
    <w:rsid w:val="007B49C4"/>
    <w:rsid w:val="007B4D74"/>
    <w:rsid w:val="007B4DC6"/>
    <w:rsid w:val="007B5132"/>
    <w:rsid w:val="007B69E8"/>
    <w:rsid w:val="007B6B45"/>
    <w:rsid w:val="007B6C17"/>
    <w:rsid w:val="007B743C"/>
    <w:rsid w:val="007C0165"/>
    <w:rsid w:val="007C048B"/>
    <w:rsid w:val="007C0508"/>
    <w:rsid w:val="007C057E"/>
    <w:rsid w:val="007C1541"/>
    <w:rsid w:val="007C1905"/>
    <w:rsid w:val="007C19DF"/>
    <w:rsid w:val="007C25F8"/>
    <w:rsid w:val="007C29E0"/>
    <w:rsid w:val="007C3BAD"/>
    <w:rsid w:val="007C44DC"/>
    <w:rsid w:val="007C4545"/>
    <w:rsid w:val="007C45F7"/>
    <w:rsid w:val="007C46D1"/>
    <w:rsid w:val="007C47C2"/>
    <w:rsid w:val="007C4822"/>
    <w:rsid w:val="007C4DEF"/>
    <w:rsid w:val="007C5468"/>
    <w:rsid w:val="007C55F1"/>
    <w:rsid w:val="007C58AB"/>
    <w:rsid w:val="007C5D6B"/>
    <w:rsid w:val="007C6148"/>
    <w:rsid w:val="007C63B7"/>
    <w:rsid w:val="007C6900"/>
    <w:rsid w:val="007C69A9"/>
    <w:rsid w:val="007C6C60"/>
    <w:rsid w:val="007C6D07"/>
    <w:rsid w:val="007C745C"/>
    <w:rsid w:val="007C7578"/>
    <w:rsid w:val="007C7E7C"/>
    <w:rsid w:val="007C7F4C"/>
    <w:rsid w:val="007D0507"/>
    <w:rsid w:val="007D065E"/>
    <w:rsid w:val="007D0A94"/>
    <w:rsid w:val="007D0B22"/>
    <w:rsid w:val="007D0BD6"/>
    <w:rsid w:val="007D0D5B"/>
    <w:rsid w:val="007D143D"/>
    <w:rsid w:val="007D1964"/>
    <w:rsid w:val="007D25B9"/>
    <w:rsid w:val="007D2BE8"/>
    <w:rsid w:val="007D3066"/>
    <w:rsid w:val="007D3B0F"/>
    <w:rsid w:val="007D40D9"/>
    <w:rsid w:val="007D421B"/>
    <w:rsid w:val="007D4490"/>
    <w:rsid w:val="007D4579"/>
    <w:rsid w:val="007D51EB"/>
    <w:rsid w:val="007D58BB"/>
    <w:rsid w:val="007D6835"/>
    <w:rsid w:val="007D6A93"/>
    <w:rsid w:val="007D6EED"/>
    <w:rsid w:val="007D7CDE"/>
    <w:rsid w:val="007D7DC7"/>
    <w:rsid w:val="007E01AF"/>
    <w:rsid w:val="007E0772"/>
    <w:rsid w:val="007E0906"/>
    <w:rsid w:val="007E0A12"/>
    <w:rsid w:val="007E0D31"/>
    <w:rsid w:val="007E0E04"/>
    <w:rsid w:val="007E0EF9"/>
    <w:rsid w:val="007E0FD3"/>
    <w:rsid w:val="007E21D9"/>
    <w:rsid w:val="007E2646"/>
    <w:rsid w:val="007E2BDD"/>
    <w:rsid w:val="007E45CA"/>
    <w:rsid w:val="007E48C0"/>
    <w:rsid w:val="007E5885"/>
    <w:rsid w:val="007E61B7"/>
    <w:rsid w:val="007E64FF"/>
    <w:rsid w:val="007E6DD2"/>
    <w:rsid w:val="007E6F62"/>
    <w:rsid w:val="007E6FEA"/>
    <w:rsid w:val="007E7C7B"/>
    <w:rsid w:val="007E7E0F"/>
    <w:rsid w:val="007E7F8F"/>
    <w:rsid w:val="007F015E"/>
    <w:rsid w:val="007F075B"/>
    <w:rsid w:val="007F081A"/>
    <w:rsid w:val="007F1160"/>
    <w:rsid w:val="007F1F3B"/>
    <w:rsid w:val="007F21B0"/>
    <w:rsid w:val="007F2DE9"/>
    <w:rsid w:val="007F3223"/>
    <w:rsid w:val="007F341B"/>
    <w:rsid w:val="007F3682"/>
    <w:rsid w:val="007F3A0C"/>
    <w:rsid w:val="007F3AA2"/>
    <w:rsid w:val="007F3B45"/>
    <w:rsid w:val="007F3E3E"/>
    <w:rsid w:val="007F4A9E"/>
    <w:rsid w:val="007F4ABC"/>
    <w:rsid w:val="007F4D45"/>
    <w:rsid w:val="007F510F"/>
    <w:rsid w:val="007F5206"/>
    <w:rsid w:val="007F545B"/>
    <w:rsid w:val="007F59B2"/>
    <w:rsid w:val="007F5A1A"/>
    <w:rsid w:val="007F6607"/>
    <w:rsid w:val="007F7865"/>
    <w:rsid w:val="007F7BB4"/>
    <w:rsid w:val="007F7FB3"/>
    <w:rsid w:val="0080026A"/>
    <w:rsid w:val="00800340"/>
    <w:rsid w:val="00800821"/>
    <w:rsid w:val="00800953"/>
    <w:rsid w:val="00801255"/>
    <w:rsid w:val="0080197B"/>
    <w:rsid w:val="00801C1F"/>
    <w:rsid w:val="008021D3"/>
    <w:rsid w:val="00802849"/>
    <w:rsid w:val="00802971"/>
    <w:rsid w:val="008038E3"/>
    <w:rsid w:val="008038F6"/>
    <w:rsid w:val="00804558"/>
    <w:rsid w:val="008047AE"/>
    <w:rsid w:val="00804A0C"/>
    <w:rsid w:val="00804B21"/>
    <w:rsid w:val="00805483"/>
    <w:rsid w:val="0080585D"/>
    <w:rsid w:val="00806273"/>
    <w:rsid w:val="0080661F"/>
    <w:rsid w:val="008067A0"/>
    <w:rsid w:val="00806EFD"/>
    <w:rsid w:val="00807074"/>
    <w:rsid w:val="008073AA"/>
    <w:rsid w:val="00807E43"/>
    <w:rsid w:val="00807F69"/>
    <w:rsid w:val="00810368"/>
    <w:rsid w:val="008108B5"/>
    <w:rsid w:val="00810BE7"/>
    <w:rsid w:val="008111E3"/>
    <w:rsid w:val="00811336"/>
    <w:rsid w:val="0081165D"/>
    <w:rsid w:val="00811B28"/>
    <w:rsid w:val="00811E2C"/>
    <w:rsid w:val="00812862"/>
    <w:rsid w:val="00812A7A"/>
    <w:rsid w:val="0081362B"/>
    <w:rsid w:val="008136E0"/>
    <w:rsid w:val="00814257"/>
    <w:rsid w:val="0081450B"/>
    <w:rsid w:val="0081467F"/>
    <w:rsid w:val="00814EF5"/>
    <w:rsid w:val="00815339"/>
    <w:rsid w:val="0081591F"/>
    <w:rsid w:val="00815A99"/>
    <w:rsid w:val="00815E5B"/>
    <w:rsid w:val="008160D1"/>
    <w:rsid w:val="008162B3"/>
    <w:rsid w:val="0081640D"/>
    <w:rsid w:val="008165F6"/>
    <w:rsid w:val="0081687A"/>
    <w:rsid w:val="008169A1"/>
    <w:rsid w:val="00820160"/>
    <w:rsid w:val="0082022B"/>
    <w:rsid w:val="00820E0E"/>
    <w:rsid w:val="00821237"/>
    <w:rsid w:val="008216DA"/>
    <w:rsid w:val="008217C3"/>
    <w:rsid w:val="00821868"/>
    <w:rsid w:val="008219B8"/>
    <w:rsid w:val="00821C0D"/>
    <w:rsid w:val="00821ECA"/>
    <w:rsid w:val="00822414"/>
    <w:rsid w:val="00822CB9"/>
    <w:rsid w:val="00822E2C"/>
    <w:rsid w:val="00823116"/>
    <w:rsid w:val="0082350E"/>
    <w:rsid w:val="00823658"/>
    <w:rsid w:val="008239BF"/>
    <w:rsid w:val="00823B36"/>
    <w:rsid w:val="0082401B"/>
    <w:rsid w:val="0082488C"/>
    <w:rsid w:val="008251E7"/>
    <w:rsid w:val="00825417"/>
    <w:rsid w:val="008262BC"/>
    <w:rsid w:val="008262DB"/>
    <w:rsid w:val="008266A2"/>
    <w:rsid w:val="008267AE"/>
    <w:rsid w:val="008267E2"/>
    <w:rsid w:val="008305E4"/>
    <w:rsid w:val="00830B33"/>
    <w:rsid w:val="0083118A"/>
    <w:rsid w:val="00831784"/>
    <w:rsid w:val="00832727"/>
    <w:rsid w:val="00833643"/>
    <w:rsid w:val="008337C1"/>
    <w:rsid w:val="00833FE9"/>
    <w:rsid w:val="00834E39"/>
    <w:rsid w:val="00834F23"/>
    <w:rsid w:val="008353B6"/>
    <w:rsid w:val="00836A67"/>
    <w:rsid w:val="00836CEB"/>
    <w:rsid w:val="00840EAF"/>
    <w:rsid w:val="008416BF"/>
    <w:rsid w:val="008416FD"/>
    <w:rsid w:val="0084188F"/>
    <w:rsid w:val="008423D2"/>
    <w:rsid w:val="00842408"/>
    <w:rsid w:val="00842659"/>
    <w:rsid w:val="0084293A"/>
    <w:rsid w:val="0084298D"/>
    <w:rsid w:val="0084354C"/>
    <w:rsid w:val="0084375D"/>
    <w:rsid w:val="0084416F"/>
    <w:rsid w:val="00844462"/>
    <w:rsid w:val="008449FE"/>
    <w:rsid w:val="0084542F"/>
    <w:rsid w:val="00845515"/>
    <w:rsid w:val="00845520"/>
    <w:rsid w:val="00845B02"/>
    <w:rsid w:val="00845FC4"/>
    <w:rsid w:val="008461B0"/>
    <w:rsid w:val="00846C9F"/>
    <w:rsid w:val="00846D16"/>
    <w:rsid w:val="00846F4C"/>
    <w:rsid w:val="00847C35"/>
    <w:rsid w:val="0085044B"/>
    <w:rsid w:val="008506DC"/>
    <w:rsid w:val="008509F1"/>
    <w:rsid w:val="00850EE1"/>
    <w:rsid w:val="0085108A"/>
    <w:rsid w:val="008515AC"/>
    <w:rsid w:val="0085165B"/>
    <w:rsid w:val="0085179C"/>
    <w:rsid w:val="008518FA"/>
    <w:rsid w:val="00851903"/>
    <w:rsid w:val="00851B3F"/>
    <w:rsid w:val="00851DCB"/>
    <w:rsid w:val="00851E0C"/>
    <w:rsid w:val="00851F5F"/>
    <w:rsid w:val="00852142"/>
    <w:rsid w:val="008528CF"/>
    <w:rsid w:val="0085311F"/>
    <w:rsid w:val="00853334"/>
    <w:rsid w:val="00853510"/>
    <w:rsid w:val="00853B22"/>
    <w:rsid w:val="00853E5B"/>
    <w:rsid w:val="00854123"/>
    <w:rsid w:val="008542D1"/>
    <w:rsid w:val="00854465"/>
    <w:rsid w:val="008544BD"/>
    <w:rsid w:val="00854946"/>
    <w:rsid w:val="00854B62"/>
    <w:rsid w:val="00854B77"/>
    <w:rsid w:val="00854E58"/>
    <w:rsid w:val="008558ED"/>
    <w:rsid w:val="00855B02"/>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1E"/>
    <w:rsid w:val="0086264B"/>
    <w:rsid w:val="008626E9"/>
    <w:rsid w:val="008626EB"/>
    <w:rsid w:val="008627BF"/>
    <w:rsid w:val="00862EFD"/>
    <w:rsid w:val="008638FB"/>
    <w:rsid w:val="0086444C"/>
    <w:rsid w:val="008644B1"/>
    <w:rsid w:val="00864768"/>
    <w:rsid w:val="008651B3"/>
    <w:rsid w:val="00865300"/>
    <w:rsid w:val="008653FC"/>
    <w:rsid w:val="008654B5"/>
    <w:rsid w:val="008658AB"/>
    <w:rsid w:val="00865B18"/>
    <w:rsid w:val="0086672E"/>
    <w:rsid w:val="00866CF2"/>
    <w:rsid w:val="008675EC"/>
    <w:rsid w:val="008679CE"/>
    <w:rsid w:val="00867DA7"/>
    <w:rsid w:val="0087018F"/>
    <w:rsid w:val="008705A8"/>
    <w:rsid w:val="00870B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E3"/>
    <w:rsid w:val="00874521"/>
    <w:rsid w:val="00874C1F"/>
    <w:rsid w:val="00874C66"/>
    <w:rsid w:val="00874F67"/>
    <w:rsid w:val="00875356"/>
    <w:rsid w:val="00875F4F"/>
    <w:rsid w:val="008760D6"/>
    <w:rsid w:val="008762D8"/>
    <w:rsid w:val="008772D9"/>
    <w:rsid w:val="00877B29"/>
    <w:rsid w:val="008808B9"/>
    <w:rsid w:val="00880B30"/>
    <w:rsid w:val="00880F1D"/>
    <w:rsid w:val="0088172A"/>
    <w:rsid w:val="00881F90"/>
    <w:rsid w:val="00882798"/>
    <w:rsid w:val="00882988"/>
    <w:rsid w:val="008851C4"/>
    <w:rsid w:val="00885696"/>
    <w:rsid w:val="0088570A"/>
    <w:rsid w:val="00885E9D"/>
    <w:rsid w:val="0088636E"/>
    <w:rsid w:val="008864A7"/>
    <w:rsid w:val="0088666A"/>
    <w:rsid w:val="0088678F"/>
    <w:rsid w:val="0088688A"/>
    <w:rsid w:val="00886960"/>
    <w:rsid w:val="00886A9E"/>
    <w:rsid w:val="00886DC9"/>
    <w:rsid w:val="00886EC7"/>
    <w:rsid w:val="008870E1"/>
    <w:rsid w:val="00887184"/>
    <w:rsid w:val="008879EA"/>
    <w:rsid w:val="00890139"/>
    <w:rsid w:val="008915A3"/>
    <w:rsid w:val="0089160E"/>
    <w:rsid w:val="00891D7D"/>
    <w:rsid w:val="008921B1"/>
    <w:rsid w:val="00892670"/>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2545"/>
    <w:rsid w:val="008A2636"/>
    <w:rsid w:val="008A279E"/>
    <w:rsid w:val="008A35DB"/>
    <w:rsid w:val="008A3AF9"/>
    <w:rsid w:val="008A3FBE"/>
    <w:rsid w:val="008A4013"/>
    <w:rsid w:val="008A4C9C"/>
    <w:rsid w:val="008A6041"/>
    <w:rsid w:val="008A60F8"/>
    <w:rsid w:val="008A62A8"/>
    <w:rsid w:val="008A69FE"/>
    <w:rsid w:val="008A6EC7"/>
    <w:rsid w:val="008A6F36"/>
    <w:rsid w:val="008A7286"/>
    <w:rsid w:val="008A7B50"/>
    <w:rsid w:val="008B0066"/>
    <w:rsid w:val="008B0641"/>
    <w:rsid w:val="008B0EB7"/>
    <w:rsid w:val="008B138E"/>
    <w:rsid w:val="008B19AB"/>
    <w:rsid w:val="008B1C78"/>
    <w:rsid w:val="008B1F87"/>
    <w:rsid w:val="008B28BD"/>
    <w:rsid w:val="008B2AC0"/>
    <w:rsid w:val="008B2E96"/>
    <w:rsid w:val="008B2F53"/>
    <w:rsid w:val="008B3006"/>
    <w:rsid w:val="008B3139"/>
    <w:rsid w:val="008B3B50"/>
    <w:rsid w:val="008B3D47"/>
    <w:rsid w:val="008B44CB"/>
    <w:rsid w:val="008B46D2"/>
    <w:rsid w:val="008B5253"/>
    <w:rsid w:val="008B53D8"/>
    <w:rsid w:val="008B55F6"/>
    <w:rsid w:val="008B63BE"/>
    <w:rsid w:val="008B640E"/>
    <w:rsid w:val="008B6505"/>
    <w:rsid w:val="008B688D"/>
    <w:rsid w:val="008B6E18"/>
    <w:rsid w:val="008B70EE"/>
    <w:rsid w:val="008B715C"/>
    <w:rsid w:val="008B74BA"/>
    <w:rsid w:val="008B75B8"/>
    <w:rsid w:val="008C0782"/>
    <w:rsid w:val="008C0EAD"/>
    <w:rsid w:val="008C1442"/>
    <w:rsid w:val="008C1693"/>
    <w:rsid w:val="008C19D9"/>
    <w:rsid w:val="008C1A5E"/>
    <w:rsid w:val="008C1A81"/>
    <w:rsid w:val="008C2855"/>
    <w:rsid w:val="008C29FE"/>
    <w:rsid w:val="008C32CA"/>
    <w:rsid w:val="008C361C"/>
    <w:rsid w:val="008C3967"/>
    <w:rsid w:val="008C431E"/>
    <w:rsid w:val="008C4759"/>
    <w:rsid w:val="008C4C5B"/>
    <w:rsid w:val="008C54BD"/>
    <w:rsid w:val="008C54C4"/>
    <w:rsid w:val="008C5798"/>
    <w:rsid w:val="008C6056"/>
    <w:rsid w:val="008C6628"/>
    <w:rsid w:val="008C69C9"/>
    <w:rsid w:val="008C6E38"/>
    <w:rsid w:val="008C6F75"/>
    <w:rsid w:val="008C7C18"/>
    <w:rsid w:val="008C7CC4"/>
    <w:rsid w:val="008C7D56"/>
    <w:rsid w:val="008D0218"/>
    <w:rsid w:val="008D047D"/>
    <w:rsid w:val="008D0B4C"/>
    <w:rsid w:val="008D0ED5"/>
    <w:rsid w:val="008D14C4"/>
    <w:rsid w:val="008D1964"/>
    <w:rsid w:val="008D221A"/>
    <w:rsid w:val="008D24D6"/>
    <w:rsid w:val="008D24E1"/>
    <w:rsid w:val="008D3E6A"/>
    <w:rsid w:val="008D53E2"/>
    <w:rsid w:val="008D5908"/>
    <w:rsid w:val="008D5AF1"/>
    <w:rsid w:val="008D61E4"/>
    <w:rsid w:val="008D6A6E"/>
    <w:rsid w:val="008D781F"/>
    <w:rsid w:val="008D7DBE"/>
    <w:rsid w:val="008E02B7"/>
    <w:rsid w:val="008E1354"/>
    <w:rsid w:val="008E15B0"/>
    <w:rsid w:val="008E20BE"/>
    <w:rsid w:val="008E22F8"/>
    <w:rsid w:val="008E2317"/>
    <w:rsid w:val="008E241B"/>
    <w:rsid w:val="008E2DBD"/>
    <w:rsid w:val="008E3096"/>
    <w:rsid w:val="008E30A3"/>
    <w:rsid w:val="008E330C"/>
    <w:rsid w:val="008E332F"/>
    <w:rsid w:val="008E3FB8"/>
    <w:rsid w:val="008E4114"/>
    <w:rsid w:val="008E45EA"/>
    <w:rsid w:val="008E4A1A"/>
    <w:rsid w:val="008E5E01"/>
    <w:rsid w:val="008E69A3"/>
    <w:rsid w:val="008E7CC9"/>
    <w:rsid w:val="008F02A1"/>
    <w:rsid w:val="008F0E69"/>
    <w:rsid w:val="008F12FF"/>
    <w:rsid w:val="008F2504"/>
    <w:rsid w:val="008F3D3E"/>
    <w:rsid w:val="008F3F31"/>
    <w:rsid w:val="008F4655"/>
    <w:rsid w:val="008F4779"/>
    <w:rsid w:val="008F542B"/>
    <w:rsid w:val="008F5670"/>
    <w:rsid w:val="008F599F"/>
    <w:rsid w:val="008F63DF"/>
    <w:rsid w:val="008F64E5"/>
    <w:rsid w:val="008F66F2"/>
    <w:rsid w:val="008F677E"/>
    <w:rsid w:val="008F6B6E"/>
    <w:rsid w:val="008F7C28"/>
    <w:rsid w:val="00900072"/>
    <w:rsid w:val="0090007F"/>
    <w:rsid w:val="0090034D"/>
    <w:rsid w:val="00900EC7"/>
    <w:rsid w:val="00900FFC"/>
    <w:rsid w:val="009011F9"/>
    <w:rsid w:val="00901244"/>
    <w:rsid w:val="00901570"/>
    <w:rsid w:val="00901979"/>
    <w:rsid w:val="00902357"/>
    <w:rsid w:val="0090242A"/>
    <w:rsid w:val="00902C85"/>
    <w:rsid w:val="009030F7"/>
    <w:rsid w:val="009034D9"/>
    <w:rsid w:val="00903FEA"/>
    <w:rsid w:val="009046C9"/>
    <w:rsid w:val="009046F1"/>
    <w:rsid w:val="009046FB"/>
    <w:rsid w:val="00904883"/>
    <w:rsid w:val="00904B0A"/>
    <w:rsid w:val="00904F84"/>
    <w:rsid w:val="009055DD"/>
    <w:rsid w:val="0090616A"/>
    <w:rsid w:val="00906527"/>
    <w:rsid w:val="00906BD9"/>
    <w:rsid w:val="00906EA0"/>
    <w:rsid w:val="009071AF"/>
    <w:rsid w:val="00907F4C"/>
    <w:rsid w:val="0091006A"/>
    <w:rsid w:val="00910B57"/>
    <w:rsid w:val="00911058"/>
    <w:rsid w:val="0091148A"/>
    <w:rsid w:val="00912347"/>
    <w:rsid w:val="0091268D"/>
    <w:rsid w:val="009129C1"/>
    <w:rsid w:val="009134D1"/>
    <w:rsid w:val="00913B74"/>
    <w:rsid w:val="00913EBB"/>
    <w:rsid w:val="009141BB"/>
    <w:rsid w:val="00914B55"/>
    <w:rsid w:val="00914DC4"/>
    <w:rsid w:val="00915076"/>
    <w:rsid w:val="00915329"/>
    <w:rsid w:val="0091588C"/>
    <w:rsid w:val="00915DB5"/>
    <w:rsid w:val="00915DF4"/>
    <w:rsid w:val="00916068"/>
    <w:rsid w:val="00916194"/>
    <w:rsid w:val="00916BF5"/>
    <w:rsid w:val="00916CCB"/>
    <w:rsid w:val="00916FF2"/>
    <w:rsid w:val="00917175"/>
    <w:rsid w:val="00917DB8"/>
    <w:rsid w:val="00920EC8"/>
    <w:rsid w:val="00921102"/>
    <w:rsid w:val="00921305"/>
    <w:rsid w:val="00921783"/>
    <w:rsid w:val="009217D9"/>
    <w:rsid w:val="00921AC8"/>
    <w:rsid w:val="0092206F"/>
    <w:rsid w:val="00922482"/>
    <w:rsid w:val="00922A2B"/>
    <w:rsid w:val="0092489D"/>
    <w:rsid w:val="00924A6C"/>
    <w:rsid w:val="00924ED4"/>
    <w:rsid w:val="00924F63"/>
    <w:rsid w:val="0092524C"/>
    <w:rsid w:val="009267DA"/>
    <w:rsid w:val="00926906"/>
    <w:rsid w:val="009271AB"/>
    <w:rsid w:val="00927281"/>
    <w:rsid w:val="009273B8"/>
    <w:rsid w:val="00927A20"/>
    <w:rsid w:val="00927B80"/>
    <w:rsid w:val="00930298"/>
    <w:rsid w:val="009302A6"/>
    <w:rsid w:val="00931325"/>
    <w:rsid w:val="009319DC"/>
    <w:rsid w:val="00931AAD"/>
    <w:rsid w:val="00931E6D"/>
    <w:rsid w:val="00932D04"/>
    <w:rsid w:val="00932E9E"/>
    <w:rsid w:val="00933B8A"/>
    <w:rsid w:val="00933EE8"/>
    <w:rsid w:val="00934141"/>
    <w:rsid w:val="009341AA"/>
    <w:rsid w:val="0093429A"/>
    <w:rsid w:val="00935280"/>
    <w:rsid w:val="009352D3"/>
    <w:rsid w:val="009354C0"/>
    <w:rsid w:val="009355BB"/>
    <w:rsid w:val="00935789"/>
    <w:rsid w:val="009359C5"/>
    <w:rsid w:val="00935CFA"/>
    <w:rsid w:val="009361E8"/>
    <w:rsid w:val="00936247"/>
    <w:rsid w:val="00936501"/>
    <w:rsid w:val="009366AD"/>
    <w:rsid w:val="00936782"/>
    <w:rsid w:val="00936EE8"/>
    <w:rsid w:val="009377A1"/>
    <w:rsid w:val="00940850"/>
    <w:rsid w:val="00940B1D"/>
    <w:rsid w:val="00940E71"/>
    <w:rsid w:val="0094243B"/>
    <w:rsid w:val="009425EB"/>
    <w:rsid w:val="009428A4"/>
    <w:rsid w:val="00943157"/>
    <w:rsid w:val="0094368C"/>
    <w:rsid w:val="00943893"/>
    <w:rsid w:val="009440E8"/>
    <w:rsid w:val="00944312"/>
    <w:rsid w:val="009443DC"/>
    <w:rsid w:val="0094474A"/>
    <w:rsid w:val="00944AE2"/>
    <w:rsid w:val="0094526B"/>
    <w:rsid w:val="009456EB"/>
    <w:rsid w:val="00945E7E"/>
    <w:rsid w:val="00945E8F"/>
    <w:rsid w:val="009463FD"/>
    <w:rsid w:val="009467FD"/>
    <w:rsid w:val="00946D2E"/>
    <w:rsid w:val="00946E64"/>
    <w:rsid w:val="009472F6"/>
    <w:rsid w:val="00947804"/>
    <w:rsid w:val="0094783F"/>
    <w:rsid w:val="00950327"/>
    <w:rsid w:val="00950B18"/>
    <w:rsid w:val="00950C55"/>
    <w:rsid w:val="00950CB3"/>
    <w:rsid w:val="0095267E"/>
    <w:rsid w:val="00952781"/>
    <w:rsid w:val="00952EBB"/>
    <w:rsid w:val="00952F24"/>
    <w:rsid w:val="0095332D"/>
    <w:rsid w:val="0095370E"/>
    <w:rsid w:val="00953B5D"/>
    <w:rsid w:val="00953D3D"/>
    <w:rsid w:val="00953F68"/>
    <w:rsid w:val="009543D8"/>
    <w:rsid w:val="009545D6"/>
    <w:rsid w:val="00954E64"/>
    <w:rsid w:val="00954F67"/>
    <w:rsid w:val="00955AA9"/>
    <w:rsid w:val="00955AB2"/>
    <w:rsid w:val="00955E60"/>
    <w:rsid w:val="00955EC8"/>
    <w:rsid w:val="0095699A"/>
    <w:rsid w:val="00956B34"/>
    <w:rsid w:val="00956C33"/>
    <w:rsid w:val="0095702D"/>
    <w:rsid w:val="009571A6"/>
    <w:rsid w:val="0095752A"/>
    <w:rsid w:val="009577C1"/>
    <w:rsid w:val="009602BA"/>
    <w:rsid w:val="009609CA"/>
    <w:rsid w:val="009615D7"/>
    <w:rsid w:val="00961B0E"/>
    <w:rsid w:val="00962D17"/>
    <w:rsid w:val="00963D17"/>
    <w:rsid w:val="00963D45"/>
    <w:rsid w:val="009640B5"/>
    <w:rsid w:val="00964459"/>
    <w:rsid w:val="009645EC"/>
    <w:rsid w:val="009657D5"/>
    <w:rsid w:val="00965F9F"/>
    <w:rsid w:val="00966141"/>
    <w:rsid w:val="009662EC"/>
    <w:rsid w:val="00966611"/>
    <w:rsid w:val="009669CC"/>
    <w:rsid w:val="00967655"/>
    <w:rsid w:val="00967C10"/>
    <w:rsid w:val="00970F12"/>
    <w:rsid w:val="009710BF"/>
    <w:rsid w:val="00971874"/>
    <w:rsid w:val="00971D9E"/>
    <w:rsid w:val="00971F83"/>
    <w:rsid w:val="00972061"/>
    <w:rsid w:val="0097245C"/>
    <w:rsid w:val="009725FE"/>
    <w:rsid w:val="0097282B"/>
    <w:rsid w:val="00972DAC"/>
    <w:rsid w:val="00973A35"/>
    <w:rsid w:val="009741F3"/>
    <w:rsid w:val="00974630"/>
    <w:rsid w:val="00974A1E"/>
    <w:rsid w:val="00975110"/>
    <w:rsid w:val="0097559A"/>
    <w:rsid w:val="00975D48"/>
    <w:rsid w:val="00975D68"/>
    <w:rsid w:val="00976546"/>
    <w:rsid w:val="00976FCF"/>
    <w:rsid w:val="0097768A"/>
    <w:rsid w:val="00980BAC"/>
    <w:rsid w:val="00980DF0"/>
    <w:rsid w:val="00980F3F"/>
    <w:rsid w:val="00981424"/>
    <w:rsid w:val="00981D1C"/>
    <w:rsid w:val="00982214"/>
    <w:rsid w:val="009823D4"/>
    <w:rsid w:val="00982474"/>
    <w:rsid w:val="00983285"/>
    <w:rsid w:val="00984672"/>
    <w:rsid w:val="00984F97"/>
    <w:rsid w:val="0098569D"/>
    <w:rsid w:val="00985A09"/>
    <w:rsid w:val="00985D8C"/>
    <w:rsid w:val="00986277"/>
    <w:rsid w:val="00986339"/>
    <w:rsid w:val="009866A3"/>
    <w:rsid w:val="009867D2"/>
    <w:rsid w:val="00986837"/>
    <w:rsid w:val="0098693D"/>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415"/>
    <w:rsid w:val="009A04CD"/>
    <w:rsid w:val="009A0A3A"/>
    <w:rsid w:val="009A0DFE"/>
    <w:rsid w:val="009A177E"/>
    <w:rsid w:val="009A1AE9"/>
    <w:rsid w:val="009A22E6"/>
    <w:rsid w:val="009A2486"/>
    <w:rsid w:val="009A2690"/>
    <w:rsid w:val="009A29BF"/>
    <w:rsid w:val="009A3307"/>
    <w:rsid w:val="009A33B5"/>
    <w:rsid w:val="009A3520"/>
    <w:rsid w:val="009A3547"/>
    <w:rsid w:val="009A39FF"/>
    <w:rsid w:val="009A3CB5"/>
    <w:rsid w:val="009A3EAF"/>
    <w:rsid w:val="009A3F33"/>
    <w:rsid w:val="009A5250"/>
    <w:rsid w:val="009A5501"/>
    <w:rsid w:val="009A5AE0"/>
    <w:rsid w:val="009A6477"/>
    <w:rsid w:val="009A6621"/>
    <w:rsid w:val="009A6AEA"/>
    <w:rsid w:val="009A6CC5"/>
    <w:rsid w:val="009A6F64"/>
    <w:rsid w:val="009B1F3A"/>
    <w:rsid w:val="009B21F9"/>
    <w:rsid w:val="009B2766"/>
    <w:rsid w:val="009B3248"/>
    <w:rsid w:val="009B32F0"/>
    <w:rsid w:val="009B368F"/>
    <w:rsid w:val="009B3EB4"/>
    <w:rsid w:val="009B3F21"/>
    <w:rsid w:val="009B42BE"/>
    <w:rsid w:val="009B5973"/>
    <w:rsid w:val="009B5B48"/>
    <w:rsid w:val="009B62E6"/>
    <w:rsid w:val="009B67C4"/>
    <w:rsid w:val="009B68B1"/>
    <w:rsid w:val="009B6A3F"/>
    <w:rsid w:val="009B6C5A"/>
    <w:rsid w:val="009B71E1"/>
    <w:rsid w:val="009C0448"/>
    <w:rsid w:val="009C0615"/>
    <w:rsid w:val="009C0CF8"/>
    <w:rsid w:val="009C0D49"/>
    <w:rsid w:val="009C0E2D"/>
    <w:rsid w:val="009C125A"/>
    <w:rsid w:val="009C1EB2"/>
    <w:rsid w:val="009C2675"/>
    <w:rsid w:val="009C2839"/>
    <w:rsid w:val="009C2DC4"/>
    <w:rsid w:val="009C3007"/>
    <w:rsid w:val="009C3042"/>
    <w:rsid w:val="009C386A"/>
    <w:rsid w:val="009C3B59"/>
    <w:rsid w:val="009C3E9C"/>
    <w:rsid w:val="009C4598"/>
    <w:rsid w:val="009C4A32"/>
    <w:rsid w:val="009C4B90"/>
    <w:rsid w:val="009C589E"/>
    <w:rsid w:val="009C63AB"/>
    <w:rsid w:val="009C69D0"/>
    <w:rsid w:val="009C69F4"/>
    <w:rsid w:val="009C6B18"/>
    <w:rsid w:val="009C7163"/>
    <w:rsid w:val="009C77A3"/>
    <w:rsid w:val="009C7F92"/>
    <w:rsid w:val="009D1082"/>
    <w:rsid w:val="009D20AC"/>
    <w:rsid w:val="009D20C9"/>
    <w:rsid w:val="009D21C8"/>
    <w:rsid w:val="009D26D8"/>
    <w:rsid w:val="009D2EBF"/>
    <w:rsid w:val="009D305B"/>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D71"/>
    <w:rsid w:val="009D66B9"/>
    <w:rsid w:val="009D6B77"/>
    <w:rsid w:val="009D6CE1"/>
    <w:rsid w:val="009E14B2"/>
    <w:rsid w:val="009E155E"/>
    <w:rsid w:val="009E1D15"/>
    <w:rsid w:val="009E1DFA"/>
    <w:rsid w:val="009E23ED"/>
    <w:rsid w:val="009E26BC"/>
    <w:rsid w:val="009E322C"/>
    <w:rsid w:val="009E3352"/>
    <w:rsid w:val="009E3479"/>
    <w:rsid w:val="009E387D"/>
    <w:rsid w:val="009E453D"/>
    <w:rsid w:val="009E4B72"/>
    <w:rsid w:val="009E4C64"/>
    <w:rsid w:val="009E5013"/>
    <w:rsid w:val="009E5292"/>
    <w:rsid w:val="009E56B0"/>
    <w:rsid w:val="009E5917"/>
    <w:rsid w:val="009E6223"/>
    <w:rsid w:val="009E725F"/>
    <w:rsid w:val="009E79CF"/>
    <w:rsid w:val="009E7E3B"/>
    <w:rsid w:val="009E7F2E"/>
    <w:rsid w:val="009F009C"/>
    <w:rsid w:val="009F0345"/>
    <w:rsid w:val="009F04F2"/>
    <w:rsid w:val="009F0A8F"/>
    <w:rsid w:val="009F19D8"/>
    <w:rsid w:val="009F1ACA"/>
    <w:rsid w:val="009F1C20"/>
    <w:rsid w:val="009F231C"/>
    <w:rsid w:val="009F2512"/>
    <w:rsid w:val="009F2C7D"/>
    <w:rsid w:val="009F3E13"/>
    <w:rsid w:val="009F40CE"/>
    <w:rsid w:val="009F4CDA"/>
    <w:rsid w:val="009F569E"/>
    <w:rsid w:val="009F59BF"/>
    <w:rsid w:val="009F5F68"/>
    <w:rsid w:val="009F6051"/>
    <w:rsid w:val="009F776E"/>
    <w:rsid w:val="00A00F42"/>
    <w:rsid w:val="00A01519"/>
    <w:rsid w:val="00A0195A"/>
    <w:rsid w:val="00A01BB1"/>
    <w:rsid w:val="00A02D3C"/>
    <w:rsid w:val="00A032EA"/>
    <w:rsid w:val="00A0408F"/>
    <w:rsid w:val="00A0431E"/>
    <w:rsid w:val="00A04E68"/>
    <w:rsid w:val="00A05155"/>
    <w:rsid w:val="00A05975"/>
    <w:rsid w:val="00A05EAA"/>
    <w:rsid w:val="00A0608D"/>
    <w:rsid w:val="00A060BE"/>
    <w:rsid w:val="00A0695E"/>
    <w:rsid w:val="00A07D26"/>
    <w:rsid w:val="00A1036E"/>
    <w:rsid w:val="00A104A1"/>
    <w:rsid w:val="00A107B5"/>
    <w:rsid w:val="00A10896"/>
    <w:rsid w:val="00A10D11"/>
    <w:rsid w:val="00A10D80"/>
    <w:rsid w:val="00A10FC7"/>
    <w:rsid w:val="00A11671"/>
    <w:rsid w:val="00A1187C"/>
    <w:rsid w:val="00A11D21"/>
    <w:rsid w:val="00A12CCC"/>
    <w:rsid w:val="00A12D1A"/>
    <w:rsid w:val="00A12E07"/>
    <w:rsid w:val="00A12F3D"/>
    <w:rsid w:val="00A13A4E"/>
    <w:rsid w:val="00A142FE"/>
    <w:rsid w:val="00A15479"/>
    <w:rsid w:val="00A15566"/>
    <w:rsid w:val="00A15B2D"/>
    <w:rsid w:val="00A163CD"/>
    <w:rsid w:val="00A16778"/>
    <w:rsid w:val="00A16B57"/>
    <w:rsid w:val="00A20224"/>
    <w:rsid w:val="00A207CF"/>
    <w:rsid w:val="00A21424"/>
    <w:rsid w:val="00A21997"/>
    <w:rsid w:val="00A23A98"/>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CCF"/>
    <w:rsid w:val="00A3584D"/>
    <w:rsid w:val="00A35D65"/>
    <w:rsid w:val="00A36CF6"/>
    <w:rsid w:val="00A36EC5"/>
    <w:rsid w:val="00A37A7D"/>
    <w:rsid w:val="00A37EDA"/>
    <w:rsid w:val="00A4035D"/>
    <w:rsid w:val="00A403FC"/>
    <w:rsid w:val="00A413A3"/>
    <w:rsid w:val="00A41DB1"/>
    <w:rsid w:val="00A43270"/>
    <w:rsid w:val="00A436CD"/>
    <w:rsid w:val="00A44299"/>
    <w:rsid w:val="00A4539E"/>
    <w:rsid w:val="00A45F82"/>
    <w:rsid w:val="00A46080"/>
    <w:rsid w:val="00A461CB"/>
    <w:rsid w:val="00A46C6C"/>
    <w:rsid w:val="00A46EB1"/>
    <w:rsid w:val="00A47523"/>
    <w:rsid w:val="00A47A54"/>
    <w:rsid w:val="00A47C59"/>
    <w:rsid w:val="00A50CB6"/>
    <w:rsid w:val="00A50FEC"/>
    <w:rsid w:val="00A51FC3"/>
    <w:rsid w:val="00A5237D"/>
    <w:rsid w:val="00A532FC"/>
    <w:rsid w:val="00A53624"/>
    <w:rsid w:val="00A54F72"/>
    <w:rsid w:val="00A554CC"/>
    <w:rsid w:val="00A5579B"/>
    <w:rsid w:val="00A56560"/>
    <w:rsid w:val="00A565B6"/>
    <w:rsid w:val="00A567E2"/>
    <w:rsid w:val="00A56806"/>
    <w:rsid w:val="00A57F15"/>
    <w:rsid w:val="00A60066"/>
    <w:rsid w:val="00A60179"/>
    <w:rsid w:val="00A613B7"/>
    <w:rsid w:val="00A61782"/>
    <w:rsid w:val="00A61FDA"/>
    <w:rsid w:val="00A63850"/>
    <w:rsid w:val="00A63B0C"/>
    <w:rsid w:val="00A64787"/>
    <w:rsid w:val="00A648E9"/>
    <w:rsid w:val="00A64ED1"/>
    <w:rsid w:val="00A65B7D"/>
    <w:rsid w:val="00A6654A"/>
    <w:rsid w:val="00A66C0D"/>
    <w:rsid w:val="00A6704E"/>
    <w:rsid w:val="00A6764D"/>
    <w:rsid w:val="00A67934"/>
    <w:rsid w:val="00A67D4A"/>
    <w:rsid w:val="00A703AE"/>
    <w:rsid w:val="00A70415"/>
    <w:rsid w:val="00A709AE"/>
    <w:rsid w:val="00A70AFB"/>
    <w:rsid w:val="00A70DCB"/>
    <w:rsid w:val="00A70E5B"/>
    <w:rsid w:val="00A71FD1"/>
    <w:rsid w:val="00A720C2"/>
    <w:rsid w:val="00A7248F"/>
    <w:rsid w:val="00A72733"/>
    <w:rsid w:val="00A72BC8"/>
    <w:rsid w:val="00A72C04"/>
    <w:rsid w:val="00A72FE2"/>
    <w:rsid w:val="00A73341"/>
    <w:rsid w:val="00A748ED"/>
    <w:rsid w:val="00A74BF9"/>
    <w:rsid w:val="00A75386"/>
    <w:rsid w:val="00A7593A"/>
    <w:rsid w:val="00A7597F"/>
    <w:rsid w:val="00A75B02"/>
    <w:rsid w:val="00A75D3F"/>
    <w:rsid w:val="00A75DFC"/>
    <w:rsid w:val="00A7664B"/>
    <w:rsid w:val="00A768C8"/>
    <w:rsid w:val="00A76C21"/>
    <w:rsid w:val="00A77727"/>
    <w:rsid w:val="00A81251"/>
    <w:rsid w:val="00A81951"/>
    <w:rsid w:val="00A8226A"/>
    <w:rsid w:val="00A82941"/>
    <w:rsid w:val="00A834D6"/>
    <w:rsid w:val="00A83A31"/>
    <w:rsid w:val="00A83A61"/>
    <w:rsid w:val="00A83DBC"/>
    <w:rsid w:val="00A84746"/>
    <w:rsid w:val="00A847AE"/>
    <w:rsid w:val="00A84D2C"/>
    <w:rsid w:val="00A84D86"/>
    <w:rsid w:val="00A85084"/>
    <w:rsid w:val="00A855FE"/>
    <w:rsid w:val="00A856A1"/>
    <w:rsid w:val="00A857FC"/>
    <w:rsid w:val="00A85836"/>
    <w:rsid w:val="00A85E79"/>
    <w:rsid w:val="00A85F29"/>
    <w:rsid w:val="00A8613B"/>
    <w:rsid w:val="00A86203"/>
    <w:rsid w:val="00A86D62"/>
    <w:rsid w:val="00A8775F"/>
    <w:rsid w:val="00A87982"/>
    <w:rsid w:val="00A87C2F"/>
    <w:rsid w:val="00A904F2"/>
    <w:rsid w:val="00A90A9D"/>
    <w:rsid w:val="00A911A0"/>
    <w:rsid w:val="00A91363"/>
    <w:rsid w:val="00A91450"/>
    <w:rsid w:val="00A91B63"/>
    <w:rsid w:val="00A91D8C"/>
    <w:rsid w:val="00A91F0C"/>
    <w:rsid w:val="00A920B1"/>
    <w:rsid w:val="00A92564"/>
    <w:rsid w:val="00A92DB9"/>
    <w:rsid w:val="00A934BF"/>
    <w:rsid w:val="00A93738"/>
    <w:rsid w:val="00A939AD"/>
    <w:rsid w:val="00A94084"/>
    <w:rsid w:val="00A9446E"/>
    <w:rsid w:val="00A952EF"/>
    <w:rsid w:val="00A96484"/>
    <w:rsid w:val="00A96790"/>
    <w:rsid w:val="00A96852"/>
    <w:rsid w:val="00A96C21"/>
    <w:rsid w:val="00A9791D"/>
    <w:rsid w:val="00A97D4A"/>
    <w:rsid w:val="00A97DB8"/>
    <w:rsid w:val="00AA0209"/>
    <w:rsid w:val="00AA020D"/>
    <w:rsid w:val="00AA03A6"/>
    <w:rsid w:val="00AA050F"/>
    <w:rsid w:val="00AA1128"/>
    <w:rsid w:val="00AA1337"/>
    <w:rsid w:val="00AA1A7C"/>
    <w:rsid w:val="00AA1ADA"/>
    <w:rsid w:val="00AA20B3"/>
    <w:rsid w:val="00AA2A7D"/>
    <w:rsid w:val="00AA2A95"/>
    <w:rsid w:val="00AA2ECC"/>
    <w:rsid w:val="00AA3A3E"/>
    <w:rsid w:val="00AA3B94"/>
    <w:rsid w:val="00AA3C94"/>
    <w:rsid w:val="00AA41D4"/>
    <w:rsid w:val="00AA4203"/>
    <w:rsid w:val="00AA4303"/>
    <w:rsid w:val="00AA4775"/>
    <w:rsid w:val="00AA47D3"/>
    <w:rsid w:val="00AA488F"/>
    <w:rsid w:val="00AA4A80"/>
    <w:rsid w:val="00AA5515"/>
    <w:rsid w:val="00AA567F"/>
    <w:rsid w:val="00AA583C"/>
    <w:rsid w:val="00AA5CFE"/>
    <w:rsid w:val="00AA65CF"/>
    <w:rsid w:val="00AA6A88"/>
    <w:rsid w:val="00AA768F"/>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1D3B"/>
    <w:rsid w:val="00AC2035"/>
    <w:rsid w:val="00AC226A"/>
    <w:rsid w:val="00AC246C"/>
    <w:rsid w:val="00AC2FB2"/>
    <w:rsid w:val="00AC32FB"/>
    <w:rsid w:val="00AC3ADE"/>
    <w:rsid w:val="00AC3F58"/>
    <w:rsid w:val="00AC4C92"/>
    <w:rsid w:val="00AC4E28"/>
    <w:rsid w:val="00AC4E71"/>
    <w:rsid w:val="00AC4F7E"/>
    <w:rsid w:val="00AC56D6"/>
    <w:rsid w:val="00AC5700"/>
    <w:rsid w:val="00AC591E"/>
    <w:rsid w:val="00AC5A64"/>
    <w:rsid w:val="00AC6E75"/>
    <w:rsid w:val="00AC7042"/>
    <w:rsid w:val="00AC70B8"/>
    <w:rsid w:val="00AC752F"/>
    <w:rsid w:val="00AC7B8D"/>
    <w:rsid w:val="00AC7E49"/>
    <w:rsid w:val="00AD099F"/>
    <w:rsid w:val="00AD1C10"/>
    <w:rsid w:val="00AD1D3D"/>
    <w:rsid w:val="00AD215C"/>
    <w:rsid w:val="00AD28FC"/>
    <w:rsid w:val="00AD2E7B"/>
    <w:rsid w:val="00AD2F8F"/>
    <w:rsid w:val="00AD3685"/>
    <w:rsid w:val="00AD3F4F"/>
    <w:rsid w:val="00AD403C"/>
    <w:rsid w:val="00AD4153"/>
    <w:rsid w:val="00AD4838"/>
    <w:rsid w:val="00AD5420"/>
    <w:rsid w:val="00AD56CF"/>
    <w:rsid w:val="00AD5B1E"/>
    <w:rsid w:val="00AD5DDB"/>
    <w:rsid w:val="00AD5E3E"/>
    <w:rsid w:val="00AD60B8"/>
    <w:rsid w:val="00AD60EF"/>
    <w:rsid w:val="00AD612C"/>
    <w:rsid w:val="00AD734C"/>
    <w:rsid w:val="00AD7922"/>
    <w:rsid w:val="00AE0413"/>
    <w:rsid w:val="00AE05BF"/>
    <w:rsid w:val="00AE0D8D"/>
    <w:rsid w:val="00AE23C8"/>
    <w:rsid w:val="00AE241A"/>
    <w:rsid w:val="00AE265A"/>
    <w:rsid w:val="00AE308D"/>
    <w:rsid w:val="00AE36D1"/>
    <w:rsid w:val="00AE3DDB"/>
    <w:rsid w:val="00AE4A64"/>
    <w:rsid w:val="00AE5771"/>
    <w:rsid w:val="00AE58F3"/>
    <w:rsid w:val="00AE59FC"/>
    <w:rsid w:val="00AE6AAF"/>
    <w:rsid w:val="00AE6B87"/>
    <w:rsid w:val="00AE6E56"/>
    <w:rsid w:val="00AE6E97"/>
    <w:rsid w:val="00AE6F35"/>
    <w:rsid w:val="00AE758E"/>
    <w:rsid w:val="00AF059D"/>
    <w:rsid w:val="00AF077D"/>
    <w:rsid w:val="00AF0992"/>
    <w:rsid w:val="00AF0C7C"/>
    <w:rsid w:val="00AF0D62"/>
    <w:rsid w:val="00AF0EB3"/>
    <w:rsid w:val="00AF0EF3"/>
    <w:rsid w:val="00AF1144"/>
    <w:rsid w:val="00AF1281"/>
    <w:rsid w:val="00AF14C8"/>
    <w:rsid w:val="00AF23D9"/>
    <w:rsid w:val="00AF290E"/>
    <w:rsid w:val="00AF29FA"/>
    <w:rsid w:val="00AF37D5"/>
    <w:rsid w:val="00AF381B"/>
    <w:rsid w:val="00AF3CBA"/>
    <w:rsid w:val="00AF3F63"/>
    <w:rsid w:val="00AF4326"/>
    <w:rsid w:val="00AF4345"/>
    <w:rsid w:val="00AF463B"/>
    <w:rsid w:val="00AF4CC5"/>
    <w:rsid w:val="00AF5319"/>
    <w:rsid w:val="00AF5E57"/>
    <w:rsid w:val="00AF608B"/>
    <w:rsid w:val="00AF6A59"/>
    <w:rsid w:val="00AF7A12"/>
    <w:rsid w:val="00AF7BDD"/>
    <w:rsid w:val="00B00F8C"/>
    <w:rsid w:val="00B00FEC"/>
    <w:rsid w:val="00B02145"/>
    <w:rsid w:val="00B02F0C"/>
    <w:rsid w:val="00B03776"/>
    <w:rsid w:val="00B03ED8"/>
    <w:rsid w:val="00B0401D"/>
    <w:rsid w:val="00B042D2"/>
    <w:rsid w:val="00B0477D"/>
    <w:rsid w:val="00B04E8D"/>
    <w:rsid w:val="00B04F50"/>
    <w:rsid w:val="00B04F6D"/>
    <w:rsid w:val="00B0542F"/>
    <w:rsid w:val="00B05A05"/>
    <w:rsid w:val="00B062CF"/>
    <w:rsid w:val="00B06495"/>
    <w:rsid w:val="00B064F1"/>
    <w:rsid w:val="00B06DA3"/>
    <w:rsid w:val="00B104A1"/>
    <w:rsid w:val="00B109DF"/>
    <w:rsid w:val="00B118E1"/>
    <w:rsid w:val="00B11A39"/>
    <w:rsid w:val="00B11A5F"/>
    <w:rsid w:val="00B11A9A"/>
    <w:rsid w:val="00B12065"/>
    <w:rsid w:val="00B120CF"/>
    <w:rsid w:val="00B1210E"/>
    <w:rsid w:val="00B1243E"/>
    <w:rsid w:val="00B129BD"/>
    <w:rsid w:val="00B12BDA"/>
    <w:rsid w:val="00B131C5"/>
    <w:rsid w:val="00B13D2B"/>
    <w:rsid w:val="00B13D4A"/>
    <w:rsid w:val="00B13F2E"/>
    <w:rsid w:val="00B14011"/>
    <w:rsid w:val="00B14793"/>
    <w:rsid w:val="00B15075"/>
    <w:rsid w:val="00B15774"/>
    <w:rsid w:val="00B15DB9"/>
    <w:rsid w:val="00B176D4"/>
    <w:rsid w:val="00B1780E"/>
    <w:rsid w:val="00B200D3"/>
    <w:rsid w:val="00B2060E"/>
    <w:rsid w:val="00B20DCF"/>
    <w:rsid w:val="00B20F8A"/>
    <w:rsid w:val="00B215EB"/>
    <w:rsid w:val="00B21852"/>
    <w:rsid w:val="00B22522"/>
    <w:rsid w:val="00B2288A"/>
    <w:rsid w:val="00B24781"/>
    <w:rsid w:val="00B24C16"/>
    <w:rsid w:val="00B24D66"/>
    <w:rsid w:val="00B258AF"/>
    <w:rsid w:val="00B26218"/>
    <w:rsid w:val="00B264B0"/>
    <w:rsid w:val="00B26CDB"/>
    <w:rsid w:val="00B26ECF"/>
    <w:rsid w:val="00B27444"/>
    <w:rsid w:val="00B27734"/>
    <w:rsid w:val="00B27771"/>
    <w:rsid w:val="00B27787"/>
    <w:rsid w:val="00B278D7"/>
    <w:rsid w:val="00B3091E"/>
    <w:rsid w:val="00B30CBC"/>
    <w:rsid w:val="00B31602"/>
    <w:rsid w:val="00B319FE"/>
    <w:rsid w:val="00B3232C"/>
    <w:rsid w:val="00B331B8"/>
    <w:rsid w:val="00B33786"/>
    <w:rsid w:val="00B337A4"/>
    <w:rsid w:val="00B34725"/>
    <w:rsid w:val="00B3503A"/>
    <w:rsid w:val="00B355F0"/>
    <w:rsid w:val="00B3578C"/>
    <w:rsid w:val="00B36759"/>
    <w:rsid w:val="00B369B6"/>
    <w:rsid w:val="00B36D9E"/>
    <w:rsid w:val="00B372C8"/>
    <w:rsid w:val="00B37311"/>
    <w:rsid w:val="00B373FB"/>
    <w:rsid w:val="00B37975"/>
    <w:rsid w:val="00B37D5F"/>
    <w:rsid w:val="00B40098"/>
    <w:rsid w:val="00B400A4"/>
    <w:rsid w:val="00B4106F"/>
    <w:rsid w:val="00B414F1"/>
    <w:rsid w:val="00B41BE7"/>
    <w:rsid w:val="00B424F7"/>
    <w:rsid w:val="00B42568"/>
    <w:rsid w:val="00B4316E"/>
    <w:rsid w:val="00B4339F"/>
    <w:rsid w:val="00B4381B"/>
    <w:rsid w:val="00B4383C"/>
    <w:rsid w:val="00B4403D"/>
    <w:rsid w:val="00B45847"/>
    <w:rsid w:val="00B460A1"/>
    <w:rsid w:val="00B46275"/>
    <w:rsid w:val="00B464C7"/>
    <w:rsid w:val="00B4658A"/>
    <w:rsid w:val="00B46C49"/>
    <w:rsid w:val="00B4733F"/>
    <w:rsid w:val="00B4758E"/>
    <w:rsid w:val="00B47CBB"/>
    <w:rsid w:val="00B50165"/>
    <w:rsid w:val="00B5083E"/>
    <w:rsid w:val="00B50ADB"/>
    <w:rsid w:val="00B51163"/>
    <w:rsid w:val="00B51604"/>
    <w:rsid w:val="00B51D47"/>
    <w:rsid w:val="00B51F1C"/>
    <w:rsid w:val="00B51F64"/>
    <w:rsid w:val="00B53B4E"/>
    <w:rsid w:val="00B53C5F"/>
    <w:rsid w:val="00B54245"/>
    <w:rsid w:val="00B54A24"/>
    <w:rsid w:val="00B54BD8"/>
    <w:rsid w:val="00B5596C"/>
    <w:rsid w:val="00B569B2"/>
    <w:rsid w:val="00B56FBD"/>
    <w:rsid w:val="00B5715A"/>
    <w:rsid w:val="00B57327"/>
    <w:rsid w:val="00B6002D"/>
    <w:rsid w:val="00B6010B"/>
    <w:rsid w:val="00B61262"/>
    <w:rsid w:val="00B61960"/>
    <w:rsid w:val="00B61E56"/>
    <w:rsid w:val="00B6210A"/>
    <w:rsid w:val="00B6220A"/>
    <w:rsid w:val="00B629F3"/>
    <w:rsid w:val="00B640CF"/>
    <w:rsid w:val="00B650C5"/>
    <w:rsid w:val="00B65828"/>
    <w:rsid w:val="00B658E9"/>
    <w:rsid w:val="00B65E01"/>
    <w:rsid w:val="00B665BB"/>
    <w:rsid w:val="00B66800"/>
    <w:rsid w:val="00B668CA"/>
    <w:rsid w:val="00B66939"/>
    <w:rsid w:val="00B66AB0"/>
    <w:rsid w:val="00B66CEA"/>
    <w:rsid w:val="00B67043"/>
    <w:rsid w:val="00B677D7"/>
    <w:rsid w:val="00B7095E"/>
    <w:rsid w:val="00B70C27"/>
    <w:rsid w:val="00B70ED8"/>
    <w:rsid w:val="00B710E0"/>
    <w:rsid w:val="00B7162D"/>
    <w:rsid w:val="00B71D76"/>
    <w:rsid w:val="00B71E56"/>
    <w:rsid w:val="00B727DF"/>
    <w:rsid w:val="00B72B57"/>
    <w:rsid w:val="00B72CF9"/>
    <w:rsid w:val="00B72EE9"/>
    <w:rsid w:val="00B73637"/>
    <w:rsid w:val="00B73D34"/>
    <w:rsid w:val="00B742C1"/>
    <w:rsid w:val="00B74720"/>
    <w:rsid w:val="00B74C99"/>
    <w:rsid w:val="00B74CFE"/>
    <w:rsid w:val="00B75032"/>
    <w:rsid w:val="00B750D5"/>
    <w:rsid w:val="00B7591C"/>
    <w:rsid w:val="00B75AD9"/>
    <w:rsid w:val="00B75D1D"/>
    <w:rsid w:val="00B75E98"/>
    <w:rsid w:val="00B76A3F"/>
    <w:rsid w:val="00B76A7D"/>
    <w:rsid w:val="00B76CE1"/>
    <w:rsid w:val="00B776D5"/>
    <w:rsid w:val="00B77B7E"/>
    <w:rsid w:val="00B80744"/>
    <w:rsid w:val="00B80979"/>
    <w:rsid w:val="00B8123C"/>
    <w:rsid w:val="00B818AA"/>
    <w:rsid w:val="00B81B66"/>
    <w:rsid w:val="00B81BC2"/>
    <w:rsid w:val="00B81C75"/>
    <w:rsid w:val="00B81D8F"/>
    <w:rsid w:val="00B81EEF"/>
    <w:rsid w:val="00B81F26"/>
    <w:rsid w:val="00B82D30"/>
    <w:rsid w:val="00B840BB"/>
    <w:rsid w:val="00B84C9F"/>
    <w:rsid w:val="00B8525F"/>
    <w:rsid w:val="00B85302"/>
    <w:rsid w:val="00B856E9"/>
    <w:rsid w:val="00B85774"/>
    <w:rsid w:val="00B86197"/>
    <w:rsid w:val="00B86429"/>
    <w:rsid w:val="00B8648F"/>
    <w:rsid w:val="00B866C7"/>
    <w:rsid w:val="00B86D06"/>
    <w:rsid w:val="00B86EFB"/>
    <w:rsid w:val="00B87563"/>
    <w:rsid w:val="00B87EBC"/>
    <w:rsid w:val="00B87FF0"/>
    <w:rsid w:val="00B901B5"/>
    <w:rsid w:val="00B90825"/>
    <w:rsid w:val="00B9084F"/>
    <w:rsid w:val="00B90862"/>
    <w:rsid w:val="00B90B81"/>
    <w:rsid w:val="00B90B93"/>
    <w:rsid w:val="00B90DD5"/>
    <w:rsid w:val="00B912EC"/>
    <w:rsid w:val="00B917AC"/>
    <w:rsid w:val="00B91F77"/>
    <w:rsid w:val="00B926AC"/>
    <w:rsid w:val="00B92B3A"/>
    <w:rsid w:val="00B92E6B"/>
    <w:rsid w:val="00B93043"/>
    <w:rsid w:val="00B93431"/>
    <w:rsid w:val="00B93500"/>
    <w:rsid w:val="00B93D97"/>
    <w:rsid w:val="00B94392"/>
    <w:rsid w:val="00B94B94"/>
    <w:rsid w:val="00B955F5"/>
    <w:rsid w:val="00B95663"/>
    <w:rsid w:val="00B95A36"/>
    <w:rsid w:val="00B95CCC"/>
    <w:rsid w:val="00B95F44"/>
    <w:rsid w:val="00B96765"/>
    <w:rsid w:val="00B96D3C"/>
    <w:rsid w:val="00B96E7A"/>
    <w:rsid w:val="00B97577"/>
    <w:rsid w:val="00B97F5F"/>
    <w:rsid w:val="00BA00EA"/>
    <w:rsid w:val="00BA041F"/>
    <w:rsid w:val="00BA0FE9"/>
    <w:rsid w:val="00BA139F"/>
    <w:rsid w:val="00BA1A0B"/>
    <w:rsid w:val="00BA1E85"/>
    <w:rsid w:val="00BA359B"/>
    <w:rsid w:val="00BA3611"/>
    <w:rsid w:val="00BA3A93"/>
    <w:rsid w:val="00BA4D05"/>
    <w:rsid w:val="00BA5165"/>
    <w:rsid w:val="00BA5599"/>
    <w:rsid w:val="00BA5A40"/>
    <w:rsid w:val="00BA5FD5"/>
    <w:rsid w:val="00BA62AB"/>
    <w:rsid w:val="00BA7E0B"/>
    <w:rsid w:val="00BB0DE3"/>
    <w:rsid w:val="00BB0EA0"/>
    <w:rsid w:val="00BB10CD"/>
    <w:rsid w:val="00BB10F0"/>
    <w:rsid w:val="00BB122E"/>
    <w:rsid w:val="00BB1CE7"/>
    <w:rsid w:val="00BB25BB"/>
    <w:rsid w:val="00BB4A6F"/>
    <w:rsid w:val="00BB56B1"/>
    <w:rsid w:val="00BB5759"/>
    <w:rsid w:val="00BB5A30"/>
    <w:rsid w:val="00BB5B98"/>
    <w:rsid w:val="00BB7BAC"/>
    <w:rsid w:val="00BB7BCF"/>
    <w:rsid w:val="00BC08D8"/>
    <w:rsid w:val="00BC08FC"/>
    <w:rsid w:val="00BC202D"/>
    <w:rsid w:val="00BC213B"/>
    <w:rsid w:val="00BC2651"/>
    <w:rsid w:val="00BC2964"/>
    <w:rsid w:val="00BC3112"/>
    <w:rsid w:val="00BC340B"/>
    <w:rsid w:val="00BC3776"/>
    <w:rsid w:val="00BC3B17"/>
    <w:rsid w:val="00BC3D8E"/>
    <w:rsid w:val="00BC3E7F"/>
    <w:rsid w:val="00BC41B5"/>
    <w:rsid w:val="00BC42AB"/>
    <w:rsid w:val="00BC4C63"/>
    <w:rsid w:val="00BC54D1"/>
    <w:rsid w:val="00BC6145"/>
    <w:rsid w:val="00BC6308"/>
    <w:rsid w:val="00BC63FE"/>
    <w:rsid w:val="00BC666D"/>
    <w:rsid w:val="00BC67A4"/>
    <w:rsid w:val="00BC6B4D"/>
    <w:rsid w:val="00BC6C4F"/>
    <w:rsid w:val="00BC76AA"/>
    <w:rsid w:val="00BC7987"/>
    <w:rsid w:val="00BD1290"/>
    <w:rsid w:val="00BD17E7"/>
    <w:rsid w:val="00BD1CFB"/>
    <w:rsid w:val="00BD255F"/>
    <w:rsid w:val="00BD2921"/>
    <w:rsid w:val="00BD2B8F"/>
    <w:rsid w:val="00BD35B9"/>
    <w:rsid w:val="00BD36EC"/>
    <w:rsid w:val="00BD4A52"/>
    <w:rsid w:val="00BD51CA"/>
    <w:rsid w:val="00BD5CD2"/>
    <w:rsid w:val="00BD77DE"/>
    <w:rsid w:val="00BD79C2"/>
    <w:rsid w:val="00BE1BB2"/>
    <w:rsid w:val="00BE1F2E"/>
    <w:rsid w:val="00BE1FA7"/>
    <w:rsid w:val="00BE222B"/>
    <w:rsid w:val="00BE2AD7"/>
    <w:rsid w:val="00BE2BAA"/>
    <w:rsid w:val="00BE35FC"/>
    <w:rsid w:val="00BE3B8A"/>
    <w:rsid w:val="00BE4F8D"/>
    <w:rsid w:val="00BE590A"/>
    <w:rsid w:val="00BE644A"/>
    <w:rsid w:val="00BE770F"/>
    <w:rsid w:val="00BE778C"/>
    <w:rsid w:val="00BF01D4"/>
    <w:rsid w:val="00BF025E"/>
    <w:rsid w:val="00BF0536"/>
    <w:rsid w:val="00BF0E2E"/>
    <w:rsid w:val="00BF1001"/>
    <w:rsid w:val="00BF20FB"/>
    <w:rsid w:val="00BF28FB"/>
    <w:rsid w:val="00BF2997"/>
    <w:rsid w:val="00BF31A7"/>
    <w:rsid w:val="00BF4C22"/>
    <w:rsid w:val="00BF4CD1"/>
    <w:rsid w:val="00BF4DD7"/>
    <w:rsid w:val="00BF51E4"/>
    <w:rsid w:val="00BF6043"/>
    <w:rsid w:val="00BF76ED"/>
    <w:rsid w:val="00C00156"/>
    <w:rsid w:val="00C003C3"/>
    <w:rsid w:val="00C00550"/>
    <w:rsid w:val="00C00696"/>
    <w:rsid w:val="00C006F6"/>
    <w:rsid w:val="00C00838"/>
    <w:rsid w:val="00C008C4"/>
    <w:rsid w:val="00C008C6"/>
    <w:rsid w:val="00C00BE6"/>
    <w:rsid w:val="00C00CE6"/>
    <w:rsid w:val="00C00F80"/>
    <w:rsid w:val="00C01250"/>
    <w:rsid w:val="00C01619"/>
    <w:rsid w:val="00C02098"/>
    <w:rsid w:val="00C02E0F"/>
    <w:rsid w:val="00C03041"/>
    <w:rsid w:val="00C03815"/>
    <w:rsid w:val="00C041F4"/>
    <w:rsid w:val="00C04248"/>
    <w:rsid w:val="00C04A0D"/>
    <w:rsid w:val="00C04C59"/>
    <w:rsid w:val="00C0524E"/>
    <w:rsid w:val="00C05428"/>
    <w:rsid w:val="00C058A3"/>
    <w:rsid w:val="00C05E05"/>
    <w:rsid w:val="00C069CA"/>
    <w:rsid w:val="00C0711F"/>
    <w:rsid w:val="00C077E1"/>
    <w:rsid w:val="00C10633"/>
    <w:rsid w:val="00C107BE"/>
    <w:rsid w:val="00C10BD0"/>
    <w:rsid w:val="00C10C03"/>
    <w:rsid w:val="00C112F7"/>
    <w:rsid w:val="00C1161D"/>
    <w:rsid w:val="00C12CC4"/>
    <w:rsid w:val="00C12CE6"/>
    <w:rsid w:val="00C12D9C"/>
    <w:rsid w:val="00C13123"/>
    <w:rsid w:val="00C13208"/>
    <w:rsid w:val="00C133B9"/>
    <w:rsid w:val="00C133F5"/>
    <w:rsid w:val="00C1360E"/>
    <w:rsid w:val="00C13819"/>
    <w:rsid w:val="00C13CCA"/>
    <w:rsid w:val="00C142EA"/>
    <w:rsid w:val="00C14AD2"/>
    <w:rsid w:val="00C14AFE"/>
    <w:rsid w:val="00C14CA5"/>
    <w:rsid w:val="00C15BE1"/>
    <w:rsid w:val="00C160D9"/>
    <w:rsid w:val="00C16B32"/>
    <w:rsid w:val="00C16FF1"/>
    <w:rsid w:val="00C17089"/>
    <w:rsid w:val="00C1715B"/>
    <w:rsid w:val="00C1757F"/>
    <w:rsid w:val="00C17B74"/>
    <w:rsid w:val="00C17BCC"/>
    <w:rsid w:val="00C2026D"/>
    <w:rsid w:val="00C20358"/>
    <w:rsid w:val="00C20A09"/>
    <w:rsid w:val="00C20AEB"/>
    <w:rsid w:val="00C20F22"/>
    <w:rsid w:val="00C21FF8"/>
    <w:rsid w:val="00C220F2"/>
    <w:rsid w:val="00C223A0"/>
    <w:rsid w:val="00C228D6"/>
    <w:rsid w:val="00C23BBD"/>
    <w:rsid w:val="00C2455C"/>
    <w:rsid w:val="00C24638"/>
    <w:rsid w:val="00C2472D"/>
    <w:rsid w:val="00C26495"/>
    <w:rsid w:val="00C273ED"/>
    <w:rsid w:val="00C273F1"/>
    <w:rsid w:val="00C27447"/>
    <w:rsid w:val="00C27891"/>
    <w:rsid w:val="00C27D45"/>
    <w:rsid w:val="00C300F5"/>
    <w:rsid w:val="00C30AED"/>
    <w:rsid w:val="00C31073"/>
    <w:rsid w:val="00C314B5"/>
    <w:rsid w:val="00C323E5"/>
    <w:rsid w:val="00C32570"/>
    <w:rsid w:val="00C32C1E"/>
    <w:rsid w:val="00C32D53"/>
    <w:rsid w:val="00C32F69"/>
    <w:rsid w:val="00C3312E"/>
    <w:rsid w:val="00C33CD5"/>
    <w:rsid w:val="00C33D0A"/>
    <w:rsid w:val="00C33D85"/>
    <w:rsid w:val="00C340CF"/>
    <w:rsid w:val="00C34101"/>
    <w:rsid w:val="00C34796"/>
    <w:rsid w:val="00C348FE"/>
    <w:rsid w:val="00C34FBC"/>
    <w:rsid w:val="00C35087"/>
    <w:rsid w:val="00C3523B"/>
    <w:rsid w:val="00C35947"/>
    <w:rsid w:val="00C36B3D"/>
    <w:rsid w:val="00C36FFE"/>
    <w:rsid w:val="00C37913"/>
    <w:rsid w:val="00C4005B"/>
    <w:rsid w:val="00C406CC"/>
    <w:rsid w:val="00C40A83"/>
    <w:rsid w:val="00C40D37"/>
    <w:rsid w:val="00C412E1"/>
    <w:rsid w:val="00C4151E"/>
    <w:rsid w:val="00C416FD"/>
    <w:rsid w:val="00C41E73"/>
    <w:rsid w:val="00C41FA0"/>
    <w:rsid w:val="00C42143"/>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29C6"/>
    <w:rsid w:val="00C52D66"/>
    <w:rsid w:val="00C536E4"/>
    <w:rsid w:val="00C538AE"/>
    <w:rsid w:val="00C53C32"/>
    <w:rsid w:val="00C53E7A"/>
    <w:rsid w:val="00C5418B"/>
    <w:rsid w:val="00C54481"/>
    <w:rsid w:val="00C54492"/>
    <w:rsid w:val="00C544B6"/>
    <w:rsid w:val="00C54601"/>
    <w:rsid w:val="00C54E26"/>
    <w:rsid w:val="00C56A84"/>
    <w:rsid w:val="00C575E8"/>
    <w:rsid w:val="00C5777E"/>
    <w:rsid w:val="00C57EB0"/>
    <w:rsid w:val="00C60984"/>
    <w:rsid w:val="00C60E33"/>
    <w:rsid w:val="00C610C7"/>
    <w:rsid w:val="00C6111A"/>
    <w:rsid w:val="00C61801"/>
    <w:rsid w:val="00C618DF"/>
    <w:rsid w:val="00C62F26"/>
    <w:rsid w:val="00C6318D"/>
    <w:rsid w:val="00C65030"/>
    <w:rsid w:val="00C6527B"/>
    <w:rsid w:val="00C652A1"/>
    <w:rsid w:val="00C655E4"/>
    <w:rsid w:val="00C65613"/>
    <w:rsid w:val="00C65738"/>
    <w:rsid w:val="00C6590A"/>
    <w:rsid w:val="00C65FFB"/>
    <w:rsid w:val="00C66663"/>
    <w:rsid w:val="00C667A9"/>
    <w:rsid w:val="00C668D8"/>
    <w:rsid w:val="00C66A49"/>
    <w:rsid w:val="00C66BCD"/>
    <w:rsid w:val="00C66E74"/>
    <w:rsid w:val="00C67029"/>
    <w:rsid w:val="00C67A4B"/>
    <w:rsid w:val="00C70B38"/>
    <w:rsid w:val="00C70B43"/>
    <w:rsid w:val="00C71593"/>
    <w:rsid w:val="00C71A56"/>
    <w:rsid w:val="00C724BD"/>
    <w:rsid w:val="00C7265A"/>
    <w:rsid w:val="00C730CC"/>
    <w:rsid w:val="00C7382E"/>
    <w:rsid w:val="00C73CC4"/>
    <w:rsid w:val="00C7532A"/>
    <w:rsid w:val="00C75721"/>
    <w:rsid w:val="00C760A6"/>
    <w:rsid w:val="00C762B7"/>
    <w:rsid w:val="00C76357"/>
    <w:rsid w:val="00C76825"/>
    <w:rsid w:val="00C77C4B"/>
    <w:rsid w:val="00C77D50"/>
    <w:rsid w:val="00C806F5"/>
    <w:rsid w:val="00C80DC6"/>
    <w:rsid w:val="00C815E4"/>
    <w:rsid w:val="00C817F9"/>
    <w:rsid w:val="00C81C15"/>
    <w:rsid w:val="00C82276"/>
    <w:rsid w:val="00C8290C"/>
    <w:rsid w:val="00C833A2"/>
    <w:rsid w:val="00C84D89"/>
    <w:rsid w:val="00C8512B"/>
    <w:rsid w:val="00C858C8"/>
    <w:rsid w:val="00C85A79"/>
    <w:rsid w:val="00C86242"/>
    <w:rsid w:val="00C86D64"/>
    <w:rsid w:val="00C875B5"/>
    <w:rsid w:val="00C87CDD"/>
    <w:rsid w:val="00C909EE"/>
    <w:rsid w:val="00C90A93"/>
    <w:rsid w:val="00C90E27"/>
    <w:rsid w:val="00C910ED"/>
    <w:rsid w:val="00C914C9"/>
    <w:rsid w:val="00C9156F"/>
    <w:rsid w:val="00C917AA"/>
    <w:rsid w:val="00C91E57"/>
    <w:rsid w:val="00C922E8"/>
    <w:rsid w:val="00C93188"/>
    <w:rsid w:val="00C93538"/>
    <w:rsid w:val="00C94EF3"/>
    <w:rsid w:val="00C952A9"/>
    <w:rsid w:val="00C9534F"/>
    <w:rsid w:val="00C95E98"/>
    <w:rsid w:val="00C95F67"/>
    <w:rsid w:val="00C961C0"/>
    <w:rsid w:val="00C965E4"/>
    <w:rsid w:val="00C9675B"/>
    <w:rsid w:val="00C96B69"/>
    <w:rsid w:val="00C9739A"/>
    <w:rsid w:val="00CA13BF"/>
    <w:rsid w:val="00CA13F7"/>
    <w:rsid w:val="00CA1463"/>
    <w:rsid w:val="00CA14DE"/>
    <w:rsid w:val="00CA1C3C"/>
    <w:rsid w:val="00CA2A57"/>
    <w:rsid w:val="00CA2C4B"/>
    <w:rsid w:val="00CA2CEB"/>
    <w:rsid w:val="00CA30A9"/>
    <w:rsid w:val="00CA35EC"/>
    <w:rsid w:val="00CA3D36"/>
    <w:rsid w:val="00CA3EC4"/>
    <w:rsid w:val="00CA40AF"/>
    <w:rsid w:val="00CA4249"/>
    <w:rsid w:val="00CA4C39"/>
    <w:rsid w:val="00CA4EF3"/>
    <w:rsid w:val="00CA530C"/>
    <w:rsid w:val="00CA575F"/>
    <w:rsid w:val="00CA6F7C"/>
    <w:rsid w:val="00CB0652"/>
    <w:rsid w:val="00CB0A8A"/>
    <w:rsid w:val="00CB12EC"/>
    <w:rsid w:val="00CB138C"/>
    <w:rsid w:val="00CB1BD3"/>
    <w:rsid w:val="00CB1DA2"/>
    <w:rsid w:val="00CB21EF"/>
    <w:rsid w:val="00CB26B1"/>
    <w:rsid w:val="00CB2714"/>
    <w:rsid w:val="00CB2824"/>
    <w:rsid w:val="00CB2C75"/>
    <w:rsid w:val="00CB2F95"/>
    <w:rsid w:val="00CB30E7"/>
    <w:rsid w:val="00CB3270"/>
    <w:rsid w:val="00CB4DA4"/>
    <w:rsid w:val="00CB557A"/>
    <w:rsid w:val="00CB5B5D"/>
    <w:rsid w:val="00CB6108"/>
    <w:rsid w:val="00CB644A"/>
    <w:rsid w:val="00CB6E3F"/>
    <w:rsid w:val="00CB6F20"/>
    <w:rsid w:val="00CB7071"/>
    <w:rsid w:val="00CB75F9"/>
    <w:rsid w:val="00CB7D14"/>
    <w:rsid w:val="00CB7D9F"/>
    <w:rsid w:val="00CC07A1"/>
    <w:rsid w:val="00CC0824"/>
    <w:rsid w:val="00CC08D7"/>
    <w:rsid w:val="00CC0A9A"/>
    <w:rsid w:val="00CC0EA3"/>
    <w:rsid w:val="00CC156F"/>
    <w:rsid w:val="00CC26E2"/>
    <w:rsid w:val="00CC2B9C"/>
    <w:rsid w:val="00CC326E"/>
    <w:rsid w:val="00CC38EE"/>
    <w:rsid w:val="00CC46F6"/>
    <w:rsid w:val="00CC566D"/>
    <w:rsid w:val="00CC6AA6"/>
    <w:rsid w:val="00CC6ACF"/>
    <w:rsid w:val="00CC6B13"/>
    <w:rsid w:val="00CC722F"/>
    <w:rsid w:val="00CC726E"/>
    <w:rsid w:val="00CC7476"/>
    <w:rsid w:val="00CC75EE"/>
    <w:rsid w:val="00CD0BAE"/>
    <w:rsid w:val="00CD0D3E"/>
    <w:rsid w:val="00CD1017"/>
    <w:rsid w:val="00CD129C"/>
    <w:rsid w:val="00CD12BA"/>
    <w:rsid w:val="00CD181E"/>
    <w:rsid w:val="00CD1A65"/>
    <w:rsid w:val="00CD22AB"/>
    <w:rsid w:val="00CD2C45"/>
    <w:rsid w:val="00CD387C"/>
    <w:rsid w:val="00CD4727"/>
    <w:rsid w:val="00CD473F"/>
    <w:rsid w:val="00CD474C"/>
    <w:rsid w:val="00CD47B8"/>
    <w:rsid w:val="00CD5589"/>
    <w:rsid w:val="00CD5CCC"/>
    <w:rsid w:val="00CD6B16"/>
    <w:rsid w:val="00CD6B5E"/>
    <w:rsid w:val="00CD70B2"/>
    <w:rsid w:val="00CD7422"/>
    <w:rsid w:val="00CD7642"/>
    <w:rsid w:val="00CD7A3E"/>
    <w:rsid w:val="00CE01E2"/>
    <w:rsid w:val="00CE0950"/>
    <w:rsid w:val="00CE0FC5"/>
    <w:rsid w:val="00CE118A"/>
    <w:rsid w:val="00CE11D8"/>
    <w:rsid w:val="00CE1648"/>
    <w:rsid w:val="00CE1A90"/>
    <w:rsid w:val="00CE1C5C"/>
    <w:rsid w:val="00CE1CA9"/>
    <w:rsid w:val="00CE1E07"/>
    <w:rsid w:val="00CE2567"/>
    <w:rsid w:val="00CE2A65"/>
    <w:rsid w:val="00CE3037"/>
    <w:rsid w:val="00CE32AD"/>
    <w:rsid w:val="00CE3361"/>
    <w:rsid w:val="00CE36F5"/>
    <w:rsid w:val="00CE3F49"/>
    <w:rsid w:val="00CE49B0"/>
    <w:rsid w:val="00CE4EA8"/>
    <w:rsid w:val="00CE5261"/>
    <w:rsid w:val="00CE584B"/>
    <w:rsid w:val="00CE5A0A"/>
    <w:rsid w:val="00CE5E50"/>
    <w:rsid w:val="00CE6C5C"/>
    <w:rsid w:val="00CE72F6"/>
    <w:rsid w:val="00CE7FF2"/>
    <w:rsid w:val="00CF0E8B"/>
    <w:rsid w:val="00CF1090"/>
    <w:rsid w:val="00CF12DA"/>
    <w:rsid w:val="00CF1303"/>
    <w:rsid w:val="00CF1AB9"/>
    <w:rsid w:val="00CF1B03"/>
    <w:rsid w:val="00CF1B1E"/>
    <w:rsid w:val="00CF1E58"/>
    <w:rsid w:val="00CF1F79"/>
    <w:rsid w:val="00CF2B1C"/>
    <w:rsid w:val="00CF2B8E"/>
    <w:rsid w:val="00CF39B2"/>
    <w:rsid w:val="00CF3E3D"/>
    <w:rsid w:val="00CF4060"/>
    <w:rsid w:val="00CF4077"/>
    <w:rsid w:val="00CF52EB"/>
    <w:rsid w:val="00CF585D"/>
    <w:rsid w:val="00CF5CA8"/>
    <w:rsid w:val="00CF6343"/>
    <w:rsid w:val="00CF72BD"/>
    <w:rsid w:val="00CF767E"/>
    <w:rsid w:val="00CF78C0"/>
    <w:rsid w:val="00D015A8"/>
    <w:rsid w:val="00D01B33"/>
    <w:rsid w:val="00D024F9"/>
    <w:rsid w:val="00D027F9"/>
    <w:rsid w:val="00D02F95"/>
    <w:rsid w:val="00D032AA"/>
    <w:rsid w:val="00D03835"/>
    <w:rsid w:val="00D03A3E"/>
    <w:rsid w:val="00D03B1A"/>
    <w:rsid w:val="00D03D48"/>
    <w:rsid w:val="00D03E97"/>
    <w:rsid w:val="00D040BB"/>
    <w:rsid w:val="00D04E66"/>
    <w:rsid w:val="00D05695"/>
    <w:rsid w:val="00D056E9"/>
    <w:rsid w:val="00D0572A"/>
    <w:rsid w:val="00D05CB6"/>
    <w:rsid w:val="00D06325"/>
    <w:rsid w:val="00D06858"/>
    <w:rsid w:val="00D07684"/>
    <w:rsid w:val="00D076A6"/>
    <w:rsid w:val="00D079E1"/>
    <w:rsid w:val="00D07F59"/>
    <w:rsid w:val="00D104B2"/>
    <w:rsid w:val="00D10986"/>
    <w:rsid w:val="00D10FAC"/>
    <w:rsid w:val="00D11BB2"/>
    <w:rsid w:val="00D128F7"/>
    <w:rsid w:val="00D12AF0"/>
    <w:rsid w:val="00D12F1F"/>
    <w:rsid w:val="00D13207"/>
    <w:rsid w:val="00D13358"/>
    <w:rsid w:val="00D1342C"/>
    <w:rsid w:val="00D142FA"/>
    <w:rsid w:val="00D14873"/>
    <w:rsid w:val="00D14C06"/>
    <w:rsid w:val="00D14CF2"/>
    <w:rsid w:val="00D14DAF"/>
    <w:rsid w:val="00D1564A"/>
    <w:rsid w:val="00D156E5"/>
    <w:rsid w:val="00D15AF0"/>
    <w:rsid w:val="00D163F6"/>
    <w:rsid w:val="00D16747"/>
    <w:rsid w:val="00D175C7"/>
    <w:rsid w:val="00D17E09"/>
    <w:rsid w:val="00D20150"/>
    <w:rsid w:val="00D20886"/>
    <w:rsid w:val="00D2276B"/>
    <w:rsid w:val="00D227EE"/>
    <w:rsid w:val="00D22E00"/>
    <w:rsid w:val="00D23172"/>
    <w:rsid w:val="00D23AAD"/>
    <w:rsid w:val="00D23E97"/>
    <w:rsid w:val="00D24347"/>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4236"/>
    <w:rsid w:val="00D3544C"/>
    <w:rsid w:val="00D3719F"/>
    <w:rsid w:val="00D371C8"/>
    <w:rsid w:val="00D4061B"/>
    <w:rsid w:val="00D420B2"/>
    <w:rsid w:val="00D42AB0"/>
    <w:rsid w:val="00D431DA"/>
    <w:rsid w:val="00D43450"/>
    <w:rsid w:val="00D43D75"/>
    <w:rsid w:val="00D43F48"/>
    <w:rsid w:val="00D43F90"/>
    <w:rsid w:val="00D44156"/>
    <w:rsid w:val="00D44198"/>
    <w:rsid w:val="00D44361"/>
    <w:rsid w:val="00D445B3"/>
    <w:rsid w:val="00D453B5"/>
    <w:rsid w:val="00D4565D"/>
    <w:rsid w:val="00D45977"/>
    <w:rsid w:val="00D46DBF"/>
    <w:rsid w:val="00D46F26"/>
    <w:rsid w:val="00D47591"/>
    <w:rsid w:val="00D50C90"/>
    <w:rsid w:val="00D50F4A"/>
    <w:rsid w:val="00D51089"/>
    <w:rsid w:val="00D5228C"/>
    <w:rsid w:val="00D52E06"/>
    <w:rsid w:val="00D53650"/>
    <w:rsid w:val="00D54ECE"/>
    <w:rsid w:val="00D553C7"/>
    <w:rsid w:val="00D5648F"/>
    <w:rsid w:val="00D5651D"/>
    <w:rsid w:val="00D57B21"/>
    <w:rsid w:val="00D57B9A"/>
    <w:rsid w:val="00D60190"/>
    <w:rsid w:val="00D602D3"/>
    <w:rsid w:val="00D60414"/>
    <w:rsid w:val="00D605A5"/>
    <w:rsid w:val="00D606A0"/>
    <w:rsid w:val="00D60959"/>
    <w:rsid w:val="00D60A2F"/>
    <w:rsid w:val="00D60DAB"/>
    <w:rsid w:val="00D61A8A"/>
    <w:rsid w:val="00D61DB9"/>
    <w:rsid w:val="00D62369"/>
    <w:rsid w:val="00D623AA"/>
    <w:rsid w:val="00D62A24"/>
    <w:rsid w:val="00D62FAC"/>
    <w:rsid w:val="00D635B0"/>
    <w:rsid w:val="00D637A9"/>
    <w:rsid w:val="00D63BE1"/>
    <w:rsid w:val="00D65280"/>
    <w:rsid w:val="00D65487"/>
    <w:rsid w:val="00D6616F"/>
    <w:rsid w:val="00D6699B"/>
    <w:rsid w:val="00D66AB6"/>
    <w:rsid w:val="00D66C6E"/>
    <w:rsid w:val="00D67363"/>
    <w:rsid w:val="00D675C0"/>
    <w:rsid w:val="00D7009E"/>
    <w:rsid w:val="00D7088A"/>
    <w:rsid w:val="00D70C63"/>
    <w:rsid w:val="00D710C5"/>
    <w:rsid w:val="00D712F9"/>
    <w:rsid w:val="00D71491"/>
    <w:rsid w:val="00D715E4"/>
    <w:rsid w:val="00D71705"/>
    <w:rsid w:val="00D7173A"/>
    <w:rsid w:val="00D71888"/>
    <w:rsid w:val="00D71B45"/>
    <w:rsid w:val="00D722C1"/>
    <w:rsid w:val="00D72437"/>
    <w:rsid w:val="00D726A5"/>
    <w:rsid w:val="00D727AC"/>
    <w:rsid w:val="00D72AC2"/>
    <w:rsid w:val="00D72CAE"/>
    <w:rsid w:val="00D733B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3449"/>
    <w:rsid w:val="00D835FA"/>
    <w:rsid w:val="00D83C63"/>
    <w:rsid w:val="00D843D6"/>
    <w:rsid w:val="00D84878"/>
    <w:rsid w:val="00D84E79"/>
    <w:rsid w:val="00D85237"/>
    <w:rsid w:val="00D85475"/>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1AE"/>
    <w:rsid w:val="00D948F8"/>
    <w:rsid w:val="00D94E5E"/>
    <w:rsid w:val="00D94F2C"/>
    <w:rsid w:val="00D96138"/>
    <w:rsid w:val="00D965AB"/>
    <w:rsid w:val="00D96739"/>
    <w:rsid w:val="00D96B07"/>
    <w:rsid w:val="00D96BD2"/>
    <w:rsid w:val="00D974EC"/>
    <w:rsid w:val="00D97594"/>
    <w:rsid w:val="00D977BF"/>
    <w:rsid w:val="00DA002B"/>
    <w:rsid w:val="00DA0351"/>
    <w:rsid w:val="00DA0417"/>
    <w:rsid w:val="00DA059A"/>
    <w:rsid w:val="00DA0676"/>
    <w:rsid w:val="00DA08F0"/>
    <w:rsid w:val="00DA0C97"/>
    <w:rsid w:val="00DA0F27"/>
    <w:rsid w:val="00DA156A"/>
    <w:rsid w:val="00DA1D9A"/>
    <w:rsid w:val="00DA1DA8"/>
    <w:rsid w:val="00DA22C1"/>
    <w:rsid w:val="00DA24B0"/>
    <w:rsid w:val="00DA2582"/>
    <w:rsid w:val="00DA2694"/>
    <w:rsid w:val="00DA3B9A"/>
    <w:rsid w:val="00DA3CF1"/>
    <w:rsid w:val="00DA405C"/>
    <w:rsid w:val="00DA4B0E"/>
    <w:rsid w:val="00DA50E4"/>
    <w:rsid w:val="00DA5BEB"/>
    <w:rsid w:val="00DA6BFD"/>
    <w:rsid w:val="00DA7645"/>
    <w:rsid w:val="00DA7E15"/>
    <w:rsid w:val="00DA7FC8"/>
    <w:rsid w:val="00DB02FF"/>
    <w:rsid w:val="00DB10BD"/>
    <w:rsid w:val="00DB1433"/>
    <w:rsid w:val="00DB197C"/>
    <w:rsid w:val="00DB1AAF"/>
    <w:rsid w:val="00DB2464"/>
    <w:rsid w:val="00DB26B5"/>
    <w:rsid w:val="00DB3AA0"/>
    <w:rsid w:val="00DB3C49"/>
    <w:rsid w:val="00DB40EA"/>
    <w:rsid w:val="00DB41B9"/>
    <w:rsid w:val="00DB42C2"/>
    <w:rsid w:val="00DB444B"/>
    <w:rsid w:val="00DB4628"/>
    <w:rsid w:val="00DB4700"/>
    <w:rsid w:val="00DB4714"/>
    <w:rsid w:val="00DB4788"/>
    <w:rsid w:val="00DB4D04"/>
    <w:rsid w:val="00DB4E50"/>
    <w:rsid w:val="00DB510A"/>
    <w:rsid w:val="00DB5178"/>
    <w:rsid w:val="00DB5386"/>
    <w:rsid w:val="00DB5690"/>
    <w:rsid w:val="00DB5ABE"/>
    <w:rsid w:val="00DB6292"/>
    <w:rsid w:val="00DB658C"/>
    <w:rsid w:val="00DB67E7"/>
    <w:rsid w:val="00DB68BB"/>
    <w:rsid w:val="00DB7F10"/>
    <w:rsid w:val="00DC01A0"/>
    <w:rsid w:val="00DC1524"/>
    <w:rsid w:val="00DC1889"/>
    <w:rsid w:val="00DC1CA3"/>
    <w:rsid w:val="00DC2225"/>
    <w:rsid w:val="00DC225A"/>
    <w:rsid w:val="00DC2A33"/>
    <w:rsid w:val="00DC3214"/>
    <w:rsid w:val="00DC3579"/>
    <w:rsid w:val="00DC3E0F"/>
    <w:rsid w:val="00DC43AE"/>
    <w:rsid w:val="00DC466F"/>
    <w:rsid w:val="00DC4841"/>
    <w:rsid w:val="00DC4912"/>
    <w:rsid w:val="00DC51EE"/>
    <w:rsid w:val="00DC5533"/>
    <w:rsid w:val="00DC5770"/>
    <w:rsid w:val="00DC59D7"/>
    <w:rsid w:val="00DC5EDB"/>
    <w:rsid w:val="00DC63DA"/>
    <w:rsid w:val="00DC6981"/>
    <w:rsid w:val="00DC6BB0"/>
    <w:rsid w:val="00DC6DBC"/>
    <w:rsid w:val="00DC6E13"/>
    <w:rsid w:val="00DC6E1B"/>
    <w:rsid w:val="00DC7EBE"/>
    <w:rsid w:val="00DD118E"/>
    <w:rsid w:val="00DD12EF"/>
    <w:rsid w:val="00DD158F"/>
    <w:rsid w:val="00DD16FB"/>
    <w:rsid w:val="00DD235A"/>
    <w:rsid w:val="00DD2381"/>
    <w:rsid w:val="00DD2B1D"/>
    <w:rsid w:val="00DD3108"/>
    <w:rsid w:val="00DD3821"/>
    <w:rsid w:val="00DD391B"/>
    <w:rsid w:val="00DD3A61"/>
    <w:rsid w:val="00DD45D3"/>
    <w:rsid w:val="00DD48F3"/>
    <w:rsid w:val="00DD4E0C"/>
    <w:rsid w:val="00DD5A2A"/>
    <w:rsid w:val="00DD61CE"/>
    <w:rsid w:val="00DD61EE"/>
    <w:rsid w:val="00DD662B"/>
    <w:rsid w:val="00DD6698"/>
    <w:rsid w:val="00DD6C92"/>
    <w:rsid w:val="00DE01AB"/>
    <w:rsid w:val="00DE0B85"/>
    <w:rsid w:val="00DE12BD"/>
    <w:rsid w:val="00DE1532"/>
    <w:rsid w:val="00DE1694"/>
    <w:rsid w:val="00DE179B"/>
    <w:rsid w:val="00DE1840"/>
    <w:rsid w:val="00DE1EEE"/>
    <w:rsid w:val="00DE201E"/>
    <w:rsid w:val="00DE292D"/>
    <w:rsid w:val="00DE2AA3"/>
    <w:rsid w:val="00DE30D1"/>
    <w:rsid w:val="00DE3B74"/>
    <w:rsid w:val="00DE40F7"/>
    <w:rsid w:val="00DE47DF"/>
    <w:rsid w:val="00DE4D21"/>
    <w:rsid w:val="00DE53D4"/>
    <w:rsid w:val="00DE5661"/>
    <w:rsid w:val="00DE5BB0"/>
    <w:rsid w:val="00DE5EA6"/>
    <w:rsid w:val="00DE5F41"/>
    <w:rsid w:val="00DE61FB"/>
    <w:rsid w:val="00DE66BE"/>
    <w:rsid w:val="00DE6B6A"/>
    <w:rsid w:val="00DE7185"/>
    <w:rsid w:val="00DE730F"/>
    <w:rsid w:val="00DE731D"/>
    <w:rsid w:val="00DE7A1D"/>
    <w:rsid w:val="00DF0A8D"/>
    <w:rsid w:val="00DF0E97"/>
    <w:rsid w:val="00DF11F0"/>
    <w:rsid w:val="00DF1956"/>
    <w:rsid w:val="00DF1AD2"/>
    <w:rsid w:val="00DF1D62"/>
    <w:rsid w:val="00DF2170"/>
    <w:rsid w:val="00DF2F5E"/>
    <w:rsid w:val="00DF2FC2"/>
    <w:rsid w:val="00DF381B"/>
    <w:rsid w:val="00DF3D62"/>
    <w:rsid w:val="00DF572E"/>
    <w:rsid w:val="00DF596A"/>
    <w:rsid w:val="00DF6559"/>
    <w:rsid w:val="00DF6DA6"/>
    <w:rsid w:val="00DF708D"/>
    <w:rsid w:val="00DF7EB8"/>
    <w:rsid w:val="00E0031E"/>
    <w:rsid w:val="00E00FD5"/>
    <w:rsid w:val="00E01956"/>
    <w:rsid w:val="00E02047"/>
    <w:rsid w:val="00E023E5"/>
    <w:rsid w:val="00E02837"/>
    <w:rsid w:val="00E0443C"/>
    <w:rsid w:val="00E04B4F"/>
    <w:rsid w:val="00E058A3"/>
    <w:rsid w:val="00E06FD6"/>
    <w:rsid w:val="00E074C1"/>
    <w:rsid w:val="00E07B79"/>
    <w:rsid w:val="00E07CDC"/>
    <w:rsid w:val="00E07DEE"/>
    <w:rsid w:val="00E1006A"/>
    <w:rsid w:val="00E105B9"/>
    <w:rsid w:val="00E1079E"/>
    <w:rsid w:val="00E10DA0"/>
    <w:rsid w:val="00E10F6A"/>
    <w:rsid w:val="00E112FA"/>
    <w:rsid w:val="00E11F4F"/>
    <w:rsid w:val="00E12CED"/>
    <w:rsid w:val="00E13D2C"/>
    <w:rsid w:val="00E13EE3"/>
    <w:rsid w:val="00E148CD"/>
    <w:rsid w:val="00E14E22"/>
    <w:rsid w:val="00E14FF5"/>
    <w:rsid w:val="00E15713"/>
    <w:rsid w:val="00E16682"/>
    <w:rsid w:val="00E1678A"/>
    <w:rsid w:val="00E174AB"/>
    <w:rsid w:val="00E17549"/>
    <w:rsid w:val="00E17BAE"/>
    <w:rsid w:val="00E17E85"/>
    <w:rsid w:val="00E17E99"/>
    <w:rsid w:val="00E2002A"/>
    <w:rsid w:val="00E2055A"/>
    <w:rsid w:val="00E21171"/>
    <w:rsid w:val="00E216B3"/>
    <w:rsid w:val="00E21F2D"/>
    <w:rsid w:val="00E226D2"/>
    <w:rsid w:val="00E22A26"/>
    <w:rsid w:val="00E22DD9"/>
    <w:rsid w:val="00E2336E"/>
    <w:rsid w:val="00E23655"/>
    <w:rsid w:val="00E23AB9"/>
    <w:rsid w:val="00E23AC4"/>
    <w:rsid w:val="00E23ED2"/>
    <w:rsid w:val="00E256F7"/>
    <w:rsid w:val="00E25995"/>
    <w:rsid w:val="00E25D57"/>
    <w:rsid w:val="00E26257"/>
    <w:rsid w:val="00E264AD"/>
    <w:rsid w:val="00E27074"/>
    <w:rsid w:val="00E27E1C"/>
    <w:rsid w:val="00E300F2"/>
    <w:rsid w:val="00E31966"/>
    <w:rsid w:val="00E3203D"/>
    <w:rsid w:val="00E32AE4"/>
    <w:rsid w:val="00E32D6A"/>
    <w:rsid w:val="00E33396"/>
    <w:rsid w:val="00E335C5"/>
    <w:rsid w:val="00E33D24"/>
    <w:rsid w:val="00E33E8E"/>
    <w:rsid w:val="00E33FF9"/>
    <w:rsid w:val="00E34706"/>
    <w:rsid w:val="00E34ED4"/>
    <w:rsid w:val="00E35580"/>
    <w:rsid w:val="00E35ED5"/>
    <w:rsid w:val="00E36636"/>
    <w:rsid w:val="00E36DD5"/>
    <w:rsid w:val="00E3751A"/>
    <w:rsid w:val="00E377A6"/>
    <w:rsid w:val="00E4005E"/>
    <w:rsid w:val="00E40A1E"/>
    <w:rsid w:val="00E417A9"/>
    <w:rsid w:val="00E41CF2"/>
    <w:rsid w:val="00E41D23"/>
    <w:rsid w:val="00E4297F"/>
    <w:rsid w:val="00E42A75"/>
    <w:rsid w:val="00E42AC9"/>
    <w:rsid w:val="00E438F7"/>
    <w:rsid w:val="00E43E29"/>
    <w:rsid w:val="00E43EE5"/>
    <w:rsid w:val="00E44ACD"/>
    <w:rsid w:val="00E44CB9"/>
    <w:rsid w:val="00E45343"/>
    <w:rsid w:val="00E45B97"/>
    <w:rsid w:val="00E463F2"/>
    <w:rsid w:val="00E465AD"/>
    <w:rsid w:val="00E46852"/>
    <w:rsid w:val="00E46AB1"/>
    <w:rsid w:val="00E479FF"/>
    <w:rsid w:val="00E51392"/>
    <w:rsid w:val="00E51512"/>
    <w:rsid w:val="00E515B1"/>
    <w:rsid w:val="00E51662"/>
    <w:rsid w:val="00E518CE"/>
    <w:rsid w:val="00E5269A"/>
    <w:rsid w:val="00E528E6"/>
    <w:rsid w:val="00E535D1"/>
    <w:rsid w:val="00E536FC"/>
    <w:rsid w:val="00E53AA6"/>
    <w:rsid w:val="00E53C6C"/>
    <w:rsid w:val="00E53CB2"/>
    <w:rsid w:val="00E53D6A"/>
    <w:rsid w:val="00E54898"/>
    <w:rsid w:val="00E54BDE"/>
    <w:rsid w:val="00E55558"/>
    <w:rsid w:val="00E55BB8"/>
    <w:rsid w:val="00E56344"/>
    <w:rsid w:val="00E57E87"/>
    <w:rsid w:val="00E60138"/>
    <w:rsid w:val="00E60DE1"/>
    <w:rsid w:val="00E61076"/>
    <w:rsid w:val="00E61347"/>
    <w:rsid w:val="00E6137B"/>
    <w:rsid w:val="00E616A2"/>
    <w:rsid w:val="00E61812"/>
    <w:rsid w:val="00E61A51"/>
    <w:rsid w:val="00E62CC5"/>
    <w:rsid w:val="00E62CF0"/>
    <w:rsid w:val="00E62E5D"/>
    <w:rsid w:val="00E6450D"/>
    <w:rsid w:val="00E64F58"/>
    <w:rsid w:val="00E65073"/>
    <w:rsid w:val="00E659FF"/>
    <w:rsid w:val="00E65E8C"/>
    <w:rsid w:val="00E66152"/>
    <w:rsid w:val="00E66800"/>
    <w:rsid w:val="00E66D78"/>
    <w:rsid w:val="00E673C1"/>
    <w:rsid w:val="00E67C5C"/>
    <w:rsid w:val="00E67E55"/>
    <w:rsid w:val="00E70504"/>
    <w:rsid w:val="00E70E30"/>
    <w:rsid w:val="00E71198"/>
    <w:rsid w:val="00E71D9F"/>
    <w:rsid w:val="00E71E4F"/>
    <w:rsid w:val="00E72486"/>
    <w:rsid w:val="00E724EF"/>
    <w:rsid w:val="00E7264E"/>
    <w:rsid w:val="00E72651"/>
    <w:rsid w:val="00E734F5"/>
    <w:rsid w:val="00E73957"/>
    <w:rsid w:val="00E73C90"/>
    <w:rsid w:val="00E73D3A"/>
    <w:rsid w:val="00E7412C"/>
    <w:rsid w:val="00E743A1"/>
    <w:rsid w:val="00E74AA1"/>
    <w:rsid w:val="00E74BC5"/>
    <w:rsid w:val="00E74F05"/>
    <w:rsid w:val="00E7518B"/>
    <w:rsid w:val="00E7593F"/>
    <w:rsid w:val="00E76497"/>
    <w:rsid w:val="00E76C33"/>
    <w:rsid w:val="00E80081"/>
    <w:rsid w:val="00E8011B"/>
    <w:rsid w:val="00E801FE"/>
    <w:rsid w:val="00E80768"/>
    <w:rsid w:val="00E80E1E"/>
    <w:rsid w:val="00E82135"/>
    <w:rsid w:val="00E82258"/>
    <w:rsid w:val="00E82862"/>
    <w:rsid w:val="00E82CA0"/>
    <w:rsid w:val="00E82E17"/>
    <w:rsid w:val="00E845DF"/>
    <w:rsid w:val="00E84AD4"/>
    <w:rsid w:val="00E8534F"/>
    <w:rsid w:val="00E854EA"/>
    <w:rsid w:val="00E85EC9"/>
    <w:rsid w:val="00E86B37"/>
    <w:rsid w:val="00E86BAE"/>
    <w:rsid w:val="00E86EEC"/>
    <w:rsid w:val="00E876A3"/>
    <w:rsid w:val="00E87DC5"/>
    <w:rsid w:val="00E903A5"/>
    <w:rsid w:val="00E90A19"/>
    <w:rsid w:val="00E9106B"/>
    <w:rsid w:val="00E91460"/>
    <w:rsid w:val="00E915F1"/>
    <w:rsid w:val="00E91C42"/>
    <w:rsid w:val="00E92341"/>
    <w:rsid w:val="00E92A08"/>
    <w:rsid w:val="00E93635"/>
    <w:rsid w:val="00E93F9A"/>
    <w:rsid w:val="00E94F06"/>
    <w:rsid w:val="00E95243"/>
    <w:rsid w:val="00E956CB"/>
    <w:rsid w:val="00E960B8"/>
    <w:rsid w:val="00E96AEE"/>
    <w:rsid w:val="00E96D1C"/>
    <w:rsid w:val="00E977CB"/>
    <w:rsid w:val="00E977CE"/>
    <w:rsid w:val="00E97990"/>
    <w:rsid w:val="00E97D2F"/>
    <w:rsid w:val="00E97EA7"/>
    <w:rsid w:val="00E97FB1"/>
    <w:rsid w:val="00EA0474"/>
    <w:rsid w:val="00EA1514"/>
    <w:rsid w:val="00EA16E1"/>
    <w:rsid w:val="00EA1767"/>
    <w:rsid w:val="00EA1F8E"/>
    <w:rsid w:val="00EA210F"/>
    <w:rsid w:val="00EA2360"/>
    <w:rsid w:val="00EA272B"/>
    <w:rsid w:val="00EA2747"/>
    <w:rsid w:val="00EA2AFA"/>
    <w:rsid w:val="00EA2F02"/>
    <w:rsid w:val="00EA2F5D"/>
    <w:rsid w:val="00EA301E"/>
    <w:rsid w:val="00EA3BA1"/>
    <w:rsid w:val="00EA449C"/>
    <w:rsid w:val="00EA44BC"/>
    <w:rsid w:val="00EA4F1E"/>
    <w:rsid w:val="00EA4F7D"/>
    <w:rsid w:val="00EA5053"/>
    <w:rsid w:val="00EA5F9C"/>
    <w:rsid w:val="00EA633B"/>
    <w:rsid w:val="00EA659C"/>
    <w:rsid w:val="00EA7206"/>
    <w:rsid w:val="00EB0A68"/>
    <w:rsid w:val="00EB0E6A"/>
    <w:rsid w:val="00EB0FE6"/>
    <w:rsid w:val="00EB16EB"/>
    <w:rsid w:val="00EB182C"/>
    <w:rsid w:val="00EB19D9"/>
    <w:rsid w:val="00EB1B6F"/>
    <w:rsid w:val="00EB2287"/>
    <w:rsid w:val="00EB269D"/>
    <w:rsid w:val="00EB2A08"/>
    <w:rsid w:val="00EB30E8"/>
    <w:rsid w:val="00EB344E"/>
    <w:rsid w:val="00EB41F5"/>
    <w:rsid w:val="00EB457D"/>
    <w:rsid w:val="00EB45D7"/>
    <w:rsid w:val="00EB47B3"/>
    <w:rsid w:val="00EB4926"/>
    <w:rsid w:val="00EB4B58"/>
    <w:rsid w:val="00EB4C17"/>
    <w:rsid w:val="00EB4E5F"/>
    <w:rsid w:val="00EB5197"/>
    <w:rsid w:val="00EB5629"/>
    <w:rsid w:val="00EB5734"/>
    <w:rsid w:val="00EB75EB"/>
    <w:rsid w:val="00EB7605"/>
    <w:rsid w:val="00EB76CB"/>
    <w:rsid w:val="00EC089D"/>
    <w:rsid w:val="00EC0A7D"/>
    <w:rsid w:val="00EC0D7B"/>
    <w:rsid w:val="00EC0DD3"/>
    <w:rsid w:val="00EC101A"/>
    <w:rsid w:val="00EC1394"/>
    <w:rsid w:val="00EC20D7"/>
    <w:rsid w:val="00EC226A"/>
    <w:rsid w:val="00EC229B"/>
    <w:rsid w:val="00EC28DD"/>
    <w:rsid w:val="00EC2EE6"/>
    <w:rsid w:val="00EC3012"/>
    <w:rsid w:val="00EC3713"/>
    <w:rsid w:val="00EC37A0"/>
    <w:rsid w:val="00EC3E18"/>
    <w:rsid w:val="00EC3FA5"/>
    <w:rsid w:val="00EC4396"/>
    <w:rsid w:val="00EC4789"/>
    <w:rsid w:val="00EC4A3C"/>
    <w:rsid w:val="00EC51BC"/>
    <w:rsid w:val="00EC552D"/>
    <w:rsid w:val="00EC5B93"/>
    <w:rsid w:val="00EC5D93"/>
    <w:rsid w:val="00EC70AF"/>
    <w:rsid w:val="00EC774B"/>
    <w:rsid w:val="00ED0129"/>
    <w:rsid w:val="00ED0F15"/>
    <w:rsid w:val="00ED1112"/>
    <w:rsid w:val="00ED13EB"/>
    <w:rsid w:val="00ED1462"/>
    <w:rsid w:val="00ED14A1"/>
    <w:rsid w:val="00ED17FA"/>
    <w:rsid w:val="00ED1856"/>
    <w:rsid w:val="00ED1B45"/>
    <w:rsid w:val="00ED24B6"/>
    <w:rsid w:val="00ED25D2"/>
    <w:rsid w:val="00ED29F3"/>
    <w:rsid w:val="00ED2EB1"/>
    <w:rsid w:val="00ED35C0"/>
    <w:rsid w:val="00ED3F38"/>
    <w:rsid w:val="00ED4124"/>
    <w:rsid w:val="00ED48F8"/>
    <w:rsid w:val="00ED49E2"/>
    <w:rsid w:val="00ED5030"/>
    <w:rsid w:val="00ED547D"/>
    <w:rsid w:val="00ED596C"/>
    <w:rsid w:val="00ED5ACF"/>
    <w:rsid w:val="00EE0174"/>
    <w:rsid w:val="00EE01D1"/>
    <w:rsid w:val="00EE083C"/>
    <w:rsid w:val="00EE0CFF"/>
    <w:rsid w:val="00EE0D6A"/>
    <w:rsid w:val="00EE12E9"/>
    <w:rsid w:val="00EE13A7"/>
    <w:rsid w:val="00EE2B55"/>
    <w:rsid w:val="00EE3341"/>
    <w:rsid w:val="00EE3445"/>
    <w:rsid w:val="00EE4436"/>
    <w:rsid w:val="00EE489E"/>
    <w:rsid w:val="00EE4ACE"/>
    <w:rsid w:val="00EE4BBE"/>
    <w:rsid w:val="00EE546C"/>
    <w:rsid w:val="00EE563D"/>
    <w:rsid w:val="00EE5DFC"/>
    <w:rsid w:val="00EE60E7"/>
    <w:rsid w:val="00EE6106"/>
    <w:rsid w:val="00EE6940"/>
    <w:rsid w:val="00EE6A20"/>
    <w:rsid w:val="00EE7503"/>
    <w:rsid w:val="00EE7636"/>
    <w:rsid w:val="00EE7F14"/>
    <w:rsid w:val="00EE7F43"/>
    <w:rsid w:val="00EF00A8"/>
    <w:rsid w:val="00EF02E6"/>
    <w:rsid w:val="00EF045D"/>
    <w:rsid w:val="00EF0908"/>
    <w:rsid w:val="00EF0983"/>
    <w:rsid w:val="00EF0B47"/>
    <w:rsid w:val="00EF0C8C"/>
    <w:rsid w:val="00EF0E21"/>
    <w:rsid w:val="00EF1120"/>
    <w:rsid w:val="00EF138D"/>
    <w:rsid w:val="00EF1821"/>
    <w:rsid w:val="00EF1D2F"/>
    <w:rsid w:val="00EF20C3"/>
    <w:rsid w:val="00EF231B"/>
    <w:rsid w:val="00EF2449"/>
    <w:rsid w:val="00EF2467"/>
    <w:rsid w:val="00EF256C"/>
    <w:rsid w:val="00EF3393"/>
    <w:rsid w:val="00EF347C"/>
    <w:rsid w:val="00EF3C6A"/>
    <w:rsid w:val="00EF3F1A"/>
    <w:rsid w:val="00EF463E"/>
    <w:rsid w:val="00EF541D"/>
    <w:rsid w:val="00EF571F"/>
    <w:rsid w:val="00EF579C"/>
    <w:rsid w:val="00EF57BB"/>
    <w:rsid w:val="00EF585C"/>
    <w:rsid w:val="00EF5B95"/>
    <w:rsid w:val="00EF60B7"/>
    <w:rsid w:val="00EF613D"/>
    <w:rsid w:val="00EF6606"/>
    <w:rsid w:val="00EF7102"/>
    <w:rsid w:val="00F0076C"/>
    <w:rsid w:val="00F00922"/>
    <w:rsid w:val="00F00AB8"/>
    <w:rsid w:val="00F0102C"/>
    <w:rsid w:val="00F0106B"/>
    <w:rsid w:val="00F0137B"/>
    <w:rsid w:val="00F0139C"/>
    <w:rsid w:val="00F01591"/>
    <w:rsid w:val="00F020E1"/>
    <w:rsid w:val="00F0221D"/>
    <w:rsid w:val="00F02DE5"/>
    <w:rsid w:val="00F0324F"/>
    <w:rsid w:val="00F03AA2"/>
    <w:rsid w:val="00F043F9"/>
    <w:rsid w:val="00F04E02"/>
    <w:rsid w:val="00F05558"/>
    <w:rsid w:val="00F0595E"/>
    <w:rsid w:val="00F05A7B"/>
    <w:rsid w:val="00F05E0E"/>
    <w:rsid w:val="00F06454"/>
    <w:rsid w:val="00F06554"/>
    <w:rsid w:val="00F06671"/>
    <w:rsid w:val="00F069A7"/>
    <w:rsid w:val="00F06CB2"/>
    <w:rsid w:val="00F06E72"/>
    <w:rsid w:val="00F07C8A"/>
    <w:rsid w:val="00F07D8B"/>
    <w:rsid w:val="00F1020F"/>
    <w:rsid w:val="00F104D0"/>
    <w:rsid w:val="00F10840"/>
    <w:rsid w:val="00F1089C"/>
    <w:rsid w:val="00F108B8"/>
    <w:rsid w:val="00F116E1"/>
    <w:rsid w:val="00F11E4F"/>
    <w:rsid w:val="00F1272B"/>
    <w:rsid w:val="00F13033"/>
    <w:rsid w:val="00F13232"/>
    <w:rsid w:val="00F132E7"/>
    <w:rsid w:val="00F13A85"/>
    <w:rsid w:val="00F13C6A"/>
    <w:rsid w:val="00F13C93"/>
    <w:rsid w:val="00F14212"/>
    <w:rsid w:val="00F14A1F"/>
    <w:rsid w:val="00F14D95"/>
    <w:rsid w:val="00F15814"/>
    <w:rsid w:val="00F15D2C"/>
    <w:rsid w:val="00F16582"/>
    <w:rsid w:val="00F16B9D"/>
    <w:rsid w:val="00F16CE1"/>
    <w:rsid w:val="00F17125"/>
    <w:rsid w:val="00F1785E"/>
    <w:rsid w:val="00F179EF"/>
    <w:rsid w:val="00F17E02"/>
    <w:rsid w:val="00F17E22"/>
    <w:rsid w:val="00F20017"/>
    <w:rsid w:val="00F20776"/>
    <w:rsid w:val="00F21051"/>
    <w:rsid w:val="00F2106E"/>
    <w:rsid w:val="00F21514"/>
    <w:rsid w:val="00F21AE7"/>
    <w:rsid w:val="00F21B8E"/>
    <w:rsid w:val="00F21CAF"/>
    <w:rsid w:val="00F221B6"/>
    <w:rsid w:val="00F223BD"/>
    <w:rsid w:val="00F223EA"/>
    <w:rsid w:val="00F22EE2"/>
    <w:rsid w:val="00F232DA"/>
    <w:rsid w:val="00F243E0"/>
    <w:rsid w:val="00F24874"/>
    <w:rsid w:val="00F24980"/>
    <w:rsid w:val="00F24B20"/>
    <w:rsid w:val="00F24EF6"/>
    <w:rsid w:val="00F25C36"/>
    <w:rsid w:val="00F26145"/>
    <w:rsid w:val="00F26345"/>
    <w:rsid w:val="00F2634C"/>
    <w:rsid w:val="00F26D6D"/>
    <w:rsid w:val="00F27B88"/>
    <w:rsid w:val="00F30616"/>
    <w:rsid w:val="00F30C57"/>
    <w:rsid w:val="00F319F9"/>
    <w:rsid w:val="00F32AF9"/>
    <w:rsid w:val="00F336C3"/>
    <w:rsid w:val="00F33B96"/>
    <w:rsid w:val="00F346B1"/>
    <w:rsid w:val="00F3484E"/>
    <w:rsid w:val="00F34B77"/>
    <w:rsid w:val="00F34E84"/>
    <w:rsid w:val="00F34FB3"/>
    <w:rsid w:val="00F36323"/>
    <w:rsid w:val="00F36F16"/>
    <w:rsid w:val="00F37507"/>
    <w:rsid w:val="00F37763"/>
    <w:rsid w:val="00F40042"/>
    <w:rsid w:val="00F415F2"/>
    <w:rsid w:val="00F42037"/>
    <w:rsid w:val="00F423F6"/>
    <w:rsid w:val="00F42415"/>
    <w:rsid w:val="00F424D3"/>
    <w:rsid w:val="00F4284C"/>
    <w:rsid w:val="00F43AB8"/>
    <w:rsid w:val="00F443B0"/>
    <w:rsid w:val="00F444E7"/>
    <w:rsid w:val="00F44725"/>
    <w:rsid w:val="00F447EA"/>
    <w:rsid w:val="00F44943"/>
    <w:rsid w:val="00F453DF"/>
    <w:rsid w:val="00F4737E"/>
    <w:rsid w:val="00F47D5F"/>
    <w:rsid w:val="00F47E5F"/>
    <w:rsid w:val="00F50623"/>
    <w:rsid w:val="00F507D7"/>
    <w:rsid w:val="00F50CE9"/>
    <w:rsid w:val="00F511EE"/>
    <w:rsid w:val="00F515B1"/>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2F7"/>
    <w:rsid w:val="00F626F5"/>
    <w:rsid w:val="00F629DE"/>
    <w:rsid w:val="00F63358"/>
    <w:rsid w:val="00F638B4"/>
    <w:rsid w:val="00F6394E"/>
    <w:rsid w:val="00F643C2"/>
    <w:rsid w:val="00F64A0B"/>
    <w:rsid w:val="00F6557B"/>
    <w:rsid w:val="00F6574E"/>
    <w:rsid w:val="00F65F2E"/>
    <w:rsid w:val="00F666B5"/>
    <w:rsid w:val="00F66951"/>
    <w:rsid w:val="00F67275"/>
    <w:rsid w:val="00F672C3"/>
    <w:rsid w:val="00F67EF9"/>
    <w:rsid w:val="00F713E2"/>
    <w:rsid w:val="00F7187B"/>
    <w:rsid w:val="00F718A4"/>
    <w:rsid w:val="00F72698"/>
    <w:rsid w:val="00F728AA"/>
    <w:rsid w:val="00F72AD3"/>
    <w:rsid w:val="00F72C8A"/>
    <w:rsid w:val="00F72CA8"/>
    <w:rsid w:val="00F72D90"/>
    <w:rsid w:val="00F74153"/>
    <w:rsid w:val="00F741FA"/>
    <w:rsid w:val="00F7420B"/>
    <w:rsid w:val="00F7430B"/>
    <w:rsid w:val="00F745D9"/>
    <w:rsid w:val="00F74BA5"/>
    <w:rsid w:val="00F7523E"/>
    <w:rsid w:val="00F759D7"/>
    <w:rsid w:val="00F7609A"/>
    <w:rsid w:val="00F7667C"/>
    <w:rsid w:val="00F76924"/>
    <w:rsid w:val="00F76FD6"/>
    <w:rsid w:val="00F77293"/>
    <w:rsid w:val="00F7730D"/>
    <w:rsid w:val="00F77C33"/>
    <w:rsid w:val="00F77D71"/>
    <w:rsid w:val="00F808F0"/>
    <w:rsid w:val="00F80927"/>
    <w:rsid w:val="00F81011"/>
    <w:rsid w:val="00F819E1"/>
    <w:rsid w:val="00F822A0"/>
    <w:rsid w:val="00F82D33"/>
    <w:rsid w:val="00F83A8B"/>
    <w:rsid w:val="00F83B2E"/>
    <w:rsid w:val="00F84099"/>
    <w:rsid w:val="00F8412E"/>
    <w:rsid w:val="00F843F7"/>
    <w:rsid w:val="00F8476D"/>
    <w:rsid w:val="00F848B5"/>
    <w:rsid w:val="00F84E68"/>
    <w:rsid w:val="00F85501"/>
    <w:rsid w:val="00F856DE"/>
    <w:rsid w:val="00F85851"/>
    <w:rsid w:val="00F8636A"/>
    <w:rsid w:val="00F86769"/>
    <w:rsid w:val="00F8676D"/>
    <w:rsid w:val="00F86A1E"/>
    <w:rsid w:val="00F86C16"/>
    <w:rsid w:val="00F8798B"/>
    <w:rsid w:val="00F9034D"/>
    <w:rsid w:val="00F90624"/>
    <w:rsid w:val="00F907AF"/>
    <w:rsid w:val="00F90C72"/>
    <w:rsid w:val="00F90E09"/>
    <w:rsid w:val="00F91052"/>
    <w:rsid w:val="00F91CBC"/>
    <w:rsid w:val="00F91E36"/>
    <w:rsid w:val="00F922ED"/>
    <w:rsid w:val="00F93A0A"/>
    <w:rsid w:val="00F941F2"/>
    <w:rsid w:val="00F943F8"/>
    <w:rsid w:val="00F949E9"/>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41"/>
    <w:rsid w:val="00FA1662"/>
    <w:rsid w:val="00FA203F"/>
    <w:rsid w:val="00FA38A1"/>
    <w:rsid w:val="00FA3C01"/>
    <w:rsid w:val="00FA3F41"/>
    <w:rsid w:val="00FA4A3B"/>
    <w:rsid w:val="00FA62C1"/>
    <w:rsid w:val="00FA6B17"/>
    <w:rsid w:val="00FA7860"/>
    <w:rsid w:val="00FB0060"/>
    <w:rsid w:val="00FB012F"/>
    <w:rsid w:val="00FB0A08"/>
    <w:rsid w:val="00FB0AD3"/>
    <w:rsid w:val="00FB0D58"/>
    <w:rsid w:val="00FB185F"/>
    <w:rsid w:val="00FB2009"/>
    <w:rsid w:val="00FB21EE"/>
    <w:rsid w:val="00FB2506"/>
    <w:rsid w:val="00FB2927"/>
    <w:rsid w:val="00FB306B"/>
    <w:rsid w:val="00FB3784"/>
    <w:rsid w:val="00FB3916"/>
    <w:rsid w:val="00FB50C2"/>
    <w:rsid w:val="00FB529D"/>
    <w:rsid w:val="00FB56C5"/>
    <w:rsid w:val="00FB57EF"/>
    <w:rsid w:val="00FB59E5"/>
    <w:rsid w:val="00FB5E78"/>
    <w:rsid w:val="00FB5FB0"/>
    <w:rsid w:val="00FB6F0E"/>
    <w:rsid w:val="00FC0690"/>
    <w:rsid w:val="00FC06BF"/>
    <w:rsid w:val="00FC0AE4"/>
    <w:rsid w:val="00FC0E21"/>
    <w:rsid w:val="00FC1694"/>
    <w:rsid w:val="00FC1CF2"/>
    <w:rsid w:val="00FC2124"/>
    <w:rsid w:val="00FC2576"/>
    <w:rsid w:val="00FC2A8A"/>
    <w:rsid w:val="00FC2E45"/>
    <w:rsid w:val="00FC351E"/>
    <w:rsid w:val="00FC35DE"/>
    <w:rsid w:val="00FC3EF7"/>
    <w:rsid w:val="00FC4398"/>
    <w:rsid w:val="00FC4B62"/>
    <w:rsid w:val="00FC4BA2"/>
    <w:rsid w:val="00FC4FF3"/>
    <w:rsid w:val="00FC503B"/>
    <w:rsid w:val="00FC5301"/>
    <w:rsid w:val="00FC588B"/>
    <w:rsid w:val="00FC59C8"/>
    <w:rsid w:val="00FC5B26"/>
    <w:rsid w:val="00FC5F5C"/>
    <w:rsid w:val="00FC5FE5"/>
    <w:rsid w:val="00FC6028"/>
    <w:rsid w:val="00FC635D"/>
    <w:rsid w:val="00FC66B8"/>
    <w:rsid w:val="00FC6947"/>
    <w:rsid w:val="00FC6E6C"/>
    <w:rsid w:val="00FC6E74"/>
    <w:rsid w:val="00FC7186"/>
    <w:rsid w:val="00FC742F"/>
    <w:rsid w:val="00FC7C89"/>
    <w:rsid w:val="00FD0BFB"/>
    <w:rsid w:val="00FD0D25"/>
    <w:rsid w:val="00FD0F61"/>
    <w:rsid w:val="00FD1280"/>
    <w:rsid w:val="00FD143C"/>
    <w:rsid w:val="00FD15D0"/>
    <w:rsid w:val="00FD1946"/>
    <w:rsid w:val="00FD2965"/>
    <w:rsid w:val="00FD2A64"/>
    <w:rsid w:val="00FD2CC3"/>
    <w:rsid w:val="00FD3D61"/>
    <w:rsid w:val="00FD436D"/>
    <w:rsid w:val="00FD491D"/>
    <w:rsid w:val="00FD49DB"/>
    <w:rsid w:val="00FD5062"/>
    <w:rsid w:val="00FD6669"/>
    <w:rsid w:val="00FD6BDA"/>
    <w:rsid w:val="00FD764D"/>
    <w:rsid w:val="00FD7B35"/>
    <w:rsid w:val="00FD7C6C"/>
    <w:rsid w:val="00FD7CDC"/>
    <w:rsid w:val="00FD7F20"/>
    <w:rsid w:val="00FE01A6"/>
    <w:rsid w:val="00FE02F8"/>
    <w:rsid w:val="00FE0BA6"/>
    <w:rsid w:val="00FE1445"/>
    <w:rsid w:val="00FE153E"/>
    <w:rsid w:val="00FE18EF"/>
    <w:rsid w:val="00FE1CE2"/>
    <w:rsid w:val="00FE1DFC"/>
    <w:rsid w:val="00FE1E3E"/>
    <w:rsid w:val="00FE235B"/>
    <w:rsid w:val="00FE27FE"/>
    <w:rsid w:val="00FE2852"/>
    <w:rsid w:val="00FE2F5F"/>
    <w:rsid w:val="00FE393B"/>
    <w:rsid w:val="00FE3E04"/>
    <w:rsid w:val="00FE3FC5"/>
    <w:rsid w:val="00FE4037"/>
    <w:rsid w:val="00FE4477"/>
    <w:rsid w:val="00FE4608"/>
    <w:rsid w:val="00FE465A"/>
    <w:rsid w:val="00FE4826"/>
    <w:rsid w:val="00FE488F"/>
    <w:rsid w:val="00FE5DD2"/>
    <w:rsid w:val="00FE66DF"/>
    <w:rsid w:val="00FE6845"/>
    <w:rsid w:val="00FE6AD1"/>
    <w:rsid w:val="00FE78FD"/>
    <w:rsid w:val="00FE7A52"/>
    <w:rsid w:val="00FE7BA2"/>
    <w:rsid w:val="00FF0586"/>
    <w:rsid w:val="00FF09BD"/>
    <w:rsid w:val="00FF13EB"/>
    <w:rsid w:val="00FF1744"/>
    <w:rsid w:val="00FF2265"/>
    <w:rsid w:val="00FF2877"/>
    <w:rsid w:val="00FF3496"/>
    <w:rsid w:val="00FF3CA1"/>
    <w:rsid w:val="00FF4177"/>
    <w:rsid w:val="00FF4675"/>
    <w:rsid w:val="00FF48C8"/>
    <w:rsid w:val="00FF6024"/>
    <w:rsid w:val="00FF7692"/>
    <w:rsid w:val="00FF79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2495B6"/>
  <w15:docId w15:val="{BA7E6B5A-ABD8-48B4-8A05-03C26BC8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Mencinsinresolver2">
    <w:name w:val="Mención sin resolver2"/>
    <w:basedOn w:val="Fuentedeprrafopredeter"/>
    <w:uiPriority w:val="99"/>
    <w:semiHidden/>
    <w:unhideWhenUsed/>
    <w:rsid w:val="00350636"/>
    <w:rPr>
      <w:color w:val="605E5C"/>
      <w:shd w:val="clear" w:color="auto" w:fill="E1DFDD"/>
    </w:rPr>
  </w:style>
  <w:style w:type="paragraph" w:customStyle="1" w:styleId="parrafo1">
    <w:name w:val="parrafo1"/>
    <w:basedOn w:val="p0"/>
    <w:rsid w:val="005D6B95"/>
    <w:pPr>
      <w:keepLines w:val="0"/>
      <w:widowControl/>
      <w:spacing w:before="480"/>
      <w:ind w:left="426" w:right="443"/>
    </w:pPr>
    <w:rPr>
      <w:rFonts w:ascii="Arial" w:hAnsi="Arial" w:cs="Times New Roman"/>
      <w:snapToGrid/>
      <w:color w:val="auto"/>
      <w:szCs w:val="20"/>
    </w:rPr>
  </w:style>
  <w:style w:type="character" w:customStyle="1" w:styleId="PiedepginaCar">
    <w:name w:val="Pie de página Car"/>
    <w:basedOn w:val="Fuentedeprrafopredeter"/>
    <w:link w:val="Piedepgina"/>
    <w:uiPriority w:val="99"/>
    <w:rsid w:val="003C218A"/>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227033628">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3355772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76641388">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javascript:AddMetaDato('2951','Sistema%20de%20indicadores%20c&#237;clicos','');"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s://www.inegi.org.mx/app/biblioteca/ficha.html?upc=702825099060" TargetMode="External"/><Relationship Id="rId30" Type="http://schemas.openxmlformats.org/officeDocument/2006/relationships/hyperlink" Target="http://www.inegi.org.mx"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onica.jimenez\Documents\IGAE\2021\Junio\Gr&#225;ficas%20IGAE%20(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onica.jimenez\Documents\IGAE\2021\Junio\Gr&#225;ficas%20IGAE%20(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onica.jimenez\Documents\IGAE\2021\Junio\Gr&#225;ficas%20IGAE%20(cifras%20desestacionalizadas).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onica.jimenez\Documents\IGAE\2021\Junio\Gr&#225;ficas%20IGAE%20(cifras%20desestacionalizadas).xlsm"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onica.jimenez\Documents\IGAE\2021\Junio\Gr&#225;ficas%20IGAE%20(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onica.jimenez\Documents\IGAE\2021\Junio\Gr&#225;ficas%20IGAE%20(cifras%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63E-2"/>
          <c:y val="2.4582025286054951E-2"/>
          <c:w val="0.90581803245737869"/>
          <c:h val="0.84008107266092058"/>
        </c:manualLayout>
      </c:layout>
      <c:barChart>
        <c:barDir val="col"/>
        <c:grouping val="clustered"/>
        <c:varyColors val="0"/>
        <c:ser>
          <c:idx val="0"/>
          <c:order val="0"/>
          <c:tx>
            <c:strRef>
              <c:f>Datos!$C$5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Datos!$A$7:$B$84</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Datos!$C$7:$C$84</c:f>
              <c:numCache>
                <c:formatCode>0.0</c:formatCode>
                <c:ptCount val="78"/>
                <c:pt idx="0">
                  <c:v>104.11539047919</c:v>
                </c:pt>
                <c:pt idx="1">
                  <c:v>104.428603638385</c:v>
                </c:pt>
                <c:pt idx="2">
                  <c:v>104.513994047762</c:v>
                </c:pt>
                <c:pt idx="3">
                  <c:v>106.127380667841</c:v>
                </c:pt>
                <c:pt idx="4">
                  <c:v>105.25180228803001</c:v>
                </c:pt>
                <c:pt idx="5">
                  <c:v>105.688412620273</c:v>
                </c:pt>
                <c:pt idx="6">
                  <c:v>106.528919233677</c:v>
                </c:pt>
                <c:pt idx="7">
                  <c:v>106.59325525952001</c:v>
                </c:pt>
                <c:pt idx="8">
                  <c:v>107.67585585102699</c:v>
                </c:pt>
                <c:pt idx="9">
                  <c:v>106.755882826101</c:v>
                </c:pt>
                <c:pt idx="10">
                  <c:v>106.142173535121</c:v>
                </c:pt>
                <c:pt idx="11">
                  <c:v>106.46926455247601</c:v>
                </c:pt>
                <c:pt idx="12">
                  <c:v>107.038530249613</c:v>
                </c:pt>
                <c:pt idx="13">
                  <c:v>107.495646799673</c:v>
                </c:pt>
                <c:pt idx="14">
                  <c:v>107.26503182000801</c:v>
                </c:pt>
                <c:pt idx="15">
                  <c:v>107.35277148236401</c:v>
                </c:pt>
                <c:pt idx="16">
                  <c:v>107.72366912420399</c:v>
                </c:pt>
                <c:pt idx="17">
                  <c:v>108.321810124802</c:v>
                </c:pt>
                <c:pt idx="18">
                  <c:v>108.291545759858</c:v>
                </c:pt>
                <c:pt idx="19">
                  <c:v>108.239368292987</c:v>
                </c:pt>
                <c:pt idx="20">
                  <c:v>108.922579243116</c:v>
                </c:pt>
                <c:pt idx="21">
                  <c:v>109.240647424767</c:v>
                </c:pt>
                <c:pt idx="22">
                  <c:v>109.548763417986</c:v>
                </c:pt>
                <c:pt idx="23">
                  <c:v>110.316831645832</c:v>
                </c:pt>
                <c:pt idx="24">
                  <c:v>110.41505844557901</c:v>
                </c:pt>
                <c:pt idx="25">
                  <c:v>109.86272353741801</c:v>
                </c:pt>
                <c:pt idx="26">
                  <c:v>110.39939831952501</c:v>
                </c:pt>
                <c:pt idx="27">
                  <c:v>110.509585545406</c:v>
                </c:pt>
                <c:pt idx="28">
                  <c:v>109.843248990182</c:v>
                </c:pt>
                <c:pt idx="29">
                  <c:v>111.123272451936</c:v>
                </c:pt>
                <c:pt idx="30">
                  <c:v>110.055296574631</c:v>
                </c:pt>
                <c:pt idx="31">
                  <c:v>110.98093694703699</c:v>
                </c:pt>
                <c:pt idx="32">
                  <c:v>109.499902140046</c:v>
                </c:pt>
                <c:pt idx="33">
                  <c:v>110.91079855034999</c:v>
                </c:pt>
                <c:pt idx="34">
                  <c:v>111.564850045127</c:v>
                </c:pt>
                <c:pt idx="35">
                  <c:v>112.94013778224701</c:v>
                </c:pt>
                <c:pt idx="36">
                  <c:v>111.74496763082</c:v>
                </c:pt>
                <c:pt idx="37">
                  <c:v>112.310784544078</c:v>
                </c:pt>
                <c:pt idx="38">
                  <c:v>113.204114380153</c:v>
                </c:pt>
                <c:pt idx="39">
                  <c:v>112.81781424178401</c:v>
                </c:pt>
                <c:pt idx="40">
                  <c:v>113.217459884831</c:v>
                </c:pt>
                <c:pt idx="41">
                  <c:v>113.242055955137</c:v>
                </c:pt>
                <c:pt idx="42">
                  <c:v>113.535806142336</c:v>
                </c:pt>
                <c:pt idx="43">
                  <c:v>113.578969080045</c:v>
                </c:pt>
                <c:pt idx="44">
                  <c:v>113.08535731849599</c:v>
                </c:pt>
                <c:pt idx="45">
                  <c:v>112.822919099968</c:v>
                </c:pt>
                <c:pt idx="46">
                  <c:v>112.850628086114</c:v>
                </c:pt>
                <c:pt idx="47">
                  <c:v>112.364631946857</c:v>
                </c:pt>
                <c:pt idx="48">
                  <c:v>113.20029145813</c:v>
                </c:pt>
                <c:pt idx="49">
                  <c:v>113.321155804493</c:v>
                </c:pt>
                <c:pt idx="50">
                  <c:v>112.374277256385</c:v>
                </c:pt>
                <c:pt idx="51">
                  <c:v>113.042708445754</c:v>
                </c:pt>
                <c:pt idx="52">
                  <c:v>112.758422089813</c:v>
                </c:pt>
                <c:pt idx="53">
                  <c:v>113.13874786218901</c:v>
                </c:pt>
                <c:pt idx="54">
                  <c:v>113.205348470727</c:v>
                </c:pt>
                <c:pt idx="55">
                  <c:v>113.054504086938</c:v>
                </c:pt>
                <c:pt idx="56">
                  <c:v>112.576840898519</c:v>
                </c:pt>
                <c:pt idx="57">
                  <c:v>112.18802129685299</c:v>
                </c:pt>
                <c:pt idx="58">
                  <c:v>111.615905370367</c:v>
                </c:pt>
                <c:pt idx="59">
                  <c:v>111.922000540274</c:v>
                </c:pt>
                <c:pt idx="60">
                  <c:v>112.62308486557799</c:v>
                </c:pt>
                <c:pt idx="61">
                  <c:v>111.37109819703601</c:v>
                </c:pt>
                <c:pt idx="62">
                  <c:v>109.38965167398101</c:v>
                </c:pt>
                <c:pt idx="63">
                  <c:v>90.647642558729004</c:v>
                </c:pt>
                <c:pt idx="64">
                  <c:v>88.452992061014299</c:v>
                </c:pt>
                <c:pt idx="65">
                  <c:v>96.748414432810904</c:v>
                </c:pt>
                <c:pt idx="66">
                  <c:v>101.966393623031</c:v>
                </c:pt>
                <c:pt idx="67">
                  <c:v>103.557851424875</c:v>
                </c:pt>
                <c:pt idx="68">
                  <c:v>104.85790980247</c:v>
                </c:pt>
                <c:pt idx="69">
                  <c:v>106.679891463198</c:v>
                </c:pt>
                <c:pt idx="70">
                  <c:v>107.33989636568801</c:v>
                </c:pt>
                <c:pt idx="71">
                  <c:v>107.548729428481</c:v>
                </c:pt>
                <c:pt idx="72">
                  <c:v>107.8473650997</c:v>
                </c:pt>
                <c:pt idx="73">
                  <c:v>107.178906209923</c:v>
                </c:pt>
                <c:pt idx="74">
                  <c:v>109.94006533180701</c:v>
                </c:pt>
                <c:pt idx="75">
                  <c:v>110.131679129611</c:v>
                </c:pt>
                <c:pt idx="76">
                  <c:v>110.711607924538</c:v>
                </c:pt>
                <c:pt idx="77">
                  <c:v>109.746021385963</c:v>
                </c:pt>
              </c:numCache>
            </c:numRef>
          </c:val>
          <c:extLst>
            <c:ext xmlns:c16="http://schemas.microsoft.com/office/drawing/2014/chart" uri="{C3380CC4-5D6E-409C-BE32-E72D297353CC}">
              <c16:uniqueId val="{00000000-C07F-49D0-9D26-90DCA0A811AB}"/>
            </c:ext>
          </c:extLst>
        </c:ser>
        <c:dLbls>
          <c:showLegendKey val="0"/>
          <c:showVal val="1"/>
          <c:showCatName val="0"/>
          <c:showSerName val="0"/>
          <c:showPercent val="0"/>
          <c:showBubbleSize val="0"/>
        </c:dLbls>
        <c:gapWidth val="50"/>
        <c:axId val="653891216"/>
        <c:axId val="653889648"/>
      </c:barChart>
      <c:lineChart>
        <c:grouping val="standard"/>
        <c:varyColors val="0"/>
        <c:ser>
          <c:idx val="1"/>
          <c:order val="1"/>
          <c:tx>
            <c:strRef>
              <c:f>Datos!$D$5</c:f>
              <c:strCache>
                <c:ptCount val="1"/>
                <c:pt idx="0">
                  <c:v>Tendencia-Ciclo</c:v>
                </c:pt>
              </c:strCache>
            </c:strRef>
          </c:tx>
          <c:spPr>
            <a:ln w="15875">
              <a:solidFill>
                <a:srgbClr val="C00000"/>
              </a:solidFill>
              <a:prstDash val="solid"/>
            </a:ln>
          </c:spPr>
          <c:marker>
            <c:symbol val="none"/>
          </c:marker>
          <c:dLbls>
            <c:delete val="1"/>
          </c:dLbls>
          <c:cat>
            <c:multiLvlStrRef>
              <c:f>Datos!$A$7:$B$84</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Datos!$D$7:$D$84</c:f>
              <c:numCache>
                <c:formatCode>0.0</c:formatCode>
                <c:ptCount val="78"/>
                <c:pt idx="0">
                  <c:v>104.214721634062</c:v>
                </c:pt>
                <c:pt idx="1">
                  <c:v>104.374247927559</c:v>
                </c:pt>
                <c:pt idx="2">
                  <c:v>104.612019097526</c:v>
                </c:pt>
                <c:pt idx="3">
                  <c:v>104.93902010658999</c:v>
                </c:pt>
                <c:pt idx="4">
                  <c:v>105.36527714026001</c:v>
                </c:pt>
                <c:pt idx="5">
                  <c:v>105.83918847383001</c:v>
                </c:pt>
                <c:pt idx="6">
                  <c:v>106.285320777867</c:v>
                </c:pt>
                <c:pt idx="7">
                  <c:v>106.59695358928199</c:v>
                </c:pt>
                <c:pt idx="8">
                  <c:v>106.70096324805699</c:v>
                </c:pt>
                <c:pt idx="9">
                  <c:v>106.636189653568</c:v>
                </c:pt>
                <c:pt idx="10">
                  <c:v>106.60986828322299</c:v>
                </c:pt>
                <c:pt idx="11">
                  <c:v>106.73830319325501</c:v>
                </c:pt>
                <c:pt idx="12">
                  <c:v>106.959454996283</c:v>
                </c:pt>
                <c:pt idx="13">
                  <c:v>107.177691798412</c:v>
                </c:pt>
                <c:pt idx="14">
                  <c:v>107.36345130749299</c:v>
                </c:pt>
                <c:pt idx="15">
                  <c:v>107.553685879668</c:v>
                </c:pt>
                <c:pt idx="16">
                  <c:v>107.773421089027</c:v>
                </c:pt>
                <c:pt idx="17">
                  <c:v>108.030463536365</c:v>
                </c:pt>
                <c:pt idx="18">
                  <c:v>108.283689715701</c:v>
                </c:pt>
                <c:pt idx="19">
                  <c:v>108.507446796114</c:v>
                </c:pt>
                <c:pt idx="20">
                  <c:v>108.804884445548</c:v>
                </c:pt>
                <c:pt idx="21">
                  <c:v>109.25672952292101</c:v>
                </c:pt>
                <c:pt idx="22">
                  <c:v>109.726197851001</c:v>
                </c:pt>
                <c:pt idx="23">
                  <c:v>110.046689834673</c:v>
                </c:pt>
                <c:pt idx="24">
                  <c:v>110.231888852925</c:v>
                </c:pt>
                <c:pt idx="25">
                  <c:v>110.292957504836</c:v>
                </c:pt>
                <c:pt idx="26">
                  <c:v>110.27181956586401</c:v>
                </c:pt>
                <c:pt idx="27">
                  <c:v>110.19898441808201</c:v>
                </c:pt>
                <c:pt idx="28">
                  <c:v>110.167510238845</c:v>
                </c:pt>
                <c:pt idx="29">
                  <c:v>110.215868610923</c:v>
                </c:pt>
                <c:pt idx="30">
                  <c:v>110.3531760115</c:v>
                </c:pt>
                <c:pt idx="31">
                  <c:v>110.59745348049999</c:v>
                </c:pt>
                <c:pt idx="32">
                  <c:v>110.882831401008</c:v>
                </c:pt>
                <c:pt idx="33">
                  <c:v>111.144423606955</c:v>
                </c:pt>
                <c:pt idx="34">
                  <c:v>111.384811967728</c:v>
                </c:pt>
                <c:pt idx="35">
                  <c:v>111.671775300097</c:v>
                </c:pt>
                <c:pt idx="36">
                  <c:v>112.04225226116</c:v>
                </c:pt>
                <c:pt idx="37">
                  <c:v>112.417383920319</c:v>
                </c:pt>
                <c:pt idx="38">
                  <c:v>112.758286567857</c:v>
                </c:pt>
                <c:pt idx="39">
                  <c:v>113.03069037951499</c:v>
                </c:pt>
                <c:pt idx="40">
                  <c:v>113.22434880642101</c:v>
                </c:pt>
                <c:pt idx="41">
                  <c:v>113.360370647737</c:v>
                </c:pt>
                <c:pt idx="42">
                  <c:v>113.433468703239</c:v>
                </c:pt>
                <c:pt idx="43">
                  <c:v>113.397614382537</c:v>
                </c:pt>
                <c:pt idx="44">
                  <c:v>113.16804251222899</c:v>
                </c:pt>
                <c:pt idx="45">
                  <c:v>112.88741308383101</c:v>
                </c:pt>
                <c:pt idx="46">
                  <c:v>112.76258917385</c:v>
                </c:pt>
                <c:pt idx="47">
                  <c:v>112.8002636156</c:v>
                </c:pt>
                <c:pt idx="48">
                  <c:v>112.898432168979</c:v>
                </c:pt>
                <c:pt idx="49">
                  <c:v>112.928154154347</c:v>
                </c:pt>
                <c:pt idx="50">
                  <c:v>112.88752115705999</c:v>
                </c:pt>
                <c:pt idx="51">
                  <c:v>112.85709251564499</c:v>
                </c:pt>
                <c:pt idx="52">
                  <c:v>112.923938189449</c:v>
                </c:pt>
                <c:pt idx="53">
                  <c:v>113.07814775522699</c:v>
                </c:pt>
                <c:pt idx="54">
                  <c:v>113.130202767889</c:v>
                </c:pt>
                <c:pt idx="55">
                  <c:v>112.938442604031</c:v>
                </c:pt>
                <c:pt idx="56">
                  <c:v>112.599207619639</c:v>
                </c:pt>
                <c:pt idx="57">
                  <c:v>112.20176653611399</c:v>
                </c:pt>
                <c:pt idx="58">
                  <c:v>111.889210533884</c:v>
                </c:pt>
                <c:pt idx="59">
                  <c:v>111.677714363947</c:v>
                </c:pt>
                <c:pt idx="60">
                  <c:v>111.483400767425</c:v>
                </c:pt>
                <c:pt idx="61">
                  <c:v>111.297259105118</c:v>
                </c:pt>
                <c:pt idx="62">
                  <c:v>111.23621116468399</c:v>
                </c:pt>
                <c:pt idx="63">
                  <c:v>101.934188665645</c:v>
                </c:pt>
                <c:pt idx="64">
                  <c:v>102.274685635764</c:v>
                </c:pt>
                <c:pt idx="65">
                  <c:v>102.691412486248</c:v>
                </c:pt>
                <c:pt idx="66">
                  <c:v>103.20067747532801</c:v>
                </c:pt>
                <c:pt idx="67">
                  <c:v>103.922153727817</c:v>
                </c:pt>
                <c:pt idx="68">
                  <c:v>104.91080556057901</c:v>
                </c:pt>
                <c:pt idx="69">
                  <c:v>106.003750032342</c:v>
                </c:pt>
                <c:pt idx="70">
                  <c:v>106.922580062471</c:v>
                </c:pt>
                <c:pt idx="71">
                  <c:v>107.60397606092199</c:v>
                </c:pt>
                <c:pt idx="72">
                  <c:v>108.180098655584</c:v>
                </c:pt>
                <c:pt idx="73">
                  <c:v>108.853122088777</c:v>
                </c:pt>
                <c:pt idx="74">
                  <c:v>109.589262103116</c:v>
                </c:pt>
                <c:pt idx="75">
                  <c:v>110.141667043502</c:v>
                </c:pt>
                <c:pt idx="76">
                  <c:v>110.36770231763801</c:v>
                </c:pt>
                <c:pt idx="77">
                  <c:v>110.449387832201</c:v>
                </c:pt>
              </c:numCache>
            </c:numRef>
          </c:val>
          <c:smooth val="0"/>
          <c:extLst>
            <c:ext xmlns:c16="http://schemas.microsoft.com/office/drawing/2014/chart" uri="{C3380CC4-5D6E-409C-BE32-E72D297353CC}">
              <c16:uniqueId val="{00000001-C07F-49D0-9D26-90DCA0A811AB}"/>
            </c:ext>
          </c:extLst>
        </c:ser>
        <c:dLbls>
          <c:showLegendKey val="0"/>
          <c:showVal val="1"/>
          <c:showCatName val="0"/>
          <c:showSerName val="0"/>
          <c:showPercent val="0"/>
          <c:showBubbleSize val="0"/>
        </c:dLbls>
        <c:marker val="1"/>
        <c:smooth val="0"/>
        <c:axId val="653891216"/>
        <c:axId val="653889648"/>
      </c:lineChart>
      <c:catAx>
        <c:axId val="6538912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9648"/>
        <c:crosses val="autoZero"/>
        <c:auto val="1"/>
        <c:lblAlgn val="ctr"/>
        <c:lblOffset val="0"/>
        <c:tickLblSkip val="1"/>
        <c:tickMarkSkip val="12"/>
        <c:noMultiLvlLbl val="1"/>
      </c:catAx>
      <c:valAx>
        <c:axId val="653889648"/>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9121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55061499665447"/>
          <c:w val="0.8962053571428571"/>
          <c:h val="4.1204432779235876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63E-2"/>
          <c:y val="2.4582025286054951E-2"/>
          <c:w val="0.90581803245737869"/>
          <c:h val="0.84008107266092058"/>
        </c:manualLayout>
      </c:layout>
      <c:barChart>
        <c:barDir val="col"/>
        <c:grouping val="clustered"/>
        <c:varyColors val="0"/>
        <c:ser>
          <c:idx val="0"/>
          <c:order val="0"/>
          <c:tx>
            <c:strRef>
              <c:f>Datos!$C$5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Datos!$A$7:$B$84</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Datos!$C$7:$C$84</c:f>
              <c:numCache>
                <c:formatCode>0.0</c:formatCode>
                <c:ptCount val="78"/>
                <c:pt idx="0">
                  <c:v>104.11539047919</c:v>
                </c:pt>
                <c:pt idx="1">
                  <c:v>104.428603638385</c:v>
                </c:pt>
                <c:pt idx="2">
                  <c:v>104.513994047762</c:v>
                </c:pt>
                <c:pt idx="3">
                  <c:v>106.127380667841</c:v>
                </c:pt>
                <c:pt idx="4">
                  <c:v>105.25180228803001</c:v>
                </c:pt>
                <c:pt idx="5">
                  <c:v>105.688412620273</c:v>
                </c:pt>
                <c:pt idx="6">
                  <c:v>106.528919233677</c:v>
                </c:pt>
                <c:pt idx="7">
                  <c:v>106.59325525952001</c:v>
                </c:pt>
                <c:pt idx="8">
                  <c:v>107.67585585102699</c:v>
                </c:pt>
                <c:pt idx="9">
                  <c:v>106.755882826101</c:v>
                </c:pt>
                <c:pt idx="10">
                  <c:v>106.142173535121</c:v>
                </c:pt>
                <c:pt idx="11">
                  <c:v>106.46926455247601</c:v>
                </c:pt>
                <c:pt idx="12">
                  <c:v>107.038530249613</c:v>
                </c:pt>
                <c:pt idx="13">
                  <c:v>107.495646799673</c:v>
                </c:pt>
                <c:pt idx="14">
                  <c:v>107.26503182000801</c:v>
                </c:pt>
                <c:pt idx="15">
                  <c:v>107.35277148236401</c:v>
                </c:pt>
                <c:pt idx="16">
                  <c:v>107.72366912420399</c:v>
                </c:pt>
                <c:pt idx="17">
                  <c:v>108.321810124802</c:v>
                </c:pt>
                <c:pt idx="18">
                  <c:v>108.291545759858</c:v>
                </c:pt>
                <c:pt idx="19">
                  <c:v>108.239368292987</c:v>
                </c:pt>
                <c:pt idx="20">
                  <c:v>108.922579243116</c:v>
                </c:pt>
                <c:pt idx="21">
                  <c:v>109.240647424767</c:v>
                </c:pt>
                <c:pt idx="22">
                  <c:v>109.548763417986</c:v>
                </c:pt>
                <c:pt idx="23">
                  <c:v>110.316831645832</c:v>
                </c:pt>
                <c:pt idx="24">
                  <c:v>110.41505844557901</c:v>
                </c:pt>
                <c:pt idx="25">
                  <c:v>109.86272353741801</c:v>
                </c:pt>
                <c:pt idx="26">
                  <c:v>110.39939831952501</c:v>
                </c:pt>
                <c:pt idx="27">
                  <c:v>110.509585545406</c:v>
                </c:pt>
                <c:pt idx="28">
                  <c:v>109.843248990182</c:v>
                </c:pt>
                <c:pt idx="29">
                  <c:v>111.123272451936</c:v>
                </c:pt>
                <c:pt idx="30">
                  <c:v>110.055296574631</c:v>
                </c:pt>
                <c:pt idx="31">
                  <c:v>110.98093694703699</c:v>
                </c:pt>
                <c:pt idx="32">
                  <c:v>109.499902140046</c:v>
                </c:pt>
                <c:pt idx="33">
                  <c:v>110.91079855034999</c:v>
                </c:pt>
                <c:pt idx="34">
                  <c:v>111.564850045127</c:v>
                </c:pt>
                <c:pt idx="35">
                  <c:v>112.94013778224701</c:v>
                </c:pt>
                <c:pt idx="36">
                  <c:v>111.74496763082</c:v>
                </c:pt>
                <c:pt idx="37">
                  <c:v>112.310784544078</c:v>
                </c:pt>
                <c:pt idx="38">
                  <c:v>113.204114380153</c:v>
                </c:pt>
                <c:pt idx="39">
                  <c:v>112.81781424178401</c:v>
                </c:pt>
                <c:pt idx="40">
                  <c:v>113.217459884831</c:v>
                </c:pt>
                <c:pt idx="41">
                  <c:v>113.242055955137</c:v>
                </c:pt>
                <c:pt idx="42">
                  <c:v>113.535806142336</c:v>
                </c:pt>
                <c:pt idx="43">
                  <c:v>113.578969080045</c:v>
                </c:pt>
                <c:pt idx="44">
                  <c:v>113.08535731849599</c:v>
                </c:pt>
                <c:pt idx="45">
                  <c:v>112.822919099968</c:v>
                </c:pt>
                <c:pt idx="46">
                  <c:v>112.850628086114</c:v>
                </c:pt>
                <c:pt idx="47">
                  <c:v>112.364631946857</c:v>
                </c:pt>
                <c:pt idx="48">
                  <c:v>113.20029145813</c:v>
                </c:pt>
                <c:pt idx="49">
                  <c:v>113.321155804493</c:v>
                </c:pt>
                <c:pt idx="50">
                  <c:v>112.374277256385</c:v>
                </c:pt>
                <c:pt idx="51">
                  <c:v>113.042708445754</c:v>
                </c:pt>
                <c:pt idx="52">
                  <c:v>112.758422089813</c:v>
                </c:pt>
                <c:pt idx="53">
                  <c:v>113.13874786218901</c:v>
                </c:pt>
                <c:pt idx="54">
                  <c:v>113.205348470727</c:v>
                </c:pt>
                <c:pt idx="55">
                  <c:v>113.054504086938</c:v>
                </c:pt>
                <c:pt idx="56">
                  <c:v>112.576840898519</c:v>
                </c:pt>
                <c:pt idx="57">
                  <c:v>112.18802129685299</c:v>
                </c:pt>
                <c:pt idx="58">
                  <c:v>111.615905370367</c:v>
                </c:pt>
                <c:pt idx="59">
                  <c:v>111.922000540274</c:v>
                </c:pt>
                <c:pt idx="60">
                  <c:v>112.62308486557799</c:v>
                </c:pt>
                <c:pt idx="61">
                  <c:v>111.37109819703601</c:v>
                </c:pt>
                <c:pt idx="62">
                  <c:v>109.38965167398101</c:v>
                </c:pt>
                <c:pt idx="63">
                  <c:v>90.647642558729004</c:v>
                </c:pt>
                <c:pt idx="64">
                  <c:v>88.452992061014299</c:v>
                </c:pt>
                <c:pt idx="65">
                  <c:v>96.748414432810904</c:v>
                </c:pt>
                <c:pt idx="66">
                  <c:v>101.966393623031</c:v>
                </c:pt>
                <c:pt idx="67">
                  <c:v>103.557851424875</c:v>
                </c:pt>
                <c:pt idx="68">
                  <c:v>104.85790980247</c:v>
                </c:pt>
                <c:pt idx="69">
                  <c:v>106.679891463198</c:v>
                </c:pt>
                <c:pt idx="70">
                  <c:v>107.33989636568801</c:v>
                </c:pt>
                <c:pt idx="71">
                  <c:v>107.548729428481</c:v>
                </c:pt>
                <c:pt idx="72">
                  <c:v>107.8473650997</c:v>
                </c:pt>
                <c:pt idx="73">
                  <c:v>107.178906209923</c:v>
                </c:pt>
                <c:pt idx="74">
                  <c:v>109.94006533180701</c:v>
                </c:pt>
                <c:pt idx="75">
                  <c:v>110.131679129611</c:v>
                </c:pt>
                <c:pt idx="76">
                  <c:v>110.711607924538</c:v>
                </c:pt>
                <c:pt idx="77">
                  <c:v>109.746021385963</c:v>
                </c:pt>
              </c:numCache>
            </c:numRef>
          </c:val>
          <c:extLst>
            <c:ext xmlns:c16="http://schemas.microsoft.com/office/drawing/2014/chart" uri="{C3380CC4-5D6E-409C-BE32-E72D297353CC}">
              <c16:uniqueId val="{00000000-2C26-4510-8DE3-13D45A46CEC2}"/>
            </c:ext>
          </c:extLst>
        </c:ser>
        <c:dLbls>
          <c:showLegendKey val="0"/>
          <c:showVal val="1"/>
          <c:showCatName val="0"/>
          <c:showSerName val="0"/>
          <c:showPercent val="0"/>
          <c:showBubbleSize val="0"/>
        </c:dLbls>
        <c:gapWidth val="50"/>
        <c:axId val="653891216"/>
        <c:axId val="653889648"/>
      </c:barChart>
      <c:lineChart>
        <c:grouping val="standard"/>
        <c:varyColors val="0"/>
        <c:ser>
          <c:idx val="1"/>
          <c:order val="1"/>
          <c:tx>
            <c:strRef>
              <c:f>Datos!$D$5</c:f>
              <c:strCache>
                <c:ptCount val="1"/>
                <c:pt idx="0">
                  <c:v>Tendencia-Ciclo</c:v>
                </c:pt>
              </c:strCache>
            </c:strRef>
          </c:tx>
          <c:spPr>
            <a:ln w="15875">
              <a:solidFill>
                <a:srgbClr val="C00000"/>
              </a:solidFill>
              <a:prstDash val="solid"/>
            </a:ln>
          </c:spPr>
          <c:marker>
            <c:symbol val="none"/>
          </c:marker>
          <c:dLbls>
            <c:delete val="1"/>
          </c:dLbls>
          <c:cat>
            <c:multiLvlStrRef>
              <c:f>Datos!$A$7:$B$84</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Datos!$D$7:$D$84</c:f>
              <c:numCache>
                <c:formatCode>0.0</c:formatCode>
                <c:ptCount val="78"/>
                <c:pt idx="0">
                  <c:v>104.214721634062</c:v>
                </c:pt>
                <c:pt idx="1">
                  <c:v>104.374247927559</c:v>
                </c:pt>
                <c:pt idx="2">
                  <c:v>104.612019097526</c:v>
                </c:pt>
                <c:pt idx="3">
                  <c:v>104.93902010658999</c:v>
                </c:pt>
                <c:pt idx="4">
                  <c:v>105.36527714026001</c:v>
                </c:pt>
                <c:pt idx="5">
                  <c:v>105.83918847383001</c:v>
                </c:pt>
                <c:pt idx="6">
                  <c:v>106.285320777867</c:v>
                </c:pt>
                <c:pt idx="7">
                  <c:v>106.59695358928199</c:v>
                </c:pt>
                <c:pt idx="8">
                  <c:v>106.70096324805699</c:v>
                </c:pt>
                <c:pt idx="9">
                  <c:v>106.636189653568</c:v>
                </c:pt>
                <c:pt idx="10">
                  <c:v>106.60986828322299</c:v>
                </c:pt>
                <c:pt idx="11">
                  <c:v>106.73830319325501</c:v>
                </c:pt>
                <c:pt idx="12">
                  <c:v>106.959454996283</c:v>
                </c:pt>
                <c:pt idx="13">
                  <c:v>107.177691798412</c:v>
                </c:pt>
                <c:pt idx="14">
                  <c:v>107.36345130749299</c:v>
                </c:pt>
                <c:pt idx="15">
                  <c:v>107.553685879668</c:v>
                </c:pt>
                <c:pt idx="16">
                  <c:v>107.773421089027</c:v>
                </c:pt>
                <c:pt idx="17">
                  <c:v>108.030463536365</c:v>
                </c:pt>
                <c:pt idx="18">
                  <c:v>108.283689715701</c:v>
                </c:pt>
                <c:pt idx="19">
                  <c:v>108.507446796114</c:v>
                </c:pt>
                <c:pt idx="20">
                  <c:v>108.804884445548</c:v>
                </c:pt>
                <c:pt idx="21">
                  <c:v>109.25672952292101</c:v>
                </c:pt>
                <c:pt idx="22">
                  <c:v>109.726197851001</c:v>
                </c:pt>
                <c:pt idx="23">
                  <c:v>110.046689834673</c:v>
                </c:pt>
                <c:pt idx="24">
                  <c:v>110.231888852925</c:v>
                </c:pt>
                <c:pt idx="25">
                  <c:v>110.292957504836</c:v>
                </c:pt>
                <c:pt idx="26">
                  <c:v>110.27181956586401</c:v>
                </c:pt>
                <c:pt idx="27">
                  <c:v>110.19898441808201</c:v>
                </c:pt>
                <c:pt idx="28">
                  <c:v>110.167510238845</c:v>
                </c:pt>
                <c:pt idx="29">
                  <c:v>110.215868610923</c:v>
                </c:pt>
                <c:pt idx="30">
                  <c:v>110.3531760115</c:v>
                </c:pt>
                <c:pt idx="31">
                  <c:v>110.59745348049999</c:v>
                </c:pt>
                <c:pt idx="32">
                  <c:v>110.882831401008</c:v>
                </c:pt>
                <c:pt idx="33">
                  <c:v>111.144423606955</c:v>
                </c:pt>
                <c:pt idx="34">
                  <c:v>111.384811967728</c:v>
                </c:pt>
                <c:pt idx="35">
                  <c:v>111.671775300097</c:v>
                </c:pt>
                <c:pt idx="36">
                  <c:v>112.04225226116</c:v>
                </c:pt>
                <c:pt idx="37">
                  <c:v>112.417383920319</c:v>
                </c:pt>
                <c:pt idx="38">
                  <c:v>112.758286567857</c:v>
                </c:pt>
                <c:pt idx="39">
                  <c:v>113.03069037951499</c:v>
                </c:pt>
                <c:pt idx="40">
                  <c:v>113.22434880642101</c:v>
                </c:pt>
                <c:pt idx="41">
                  <c:v>113.360370647737</c:v>
                </c:pt>
                <c:pt idx="42">
                  <c:v>113.433468703239</c:v>
                </c:pt>
                <c:pt idx="43">
                  <c:v>113.397614382537</c:v>
                </c:pt>
                <c:pt idx="44">
                  <c:v>113.16804251222899</c:v>
                </c:pt>
                <c:pt idx="45">
                  <c:v>112.88741308383101</c:v>
                </c:pt>
                <c:pt idx="46">
                  <c:v>112.76258917385</c:v>
                </c:pt>
                <c:pt idx="47">
                  <c:v>112.8002636156</c:v>
                </c:pt>
                <c:pt idx="48">
                  <c:v>112.898432168979</c:v>
                </c:pt>
                <c:pt idx="49">
                  <c:v>112.928154154347</c:v>
                </c:pt>
                <c:pt idx="50">
                  <c:v>112.88752115705999</c:v>
                </c:pt>
                <c:pt idx="51">
                  <c:v>112.85709251564499</c:v>
                </c:pt>
                <c:pt idx="52">
                  <c:v>112.923938189449</c:v>
                </c:pt>
                <c:pt idx="53">
                  <c:v>113.07814775522699</c:v>
                </c:pt>
                <c:pt idx="54">
                  <c:v>113.130202767889</c:v>
                </c:pt>
                <c:pt idx="55">
                  <c:v>112.938442604031</c:v>
                </c:pt>
                <c:pt idx="56">
                  <c:v>112.599207619639</c:v>
                </c:pt>
                <c:pt idx="57">
                  <c:v>112.20176653611399</c:v>
                </c:pt>
                <c:pt idx="58">
                  <c:v>111.889210533884</c:v>
                </c:pt>
                <c:pt idx="59">
                  <c:v>111.677714363947</c:v>
                </c:pt>
                <c:pt idx="60">
                  <c:v>111.483400767425</c:v>
                </c:pt>
                <c:pt idx="61">
                  <c:v>111.297259105118</c:v>
                </c:pt>
                <c:pt idx="62">
                  <c:v>111.23621116468399</c:v>
                </c:pt>
                <c:pt idx="63">
                  <c:v>101.934188665645</c:v>
                </c:pt>
                <c:pt idx="64">
                  <c:v>102.274685635764</c:v>
                </c:pt>
                <c:pt idx="65">
                  <c:v>102.691412486248</c:v>
                </c:pt>
                <c:pt idx="66">
                  <c:v>103.20067747532801</c:v>
                </c:pt>
                <c:pt idx="67">
                  <c:v>103.922153727817</c:v>
                </c:pt>
                <c:pt idx="68">
                  <c:v>104.91080556057901</c:v>
                </c:pt>
                <c:pt idx="69">
                  <c:v>106.003750032342</c:v>
                </c:pt>
                <c:pt idx="70">
                  <c:v>106.922580062471</c:v>
                </c:pt>
                <c:pt idx="71">
                  <c:v>107.60397606092199</c:v>
                </c:pt>
                <c:pt idx="72">
                  <c:v>108.180098655584</c:v>
                </c:pt>
                <c:pt idx="73">
                  <c:v>108.853122088777</c:v>
                </c:pt>
                <c:pt idx="74">
                  <c:v>109.589262103116</c:v>
                </c:pt>
                <c:pt idx="75">
                  <c:v>110.141667043502</c:v>
                </c:pt>
                <c:pt idx="76">
                  <c:v>110.36770231763801</c:v>
                </c:pt>
                <c:pt idx="77">
                  <c:v>110.449387832201</c:v>
                </c:pt>
              </c:numCache>
            </c:numRef>
          </c:val>
          <c:smooth val="0"/>
          <c:extLst>
            <c:ext xmlns:c16="http://schemas.microsoft.com/office/drawing/2014/chart" uri="{C3380CC4-5D6E-409C-BE32-E72D297353CC}">
              <c16:uniqueId val="{00000001-2C26-4510-8DE3-13D45A46CEC2}"/>
            </c:ext>
          </c:extLst>
        </c:ser>
        <c:dLbls>
          <c:showLegendKey val="0"/>
          <c:showVal val="1"/>
          <c:showCatName val="0"/>
          <c:showSerName val="0"/>
          <c:showPercent val="0"/>
          <c:showBubbleSize val="0"/>
        </c:dLbls>
        <c:marker val="1"/>
        <c:smooth val="0"/>
        <c:axId val="653891216"/>
        <c:axId val="653889648"/>
      </c:lineChart>
      <c:catAx>
        <c:axId val="6538912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9648"/>
        <c:crosses val="autoZero"/>
        <c:auto val="1"/>
        <c:lblAlgn val="ctr"/>
        <c:lblOffset val="0"/>
        <c:tickLblSkip val="1"/>
        <c:tickMarkSkip val="12"/>
        <c:noMultiLvlLbl val="1"/>
      </c:catAx>
      <c:valAx>
        <c:axId val="653889648"/>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9121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55061499665447"/>
          <c:w val="0.8962053571428571"/>
          <c:h val="4.1204432779235876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77E-2"/>
          <c:y val="2.4582025286054951E-2"/>
          <c:w val="0.9058180324573788"/>
          <c:h val="0.84287936085932547"/>
        </c:manualLayout>
      </c:layout>
      <c:barChart>
        <c:barDir val="col"/>
        <c:grouping val="clustered"/>
        <c:varyColors val="0"/>
        <c:ser>
          <c:idx val="0"/>
          <c:order val="0"/>
          <c:tx>
            <c:strRef>
              <c:f>Datos!$E$5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Datos!$A$7:$B$84</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Datos!$E$7:$E$84</c:f>
              <c:numCache>
                <c:formatCode>0.0</c:formatCode>
                <c:ptCount val="78"/>
                <c:pt idx="0">
                  <c:v>105.654329300087</c:v>
                </c:pt>
                <c:pt idx="1">
                  <c:v>104.618197249478</c:v>
                </c:pt>
                <c:pt idx="2">
                  <c:v>104.600883423233</c:v>
                </c:pt>
                <c:pt idx="3">
                  <c:v>105.969198409974</c:v>
                </c:pt>
                <c:pt idx="4">
                  <c:v>111.22956820352201</c:v>
                </c:pt>
                <c:pt idx="5">
                  <c:v>97.989309053746098</c:v>
                </c:pt>
                <c:pt idx="6">
                  <c:v>102.339592991133</c:v>
                </c:pt>
                <c:pt idx="7">
                  <c:v>106.023422088152</c:v>
                </c:pt>
                <c:pt idx="8">
                  <c:v>107.11092487018099</c:v>
                </c:pt>
                <c:pt idx="9">
                  <c:v>105.52909427255599</c:v>
                </c:pt>
                <c:pt idx="10">
                  <c:v>100.464047685594</c:v>
                </c:pt>
                <c:pt idx="11">
                  <c:v>107.18080034558</c:v>
                </c:pt>
                <c:pt idx="12">
                  <c:v>105.421921691086</c:v>
                </c:pt>
                <c:pt idx="13">
                  <c:v>108.04423473014199</c:v>
                </c:pt>
                <c:pt idx="14">
                  <c:v>103.772032241001</c:v>
                </c:pt>
                <c:pt idx="15">
                  <c:v>107.062031345744</c:v>
                </c:pt>
                <c:pt idx="16">
                  <c:v>105.320460721533</c:v>
                </c:pt>
                <c:pt idx="17">
                  <c:v>112.21756207663501</c:v>
                </c:pt>
                <c:pt idx="18">
                  <c:v>107.04193583891799</c:v>
                </c:pt>
                <c:pt idx="19">
                  <c:v>113.90809167254</c:v>
                </c:pt>
                <c:pt idx="20">
                  <c:v>110.10038570178899</c:v>
                </c:pt>
                <c:pt idx="21">
                  <c:v>108.809958230676</c:v>
                </c:pt>
                <c:pt idx="22">
                  <c:v>108.604095378895</c:v>
                </c:pt>
                <c:pt idx="23">
                  <c:v>111.19498501192101</c:v>
                </c:pt>
                <c:pt idx="24">
                  <c:v>116.10264388156401</c:v>
                </c:pt>
                <c:pt idx="25">
                  <c:v>103.922765017407</c:v>
                </c:pt>
                <c:pt idx="26">
                  <c:v>109.279745382191</c:v>
                </c:pt>
                <c:pt idx="27">
                  <c:v>110.431845966577</c:v>
                </c:pt>
                <c:pt idx="28">
                  <c:v>107.10293204956901</c:v>
                </c:pt>
                <c:pt idx="29">
                  <c:v>117.762156220614</c:v>
                </c:pt>
                <c:pt idx="30">
                  <c:v>111.351234754237</c:v>
                </c:pt>
                <c:pt idx="31">
                  <c:v>111.235347723659</c:v>
                </c:pt>
                <c:pt idx="32">
                  <c:v>112.51816574525201</c:v>
                </c:pt>
                <c:pt idx="33">
                  <c:v>112.45310599089601</c:v>
                </c:pt>
                <c:pt idx="34">
                  <c:v>116.440295344981</c:v>
                </c:pt>
                <c:pt idx="35">
                  <c:v>113.80650571419601</c:v>
                </c:pt>
                <c:pt idx="36">
                  <c:v>116.734350528589</c:v>
                </c:pt>
                <c:pt idx="37">
                  <c:v>114.538388614543</c:v>
                </c:pt>
                <c:pt idx="38">
                  <c:v>115.491681854858</c:v>
                </c:pt>
                <c:pt idx="39">
                  <c:v>116.007158298302</c:v>
                </c:pt>
                <c:pt idx="40">
                  <c:v>116.987794124312</c:v>
                </c:pt>
                <c:pt idx="41">
                  <c:v>113.510453510845</c:v>
                </c:pt>
                <c:pt idx="42">
                  <c:v>113.00081317188599</c:v>
                </c:pt>
                <c:pt idx="43">
                  <c:v>113.914158430892</c:v>
                </c:pt>
                <c:pt idx="44">
                  <c:v>111.592137075903</c:v>
                </c:pt>
                <c:pt idx="45">
                  <c:v>105.93852330621</c:v>
                </c:pt>
                <c:pt idx="46">
                  <c:v>119.2081247963</c:v>
                </c:pt>
                <c:pt idx="47">
                  <c:v>118.28197515681001</c:v>
                </c:pt>
                <c:pt idx="48">
                  <c:v>115.946697088523</c:v>
                </c:pt>
                <c:pt idx="49">
                  <c:v>122.123980474801</c:v>
                </c:pt>
                <c:pt idx="50">
                  <c:v>115.9941316595</c:v>
                </c:pt>
                <c:pt idx="51">
                  <c:v>115.481601608882</c:v>
                </c:pt>
                <c:pt idx="52">
                  <c:v>114.918778114592</c:v>
                </c:pt>
                <c:pt idx="53">
                  <c:v>115.269830744385</c:v>
                </c:pt>
                <c:pt idx="54">
                  <c:v>115.601003299372</c:v>
                </c:pt>
                <c:pt idx="55">
                  <c:v>112.909686617868</c:v>
                </c:pt>
                <c:pt idx="56">
                  <c:v>115.41160115356899</c:v>
                </c:pt>
                <c:pt idx="57">
                  <c:v>113.24523357793301</c:v>
                </c:pt>
                <c:pt idx="58">
                  <c:v>112.77023194674901</c:v>
                </c:pt>
                <c:pt idx="59">
                  <c:v>115.452137931114</c:v>
                </c:pt>
                <c:pt idx="60">
                  <c:v>114.831342501812</c:v>
                </c:pt>
                <c:pt idx="61">
                  <c:v>109.902754350048</c:v>
                </c:pt>
                <c:pt idx="62">
                  <c:v>120.79235457742401</c:v>
                </c:pt>
                <c:pt idx="63">
                  <c:v>114.95834172772599</c:v>
                </c:pt>
                <c:pt idx="64">
                  <c:v>113.183802196575</c:v>
                </c:pt>
                <c:pt idx="65">
                  <c:v>109.966135885394</c:v>
                </c:pt>
                <c:pt idx="66">
                  <c:v>123.817152202199</c:v>
                </c:pt>
                <c:pt idx="67">
                  <c:v>116.24596149014</c:v>
                </c:pt>
                <c:pt idx="68">
                  <c:v>117.73323867021099</c:v>
                </c:pt>
                <c:pt idx="69">
                  <c:v>119.35240939112499</c:v>
                </c:pt>
                <c:pt idx="70">
                  <c:v>118.2319362298</c:v>
                </c:pt>
                <c:pt idx="71">
                  <c:v>113.283532611203</c:v>
                </c:pt>
                <c:pt idx="72">
                  <c:v>116.976887255241</c:v>
                </c:pt>
                <c:pt idx="73">
                  <c:v>117.696845077784</c:v>
                </c:pt>
                <c:pt idx="74">
                  <c:v>119.218854502281</c:v>
                </c:pt>
                <c:pt idx="75">
                  <c:v>115.07077141744</c:v>
                </c:pt>
                <c:pt idx="76">
                  <c:v>124.154225756355</c:v>
                </c:pt>
                <c:pt idx="77">
                  <c:v>118.725273634044</c:v>
                </c:pt>
              </c:numCache>
            </c:numRef>
          </c:val>
          <c:extLst>
            <c:ext xmlns:c16="http://schemas.microsoft.com/office/drawing/2014/chart" uri="{C3380CC4-5D6E-409C-BE32-E72D297353CC}">
              <c16:uniqueId val="{00000000-9CA4-4C4D-A832-1B521278387C}"/>
            </c:ext>
          </c:extLst>
        </c:ser>
        <c:dLbls>
          <c:showLegendKey val="0"/>
          <c:showVal val="1"/>
          <c:showCatName val="0"/>
          <c:showSerName val="0"/>
          <c:showPercent val="0"/>
          <c:showBubbleSize val="0"/>
        </c:dLbls>
        <c:gapWidth val="50"/>
        <c:axId val="653893568"/>
        <c:axId val="653884944"/>
      </c:barChart>
      <c:lineChart>
        <c:grouping val="standard"/>
        <c:varyColors val="0"/>
        <c:ser>
          <c:idx val="1"/>
          <c:order val="1"/>
          <c:tx>
            <c:strRef>
              <c:f>Datos!$F$5</c:f>
              <c:strCache>
                <c:ptCount val="1"/>
                <c:pt idx="0">
                  <c:v>Tendencia-Ciclo</c:v>
                </c:pt>
              </c:strCache>
            </c:strRef>
          </c:tx>
          <c:spPr>
            <a:ln w="15875">
              <a:solidFill>
                <a:srgbClr val="C00000"/>
              </a:solidFill>
              <a:prstDash val="solid"/>
            </a:ln>
          </c:spPr>
          <c:marker>
            <c:symbol val="none"/>
          </c:marker>
          <c:dLbls>
            <c:delete val="1"/>
          </c:dLbls>
          <c:cat>
            <c:multiLvlStrRef>
              <c:f>Datos!$A$7:$B$84</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Datos!$F$7:$F$84</c:f>
              <c:numCache>
                <c:formatCode>0.0</c:formatCode>
                <c:ptCount val="78"/>
                <c:pt idx="0">
                  <c:v>104.93563583979601</c:v>
                </c:pt>
                <c:pt idx="1">
                  <c:v>105.046969325142</c:v>
                </c:pt>
                <c:pt idx="2">
                  <c:v>105.10901667725599</c:v>
                </c:pt>
                <c:pt idx="3">
                  <c:v>105.146709101385</c:v>
                </c:pt>
                <c:pt idx="4">
                  <c:v>105.169716511819</c:v>
                </c:pt>
                <c:pt idx="5">
                  <c:v>105.17726297108401</c:v>
                </c:pt>
                <c:pt idx="6">
                  <c:v>105.159968766723</c:v>
                </c:pt>
                <c:pt idx="7">
                  <c:v>105.124639623363</c:v>
                </c:pt>
                <c:pt idx="8">
                  <c:v>105.095778853038</c:v>
                </c:pt>
                <c:pt idx="9">
                  <c:v>105.102820867464</c:v>
                </c:pt>
                <c:pt idx="10">
                  <c:v>105.190303438638</c:v>
                </c:pt>
                <c:pt idx="11">
                  <c:v>105.393379786506</c:v>
                </c:pt>
                <c:pt idx="12">
                  <c:v>105.715720734915</c:v>
                </c:pt>
                <c:pt idx="13">
                  <c:v>106.15730296906401</c:v>
                </c:pt>
                <c:pt idx="14">
                  <c:v>106.708169645998</c:v>
                </c:pt>
                <c:pt idx="15">
                  <c:v>107.32791885699</c:v>
                </c:pt>
                <c:pt idx="16">
                  <c:v>107.95875794525701</c:v>
                </c:pt>
                <c:pt idx="17">
                  <c:v>108.565283660506</c:v>
                </c:pt>
                <c:pt idx="18">
                  <c:v>109.10447887156</c:v>
                </c:pt>
                <c:pt idx="19">
                  <c:v>109.518283115749</c:v>
                </c:pt>
                <c:pt idx="20">
                  <c:v>109.76060198982501</c:v>
                </c:pt>
                <c:pt idx="21">
                  <c:v>109.83249842881099</c:v>
                </c:pt>
                <c:pt idx="22">
                  <c:v>109.773080365013</c:v>
                </c:pt>
                <c:pt idx="23">
                  <c:v>109.617198038159</c:v>
                </c:pt>
                <c:pt idx="24">
                  <c:v>109.417379056115</c:v>
                </c:pt>
                <c:pt idx="25">
                  <c:v>109.254036160471</c:v>
                </c:pt>
                <c:pt idx="26">
                  <c:v>109.21022156668801</c:v>
                </c:pt>
                <c:pt idx="27">
                  <c:v>109.35519040502</c:v>
                </c:pt>
                <c:pt idx="28">
                  <c:v>109.698950967995</c:v>
                </c:pt>
                <c:pt idx="29">
                  <c:v>110.222732112884</c:v>
                </c:pt>
                <c:pt idx="30">
                  <c:v>110.89026602827001</c:v>
                </c:pt>
                <c:pt idx="31">
                  <c:v>111.67649742760101</c:v>
                </c:pt>
                <c:pt idx="32">
                  <c:v>112.511649827974</c:v>
                </c:pt>
                <c:pt idx="33">
                  <c:v>113.355268346486</c:v>
                </c:pt>
                <c:pt idx="34">
                  <c:v>114.126380953573</c:v>
                </c:pt>
                <c:pt idx="35">
                  <c:v>114.724575106638</c:v>
                </c:pt>
                <c:pt idx="36">
                  <c:v>115.08901825457301</c:v>
                </c:pt>
                <c:pt idx="37">
                  <c:v>115.23365057178501</c:v>
                </c:pt>
                <c:pt idx="38">
                  <c:v>115.18982106703901</c:v>
                </c:pt>
                <c:pt idx="39">
                  <c:v>115.030202220481</c:v>
                </c:pt>
                <c:pt idx="40">
                  <c:v>114.85413483582499</c:v>
                </c:pt>
                <c:pt idx="41">
                  <c:v>114.755240636255</c:v>
                </c:pt>
                <c:pt idx="42">
                  <c:v>114.77869631446301</c:v>
                </c:pt>
                <c:pt idx="43">
                  <c:v>114.94414501598401</c:v>
                </c:pt>
                <c:pt idx="44">
                  <c:v>115.24929486941301</c:v>
                </c:pt>
                <c:pt idx="45">
                  <c:v>115.642337407488</c:v>
                </c:pt>
                <c:pt idx="46">
                  <c:v>116.05757152288299</c:v>
                </c:pt>
                <c:pt idx="47">
                  <c:v>116.421614836058</c:v>
                </c:pt>
                <c:pt idx="48">
                  <c:v>116.666883384993</c:v>
                </c:pt>
                <c:pt idx="49">
                  <c:v>116.732597023205</c:v>
                </c:pt>
                <c:pt idx="50">
                  <c:v>116.61539217030899</c:v>
                </c:pt>
                <c:pt idx="51">
                  <c:v>116.32008344923599</c:v>
                </c:pt>
                <c:pt idx="52">
                  <c:v>115.882580106248</c:v>
                </c:pt>
                <c:pt idx="53">
                  <c:v>115.378445068896</c:v>
                </c:pt>
                <c:pt idx="54">
                  <c:v>114.894652029629</c:v>
                </c:pt>
                <c:pt idx="55">
                  <c:v>114.481450197079</c:v>
                </c:pt>
                <c:pt idx="56">
                  <c:v>114.164544884085</c:v>
                </c:pt>
                <c:pt idx="57">
                  <c:v>113.942573133408</c:v>
                </c:pt>
                <c:pt idx="58">
                  <c:v>113.781887468308</c:v>
                </c:pt>
                <c:pt idx="59">
                  <c:v>113.67577716051299</c:v>
                </c:pt>
                <c:pt idx="60">
                  <c:v>113.667212475653</c:v>
                </c:pt>
                <c:pt idx="61">
                  <c:v>113.774696570831</c:v>
                </c:pt>
                <c:pt idx="62">
                  <c:v>113.99115060766501</c:v>
                </c:pt>
                <c:pt idx="63">
                  <c:v>114.31054737542</c:v>
                </c:pt>
                <c:pt idx="64">
                  <c:v>114.720687169177</c:v>
                </c:pt>
                <c:pt idx="65">
                  <c:v>115.172246952482</c:v>
                </c:pt>
                <c:pt idx="66">
                  <c:v>115.625767127258</c:v>
                </c:pt>
                <c:pt idx="67">
                  <c:v>116.04952034200799</c:v>
                </c:pt>
                <c:pt idx="68">
                  <c:v>116.42851392136799</c:v>
                </c:pt>
                <c:pt idx="69">
                  <c:v>116.748602747333</c:v>
                </c:pt>
                <c:pt idx="70">
                  <c:v>117.026234375605</c:v>
                </c:pt>
                <c:pt idx="71">
                  <c:v>117.288511170687</c:v>
                </c:pt>
                <c:pt idx="72">
                  <c:v>117.563909670698</c:v>
                </c:pt>
                <c:pt idx="73">
                  <c:v>117.875447839998</c:v>
                </c:pt>
                <c:pt idx="74">
                  <c:v>118.223345614427</c:v>
                </c:pt>
                <c:pt idx="75">
                  <c:v>118.569802264305</c:v>
                </c:pt>
                <c:pt idx="76">
                  <c:v>118.87877997497201</c:v>
                </c:pt>
                <c:pt idx="77">
                  <c:v>119.115602739428</c:v>
                </c:pt>
              </c:numCache>
            </c:numRef>
          </c:val>
          <c:smooth val="0"/>
          <c:extLst>
            <c:ext xmlns:c16="http://schemas.microsoft.com/office/drawing/2014/chart" uri="{C3380CC4-5D6E-409C-BE32-E72D297353CC}">
              <c16:uniqueId val="{00000001-9CA4-4C4D-A832-1B521278387C}"/>
            </c:ext>
          </c:extLst>
        </c:ser>
        <c:dLbls>
          <c:showLegendKey val="0"/>
          <c:showVal val="1"/>
          <c:showCatName val="0"/>
          <c:showSerName val="0"/>
          <c:showPercent val="0"/>
          <c:showBubbleSize val="0"/>
        </c:dLbls>
        <c:marker val="1"/>
        <c:smooth val="0"/>
        <c:axId val="653893568"/>
        <c:axId val="653884944"/>
      </c:lineChart>
      <c:catAx>
        <c:axId val="653893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4944"/>
        <c:crosses val="autoZero"/>
        <c:auto val="1"/>
        <c:lblAlgn val="ctr"/>
        <c:lblOffset val="0"/>
        <c:tickLblSkip val="1"/>
        <c:tickMarkSkip val="12"/>
        <c:noMultiLvlLbl val="1"/>
      </c:catAx>
      <c:valAx>
        <c:axId val="653884944"/>
        <c:scaling>
          <c:orientation val="minMax"/>
          <c:max val="13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9356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15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2.4582025286054951E-2"/>
          <c:w val="0.90581803245737891"/>
          <c:h val="0.83788049960439459"/>
        </c:manualLayout>
      </c:layout>
      <c:barChart>
        <c:barDir val="col"/>
        <c:grouping val="clustered"/>
        <c:varyColors val="0"/>
        <c:ser>
          <c:idx val="0"/>
          <c:order val="0"/>
          <c:tx>
            <c:strRef>
              <c:f>Datos!$G$5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Datos!$A$7:$B$84</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Datos!$G$7:$G$84</c:f>
              <c:numCache>
                <c:formatCode>0.0</c:formatCode>
                <c:ptCount val="78"/>
                <c:pt idx="0">
                  <c:v>102.607914182713</c:v>
                </c:pt>
                <c:pt idx="1">
                  <c:v>103.205971611362</c:v>
                </c:pt>
                <c:pt idx="2">
                  <c:v>102.670763306998</c:v>
                </c:pt>
                <c:pt idx="3">
                  <c:v>103.98897438450101</c:v>
                </c:pt>
                <c:pt idx="4">
                  <c:v>102.68993914044999</c:v>
                </c:pt>
                <c:pt idx="5">
                  <c:v>103.26290050228</c:v>
                </c:pt>
                <c:pt idx="6">
                  <c:v>104.508983778954</c:v>
                </c:pt>
                <c:pt idx="7">
                  <c:v>104.561325001892</c:v>
                </c:pt>
                <c:pt idx="8">
                  <c:v>106.02220763597801</c:v>
                </c:pt>
                <c:pt idx="9">
                  <c:v>104.06590270696999</c:v>
                </c:pt>
                <c:pt idx="10">
                  <c:v>103.629978604494</c:v>
                </c:pt>
                <c:pt idx="11">
                  <c:v>103.850768744307</c:v>
                </c:pt>
                <c:pt idx="12">
                  <c:v>104.23575921464</c:v>
                </c:pt>
                <c:pt idx="13">
                  <c:v>104.491688492177</c:v>
                </c:pt>
                <c:pt idx="14">
                  <c:v>103.842265008448</c:v>
                </c:pt>
                <c:pt idx="15">
                  <c:v>103.46333282009</c:v>
                </c:pt>
                <c:pt idx="16">
                  <c:v>103.877293135324</c:v>
                </c:pt>
                <c:pt idx="17">
                  <c:v>103.43822913784599</c:v>
                </c:pt>
                <c:pt idx="18">
                  <c:v>103.730655129303</c:v>
                </c:pt>
                <c:pt idx="19">
                  <c:v>103.59759900963</c:v>
                </c:pt>
                <c:pt idx="20">
                  <c:v>103.715642119748</c:v>
                </c:pt>
                <c:pt idx="21">
                  <c:v>103.922518962477</c:v>
                </c:pt>
                <c:pt idx="22">
                  <c:v>105.16601069647299</c:v>
                </c:pt>
                <c:pt idx="23">
                  <c:v>104.24877385705</c:v>
                </c:pt>
                <c:pt idx="24">
                  <c:v>104.428379139987</c:v>
                </c:pt>
                <c:pt idx="25">
                  <c:v>103.95344328304</c:v>
                </c:pt>
                <c:pt idx="26">
                  <c:v>104.74372769915</c:v>
                </c:pt>
                <c:pt idx="27">
                  <c:v>103.94662808999399</c:v>
                </c:pt>
                <c:pt idx="28">
                  <c:v>103.544431378425</c:v>
                </c:pt>
                <c:pt idx="29">
                  <c:v>104.184895825712</c:v>
                </c:pt>
                <c:pt idx="30">
                  <c:v>103.341624949538</c:v>
                </c:pt>
                <c:pt idx="31">
                  <c:v>103.799022465878</c:v>
                </c:pt>
                <c:pt idx="32">
                  <c:v>101.99709406183599</c:v>
                </c:pt>
                <c:pt idx="33">
                  <c:v>103.937035239088</c:v>
                </c:pt>
                <c:pt idx="34">
                  <c:v>104.163216163816</c:v>
                </c:pt>
                <c:pt idx="35">
                  <c:v>104.841141767064</c:v>
                </c:pt>
                <c:pt idx="36">
                  <c:v>104.349680654331</c:v>
                </c:pt>
                <c:pt idx="37">
                  <c:v>104.582402031358</c:v>
                </c:pt>
                <c:pt idx="38">
                  <c:v>104.79043966530401</c:v>
                </c:pt>
                <c:pt idx="39">
                  <c:v>104.424054909402</c:v>
                </c:pt>
                <c:pt idx="40">
                  <c:v>105.455935697355</c:v>
                </c:pt>
                <c:pt idx="41">
                  <c:v>105.353905345794</c:v>
                </c:pt>
                <c:pt idx="42">
                  <c:v>105.25070994622</c:v>
                </c:pt>
                <c:pt idx="43">
                  <c:v>104.16846240258</c:v>
                </c:pt>
                <c:pt idx="44">
                  <c:v>104.58348355717899</c:v>
                </c:pt>
                <c:pt idx="45">
                  <c:v>103.62383273530899</c:v>
                </c:pt>
                <c:pt idx="46">
                  <c:v>102.986969947859</c:v>
                </c:pt>
                <c:pt idx="47">
                  <c:v>101.823286070401</c:v>
                </c:pt>
                <c:pt idx="48">
                  <c:v>103.31888976582501</c:v>
                </c:pt>
                <c:pt idx="49">
                  <c:v>104.25259838913</c:v>
                </c:pt>
                <c:pt idx="50">
                  <c:v>101.985404249756</c:v>
                </c:pt>
                <c:pt idx="51">
                  <c:v>103.544495231471</c:v>
                </c:pt>
                <c:pt idx="52">
                  <c:v>101.925272676365</c:v>
                </c:pt>
                <c:pt idx="53">
                  <c:v>103.286589505962</c:v>
                </c:pt>
                <c:pt idx="54">
                  <c:v>103.001107325807</c:v>
                </c:pt>
                <c:pt idx="55">
                  <c:v>102.97240890228299</c:v>
                </c:pt>
                <c:pt idx="56">
                  <c:v>102.373244018164</c:v>
                </c:pt>
                <c:pt idx="57">
                  <c:v>99.933316197817803</c:v>
                </c:pt>
                <c:pt idx="58">
                  <c:v>101.096928091099</c:v>
                </c:pt>
                <c:pt idx="59">
                  <c:v>100.884894888669</c:v>
                </c:pt>
                <c:pt idx="60">
                  <c:v>101.81134717492399</c:v>
                </c:pt>
                <c:pt idx="61">
                  <c:v>101.221932293858</c:v>
                </c:pt>
                <c:pt idx="62">
                  <c:v>97.244841180556094</c:v>
                </c:pt>
                <c:pt idx="63">
                  <c:v>72.537375462459494</c:v>
                </c:pt>
                <c:pt idx="64">
                  <c:v>71.986317529204896</c:v>
                </c:pt>
                <c:pt idx="65">
                  <c:v>86.026823058349393</c:v>
                </c:pt>
                <c:pt idx="66">
                  <c:v>91.718598933264701</c:v>
                </c:pt>
                <c:pt idx="67">
                  <c:v>94.606066167628398</c:v>
                </c:pt>
                <c:pt idx="68">
                  <c:v>95.141967130770993</c:v>
                </c:pt>
                <c:pt idx="69">
                  <c:v>96.626204492924799</c:v>
                </c:pt>
                <c:pt idx="70">
                  <c:v>97.454376388713399</c:v>
                </c:pt>
                <c:pt idx="71">
                  <c:v>97.520984556853193</c:v>
                </c:pt>
                <c:pt idx="72">
                  <c:v>97.850700156036993</c:v>
                </c:pt>
                <c:pt idx="73">
                  <c:v>98.114361002612696</c:v>
                </c:pt>
                <c:pt idx="74">
                  <c:v>98.652058934292498</c:v>
                </c:pt>
                <c:pt idx="75">
                  <c:v>98.303879018848704</c:v>
                </c:pt>
                <c:pt idx="76">
                  <c:v>98.285285920855401</c:v>
                </c:pt>
                <c:pt idx="77">
                  <c:v>97.760736542362594</c:v>
                </c:pt>
              </c:numCache>
            </c:numRef>
          </c:val>
          <c:extLst>
            <c:ext xmlns:c16="http://schemas.microsoft.com/office/drawing/2014/chart" uri="{C3380CC4-5D6E-409C-BE32-E72D297353CC}">
              <c16:uniqueId val="{00000000-5502-445C-8C2E-4F42A2837550}"/>
            </c:ext>
          </c:extLst>
        </c:ser>
        <c:dLbls>
          <c:showLegendKey val="0"/>
          <c:showVal val="1"/>
          <c:showCatName val="0"/>
          <c:showSerName val="0"/>
          <c:showPercent val="0"/>
          <c:showBubbleSize val="0"/>
        </c:dLbls>
        <c:gapWidth val="50"/>
        <c:axId val="653883768"/>
        <c:axId val="653889256"/>
      </c:barChart>
      <c:lineChart>
        <c:grouping val="standard"/>
        <c:varyColors val="0"/>
        <c:ser>
          <c:idx val="1"/>
          <c:order val="1"/>
          <c:tx>
            <c:strRef>
              <c:f>Datos!$H$5</c:f>
              <c:strCache>
                <c:ptCount val="1"/>
                <c:pt idx="0">
                  <c:v>Tendencia-Ciclo</c:v>
                </c:pt>
              </c:strCache>
            </c:strRef>
          </c:tx>
          <c:spPr>
            <a:ln w="15875">
              <a:solidFill>
                <a:srgbClr val="C00000"/>
              </a:solidFill>
              <a:prstDash val="solid"/>
            </a:ln>
          </c:spPr>
          <c:marker>
            <c:symbol val="none"/>
          </c:marker>
          <c:dLbls>
            <c:delete val="1"/>
          </c:dLbls>
          <c:cat>
            <c:multiLvlStrRef>
              <c:f>Datos!$A$7:$B$84</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Datos!$H$7:$H$84</c:f>
              <c:numCache>
                <c:formatCode>0.0</c:formatCode>
                <c:ptCount val="78"/>
                <c:pt idx="0">
                  <c:v>103.09220437999601</c:v>
                </c:pt>
                <c:pt idx="1">
                  <c:v>103.00140198441299</c:v>
                </c:pt>
                <c:pt idx="2">
                  <c:v>102.98687848218199</c:v>
                </c:pt>
                <c:pt idx="3">
                  <c:v>103.120857895239</c:v>
                </c:pt>
                <c:pt idx="4">
                  <c:v>103.39736382021999</c:v>
                </c:pt>
                <c:pt idx="5">
                  <c:v>103.728885220195</c:v>
                </c:pt>
                <c:pt idx="6">
                  <c:v>104.009406835577</c:v>
                </c:pt>
                <c:pt idx="7">
                  <c:v>104.165249176057</c:v>
                </c:pt>
                <c:pt idx="8">
                  <c:v>104.207622187374</c:v>
                </c:pt>
                <c:pt idx="9">
                  <c:v>104.171139385293</c:v>
                </c:pt>
                <c:pt idx="10">
                  <c:v>104.104395330957</c:v>
                </c:pt>
                <c:pt idx="11">
                  <c:v>104.043966102247</c:v>
                </c:pt>
                <c:pt idx="12">
                  <c:v>104.01677275803701</c:v>
                </c:pt>
                <c:pt idx="13">
                  <c:v>103.996330788968</c:v>
                </c:pt>
                <c:pt idx="14">
                  <c:v>103.930859260524</c:v>
                </c:pt>
                <c:pt idx="15">
                  <c:v>103.816991046637</c:v>
                </c:pt>
                <c:pt idx="16">
                  <c:v>103.677476116611</c:v>
                </c:pt>
                <c:pt idx="17">
                  <c:v>103.58509198595701</c:v>
                </c:pt>
                <c:pt idx="18">
                  <c:v>103.594996021952</c:v>
                </c:pt>
                <c:pt idx="19">
                  <c:v>103.713796099943</c:v>
                </c:pt>
                <c:pt idx="20">
                  <c:v>103.88039631490599</c:v>
                </c:pt>
                <c:pt idx="21">
                  <c:v>104.057675255902</c:v>
                </c:pt>
                <c:pt idx="22">
                  <c:v>104.230836273977</c:v>
                </c:pt>
                <c:pt idx="23">
                  <c:v>104.346168633641</c:v>
                </c:pt>
                <c:pt idx="24">
                  <c:v>104.378004434799</c:v>
                </c:pt>
                <c:pt idx="25">
                  <c:v>104.324413228615</c:v>
                </c:pt>
                <c:pt idx="26">
                  <c:v>104.19995992868</c:v>
                </c:pt>
                <c:pt idx="27">
                  <c:v>104.044263411987</c:v>
                </c:pt>
                <c:pt idx="28">
                  <c:v>103.892835057046</c:v>
                </c:pt>
                <c:pt idx="29">
                  <c:v>103.761732494201</c:v>
                </c:pt>
                <c:pt idx="30">
                  <c:v>103.687076345611</c:v>
                </c:pt>
                <c:pt idx="31">
                  <c:v>103.71119498575401</c:v>
                </c:pt>
                <c:pt idx="32">
                  <c:v>103.828910667906</c:v>
                </c:pt>
                <c:pt idx="33">
                  <c:v>104.020049477613</c:v>
                </c:pt>
                <c:pt idx="34">
                  <c:v>104.206672879557</c:v>
                </c:pt>
                <c:pt idx="35">
                  <c:v>104.370617651266</c:v>
                </c:pt>
                <c:pt idx="36">
                  <c:v>104.509650414147</c:v>
                </c:pt>
                <c:pt idx="37">
                  <c:v>104.649901207434</c:v>
                </c:pt>
                <c:pt idx="38">
                  <c:v>104.80625311317699</c:v>
                </c:pt>
                <c:pt idx="39">
                  <c:v>104.961109404515</c:v>
                </c:pt>
                <c:pt idx="40">
                  <c:v>105.084029963258</c:v>
                </c:pt>
                <c:pt idx="41">
                  <c:v>105.103209109731</c:v>
                </c:pt>
                <c:pt idx="42">
                  <c:v>104.947112782357</c:v>
                </c:pt>
                <c:pt idx="43">
                  <c:v>104.612675903194</c:v>
                </c:pt>
                <c:pt idx="44">
                  <c:v>104.18291239790901</c:v>
                </c:pt>
                <c:pt idx="45">
                  <c:v>103.73347175612</c:v>
                </c:pt>
                <c:pt idx="46">
                  <c:v>103.36235784450299</c:v>
                </c:pt>
                <c:pt idx="47">
                  <c:v>103.12967724775601</c:v>
                </c:pt>
                <c:pt idx="48">
                  <c:v>103.027004740968</c:v>
                </c:pt>
                <c:pt idx="49">
                  <c:v>103.02767001338199</c:v>
                </c:pt>
                <c:pt idx="50">
                  <c:v>103.09417210257899</c:v>
                </c:pt>
                <c:pt idx="51">
                  <c:v>103.18690220480499</c:v>
                </c:pt>
                <c:pt idx="52">
                  <c:v>103.235175357459</c:v>
                </c:pt>
                <c:pt idx="53">
                  <c:v>103.19596724017001</c:v>
                </c:pt>
                <c:pt idx="54">
                  <c:v>103.01215023658</c:v>
                </c:pt>
                <c:pt idx="55">
                  <c:v>102.673753592007</c:v>
                </c:pt>
                <c:pt idx="56">
                  <c:v>102.239361049376</c:v>
                </c:pt>
                <c:pt idx="57">
                  <c:v>101.80678428346501</c:v>
                </c:pt>
                <c:pt idx="58">
                  <c:v>101.457697098883</c:v>
                </c:pt>
                <c:pt idx="59">
                  <c:v>101.218301153675</c:v>
                </c:pt>
                <c:pt idx="60">
                  <c:v>101.086314087384</c:v>
                </c:pt>
                <c:pt idx="61">
                  <c:v>101.025364819613</c:v>
                </c:pt>
                <c:pt idx="62">
                  <c:v>101.03555105834999</c:v>
                </c:pt>
                <c:pt idx="63">
                  <c:v>92.208837558389106</c:v>
                </c:pt>
                <c:pt idx="64">
                  <c:v>92.434680014251597</c:v>
                </c:pt>
                <c:pt idx="65">
                  <c:v>92.884507093467107</c:v>
                </c:pt>
                <c:pt idx="66">
                  <c:v>93.588533963564402</c:v>
                </c:pt>
                <c:pt idx="67">
                  <c:v>94.483039811387897</c:v>
                </c:pt>
                <c:pt idx="68">
                  <c:v>95.428974990354007</c:v>
                </c:pt>
                <c:pt idx="69">
                  <c:v>96.316915700535205</c:v>
                </c:pt>
                <c:pt idx="70">
                  <c:v>97.062411782894102</c:v>
                </c:pt>
                <c:pt idx="71">
                  <c:v>97.631062492760293</c:v>
                </c:pt>
                <c:pt idx="72">
                  <c:v>98.028644858566196</c:v>
                </c:pt>
                <c:pt idx="73">
                  <c:v>98.253153278370505</c:v>
                </c:pt>
                <c:pt idx="74">
                  <c:v>98.310301786968495</c:v>
                </c:pt>
                <c:pt idx="75">
                  <c:v>98.244079199897996</c:v>
                </c:pt>
                <c:pt idx="76">
                  <c:v>98.111782091936206</c:v>
                </c:pt>
                <c:pt idx="77">
                  <c:v>97.962568227879103</c:v>
                </c:pt>
              </c:numCache>
            </c:numRef>
          </c:val>
          <c:smooth val="0"/>
          <c:extLst>
            <c:ext xmlns:c16="http://schemas.microsoft.com/office/drawing/2014/chart" uri="{C3380CC4-5D6E-409C-BE32-E72D297353CC}">
              <c16:uniqueId val="{00000001-5502-445C-8C2E-4F42A2837550}"/>
            </c:ext>
          </c:extLst>
        </c:ser>
        <c:dLbls>
          <c:showLegendKey val="0"/>
          <c:showVal val="1"/>
          <c:showCatName val="0"/>
          <c:showSerName val="0"/>
          <c:showPercent val="0"/>
          <c:showBubbleSize val="0"/>
        </c:dLbls>
        <c:marker val="1"/>
        <c:smooth val="0"/>
        <c:axId val="653883768"/>
        <c:axId val="653889256"/>
      </c:lineChart>
      <c:catAx>
        <c:axId val="6538837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9256"/>
        <c:crosses val="autoZero"/>
        <c:auto val="1"/>
        <c:lblAlgn val="ctr"/>
        <c:lblOffset val="0"/>
        <c:tickLblSkip val="1"/>
        <c:tickMarkSkip val="12"/>
        <c:noMultiLvlLbl val="1"/>
      </c:catAx>
      <c:valAx>
        <c:axId val="653889256"/>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3768"/>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15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4004E-2"/>
          <c:y val="2.4582025286054951E-2"/>
          <c:w val="0.90581803245737902"/>
          <c:h val="0.83570386908856487"/>
        </c:manualLayout>
      </c:layout>
      <c:barChart>
        <c:barDir val="col"/>
        <c:grouping val="clustered"/>
        <c:varyColors val="0"/>
        <c:ser>
          <c:idx val="0"/>
          <c:order val="0"/>
          <c:tx>
            <c:strRef>
              <c:f>Datos!$I$5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Datos!$A$7:$B$84</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Datos!$I$7:$I$84</c:f>
              <c:numCache>
                <c:formatCode>0.0</c:formatCode>
                <c:ptCount val="78"/>
                <c:pt idx="0">
                  <c:v>105.048653399229</c:v>
                </c:pt>
                <c:pt idx="1">
                  <c:v>105.204511487782</c:v>
                </c:pt>
                <c:pt idx="2">
                  <c:v>105.743424364341</c:v>
                </c:pt>
                <c:pt idx="3">
                  <c:v>107.02998465552901</c:v>
                </c:pt>
                <c:pt idx="4">
                  <c:v>106.55451855134</c:v>
                </c:pt>
                <c:pt idx="5">
                  <c:v>107.39494013602101</c:v>
                </c:pt>
                <c:pt idx="6">
                  <c:v>107.769844585257</c:v>
                </c:pt>
                <c:pt idx="7">
                  <c:v>107.783321051059</c:v>
                </c:pt>
                <c:pt idx="8">
                  <c:v>108.253367420917</c:v>
                </c:pt>
                <c:pt idx="9">
                  <c:v>108.357104997951</c:v>
                </c:pt>
                <c:pt idx="10">
                  <c:v>108.011776602086</c:v>
                </c:pt>
                <c:pt idx="11">
                  <c:v>107.51754549556701</c:v>
                </c:pt>
                <c:pt idx="12">
                  <c:v>108.715817852554</c:v>
                </c:pt>
                <c:pt idx="13">
                  <c:v>109.267257864035</c:v>
                </c:pt>
                <c:pt idx="14">
                  <c:v>109.374915352667</c:v>
                </c:pt>
                <c:pt idx="15">
                  <c:v>109.57709839017301</c:v>
                </c:pt>
                <c:pt idx="16">
                  <c:v>110.130105441099</c:v>
                </c:pt>
                <c:pt idx="17">
                  <c:v>110.474896843293</c:v>
                </c:pt>
                <c:pt idx="18">
                  <c:v>110.837233969135</c:v>
                </c:pt>
                <c:pt idx="19">
                  <c:v>110.69300543289501</c:v>
                </c:pt>
                <c:pt idx="20">
                  <c:v>111.588488872037</c:v>
                </c:pt>
                <c:pt idx="21">
                  <c:v>112.168168717274</c:v>
                </c:pt>
                <c:pt idx="22">
                  <c:v>112.27537733728499</c:v>
                </c:pt>
                <c:pt idx="23">
                  <c:v>113.265660417809</c:v>
                </c:pt>
                <c:pt idx="24">
                  <c:v>113.229050846588</c:v>
                </c:pt>
                <c:pt idx="25">
                  <c:v>113.38660698541599</c:v>
                </c:pt>
                <c:pt idx="26">
                  <c:v>113.61156028103601</c:v>
                </c:pt>
                <c:pt idx="27">
                  <c:v>114.039425931571</c:v>
                </c:pt>
                <c:pt idx="28">
                  <c:v>113.63231672123</c:v>
                </c:pt>
                <c:pt idx="29">
                  <c:v>114.377739272421</c:v>
                </c:pt>
                <c:pt idx="30">
                  <c:v>113.763471966891</c:v>
                </c:pt>
                <c:pt idx="31">
                  <c:v>114.736205385095</c:v>
                </c:pt>
                <c:pt idx="32">
                  <c:v>113.585187221469</c:v>
                </c:pt>
                <c:pt idx="33">
                  <c:v>114.645719489302</c:v>
                </c:pt>
                <c:pt idx="34">
                  <c:v>115.525502064214</c:v>
                </c:pt>
                <c:pt idx="35">
                  <c:v>116.94990111727699</c:v>
                </c:pt>
                <c:pt idx="36">
                  <c:v>115.173963362504</c:v>
                </c:pt>
                <c:pt idx="37">
                  <c:v>116.56154562363599</c:v>
                </c:pt>
                <c:pt idx="38">
                  <c:v>117.783730543302</c:v>
                </c:pt>
                <c:pt idx="39">
                  <c:v>117.20723844417</c:v>
                </c:pt>
                <c:pt idx="40">
                  <c:v>117.376176092759</c:v>
                </c:pt>
                <c:pt idx="41">
                  <c:v>117.61946387814299</c:v>
                </c:pt>
                <c:pt idx="42">
                  <c:v>118.230566037808</c:v>
                </c:pt>
                <c:pt idx="43">
                  <c:v>118.553821948351</c:v>
                </c:pt>
                <c:pt idx="44">
                  <c:v>117.8034497165</c:v>
                </c:pt>
                <c:pt idx="45">
                  <c:v>117.844493070377</c:v>
                </c:pt>
                <c:pt idx="46">
                  <c:v>118.186840339274</c:v>
                </c:pt>
                <c:pt idx="47">
                  <c:v>117.423191171314</c:v>
                </c:pt>
                <c:pt idx="48">
                  <c:v>118.014910025156</c:v>
                </c:pt>
                <c:pt idx="49">
                  <c:v>118.14890520684099</c:v>
                </c:pt>
                <c:pt idx="50">
                  <c:v>117.889179466935</c:v>
                </c:pt>
                <c:pt idx="51">
                  <c:v>118.011265811836</c:v>
                </c:pt>
                <c:pt idx="52">
                  <c:v>118.60879491746201</c:v>
                </c:pt>
                <c:pt idx="53">
                  <c:v>118.474424324556</c:v>
                </c:pt>
                <c:pt idx="54">
                  <c:v>119.044947093274</c:v>
                </c:pt>
                <c:pt idx="55">
                  <c:v>118.57803035753901</c:v>
                </c:pt>
                <c:pt idx="56">
                  <c:v>118.045841438327</c:v>
                </c:pt>
                <c:pt idx="57">
                  <c:v>118.162062148985</c:v>
                </c:pt>
                <c:pt idx="58">
                  <c:v>117.69830139909</c:v>
                </c:pt>
                <c:pt idx="59">
                  <c:v>117.568796590966</c:v>
                </c:pt>
                <c:pt idx="60">
                  <c:v>117.99635825326</c:v>
                </c:pt>
                <c:pt idx="61">
                  <c:v>117.528033335712</c:v>
                </c:pt>
                <c:pt idx="62">
                  <c:v>115.322969319904</c:v>
                </c:pt>
                <c:pt idx="63">
                  <c:v>99.0547122227144</c:v>
                </c:pt>
                <c:pt idx="64">
                  <c:v>96.121381685307597</c:v>
                </c:pt>
                <c:pt idx="65">
                  <c:v>102.142746689342</c:v>
                </c:pt>
                <c:pt idx="66">
                  <c:v>107.099366646175</c:v>
                </c:pt>
                <c:pt idx="67">
                  <c:v>107.992729826328</c:v>
                </c:pt>
                <c:pt idx="68">
                  <c:v>109.70725462901</c:v>
                </c:pt>
                <c:pt idx="69">
                  <c:v>110.906278435567</c:v>
                </c:pt>
                <c:pt idx="70">
                  <c:v>112.20062228271</c:v>
                </c:pt>
                <c:pt idx="71">
                  <c:v>112.533642011014</c:v>
                </c:pt>
                <c:pt idx="72">
                  <c:v>112.535415351371</c:v>
                </c:pt>
                <c:pt idx="73">
                  <c:v>111.882861262273</c:v>
                </c:pt>
                <c:pt idx="74">
                  <c:v>115.32265389761299</c:v>
                </c:pt>
                <c:pt idx="75">
                  <c:v>116.01704833869</c:v>
                </c:pt>
                <c:pt idx="76">
                  <c:v>116.77291200828</c:v>
                </c:pt>
                <c:pt idx="77">
                  <c:v>116.010973410573</c:v>
                </c:pt>
              </c:numCache>
            </c:numRef>
          </c:val>
          <c:extLst>
            <c:ext xmlns:c16="http://schemas.microsoft.com/office/drawing/2014/chart" uri="{C3380CC4-5D6E-409C-BE32-E72D297353CC}">
              <c16:uniqueId val="{00000000-5998-4DB0-8566-45B8E8845AB7}"/>
            </c:ext>
          </c:extLst>
        </c:ser>
        <c:dLbls>
          <c:showLegendKey val="0"/>
          <c:showVal val="1"/>
          <c:showCatName val="0"/>
          <c:showSerName val="0"/>
          <c:showPercent val="0"/>
          <c:showBubbleSize val="0"/>
        </c:dLbls>
        <c:gapWidth val="50"/>
        <c:axId val="653884552"/>
        <c:axId val="653885336"/>
      </c:barChart>
      <c:lineChart>
        <c:grouping val="standard"/>
        <c:varyColors val="0"/>
        <c:ser>
          <c:idx val="1"/>
          <c:order val="1"/>
          <c:tx>
            <c:strRef>
              <c:f>Datos!$J$5</c:f>
              <c:strCache>
                <c:ptCount val="1"/>
                <c:pt idx="0">
                  <c:v>Tendencia-Ciclo</c:v>
                </c:pt>
              </c:strCache>
            </c:strRef>
          </c:tx>
          <c:spPr>
            <a:ln w="15875">
              <a:solidFill>
                <a:srgbClr val="C00000"/>
              </a:solidFill>
              <a:prstDash val="solid"/>
            </a:ln>
          </c:spPr>
          <c:marker>
            <c:symbol val="none"/>
          </c:marker>
          <c:dLbls>
            <c:delete val="1"/>
          </c:dLbls>
          <c:cat>
            <c:multiLvlStrRef>
              <c:f>Datos!$A$7:$B$84</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Datos!$J$7:$J$84</c:f>
              <c:numCache>
                <c:formatCode>0.0</c:formatCode>
                <c:ptCount val="78"/>
                <c:pt idx="0">
                  <c:v>104.881149378776</c:v>
                </c:pt>
                <c:pt idx="1">
                  <c:v>105.293862787471</c:v>
                </c:pt>
                <c:pt idx="2">
                  <c:v>105.750943396586</c:v>
                </c:pt>
                <c:pt idx="3">
                  <c:v>106.2564107063</c:v>
                </c:pt>
                <c:pt idx="4">
                  <c:v>106.765620589664</c:v>
                </c:pt>
                <c:pt idx="5">
                  <c:v>107.251085256759</c:v>
                </c:pt>
                <c:pt idx="6">
                  <c:v>107.667684283131</c:v>
                </c:pt>
                <c:pt idx="7">
                  <c:v>107.967343527694</c:v>
                </c:pt>
                <c:pt idx="8">
                  <c:v>108.126540010512</c:v>
                </c:pt>
                <c:pt idx="9">
                  <c:v>108.186796908841</c:v>
                </c:pt>
                <c:pt idx="10">
                  <c:v>108.28134461062101</c:v>
                </c:pt>
                <c:pt idx="11">
                  <c:v>108.469481204592</c:v>
                </c:pt>
                <c:pt idx="12">
                  <c:v>108.747381065257</c:v>
                </c:pt>
                <c:pt idx="13">
                  <c:v>109.082602285284</c:v>
                </c:pt>
                <c:pt idx="14">
                  <c:v>109.405562701218</c:v>
                </c:pt>
                <c:pt idx="15">
                  <c:v>109.73610225061999</c:v>
                </c:pt>
                <c:pt idx="16">
                  <c:v>110.070075734754</c:v>
                </c:pt>
                <c:pt idx="17">
                  <c:v>110.379139804518</c:v>
                </c:pt>
                <c:pt idx="18">
                  <c:v>110.707718550153</c:v>
                </c:pt>
                <c:pt idx="19">
                  <c:v>111.04968159084</c:v>
                </c:pt>
                <c:pt idx="20">
                  <c:v>111.48370078190101</c:v>
                </c:pt>
                <c:pt idx="21">
                  <c:v>112.01948875830099</c:v>
                </c:pt>
                <c:pt idx="22">
                  <c:v>112.55117653073</c:v>
                </c:pt>
                <c:pt idx="23">
                  <c:v>112.96264484455099</c:v>
                </c:pt>
                <c:pt idx="24">
                  <c:v>113.266002146262</c:v>
                </c:pt>
                <c:pt idx="25">
                  <c:v>113.48538459654399</c:v>
                </c:pt>
                <c:pt idx="26">
                  <c:v>113.66542441587499</c:v>
                </c:pt>
                <c:pt idx="27">
                  <c:v>113.793107594809</c:v>
                </c:pt>
                <c:pt idx="28">
                  <c:v>113.925709357272</c:v>
                </c:pt>
                <c:pt idx="29">
                  <c:v>114.06205980295201</c:v>
                </c:pt>
                <c:pt idx="30">
                  <c:v>114.203796908063</c:v>
                </c:pt>
                <c:pt idx="31">
                  <c:v>114.37965592051</c:v>
                </c:pt>
                <c:pt idx="32">
                  <c:v>114.62149363334601</c:v>
                </c:pt>
                <c:pt idx="33">
                  <c:v>114.947478681514</c:v>
                </c:pt>
                <c:pt idx="34">
                  <c:v>115.36688725367399</c:v>
                </c:pt>
                <c:pt idx="35">
                  <c:v>115.815563354015</c:v>
                </c:pt>
                <c:pt idx="36">
                  <c:v>116.277858061787</c:v>
                </c:pt>
                <c:pt idx="37">
                  <c:v>116.649570165331</c:v>
                </c:pt>
                <c:pt idx="38">
                  <c:v>116.932347844071</c:v>
                </c:pt>
                <c:pt idx="39">
                  <c:v>117.185052858367</c:v>
                </c:pt>
                <c:pt idx="40">
                  <c:v>117.48443287396501</c:v>
                </c:pt>
                <c:pt idx="41">
                  <c:v>117.816947434895</c:v>
                </c:pt>
                <c:pt idx="42">
                  <c:v>118.065209374639</c:v>
                </c:pt>
                <c:pt idx="43">
                  <c:v>118.182106371884</c:v>
                </c:pt>
                <c:pt idx="44">
                  <c:v>118.12310528706701</c:v>
                </c:pt>
                <c:pt idx="45">
                  <c:v>117.97038279757</c:v>
                </c:pt>
                <c:pt idx="46">
                  <c:v>117.878736718281</c:v>
                </c:pt>
                <c:pt idx="47">
                  <c:v>117.898417551983</c:v>
                </c:pt>
                <c:pt idx="48">
                  <c:v>117.92992186222</c:v>
                </c:pt>
                <c:pt idx="49">
                  <c:v>117.956079849785</c:v>
                </c:pt>
                <c:pt idx="50">
                  <c:v>118.029053721078</c:v>
                </c:pt>
                <c:pt idx="51">
                  <c:v>118.192865002232</c:v>
                </c:pt>
                <c:pt idx="52">
                  <c:v>118.4320751616</c:v>
                </c:pt>
                <c:pt idx="53">
                  <c:v>118.65570852778799</c:v>
                </c:pt>
                <c:pt idx="54">
                  <c:v>118.719205198583</c:v>
                </c:pt>
                <c:pt idx="55">
                  <c:v>118.571640074538</c:v>
                </c:pt>
                <c:pt idx="56">
                  <c:v>118.281490891435</c:v>
                </c:pt>
                <c:pt idx="57">
                  <c:v>117.993946167205</c:v>
                </c:pt>
                <c:pt idx="58">
                  <c:v>117.80748935971199</c:v>
                </c:pt>
                <c:pt idx="59">
                  <c:v>117.724052179384</c:v>
                </c:pt>
                <c:pt idx="60">
                  <c:v>117.593092001576</c:v>
                </c:pt>
                <c:pt idx="61">
                  <c:v>117.39529607212199</c:v>
                </c:pt>
                <c:pt idx="62">
                  <c:v>117.265989771042</c:v>
                </c:pt>
                <c:pt idx="63">
                  <c:v>106.28812624834799</c:v>
                </c:pt>
                <c:pt idx="64">
                  <c:v>106.45249897842901</c:v>
                </c:pt>
                <c:pt idx="65">
                  <c:v>106.81187811552699</c:v>
                </c:pt>
                <c:pt idx="66">
                  <c:v>107.426301805888</c:v>
                </c:pt>
                <c:pt idx="67">
                  <c:v>108.329792793384</c:v>
                </c:pt>
                <c:pt idx="68">
                  <c:v>109.496160687645</c:v>
                </c:pt>
                <c:pt idx="69">
                  <c:v>110.67732959582101</c:v>
                </c:pt>
                <c:pt idx="70">
                  <c:v>111.607428422002</c:v>
                </c:pt>
                <c:pt idx="71">
                  <c:v>112.294633249368</c:v>
                </c:pt>
                <c:pt idx="72">
                  <c:v>113.00257973664699</c:v>
                </c:pt>
                <c:pt idx="73">
                  <c:v>113.924009620454</c:v>
                </c:pt>
                <c:pt idx="74">
                  <c:v>114.975011130696</c:v>
                </c:pt>
                <c:pt idx="75">
                  <c:v>115.92439079976999</c:v>
                </c:pt>
                <c:pt idx="76">
                  <c:v>116.596470738786</c:v>
                </c:pt>
                <c:pt idx="77">
                  <c:v>117.01667992801001</c:v>
                </c:pt>
              </c:numCache>
            </c:numRef>
          </c:val>
          <c:smooth val="0"/>
          <c:extLst>
            <c:ext xmlns:c16="http://schemas.microsoft.com/office/drawing/2014/chart" uri="{C3380CC4-5D6E-409C-BE32-E72D297353CC}">
              <c16:uniqueId val="{00000001-5998-4DB0-8566-45B8E8845AB7}"/>
            </c:ext>
          </c:extLst>
        </c:ser>
        <c:dLbls>
          <c:showLegendKey val="0"/>
          <c:showVal val="1"/>
          <c:showCatName val="0"/>
          <c:showSerName val="0"/>
          <c:showPercent val="0"/>
          <c:showBubbleSize val="0"/>
        </c:dLbls>
        <c:marker val="1"/>
        <c:smooth val="0"/>
        <c:axId val="653884552"/>
        <c:axId val="653885336"/>
      </c:lineChart>
      <c:catAx>
        <c:axId val="6538845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5336"/>
        <c:crosses val="autoZero"/>
        <c:auto val="1"/>
        <c:lblAlgn val="ctr"/>
        <c:lblOffset val="0"/>
        <c:tickLblSkip val="1"/>
        <c:tickMarkSkip val="12"/>
        <c:noMultiLvlLbl val="1"/>
      </c:catAx>
      <c:valAx>
        <c:axId val="653885336"/>
        <c:scaling>
          <c:orientation val="minMax"/>
          <c:max val="12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4552"/>
        <c:crosses val="autoZero"/>
        <c:crossBetween val="between"/>
        <c:majorUnit val="5"/>
      </c:valAx>
      <c:spPr>
        <a:noFill/>
        <a:ln w="3175">
          <a:solidFill>
            <a:schemeClr val="tx1">
              <a:lumMod val="50000"/>
              <a:lumOff val="50000"/>
            </a:schemeClr>
          </a:solidFill>
        </a:ln>
      </c:spPr>
    </c:plotArea>
    <c:legend>
      <c:legendPos val="r"/>
      <c:layout>
        <c:manualLayout>
          <c:xMode val="edge"/>
          <c:yMode val="edge"/>
          <c:x val="5.9151785714285712E-2"/>
          <c:y val="0.95114885149160511"/>
          <c:w val="0.8962053571428571"/>
          <c:h val="4.5561731254181809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ysClr val="windowText" lastClr="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9302740453652"/>
          <c:y val="2.3231944444444659E-2"/>
          <c:w val="0.76272635621427776"/>
          <c:h val="0.90149907407407781"/>
        </c:manualLayout>
      </c:layout>
      <c:barChart>
        <c:barDir val="bar"/>
        <c:grouping val="clustered"/>
        <c:varyColors val="0"/>
        <c:ser>
          <c:idx val="0"/>
          <c:order val="0"/>
          <c:tx>
            <c:strRef>
              <c:f>Datos!$I$51</c:f>
              <c:strCache>
                <c:ptCount val="1"/>
                <c:pt idx="0">
                  <c:v>Por Componentes</c:v>
                </c:pt>
              </c:strCache>
            </c:strRef>
          </c:tx>
          <c:spPr>
            <a:solidFill>
              <a:srgbClr val="68C050"/>
            </a:solidFill>
            <a:scene3d>
              <a:camera prst="orthographicFront"/>
              <a:lightRig rig="threePt" dir="t"/>
            </a:scene3d>
            <a:sp3d>
              <a:bevelT w="50800" h="6350"/>
              <a:bevelB w="50800" h="6350"/>
            </a:sp3d>
          </c:spPr>
          <c:invertIfNegative val="0"/>
          <c:dPt>
            <c:idx val="3"/>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1-2DF0-467E-8554-B5A4A93AB90C}"/>
              </c:ext>
            </c:extLst>
          </c:dPt>
          <c:dPt>
            <c:idx val="12"/>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3-2DF0-467E-8554-B5A4A93AB90C}"/>
              </c:ext>
            </c:extLst>
          </c:dPt>
          <c:dPt>
            <c:idx val="24"/>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5-2DF0-467E-8554-B5A4A93AB90C}"/>
              </c:ext>
            </c:extLst>
          </c:dPt>
          <c:dPt>
            <c:idx val="36"/>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7-2DF0-467E-8554-B5A4A93AB90C}"/>
              </c:ext>
            </c:extLst>
          </c:dPt>
          <c:dLbls>
            <c:dLbl>
              <c:idx val="0"/>
              <c:layout>
                <c:manualLayout>
                  <c:x val="-5.5549095607235139E-3"/>
                  <c:y val="5.85016835016815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DF0-467E-8554-B5A4A93AB90C}"/>
                </c:ext>
              </c:extLst>
            </c:dLbl>
            <c:dLbl>
              <c:idx val="1"/>
              <c:layout>
                <c:manualLayout>
                  <c:x val="-5.4694229112833767E-3"/>
                  <c:y val="-9.799269514051752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DF0-467E-8554-B5A4A93AB90C}"/>
                </c:ext>
              </c:extLst>
            </c:dLbl>
            <c:dLbl>
              <c:idx val="2"/>
              <c:layout>
                <c:manualLayout>
                  <c:x val="-1.0938415159345342E-2"/>
                  <c:y val="5.34511784511784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DF0-467E-8554-B5A4A93AB90C}"/>
                </c:ext>
              </c:extLst>
            </c:dLbl>
            <c:dLbl>
              <c:idx val="3"/>
              <c:layout>
                <c:manualLayout>
                  <c:x val="-5.469422911283376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DF0-467E-8554-B5A4A93AB90C}"/>
                </c:ext>
              </c:extLst>
            </c:dLbl>
            <c:spPr>
              <a:noFill/>
              <a:ln>
                <a:noFill/>
              </a:ln>
              <a:effectLst/>
            </c:spPr>
            <c:txPr>
              <a:bodyPr wrap="square" lIns="38100" tIns="19050" rIns="38100" bIns="19050" anchor="ctr">
                <a:spAutoFit/>
              </a:bodyPr>
              <a:lstStyle/>
              <a:p>
                <a:pPr>
                  <a:defRPr sz="7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Datos!$I$52:$I$55</c:f>
              <c:strCache>
                <c:ptCount val="4"/>
                <c:pt idx="0">
                  <c:v>   Actividades  Primarias</c:v>
                </c:pt>
                <c:pt idx="1">
                  <c:v>   Actividades Secundarias</c:v>
                </c:pt>
                <c:pt idx="2">
                  <c:v>   Actividades Terciarias</c:v>
                </c:pt>
                <c:pt idx="3">
                  <c:v>  IGAE</c:v>
                </c:pt>
              </c:strCache>
            </c:strRef>
          </c:cat>
          <c:val>
            <c:numRef>
              <c:f>Datos!$J$52:$J$55</c:f>
              <c:numCache>
                <c:formatCode>#,##0.0</c:formatCode>
                <c:ptCount val="4"/>
                <c:pt idx="0">
                  <c:v>7.3979565576980004</c:v>
                </c:pt>
                <c:pt idx="1">
                  <c:v>13.530057047799</c:v>
                </c:pt>
                <c:pt idx="2">
                  <c:v>13.578208508375999</c:v>
                </c:pt>
                <c:pt idx="3">
                  <c:v>13.32125975482</c:v>
                </c:pt>
              </c:numCache>
            </c:numRef>
          </c:val>
          <c:extLst>
            <c:ext xmlns:c16="http://schemas.microsoft.com/office/drawing/2014/chart" uri="{C3380CC4-5D6E-409C-BE32-E72D297353CC}">
              <c16:uniqueId val="{0000000B-2DF0-467E-8554-B5A4A93AB90C}"/>
            </c:ext>
          </c:extLst>
        </c:ser>
        <c:dLbls>
          <c:showLegendKey val="0"/>
          <c:showVal val="0"/>
          <c:showCatName val="0"/>
          <c:showSerName val="0"/>
          <c:showPercent val="0"/>
          <c:showBubbleSize val="0"/>
        </c:dLbls>
        <c:gapWidth val="30"/>
        <c:axId val="665998144"/>
        <c:axId val="665995792"/>
      </c:barChart>
      <c:catAx>
        <c:axId val="665998144"/>
        <c:scaling>
          <c:orientation val="minMax"/>
        </c:scaling>
        <c:delete val="0"/>
        <c:axPos val="l"/>
        <c:numFmt formatCode="General" sourceLinked="0"/>
        <c:majorTickMark val="cross"/>
        <c:minorTickMark val="none"/>
        <c:tickLblPos val="low"/>
        <c:spPr>
          <a:ln w="3175">
            <a:solidFill>
              <a:sysClr val="windowText" lastClr="000000"/>
            </a:solidFill>
          </a:ln>
        </c:spPr>
        <c:txPr>
          <a:bodyPr rot="0"/>
          <a:lstStyle/>
          <a:p>
            <a:pPr>
              <a:defRPr sz="700" kern="0" cap="none" spc="0" normalizeH="0" baseline="0"/>
            </a:pPr>
            <a:endParaRPr lang="es-MX"/>
          </a:p>
        </c:txPr>
        <c:crossAx val="665995792"/>
        <c:crosses val="autoZero"/>
        <c:auto val="1"/>
        <c:lblAlgn val="ctr"/>
        <c:lblOffset val="100"/>
        <c:tickLblSkip val="1"/>
        <c:tickMarkSkip val="12"/>
        <c:noMultiLvlLbl val="1"/>
      </c:catAx>
      <c:valAx>
        <c:axId val="665995792"/>
        <c:scaling>
          <c:orientation val="minMax"/>
          <c:max val="16"/>
          <c:min val="0"/>
        </c:scaling>
        <c:delete val="0"/>
        <c:axPos val="b"/>
        <c:numFmt formatCode="#,##0.0" sourceLinked="1"/>
        <c:majorTickMark val="out"/>
        <c:minorTickMark val="none"/>
        <c:tickLblPos val="low"/>
        <c:spPr>
          <a:ln w="3175">
            <a:solidFill>
              <a:schemeClr val="tx1"/>
            </a:solidFill>
          </a:ln>
        </c:spPr>
        <c:txPr>
          <a:bodyPr/>
          <a:lstStyle/>
          <a:p>
            <a:pPr>
              <a:defRPr sz="600"/>
            </a:pPr>
            <a:endParaRPr lang="es-MX"/>
          </a:p>
        </c:txPr>
        <c:crossAx val="665998144"/>
        <c:crosses val="autoZero"/>
        <c:crossBetween val="between"/>
        <c:majorUnit val="4"/>
      </c:valAx>
      <c:spPr>
        <a:noFill/>
        <a:ln w="6350">
          <a:solidFill>
            <a:schemeClr val="tx1"/>
          </a:solid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12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9D29D-8FE7-4BD6-B681-294C26AA6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9</Pages>
  <Words>1793</Words>
  <Characters>9867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Comunicado de Prensa. Indicador Global de la Actividad Económica</vt:lpstr>
    </vt:vector>
  </TitlesOfParts>
  <Company>INEGI</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Global de la Actividad Económica</dc:title>
  <dc:creator>INEGI</dc:creator>
  <cp:keywords>PEA Ocupación Desocupación Subocupación</cp:keywords>
  <cp:lastModifiedBy>GUILLEN MEDINA MOISES</cp:lastModifiedBy>
  <cp:revision>43</cp:revision>
  <cp:lastPrinted>2020-02-21T18:49:00Z</cp:lastPrinted>
  <dcterms:created xsi:type="dcterms:W3CDTF">2021-06-23T17:17:00Z</dcterms:created>
  <dcterms:modified xsi:type="dcterms:W3CDTF">2021-08-25T01:28:00Z</dcterms:modified>
  <cp:category>Encuesta Nacional de Ocupación y Empleo</cp:category>
  <cp:version>1</cp:version>
</cp:coreProperties>
</file>