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B4FF" w14:textId="77777777" w:rsidR="00BF45E6" w:rsidRDefault="00BF45E6" w:rsidP="00BF45E6">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23A88F45" wp14:editId="148D042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A0BDDAB" w14:textId="77777777" w:rsidR="00BF45E6" w:rsidRPr="00265B8C" w:rsidRDefault="00BF45E6" w:rsidP="00BF45E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88F4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A0BDDAB" w14:textId="77777777" w:rsidR="00BF45E6" w:rsidRPr="00265B8C" w:rsidRDefault="00BF45E6" w:rsidP="00BF45E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14:paraId="1E245B14" w14:textId="77777777" w:rsidR="00BF45E6" w:rsidRDefault="00BF45E6" w:rsidP="00BF45E6">
      <w:pPr>
        <w:pStyle w:val="Profesin"/>
        <w:outlineLvl w:val="0"/>
        <w:rPr>
          <w:lang w:val="es-MX"/>
        </w:rPr>
      </w:pPr>
    </w:p>
    <w:p w14:paraId="73C6C9D5" w14:textId="77777777" w:rsidR="00BF45E6" w:rsidRPr="000509AF" w:rsidRDefault="00BF45E6" w:rsidP="00BF45E6">
      <w:pPr>
        <w:pStyle w:val="Profesin"/>
        <w:outlineLvl w:val="0"/>
        <w:rPr>
          <w:lang w:val="es-MX"/>
        </w:rPr>
      </w:pPr>
    </w:p>
    <w:p w14:paraId="2C39D9BB" w14:textId="77777777" w:rsidR="00BF45E6" w:rsidRPr="007E6E22" w:rsidRDefault="00BF45E6" w:rsidP="00BF45E6">
      <w:pPr>
        <w:pStyle w:val="Profesin"/>
        <w:spacing w:before="120"/>
        <w:outlineLvl w:val="0"/>
        <w:rPr>
          <w:sz w:val="24"/>
          <w:szCs w:val="24"/>
          <w:lang w:val="es-MX"/>
        </w:rPr>
      </w:pPr>
      <w:bookmarkStart w:id="0" w:name="_GoBack"/>
      <w:bookmarkEnd w:id="0"/>
      <w:r w:rsidRPr="007E6E22">
        <w:rPr>
          <w:sz w:val="24"/>
          <w:szCs w:val="24"/>
          <w:lang w:val="es-MX"/>
        </w:rPr>
        <w:t>INDICADOR GLOBAL DE LA ACTIVIDAD ECONÓMICA</w:t>
      </w:r>
      <w:r w:rsidRPr="007E6E22">
        <w:rPr>
          <w:sz w:val="24"/>
          <w:szCs w:val="24"/>
          <w:vertAlign w:val="superscript"/>
        </w:rPr>
        <w:footnoteReference w:id="1"/>
      </w:r>
    </w:p>
    <w:p w14:paraId="42629D65" w14:textId="77777777" w:rsidR="00BF45E6" w:rsidRPr="007E6E22" w:rsidRDefault="00BF45E6" w:rsidP="00BF45E6">
      <w:pPr>
        <w:jc w:val="center"/>
        <w:rPr>
          <w:b/>
          <w:spacing w:val="25"/>
          <w:lang w:val="es-MX"/>
        </w:rPr>
      </w:pPr>
      <w:r w:rsidRPr="007E6E22">
        <w:rPr>
          <w:b/>
          <w:spacing w:val="25"/>
          <w:lang w:val="es-MX"/>
        </w:rPr>
        <w:t>DURANTE JULIO DE 2021</w:t>
      </w:r>
    </w:p>
    <w:p w14:paraId="5C3D09F3" w14:textId="77777777" w:rsidR="00BF45E6" w:rsidRPr="007E6E22" w:rsidRDefault="00BF45E6" w:rsidP="00BF45E6">
      <w:pPr>
        <w:jc w:val="center"/>
        <w:rPr>
          <w:b/>
          <w:spacing w:val="25"/>
          <w:lang w:val="es-MX"/>
        </w:rPr>
      </w:pPr>
      <w:r w:rsidRPr="007E6E22">
        <w:rPr>
          <w:b/>
          <w:spacing w:val="25"/>
          <w:lang w:val="es-MX"/>
        </w:rPr>
        <w:t>(</w:t>
      </w:r>
      <w:r w:rsidRPr="007E6E22">
        <w:rPr>
          <w:b/>
          <w:i/>
          <w:spacing w:val="25"/>
          <w:lang w:val="es-MX"/>
        </w:rPr>
        <w:t>Cifras desestacionalizadas</w:t>
      </w:r>
      <w:r w:rsidRPr="007E6E22">
        <w:rPr>
          <w:b/>
          <w:spacing w:val="25"/>
          <w:lang w:val="es-MX"/>
        </w:rPr>
        <w:t>)</w:t>
      </w:r>
    </w:p>
    <w:p w14:paraId="2CB39C73" w14:textId="77777777" w:rsidR="00BF45E6" w:rsidRPr="00192468" w:rsidRDefault="00BF45E6" w:rsidP="00BF45E6">
      <w:pPr>
        <w:pStyle w:val="bullet"/>
        <w:keepLines w:val="0"/>
        <w:spacing w:after="0"/>
        <w:ind w:left="-284" w:right="-547" w:firstLine="0"/>
        <w:rPr>
          <w:b w:val="0"/>
          <w:color w:val="auto"/>
          <w:szCs w:val="24"/>
        </w:rPr>
      </w:pPr>
      <w:r w:rsidRPr="00192468">
        <w:rPr>
          <w:b w:val="0"/>
          <w:color w:val="auto"/>
          <w:szCs w:val="24"/>
        </w:rPr>
        <w:t>El INEGI informa que el Indicador Global de la Actividad Económica (IGAE) mostró un aumento de 0.5% en términos reales en el séptimo mes del año en curso respecto al mes previo, con cifras desestacionalizadas</w:t>
      </w:r>
      <w:r w:rsidRPr="00192468">
        <w:rPr>
          <w:b w:val="0"/>
          <w:color w:val="auto"/>
          <w:szCs w:val="24"/>
          <w:vertAlign w:val="superscript"/>
        </w:rPr>
        <w:footnoteReference w:id="2"/>
      </w:r>
      <w:r w:rsidRPr="00192468">
        <w:rPr>
          <w:b w:val="0"/>
          <w:color w:val="auto"/>
          <w:szCs w:val="24"/>
        </w:rPr>
        <w:t>.</w:t>
      </w:r>
    </w:p>
    <w:p w14:paraId="0185B435" w14:textId="77777777" w:rsidR="00BF45E6" w:rsidRPr="00BD2EB2" w:rsidRDefault="00BF45E6" w:rsidP="00BF45E6">
      <w:pPr>
        <w:pStyle w:val="p02"/>
        <w:keepNext/>
        <w:widowControl w:val="0"/>
        <w:spacing w:before="0"/>
        <w:ind w:right="23"/>
        <w:jc w:val="center"/>
        <w:rPr>
          <w:rFonts w:ascii="Arial" w:hAnsi="Arial" w:cs="Arial"/>
          <w:smallCaps/>
          <w:color w:val="auto"/>
          <w:sz w:val="22"/>
        </w:rPr>
      </w:pPr>
    </w:p>
    <w:p w14:paraId="015F1339" w14:textId="77777777" w:rsidR="00BF45E6" w:rsidRDefault="00BF45E6" w:rsidP="00BF45E6">
      <w:pPr>
        <w:pStyle w:val="p02"/>
        <w:keepNext/>
        <w:widowControl w:val="0"/>
        <w:spacing w:before="12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julio </w:t>
      </w:r>
      <w:r>
        <w:rPr>
          <w:rFonts w:ascii="Arial" w:hAnsi="Arial" w:cs="Arial"/>
          <w:b/>
          <w:smallCaps/>
          <w:color w:val="000000"/>
          <w:sz w:val="22"/>
          <w:szCs w:val="22"/>
          <w:lang w:val="es-MX"/>
        </w:rPr>
        <w:t>de 2021</w:t>
      </w:r>
    </w:p>
    <w:p w14:paraId="37712D80" w14:textId="77777777" w:rsidR="00BF45E6" w:rsidRPr="00961776" w:rsidRDefault="00BF45E6" w:rsidP="00BF45E6">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0BEB6AE5" w14:textId="77777777" w:rsidR="00BF45E6" w:rsidRPr="009B388F" w:rsidRDefault="00BF45E6" w:rsidP="00BF45E6">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617080D2" w14:textId="77777777" w:rsidR="00BF45E6" w:rsidRPr="000B1975" w:rsidRDefault="00BF45E6" w:rsidP="00BF45E6">
      <w:pPr>
        <w:pStyle w:val="p02"/>
        <w:keepLines w:val="0"/>
        <w:widowControl w:val="0"/>
        <w:spacing w:before="0"/>
        <w:ind w:right="21"/>
        <w:jc w:val="center"/>
        <w:rPr>
          <w:rFonts w:ascii="Arial" w:hAnsi="Arial" w:cs="Arial"/>
          <w:color w:val="000000"/>
          <w:sz w:val="18"/>
        </w:rPr>
      </w:pPr>
      <w:r>
        <w:rPr>
          <w:noProof/>
        </w:rPr>
        <w:drawing>
          <wp:inline distT="0" distB="0" distL="0" distR="0" wp14:anchorId="00E483CB" wp14:editId="59A0A463">
            <wp:extent cx="4680000" cy="2736000"/>
            <wp:effectExtent l="0" t="0" r="25400" b="2667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0AE9E2" w14:textId="77777777" w:rsidR="00BF45E6" w:rsidRPr="00AA768F" w:rsidRDefault="00BF45E6" w:rsidP="00BF45E6">
      <w:pPr>
        <w:pStyle w:val="Textoindependiente"/>
        <w:tabs>
          <w:tab w:val="center" w:pos="1985"/>
          <w:tab w:val="left" w:pos="7949"/>
        </w:tabs>
        <w:spacing w:before="0"/>
        <w:ind w:left="851" w:right="51"/>
        <w:jc w:val="left"/>
        <w:rPr>
          <w:b/>
          <w:smallCaps/>
          <w:color w:val="auto"/>
          <w:sz w:val="16"/>
          <w:szCs w:val="16"/>
        </w:rPr>
      </w:pPr>
      <w:r w:rsidRPr="00AA768F">
        <w:rPr>
          <w:color w:val="auto"/>
          <w:sz w:val="16"/>
          <w:szCs w:val="16"/>
        </w:rPr>
        <w:t>Fuente: INEGI.</w:t>
      </w:r>
      <w:r>
        <w:rPr>
          <w:color w:val="auto"/>
          <w:sz w:val="16"/>
          <w:szCs w:val="16"/>
        </w:rPr>
        <w:tab/>
      </w:r>
    </w:p>
    <w:p w14:paraId="21BB44AA" w14:textId="77777777" w:rsidR="00BF45E6" w:rsidRDefault="00BF45E6" w:rsidP="00BF45E6">
      <w:pPr>
        <w:pStyle w:val="bullet"/>
        <w:keepLines w:val="0"/>
        <w:spacing w:before="360" w:after="0"/>
        <w:ind w:left="-284" w:right="-547" w:firstLine="0"/>
        <w:rPr>
          <w:b w:val="0"/>
          <w:color w:val="auto"/>
          <w:szCs w:val="24"/>
        </w:rPr>
      </w:pPr>
    </w:p>
    <w:p w14:paraId="28460520" w14:textId="77777777" w:rsidR="00BF45E6" w:rsidRPr="00192468" w:rsidRDefault="00BF45E6" w:rsidP="00BF45E6">
      <w:pPr>
        <w:pStyle w:val="bullet"/>
        <w:keepLines w:val="0"/>
        <w:spacing w:after="0"/>
        <w:ind w:left="-284" w:right="-547" w:firstLine="0"/>
        <w:rPr>
          <w:b w:val="0"/>
          <w:color w:val="auto"/>
          <w:szCs w:val="24"/>
        </w:rPr>
      </w:pPr>
      <w:r w:rsidRPr="00192468">
        <w:rPr>
          <w:b w:val="0"/>
          <w:color w:val="auto"/>
          <w:szCs w:val="24"/>
        </w:rPr>
        <w:t>Por grandes grupos de actividades, las Primarias ascendieron 1.9%, las Secundarias crecieron 1.1% y las Terciarias lo hicieron en 0.3% durante julio de 2021 frente al mes precedente.</w:t>
      </w:r>
    </w:p>
    <w:p w14:paraId="0DA66B46" w14:textId="143A5EC4" w:rsidR="00AA361F" w:rsidRDefault="00AA361F">
      <w:pPr>
        <w:jc w:val="left"/>
        <w:rPr>
          <w:rFonts w:cs="Times New Roman"/>
          <w:bCs/>
          <w:spacing w:val="10"/>
          <w:lang w:val="es-MX"/>
        </w:rPr>
      </w:pPr>
      <w:r>
        <w:rPr>
          <w:b/>
          <w:bCs/>
        </w:rPr>
        <w:br w:type="page"/>
      </w:r>
    </w:p>
    <w:p w14:paraId="1E524964" w14:textId="77777777" w:rsidR="00BF45E6" w:rsidRDefault="00BF45E6" w:rsidP="00BF45E6">
      <w:pPr>
        <w:pStyle w:val="bullet"/>
        <w:keepLines w:val="0"/>
        <w:spacing w:before="120" w:after="0"/>
        <w:ind w:left="-284" w:right="-547" w:firstLine="0"/>
        <w:rPr>
          <w:b w:val="0"/>
          <w:color w:val="auto"/>
          <w:szCs w:val="24"/>
        </w:rPr>
      </w:pPr>
    </w:p>
    <w:p w14:paraId="6B734E6E" w14:textId="77777777" w:rsidR="00BF45E6" w:rsidRPr="00002C87" w:rsidRDefault="00BF45E6" w:rsidP="00BF45E6">
      <w:pPr>
        <w:pStyle w:val="bullet"/>
        <w:keepLines w:val="0"/>
        <w:spacing w:before="120" w:after="0"/>
        <w:ind w:left="-284" w:right="-547" w:firstLine="0"/>
        <w:rPr>
          <w:rFonts w:cs="Arial"/>
          <w:b w:val="0"/>
          <w:smallCaps/>
          <w:color w:val="auto"/>
          <w:szCs w:val="24"/>
        </w:rPr>
      </w:pPr>
      <w:r w:rsidRPr="00002C87">
        <w:rPr>
          <w:b w:val="0"/>
          <w:color w:val="auto"/>
          <w:szCs w:val="24"/>
        </w:rPr>
        <w:t>En términos anuales</w:t>
      </w:r>
      <w:r w:rsidRPr="00002C87">
        <w:rPr>
          <w:b w:val="0"/>
          <w:color w:val="auto"/>
          <w:szCs w:val="24"/>
          <w:vertAlign w:val="superscript"/>
        </w:rPr>
        <w:footnoteReference w:id="3"/>
      </w:r>
      <w:r w:rsidRPr="00002C87">
        <w:rPr>
          <w:b w:val="0"/>
          <w:color w:val="auto"/>
          <w:szCs w:val="24"/>
        </w:rPr>
        <w:t>, el IGAE registró un avance real de 7.7% en el mes de referencia. Por grandes grupos de actividades, las Terciarias se incrementaron 8.4% y las Secundarias 8%, mientras que las actividades Primarias cayeron 1.1% con relación a igual mes de 2020.</w:t>
      </w:r>
    </w:p>
    <w:p w14:paraId="4194B9BD" w14:textId="77777777" w:rsidR="00BF45E6" w:rsidRDefault="00BF45E6" w:rsidP="00BF45E6">
      <w:pPr>
        <w:pStyle w:val="bullet"/>
        <w:keepLines w:val="0"/>
        <w:spacing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julio de 2021</w:t>
      </w:r>
    </w:p>
    <w:p w14:paraId="01A6512B" w14:textId="77777777" w:rsidR="00BF45E6" w:rsidRPr="0082401B" w:rsidRDefault="00BF45E6" w:rsidP="00BF45E6">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BF45E6" w14:paraId="3724CDF9" w14:textId="77777777" w:rsidTr="00B04AB2">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6484995D" w14:textId="77777777" w:rsidR="00BF45E6" w:rsidRPr="008F66F2" w:rsidRDefault="00BF45E6" w:rsidP="00B04AB2">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4DFC6E36" w14:textId="77777777" w:rsidR="00BF45E6" w:rsidRPr="008F66F2" w:rsidRDefault="00BF45E6" w:rsidP="00B04AB2">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681CE25C" w14:textId="77777777" w:rsidR="00BF45E6" w:rsidRPr="008F66F2" w:rsidRDefault="00BF45E6" w:rsidP="00B04AB2">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BF45E6" w:rsidRPr="00F507D7" w14:paraId="457462AF" w14:textId="77777777" w:rsidTr="00B04AB2">
        <w:trPr>
          <w:jc w:val="center"/>
        </w:trPr>
        <w:tc>
          <w:tcPr>
            <w:tcW w:w="2977" w:type="dxa"/>
            <w:tcBorders>
              <w:top w:val="single" w:sz="4" w:space="0" w:color="auto"/>
              <w:left w:val="double" w:sz="4" w:space="0" w:color="auto"/>
              <w:bottom w:val="nil"/>
              <w:right w:val="single" w:sz="4" w:space="0" w:color="000000"/>
            </w:tcBorders>
            <w:vAlign w:val="center"/>
            <w:hideMark/>
          </w:tcPr>
          <w:p w14:paraId="19FE882D" w14:textId="77777777" w:rsidR="00BF45E6" w:rsidRPr="00901570" w:rsidRDefault="00BF45E6" w:rsidP="00B04AB2">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54BADB19" w14:textId="77777777" w:rsidR="00BF45E6" w:rsidRPr="00A10795" w:rsidRDefault="00BF45E6" w:rsidP="00B04AB2">
            <w:pPr>
              <w:pStyle w:val="p0"/>
              <w:spacing w:before="120"/>
              <w:ind w:right="907"/>
              <w:jc w:val="right"/>
              <w:rPr>
                <w:rFonts w:ascii="Arial" w:hAnsi="Arial"/>
                <w:b/>
                <w:color w:val="auto"/>
                <w:sz w:val="18"/>
              </w:rPr>
            </w:pPr>
            <w:r>
              <w:rPr>
                <w:rFonts w:ascii="Arial" w:hAnsi="Arial"/>
                <w:b/>
                <w:color w:val="auto"/>
                <w:sz w:val="18"/>
              </w:rPr>
              <w:t>0.5</w:t>
            </w:r>
          </w:p>
        </w:tc>
        <w:tc>
          <w:tcPr>
            <w:tcW w:w="2410" w:type="dxa"/>
            <w:tcBorders>
              <w:top w:val="single" w:sz="4" w:space="0" w:color="auto"/>
              <w:left w:val="single" w:sz="4" w:space="0" w:color="000000"/>
              <w:bottom w:val="nil"/>
              <w:right w:val="double" w:sz="4" w:space="0" w:color="auto"/>
            </w:tcBorders>
            <w:vAlign w:val="center"/>
            <w:hideMark/>
          </w:tcPr>
          <w:p w14:paraId="1F742321" w14:textId="77777777" w:rsidR="00BF45E6" w:rsidRPr="00A10795" w:rsidRDefault="00BF45E6" w:rsidP="00B04AB2">
            <w:pPr>
              <w:pStyle w:val="p0"/>
              <w:spacing w:before="120"/>
              <w:ind w:right="964"/>
              <w:jc w:val="right"/>
              <w:rPr>
                <w:rFonts w:ascii="Arial" w:hAnsi="Arial"/>
                <w:b/>
                <w:color w:val="auto"/>
                <w:sz w:val="18"/>
              </w:rPr>
            </w:pPr>
            <w:r>
              <w:rPr>
                <w:rFonts w:ascii="Arial" w:hAnsi="Arial"/>
                <w:b/>
                <w:color w:val="auto"/>
                <w:sz w:val="18"/>
              </w:rPr>
              <w:t>7.7</w:t>
            </w:r>
          </w:p>
        </w:tc>
      </w:tr>
      <w:tr w:rsidR="00BF45E6" w:rsidRPr="00F507D7" w14:paraId="3E0D807A" w14:textId="77777777" w:rsidTr="00B04AB2">
        <w:trPr>
          <w:jc w:val="center"/>
        </w:trPr>
        <w:tc>
          <w:tcPr>
            <w:tcW w:w="2977" w:type="dxa"/>
            <w:tcBorders>
              <w:top w:val="nil"/>
              <w:left w:val="double" w:sz="4" w:space="0" w:color="auto"/>
              <w:bottom w:val="nil"/>
              <w:right w:val="single" w:sz="4" w:space="0" w:color="000000"/>
            </w:tcBorders>
            <w:vAlign w:val="center"/>
            <w:hideMark/>
          </w:tcPr>
          <w:p w14:paraId="1CFAA82C" w14:textId="77777777" w:rsidR="00BF45E6" w:rsidRPr="00901570" w:rsidRDefault="00BF45E6" w:rsidP="00B04AB2">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5712563B" w14:textId="77777777" w:rsidR="00BF45E6" w:rsidRPr="00A10795" w:rsidRDefault="00BF45E6" w:rsidP="00B04AB2">
            <w:pPr>
              <w:pStyle w:val="p0"/>
              <w:spacing w:before="120"/>
              <w:ind w:right="907"/>
              <w:jc w:val="right"/>
              <w:rPr>
                <w:rFonts w:ascii="Arial" w:hAnsi="Arial"/>
                <w:color w:val="auto"/>
                <w:sz w:val="18"/>
              </w:rPr>
            </w:pPr>
            <w:r>
              <w:rPr>
                <w:rFonts w:ascii="Arial" w:hAnsi="Arial"/>
                <w:color w:val="auto"/>
                <w:sz w:val="18"/>
              </w:rPr>
              <w:t>1.9</w:t>
            </w:r>
          </w:p>
        </w:tc>
        <w:tc>
          <w:tcPr>
            <w:tcW w:w="2410" w:type="dxa"/>
            <w:tcBorders>
              <w:top w:val="nil"/>
              <w:left w:val="single" w:sz="4" w:space="0" w:color="000000"/>
              <w:bottom w:val="nil"/>
              <w:right w:val="double" w:sz="4" w:space="0" w:color="auto"/>
            </w:tcBorders>
            <w:vAlign w:val="center"/>
            <w:hideMark/>
          </w:tcPr>
          <w:p w14:paraId="758302C0" w14:textId="77777777" w:rsidR="00BF45E6" w:rsidRPr="00A10795" w:rsidRDefault="00BF45E6" w:rsidP="00B04AB2">
            <w:pPr>
              <w:pStyle w:val="p0"/>
              <w:spacing w:before="120"/>
              <w:ind w:right="964"/>
              <w:jc w:val="right"/>
              <w:rPr>
                <w:rFonts w:ascii="Arial" w:hAnsi="Arial"/>
                <w:color w:val="auto"/>
                <w:sz w:val="18"/>
              </w:rPr>
            </w:pPr>
            <w:r>
              <w:rPr>
                <w:rFonts w:ascii="Arial" w:hAnsi="Arial"/>
                <w:color w:val="auto"/>
                <w:sz w:val="18"/>
              </w:rPr>
              <w:t>(-)</w:t>
            </w:r>
            <w:r w:rsidRPr="00A10795">
              <w:rPr>
                <w:rFonts w:ascii="Arial" w:hAnsi="Arial"/>
                <w:color w:val="auto"/>
                <w:sz w:val="18"/>
              </w:rPr>
              <w:t xml:space="preserve">   </w:t>
            </w:r>
            <w:r>
              <w:rPr>
                <w:rFonts w:ascii="Arial" w:hAnsi="Arial"/>
                <w:color w:val="auto"/>
                <w:sz w:val="18"/>
              </w:rPr>
              <w:t>1.1</w:t>
            </w:r>
          </w:p>
        </w:tc>
      </w:tr>
      <w:tr w:rsidR="00BF45E6" w:rsidRPr="00F507D7" w14:paraId="455374E4" w14:textId="77777777" w:rsidTr="00B04AB2">
        <w:trPr>
          <w:jc w:val="center"/>
        </w:trPr>
        <w:tc>
          <w:tcPr>
            <w:tcW w:w="2977" w:type="dxa"/>
            <w:tcBorders>
              <w:top w:val="nil"/>
              <w:left w:val="double" w:sz="4" w:space="0" w:color="auto"/>
              <w:bottom w:val="nil"/>
              <w:right w:val="single" w:sz="4" w:space="0" w:color="000000"/>
            </w:tcBorders>
            <w:vAlign w:val="center"/>
            <w:hideMark/>
          </w:tcPr>
          <w:p w14:paraId="2706A48F" w14:textId="77777777" w:rsidR="00BF45E6" w:rsidRPr="00901570" w:rsidRDefault="00BF45E6" w:rsidP="00B04AB2">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44E3CC6E" w14:textId="77777777" w:rsidR="00BF45E6" w:rsidRPr="00A10795" w:rsidRDefault="00BF45E6" w:rsidP="00B04AB2">
            <w:pPr>
              <w:pStyle w:val="p0"/>
              <w:spacing w:before="120"/>
              <w:ind w:right="907"/>
              <w:jc w:val="right"/>
              <w:rPr>
                <w:rFonts w:ascii="Arial" w:hAnsi="Arial"/>
                <w:color w:val="auto"/>
                <w:sz w:val="18"/>
              </w:rPr>
            </w:pPr>
            <w:r>
              <w:rPr>
                <w:rFonts w:ascii="Arial" w:hAnsi="Arial"/>
                <w:color w:val="auto"/>
                <w:sz w:val="18"/>
              </w:rPr>
              <w:t>1.1</w:t>
            </w:r>
          </w:p>
        </w:tc>
        <w:tc>
          <w:tcPr>
            <w:tcW w:w="2410" w:type="dxa"/>
            <w:tcBorders>
              <w:top w:val="nil"/>
              <w:left w:val="single" w:sz="4" w:space="0" w:color="000000"/>
              <w:bottom w:val="nil"/>
              <w:right w:val="double" w:sz="4" w:space="0" w:color="auto"/>
            </w:tcBorders>
            <w:vAlign w:val="center"/>
            <w:hideMark/>
          </w:tcPr>
          <w:p w14:paraId="72266090" w14:textId="77777777" w:rsidR="00BF45E6" w:rsidRPr="00A10795" w:rsidRDefault="00BF45E6" w:rsidP="00B04AB2">
            <w:pPr>
              <w:pStyle w:val="p0"/>
              <w:spacing w:before="120"/>
              <w:ind w:right="964"/>
              <w:jc w:val="right"/>
              <w:rPr>
                <w:rFonts w:ascii="Arial" w:hAnsi="Arial"/>
                <w:color w:val="auto"/>
                <w:sz w:val="18"/>
              </w:rPr>
            </w:pPr>
            <w:r>
              <w:rPr>
                <w:rFonts w:ascii="Arial" w:hAnsi="Arial"/>
                <w:color w:val="auto"/>
                <w:sz w:val="18"/>
              </w:rPr>
              <w:t>8.0</w:t>
            </w:r>
          </w:p>
        </w:tc>
      </w:tr>
      <w:tr w:rsidR="00BF45E6" w:rsidRPr="00F507D7" w14:paraId="20FBBF50" w14:textId="77777777" w:rsidTr="00B04AB2">
        <w:trPr>
          <w:jc w:val="center"/>
        </w:trPr>
        <w:tc>
          <w:tcPr>
            <w:tcW w:w="2977" w:type="dxa"/>
            <w:tcBorders>
              <w:top w:val="nil"/>
              <w:left w:val="double" w:sz="4" w:space="0" w:color="auto"/>
              <w:bottom w:val="double" w:sz="4" w:space="0" w:color="auto"/>
              <w:right w:val="single" w:sz="4" w:space="0" w:color="000000"/>
            </w:tcBorders>
            <w:vAlign w:val="center"/>
            <w:hideMark/>
          </w:tcPr>
          <w:p w14:paraId="2DB81CFB" w14:textId="77777777" w:rsidR="00BF45E6" w:rsidRPr="00901570" w:rsidRDefault="00BF45E6" w:rsidP="00B04AB2">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B3C8DF9" w14:textId="77777777" w:rsidR="00BF45E6" w:rsidRPr="00A10795" w:rsidRDefault="00BF45E6" w:rsidP="00B04AB2">
            <w:pPr>
              <w:pStyle w:val="p0"/>
              <w:spacing w:before="120" w:after="120"/>
              <w:ind w:right="907"/>
              <w:jc w:val="right"/>
              <w:rPr>
                <w:rFonts w:ascii="Arial" w:hAnsi="Arial"/>
                <w:color w:val="auto"/>
                <w:sz w:val="18"/>
              </w:rPr>
            </w:pPr>
            <w:r>
              <w:rPr>
                <w:rFonts w:ascii="Arial" w:hAnsi="Arial"/>
                <w:color w:val="auto"/>
                <w:sz w:val="18"/>
              </w:rPr>
              <w:t>0.3</w:t>
            </w:r>
          </w:p>
        </w:tc>
        <w:tc>
          <w:tcPr>
            <w:tcW w:w="2410" w:type="dxa"/>
            <w:tcBorders>
              <w:top w:val="nil"/>
              <w:left w:val="single" w:sz="4" w:space="0" w:color="000000"/>
              <w:bottom w:val="double" w:sz="4" w:space="0" w:color="auto"/>
              <w:right w:val="double" w:sz="4" w:space="0" w:color="auto"/>
            </w:tcBorders>
            <w:vAlign w:val="center"/>
            <w:hideMark/>
          </w:tcPr>
          <w:p w14:paraId="2D1F3332" w14:textId="77777777" w:rsidR="00BF45E6" w:rsidRPr="00A10795" w:rsidRDefault="00BF45E6" w:rsidP="00B04AB2">
            <w:pPr>
              <w:pStyle w:val="p0"/>
              <w:spacing w:before="120" w:after="120"/>
              <w:ind w:right="964"/>
              <w:jc w:val="right"/>
              <w:rPr>
                <w:rFonts w:ascii="Arial" w:hAnsi="Arial"/>
                <w:color w:val="auto"/>
                <w:sz w:val="18"/>
              </w:rPr>
            </w:pPr>
            <w:r>
              <w:rPr>
                <w:rFonts w:ascii="Arial" w:hAnsi="Arial"/>
                <w:color w:val="auto"/>
                <w:sz w:val="18"/>
              </w:rPr>
              <w:t>8.4</w:t>
            </w:r>
          </w:p>
        </w:tc>
      </w:tr>
    </w:tbl>
    <w:p w14:paraId="74E711BD" w14:textId="77777777" w:rsidR="00BF45E6" w:rsidRPr="0082401B" w:rsidRDefault="00BF45E6" w:rsidP="00BF45E6">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5FA069E8" w14:textId="77777777" w:rsidR="00BF45E6" w:rsidRPr="0082401B" w:rsidRDefault="00BF45E6" w:rsidP="00BF45E6">
      <w:pPr>
        <w:tabs>
          <w:tab w:val="num" w:pos="1843"/>
        </w:tabs>
        <w:spacing w:after="240"/>
        <w:ind w:left="709"/>
        <w:rPr>
          <w:lang w:val="es-MX"/>
        </w:rPr>
      </w:pPr>
      <w:r w:rsidRPr="0082401B">
        <w:rPr>
          <w:sz w:val="16"/>
          <w:szCs w:val="16"/>
        </w:rPr>
        <w:t>Fuente: INEGI.</w:t>
      </w:r>
    </w:p>
    <w:p w14:paraId="280BD900" w14:textId="77777777" w:rsidR="00BF45E6" w:rsidRDefault="00BF45E6" w:rsidP="00BF45E6">
      <w:pPr>
        <w:pStyle w:val="bullet"/>
        <w:keepLines w:val="0"/>
        <w:spacing w:after="0"/>
        <w:ind w:left="-284" w:right="-547" w:firstLine="0"/>
        <w:jc w:val="center"/>
        <w:rPr>
          <w:rFonts w:cs="Arial"/>
          <w:smallCaps/>
          <w:color w:val="auto"/>
          <w:spacing w:val="0"/>
          <w:sz w:val="22"/>
        </w:rPr>
      </w:pPr>
    </w:p>
    <w:p w14:paraId="6990A82B" w14:textId="77777777" w:rsidR="00BF45E6" w:rsidRDefault="00BF45E6" w:rsidP="00BF45E6">
      <w:pPr>
        <w:spacing w:before="120"/>
        <w:ind w:left="-284" w:right="-547"/>
        <w:jc w:val="left"/>
        <w:rPr>
          <w:b/>
          <w:i/>
          <w:lang w:val="es-MX"/>
        </w:rPr>
      </w:pPr>
      <w:r w:rsidRPr="005D6B95">
        <w:rPr>
          <w:b/>
          <w:i/>
          <w:lang w:val="es-MX"/>
        </w:rPr>
        <w:t>Nota al usuario</w:t>
      </w:r>
    </w:p>
    <w:p w14:paraId="6D906B49" w14:textId="77777777" w:rsidR="00BF45E6" w:rsidRDefault="00BF45E6" w:rsidP="00BF45E6">
      <w:pPr>
        <w:spacing w:before="120"/>
        <w:ind w:left="-284" w:right="-547"/>
      </w:pPr>
      <w:r w:rsidRPr="00A87BA1">
        <w:t xml:space="preserve">La Tasa de No Respuesta en la captación de las Encuestas Económicas que se consideraron para la integración del </w:t>
      </w:r>
      <w:r>
        <w:t>Indicador Global de la Actividad Económica (</w:t>
      </w:r>
      <w:r w:rsidRPr="00A87BA1">
        <w:t>IGAE</w:t>
      </w:r>
      <w:r>
        <w:t>)</w:t>
      </w:r>
      <w:r w:rsidRPr="00A87BA1">
        <w:t xml:space="preserv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t xml:space="preserve">julio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t xml:space="preserve"> (EIMM),</w:t>
      </w:r>
      <w:r w:rsidRPr="00061421">
        <w:t xml:space="preserve"> los </w:t>
      </w:r>
      <w:r>
        <w:t>r</w:t>
      </w:r>
      <w:r w:rsidRPr="00061421">
        <w:t xml:space="preserve">egistros </w:t>
      </w:r>
      <w:r>
        <w:t>a</w:t>
      </w:r>
      <w:r w:rsidRPr="00061421">
        <w:t xml:space="preserve">dministrativos </w:t>
      </w:r>
      <w:r>
        <w:t xml:space="preserve">y los datos primarios </w:t>
      </w:r>
      <w:r w:rsidRPr="00061421">
        <w:t>que difunde el Instituto</w:t>
      </w:r>
      <w:r>
        <w:t>.</w:t>
      </w:r>
    </w:p>
    <w:p w14:paraId="5870BE6A" w14:textId="77777777" w:rsidR="00BF45E6" w:rsidRPr="00A87BA1" w:rsidRDefault="00BF45E6" w:rsidP="00BF45E6">
      <w:pPr>
        <w:pStyle w:val="Default"/>
        <w:spacing w:before="240" w:after="240"/>
        <w:ind w:left="-284" w:right="-547"/>
        <w:jc w:val="both"/>
        <w:rPr>
          <w:color w:val="auto"/>
        </w:rPr>
      </w:pPr>
      <w:r w:rsidRPr="00A87BA1">
        <w:rPr>
          <w:color w:val="auto"/>
        </w:rPr>
        <w:t>Para las actividades agropecuarias, de servicios financieros y del gobierno se complementa</w:t>
      </w:r>
      <w:r>
        <w:rPr>
          <w:color w:val="auto"/>
        </w:rPr>
        <w:t>ro</w:t>
      </w:r>
      <w:r w:rsidRPr="00A87BA1">
        <w:rPr>
          <w:color w:val="auto"/>
        </w:rPr>
        <w:t>n con otros registros administrativos provenientes de las Unidades del Estado que se recibieron oportunamente vía correo electrónico y captación por Internet,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7845BBC0" w14:textId="77777777" w:rsidR="00BF45E6" w:rsidRDefault="00BF45E6" w:rsidP="00BF45E6">
      <w:pPr>
        <w:spacing w:before="240"/>
        <w:ind w:firstLine="708"/>
        <w:jc w:val="center"/>
        <w:rPr>
          <w:b/>
          <w:color w:val="000000"/>
        </w:rPr>
      </w:pPr>
      <w:r w:rsidRPr="003B1ACA">
        <w:rPr>
          <w:b/>
          <w:color w:val="000000"/>
        </w:rPr>
        <w:t>Se anexa Nota Técnica</w:t>
      </w:r>
    </w:p>
    <w:p w14:paraId="2640AD63" w14:textId="77777777" w:rsidR="00BF45E6" w:rsidRDefault="00BF45E6" w:rsidP="00BF45E6">
      <w:pPr>
        <w:ind w:firstLine="708"/>
        <w:jc w:val="center"/>
        <w:rPr>
          <w:b/>
          <w:color w:val="000000"/>
        </w:rPr>
      </w:pPr>
    </w:p>
    <w:p w14:paraId="1A487387" w14:textId="77777777" w:rsidR="00BF45E6" w:rsidRPr="00C03DD0" w:rsidRDefault="00BF45E6" w:rsidP="00BF45E6">
      <w:pPr>
        <w:pStyle w:val="NormalWeb"/>
        <w:spacing w:before="240" w:beforeAutospacing="0" w:after="0" w:afterAutospacing="0"/>
        <w:ind w:left="-426" w:right="-518"/>
        <w:contextualSpacing/>
        <w:jc w:val="center"/>
        <w:rPr>
          <w:rFonts w:ascii="Arial" w:hAnsi="Arial" w:cs="Arial"/>
          <w:sz w:val="20"/>
          <w:szCs w:val="20"/>
        </w:rPr>
      </w:pPr>
      <w:r w:rsidRPr="00C03DD0">
        <w:rPr>
          <w:rFonts w:ascii="Arial" w:hAnsi="Arial" w:cs="Arial"/>
          <w:sz w:val="20"/>
          <w:szCs w:val="20"/>
        </w:rPr>
        <w:t xml:space="preserve">Para consultas de medios y periodistas, contactar a: </w:t>
      </w:r>
      <w:hyperlink r:id="rId9" w:history="1">
        <w:r w:rsidRPr="00C03DD0">
          <w:rPr>
            <w:rStyle w:val="Hipervnculo"/>
            <w:rFonts w:ascii="Arial" w:hAnsi="Arial" w:cs="Arial"/>
            <w:sz w:val="20"/>
            <w:szCs w:val="20"/>
          </w:rPr>
          <w:t>comunicacionsocial@inegi.org.mx</w:t>
        </w:r>
      </w:hyperlink>
      <w:r w:rsidRPr="00C03DD0">
        <w:rPr>
          <w:rFonts w:ascii="Arial" w:hAnsi="Arial" w:cs="Arial"/>
          <w:sz w:val="20"/>
          <w:szCs w:val="20"/>
        </w:rPr>
        <w:t xml:space="preserve"> </w:t>
      </w:r>
    </w:p>
    <w:p w14:paraId="6884BD3C" w14:textId="77777777" w:rsidR="00BF45E6" w:rsidRPr="00C03DD0" w:rsidRDefault="00BF45E6" w:rsidP="00BF45E6">
      <w:pPr>
        <w:pStyle w:val="NormalWeb"/>
        <w:spacing w:before="0" w:beforeAutospacing="0" w:after="0" w:afterAutospacing="0"/>
        <w:ind w:left="-426" w:right="-518"/>
        <w:contextualSpacing/>
        <w:jc w:val="center"/>
        <w:rPr>
          <w:rFonts w:ascii="Arial" w:hAnsi="Arial" w:cs="Arial"/>
          <w:sz w:val="20"/>
          <w:szCs w:val="20"/>
        </w:rPr>
      </w:pPr>
      <w:r w:rsidRPr="00C03DD0">
        <w:rPr>
          <w:rFonts w:ascii="Arial" w:hAnsi="Arial" w:cs="Arial"/>
          <w:sz w:val="20"/>
          <w:szCs w:val="20"/>
        </w:rPr>
        <w:t xml:space="preserve">o llamar al teléfono (55) 52-78-10-00, </w:t>
      </w:r>
      <w:proofErr w:type="spellStart"/>
      <w:r w:rsidRPr="00C03DD0">
        <w:rPr>
          <w:rFonts w:ascii="Arial" w:hAnsi="Arial" w:cs="Arial"/>
          <w:sz w:val="20"/>
          <w:szCs w:val="20"/>
        </w:rPr>
        <w:t>exts</w:t>
      </w:r>
      <w:proofErr w:type="spellEnd"/>
      <w:r w:rsidRPr="00C03DD0">
        <w:rPr>
          <w:rFonts w:ascii="Arial" w:hAnsi="Arial" w:cs="Arial"/>
          <w:sz w:val="20"/>
          <w:szCs w:val="20"/>
        </w:rPr>
        <w:t>. 1134, 1260 y 1241.</w:t>
      </w:r>
    </w:p>
    <w:p w14:paraId="475C93AB" w14:textId="77777777" w:rsidR="00BF45E6" w:rsidRPr="00C03DD0" w:rsidRDefault="00BF45E6" w:rsidP="00BF45E6">
      <w:pPr>
        <w:ind w:left="-426" w:right="-518"/>
        <w:contextualSpacing/>
        <w:jc w:val="center"/>
        <w:rPr>
          <w:sz w:val="20"/>
          <w:szCs w:val="20"/>
        </w:rPr>
      </w:pPr>
    </w:p>
    <w:p w14:paraId="4599DE0A" w14:textId="77777777" w:rsidR="00BF45E6" w:rsidRPr="00C03DD0" w:rsidRDefault="00BF45E6" w:rsidP="00BF45E6">
      <w:pPr>
        <w:ind w:left="-426" w:right="-518"/>
        <w:contextualSpacing/>
        <w:jc w:val="center"/>
        <w:rPr>
          <w:sz w:val="20"/>
          <w:szCs w:val="20"/>
        </w:rPr>
      </w:pPr>
      <w:r w:rsidRPr="00C03DD0">
        <w:rPr>
          <w:sz w:val="20"/>
          <w:szCs w:val="20"/>
        </w:rPr>
        <w:t xml:space="preserve">Dirección de Atención a Medios / Dirección General Adjunta de Comunicación </w:t>
      </w:r>
    </w:p>
    <w:p w14:paraId="3AE7F415" w14:textId="77777777" w:rsidR="00BF45E6" w:rsidRPr="00AA36AB" w:rsidRDefault="00BF45E6" w:rsidP="00BF45E6">
      <w:pPr>
        <w:ind w:left="-426" w:right="-518"/>
        <w:contextualSpacing/>
        <w:jc w:val="center"/>
        <w:rPr>
          <w:sz w:val="22"/>
          <w:szCs w:val="22"/>
        </w:rPr>
      </w:pPr>
    </w:p>
    <w:p w14:paraId="6F8BAA49" w14:textId="77777777" w:rsidR="00BF45E6" w:rsidRDefault="00BF45E6" w:rsidP="00BF45E6">
      <w:pPr>
        <w:ind w:left="-425" w:right="-516"/>
        <w:contextualSpacing/>
        <w:jc w:val="center"/>
        <w:rPr>
          <w:sz w:val="18"/>
          <w:szCs w:val="18"/>
        </w:rPr>
      </w:pPr>
      <w:r w:rsidRPr="00FF1218">
        <w:rPr>
          <w:noProof/>
          <w:lang w:val="es-MX" w:eastAsia="es-MX"/>
        </w:rPr>
        <w:drawing>
          <wp:inline distT="0" distB="0" distL="0" distR="0" wp14:anchorId="02CF592A" wp14:editId="679C4E1D">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26D8EAB" wp14:editId="700728AF">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B0B76F" wp14:editId="5F7A12E3">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336814" wp14:editId="742CAA65">
            <wp:extent cx="365760" cy="365760"/>
            <wp:effectExtent l="0" t="0" r="0" b="0"/>
            <wp:docPr id="8" name="Imagen 8"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091CA71" wp14:editId="241044AB">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C10987F" w14:textId="77777777" w:rsidR="00BF45E6" w:rsidRPr="00157C43" w:rsidRDefault="00BF45E6" w:rsidP="00BF45E6">
      <w:pPr>
        <w:pStyle w:val="bullet"/>
        <w:tabs>
          <w:tab w:val="left" w:pos="8789"/>
        </w:tabs>
        <w:spacing w:before="0"/>
        <w:ind w:left="0" w:right="51" w:firstLine="0"/>
        <w:jc w:val="center"/>
        <w:rPr>
          <w:rFonts w:cs="Arial"/>
          <w:szCs w:val="24"/>
        </w:rPr>
        <w:sectPr w:rsidR="00BF45E6"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03B72239" w14:textId="67D74546" w:rsidR="00BF45E6" w:rsidRPr="004C60BE" w:rsidRDefault="00BF45E6" w:rsidP="00BF45E6">
      <w:pPr>
        <w:tabs>
          <w:tab w:val="left" w:pos="8789"/>
        </w:tabs>
        <w:spacing w:before="360"/>
        <w:ind w:right="51"/>
        <w:jc w:val="center"/>
        <w:rPr>
          <w:b/>
        </w:rPr>
      </w:pPr>
      <w:r w:rsidRPr="004C60BE">
        <w:rPr>
          <w:b/>
        </w:rPr>
        <w:lastRenderedPageBreak/>
        <w:t>NOTA TÉCNICA</w:t>
      </w:r>
    </w:p>
    <w:p w14:paraId="236D08E4" w14:textId="77777777" w:rsidR="0082401B" w:rsidRPr="004C60BE" w:rsidRDefault="0082401B" w:rsidP="0021260C">
      <w:pPr>
        <w:pStyle w:val="Profesin"/>
        <w:spacing w:before="120"/>
        <w:outlineLvl w:val="0"/>
        <w:rPr>
          <w:sz w:val="24"/>
          <w:szCs w:val="24"/>
          <w:lang w:val="es-MX"/>
        </w:rPr>
      </w:pPr>
      <w:r w:rsidRPr="004C60BE">
        <w:rPr>
          <w:sz w:val="24"/>
          <w:szCs w:val="24"/>
          <w:lang w:val="es-MX"/>
        </w:rPr>
        <w:t>INDICADOR GLOBAL DE LA ACTIVIDAD ECONÓMICA</w:t>
      </w:r>
      <w:r w:rsidR="00524FC0" w:rsidRPr="004C60BE">
        <w:rPr>
          <w:sz w:val="24"/>
          <w:szCs w:val="24"/>
          <w:vertAlign w:val="superscript"/>
        </w:rPr>
        <w:footnoteReference w:id="4"/>
      </w:r>
    </w:p>
    <w:p w14:paraId="28FACCD3" w14:textId="09AEA29D" w:rsidR="0082401B" w:rsidRPr="004C60BE" w:rsidRDefault="0082401B" w:rsidP="0082401B">
      <w:pPr>
        <w:jc w:val="center"/>
        <w:rPr>
          <w:b/>
          <w:spacing w:val="25"/>
          <w:lang w:val="es-MX"/>
        </w:rPr>
      </w:pPr>
      <w:r w:rsidRPr="004C60BE">
        <w:rPr>
          <w:b/>
          <w:spacing w:val="25"/>
          <w:lang w:val="es-MX"/>
        </w:rPr>
        <w:t xml:space="preserve">DURANTE </w:t>
      </w:r>
      <w:r w:rsidR="00CA2CEB" w:rsidRPr="004C60BE">
        <w:rPr>
          <w:b/>
          <w:spacing w:val="25"/>
          <w:lang w:val="es-MX"/>
        </w:rPr>
        <w:t>JU</w:t>
      </w:r>
      <w:r w:rsidR="004158AC" w:rsidRPr="004C60BE">
        <w:rPr>
          <w:b/>
          <w:spacing w:val="25"/>
          <w:lang w:val="es-MX"/>
        </w:rPr>
        <w:t>L</w:t>
      </w:r>
      <w:r w:rsidR="00CA2CEB" w:rsidRPr="004C60BE">
        <w:rPr>
          <w:b/>
          <w:spacing w:val="25"/>
          <w:lang w:val="es-MX"/>
        </w:rPr>
        <w:t>I</w:t>
      </w:r>
      <w:r w:rsidR="000A4EB4" w:rsidRPr="004C60BE">
        <w:rPr>
          <w:b/>
          <w:spacing w:val="25"/>
          <w:lang w:val="es-MX"/>
        </w:rPr>
        <w:t>O</w:t>
      </w:r>
      <w:r w:rsidR="00662155" w:rsidRPr="004C60BE">
        <w:rPr>
          <w:b/>
          <w:spacing w:val="25"/>
          <w:lang w:val="es-MX"/>
        </w:rPr>
        <w:t xml:space="preserve"> DE 20</w:t>
      </w:r>
      <w:r w:rsidR="00235F56" w:rsidRPr="004C60BE">
        <w:rPr>
          <w:b/>
          <w:spacing w:val="25"/>
          <w:lang w:val="es-MX"/>
        </w:rPr>
        <w:t>2</w:t>
      </w:r>
      <w:r w:rsidR="00C273F1" w:rsidRPr="004C60BE">
        <w:rPr>
          <w:b/>
          <w:spacing w:val="25"/>
          <w:lang w:val="es-MX"/>
        </w:rPr>
        <w:t>1</w:t>
      </w:r>
    </w:p>
    <w:p w14:paraId="389084C2" w14:textId="77777777" w:rsidR="0082401B" w:rsidRPr="004C60BE" w:rsidRDefault="0082401B" w:rsidP="0082401B">
      <w:pPr>
        <w:jc w:val="center"/>
        <w:rPr>
          <w:b/>
          <w:spacing w:val="25"/>
          <w:lang w:val="es-MX"/>
        </w:rPr>
      </w:pPr>
      <w:r w:rsidRPr="004C60BE">
        <w:rPr>
          <w:b/>
          <w:spacing w:val="25"/>
          <w:lang w:val="es-MX"/>
        </w:rPr>
        <w:t>(</w:t>
      </w:r>
      <w:r w:rsidRPr="004C60BE">
        <w:rPr>
          <w:b/>
          <w:i/>
          <w:spacing w:val="25"/>
          <w:lang w:val="es-MX"/>
        </w:rPr>
        <w:t>Cifras desestacionalizadas</w:t>
      </w:r>
      <w:r w:rsidRPr="004C60BE">
        <w:rPr>
          <w:b/>
          <w:spacing w:val="25"/>
          <w:lang w:val="es-MX"/>
        </w:rPr>
        <w:t>)</w:t>
      </w:r>
    </w:p>
    <w:p w14:paraId="45593C7A" w14:textId="0BE06219" w:rsidR="00C87720" w:rsidRPr="0021260C" w:rsidRDefault="00C87720">
      <w:pPr>
        <w:jc w:val="left"/>
        <w:rPr>
          <w:sz w:val="16"/>
          <w:szCs w:val="16"/>
          <w:lang w:val="es-MX"/>
        </w:rPr>
      </w:pPr>
    </w:p>
    <w:p w14:paraId="461029C7" w14:textId="01BED32B" w:rsidR="00635009" w:rsidRDefault="00635009" w:rsidP="0021260C">
      <w:pPr>
        <w:spacing w:before="100" w:beforeAutospacing="1"/>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mostró un</w:t>
      </w:r>
      <w:r w:rsidR="00BE1BB2">
        <w:rPr>
          <w:lang w:val="es-MX"/>
        </w:rPr>
        <w:t xml:space="preserve"> </w:t>
      </w:r>
      <w:r w:rsidR="00D100CC">
        <w:rPr>
          <w:lang w:val="es-MX"/>
        </w:rPr>
        <w:t>aumento</w:t>
      </w:r>
      <w:r w:rsidR="00332B03">
        <w:rPr>
          <w:lang w:val="es-MX"/>
        </w:rPr>
        <w:t xml:space="preserve"> de</w:t>
      </w:r>
      <w:r w:rsidR="00D04E66">
        <w:rPr>
          <w:lang w:val="es-MX"/>
        </w:rPr>
        <w:t xml:space="preserve"> </w:t>
      </w:r>
      <w:r w:rsidR="00D100CC">
        <w:rPr>
          <w:lang w:val="es-MX"/>
        </w:rPr>
        <w:t>0.5</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CA2CEB">
        <w:rPr>
          <w:lang w:val="es-MX"/>
        </w:rPr>
        <w:t>s</w:t>
      </w:r>
      <w:r w:rsidR="004158AC">
        <w:rPr>
          <w:lang w:val="es-MX"/>
        </w:rPr>
        <w:t>éptim</w:t>
      </w:r>
      <w:r w:rsidR="00B96E7A">
        <w:rPr>
          <w:lang w:val="es-MX"/>
        </w:rPr>
        <w:t>o</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26BA1639" w:rsidR="00635009" w:rsidRPr="003B6473" w:rsidRDefault="00635009" w:rsidP="00635009">
      <w:pPr>
        <w:keepNext/>
        <w:keepLines/>
        <w:widowControl w:val="0"/>
        <w:spacing w:before="600"/>
        <w:jc w:val="center"/>
      </w:pPr>
      <w:r w:rsidRPr="00B90B81">
        <w:rPr>
          <w:color w:val="000000"/>
          <w:sz w:val="20"/>
          <w:lang w:val="es-MX"/>
        </w:rPr>
        <w:t>Gráfica 1</w:t>
      </w:r>
    </w:p>
    <w:p w14:paraId="596B3BDD" w14:textId="07BBD8A7"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w:t>
      </w:r>
      <w:r w:rsidR="00B96E7A">
        <w:rPr>
          <w:rFonts w:ascii="Arial" w:hAnsi="Arial" w:cs="Arial"/>
          <w:b/>
          <w:smallCaps/>
          <w:color w:val="auto"/>
          <w:sz w:val="22"/>
        </w:rPr>
        <w:t xml:space="preserve"> </w:t>
      </w:r>
      <w:r w:rsidR="00CA2CEB">
        <w:rPr>
          <w:rFonts w:ascii="Arial" w:hAnsi="Arial" w:cs="Arial"/>
          <w:b/>
          <w:smallCaps/>
          <w:color w:val="auto"/>
          <w:sz w:val="22"/>
        </w:rPr>
        <w:t>ju</w:t>
      </w:r>
      <w:r w:rsidR="004158AC">
        <w:rPr>
          <w:rFonts w:ascii="Arial" w:hAnsi="Arial" w:cs="Arial"/>
          <w:b/>
          <w:smallCaps/>
          <w:color w:val="auto"/>
          <w:sz w:val="22"/>
        </w:rPr>
        <w:t>l</w:t>
      </w:r>
      <w:r w:rsidR="00CA2CEB">
        <w:rPr>
          <w:rFonts w:ascii="Arial" w:hAnsi="Arial" w:cs="Arial"/>
          <w:b/>
          <w:smallCaps/>
          <w:color w:val="auto"/>
          <w:sz w:val="22"/>
        </w:rPr>
        <w:t>i</w:t>
      </w:r>
      <w:r w:rsidR="000A4EB4">
        <w:rPr>
          <w:rFonts w:ascii="Arial" w:hAnsi="Arial" w:cs="Arial"/>
          <w:b/>
          <w:smallCaps/>
          <w:color w:val="auto"/>
          <w:sz w:val="22"/>
        </w:rPr>
        <w:t>o</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47DD1800" w:rsidR="00635009" w:rsidRPr="000B1975" w:rsidRDefault="00C47005"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07EE88DA" wp14:editId="33095C01">
            <wp:extent cx="4680000" cy="2736000"/>
            <wp:effectExtent l="0" t="0" r="25400" b="2667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28F350E3" w14:textId="77777777" w:rsidR="00D100CC" w:rsidRPr="0039236B" w:rsidRDefault="00D100CC" w:rsidP="0021260C">
      <w:pPr>
        <w:spacing w:before="240"/>
        <w:rPr>
          <w:lang w:val="es-MX"/>
        </w:rPr>
      </w:pPr>
      <w:r w:rsidRPr="0039236B">
        <w:rPr>
          <w:lang w:val="es-MX"/>
        </w:rPr>
        <w:t>Por grandes grupos de actividades, las Primarias ascendieron 1.9%, las Secundarias crecieron 1.1% y las Terciarias lo hicieron en 0.3% durante julio de 2021 frente al mes precedente.</w:t>
      </w:r>
    </w:p>
    <w:p w14:paraId="625C8AF2" w14:textId="091ECEFD" w:rsidR="00DD118E" w:rsidRPr="00D100CC" w:rsidRDefault="00DD118E" w:rsidP="0039236B">
      <w:pPr>
        <w:rPr>
          <w:lang w:val="es-MX"/>
        </w:rPr>
      </w:pPr>
    </w:p>
    <w:p w14:paraId="7DF77122" w14:textId="567A5019" w:rsidR="007E2646" w:rsidRDefault="007E2646">
      <w:pPr>
        <w:jc w:val="left"/>
        <w:rPr>
          <w:color w:val="000000"/>
          <w:sz w:val="20"/>
          <w:lang w:val="es-MX"/>
        </w:rPr>
      </w:pPr>
      <w:r>
        <w:rPr>
          <w:color w:val="000000"/>
          <w:sz w:val="20"/>
          <w:lang w:val="es-MX"/>
        </w:rPr>
        <w:br w:type="page"/>
      </w:r>
    </w:p>
    <w:p w14:paraId="21DA6466" w14:textId="7CEE7071" w:rsidR="00635009" w:rsidRPr="00022D8E" w:rsidRDefault="00635009" w:rsidP="00635009">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616D061A"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B96E7A">
        <w:rPr>
          <w:b/>
          <w:smallCaps/>
          <w:color w:val="auto"/>
          <w:sz w:val="22"/>
          <w:szCs w:val="22"/>
        </w:rPr>
        <w:t xml:space="preserve"> </w:t>
      </w:r>
      <w:r w:rsidR="00CA2CEB">
        <w:rPr>
          <w:b/>
          <w:smallCaps/>
          <w:color w:val="auto"/>
          <w:sz w:val="22"/>
          <w:szCs w:val="22"/>
        </w:rPr>
        <w:t>ju</w:t>
      </w:r>
      <w:r w:rsidR="004158AC">
        <w:rPr>
          <w:b/>
          <w:smallCaps/>
          <w:color w:val="auto"/>
          <w:sz w:val="22"/>
          <w:szCs w:val="22"/>
        </w:rPr>
        <w:t>l</w:t>
      </w:r>
      <w:r w:rsidR="00CA2CEB">
        <w:rPr>
          <w:b/>
          <w:smallCaps/>
          <w:color w:val="auto"/>
          <w:sz w:val="22"/>
          <w:szCs w:val="22"/>
        </w:rPr>
        <w:t>i</w:t>
      </w:r>
      <w:r w:rsidR="000A4EB4">
        <w:rPr>
          <w:b/>
          <w:smallCaps/>
          <w:color w:val="auto"/>
          <w:sz w:val="22"/>
          <w:szCs w:val="22"/>
        </w:rPr>
        <w:t>o</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13F2003C" w:rsidR="00635009" w:rsidRPr="000509AF" w:rsidRDefault="00C47005" w:rsidP="00635009">
      <w:pPr>
        <w:pStyle w:val="p0"/>
        <w:spacing w:before="0"/>
        <w:ind w:left="992" w:right="1021"/>
        <w:jc w:val="center"/>
        <w:rPr>
          <w:color w:val="auto"/>
        </w:rPr>
      </w:pPr>
      <w:r>
        <w:rPr>
          <w:noProof/>
        </w:rPr>
        <w:drawing>
          <wp:inline distT="0" distB="0" distL="0" distR="0" wp14:anchorId="45FFB1DF" wp14:editId="7F248984">
            <wp:extent cx="4680000" cy="2736000"/>
            <wp:effectExtent l="0" t="0" r="25400" b="26670"/>
            <wp:docPr id="10" name="Gráfico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646EE598"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0A4EB4">
        <w:rPr>
          <w:b/>
          <w:smallCaps/>
          <w:color w:val="auto"/>
          <w:sz w:val="22"/>
          <w:szCs w:val="22"/>
        </w:rPr>
        <w:t xml:space="preserve"> </w:t>
      </w:r>
      <w:r w:rsidR="00CA2CEB">
        <w:rPr>
          <w:b/>
          <w:smallCaps/>
          <w:color w:val="auto"/>
          <w:sz w:val="22"/>
          <w:szCs w:val="22"/>
        </w:rPr>
        <w:t>ju</w:t>
      </w:r>
      <w:r w:rsidR="004158AC">
        <w:rPr>
          <w:b/>
          <w:smallCaps/>
          <w:color w:val="auto"/>
          <w:sz w:val="22"/>
          <w:szCs w:val="22"/>
        </w:rPr>
        <w:t>l</w:t>
      </w:r>
      <w:r w:rsidR="00CA2CEB">
        <w:rPr>
          <w:b/>
          <w:smallCaps/>
          <w:color w:val="auto"/>
          <w:sz w:val="22"/>
          <w:szCs w:val="22"/>
        </w:rPr>
        <w:t>i</w:t>
      </w:r>
      <w:r w:rsidR="000A4EB4">
        <w:rPr>
          <w:b/>
          <w:smallCaps/>
          <w:color w:val="auto"/>
          <w:sz w:val="22"/>
          <w:szCs w:val="22"/>
        </w:rPr>
        <w:t>o</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413B6740"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C47005">
        <w:rPr>
          <w:noProof/>
        </w:rPr>
        <w:drawing>
          <wp:inline distT="0" distB="0" distL="0" distR="0" wp14:anchorId="1EF4C71D" wp14:editId="31D00B3F">
            <wp:extent cx="4680000" cy="2736000"/>
            <wp:effectExtent l="0" t="0" r="25400" b="26670"/>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565137E3"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EA44BC">
        <w:rPr>
          <w:b/>
          <w:smallCaps/>
          <w:color w:val="auto"/>
          <w:sz w:val="22"/>
          <w:szCs w:val="22"/>
        </w:rPr>
        <w:t xml:space="preserve"> </w:t>
      </w:r>
      <w:r w:rsidR="00CA2CEB">
        <w:rPr>
          <w:b/>
          <w:smallCaps/>
          <w:color w:val="auto"/>
          <w:sz w:val="22"/>
          <w:szCs w:val="22"/>
        </w:rPr>
        <w:t>ju</w:t>
      </w:r>
      <w:r w:rsidR="004158AC">
        <w:rPr>
          <w:b/>
          <w:smallCaps/>
          <w:color w:val="auto"/>
          <w:sz w:val="22"/>
          <w:szCs w:val="22"/>
        </w:rPr>
        <w:t>l</w:t>
      </w:r>
      <w:r w:rsidR="00CA2CEB">
        <w:rPr>
          <w:b/>
          <w:smallCaps/>
          <w:color w:val="auto"/>
          <w:sz w:val="22"/>
          <w:szCs w:val="22"/>
        </w:rPr>
        <w:t>i</w:t>
      </w:r>
      <w:r w:rsidR="000A4EB4">
        <w:rPr>
          <w:b/>
          <w:smallCaps/>
          <w:color w:val="auto"/>
          <w:sz w:val="22"/>
          <w:szCs w:val="22"/>
        </w:rPr>
        <w:t>o</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0368AF7D" w:rsidR="00635009" w:rsidRPr="00D079E1" w:rsidRDefault="00C47005" w:rsidP="00635009">
      <w:pPr>
        <w:pStyle w:val="p02"/>
        <w:keepLines w:val="0"/>
        <w:widowControl w:val="0"/>
        <w:spacing w:before="0"/>
        <w:jc w:val="center"/>
        <w:rPr>
          <w:color w:val="auto"/>
          <w:sz w:val="16"/>
          <w:szCs w:val="16"/>
          <w:lang w:val="es-MX"/>
        </w:rPr>
      </w:pPr>
      <w:r>
        <w:rPr>
          <w:noProof/>
        </w:rPr>
        <w:drawing>
          <wp:inline distT="0" distB="0" distL="0" distR="0" wp14:anchorId="622102B5" wp14:editId="3B67E91D">
            <wp:extent cx="4680000" cy="2736000"/>
            <wp:effectExtent l="0" t="0" r="25400" b="26670"/>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D7088A">
      <w:pPr>
        <w:spacing w:before="120" w:after="120"/>
        <w:rPr>
          <w:b/>
          <w:i/>
          <w:lang w:val="es-MX"/>
        </w:rPr>
      </w:pPr>
      <w:r>
        <w:rPr>
          <w:b/>
          <w:i/>
          <w:lang w:val="es-MX"/>
        </w:rPr>
        <w:t>Cifras</w:t>
      </w:r>
      <w:r w:rsidRPr="001A449E">
        <w:rPr>
          <w:b/>
          <w:i/>
          <w:lang w:val="es-MX"/>
        </w:rPr>
        <w:t xml:space="preserve"> Originales</w:t>
      </w:r>
    </w:p>
    <w:p w14:paraId="345DCCD2" w14:textId="77777777" w:rsidR="00635009" w:rsidRDefault="00635009" w:rsidP="00D7088A">
      <w:pPr>
        <w:tabs>
          <w:tab w:val="num" w:pos="1843"/>
          <w:tab w:val="left" w:pos="7939"/>
        </w:tabs>
        <w:spacing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C33D85">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362FE2F7"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CA2CEB">
        <w:rPr>
          <w:rFonts w:ascii="Arial" w:hAnsi="Arial" w:cs="Arial"/>
          <w:b/>
          <w:smallCaps/>
          <w:color w:val="auto"/>
          <w:sz w:val="22"/>
          <w:szCs w:val="22"/>
        </w:rPr>
        <w:t>ju</w:t>
      </w:r>
      <w:r w:rsidR="004158AC">
        <w:rPr>
          <w:rFonts w:ascii="Arial" w:hAnsi="Arial" w:cs="Arial"/>
          <w:b/>
          <w:smallCaps/>
          <w:color w:val="auto"/>
          <w:sz w:val="22"/>
          <w:szCs w:val="22"/>
        </w:rPr>
        <w:t>l</w:t>
      </w:r>
      <w:r w:rsidR="00CA2CEB">
        <w:rPr>
          <w:rFonts w:ascii="Arial" w:hAnsi="Arial" w:cs="Arial"/>
          <w:b/>
          <w:smallCaps/>
          <w:color w:val="auto"/>
          <w:sz w:val="22"/>
          <w:szCs w:val="22"/>
        </w:rPr>
        <w:t>i</w:t>
      </w:r>
      <w:r w:rsidR="000A4EB4">
        <w:rPr>
          <w:rFonts w:ascii="Arial" w:hAnsi="Arial" w:cs="Arial"/>
          <w:b/>
          <w:smallCaps/>
          <w:color w:val="auto"/>
          <w:sz w:val="22"/>
          <w:szCs w:val="22"/>
        </w:rPr>
        <w:t>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406E1C41"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09771EEE" w14:textId="58041A97" w:rsidR="00635009" w:rsidRPr="000509AF" w:rsidRDefault="00A10FBD" w:rsidP="00635009">
      <w:pPr>
        <w:pStyle w:val="p0"/>
        <w:spacing w:before="0"/>
        <w:jc w:val="center"/>
        <w:rPr>
          <w:color w:val="auto"/>
        </w:rPr>
      </w:pPr>
      <w:r>
        <w:rPr>
          <w:noProof/>
        </w:rPr>
        <w:drawing>
          <wp:inline distT="0" distB="0" distL="0" distR="0" wp14:anchorId="307D0785" wp14:editId="2B95878D">
            <wp:extent cx="4644000" cy="2376000"/>
            <wp:effectExtent l="0" t="0" r="23495" b="2476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211BDA48" w:rsidR="00635009" w:rsidRDefault="00635009" w:rsidP="00660D2B">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6CC9CE03" w14:textId="244859DF"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0A5308">
        <w:rPr>
          <w:rFonts w:ascii="Arial" w:hAnsi="Arial" w:cs="Arial"/>
          <w:color w:val="auto"/>
          <w:sz w:val="16"/>
          <w:lang w:val="es-MX"/>
        </w:rPr>
        <w:t xml:space="preserve">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41B78078" w:rsidR="00635009" w:rsidRDefault="00743FF0" w:rsidP="00C45680">
      <w:pPr>
        <w:jc w:val="left"/>
        <w:rPr>
          <w:b/>
          <w:i/>
          <w:lang w:val="es-MX"/>
        </w:rPr>
      </w:pPr>
      <w:bookmarkStart w:id="1" w:name="_Hlk40107795"/>
      <w:r>
        <w:rPr>
          <w:b/>
          <w:i/>
          <w:lang w:val="es-MX"/>
        </w:rPr>
        <w:br w:type="page"/>
      </w:r>
      <w:r w:rsidR="00635009" w:rsidRPr="005D6B95">
        <w:rPr>
          <w:b/>
          <w:i/>
          <w:lang w:val="es-MX"/>
        </w:rPr>
        <w:lastRenderedPageBreak/>
        <w:t>Nota al usuario</w:t>
      </w:r>
    </w:p>
    <w:bookmarkEnd w:id="1"/>
    <w:p w14:paraId="6C4E491A" w14:textId="07230743" w:rsidR="008D0218" w:rsidRDefault="008D0218" w:rsidP="00332B03">
      <w:pPr>
        <w:spacing w:before="120"/>
      </w:pPr>
      <w:r w:rsidRPr="00A87BA1">
        <w:t xml:space="preserve">La Tasa de No Respuesta en la captación de las Encuestas Económicas que se consideraron para la integración del </w:t>
      </w:r>
      <w:r w:rsidR="0037272C">
        <w:t xml:space="preserve">Indicador Global </w:t>
      </w:r>
      <w:r w:rsidR="00DA74E6">
        <w:t>de</w:t>
      </w:r>
      <w:r w:rsidR="0037272C">
        <w:t xml:space="preserve"> la Actividad Económica (</w:t>
      </w:r>
      <w:r w:rsidRPr="00A87BA1">
        <w:t>IGAE</w:t>
      </w:r>
      <w:r w:rsidR="0037272C">
        <w:t>)</w:t>
      </w:r>
      <w:r w:rsidRPr="00A87BA1">
        <w:t xml:space="preserv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rsidR="00CA2CEB">
        <w:t>ju</w:t>
      </w:r>
      <w:r w:rsidR="0037272C">
        <w:t>l</w:t>
      </w:r>
      <w:r w:rsidR="00CA2CEB">
        <w:t>i</w:t>
      </w:r>
      <w:r>
        <w:t xml:space="preserve">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rsidR="00743FF0">
        <w:t xml:space="preserve"> (EIMM)</w:t>
      </w:r>
      <w:r w:rsidR="0037272C">
        <w:t>,</w:t>
      </w:r>
      <w:r w:rsidRPr="00061421">
        <w:t xml:space="preserve"> los </w:t>
      </w:r>
      <w:r w:rsidR="00CA4C39">
        <w:t>r</w:t>
      </w:r>
      <w:r w:rsidRPr="00061421">
        <w:t xml:space="preserve">egistros </w:t>
      </w:r>
      <w:r w:rsidR="00CA4C39">
        <w:t>a</w:t>
      </w:r>
      <w:r w:rsidRPr="00061421">
        <w:t xml:space="preserve">dministrativos </w:t>
      </w:r>
      <w:r w:rsidR="00A42704">
        <w:t xml:space="preserve">y los datos primarios </w:t>
      </w:r>
      <w:r w:rsidRPr="00061421">
        <w:t>que difunde el Instituto</w:t>
      </w:r>
      <w:r>
        <w:t>.</w:t>
      </w:r>
    </w:p>
    <w:p w14:paraId="1277646E" w14:textId="6C8DB28D" w:rsidR="008D0218" w:rsidRPr="00A87BA1" w:rsidRDefault="008D0218" w:rsidP="008D0218">
      <w:pPr>
        <w:pStyle w:val="Default"/>
        <w:spacing w:before="240" w:after="240"/>
        <w:jc w:val="both"/>
        <w:rPr>
          <w:color w:val="auto"/>
        </w:rPr>
      </w:pPr>
      <w:r w:rsidRPr="00A87BA1">
        <w:rPr>
          <w:color w:val="auto"/>
        </w:rPr>
        <w:t>Para las actividades agropecuarias, de servicios financieros y del gobierno se complementa</w:t>
      </w:r>
      <w:r w:rsidR="006D19FF">
        <w:rPr>
          <w:color w:val="auto"/>
        </w:rPr>
        <w:t>ro</w:t>
      </w:r>
      <w:r w:rsidRPr="00A87BA1">
        <w:rPr>
          <w:color w:val="auto"/>
        </w:rPr>
        <w:t>n con otros registros administrativos provenientes de las Unidades del Estado que se recibieron oportunamente vía correo electrónico y captación por Internet,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4DA55726" w14:textId="03A5021A" w:rsidR="00635009" w:rsidRDefault="00C7265A" w:rsidP="00332B03">
      <w:pPr>
        <w:spacing w:before="120"/>
      </w:pPr>
      <w:r>
        <w:t>P</w:t>
      </w:r>
      <w:r w:rsidR="00635009" w:rsidRPr="00117302">
        <w:t>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635009" w:rsidRPr="00546BD2">
        <w:rPr>
          <w:i/>
          <w:iCs/>
        </w:rPr>
        <w:t>outliers</w:t>
      </w:r>
      <w:proofErr w:type="spellEnd"/>
      <w:r w:rsidR="00635009" w:rsidRPr="00117302">
        <w:t>) en los modelos de ajuste estacional para los meses de la contingencia. Lo anterior con el objetivo de que los grandes cambios en las cifras originales no influyan de manera desproporcionada en los factores estacionales utilizados.</w:t>
      </w:r>
    </w:p>
    <w:p w14:paraId="5B0D1DCD" w14:textId="6EFA251F" w:rsidR="00635009" w:rsidRPr="00390E26" w:rsidRDefault="00635009" w:rsidP="00865300">
      <w:pPr>
        <w:spacing w:before="120"/>
        <w:rPr>
          <w:b/>
          <w:bCs/>
          <w:lang w:val="es-MX"/>
        </w:rPr>
      </w:pPr>
      <w:r w:rsidRPr="00EF7102">
        <w:rPr>
          <w:b/>
          <w:i/>
          <w:lang w:val="es-MX"/>
        </w:rPr>
        <w:t>Nota metodológica</w:t>
      </w:r>
    </w:p>
    <w:p w14:paraId="213D28E0" w14:textId="77777777" w:rsidR="00635009" w:rsidRPr="00DE1840" w:rsidRDefault="00635009" w:rsidP="00C73CC4">
      <w:pPr>
        <w:pStyle w:val="Textoindependiente"/>
        <w:spacing w:before="180"/>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C73CC4">
      <w:pPr>
        <w:pStyle w:val="p0"/>
        <w:keepLines w:val="0"/>
        <w:widowControl/>
        <w:spacing w:before="180"/>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C73CC4">
      <w:pPr>
        <w:pStyle w:val="Textoindependiente"/>
        <w:spacing w:before="180"/>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99F8DD" w14:textId="7E9C6BEE" w:rsidR="00635009" w:rsidRPr="00DE1840" w:rsidRDefault="00546BD2" w:rsidP="00C73CC4">
      <w:pPr>
        <w:pStyle w:val="p0"/>
        <w:keepLines w:val="0"/>
        <w:widowControl/>
        <w:spacing w:before="180"/>
        <w:ind w:right="51"/>
        <w:rPr>
          <w:rFonts w:ascii="Arial" w:hAnsi="Arial"/>
          <w:color w:val="auto"/>
        </w:rPr>
      </w:pPr>
      <w:r w:rsidRPr="00546BD2">
        <w:rPr>
          <w:rFonts w:ascii="Arial" w:hAnsi="Arial"/>
          <w:snapToGrid/>
          <w:color w:val="auto"/>
          <w:lang w:val="es-MX"/>
        </w:rPr>
        <w:t>Es importante destacar que la mayoría de las series económicas se ven afectadas por factores estacionales.</w:t>
      </w:r>
      <w:r w:rsidR="00635009" w:rsidRPr="00546BD2">
        <w:rPr>
          <w:rFonts w:ascii="Arial" w:hAnsi="Arial"/>
          <w:snapToGrid/>
          <w:color w:val="auto"/>
          <w:lang w:val="es-MX"/>
        </w:rPr>
        <w:t xml:space="preserve"> Éstos</w:t>
      </w:r>
      <w:r w:rsidR="00635009"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w:t>
      </w:r>
      <w:r w:rsidR="00495E4C" w:rsidRPr="00DE1840">
        <w:rPr>
          <w:rFonts w:ascii="Arial" w:hAnsi="Arial"/>
          <w:color w:val="auto"/>
        </w:rPr>
        <w:t>estacionales,</w:t>
      </w:r>
      <w:r w:rsidR="00635009" w:rsidRPr="00DE1840">
        <w:rPr>
          <w:rFonts w:ascii="Arial" w:hAnsi="Arial"/>
          <w:color w:val="auto"/>
        </w:rPr>
        <w:t xml:space="preserve"> </w:t>
      </w:r>
      <w:r w:rsidR="00332B03">
        <w:rPr>
          <w:rFonts w:ascii="Arial" w:hAnsi="Arial"/>
          <w:color w:val="auto"/>
        </w:rPr>
        <w:t xml:space="preserve">por </w:t>
      </w:r>
      <w:r w:rsidR="00635009" w:rsidRPr="00DE1840">
        <w:rPr>
          <w:rFonts w:ascii="Arial" w:hAnsi="Arial"/>
          <w:color w:val="auto"/>
        </w:rPr>
        <w:t>ejemplo, la elevada producción de juguetes en los meses previos a la Navidad provocada por la expectativa de mayores ventas en diciembre.</w:t>
      </w:r>
    </w:p>
    <w:p w14:paraId="6EA741B2" w14:textId="58E82F82" w:rsidR="00546BD2" w:rsidRDefault="00546BD2" w:rsidP="00332B03">
      <w:pPr>
        <w:spacing w:before="100" w:beforeAutospacing="1"/>
        <w:outlineLvl w:val="3"/>
      </w:pPr>
      <w:r w:rsidRPr="00434EAE">
        <w:lastRenderedPageBreak/>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1AED10E0" w14:textId="21904945" w:rsidR="00635009" w:rsidRPr="00DE1840" w:rsidRDefault="00546BD2" w:rsidP="00546BD2">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AD2C02" w14:textId="77777777" w:rsidR="00635009" w:rsidRPr="00DE1840" w:rsidRDefault="00635009" w:rsidP="00F336C3">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757DF8E7" w14:textId="77777777" w:rsidR="00635009" w:rsidRPr="00EA2F02" w:rsidRDefault="00557B9C" w:rsidP="00635009">
      <w:pPr>
        <w:widowControl w:val="0"/>
        <w:spacing w:before="240"/>
      </w:pPr>
      <w:hyperlink r:id="rId27" w:history="1">
        <w:r w:rsidR="00635009" w:rsidRPr="007E551F">
          <w:rPr>
            <w:rStyle w:val="Hipervnculo"/>
            <w:szCs w:val="20"/>
            <w:lang w:val="es-MX" w:eastAsia="en-US"/>
          </w:rPr>
          <w:t>https://www.inegi.org.mx/app/biblioteca/ficha.html?upc=702825099060</w:t>
        </w:r>
      </w:hyperlink>
    </w:p>
    <w:p w14:paraId="7CC2AE40" w14:textId="77777777" w:rsidR="00635009" w:rsidRPr="00DE1840" w:rsidRDefault="00635009" w:rsidP="00F336C3">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A5E9FDA" w14:textId="77777777" w:rsidR="00673D8C" w:rsidRDefault="00635009" w:rsidP="00673D8C">
      <w:pPr>
        <w:pStyle w:val="Textoindependiente"/>
        <w:ind w:right="51"/>
        <w:rPr>
          <w:color w:val="auto"/>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6B021168" w14:textId="4F42D991" w:rsidR="00495E4C" w:rsidRPr="009A6477" w:rsidRDefault="00635009" w:rsidP="009A6477">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4AD82B8F" w14:textId="4962AB3B" w:rsidR="00635009" w:rsidRPr="00DE1840" w:rsidRDefault="00635009" w:rsidP="00F336C3">
      <w:pPr>
        <w:pStyle w:val="Textoindependiente"/>
        <w:spacing w:before="120"/>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40AF765D" w:rsidR="00635009" w:rsidRPr="00DE1840" w:rsidRDefault="00635009" w:rsidP="00495E4C">
      <w:pPr>
        <w:pStyle w:val="Textoindependiente"/>
        <w:ind w:right="50"/>
        <w:rPr>
          <w:color w:val="auto"/>
          <w:lang w:val="es-MX"/>
        </w:rPr>
      </w:pPr>
      <w:r w:rsidRPr="00DE1840">
        <w:rPr>
          <w:color w:val="auto"/>
          <w:lang w:val="es-MX"/>
        </w:rPr>
        <w:lastRenderedPageBreak/>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495E4C">
      <w:pPr>
        <w:pStyle w:val="texto0"/>
        <w:spacing w:before="36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8FBD" w14:textId="77777777" w:rsidR="00557B9C" w:rsidRDefault="00557B9C">
      <w:r>
        <w:separator/>
      </w:r>
    </w:p>
  </w:endnote>
  <w:endnote w:type="continuationSeparator" w:id="0">
    <w:p w14:paraId="44F6B258" w14:textId="77777777" w:rsidR="00557B9C" w:rsidRDefault="0055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8D11" w14:textId="77777777" w:rsidR="00BF45E6" w:rsidRPr="00B824C9" w:rsidRDefault="00BF45E6"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CC647A" w:rsidRDefault="003B5757" w:rsidP="003076C4">
    <w:pPr>
      <w:pStyle w:val="Piedepgina"/>
      <w:jc w:val="center"/>
      <w:rPr>
        <w:b/>
        <w:color w:val="002060"/>
        <w:sz w:val="20"/>
        <w:szCs w:val="20"/>
        <w:lang w:val="es-MX"/>
      </w:rPr>
    </w:pPr>
    <w:r w:rsidRPr="00CC647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4E97" w14:textId="77777777" w:rsidR="00557B9C" w:rsidRDefault="00557B9C">
      <w:r>
        <w:separator/>
      </w:r>
    </w:p>
  </w:footnote>
  <w:footnote w:type="continuationSeparator" w:id="0">
    <w:p w14:paraId="1F00EF4D" w14:textId="77777777" w:rsidR="00557B9C" w:rsidRDefault="00557B9C">
      <w:r>
        <w:continuationSeparator/>
      </w:r>
    </w:p>
  </w:footnote>
  <w:footnote w:id="1">
    <w:p w14:paraId="1F271217" w14:textId="77777777" w:rsidR="00BF45E6" w:rsidRPr="00C07AE5" w:rsidRDefault="00BF45E6" w:rsidP="00BF45E6">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38EDB826" w14:textId="77777777" w:rsidR="00BF45E6" w:rsidRDefault="00BF45E6" w:rsidP="00BF45E6">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12BE61B3" w14:textId="77777777" w:rsidR="00BF45E6" w:rsidRDefault="00BF45E6" w:rsidP="00BF45E6">
      <w:pPr>
        <w:pStyle w:val="Textonotapie"/>
        <w:ind w:left="142" w:hanging="142"/>
        <w:rPr>
          <w:sz w:val="16"/>
          <w:szCs w:val="16"/>
        </w:rPr>
      </w:pPr>
    </w:p>
    <w:p w14:paraId="2CB6C5FA" w14:textId="77777777" w:rsidR="00BF45E6" w:rsidRPr="00C07AE5" w:rsidRDefault="00BF45E6" w:rsidP="00BF45E6">
      <w:pPr>
        <w:pStyle w:val="Textonotapie"/>
        <w:ind w:left="142" w:hanging="142"/>
        <w:rPr>
          <w:sz w:val="16"/>
          <w:szCs w:val="16"/>
        </w:rPr>
      </w:pPr>
    </w:p>
  </w:footnote>
  <w:footnote w:id="3">
    <w:p w14:paraId="7AD5D944" w14:textId="77777777" w:rsidR="00BF45E6" w:rsidRDefault="00BF45E6" w:rsidP="00BF45E6">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78FCF08C" w14:textId="77777777" w:rsidR="00BF45E6" w:rsidRPr="00C07AE5" w:rsidRDefault="00BF45E6" w:rsidP="00BF45E6">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2BF7" w14:textId="7B644F59" w:rsidR="00BF45E6" w:rsidRPr="00265B8C" w:rsidRDefault="00BF45E6" w:rsidP="00AA0646">
    <w:pPr>
      <w:pStyle w:val="Encabezado"/>
      <w:framePr w:w="5499" w:hSpace="141" w:wrap="auto" w:vAnchor="text" w:hAnchor="page" w:x="5607" w:y="34"/>
      <w:ind w:left="567" w:hanging="11"/>
      <w:jc w:val="right"/>
      <w:rPr>
        <w:b/>
        <w:color w:val="002060"/>
      </w:rPr>
    </w:pPr>
    <w:r w:rsidRPr="00265B8C">
      <w:rPr>
        <w:b/>
        <w:color w:val="002060"/>
      </w:rPr>
      <w:t xml:space="preserve">COMUNICADO DE PRENSA NÚM. </w:t>
    </w:r>
    <w:r w:rsidR="00AA0646">
      <w:rPr>
        <w:b/>
        <w:color w:val="002060"/>
      </w:rPr>
      <w:t>540</w:t>
    </w:r>
    <w:r w:rsidRPr="00265B8C">
      <w:rPr>
        <w:b/>
        <w:color w:val="002060"/>
      </w:rPr>
      <w:t>/</w:t>
    </w:r>
    <w:r>
      <w:rPr>
        <w:b/>
        <w:color w:val="002060"/>
      </w:rPr>
      <w:t>21</w:t>
    </w:r>
  </w:p>
  <w:p w14:paraId="4D945502" w14:textId="77777777" w:rsidR="00BF45E6" w:rsidRPr="00265B8C" w:rsidRDefault="00BF45E6" w:rsidP="00AA0646">
    <w:pPr>
      <w:pStyle w:val="Encabezado"/>
      <w:framePr w:w="5499" w:hSpace="141" w:wrap="auto" w:vAnchor="text" w:hAnchor="page" w:x="5607" w:y="34"/>
      <w:ind w:left="567" w:hanging="11"/>
      <w:jc w:val="right"/>
      <w:rPr>
        <w:b/>
        <w:color w:val="002060"/>
        <w:lang w:val="pt-BR"/>
      </w:rPr>
    </w:pPr>
    <w:r>
      <w:rPr>
        <w:b/>
        <w:color w:val="002060"/>
        <w:lang w:val="pt-BR"/>
      </w:rPr>
      <w:t xml:space="preserve">27 DE SEPTIEMBRE </w:t>
    </w:r>
    <w:r w:rsidRPr="00265B8C">
      <w:rPr>
        <w:b/>
        <w:color w:val="002060"/>
        <w:lang w:val="pt-BR"/>
      </w:rPr>
      <w:t>DE 20</w:t>
    </w:r>
    <w:r>
      <w:rPr>
        <w:b/>
        <w:color w:val="002060"/>
        <w:lang w:val="pt-BR"/>
      </w:rPr>
      <w:t>21</w:t>
    </w:r>
  </w:p>
  <w:p w14:paraId="4E8E02FF" w14:textId="77777777" w:rsidR="00BF45E6" w:rsidRPr="00265B8C" w:rsidRDefault="00BF45E6" w:rsidP="00AA0646">
    <w:pPr>
      <w:pStyle w:val="Encabezado"/>
      <w:framePr w:w="5499" w:hSpace="141" w:wrap="auto" w:vAnchor="text" w:hAnchor="page" w:x="5607"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3915BF3D" w14:textId="77777777" w:rsidR="00BF45E6" w:rsidRDefault="00BF45E6" w:rsidP="00533253">
    <w:pPr>
      <w:pStyle w:val="Encabezado"/>
    </w:pPr>
    <w:r>
      <w:rPr>
        <w:noProof/>
      </w:rPr>
      <w:drawing>
        <wp:inline distT="0" distB="0" distL="0" distR="0" wp14:anchorId="199780F4" wp14:editId="733E431A">
          <wp:extent cx="826232" cy="8582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05" cy="8620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3DB825D9" w:rsidR="003B5757" w:rsidRDefault="00E463F2" w:rsidP="00BF45E6">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3EFA"/>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0C"/>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1FA"/>
    <w:rsid w:val="00270261"/>
    <w:rsid w:val="00270419"/>
    <w:rsid w:val="00270965"/>
    <w:rsid w:val="00271E5D"/>
    <w:rsid w:val="00272082"/>
    <w:rsid w:val="002730C5"/>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86F"/>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72C"/>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6B"/>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7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58AC"/>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BE"/>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253"/>
    <w:rsid w:val="00533EE8"/>
    <w:rsid w:val="0053417D"/>
    <w:rsid w:val="00534689"/>
    <w:rsid w:val="00534821"/>
    <w:rsid w:val="0053490C"/>
    <w:rsid w:val="00535585"/>
    <w:rsid w:val="00536A08"/>
    <w:rsid w:val="00536A58"/>
    <w:rsid w:val="00536AB4"/>
    <w:rsid w:val="00537127"/>
    <w:rsid w:val="0053764B"/>
    <w:rsid w:val="0054069F"/>
    <w:rsid w:val="005408D5"/>
    <w:rsid w:val="00540A36"/>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B9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D26"/>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A4"/>
    <w:rsid w:val="006005C1"/>
    <w:rsid w:val="00600661"/>
    <w:rsid w:val="006011A0"/>
    <w:rsid w:val="006021B3"/>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3C97"/>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E36"/>
    <w:rsid w:val="006C705E"/>
    <w:rsid w:val="006C7216"/>
    <w:rsid w:val="006C7266"/>
    <w:rsid w:val="006D021E"/>
    <w:rsid w:val="006D045E"/>
    <w:rsid w:val="006D0B6D"/>
    <w:rsid w:val="006D1549"/>
    <w:rsid w:val="006D19FF"/>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3858"/>
    <w:rsid w:val="006F477C"/>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E2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865"/>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477"/>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95"/>
    <w:rsid w:val="00A107B5"/>
    <w:rsid w:val="00A10896"/>
    <w:rsid w:val="00A10D11"/>
    <w:rsid w:val="00A10D80"/>
    <w:rsid w:val="00A10FBD"/>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A7D"/>
    <w:rsid w:val="00A37EDA"/>
    <w:rsid w:val="00A4035D"/>
    <w:rsid w:val="00A403FC"/>
    <w:rsid w:val="00A413A3"/>
    <w:rsid w:val="00A41DB1"/>
    <w:rsid w:val="00A42704"/>
    <w:rsid w:val="00A43270"/>
    <w:rsid w:val="00A436CD"/>
    <w:rsid w:val="00A44299"/>
    <w:rsid w:val="00A4539E"/>
    <w:rsid w:val="00A45F82"/>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209"/>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0646"/>
    <w:rsid w:val="00AA1128"/>
    <w:rsid w:val="00AA1337"/>
    <w:rsid w:val="00AA1A7C"/>
    <w:rsid w:val="00AA1ADA"/>
    <w:rsid w:val="00AA20B3"/>
    <w:rsid w:val="00AA2A7D"/>
    <w:rsid w:val="00AA2A95"/>
    <w:rsid w:val="00AA2ECC"/>
    <w:rsid w:val="00AA361F"/>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55F"/>
    <w:rsid w:val="00BD2921"/>
    <w:rsid w:val="00BD2B8F"/>
    <w:rsid w:val="00BD35B9"/>
    <w:rsid w:val="00BD36EC"/>
    <w:rsid w:val="00BD4A52"/>
    <w:rsid w:val="00BD51CA"/>
    <w:rsid w:val="00BD5CD2"/>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5E6"/>
    <w:rsid w:val="00BF4C22"/>
    <w:rsid w:val="00BF4CD1"/>
    <w:rsid w:val="00BF4DD7"/>
    <w:rsid w:val="00BF51E4"/>
    <w:rsid w:val="00BF6043"/>
    <w:rsid w:val="00BF76ED"/>
    <w:rsid w:val="00BF79F9"/>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680"/>
    <w:rsid w:val="00C45A51"/>
    <w:rsid w:val="00C469E3"/>
    <w:rsid w:val="00C47005"/>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720"/>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47A"/>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0CC"/>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BEB"/>
    <w:rsid w:val="00DA6BFD"/>
    <w:rsid w:val="00DA74E6"/>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814"/>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BF45E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Juli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Datos!$C$7:$C$85</c:f>
              <c:numCache>
                <c:formatCode>0.0</c:formatCode>
                <c:ptCount val="79"/>
                <c:pt idx="0">
                  <c:v>104.11690914497299</c:v>
                </c:pt>
                <c:pt idx="1">
                  <c:v>104.429395684073</c:v>
                </c:pt>
                <c:pt idx="2">
                  <c:v>104.511320282624</c:v>
                </c:pt>
                <c:pt idx="3">
                  <c:v>106.127520808528</c:v>
                </c:pt>
                <c:pt idx="4">
                  <c:v>105.25298538839699</c:v>
                </c:pt>
                <c:pt idx="5">
                  <c:v>105.686293212116</c:v>
                </c:pt>
                <c:pt idx="6">
                  <c:v>106.53088358941901</c:v>
                </c:pt>
                <c:pt idx="7">
                  <c:v>106.594723442185</c:v>
                </c:pt>
                <c:pt idx="8">
                  <c:v>107.67391530764699</c:v>
                </c:pt>
                <c:pt idx="9">
                  <c:v>106.760410370204</c:v>
                </c:pt>
                <c:pt idx="10">
                  <c:v>106.13951366060699</c:v>
                </c:pt>
                <c:pt idx="11">
                  <c:v>106.47172812117699</c:v>
                </c:pt>
                <c:pt idx="12">
                  <c:v>107.03898440667901</c:v>
                </c:pt>
                <c:pt idx="13">
                  <c:v>107.49378549692899</c:v>
                </c:pt>
                <c:pt idx="14">
                  <c:v>107.26126550726801</c:v>
                </c:pt>
                <c:pt idx="15">
                  <c:v>107.35104075683201</c:v>
                </c:pt>
                <c:pt idx="16">
                  <c:v>107.719595545614</c:v>
                </c:pt>
                <c:pt idx="17">
                  <c:v>108.318220484337</c:v>
                </c:pt>
                <c:pt idx="18">
                  <c:v>108.295758795236</c:v>
                </c:pt>
                <c:pt idx="19">
                  <c:v>108.242503674396</c:v>
                </c:pt>
                <c:pt idx="20">
                  <c:v>108.926292805047</c:v>
                </c:pt>
                <c:pt idx="21">
                  <c:v>109.24516036582899</c:v>
                </c:pt>
                <c:pt idx="22">
                  <c:v>109.54845178153001</c:v>
                </c:pt>
                <c:pt idx="23">
                  <c:v>110.32373028606</c:v>
                </c:pt>
                <c:pt idx="24">
                  <c:v>110.415605369671</c:v>
                </c:pt>
                <c:pt idx="25">
                  <c:v>109.860983690159</c:v>
                </c:pt>
                <c:pt idx="26">
                  <c:v>110.389376580865</c:v>
                </c:pt>
                <c:pt idx="27">
                  <c:v>110.49960970098699</c:v>
                </c:pt>
                <c:pt idx="28">
                  <c:v>109.825771576592</c:v>
                </c:pt>
                <c:pt idx="29">
                  <c:v>111.117070818542</c:v>
                </c:pt>
                <c:pt idx="30">
                  <c:v>110.074052935732</c:v>
                </c:pt>
                <c:pt idx="31">
                  <c:v>110.98958534457999</c:v>
                </c:pt>
                <c:pt idx="32">
                  <c:v>109.50899447100799</c:v>
                </c:pt>
                <c:pt idx="33">
                  <c:v>110.92374736041199</c:v>
                </c:pt>
                <c:pt idx="34">
                  <c:v>111.569815523597</c:v>
                </c:pt>
                <c:pt idx="35">
                  <c:v>112.946154306255</c:v>
                </c:pt>
                <c:pt idx="36">
                  <c:v>111.746842039029</c:v>
                </c:pt>
                <c:pt idx="37">
                  <c:v>112.30241579475199</c:v>
                </c:pt>
                <c:pt idx="38">
                  <c:v>113.18622211562401</c:v>
                </c:pt>
                <c:pt idx="39">
                  <c:v>112.79128954196401</c:v>
                </c:pt>
                <c:pt idx="40">
                  <c:v>113.188555232033</c:v>
                </c:pt>
                <c:pt idx="41">
                  <c:v>113.217230196553</c:v>
                </c:pt>
                <c:pt idx="42">
                  <c:v>113.588360913488</c:v>
                </c:pt>
                <c:pt idx="43">
                  <c:v>113.596104998432</c:v>
                </c:pt>
                <c:pt idx="44">
                  <c:v>113.10093178982299</c:v>
                </c:pt>
                <c:pt idx="45">
                  <c:v>112.844000940689</c:v>
                </c:pt>
                <c:pt idx="46">
                  <c:v>112.866118527287</c:v>
                </c:pt>
                <c:pt idx="47">
                  <c:v>112.371247093512</c:v>
                </c:pt>
                <c:pt idx="48">
                  <c:v>113.20887402834499</c:v>
                </c:pt>
                <c:pt idx="49">
                  <c:v>113.303628443121</c:v>
                </c:pt>
                <c:pt idx="50">
                  <c:v>112.34468887068699</c:v>
                </c:pt>
                <c:pt idx="51">
                  <c:v>113.00819503739</c:v>
                </c:pt>
                <c:pt idx="52">
                  <c:v>112.70859271097</c:v>
                </c:pt>
                <c:pt idx="53">
                  <c:v>113.049698759573</c:v>
                </c:pt>
                <c:pt idx="54">
                  <c:v>113.318866698953</c:v>
                </c:pt>
                <c:pt idx="55">
                  <c:v>113.084939142804</c:v>
                </c:pt>
                <c:pt idx="56">
                  <c:v>112.601454287783</c:v>
                </c:pt>
                <c:pt idx="57">
                  <c:v>112.223028077311</c:v>
                </c:pt>
                <c:pt idx="58">
                  <c:v>111.64608910990999</c:v>
                </c:pt>
                <c:pt idx="59">
                  <c:v>111.93180757215001</c:v>
                </c:pt>
                <c:pt idx="60">
                  <c:v>112.636167214568</c:v>
                </c:pt>
                <c:pt idx="61">
                  <c:v>111.340950649142</c:v>
                </c:pt>
                <c:pt idx="62">
                  <c:v>109.353120840835</c:v>
                </c:pt>
                <c:pt idx="63">
                  <c:v>90.618082009213794</c:v>
                </c:pt>
                <c:pt idx="64">
                  <c:v>88.401731684176696</c:v>
                </c:pt>
                <c:pt idx="65">
                  <c:v>96.585862062686104</c:v>
                </c:pt>
                <c:pt idx="66">
                  <c:v>102.137229320625</c:v>
                </c:pt>
                <c:pt idx="67">
                  <c:v>103.59611836564601</c:v>
                </c:pt>
                <c:pt idx="68">
                  <c:v>104.887481971714</c:v>
                </c:pt>
                <c:pt idx="69">
                  <c:v>106.724164467984</c:v>
                </c:pt>
                <c:pt idx="70">
                  <c:v>107.386330944946</c:v>
                </c:pt>
                <c:pt idx="71">
                  <c:v>107.564924427804</c:v>
                </c:pt>
                <c:pt idx="72">
                  <c:v>107.860180016906</c:v>
                </c:pt>
                <c:pt idx="73">
                  <c:v>107.13946505671601</c:v>
                </c:pt>
                <c:pt idx="74">
                  <c:v>109.899638501412</c:v>
                </c:pt>
                <c:pt idx="75">
                  <c:v>110.102240213548</c:v>
                </c:pt>
                <c:pt idx="76">
                  <c:v>110.62992516212699</c:v>
                </c:pt>
                <c:pt idx="77">
                  <c:v>109.397853512057</c:v>
                </c:pt>
                <c:pt idx="78">
                  <c:v>109.98480806173301</c:v>
                </c:pt>
              </c:numCache>
            </c:numRef>
          </c:val>
          <c:extLst>
            <c:ext xmlns:c16="http://schemas.microsoft.com/office/drawing/2014/chart" uri="{C3380CC4-5D6E-409C-BE32-E72D297353CC}">
              <c16:uniqueId val="{00000000-EE97-4956-8FDE-CB58A49A745E}"/>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Datos!$D$7:$D$85</c:f>
              <c:numCache>
                <c:formatCode>0.0</c:formatCode>
                <c:ptCount val="79"/>
                <c:pt idx="0">
                  <c:v>104.214677004276</c:v>
                </c:pt>
                <c:pt idx="1">
                  <c:v>104.374162552543</c:v>
                </c:pt>
                <c:pt idx="2">
                  <c:v>104.61171461659001</c:v>
                </c:pt>
                <c:pt idx="3">
                  <c:v>104.93847414101</c:v>
                </c:pt>
                <c:pt idx="4">
                  <c:v>105.36484336193099</c:v>
                </c:pt>
                <c:pt idx="5">
                  <c:v>105.83929638711901</c:v>
                </c:pt>
                <c:pt idx="6">
                  <c:v>106.28607060620899</c:v>
                </c:pt>
                <c:pt idx="7">
                  <c:v>106.598959691819</c:v>
                </c:pt>
                <c:pt idx="8">
                  <c:v>106.70482991959599</c:v>
                </c:pt>
                <c:pt idx="9">
                  <c:v>106.64139507696299</c:v>
                </c:pt>
                <c:pt idx="10">
                  <c:v>106.61498953597599</c:v>
                </c:pt>
                <c:pt idx="11">
                  <c:v>106.74176084760499</c:v>
                </c:pt>
                <c:pt idx="12">
                  <c:v>106.960292477631</c:v>
                </c:pt>
                <c:pt idx="13">
                  <c:v>107.176200268887</c:v>
                </c:pt>
                <c:pt idx="14">
                  <c:v>107.360322697489</c:v>
                </c:pt>
                <c:pt idx="15">
                  <c:v>107.55010313019901</c:v>
                </c:pt>
                <c:pt idx="16">
                  <c:v>107.770524604503</c:v>
                </c:pt>
                <c:pt idx="17">
                  <c:v>108.029370982743</c:v>
                </c:pt>
                <c:pt idx="18">
                  <c:v>108.285059683867</c:v>
                </c:pt>
                <c:pt idx="19">
                  <c:v>108.510540152457</c:v>
                </c:pt>
                <c:pt idx="20">
                  <c:v>108.808726015275</c:v>
                </c:pt>
                <c:pt idx="21">
                  <c:v>109.260489516237</c:v>
                </c:pt>
                <c:pt idx="22">
                  <c:v>109.72986400736001</c:v>
                </c:pt>
                <c:pt idx="23">
                  <c:v>110.049706340171</c:v>
                </c:pt>
                <c:pt idx="24">
                  <c:v>110.23283533202699</c:v>
                </c:pt>
                <c:pt idx="25">
                  <c:v>110.28897807812901</c:v>
                </c:pt>
                <c:pt idx="26">
                  <c:v>110.26243064929</c:v>
                </c:pt>
                <c:pt idx="27">
                  <c:v>110.18879018953</c:v>
                </c:pt>
                <c:pt idx="28">
                  <c:v>110.163029573933</c:v>
                </c:pt>
                <c:pt idx="29">
                  <c:v>110.21973221889201</c:v>
                </c:pt>
                <c:pt idx="30">
                  <c:v>110.363929410156</c:v>
                </c:pt>
                <c:pt idx="31">
                  <c:v>110.610629754626</c:v>
                </c:pt>
                <c:pt idx="32">
                  <c:v>110.894200608292</c:v>
                </c:pt>
                <c:pt idx="33">
                  <c:v>111.152776082389</c:v>
                </c:pt>
                <c:pt idx="34">
                  <c:v>111.391427347739</c:v>
                </c:pt>
                <c:pt idx="35">
                  <c:v>111.675610175842</c:v>
                </c:pt>
                <c:pt idx="36">
                  <c:v>112.04064781266</c:v>
                </c:pt>
                <c:pt idx="37">
                  <c:v>112.408147213164</c:v>
                </c:pt>
                <c:pt idx="38">
                  <c:v>112.737742133682</c:v>
                </c:pt>
                <c:pt idx="39">
                  <c:v>113.004187345677</c:v>
                </c:pt>
                <c:pt idx="40">
                  <c:v>113.20439883037299</c:v>
                </c:pt>
                <c:pt idx="41">
                  <c:v>113.356846831599</c:v>
                </c:pt>
                <c:pt idx="42">
                  <c:v>113.447394203526</c:v>
                </c:pt>
                <c:pt idx="43">
                  <c:v>113.42194877246899</c:v>
                </c:pt>
                <c:pt idx="44">
                  <c:v>113.19245572462501</c:v>
                </c:pt>
                <c:pt idx="45">
                  <c:v>112.906609675562</c:v>
                </c:pt>
                <c:pt idx="46">
                  <c:v>112.777031955998</c:v>
                </c:pt>
                <c:pt idx="47">
                  <c:v>112.810138111668</c:v>
                </c:pt>
                <c:pt idx="48">
                  <c:v>112.898222888573</c:v>
                </c:pt>
                <c:pt idx="49">
                  <c:v>112.91655271449601</c:v>
                </c:pt>
                <c:pt idx="50">
                  <c:v>112.85452502646</c:v>
                </c:pt>
                <c:pt idx="51">
                  <c:v>112.809154047527</c:v>
                </c:pt>
                <c:pt idx="52">
                  <c:v>112.882965113723</c:v>
                </c:pt>
                <c:pt idx="53">
                  <c:v>113.064490913886</c:v>
                </c:pt>
                <c:pt idx="54">
                  <c:v>113.14915270020801</c:v>
                </c:pt>
                <c:pt idx="55">
                  <c:v>112.980138509395</c:v>
                </c:pt>
                <c:pt idx="56">
                  <c:v>112.64577802729799</c:v>
                </c:pt>
                <c:pt idx="57">
                  <c:v>112.23674252367501</c:v>
                </c:pt>
                <c:pt idx="58">
                  <c:v>111.907679741781</c:v>
                </c:pt>
                <c:pt idx="59">
                  <c:v>111.68266489343</c:v>
                </c:pt>
                <c:pt idx="60">
                  <c:v>111.469416077849</c:v>
                </c:pt>
                <c:pt idx="61">
                  <c:v>111.273464845229</c:v>
                </c:pt>
                <c:pt idx="62">
                  <c:v>111.203598983406</c:v>
                </c:pt>
                <c:pt idx="63">
                  <c:v>102.051502654412</c:v>
                </c:pt>
                <c:pt idx="64">
                  <c:v>102.348343529676</c:v>
                </c:pt>
                <c:pt idx="65">
                  <c:v>102.723524839299</c:v>
                </c:pt>
                <c:pt idx="66">
                  <c:v>103.207928795662</c:v>
                </c:pt>
                <c:pt idx="67">
                  <c:v>103.92159392772599</c:v>
                </c:pt>
                <c:pt idx="68">
                  <c:v>104.911546183453</c:v>
                </c:pt>
                <c:pt idx="69">
                  <c:v>106.00486556486599</c:v>
                </c:pt>
                <c:pt idx="70">
                  <c:v>106.919455342289</c:v>
                </c:pt>
                <c:pt idx="71">
                  <c:v>107.605260928595</c:v>
                </c:pt>
                <c:pt idx="72">
                  <c:v>108.19276571288999</c:v>
                </c:pt>
                <c:pt idx="73">
                  <c:v>108.861444818783</c:v>
                </c:pt>
                <c:pt idx="74">
                  <c:v>109.58924843833</c:v>
                </c:pt>
                <c:pt idx="75">
                  <c:v>110.136960810613</c:v>
                </c:pt>
                <c:pt idx="76">
                  <c:v>110.33787365985</c:v>
                </c:pt>
                <c:pt idx="77">
                  <c:v>110.35326917003999</c:v>
                </c:pt>
                <c:pt idx="78">
                  <c:v>110.449152912575</c:v>
                </c:pt>
              </c:numCache>
            </c:numRef>
          </c:val>
          <c:smooth val="0"/>
          <c:extLst>
            <c:ext xmlns:c16="http://schemas.microsoft.com/office/drawing/2014/chart" uri="{C3380CC4-5D6E-409C-BE32-E72D297353CC}">
              <c16:uniqueId val="{00000001-EE97-4956-8FDE-CB58A49A745E}"/>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Datos!$C$7:$C$85</c:f>
              <c:numCache>
                <c:formatCode>0.0</c:formatCode>
                <c:ptCount val="79"/>
                <c:pt idx="0">
                  <c:v>104.11690914497299</c:v>
                </c:pt>
                <c:pt idx="1">
                  <c:v>104.429395684073</c:v>
                </c:pt>
                <c:pt idx="2">
                  <c:v>104.511320282624</c:v>
                </c:pt>
                <c:pt idx="3">
                  <c:v>106.127520808528</c:v>
                </c:pt>
                <c:pt idx="4">
                  <c:v>105.25298538839699</c:v>
                </c:pt>
                <c:pt idx="5">
                  <c:v>105.686293212116</c:v>
                </c:pt>
                <c:pt idx="6">
                  <c:v>106.53088358941901</c:v>
                </c:pt>
                <c:pt idx="7">
                  <c:v>106.594723442185</c:v>
                </c:pt>
                <c:pt idx="8">
                  <c:v>107.67391530764699</c:v>
                </c:pt>
                <c:pt idx="9">
                  <c:v>106.760410370204</c:v>
                </c:pt>
                <c:pt idx="10">
                  <c:v>106.13951366060699</c:v>
                </c:pt>
                <c:pt idx="11">
                  <c:v>106.47172812117699</c:v>
                </c:pt>
                <c:pt idx="12">
                  <c:v>107.03898440667901</c:v>
                </c:pt>
                <c:pt idx="13">
                  <c:v>107.49378549692899</c:v>
                </c:pt>
                <c:pt idx="14">
                  <c:v>107.26126550726801</c:v>
                </c:pt>
                <c:pt idx="15">
                  <c:v>107.35104075683201</c:v>
                </c:pt>
                <c:pt idx="16">
                  <c:v>107.719595545614</c:v>
                </c:pt>
                <c:pt idx="17">
                  <c:v>108.318220484337</c:v>
                </c:pt>
                <c:pt idx="18">
                  <c:v>108.295758795236</c:v>
                </c:pt>
                <c:pt idx="19">
                  <c:v>108.242503674396</c:v>
                </c:pt>
                <c:pt idx="20">
                  <c:v>108.926292805047</c:v>
                </c:pt>
                <c:pt idx="21">
                  <c:v>109.24516036582899</c:v>
                </c:pt>
                <c:pt idx="22">
                  <c:v>109.54845178153001</c:v>
                </c:pt>
                <c:pt idx="23">
                  <c:v>110.32373028606</c:v>
                </c:pt>
                <c:pt idx="24">
                  <c:v>110.415605369671</c:v>
                </c:pt>
                <c:pt idx="25">
                  <c:v>109.860983690159</c:v>
                </c:pt>
                <c:pt idx="26">
                  <c:v>110.389376580865</c:v>
                </c:pt>
                <c:pt idx="27">
                  <c:v>110.49960970098699</c:v>
                </c:pt>
                <c:pt idx="28">
                  <c:v>109.825771576592</c:v>
                </c:pt>
                <c:pt idx="29">
                  <c:v>111.117070818542</c:v>
                </c:pt>
                <c:pt idx="30">
                  <c:v>110.074052935732</c:v>
                </c:pt>
                <c:pt idx="31">
                  <c:v>110.98958534457999</c:v>
                </c:pt>
                <c:pt idx="32">
                  <c:v>109.50899447100799</c:v>
                </c:pt>
                <c:pt idx="33">
                  <c:v>110.92374736041199</c:v>
                </c:pt>
                <c:pt idx="34">
                  <c:v>111.569815523597</c:v>
                </c:pt>
                <c:pt idx="35">
                  <c:v>112.946154306255</c:v>
                </c:pt>
                <c:pt idx="36">
                  <c:v>111.746842039029</c:v>
                </c:pt>
                <c:pt idx="37">
                  <c:v>112.30241579475199</c:v>
                </c:pt>
                <c:pt idx="38">
                  <c:v>113.18622211562401</c:v>
                </c:pt>
                <c:pt idx="39">
                  <c:v>112.79128954196401</c:v>
                </c:pt>
                <c:pt idx="40">
                  <c:v>113.188555232033</c:v>
                </c:pt>
                <c:pt idx="41">
                  <c:v>113.217230196553</c:v>
                </c:pt>
                <c:pt idx="42">
                  <c:v>113.588360913488</c:v>
                </c:pt>
                <c:pt idx="43">
                  <c:v>113.596104998432</c:v>
                </c:pt>
                <c:pt idx="44">
                  <c:v>113.10093178982299</c:v>
                </c:pt>
                <c:pt idx="45">
                  <c:v>112.844000940689</c:v>
                </c:pt>
                <c:pt idx="46">
                  <c:v>112.866118527287</c:v>
                </c:pt>
                <c:pt idx="47">
                  <c:v>112.371247093512</c:v>
                </c:pt>
                <c:pt idx="48">
                  <c:v>113.20887402834499</c:v>
                </c:pt>
                <c:pt idx="49">
                  <c:v>113.303628443121</c:v>
                </c:pt>
                <c:pt idx="50">
                  <c:v>112.34468887068699</c:v>
                </c:pt>
                <c:pt idx="51">
                  <c:v>113.00819503739</c:v>
                </c:pt>
                <c:pt idx="52">
                  <c:v>112.70859271097</c:v>
                </c:pt>
                <c:pt idx="53">
                  <c:v>113.049698759573</c:v>
                </c:pt>
                <c:pt idx="54">
                  <c:v>113.318866698953</c:v>
                </c:pt>
                <c:pt idx="55">
                  <c:v>113.084939142804</c:v>
                </c:pt>
                <c:pt idx="56">
                  <c:v>112.601454287783</c:v>
                </c:pt>
                <c:pt idx="57">
                  <c:v>112.223028077311</c:v>
                </c:pt>
                <c:pt idx="58">
                  <c:v>111.64608910990999</c:v>
                </c:pt>
                <c:pt idx="59">
                  <c:v>111.93180757215001</c:v>
                </c:pt>
                <c:pt idx="60">
                  <c:v>112.636167214568</c:v>
                </c:pt>
                <c:pt idx="61">
                  <c:v>111.340950649142</c:v>
                </c:pt>
                <c:pt idx="62">
                  <c:v>109.353120840835</c:v>
                </c:pt>
                <c:pt idx="63">
                  <c:v>90.618082009213794</c:v>
                </c:pt>
                <c:pt idx="64">
                  <c:v>88.401731684176696</c:v>
                </c:pt>
                <c:pt idx="65">
                  <c:v>96.585862062686104</c:v>
                </c:pt>
                <c:pt idx="66">
                  <c:v>102.137229320625</c:v>
                </c:pt>
                <c:pt idx="67">
                  <c:v>103.59611836564601</c:v>
                </c:pt>
                <c:pt idx="68">
                  <c:v>104.887481971714</c:v>
                </c:pt>
                <c:pt idx="69">
                  <c:v>106.724164467984</c:v>
                </c:pt>
                <c:pt idx="70">
                  <c:v>107.386330944946</c:v>
                </c:pt>
                <c:pt idx="71">
                  <c:v>107.564924427804</c:v>
                </c:pt>
                <c:pt idx="72">
                  <c:v>107.860180016906</c:v>
                </c:pt>
                <c:pt idx="73">
                  <c:v>107.13946505671601</c:v>
                </c:pt>
                <c:pt idx="74">
                  <c:v>109.899638501412</c:v>
                </c:pt>
                <c:pt idx="75">
                  <c:v>110.102240213548</c:v>
                </c:pt>
                <c:pt idx="76">
                  <c:v>110.62992516212699</c:v>
                </c:pt>
                <c:pt idx="77">
                  <c:v>109.397853512057</c:v>
                </c:pt>
                <c:pt idx="78">
                  <c:v>109.98480806173301</c:v>
                </c:pt>
              </c:numCache>
            </c:numRef>
          </c:val>
          <c:extLst>
            <c:ext xmlns:c16="http://schemas.microsoft.com/office/drawing/2014/chart" uri="{C3380CC4-5D6E-409C-BE32-E72D297353CC}">
              <c16:uniqueId val="{00000000-31F2-4BA8-8B92-2643E043A013}"/>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Datos!$D$7:$D$85</c:f>
              <c:numCache>
                <c:formatCode>0.0</c:formatCode>
                <c:ptCount val="79"/>
                <c:pt idx="0">
                  <c:v>104.214677004276</c:v>
                </c:pt>
                <c:pt idx="1">
                  <c:v>104.374162552543</c:v>
                </c:pt>
                <c:pt idx="2">
                  <c:v>104.61171461659001</c:v>
                </c:pt>
                <c:pt idx="3">
                  <c:v>104.93847414101</c:v>
                </c:pt>
                <c:pt idx="4">
                  <c:v>105.36484336193099</c:v>
                </c:pt>
                <c:pt idx="5">
                  <c:v>105.83929638711901</c:v>
                </c:pt>
                <c:pt idx="6">
                  <c:v>106.28607060620899</c:v>
                </c:pt>
                <c:pt idx="7">
                  <c:v>106.598959691819</c:v>
                </c:pt>
                <c:pt idx="8">
                  <c:v>106.70482991959599</c:v>
                </c:pt>
                <c:pt idx="9">
                  <c:v>106.64139507696299</c:v>
                </c:pt>
                <c:pt idx="10">
                  <c:v>106.61498953597599</c:v>
                </c:pt>
                <c:pt idx="11">
                  <c:v>106.74176084760499</c:v>
                </c:pt>
                <c:pt idx="12">
                  <c:v>106.960292477631</c:v>
                </c:pt>
                <c:pt idx="13">
                  <c:v>107.176200268887</c:v>
                </c:pt>
                <c:pt idx="14">
                  <c:v>107.360322697489</c:v>
                </c:pt>
                <c:pt idx="15">
                  <c:v>107.55010313019901</c:v>
                </c:pt>
                <c:pt idx="16">
                  <c:v>107.770524604503</c:v>
                </c:pt>
                <c:pt idx="17">
                  <c:v>108.029370982743</c:v>
                </c:pt>
                <c:pt idx="18">
                  <c:v>108.285059683867</c:v>
                </c:pt>
                <c:pt idx="19">
                  <c:v>108.510540152457</c:v>
                </c:pt>
                <c:pt idx="20">
                  <c:v>108.808726015275</c:v>
                </c:pt>
                <c:pt idx="21">
                  <c:v>109.260489516237</c:v>
                </c:pt>
                <c:pt idx="22">
                  <c:v>109.72986400736001</c:v>
                </c:pt>
                <c:pt idx="23">
                  <c:v>110.049706340171</c:v>
                </c:pt>
                <c:pt idx="24">
                  <c:v>110.23283533202699</c:v>
                </c:pt>
                <c:pt idx="25">
                  <c:v>110.28897807812901</c:v>
                </c:pt>
                <c:pt idx="26">
                  <c:v>110.26243064929</c:v>
                </c:pt>
                <c:pt idx="27">
                  <c:v>110.18879018953</c:v>
                </c:pt>
                <c:pt idx="28">
                  <c:v>110.163029573933</c:v>
                </c:pt>
                <c:pt idx="29">
                  <c:v>110.21973221889201</c:v>
                </c:pt>
                <c:pt idx="30">
                  <c:v>110.363929410156</c:v>
                </c:pt>
                <c:pt idx="31">
                  <c:v>110.610629754626</c:v>
                </c:pt>
                <c:pt idx="32">
                  <c:v>110.894200608292</c:v>
                </c:pt>
                <c:pt idx="33">
                  <c:v>111.152776082389</c:v>
                </c:pt>
                <c:pt idx="34">
                  <c:v>111.391427347739</c:v>
                </c:pt>
                <c:pt idx="35">
                  <c:v>111.675610175842</c:v>
                </c:pt>
                <c:pt idx="36">
                  <c:v>112.04064781266</c:v>
                </c:pt>
                <c:pt idx="37">
                  <c:v>112.408147213164</c:v>
                </c:pt>
                <c:pt idx="38">
                  <c:v>112.737742133682</c:v>
                </c:pt>
                <c:pt idx="39">
                  <c:v>113.004187345677</c:v>
                </c:pt>
                <c:pt idx="40">
                  <c:v>113.20439883037299</c:v>
                </c:pt>
                <c:pt idx="41">
                  <c:v>113.356846831599</c:v>
                </c:pt>
                <c:pt idx="42">
                  <c:v>113.447394203526</c:v>
                </c:pt>
                <c:pt idx="43">
                  <c:v>113.42194877246899</c:v>
                </c:pt>
                <c:pt idx="44">
                  <c:v>113.19245572462501</c:v>
                </c:pt>
                <c:pt idx="45">
                  <c:v>112.906609675562</c:v>
                </c:pt>
                <c:pt idx="46">
                  <c:v>112.777031955998</c:v>
                </c:pt>
                <c:pt idx="47">
                  <c:v>112.810138111668</c:v>
                </c:pt>
                <c:pt idx="48">
                  <c:v>112.898222888573</c:v>
                </c:pt>
                <c:pt idx="49">
                  <c:v>112.91655271449601</c:v>
                </c:pt>
                <c:pt idx="50">
                  <c:v>112.85452502646</c:v>
                </c:pt>
                <c:pt idx="51">
                  <c:v>112.809154047527</c:v>
                </c:pt>
                <c:pt idx="52">
                  <c:v>112.882965113723</c:v>
                </c:pt>
                <c:pt idx="53">
                  <c:v>113.064490913886</c:v>
                </c:pt>
                <c:pt idx="54">
                  <c:v>113.14915270020801</c:v>
                </c:pt>
                <c:pt idx="55">
                  <c:v>112.980138509395</c:v>
                </c:pt>
                <c:pt idx="56">
                  <c:v>112.64577802729799</c:v>
                </c:pt>
                <c:pt idx="57">
                  <c:v>112.23674252367501</c:v>
                </c:pt>
                <c:pt idx="58">
                  <c:v>111.907679741781</c:v>
                </c:pt>
                <c:pt idx="59">
                  <c:v>111.68266489343</c:v>
                </c:pt>
                <c:pt idx="60">
                  <c:v>111.469416077849</c:v>
                </c:pt>
                <c:pt idx="61">
                  <c:v>111.273464845229</c:v>
                </c:pt>
                <c:pt idx="62">
                  <c:v>111.203598983406</c:v>
                </c:pt>
                <c:pt idx="63">
                  <c:v>102.051502654412</c:v>
                </c:pt>
                <c:pt idx="64">
                  <c:v>102.348343529676</c:v>
                </c:pt>
                <c:pt idx="65">
                  <c:v>102.723524839299</c:v>
                </c:pt>
                <c:pt idx="66">
                  <c:v>103.207928795662</c:v>
                </c:pt>
                <c:pt idx="67">
                  <c:v>103.92159392772599</c:v>
                </c:pt>
                <c:pt idx="68">
                  <c:v>104.911546183453</c:v>
                </c:pt>
                <c:pt idx="69">
                  <c:v>106.00486556486599</c:v>
                </c:pt>
                <c:pt idx="70">
                  <c:v>106.919455342289</c:v>
                </c:pt>
                <c:pt idx="71">
                  <c:v>107.605260928595</c:v>
                </c:pt>
                <c:pt idx="72">
                  <c:v>108.19276571288999</c:v>
                </c:pt>
                <c:pt idx="73">
                  <c:v>108.861444818783</c:v>
                </c:pt>
                <c:pt idx="74">
                  <c:v>109.58924843833</c:v>
                </c:pt>
                <c:pt idx="75">
                  <c:v>110.136960810613</c:v>
                </c:pt>
                <c:pt idx="76">
                  <c:v>110.33787365985</c:v>
                </c:pt>
                <c:pt idx="77">
                  <c:v>110.35326917003999</c:v>
                </c:pt>
                <c:pt idx="78">
                  <c:v>110.449152912575</c:v>
                </c:pt>
              </c:numCache>
            </c:numRef>
          </c:val>
          <c:smooth val="0"/>
          <c:extLst>
            <c:ext xmlns:c16="http://schemas.microsoft.com/office/drawing/2014/chart" uri="{C3380CC4-5D6E-409C-BE32-E72D297353CC}">
              <c16:uniqueId val="{00000001-31F2-4BA8-8B92-2643E043A013}"/>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Datos!$E$7:$E$85</c:f>
              <c:numCache>
                <c:formatCode>0.0</c:formatCode>
                <c:ptCount val="79"/>
                <c:pt idx="0">
                  <c:v>105.65063399773599</c:v>
                </c:pt>
                <c:pt idx="1">
                  <c:v>104.627352942643</c:v>
                </c:pt>
                <c:pt idx="2">
                  <c:v>104.595917576625</c:v>
                </c:pt>
                <c:pt idx="3">
                  <c:v>105.964496028189</c:v>
                </c:pt>
                <c:pt idx="4">
                  <c:v>111.215957887569</c:v>
                </c:pt>
                <c:pt idx="5">
                  <c:v>98.032042244865707</c:v>
                </c:pt>
                <c:pt idx="6">
                  <c:v>102.332972123302</c:v>
                </c:pt>
                <c:pt idx="7">
                  <c:v>106.010896046146</c:v>
                </c:pt>
                <c:pt idx="8">
                  <c:v>107.10313283441801</c:v>
                </c:pt>
                <c:pt idx="9">
                  <c:v>105.527499818978</c:v>
                </c:pt>
                <c:pt idx="10">
                  <c:v>100.461953589895</c:v>
                </c:pt>
                <c:pt idx="11">
                  <c:v>107.173419623218</c:v>
                </c:pt>
                <c:pt idx="12">
                  <c:v>105.415052818569</c:v>
                </c:pt>
                <c:pt idx="13">
                  <c:v>108.04730580613</c:v>
                </c:pt>
                <c:pt idx="14">
                  <c:v>103.762358696847</c:v>
                </c:pt>
                <c:pt idx="15">
                  <c:v>107.055244039173</c:v>
                </c:pt>
                <c:pt idx="16">
                  <c:v>105.304735960326</c:v>
                </c:pt>
                <c:pt idx="17">
                  <c:v>112.30917768307</c:v>
                </c:pt>
                <c:pt idx="18">
                  <c:v>107.029508039799</c:v>
                </c:pt>
                <c:pt idx="19">
                  <c:v>113.885625667024</c:v>
                </c:pt>
                <c:pt idx="20">
                  <c:v>110.084278350088</c:v>
                </c:pt>
                <c:pt idx="21">
                  <c:v>108.802035594774</c:v>
                </c:pt>
                <c:pt idx="22">
                  <c:v>108.590575151042</c:v>
                </c:pt>
                <c:pt idx="23">
                  <c:v>111.176007525676</c:v>
                </c:pt>
                <c:pt idx="24">
                  <c:v>116.099261094157</c:v>
                </c:pt>
                <c:pt idx="25">
                  <c:v>103.961178745011</c:v>
                </c:pt>
                <c:pt idx="26">
                  <c:v>109.274357264039</c:v>
                </c:pt>
                <c:pt idx="27">
                  <c:v>110.41943765559201</c:v>
                </c:pt>
                <c:pt idx="28">
                  <c:v>107.083293313995</c:v>
                </c:pt>
                <c:pt idx="29">
                  <c:v>117.918356794914</c:v>
                </c:pt>
                <c:pt idx="30">
                  <c:v>111.25193167953999</c:v>
                </c:pt>
                <c:pt idx="31">
                  <c:v>111.216277585965</c:v>
                </c:pt>
                <c:pt idx="32">
                  <c:v>112.49530455129</c:v>
                </c:pt>
                <c:pt idx="33">
                  <c:v>112.455583356983</c:v>
                </c:pt>
                <c:pt idx="34">
                  <c:v>116.433217320422</c:v>
                </c:pt>
                <c:pt idx="35">
                  <c:v>113.74326048845801</c:v>
                </c:pt>
                <c:pt idx="36">
                  <c:v>116.72978354126199</c:v>
                </c:pt>
                <c:pt idx="37">
                  <c:v>114.65237814197501</c:v>
                </c:pt>
                <c:pt idx="38">
                  <c:v>115.536272921753</c:v>
                </c:pt>
                <c:pt idx="39">
                  <c:v>116.019600643926</c:v>
                </c:pt>
                <c:pt idx="40">
                  <c:v>116.953666204398</c:v>
                </c:pt>
                <c:pt idx="41">
                  <c:v>113.710064112705</c:v>
                </c:pt>
                <c:pt idx="42">
                  <c:v>112.695495489503</c:v>
                </c:pt>
                <c:pt idx="43">
                  <c:v>113.925943801196</c:v>
                </c:pt>
                <c:pt idx="44">
                  <c:v>111.580123749861</c:v>
                </c:pt>
                <c:pt idx="45">
                  <c:v>105.968294449818</c:v>
                </c:pt>
                <c:pt idx="46">
                  <c:v>119.187880367289</c:v>
                </c:pt>
                <c:pt idx="47">
                  <c:v>118.16182813515</c:v>
                </c:pt>
                <c:pt idx="48">
                  <c:v>115.969729866406</c:v>
                </c:pt>
                <c:pt idx="49">
                  <c:v>122.35703989931601</c:v>
                </c:pt>
                <c:pt idx="50">
                  <c:v>116.12531911166499</c:v>
                </c:pt>
                <c:pt idx="51">
                  <c:v>115.55829843892</c:v>
                </c:pt>
                <c:pt idx="52">
                  <c:v>114.89502859483601</c:v>
                </c:pt>
                <c:pt idx="53">
                  <c:v>115.514986963078</c:v>
                </c:pt>
                <c:pt idx="54">
                  <c:v>114.918876616446</c:v>
                </c:pt>
                <c:pt idx="55">
                  <c:v>112.959885260717</c:v>
                </c:pt>
                <c:pt idx="56">
                  <c:v>115.45037785935401</c:v>
                </c:pt>
                <c:pt idx="57">
                  <c:v>113.322276672284</c:v>
                </c:pt>
                <c:pt idx="58">
                  <c:v>112.747095321727</c:v>
                </c:pt>
                <c:pt idx="59">
                  <c:v>115.28052583848699</c:v>
                </c:pt>
                <c:pt idx="60">
                  <c:v>114.90798923405499</c:v>
                </c:pt>
                <c:pt idx="61">
                  <c:v>110.182444931478</c:v>
                </c:pt>
                <c:pt idx="62">
                  <c:v>121.04062288988899</c:v>
                </c:pt>
                <c:pt idx="63">
                  <c:v>115.119988776269</c:v>
                </c:pt>
                <c:pt idx="64">
                  <c:v>113.173829156558</c:v>
                </c:pt>
                <c:pt idx="65">
                  <c:v>110.240761424751</c:v>
                </c:pt>
                <c:pt idx="66">
                  <c:v>122.649022848268</c:v>
                </c:pt>
                <c:pt idx="67">
                  <c:v>116.334199134299</c:v>
                </c:pt>
                <c:pt idx="68">
                  <c:v>117.84205585079999</c:v>
                </c:pt>
                <c:pt idx="69">
                  <c:v>119.467556418272</c:v>
                </c:pt>
                <c:pt idx="70">
                  <c:v>118.182237476078</c:v>
                </c:pt>
                <c:pt idx="71">
                  <c:v>113.082662635818</c:v>
                </c:pt>
                <c:pt idx="72">
                  <c:v>117.156000053542</c:v>
                </c:pt>
                <c:pt idx="73">
                  <c:v>118.07427873063899</c:v>
                </c:pt>
                <c:pt idx="74">
                  <c:v>119.542476763316</c:v>
                </c:pt>
                <c:pt idx="75">
                  <c:v>115.302875810841</c:v>
                </c:pt>
                <c:pt idx="76">
                  <c:v>124.170229173862</c:v>
                </c:pt>
                <c:pt idx="77">
                  <c:v>119.05863514308901</c:v>
                </c:pt>
                <c:pt idx="78">
                  <c:v>121.278039555796</c:v>
                </c:pt>
              </c:numCache>
            </c:numRef>
          </c:val>
          <c:extLst>
            <c:ext xmlns:c16="http://schemas.microsoft.com/office/drawing/2014/chart" uri="{C3380CC4-5D6E-409C-BE32-E72D297353CC}">
              <c16:uniqueId val="{00000000-A251-4C62-AFC6-89C2860D5557}"/>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Datos!$F$7:$F$85</c:f>
              <c:numCache>
                <c:formatCode>0.0</c:formatCode>
                <c:ptCount val="79"/>
                <c:pt idx="0">
                  <c:v>104.934997090199</c:v>
                </c:pt>
                <c:pt idx="1">
                  <c:v>105.046174924398</c:v>
                </c:pt>
                <c:pt idx="2">
                  <c:v>105.10769843776301</c:v>
                </c:pt>
                <c:pt idx="3">
                  <c:v>105.14451735677299</c:v>
                </c:pt>
                <c:pt idx="4">
                  <c:v>105.166357997595</c:v>
                </c:pt>
                <c:pt idx="5">
                  <c:v>105.172574930035</c:v>
                </c:pt>
                <c:pt idx="6">
                  <c:v>105.15347433089801</c:v>
                </c:pt>
                <c:pt idx="7">
                  <c:v>105.116312192802</c:v>
                </c:pt>
                <c:pt idx="8">
                  <c:v>105.086068313377</c:v>
                </c:pt>
                <c:pt idx="9">
                  <c:v>105.09265968307901</c:v>
                </c:pt>
                <c:pt idx="10">
                  <c:v>105.180885560589</c:v>
                </c:pt>
                <c:pt idx="11">
                  <c:v>105.38590389303</c:v>
                </c:pt>
                <c:pt idx="12">
                  <c:v>105.711154554917</c:v>
                </c:pt>
                <c:pt idx="13">
                  <c:v>106.15616300129101</c:v>
                </c:pt>
                <c:pt idx="14">
                  <c:v>106.710601074477</c:v>
                </c:pt>
                <c:pt idx="15">
                  <c:v>107.33333021579401</c:v>
                </c:pt>
                <c:pt idx="16">
                  <c:v>107.965788240045</c:v>
                </c:pt>
                <c:pt idx="17">
                  <c:v>108.572127659489</c:v>
                </c:pt>
                <c:pt idx="18">
                  <c:v>109.109180459839</c:v>
                </c:pt>
                <c:pt idx="19">
                  <c:v>109.51937701354299</c:v>
                </c:pt>
                <c:pt idx="20">
                  <c:v>109.75706924290699</c:v>
                </c:pt>
                <c:pt idx="21">
                  <c:v>109.82376670430099</c:v>
                </c:pt>
                <c:pt idx="22">
                  <c:v>109.75898554605401</c:v>
                </c:pt>
                <c:pt idx="23">
                  <c:v>109.598078654316</c:v>
                </c:pt>
                <c:pt idx="24">
                  <c:v>109.394228737559</c:v>
                </c:pt>
                <c:pt idx="25">
                  <c:v>109.228132958298</c:v>
                </c:pt>
                <c:pt idx="26">
                  <c:v>109.18233842415</c:v>
                </c:pt>
                <c:pt idx="27">
                  <c:v>109.32593929596899</c:v>
                </c:pt>
                <c:pt idx="28">
                  <c:v>109.669067713804</c:v>
                </c:pt>
                <c:pt idx="29">
                  <c:v>110.193372150668</c:v>
                </c:pt>
                <c:pt idx="30">
                  <c:v>110.86195901824399</c:v>
                </c:pt>
                <c:pt idx="31">
                  <c:v>111.65193998421501</c:v>
                </c:pt>
                <c:pt idx="32">
                  <c:v>112.49345077763</c:v>
                </c:pt>
                <c:pt idx="33">
                  <c:v>113.345157982698</c:v>
                </c:pt>
                <c:pt idx="34">
                  <c:v>114.12491137107099</c:v>
                </c:pt>
                <c:pt idx="35">
                  <c:v>114.73093105211299</c:v>
                </c:pt>
                <c:pt idx="36">
                  <c:v>115.101545340953</c:v>
                </c:pt>
                <c:pt idx="37">
                  <c:v>115.249361639873</c:v>
                </c:pt>
                <c:pt idx="38">
                  <c:v>115.202854936064</c:v>
                </c:pt>
                <c:pt idx="39">
                  <c:v>115.03451864255101</c:v>
                </c:pt>
                <c:pt idx="40">
                  <c:v>114.846217256782</c:v>
                </c:pt>
                <c:pt idx="41">
                  <c:v>114.73562664087601</c:v>
                </c:pt>
                <c:pt idx="42">
                  <c:v>114.75070258382</c:v>
                </c:pt>
                <c:pt idx="43">
                  <c:v>114.917237005164</c:v>
                </c:pt>
                <c:pt idx="44">
                  <c:v>115.23302676772499</c:v>
                </c:pt>
                <c:pt idx="45">
                  <c:v>115.643624655214</c:v>
                </c:pt>
                <c:pt idx="46">
                  <c:v>116.079061131164</c:v>
                </c:pt>
                <c:pt idx="47">
                  <c:v>116.46197742711</c:v>
                </c:pt>
                <c:pt idx="48">
                  <c:v>116.72178536603199</c:v>
                </c:pt>
                <c:pt idx="49">
                  <c:v>116.79397110324</c:v>
                </c:pt>
                <c:pt idx="50">
                  <c:v>116.675877113711</c:v>
                </c:pt>
                <c:pt idx="51">
                  <c:v>116.37265710305201</c:v>
                </c:pt>
                <c:pt idx="52">
                  <c:v>115.918891049631</c:v>
                </c:pt>
                <c:pt idx="53">
                  <c:v>115.390773814646</c:v>
                </c:pt>
                <c:pt idx="54">
                  <c:v>114.880945055483</c:v>
                </c:pt>
                <c:pt idx="55">
                  <c:v>114.44200711267101</c:v>
                </c:pt>
                <c:pt idx="56">
                  <c:v>114.099480956145</c:v>
                </c:pt>
                <c:pt idx="57">
                  <c:v>113.853692383881</c:v>
                </c:pt>
                <c:pt idx="58">
                  <c:v>113.672786114895</c:v>
                </c:pt>
                <c:pt idx="59">
                  <c:v>113.552074650942</c:v>
                </c:pt>
                <c:pt idx="60">
                  <c:v>113.532443950244</c:v>
                </c:pt>
                <c:pt idx="61">
                  <c:v>113.63224604050301</c:v>
                </c:pt>
                <c:pt idx="62">
                  <c:v>113.84596076464</c:v>
                </c:pt>
                <c:pt idx="63">
                  <c:v>114.172229069602</c:v>
                </c:pt>
                <c:pt idx="64">
                  <c:v>114.60240858490199</c:v>
                </c:pt>
                <c:pt idx="65">
                  <c:v>115.087232180542</c:v>
                </c:pt>
                <c:pt idx="66">
                  <c:v>115.58718146915901</c:v>
                </c:pt>
                <c:pt idx="67">
                  <c:v>116.067615389426</c:v>
                </c:pt>
                <c:pt idx="68">
                  <c:v>116.50811125916699</c:v>
                </c:pt>
                <c:pt idx="69">
                  <c:v>116.892257165397</c:v>
                </c:pt>
                <c:pt idx="70">
                  <c:v>117.233945896451</c:v>
                </c:pt>
                <c:pt idx="71">
                  <c:v>117.555496980931</c:v>
                </c:pt>
                <c:pt idx="72">
                  <c:v>117.882390277249</c:v>
                </c:pt>
                <c:pt idx="73">
                  <c:v>118.235047813991</c:v>
                </c:pt>
                <c:pt idx="74">
                  <c:v>118.611993396633</c:v>
                </c:pt>
                <c:pt idx="75">
                  <c:v>118.97144575770101</c:v>
                </c:pt>
                <c:pt idx="76">
                  <c:v>119.27904071861801</c:v>
                </c:pt>
                <c:pt idx="77">
                  <c:v>119.505082310416</c:v>
                </c:pt>
                <c:pt idx="78">
                  <c:v>119.62814637528599</c:v>
                </c:pt>
              </c:numCache>
            </c:numRef>
          </c:val>
          <c:smooth val="0"/>
          <c:extLst>
            <c:ext xmlns:c16="http://schemas.microsoft.com/office/drawing/2014/chart" uri="{C3380CC4-5D6E-409C-BE32-E72D297353CC}">
              <c16:uniqueId val="{00000001-A251-4C62-AFC6-89C2860D5557}"/>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Datos!$G$7:$G$85</c:f>
              <c:numCache>
                <c:formatCode>0.0</c:formatCode>
                <c:ptCount val="79"/>
                <c:pt idx="0">
                  <c:v>102.57320584268901</c:v>
                </c:pt>
                <c:pt idx="1">
                  <c:v>103.20018979389801</c:v>
                </c:pt>
                <c:pt idx="2">
                  <c:v>102.711232488262</c:v>
                </c:pt>
                <c:pt idx="3">
                  <c:v>104.029753126155</c:v>
                </c:pt>
                <c:pt idx="4">
                  <c:v>102.667106439943</c:v>
                </c:pt>
                <c:pt idx="5">
                  <c:v>103.266769451309</c:v>
                </c:pt>
                <c:pt idx="6">
                  <c:v>104.478769137729</c:v>
                </c:pt>
                <c:pt idx="7">
                  <c:v>104.56686238190601</c:v>
                </c:pt>
                <c:pt idx="8">
                  <c:v>106.087590236989</c:v>
                </c:pt>
                <c:pt idx="9">
                  <c:v>103.944033524376</c:v>
                </c:pt>
                <c:pt idx="10">
                  <c:v>103.656654789352</c:v>
                </c:pt>
                <c:pt idx="11">
                  <c:v>103.847779392633</c:v>
                </c:pt>
                <c:pt idx="12">
                  <c:v>104.201683387793</c:v>
                </c:pt>
                <c:pt idx="13">
                  <c:v>104.522206363653</c:v>
                </c:pt>
                <c:pt idx="14">
                  <c:v>103.87875615026699</c:v>
                </c:pt>
                <c:pt idx="15">
                  <c:v>103.515312193668</c:v>
                </c:pt>
                <c:pt idx="16">
                  <c:v>103.895584624164</c:v>
                </c:pt>
                <c:pt idx="17">
                  <c:v>103.473066280908</c:v>
                </c:pt>
                <c:pt idx="18">
                  <c:v>103.700228261653</c:v>
                </c:pt>
                <c:pt idx="19">
                  <c:v>103.61099639832101</c:v>
                </c:pt>
                <c:pt idx="20">
                  <c:v>103.62615570814199</c:v>
                </c:pt>
                <c:pt idx="21">
                  <c:v>103.87305792350401</c:v>
                </c:pt>
                <c:pt idx="22">
                  <c:v>105.25546762254299</c:v>
                </c:pt>
                <c:pt idx="23">
                  <c:v>104.17174595082</c:v>
                </c:pt>
                <c:pt idx="24">
                  <c:v>104.38846062100301</c:v>
                </c:pt>
                <c:pt idx="25">
                  <c:v>103.947936254385</c:v>
                </c:pt>
                <c:pt idx="26">
                  <c:v>104.885998520135</c:v>
                </c:pt>
                <c:pt idx="27">
                  <c:v>103.94377546531</c:v>
                </c:pt>
                <c:pt idx="28">
                  <c:v>103.666739713437</c:v>
                </c:pt>
                <c:pt idx="29">
                  <c:v>104.111186552166</c:v>
                </c:pt>
                <c:pt idx="30">
                  <c:v>103.33463930793801</c:v>
                </c:pt>
                <c:pt idx="31">
                  <c:v>103.764736598932</c:v>
                </c:pt>
                <c:pt idx="32">
                  <c:v>101.934694041211</c:v>
                </c:pt>
                <c:pt idx="33">
                  <c:v>103.85798957604899</c:v>
                </c:pt>
                <c:pt idx="34">
                  <c:v>104.19339318752</c:v>
                </c:pt>
                <c:pt idx="35">
                  <c:v>104.789998691752</c:v>
                </c:pt>
                <c:pt idx="36">
                  <c:v>104.344307438938</c:v>
                </c:pt>
                <c:pt idx="37">
                  <c:v>104.58152546539201</c:v>
                </c:pt>
                <c:pt idx="38">
                  <c:v>104.97665878417899</c:v>
                </c:pt>
                <c:pt idx="39">
                  <c:v>104.420502841812</c:v>
                </c:pt>
                <c:pt idx="40">
                  <c:v>105.618400060524</c:v>
                </c:pt>
                <c:pt idx="41">
                  <c:v>105.340818502063</c:v>
                </c:pt>
                <c:pt idx="42">
                  <c:v>105.156054211358</c:v>
                </c:pt>
                <c:pt idx="43">
                  <c:v>104.06640625891001</c:v>
                </c:pt>
                <c:pt idx="44">
                  <c:v>104.510798137311</c:v>
                </c:pt>
                <c:pt idx="45">
                  <c:v>103.59197439653801</c:v>
                </c:pt>
                <c:pt idx="46">
                  <c:v>102.897726045067</c:v>
                </c:pt>
                <c:pt idx="47">
                  <c:v>101.823666658381</c:v>
                </c:pt>
                <c:pt idx="48">
                  <c:v>103.270917884906</c:v>
                </c:pt>
                <c:pt idx="49">
                  <c:v>104.282724460739</c:v>
                </c:pt>
                <c:pt idx="50">
                  <c:v>102.40308850665799</c:v>
                </c:pt>
                <c:pt idx="51">
                  <c:v>103.413499870187</c:v>
                </c:pt>
                <c:pt idx="52">
                  <c:v>102.11924842209901</c:v>
                </c:pt>
                <c:pt idx="53">
                  <c:v>103.272915249599</c:v>
                </c:pt>
                <c:pt idx="54">
                  <c:v>102.872632383648</c:v>
                </c:pt>
                <c:pt idx="55">
                  <c:v>102.817761557613</c:v>
                </c:pt>
                <c:pt idx="56">
                  <c:v>102.254477266048</c:v>
                </c:pt>
                <c:pt idx="57">
                  <c:v>99.875134856724003</c:v>
                </c:pt>
                <c:pt idx="58">
                  <c:v>101.04914328705399</c:v>
                </c:pt>
                <c:pt idx="59">
                  <c:v>100.852740608594</c:v>
                </c:pt>
                <c:pt idx="60">
                  <c:v>101.726153069372</c:v>
                </c:pt>
                <c:pt idx="61">
                  <c:v>101.32319134206099</c:v>
                </c:pt>
                <c:pt idx="62">
                  <c:v>97.791740254564601</c:v>
                </c:pt>
                <c:pt idx="63">
                  <c:v>72.412765045908998</c:v>
                </c:pt>
                <c:pt idx="64">
                  <c:v>72.174833530005102</c:v>
                </c:pt>
                <c:pt idx="65">
                  <c:v>86.015403849881295</c:v>
                </c:pt>
                <c:pt idx="66">
                  <c:v>91.465987878494204</c:v>
                </c:pt>
                <c:pt idx="67">
                  <c:v>94.490782629989297</c:v>
                </c:pt>
                <c:pt idx="68">
                  <c:v>95.057495455382096</c:v>
                </c:pt>
                <c:pt idx="69">
                  <c:v>96.512204585099994</c:v>
                </c:pt>
                <c:pt idx="70">
                  <c:v>97.413621706477002</c:v>
                </c:pt>
                <c:pt idx="71">
                  <c:v>97.501887707685199</c:v>
                </c:pt>
                <c:pt idx="72">
                  <c:v>97.784176509287093</c:v>
                </c:pt>
                <c:pt idx="73">
                  <c:v>98.170318088318695</c:v>
                </c:pt>
                <c:pt idx="74">
                  <c:v>98.510486970374302</c:v>
                </c:pt>
                <c:pt idx="75">
                  <c:v>98.813805032552395</c:v>
                </c:pt>
                <c:pt idx="76">
                  <c:v>98.626873790706696</c:v>
                </c:pt>
                <c:pt idx="77">
                  <c:v>97.741901674402698</c:v>
                </c:pt>
                <c:pt idx="78">
                  <c:v>98.769226549241495</c:v>
                </c:pt>
              </c:numCache>
            </c:numRef>
          </c:val>
          <c:extLst>
            <c:ext xmlns:c16="http://schemas.microsoft.com/office/drawing/2014/chart" uri="{C3380CC4-5D6E-409C-BE32-E72D297353CC}">
              <c16:uniqueId val="{00000000-A4D7-4060-A9DA-1E19D933244F}"/>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Datos!$H$7:$H$85</c:f>
              <c:numCache>
                <c:formatCode>0.0</c:formatCode>
                <c:ptCount val="79"/>
                <c:pt idx="0">
                  <c:v>103.112839756591</c:v>
                </c:pt>
                <c:pt idx="1">
                  <c:v>103.003753834335</c:v>
                </c:pt>
                <c:pt idx="2">
                  <c:v>102.979394084852</c:v>
                </c:pt>
                <c:pt idx="3">
                  <c:v>103.115244593453</c:v>
                </c:pt>
                <c:pt idx="4">
                  <c:v>103.39524169152</c:v>
                </c:pt>
                <c:pt idx="5">
                  <c:v>103.72297494171001</c:v>
                </c:pt>
                <c:pt idx="6">
                  <c:v>103.995176133727</c:v>
                </c:pt>
                <c:pt idx="7">
                  <c:v>104.14048800619</c:v>
                </c:pt>
                <c:pt idx="8">
                  <c:v>104.17499973101999</c:v>
                </c:pt>
                <c:pt idx="9">
                  <c:v>104.135763249324</c:v>
                </c:pt>
                <c:pt idx="10">
                  <c:v>104.07437752691</c:v>
                </c:pt>
                <c:pt idx="11">
                  <c:v>104.028287615259</c:v>
                </c:pt>
                <c:pt idx="12">
                  <c:v>104.01927231118199</c:v>
                </c:pt>
                <c:pt idx="13">
                  <c:v>104.01562268815699</c:v>
                </c:pt>
                <c:pt idx="14">
                  <c:v>103.96237269574701</c:v>
                </c:pt>
                <c:pt idx="15">
                  <c:v>103.851682432074</c:v>
                </c:pt>
                <c:pt idx="16">
                  <c:v>103.709105422023</c:v>
                </c:pt>
                <c:pt idx="17">
                  <c:v>103.605152674614</c:v>
                </c:pt>
                <c:pt idx="18">
                  <c:v>103.590431886254</c:v>
                </c:pt>
                <c:pt idx="19">
                  <c:v>103.676713029719</c:v>
                </c:pt>
                <c:pt idx="20">
                  <c:v>103.80936715892901</c:v>
                </c:pt>
                <c:pt idx="21">
                  <c:v>103.96384366223501</c:v>
                </c:pt>
                <c:pt idx="22">
                  <c:v>104.13298693660801</c:v>
                </c:pt>
                <c:pt idx="23">
                  <c:v>104.269300567831</c:v>
                </c:pt>
                <c:pt idx="24">
                  <c:v>104.340857419228</c:v>
                </c:pt>
                <c:pt idx="25">
                  <c:v>104.331108678794</c:v>
                </c:pt>
                <c:pt idx="26">
                  <c:v>104.239044544349</c:v>
                </c:pt>
                <c:pt idx="27">
                  <c:v>104.094228467883</c:v>
                </c:pt>
                <c:pt idx="28">
                  <c:v>103.930795290909</c:v>
                </c:pt>
                <c:pt idx="29">
                  <c:v>103.774033844995</c:v>
                </c:pt>
                <c:pt idx="30">
                  <c:v>103.674399362499</c:v>
                </c:pt>
                <c:pt idx="31">
                  <c:v>103.680937872917</c:v>
                </c:pt>
                <c:pt idx="32">
                  <c:v>103.788774579886</c:v>
                </c:pt>
                <c:pt idx="33">
                  <c:v>103.981355914649</c:v>
                </c:pt>
                <c:pt idx="34">
                  <c:v>104.176593874277</c:v>
                </c:pt>
                <c:pt idx="35">
                  <c:v>104.360104189618</c:v>
                </c:pt>
                <c:pt idx="36">
                  <c:v>104.526975450588</c:v>
                </c:pt>
                <c:pt idx="37">
                  <c:v>104.698846112486</c:v>
                </c:pt>
                <c:pt idx="38">
                  <c:v>104.875791215536</c:v>
                </c:pt>
                <c:pt idx="39">
                  <c:v>105.029714134483</c:v>
                </c:pt>
                <c:pt idx="40">
                  <c:v>105.129671248319</c:v>
                </c:pt>
                <c:pt idx="41">
                  <c:v>105.111083374152</c:v>
                </c:pt>
                <c:pt idx="42">
                  <c:v>104.91309249711099</c:v>
                </c:pt>
                <c:pt idx="43">
                  <c:v>104.547824802058</c:v>
                </c:pt>
                <c:pt idx="44">
                  <c:v>104.110249621645</c:v>
                </c:pt>
                <c:pt idx="45">
                  <c:v>103.66680302766601</c:v>
                </c:pt>
                <c:pt idx="46">
                  <c:v>103.303070091013</c:v>
                </c:pt>
                <c:pt idx="47">
                  <c:v>103.06123885804</c:v>
                </c:pt>
                <c:pt idx="48">
                  <c:v>102.925189021851</c:v>
                </c:pt>
                <c:pt idx="49">
                  <c:v>102.882711863457</c:v>
                </c:pt>
                <c:pt idx="50">
                  <c:v>102.91248477954601</c:v>
                </c:pt>
                <c:pt idx="51">
                  <c:v>102.985638451632</c:v>
                </c:pt>
                <c:pt idx="52">
                  <c:v>103.035034296801</c:v>
                </c:pt>
                <c:pt idx="53">
                  <c:v>103.01500841530201</c:v>
                </c:pt>
                <c:pt idx="54">
                  <c:v>102.85771703146</c:v>
                </c:pt>
                <c:pt idx="55">
                  <c:v>102.545978967534</c:v>
                </c:pt>
                <c:pt idx="56">
                  <c:v>102.134277700192</c:v>
                </c:pt>
                <c:pt idx="57">
                  <c:v>101.730443847685</c:v>
                </c:pt>
                <c:pt idx="58">
                  <c:v>101.424432887606</c:v>
                </c:pt>
                <c:pt idx="59">
                  <c:v>101.246661333774</c:v>
                </c:pt>
                <c:pt idx="60">
                  <c:v>101.186346167533</c:v>
                </c:pt>
                <c:pt idx="61">
                  <c:v>101.180969188097</c:v>
                </c:pt>
                <c:pt idx="62">
                  <c:v>101.227330422113</c:v>
                </c:pt>
                <c:pt idx="63">
                  <c:v>91.823026766571701</c:v>
                </c:pt>
                <c:pt idx="64">
                  <c:v>92.073027309791598</c:v>
                </c:pt>
                <c:pt idx="65">
                  <c:v>92.558757472240003</c:v>
                </c:pt>
                <c:pt idx="66">
                  <c:v>93.317102421833894</c:v>
                </c:pt>
                <c:pt idx="67">
                  <c:v>94.277736009998307</c:v>
                </c:pt>
                <c:pt idx="68">
                  <c:v>95.292194957839499</c:v>
                </c:pt>
                <c:pt idx="69">
                  <c:v>96.228015897416</c:v>
                </c:pt>
                <c:pt idx="70">
                  <c:v>96.996735432825602</c:v>
                </c:pt>
                <c:pt idx="71">
                  <c:v>97.567618513877093</c:v>
                </c:pt>
                <c:pt idx="72">
                  <c:v>97.972870251367894</c:v>
                </c:pt>
                <c:pt idx="73">
                  <c:v>98.262752378322404</c:v>
                </c:pt>
                <c:pt idx="74">
                  <c:v>98.464317046732404</c:v>
                </c:pt>
                <c:pt idx="75">
                  <c:v>98.612031049178597</c:v>
                </c:pt>
                <c:pt idx="76">
                  <c:v>98.729596702627305</c:v>
                </c:pt>
                <c:pt idx="77">
                  <c:v>98.818085090110401</c:v>
                </c:pt>
                <c:pt idx="78">
                  <c:v>98.910543166479201</c:v>
                </c:pt>
              </c:numCache>
            </c:numRef>
          </c:val>
          <c:smooth val="0"/>
          <c:extLst>
            <c:ext xmlns:c16="http://schemas.microsoft.com/office/drawing/2014/chart" uri="{C3380CC4-5D6E-409C-BE32-E72D297353CC}">
              <c16:uniqueId val="{00000001-A4D7-4060-A9DA-1E19D933244F}"/>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Datos!$I$7:$I$85</c:f>
              <c:numCache>
                <c:formatCode>0.0</c:formatCode>
                <c:ptCount val="79"/>
                <c:pt idx="0">
                  <c:v>105.05249081747699</c:v>
                </c:pt>
                <c:pt idx="1">
                  <c:v>105.201761229336</c:v>
                </c:pt>
                <c:pt idx="2">
                  <c:v>105.73593643882</c:v>
                </c:pt>
                <c:pt idx="3">
                  <c:v>107.02440810912699</c:v>
                </c:pt>
                <c:pt idx="4">
                  <c:v>106.56083241186199</c:v>
                </c:pt>
                <c:pt idx="5">
                  <c:v>107.392887993592</c:v>
                </c:pt>
                <c:pt idx="6">
                  <c:v>107.771733529554</c:v>
                </c:pt>
                <c:pt idx="7">
                  <c:v>107.780930282086</c:v>
                </c:pt>
                <c:pt idx="8">
                  <c:v>108.250984897264</c:v>
                </c:pt>
                <c:pt idx="9">
                  <c:v>108.366702375719</c:v>
                </c:pt>
                <c:pt idx="10">
                  <c:v>108.015226890023</c:v>
                </c:pt>
                <c:pt idx="11">
                  <c:v>107.527789045231</c:v>
                </c:pt>
                <c:pt idx="12">
                  <c:v>108.71910048108001</c:v>
                </c:pt>
                <c:pt idx="13">
                  <c:v>109.26576305367099</c:v>
                </c:pt>
                <c:pt idx="14">
                  <c:v>109.338315178917</c:v>
                </c:pt>
                <c:pt idx="15">
                  <c:v>109.57893215863299</c:v>
                </c:pt>
                <c:pt idx="16">
                  <c:v>110.132428146183</c:v>
                </c:pt>
                <c:pt idx="17">
                  <c:v>110.472635242927</c:v>
                </c:pt>
                <c:pt idx="18">
                  <c:v>110.842159152422</c:v>
                </c:pt>
                <c:pt idx="19">
                  <c:v>110.686252426916</c:v>
                </c:pt>
                <c:pt idx="20">
                  <c:v>111.596190868712</c:v>
                </c:pt>
                <c:pt idx="21">
                  <c:v>112.17381290459799</c:v>
                </c:pt>
                <c:pt idx="22">
                  <c:v>112.279966680162</c:v>
                </c:pt>
                <c:pt idx="23">
                  <c:v>113.304290337441</c:v>
                </c:pt>
                <c:pt idx="24">
                  <c:v>113.233350987683</c:v>
                </c:pt>
                <c:pt idx="25">
                  <c:v>113.39127913412101</c:v>
                </c:pt>
                <c:pt idx="26">
                  <c:v>113.533758778973</c:v>
                </c:pt>
                <c:pt idx="27">
                  <c:v>114.036950417914</c:v>
                </c:pt>
                <c:pt idx="28">
                  <c:v>113.62609165744399</c:v>
                </c:pt>
                <c:pt idx="29">
                  <c:v>114.37771987910099</c:v>
                </c:pt>
                <c:pt idx="30">
                  <c:v>113.77581825435099</c:v>
                </c:pt>
                <c:pt idx="31">
                  <c:v>114.73983668035299</c:v>
                </c:pt>
                <c:pt idx="32">
                  <c:v>113.59852678144399</c:v>
                </c:pt>
                <c:pt idx="33">
                  <c:v>114.656757292488</c:v>
                </c:pt>
                <c:pt idx="34">
                  <c:v>115.54021700915899</c:v>
                </c:pt>
                <c:pt idx="35">
                  <c:v>117.006474379533</c:v>
                </c:pt>
                <c:pt idx="36">
                  <c:v>115.18209089977699</c:v>
                </c:pt>
                <c:pt idx="37">
                  <c:v>116.561250732784</c:v>
                </c:pt>
                <c:pt idx="38">
                  <c:v>117.66267018430101</c:v>
                </c:pt>
                <c:pt idx="39">
                  <c:v>117.187151246854</c:v>
                </c:pt>
                <c:pt idx="40">
                  <c:v>117.360238217537</c:v>
                </c:pt>
                <c:pt idx="41">
                  <c:v>117.609780603461</c:v>
                </c:pt>
                <c:pt idx="42">
                  <c:v>118.278896105849</c:v>
                </c:pt>
                <c:pt idx="43">
                  <c:v>118.536273934932</c:v>
                </c:pt>
                <c:pt idx="44">
                  <c:v>117.844574615383</c:v>
                </c:pt>
                <c:pt idx="45">
                  <c:v>117.871817891105</c:v>
                </c:pt>
                <c:pt idx="46">
                  <c:v>118.218589987031</c:v>
                </c:pt>
                <c:pt idx="47">
                  <c:v>117.507359862074</c:v>
                </c:pt>
                <c:pt idx="48">
                  <c:v>118.029646823679</c:v>
                </c:pt>
                <c:pt idx="49">
                  <c:v>118.12070316409999</c:v>
                </c:pt>
                <c:pt idx="50">
                  <c:v>117.749553903083</c:v>
                </c:pt>
                <c:pt idx="51">
                  <c:v>117.939774818057</c:v>
                </c:pt>
                <c:pt idx="52">
                  <c:v>118.51796203577599</c:v>
                </c:pt>
                <c:pt idx="53">
                  <c:v>118.48818293818699</c:v>
                </c:pt>
                <c:pt idx="54">
                  <c:v>119.168525738288</c:v>
                </c:pt>
                <c:pt idx="55">
                  <c:v>118.552152655577</c:v>
                </c:pt>
                <c:pt idx="56">
                  <c:v>118.111216610143</c:v>
                </c:pt>
                <c:pt idx="57">
                  <c:v>118.214218786057</c:v>
                </c:pt>
                <c:pt idx="58">
                  <c:v>117.754566174147</c:v>
                </c:pt>
                <c:pt idx="59">
                  <c:v>117.651951266786</c:v>
                </c:pt>
                <c:pt idx="60">
                  <c:v>118.022412093024</c:v>
                </c:pt>
                <c:pt idx="61">
                  <c:v>117.468279788663</c:v>
                </c:pt>
                <c:pt idx="62">
                  <c:v>115.167520898506</c:v>
                </c:pt>
                <c:pt idx="63">
                  <c:v>98.945067582324398</c:v>
                </c:pt>
                <c:pt idx="64">
                  <c:v>95.981532238115904</c:v>
                </c:pt>
                <c:pt idx="65">
                  <c:v>102.161292598401</c:v>
                </c:pt>
                <c:pt idx="66">
                  <c:v>107.335371875153</c:v>
                </c:pt>
                <c:pt idx="67">
                  <c:v>107.93229008758399</c:v>
                </c:pt>
                <c:pt idx="68">
                  <c:v>109.792558098906</c:v>
                </c:pt>
                <c:pt idx="69">
                  <c:v>110.973871245707</c:v>
                </c:pt>
                <c:pt idx="70">
                  <c:v>112.26958842412201</c:v>
                </c:pt>
                <c:pt idx="71">
                  <c:v>112.615104601873</c:v>
                </c:pt>
                <c:pt idx="72">
                  <c:v>112.570529344655</c:v>
                </c:pt>
                <c:pt idx="73">
                  <c:v>111.80294650964299</c:v>
                </c:pt>
                <c:pt idx="74">
                  <c:v>115.153457685219</c:v>
                </c:pt>
                <c:pt idx="75">
                  <c:v>115.84375787282499</c:v>
                </c:pt>
                <c:pt idx="76">
                  <c:v>116.52361999623</c:v>
                </c:pt>
                <c:pt idx="77">
                  <c:v>115.97940761534799</c:v>
                </c:pt>
                <c:pt idx="78">
                  <c:v>116.31934714186301</c:v>
                </c:pt>
              </c:numCache>
            </c:numRef>
          </c:val>
          <c:extLst>
            <c:ext xmlns:c16="http://schemas.microsoft.com/office/drawing/2014/chart" uri="{C3380CC4-5D6E-409C-BE32-E72D297353CC}">
              <c16:uniqueId val="{00000000-94AC-4132-97FD-E7C4923A889D}"/>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Datos!$J$7:$J$85</c:f>
              <c:numCache>
                <c:formatCode>0.0</c:formatCode>
                <c:ptCount val="79"/>
                <c:pt idx="0">
                  <c:v>104.880930930201</c:v>
                </c:pt>
                <c:pt idx="1">
                  <c:v>105.291510653584</c:v>
                </c:pt>
                <c:pt idx="2">
                  <c:v>105.747933412062</c:v>
                </c:pt>
                <c:pt idx="3">
                  <c:v>106.25475314202799</c:v>
                </c:pt>
                <c:pt idx="4">
                  <c:v>106.765787294166</c:v>
                </c:pt>
                <c:pt idx="5">
                  <c:v>107.25181415338101</c:v>
                </c:pt>
                <c:pt idx="6">
                  <c:v>107.667687041647</c:v>
                </c:pt>
                <c:pt idx="7">
                  <c:v>107.96707688753099</c:v>
                </c:pt>
                <c:pt idx="8">
                  <c:v>108.127873751606</c:v>
                </c:pt>
                <c:pt idx="9">
                  <c:v>108.190793034075</c:v>
                </c:pt>
                <c:pt idx="10">
                  <c:v>108.28823133751899</c:v>
                </c:pt>
                <c:pt idx="11">
                  <c:v>108.474665023817</c:v>
                </c:pt>
                <c:pt idx="12">
                  <c:v>108.74565932150701</c:v>
                </c:pt>
                <c:pt idx="13">
                  <c:v>109.073811059798</c:v>
                </c:pt>
                <c:pt idx="14">
                  <c:v>109.393818325886</c:v>
                </c:pt>
                <c:pt idx="15">
                  <c:v>109.727072915043</c:v>
                </c:pt>
                <c:pt idx="16">
                  <c:v>110.066612392493</c:v>
                </c:pt>
                <c:pt idx="17">
                  <c:v>110.379856411221</c:v>
                </c:pt>
                <c:pt idx="18">
                  <c:v>110.70936397304899</c:v>
                </c:pt>
                <c:pt idx="19">
                  <c:v>111.049495919747</c:v>
                </c:pt>
                <c:pt idx="20">
                  <c:v>111.48645408298501</c:v>
                </c:pt>
                <c:pt idx="21">
                  <c:v>112.028221320163</c:v>
                </c:pt>
                <c:pt idx="22">
                  <c:v>112.568908062666</c:v>
                </c:pt>
                <c:pt idx="23">
                  <c:v>112.980096340754</c:v>
                </c:pt>
                <c:pt idx="24">
                  <c:v>113.27020370426099</c:v>
                </c:pt>
                <c:pt idx="25">
                  <c:v>113.471409717653</c:v>
                </c:pt>
                <c:pt idx="26">
                  <c:v>113.640393704186</c:v>
                </c:pt>
                <c:pt idx="27">
                  <c:v>113.76890631363899</c:v>
                </c:pt>
                <c:pt idx="28">
                  <c:v>113.91071794404699</c:v>
                </c:pt>
                <c:pt idx="29">
                  <c:v>114.054475237543</c:v>
                </c:pt>
                <c:pt idx="30">
                  <c:v>114.198976733704</c:v>
                </c:pt>
                <c:pt idx="31">
                  <c:v>114.37497023386901</c:v>
                </c:pt>
                <c:pt idx="32">
                  <c:v>114.624382725526</c:v>
                </c:pt>
                <c:pt idx="33">
                  <c:v>114.95988004572</c:v>
                </c:pt>
                <c:pt idx="34">
                  <c:v>115.37618733863199</c:v>
                </c:pt>
                <c:pt idx="35">
                  <c:v>115.832295563825</c:v>
                </c:pt>
                <c:pt idx="36">
                  <c:v>116.318978082507</c:v>
                </c:pt>
                <c:pt idx="37">
                  <c:v>116.71441505622001</c:v>
                </c:pt>
                <c:pt idx="38">
                  <c:v>116.999300169531</c:v>
                </c:pt>
                <c:pt idx="39">
                  <c:v>117.233038720043</c:v>
                </c:pt>
                <c:pt idx="40">
                  <c:v>117.502339792912</c:v>
                </c:pt>
                <c:pt idx="41">
                  <c:v>117.814140999269</c:v>
                </c:pt>
                <c:pt idx="42">
                  <c:v>118.066215020342</c:v>
                </c:pt>
                <c:pt idx="43">
                  <c:v>118.206401248342</c:v>
                </c:pt>
                <c:pt idx="44">
                  <c:v>118.149811630256</c:v>
                </c:pt>
                <c:pt idx="45">
                  <c:v>117.98748978813001</c:v>
                </c:pt>
                <c:pt idx="46">
                  <c:v>117.88435372143501</c:v>
                </c:pt>
                <c:pt idx="47">
                  <c:v>117.88677099762199</c:v>
                </c:pt>
                <c:pt idx="48">
                  <c:v>117.893996964579</c:v>
                </c:pt>
                <c:pt idx="49">
                  <c:v>117.893683905912</c:v>
                </c:pt>
                <c:pt idx="50">
                  <c:v>117.941618466446</c:v>
                </c:pt>
                <c:pt idx="51">
                  <c:v>118.109247377063</c:v>
                </c:pt>
                <c:pt idx="52">
                  <c:v>118.38197819084399</c:v>
                </c:pt>
                <c:pt idx="53">
                  <c:v>118.657215421579</c:v>
                </c:pt>
                <c:pt idx="54">
                  <c:v>118.757466227874</c:v>
                </c:pt>
                <c:pt idx="55">
                  <c:v>118.621113149596</c:v>
                </c:pt>
                <c:pt idx="56">
                  <c:v>118.334972340912</c:v>
                </c:pt>
                <c:pt idx="57">
                  <c:v>118.051269014776</c:v>
                </c:pt>
                <c:pt idx="58">
                  <c:v>117.87032320414001</c:v>
                </c:pt>
                <c:pt idx="59">
                  <c:v>117.76800034518</c:v>
                </c:pt>
                <c:pt idx="60">
                  <c:v>117.58465824252799</c:v>
                </c:pt>
                <c:pt idx="61">
                  <c:v>117.319214415142</c:v>
                </c:pt>
                <c:pt idx="62">
                  <c:v>117.142538849573</c:v>
                </c:pt>
                <c:pt idx="63">
                  <c:v>106.57586869913099</c:v>
                </c:pt>
                <c:pt idx="64">
                  <c:v>106.761180547791</c:v>
                </c:pt>
                <c:pt idx="65">
                  <c:v>107.14634196578101</c:v>
                </c:pt>
                <c:pt idx="66">
                  <c:v>107.750340177216</c:v>
                </c:pt>
                <c:pt idx="67">
                  <c:v>108.593007539148</c:v>
                </c:pt>
                <c:pt idx="68">
                  <c:v>109.6764794584</c:v>
                </c:pt>
                <c:pt idx="69">
                  <c:v>110.78838409462401</c:v>
                </c:pt>
                <c:pt idx="70">
                  <c:v>111.67959033343401</c:v>
                </c:pt>
                <c:pt idx="71">
                  <c:v>112.348559413494</c:v>
                </c:pt>
                <c:pt idx="72">
                  <c:v>113.041283348184</c:v>
                </c:pt>
                <c:pt idx="73">
                  <c:v>113.93855097881899</c:v>
                </c:pt>
                <c:pt idx="74">
                  <c:v>114.92299240344499</c:v>
                </c:pt>
                <c:pt idx="75">
                  <c:v>115.727546130627</c:v>
                </c:pt>
                <c:pt idx="76">
                  <c:v>116.162422615846</c:v>
                </c:pt>
                <c:pt idx="77">
                  <c:v>116.314588060749</c:v>
                </c:pt>
                <c:pt idx="78">
                  <c:v>116.43663134490799</c:v>
                </c:pt>
              </c:numCache>
            </c:numRef>
          </c:val>
          <c:smooth val="0"/>
          <c:extLst>
            <c:ext xmlns:c16="http://schemas.microsoft.com/office/drawing/2014/chart" uri="{C3380CC4-5D6E-409C-BE32-E72D297353CC}">
              <c16:uniqueId val="{00000001-94AC-4132-97FD-E7C4923A889D}"/>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48DA-475A-BDE9-64435927DAAA}"/>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48DA-475A-BDE9-64435927DAAA}"/>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48DA-475A-BDE9-64435927DAAA}"/>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48DA-475A-BDE9-64435927DAAA}"/>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DA-475A-BDE9-64435927DAAA}"/>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DA-475A-BDE9-64435927DAAA}"/>
                </c:ext>
              </c:extLst>
            </c:dLbl>
            <c:dLbl>
              <c:idx val="2"/>
              <c:layout>
                <c:manualLayout>
                  <c:x val="-8.2034904942230868E-3"/>
                  <c:y val="5.3453222116281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8DA-475A-BDE9-64435927DAAA}"/>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DA-475A-BDE9-64435927DAAA}"/>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Secundarias</c:v>
                </c:pt>
                <c:pt idx="2">
                  <c:v>   Actividades Terciarias</c:v>
                </c:pt>
                <c:pt idx="3">
                  <c:v>  IGAE</c:v>
                </c:pt>
              </c:strCache>
            </c:strRef>
          </c:cat>
          <c:val>
            <c:numRef>
              <c:f>Datos!$J$52:$J$55</c:f>
              <c:numCache>
                <c:formatCode>#,##0.0</c:formatCode>
                <c:ptCount val="4"/>
                <c:pt idx="0">
                  <c:v>-0.67185103774300003</c:v>
                </c:pt>
                <c:pt idx="1">
                  <c:v>7.2752774359199996</c:v>
                </c:pt>
                <c:pt idx="2">
                  <c:v>7.4410233278630002</c:v>
                </c:pt>
                <c:pt idx="3">
                  <c:v>7.087992598125</c:v>
                </c:pt>
              </c:numCache>
            </c:numRef>
          </c:val>
          <c:extLst>
            <c:ext xmlns:c16="http://schemas.microsoft.com/office/drawing/2014/chart" uri="{C3380CC4-5D6E-409C-BE32-E72D297353CC}">
              <c16:uniqueId val="{0000000B-48DA-475A-BDE9-64435927DAAA}"/>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9"/>
          <c:min val="-1.5"/>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665998144"/>
        <c:crosses val="autoZero"/>
        <c:crossBetween val="between"/>
        <c:majorUnit val="1.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505A-EEA0-4520-95B7-7DE03DF0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1655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70</cp:revision>
  <cp:lastPrinted>2020-02-21T18:49:00Z</cp:lastPrinted>
  <dcterms:created xsi:type="dcterms:W3CDTF">2021-06-23T17:17:00Z</dcterms:created>
  <dcterms:modified xsi:type="dcterms:W3CDTF">2021-09-24T22:57:00Z</dcterms:modified>
  <cp:category>Encuesta Nacional de Ocupación y Empleo</cp:category>
  <cp:version>1</cp:version>
</cp:coreProperties>
</file>