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6A3FB" w14:textId="77777777" w:rsidR="00F66C0E" w:rsidRDefault="00F66C0E" w:rsidP="00F66C0E">
      <w:pPr>
        <w:tabs>
          <w:tab w:val="left" w:pos="8789"/>
        </w:tabs>
        <w:ind w:right="51"/>
        <w:jc w:val="center"/>
        <w:rPr>
          <w:b/>
          <w:sz w:val="28"/>
        </w:rPr>
      </w:pPr>
      <w:r w:rsidRPr="00152098">
        <w:rPr>
          <w:noProof/>
          <w:snapToGrid w:val="0"/>
          <w:color w:val="FFFFFF" w:themeColor="background1"/>
          <w:sz w:val="22"/>
          <w:szCs w:val="22"/>
          <w:shd w:val="clear" w:color="auto" w:fill="365F91" w:themeFill="accent1" w:themeFillShade="BF"/>
          <w:lang w:eastAsia="es-MX"/>
        </w:rPr>
        <mc:AlternateContent>
          <mc:Choice Requires="wps">
            <w:drawing>
              <wp:anchor distT="45720" distB="45720" distL="114300" distR="114300" simplePos="0" relativeHeight="251659264" behindDoc="0" locked="0" layoutInCell="1" allowOverlap="1" wp14:anchorId="35965B90" wp14:editId="64436F83">
                <wp:simplePos x="0" y="0"/>
                <wp:positionH relativeFrom="column">
                  <wp:posOffset>2872105</wp:posOffset>
                </wp:positionH>
                <wp:positionV relativeFrom="paragraph">
                  <wp:posOffset>635</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40B620FB" w14:textId="77777777" w:rsidR="00F66C0E" w:rsidRPr="008A2C21" w:rsidRDefault="00F66C0E" w:rsidP="00F66C0E">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965B90" id="_x0000_t202" coordsize="21600,21600" o:spt="202" path="m,l,21600r21600,l21600,xe">
                <v:stroke joinstyle="miter"/>
                <v:path gradientshapeok="t" o:connecttype="rect"/>
              </v:shapetype>
              <v:shape id="Cuadro de texto 2" o:spid="_x0000_s1026" type="#_x0000_t202" style="position:absolute;left:0;text-align:left;margin-left:226.15pt;margin-top:.05pt;width:257.5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" stroked="f">
                <v:textbox>
                  <w:txbxContent>
                    <w:p w14:paraId="40B620FB" w14:textId="77777777" w:rsidR="00F66C0E" w:rsidRPr="008A2C21" w:rsidRDefault="00F66C0E" w:rsidP="00F66C0E">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7 de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p>
    <w:p w14:paraId="53FDA003" w14:textId="77777777" w:rsidR="00F66C0E" w:rsidRDefault="00F66C0E" w:rsidP="00F66C0E">
      <w:pPr>
        <w:pStyle w:val="Textoindependiente"/>
        <w:spacing w:before="120"/>
        <w:rPr>
          <w:sz w:val="28"/>
        </w:rPr>
      </w:pPr>
    </w:p>
    <w:p w14:paraId="43F06609" w14:textId="77777777" w:rsidR="00F66C0E" w:rsidRPr="00A851DA" w:rsidRDefault="00F66C0E" w:rsidP="00F66C0E">
      <w:pPr>
        <w:pStyle w:val="Textoindependiente"/>
        <w:spacing w:before="120"/>
        <w:rPr>
          <w:sz w:val="24"/>
          <w:szCs w:val="24"/>
        </w:rPr>
      </w:pPr>
      <w:r w:rsidRPr="00A851DA">
        <w:rPr>
          <w:sz w:val="24"/>
          <w:szCs w:val="24"/>
        </w:rPr>
        <w:t>INDICADOR MENSUAL DEL CONSUMO</w:t>
      </w:r>
    </w:p>
    <w:p w14:paraId="78874407" w14:textId="77777777" w:rsidR="00F66C0E" w:rsidRPr="00A851DA" w:rsidRDefault="00F66C0E" w:rsidP="00F66C0E">
      <w:pPr>
        <w:pStyle w:val="Textoindependiente"/>
        <w:tabs>
          <w:tab w:val="center" w:pos="4420"/>
          <w:tab w:val="left" w:pos="8099"/>
        </w:tabs>
        <w:rPr>
          <w:sz w:val="24"/>
          <w:szCs w:val="24"/>
        </w:rPr>
      </w:pPr>
      <w:r w:rsidRPr="00A851DA">
        <w:rPr>
          <w:sz w:val="24"/>
          <w:szCs w:val="24"/>
        </w:rPr>
        <w:t>PRIVADO EN EL MERCADO INTERIOr</w:t>
      </w:r>
      <w:r w:rsidRPr="00A851DA">
        <w:rPr>
          <w:sz w:val="24"/>
          <w:szCs w:val="24"/>
          <w:vertAlign w:val="superscript"/>
        </w:rPr>
        <w:footnoteReference w:id="1"/>
      </w:r>
    </w:p>
    <w:p w14:paraId="7849BBCC" w14:textId="77777777" w:rsidR="00F66C0E" w:rsidRPr="00A851DA" w:rsidRDefault="00F66C0E" w:rsidP="00F66C0E">
      <w:pPr>
        <w:pStyle w:val="Textoindependiente"/>
        <w:rPr>
          <w:b w:val="0"/>
          <w:sz w:val="24"/>
          <w:szCs w:val="24"/>
        </w:rPr>
      </w:pPr>
      <w:r w:rsidRPr="00A851DA">
        <w:rPr>
          <w:sz w:val="24"/>
          <w:szCs w:val="24"/>
        </w:rPr>
        <w:t>DURANTE FEBRERO DE 2021</w:t>
      </w:r>
    </w:p>
    <w:p w14:paraId="3FB679AB" w14:textId="69644657" w:rsidR="00F66C0E" w:rsidRPr="00A851DA" w:rsidRDefault="00F66C0E" w:rsidP="00F66C0E">
      <w:pPr>
        <w:jc w:val="center"/>
        <w:rPr>
          <w:b/>
          <w:spacing w:val="25"/>
          <w:szCs w:val="24"/>
        </w:rPr>
      </w:pPr>
      <w:r w:rsidRPr="00A851DA">
        <w:rPr>
          <w:b/>
          <w:i/>
          <w:spacing w:val="25"/>
          <w:szCs w:val="24"/>
        </w:rPr>
        <w:t>(Cifras desestacionalizadas)</w:t>
      </w:r>
      <w:bookmarkStart w:id="0" w:name="_GoBack"/>
      <w:bookmarkEnd w:id="0"/>
    </w:p>
    <w:p w14:paraId="56667900" w14:textId="77777777" w:rsidR="00F66C0E" w:rsidRPr="009F7B21" w:rsidRDefault="00F66C0E" w:rsidP="00F66C0E">
      <w:pPr>
        <w:pStyle w:val="bullet"/>
        <w:widowControl w:val="0"/>
        <w:tabs>
          <w:tab w:val="clear" w:pos="7939"/>
          <w:tab w:val="left" w:pos="7230"/>
        </w:tabs>
        <w:ind w:left="-142" w:right="-547" w:firstLine="0"/>
        <w:rPr>
          <w:b w:val="0"/>
          <w:sz w:val="24"/>
          <w:szCs w:val="24"/>
        </w:rPr>
      </w:pPr>
      <w:r w:rsidRPr="009F7B21">
        <w:rPr>
          <w:b w:val="0"/>
          <w:sz w:val="24"/>
          <w:szCs w:val="24"/>
        </w:rPr>
        <w:t>El Indicador Mensual del Consumo Privado en el Mercado Interior (IMCPMI)</w:t>
      </w:r>
      <w:r w:rsidRPr="009F7B21">
        <w:rPr>
          <w:b w:val="0"/>
          <w:sz w:val="24"/>
          <w:szCs w:val="24"/>
          <w:vertAlign w:val="superscript"/>
        </w:rPr>
        <w:footnoteReference w:id="2"/>
      </w:r>
      <w:r w:rsidRPr="009F7B21">
        <w:rPr>
          <w:b w:val="0"/>
          <w:sz w:val="24"/>
          <w:szCs w:val="24"/>
        </w:rPr>
        <w:t xml:space="preserve"> registró una disminución en términos reales de 0.2% durante febrero del presente año frente al mes inmediato anterior, con cifras desestacionalizadas</w:t>
      </w:r>
      <w:r w:rsidRPr="009F7B21">
        <w:rPr>
          <w:b w:val="0"/>
          <w:sz w:val="24"/>
          <w:szCs w:val="24"/>
          <w:vertAlign w:val="superscript"/>
        </w:rPr>
        <w:footnoteReference w:id="3"/>
      </w:r>
      <w:r w:rsidRPr="009F7B21">
        <w:rPr>
          <w:b w:val="0"/>
          <w:sz w:val="24"/>
          <w:szCs w:val="24"/>
        </w:rPr>
        <w:t xml:space="preserve">. </w:t>
      </w:r>
    </w:p>
    <w:p w14:paraId="343CD3B6" w14:textId="77777777" w:rsidR="00F66C0E" w:rsidRPr="009D7600" w:rsidRDefault="00F66C0E" w:rsidP="00F66C0E">
      <w:pPr>
        <w:jc w:val="center"/>
        <w:outlineLvl w:val="3"/>
        <w:rPr>
          <w:rFonts w:cs="Arial"/>
          <w:b/>
          <w:smallCaps/>
          <w:sz w:val="8"/>
          <w:szCs w:val="8"/>
        </w:rPr>
      </w:pPr>
    </w:p>
    <w:p w14:paraId="1C92B760" w14:textId="77777777" w:rsidR="00F66C0E" w:rsidRDefault="00F66C0E" w:rsidP="00F66C0E">
      <w:pPr>
        <w:jc w:val="center"/>
        <w:outlineLvl w:val="3"/>
        <w:rPr>
          <w:rFonts w:cs="Arial"/>
          <w:b/>
          <w:smallCaps/>
          <w:sz w:val="22"/>
        </w:rPr>
      </w:pPr>
    </w:p>
    <w:p w14:paraId="43919193" w14:textId="77777777" w:rsidR="00F66C0E" w:rsidRDefault="00F66C0E" w:rsidP="00F66C0E">
      <w:pPr>
        <w:jc w:val="center"/>
        <w:outlineLvl w:val="3"/>
        <w:rPr>
          <w:rFonts w:cs="Arial"/>
          <w:b/>
          <w:smallCaps/>
          <w:sz w:val="22"/>
        </w:rPr>
      </w:pPr>
      <w:r>
        <w:rPr>
          <w:rFonts w:cs="Arial"/>
          <w:b/>
          <w:smallCaps/>
          <w:sz w:val="22"/>
        </w:rPr>
        <w:t>Indicador Mensual del Consumo Privado</w:t>
      </w:r>
    </w:p>
    <w:p w14:paraId="428A9AFB" w14:textId="77777777" w:rsidR="00F66C0E" w:rsidRDefault="00F66C0E" w:rsidP="00F66C0E">
      <w:pPr>
        <w:jc w:val="center"/>
        <w:outlineLvl w:val="3"/>
        <w:rPr>
          <w:rFonts w:cs="Arial"/>
          <w:b/>
          <w:smallCaps/>
          <w:sz w:val="22"/>
        </w:rPr>
      </w:pPr>
      <w:r>
        <w:rPr>
          <w:rFonts w:cs="Arial"/>
          <w:b/>
          <w:smallCaps/>
          <w:sz w:val="22"/>
        </w:rPr>
        <w:t>en el Mercado Interior a febrero</w:t>
      </w:r>
      <w:r w:rsidRPr="004C2706">
        <w:rPr>
          <w:rFonts w:cs="Arial"/>
          <w:b/>
          <w:smallCaps/>
          <w:sz w:val="20"/>
        </w:rPr>
        <w:t xml:space="preserve"> </w:t>
      </w:r>
      <w:r>
        <w:rPr>
          <w:rFonts w:cs="Arial"/>
          <w:b/>
          <w:smallCaps/>
          <w:sz w:val="22"/>
        </w:rPr>
        <w:t>de 2021</w:t>
      </w:r>
    </w:p>
    <w:p w14:paraId="5A685C35" w14:textId="77777777" w:rsidR="00F66C0E" w:rsidRDefault="00F66C0E" w:rsidP="00F66C0E">
      <w:pPr>
        <w:jc w:val="center"/>
        <w:outlineLvl w:val="3"/>
        <w:rPr>
          <w:rFonts w:cs="Arial"/>
          <w:b/>
          <w:smallCaps/>
          <w:sz w:val="22"/>
        </w:rPr>
      </w:pPr>
      <w:r>
        <w:rPr>
          <w:rFonts w:cs="Arial"/>
          <w:b/>
          <w:smallCaps/>
          <w:sz w:val="22"/>
        </w:rPr>
        <w:t>Series desestacionalizada y de tendencia-ciclo</w:t>
      </w:r>
    </w:p>
    <w:p w14:paraId="70A652F7" w14:textId="77777777" w:rsidR="00F66C0E" w:rsidRDefault="00F66C0E" w:rsidP="00F66C0E">
      <w:pPr>
        <w:jc w:val="center"/>
        <w:outlineLvl w:val="3"/>
        <w:rPr>
          <w:rFonts w:cs="Arial"/>
          <w:sz w:val="18"/>
          <w:szCs w:val="18"/>
        </w:rPr>
      </w:pPr>
      <w:r>
        <w:rPr>
          <w:rFonts w:cs="Arial"/>
          <w:smallCaps/>
          <w:sz w:val="18"/>
          <w:szCs w:val="18"/>
        </w:rPr>
        <w:t>(</w:t>
      </w:r>
      <w:r>
        <w:rPr>
          <w:rFonts w:cs="Arial"/>
          <w:sz w:val="18"/>
          <w:szCs w:val="18"/>
        </w:rPr>
        <w:t>Índice base 2013=100)</w:t>
      </w:r>
    </w:p>
    <w:p w14:paraId="37C9B548" w14:textId="77777777" w:rsidR="00F66C0E" w:rsidRDefault="00F66C0E" w:rsidP="00F66C0E">
      <w:pPr>
        <w:jc w:val="center"/>
        <w:outlineLvl w:val="3"/>
        <w:rPr>
          <w:rFonts w:cs="Arial"/>
          <w:sz w:val="18"/>
          <w:szCs w:val="18"/>
        </w:rPr>
      </w:pPr>
      <w:r>
        <w:rPr>
          <w:noProof/>
        </w:rPr>
        <w:drawing>
          <wp:inline distT="0" distB="0" distL="0" distR="0" wp14:anchorId="0A19EA61" wp14:editId="1F415366">
            <wp:extent cx="4320000" cy="2527200"/>
            <wp:effectExtent l="0" t="0" r="23495" b="2603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3C6632" w14:textId="77777777" w:rsidR="00F66C0E" w:rsidRDefault="00F66C0E" w:rsidP="00F66C0E">
      <w:pPr>
        <w:ind w:left="708" w:firstLine="426"/>
        <w:jc w:val="left"/>
      </w:pPr>
      <w:r>
        <w:rPr>
          <w:rFonts w:cs="Arial"/>
          <w:sz w:val="16"/>
        </w:rPr>
        <w:t>Fuente: INEGI.</w:t>
      </w:r>
    </w:p>
    <w:p w14:paraId="38295A3D" w14:textId="77777777" w:rsidR="00F66C0E" w:rsidRDefault="00F66C0E" w:rsidP="00F66C0E">
      <w:pPr>
        <w:pStyle w:val="bullet"/>
        <w:widowControl w:val="0"/>
        <w:tabs>
          <w:tab w:val="clear" w:pos="7939"/>
          <w:tab w:val="left" w:pos="7230"/>
        </w:tabs>
        <w:spacing w:before="0"/>
        <w:ind w:left="-142" w:right="-547" w:firstLine="0"/>
        <w:rPr>
          <w:b w:val="0"/>
          <w:sz w:val="24"/>
          <w:szCs w:val="24"/>
        </w:rPr>
      </w:pPr>
    </w:p>
    <w:p w14:paraId="2577BA57" w14:textId="77777777" w:rsidR="00F66C0E" w:rsidRPr="008A417E" w:rsidRDefault="00F66C0E" w:rsidP="00F66C0E">
      <w:pPr>
        <w:pStyle w:val="bullet"/>
        <w:widowControl w:val="0"/>
        <w:tabs>
          <w:tab w:val="clear" w:pos="7939"/>
          <w:tab w:val="left" w:pos="7230"/>
        </w:tabs>
        <w:ind w:left="-142" w:right="-547" w:firstLine="0"/>
        <w:rPr>
          <w:b w:val="0"/>
          <w:sz w:val="24"/>
          <w:szCs w:val="24"/>
        </w:rPr>
      </w:pPr>
      <w:r w:rsidRPr="008A417E">
        <w:rPr>
          <w:b w:val="0"/>
          <w:sz w:val="24"/>
          <w:szCs w:val="24"/>
        </w:rPr>
        <w:t>Por componentes, el consumo en Bienes de origen importado se redujo 1.8% y el de Bienes y Servicios de origen nacional retrocedió 0.3% en el segundo mes de 2021 respecto al mes previo, según datos ajustados por estacionalidad.</w:t>
      </w:r>
    </w:p>
    <w:p w14:paraId="7D346FD2" w14:textId="77777777" w:rsidR="00F66C0E" w:rsidRDefault="00F66C0E" w:rsidP="00F66C0E">
      <w:pPr>
        <w:pStyle w:val="bullet"/>
        <w:widowControl w:val="0"/>
        <w:tabs>
          <w:tab w:val="clear" w:pos="7939"/>
          <w:tab w:val="left" w:pos="7230"/>
        </w:tabs>
        <w:spacing w:before="360"/>
        <w:ind w:left="-142" w:right="-547" w:firstLine="0"/>
        <w:rPr>
          <w:b w:val="0"/>
          <w:bCs/>
          <w:sz w:val="24"/>
          <w:szCs w:val="24"/>
        </w:rPr>
      </w:pPr>
    </w:p>
    <w:p w14:paraId="6A26E7A8" w14:textId="5FC22897" w:rsidR="00A851DA" w:rsidRDefault="00A851DA">
      <w:pPr>
        <w:widowControl/>
        <w:jc w:val="left"/>
        <w:rPr>
          <w:szCs w:val="24"/>
          <w:lang w:val="es-ES_tradnl"/>
        </w:rPr>
      </w:pPr>
      <w:r>
        <w:rPr>
          <w:b/>
          <w:szCs w:val="24"/>
        </w:rPr>
        <w:br w:type="page"/>
      </w:r>
    </w:p>
    <w:p w14:paraId="369C1F65" w14:textId="77777777" w:rsidR="00F66C0E" w:rsidRDefault="00F66C0E" w:rsidP="00F66C0E">
      <w:pPr>
        <w:pStyle w:val="bullet"/>
        <w:widowControl w:val="0"/>
        <w:tabs>
          <w:tab w:val="clear" w:pos="7939"/>
          <w:tab w:val="left" w:pos="7230"/>
        </w:tabs>
        <w:spacing w:before="120"/>
        <w:ind w:left="-142" w:right="-547" w:firstLine="0"/>
        <w:rPr>
          <w:b w:val="0"/>
          <w:sz w:val="24"/>
          <w:szCs w:val="24"/>
        </w:rPr>
      </w:pPr>
    </w:p>
    <w:p w14:paraId="7191F77D" w14:textId="77777777" w:rsidR="00F66C0E" w:rsidRPr="008A417E" w:rsidRDefault="00F66C0E" w:rsidP="00A03EB2">
      <w:pPr>
        <w:pStyle w:val="bullet"/>
        <w:widowControl w:val="0"/>
        <w:tabs>
          <w:tab w:val="clear" w:pos="7939"/>
          <w:tab w:val="left" w:pos="7230"/>
        </w:tabs>
        <w:spacing w:before="0"/>
        <w:ind w:left="-142" w:right="-547" w:firstLine="0"/>
        <w:rPr>
          <w:b w:val="0"/>
          <w:sz w:val="24"/>
          <w:szCs w:val="24"/>
        </w:rPr>
      </w:pPr>
      <w:r w:rsidRPr="008A417E">
        <w:rPr>
          <w:b w:val="0"/>
          <w:sz w:val="24"/>
          <w:szCs w:val="24"/>
        </w:rPr>
        <w:t>En su comparación anual</w:t>
      </w:r>
      <w:r w:rsidRPr="008A417E">
        <w:rPr>
          <w:b w:val="0"/>
          <w:sz w:val="24"/>
          <w:szCs w:val="24"/>
          <w:vertAlign w:val="superscript"/>
        </w:rPr>
        <w:footnoteReference w:id="4"/>
      </w:r>
      <w:r w:rsidRPr="008A417E">
        <w:rPr>
          <w:b w:val="0"/>
          <w:sz w:val="24"/>
          <w:szCs w:val="24"/>
        </w:rPr>
        <w:t>, el IMCPMI mostró una caída de 6.5% en el mes de referencia. A su interior, los gastos en Bienes y Servicios nacionales descendieron 7.6% (los Servicios bajaron 14.1% y los Bienes disminuyeron 0.5%); mientras que los Bienes de origen importado crecieron 2.9% con relación a los de igual mes de 2020.</w:t>
      </w:r>
    </w:p>
    <w:p w14:paraId="07D05FFD" w14:textId="74C1C9EB" w:rsidR="00F66C0E" w:rsidRDefault="00F66C0E" w:rsidP="00F66C0E">
      <w:pPr>
        <w:pStyle w:val="p0"/>
        <w:spacing w:before="60"/>
        <w:jc w:val="center"/>
        <w:rPr>
          <w:rFonts w:cs="Arial"/>
          <w:color w:val="auto"/>
          <w:sz w:val="20"/>
          <w:szCs w:val="22"/>
        </w:rPr>
      </w:pPr>
    </w:p>
    <w:p w14:paraId="496C2785" w14:textId="77777777" w:rsidR="00A03EB2" w:rsidRDefault="00A03EB2" w:rsidP="00F66C0E">
      <w:pPr>
        <w:pStyle w:val="p0"/>
        <w:spacing w:before="60"/>
        <w:jc w:val="center"/>
        <w:rPr>
          <w:rFonts w:cs="Arial"/>
          <w:color w:val="auto"/>
          <w:sz w:val="20"/>
          <w:szCs w:val="22"/>
        </w:rPr>
      </w:pPr>
    </w:p>
    <w:p w14:paraId="5FFF1DD6" w14:textId="77777777" w:rsidR="00F66C0E" w:rsidRDefault="00F66C0E" w:rsidP="00F66C0E">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59288C08" w14:textId="77777777" w:rsidR="00F66C0E" w:rsidRDefault="00F66C0E" w:rsidP="00F66C0E">
      <w:pPr>
        <w:pStyle w:val="p0"/>
        <w:spacing w:before="0"/>
        <w:jc w:val="center"/>
        <w:rPr>
          <w:rFonts w:cs="Arial"/>
          <w:b/>
          <w:smallCaps/>
          <w:color w:val="auto"/>
          <w:sz w:val="22"/>
          <w:szCs w:val="22"/>
        </w:rPr>
      </w:pPr>
      <w:r>
        <w:rPr>
          <w:rFonts w:cs="Arial"/>
          <w:b/>
          <w:smallCaps/>
          <w:color w:val="auto"/>
          <w:sz w:val="22"/>
          <w:szCs w:val="22"/>
        </w:rPr>
        <w:t>Mercado Interior durante febrero de 2021</w:t>
      </w:r>
    </w:p>
    <w:p w14:paraId="03910153" w14:textId="77777777" w:rsidR="00F66C0E" w:rsidRDefault="00F66C0E" w:rsidP="00F66C0E">
      <w:pPr>
        <w:pStyle w:val="p0"/>
        <w:spacing w:before="0"/>
        <w:jc w:val="center"/>
        <w:rPr>
          <w:rFonts w:cs="Arial"/>
          <w:b/>
          <w:smallCaps/>
          <w:color w:val="auto"/>
          <w:sz w:val="22"/>
          <w:szCs w:val="22"/>
        </w:rPr>
      </w:pPr>
      <w:r>
        <w:rPr>
          <w:rFonts w:cs="Arial"/>
          <w:b/>
          <w:smallCaps/>
          <w:color w:val="auto"/>
          <w:sz w:val="22"/>
          <w:szCs w:val="22"/>
        </w:rPr>
        <w:t>Cifras desestacionalizadas por componente</w:t>
      </w:r>
    </w:p>
    <w:tbl>
      <w:tblPr>
        <w:tblW w:w="0" w:type="auto"/>
        <w:jc w:val="center"/>
        <w:tblLayout w:type="fixed"/>
        <w:tblCellMar>
          <w:left w:w="107" w:type="dxa"/>
          <w:right w:w="107" w:type="dxa"/>
        </w:tblCellMar>
        <w:tblLook w:val="04A0" w:firstRow="1" w:lastRow="0" w:firstColumn="1" w:lastColumn="0" w:noHBand="0" w:noVBand="1"/>
      </w:tblPr>
      <w:tblGrid>
        <w:gridCol w:w="2834"/>
        <w:gridCol w:w="1687"/>
        <w:gridCol w:w="1843"/>
      </w:tblGrid>
      <w:tr w:rsidR="00F66C0E" w14:paraId="34BDFC89" w14:textId="77777777" w:rsidTr="00622E3A">
        <w:trPr>
          <w:cantSplit/>
          <w:trHeight w:val="20"/>
          <w:jc w:val="center"/>
        </w:trPr>
        <w:tc>
          <w:tcPr>
            <w:tcW w:w="2834" w:type="dxa"/>
            <w:tcBorders>
              <w:top w:val="double" w:sz="4" w:space="0" w:color="auto"/>
              <w:left w:val="double" w:sz="4" w:space="0" w:color="auto"/>
              <w:bottom w:val="single" w:sz="8" w:space="0" w:color="404040"/>
              <w:right w:val="single" w:sz="8" w:space="0" w:color="404040"/>
            </w:tcBorders>
            <w:shd w:val="clear" w:color="auto" w:fill="C2D69B" w:themeFill="accent3" w:themeFillTint="99"/>
            <w:vAlign w:val="center"/>
            <w:hideMark/>
          </w:tcPr>
          <w:p w14:paraId="6CEC8EA3" w14:textId="77777777" w:rsidR="00F66C0E" w:rsidRDefault="00F66C0E" w:rsidP="00622E3A">
            <w:pPr>
              <w:pStyle w:val="p0"/>
              <w:tabs>
                <w:tab w:val="left" w:pos="546"/>
              </w:tabs>
              <w:spacing w:before="120" w:after="120"/>
              <w:ind w:firstLine="537"/>
              <w:jc w:val="left"/>
              <w:rPr>
                <w:rFonts w:cs="Arial"/>
                <w:color w:val="auto"/>
                <w:sz w:val="18"/>
                <w:lang w:val="es-ES"/>
              </w:rPr>
            </w:pPr>
            <w:r>
              <w:rPr>
                <w:rFonts w:cs="Arial"/>
                <w:color w:val="auto"/>
                <w:sz w:val="18"/>
                <w:lang w:val="es-ES"/>
              </w:rPr>
              <w:t>Concepto</w:t>
            </w:r>
          </w:p>
        </w:tc>
        <w:tc>
          <w:tcPr>
            <w:tcW w:w="1687" w:type="dxa"/>
            <w:tcBorders>
              <w:top w:val="double" w:sz="4" w:space="0" w:color="auto"/>
              <w:left w:val="single" w:sz="8" w:space="0" w:color="404040"/>
              <w:bottom w:val="single" w:sz="8" w:space="0" w:color="404040"/>
              <w:right w:val="single" w:sz="8" w:space="0" w:color="404040"/>
            </w:tcBorders>
            <w:shd w:val="clear" w:color="auto" w:fill="C2D69B" w:themeFill="accent3" w:themeFillTint="99"/>
            <w:hideMark/>
          </w:tcPr>
          <w:p w14:paraId="4A28F9FA" w14:textId="77777777" w:rsidR="00F66C0E" w:rsidRDefault="00F66C0E" w:rsidP="00622E3A">
            <w:pPr>
              <w:pStyle w:val="p0"/>
              <w:keepNext/>
              <w:spacing w:before="60" w:after="60"/>
              <w:jc w:val="center"/>
              <w:rPr>
                <w:rFonts w:cs="Arial"/>
                <w:color w:val="auto"/>
                <w:sz w:val="18"/>
                <w:lang w:val="es-ES"/>
              </w:rPr>
            </w:pPr>
            <w:r>
              <w:rPr>
                <w:rFonts w:cs="Arial"/>
                <w:color w:val="auto"/>
                <w:sz w:val="18"/>
                <w:lang w:val="es-ES"/>
              </w:rPr>
              <w:t>Variación % respecto al mes previo</w:t>
            </w:r>
          </w:p>
        </w:tc>
        <w:tc>
          <w:tcPr>
            <w:tcW w:w="1843" w:type="dxa"/>
            <w:tcBorders>
              <w:top w:val="double" w:sz="4" w:space="0" w:color="auto"/>
              <w:left w:val="single" w:sz="8" w:space="0" w:color="404040"/>
              <w:bottom w:val="single" w:sz="8" w:space="0" w:color="404040"/>
              <w:right w:val="double" w:sz="4" w:space="0" w:color="auto"/>
            </w:tcBorders>
            <w:shd w:val="clear" w:color="auto" w:fill="C2D69B" w:themeFill="accent3" w:themeFillTint="99"/>
            <w:hideMark/>
          </w:tcPr>
          <w:p w14:paraId="210AC1EA" w14:textId="77777777" w:rsidR="00F66C0E" w:rsidRDefault="00F66C0E" w:rsidP="00622E3A">
            <w:pPr>
              <w:pStyle w:val="p0"/>
              <w:keepNext/>
              <w:spacing w:before="60" w:after="60"/>
              <w:jc w:val="center"/>
              <w:rPr>
                <w:rFonts w:cs="Arial"/>
                <w:color w:val="auto"/>
                <w:sz w:val="18"/>
                <w:lang w:val="es-ES"/>
              </w:rPr>
            </w:pPr>
            <w:r>
              <w:rPr>
                <w:rFonts w:cs="Arial"/>
                <w:color w:val="auto"/>
                <w:sz w:val="18"/>
                <w:lang w:val="es-ES"/>
              </w:rPr>
              <w:t>Variación % respecto a igual mes de 2020</w:t>
            </w:r>
          </w:p>
        </w:tc>
      </w:tr>
      <w:tr w:rsidR="00F66C0E" w:rsidRPr="00A75FAD" w14:paraId="7B67BCE1" w14:textId="77777777" w:rsidTr="00622E3A">
        <w:trPr>
          <w:cantSplit/>
          <w:trHeight w:val="20"/>
          <w:jc w:val="center"/>
        </w:trPr>
        <w:tc>
          <w:tcPr>
            <w:tcW w:w="2834" w:type="dxa"/>
            <w:tcBorders>
              <w:top w:val="single" w:sz="8" w:space="0" w:color="404040"/>
              <w:left w:val="double" w:sz="4" w:space="0" w:color="auto"/>
              <w:bottom w:val="nil"/>
              <w:right w:val="single" w:sz="8" w:space="0" w:color="404040"/>
            </w:tcBorders>
            <w:hideMark/>
          </w:tcPr>
          <w:p w14:paraId="778DD507" w14:textId="77777777" w:rsidR="00F66C0E" w:rsidRDefault="00F66C0E" w:rsidP="00622E3A">
            <w:pPr>
              <w:pStyle w:val="p0"/>
              <w:spacing w:before="6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687" w:type="dxa"/>
            <w:tcBorders>
              <w:top w:val="single" w:sz="8" w:space="0" w:color="404040"/>
              <w:left w:val="single" w:sz="8" w:space="0" w:color="404040"/>
              <w:bottom w:val="nil"/>
              <w:right w:val="single" w:sz="8" w:space="0" w:color="404040"/>
            </w:tcBorders>
            <w:hideMark/>
          </w:tcPr>
          <w:p w14:paraId="173275C4" w14:textId="77777777" w:rsidR="00F66C0E" w:rsidRPr="003F3B95" w:rsidRDefault="00F66C0E" w:rsidP="00622E3A">
            <w:pPr>
              <w:tabs>
                <w:tab w:val="left" w:pos="307"/>
                <w:tab w:val="decimal" w:pos="881"/>
              </w:tabs>
              <w:spacing w:before="60" w:after="60"/>
              <w:ind w:right="624"/>
              <w:jc w:val="right"/>
              <w:rPr>
                <w:rFonts w:cs="Arial"/>
                <w:b/>
                <w:sz w:val="18"/>
                <w:u w:val="single"/>
                <w:lang w:val="es-ES" w:eastAsia="en-US"/>
              </w:rPr>
            </w:pPr>
            <w:r w:rsidRPr="00E73264">
              <w:rPr>
                <w:rFonts w:cs="Arial"/>
                <w:b/>
                <w:sz w:val="18"/>
                <w:lang w:val="es-ES" w:eastAsia="en-US"/>
              </w:rPr>
              <w:t xml:space="preserve">(-) </w:t>
            </w:r>
            <w:r>
              <w:rPr>
                <w:rFonts w:cs="Arial"/>
                <w:b/>
                <w:sz w:val="18"/>
                <w:lang w:val="es-ES" w:eastAsia="en-US"/>
              </w:rPr>
              <w:t xml:space="preserve">  </w:t>
            </w:r>
            <w:r>
              <w:rPr>
                <w:rFonts w:cs="Arial"/>
                <w:b/>
                <w:sz w:val="18"/>
                <w:u w:val="single"/>
                <w:lang w:val="es-ES" w:eastAsia="en-US"/>
              </w:rPr>
              <w:t>0.2</w:t>
            </w:r>
          </w:p>
        </w:tc>
        <w:tc>
          <w:tcPr>
            <w:tcW w:w="1843" w:type="dxa"/>
            <w:tcBorders>
              <w:top w:val="single" w:sz="8" w:space="0" w:color="404040"/>
              <w:left w:val="single" w:sz="8" w:space="0" w:color="404040"/>
              <w:bottom w:val="nil"/>
              <w:right w:val="double" w:sz="4" w:space="0" w:color="auto"/>
            </w:tcBorders>
            <w:hideMark/>
          </w:tcPr>
          <w:p w14:paraId="05DC9C60" w14:textId="77777777" w:rsidR="00F66C0E" w:rsidRPr="003F3B95" w:rsidRDefault="00F66C0E" w:rsidP="00622E3A">
            <w:pPr>
              <w:tabs>
                <w:tab w:val="left" w:pos="307"/>
                <w:tab w:val="decimal" w:pos="881"/>
              </w:tabs>
              <w:spacing w:before="60" w:after="60"/>
              <w:ind w:right="624"/>
              <w:jc w:val="right"/>
              <w:rPr>
                <w:rFonts w:cs="Arial"/>
                <w:b/>
                <w:sz w:val="18"/>
                <w:lang w:val="es-ES" w:eastAsia="en-US"/>
              </w:rPr>
            </w:pPr>
            <w:r w:rsidRPr="003F3B95">
              <w:rPr>
                <w:rFonts w:cs="Arial"/>
                <w:b/>
                <w:sz w:val="18"/>
                <w:lang w:val="es-ES" w:eastAsia="en-US"/>
              </w:rPr>
              <w:t xml:space="preserve">(-)    </w:t>
            </w:r>
            <w:r w:rsidRPr="00E73264">
              <w:rPr>
                <w:rFonts w:cs="Arial"/>
                <w:b/>
                <w:sz w:val="18"/>
                <w:u w:val="single"/>
                <w:lang w:val="es-ES" w:eastAsia="en-US"/>
              </w:rPr>
              <w:t>6.</w:t>
            </w:r>
            <w:r w:rsidRPr="003F3B95">
              <w:rPr>
                <w:rFonts w:cs="Arial"/>
                <w:b/>
                <w:sz w:val="18"/>
                <w:u w:val="single"/>
                <w:lang w:val="es-ES" w:eastAsia="en-US"/>
              </w:rPr>
              <w:t>5</w:t>
            </w:r>
          </w:p>
        </w:tc>
      </w:tr>
      <w:tr w:rsidR="00F66C0E" w:rsidRPr="00A75FAD" w14:paraId="11E53022" w14:textId="77777777" w:rsidTr="00622E3A">
        <w:trPr>
          <w:cantSplit/>
          <w:trHeight w:val="20"/>
          <w:jc w:val="center"/>
        </w:trPr>
        <w:tc>
          <w:tcPr>
            <w:tcW w:w="2834" w:type="dxa"/>
            <w:tcBorders>
              <w:top w:val="nil"/>
              <w:left w:val="double" w:sz="4" w:space="0" w:color="auto"/>
              <w:bottom w:val="nil"/>
              <w:right w:val="single" w:sz="8" w:space="0" w:color="404040"/>
            </w:tcBorders>
            <w:hideMark/>
          </w:tcPr>
          <w:p w14:paraId="55C5F1CF" w14:textId="77777777" w:rsidR="00F66C0E" w:rsidRDefault="00F66C0E" w:rsidP="00622E3A">
            <w:pPr>
              <w:pStyle w:val="p0"/>
              <w:spacing w:before="20" w:after="20"/>
              <w:ind w:firstLine="313"/>
              <w:rPr>
                <w:rFonts w:cs="Arial"/>
                <w:b/>
                <w:color w:val="auto"/>
                <w:sz w:val="18"/>
                <w:lang w:val="es-ES"/>
              </w:rPr>
            </w:pPr>
            <w:r>
              <w:rPr>
                <w:rFonts w:cs="Arial"/>
                <w:b/>
                <w:color w:val="auto"/>
                <w:sz w:val="18"/>
                <w:lang w:val="es-ES"/>
              </w:rPr>
              <w:t>Nacional</w:t>
            </w:r>
          </w:p>
        </w:tc>
        <w:tc>
          <w:tcPr>
            <w:tcW w:w="1687" w:type="dxa"/>
            <w:tcBorders>
              <w:top w:val="nil"/>
              <w:left w:val="single" w:sz="8" w:space="0" w:color="404040"/>
              <w:bottom w:val="nil"/>
              <w:right w:val="single" w:sz="8" w:space="0" w:color="404040"/>
            </w:tcBorders>
            <w:hideMark/>
          </w:tcPr>
          <w:p w14:paraId="25DA6599" w14:textId="77777777" w:rsidR="00F66C0E" w:rsidRPr="003F3B95" w:rsidRDefault="00F66C0E" w:rsidP="00622E3A">
            <w:pPr>
              <w:tabs>
                <w:tab w:val="left" w:pos="307"/>
              </w:tabs>
              <w:spacing w:before="20" w:after="20"/>
              <w:ind w:right="624"/>
              <w:jc w:val="right"/>
              <w:rPr>
                <w:rFonts w:cs="Arial"/>
                <w:b/>
                <w:sz w:val="18"/>
                <w:lang w:val="es-ES" w:eastAsia="en-US"/>
              </w:rPr>
            </w:pPr>
            <w:r>
              <w:rPr>
                <w:rFonts w:cs="Arial"/>
                <w:b/>
                <w:sz w:val="18"/>
                <w:lang w:val="es-ES" w:eastAsia="en-US"/>
              </w:rPr>
              <w:t xml:space="preserve">(-)   </w:t>
            </w:r>
            <w:r w:rsidRPr="003F3B95">
              <w:rPr>
                <w:rFonts w:cs="Arial"/>
                <w:b/>
                <w:sz w:val="18"/>
                <w:lang w:val="es-ES" w:eastAsia="en-US"/>
              </w:rPr>
              <w:t>0.</w:t>
            </w:r>
            <w:r>
              <w:rPr>
                <w:rFonts w:cs="Arial"/>
                <w:b/>
                <w:sz w:val="18"/>
                <w:lang w:val="es-ES" w:eastAsia="en-US"/>
              </w:rPr>
              <w:t>3</w:t>
            </w:r>
          </w:p>
        </w:tc>
        <w:tc>
          <w:tcPr>
            <w:tcW w:w="1843" w:type="dxa"/>
            <w:tcBorders>
              <w:top w:val="nil"/>
              <w:left w:val="single" w:sz="8" w:space="0" w:color="404040"/>
              <w:bottom w:val="nil"/>
              <w:right w:val="double" w:sz="4" w:space="0" w:color="auto"/>
            </w:tcBorders>
            <w:hideMark/>
          </w:tcPr>
          <w:p w14:paraId="4678586D" w14:textId="77777777" w:rsidR="00F66C0E" w:rsidRPr="003F3B95" w:rsidRDefault="00F66C0E" w:rsidP="00622E3A">
            <w:pPr>
              <w:tabs>
                <w:tab w:val="left" w:pos="307"/>
                <w:tab w:val="decimal" w:pos="881"/>
              </w:tabs>
              <w:spacing w:before="20" w:after="20"/>
              <w:ind w:right="624"/>
              <w:jc w:val="right"/>
              <w:rPr>
                <w:rFonts w:cs="Arial"/>
                <w:b/>
                <w:sz w:val="18"/>
                <w:lang w:val="es-ES" w:eastAsia="en-US"/>
              </w:rPr>
            </w:pPr>
            <w:r w:rsidRPr="003F3B95">
              <w:rPr>
                <w:rFonts w:cs="Arial"/>
                <w:b/>
                <w:sz w:val="18"/>
                <w:lang w:val="es-ES" w:eastAsia="en-US"/>
              </w:rPr>
              <w:t>(-)    7.</w:t>
            </w:r>
            <w:r>
              <w:rPr>
                <w:rFonts w:cs="Arial"/>
                <w:b/>
                <w:sz w:val="18"/>
                <w:lang w:val="es-ES" w:eastAsia="en-US"/>
              </w:rPr>
              <w:t>6</w:t>
            </w:r>
          </w:p>
        </w:tc>
      </w:tr>
      <w:tr w:rsidR="00F66C0E" w:rsidRPr="00A75FAD" w14:paraId="162927F1" w14:textId="77777777" w:rsidTr="00622E3A">
        <w:trPr>
          <w:cantSplit/>
          <w:trHeight w:val="20"/>
          <w:jc w:val="center"/>
        </w:trPr>
        <w:tc>
          <w:tcPr>
            <w:tcW w:w="2834" w:type="dxa"/>
            <w:tcBorders>
              <w:top w:val="nil"/>
              <w:left w:val="double" w:sz="4" w:space="0" w:color="auto"/>
              <w:bottom w:val="nil"/>
              <w:right w:val="single" w:sz="8" w:space="0" w:color="404040"/>
            </w:tcBorders>
            <w:hideMark/>
          </w:tcPr>
          <w:p w14:paraId="2074365C" w14:textId="77777777" w:rsidR="00F66C0E" w:rsidRDefault="00F66C0E" w:rsidP="00622E3A">
            <w:pPr>
              <w:pStyle w:val="p0"/>
              <w:spacing w:before="6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nil"/>
              <w:right w:val="single" w:sz="8" w:space="0" w:color="404040"/>
            </w:tcBorders>
            <w:hideMark/>
          </w:tcPr>
          <w:p w14:paraId="25562F21" w14:textId="77777777" w:rsidR="00F66C0E" w:rsidRPr="003F3B95" w:rsidRDefault="00F66C0E" w:rsidP="00622E3A">
            <w:pPr>
              <w:tabs>
                <w:tab w:val="left" w:pos="307"/>
              </w:tabs>
              <w:spacing w:before="60"/>
              <w:ind w:right="624"/>
              <w:jc w:val="right"/>
              <w:rPr>
                <w:rFonts w:cs="Arial"/>
                <w:sz w:val="18"/>
                <w:lang w:val="es-ES" w:eastAsia="en-US"/>
              </w:rPr>
            </w:pPr>
            <w:r>
              <w:rPr>
                <w:rFonts w:cs="Arial"/>
                <w:sz w:val="18"/>
                <w:lang w:val="es-ES" w:eastAsia="en-US"/>
              </w:rPr>
              <w:t>(-)   0.2</w:t>
            </w:r>
          </w:p>
        </w:tc>
        <w:tc>
          <w:tcPr>
            <w:tcW w:w="1843" w:type="dxa"/>
            <w:tcBorders>
              <w:top w:val="nil"/>
              <w:left w:val="single" w:sz="8" w:space="0" w:color="404040"/>
              <w:bottom w:val="nil"/>
              <w:right w:val="double" w:sz="4" w:space="0" w:color="auto"/>
            </w:tcBorders>
            <w:hideMark/>
          </w:tcPr>
          <w:p w14:paraId="765AD84E" w14:textId="77777777" w:rsidR="00F66C0E" w:rsidRPr="003F3B95" w:rsidRDefault="00F66C0E" w:rsidP="00622E3A">
            <w:pPr>
              <w:tabs>
                <w:tab w:val="left" w:pos="307"/>
                <w:tab w:val="decimal" w:pos="881"/>
              </w:tabs>
              <w:spacing w:before="60"/>
              <w:ind w:right="624"/>
              <w:jc w:val="right"/>
              <w:rPr>
                <w:rFonts w:cs="Arial"/>
                <w:sz w:val="18"/>
                <w:lang w:val="es-ES" w:eastAsia="en-US"/>
              </w:rPr>
            </w:pPr>
            <w:r w:rsidRPr="003F3B95">
              <w:rPr>
                <w:rFonts w:cs="Arial"/>
                <w:sz w:val="18"/>
                <w:lang w:val="es-ES" w:eastAsia="en-US"/>
              </w:rPr>
              <w:t>(-)    0.</w:t>
            </w:r>
            <w:r>
              <w:rPr>
                <w:rFonts w:cs="Arial"/>
                <w:sz w:val="18"/>
                <w:lang w:val="es-ES" w:eastAsia="en-US"/>
              </w:rPr>
              <w:t>5</w:t>
            </w:r>
          </w:p>
        </w:tc>
      </w:tr>
      <w:tr w:rsidR="00F66C0E" w:rsidRPr="00A75FAD" w14:paraId="5BC3829C" w14:textId="77777777" w:rsidTr="00622E3A">
        <w:trPr>
          <w:cantSplit/>
          <w:trHeight w:val="20"/>
          <w:jc w:val="center"/>
        </w:trPr>
        <w:tc>
          <w:tcPr>
            <w:tcW w:w="2834" w:type="dxa"/>
            <w:tcBorders>
              <w:top w:val="nil"/>
              <w:left w:val="double" w:sz="4" w:space="0" w:color="auto"/>
              <w:bottom w:val="nil"/>
              <w:right w:val="single" w:sz="8" w:space="0" w:color="404040"/>
            </w:tcBorders>
            <w:hideMark/>
          </w:tcPr>
          <w:p w14:paraId="43EE08EA" w14:textId="77777777" w:rsidR="00F66C0E" w:rsidRDefault="00F66C0E" w:rsidP="00622E3A">
            <w:pPr>
              <w:pStyle w:val="p0"/>
              <w:spacing w:before="60"/>
              <w:ind w:firstLine="454"/>
              <w:rPr>
                <w:rFonts w:cs="Arial"/>
                <w:color w:val="auto"/>
                <w:sz w:val="18"/>
                <w:lang w:val="es-ES"/>
              </w:rPr>
            </w:pPr>
            <w:r>
              <w:rPr>
                <w:rFonts w:cs="Arial"/>
                <w:color w:val="auto"/>
                <w:sz w:val="18"/>
                <w:lang w:val="es-ES"/>
              </w:rPr>
              <w:t>Servicios</w:t>
            </w:r>
          </w:p>
        </w:tc>
        <w:tc>
          <w:tcPr>
            <w:tcW w:w="1687" w:type="dxa"/>
            <w:tcBorders>
              <w:top w:val="nil"/>
              <w:left w:val="single" w:sz="8" w:space="0" w:color="404040"/>
              <w:bottom w:val="nil"/>
              <w:right w:val="single" w:sz="8" w:space="0" w:color="404040"/>
            </w:tcBorders>
            <w:hideMark/>
          </w:tcPr>
          <w:p w14:paraId="1DD8D3F9" w14:textId="77777777" w:rsidR="00F66C0E" w:rsidRPr="003F3B95" w:rsidRDefault="00F66C0E" w:rsidP="00622E3A">
            <w:pPr>
              <w:tabs>
                <w:tab w:val="left" w:pos="307"/>
              </w:tabs>
              <w:spacing w:before="60"/>
              <w:ind w:right="624"/>
              <w:jc w:val="right"/>
              <w:rPr>
                <w:rFonts w:cs="Arial"/>
                <w:sz w:val="18"/>
                <w:lang w:val="es-ES" w:eastAsia="en-US"/>
              </w:rPr>
            </w:pPr>
            <w:r>
              <w:rPr>
                <w:rFonts w:cs="Arial"/>
                <w:sz w:val="18"/>
                <w:lang w:val="es-ES" w:eastAsia="en-US"/>
              </w:rPr>
              <w:t xml:space="preserve">   </w:t>
            </w:r>
            <w:r w:rsidRPr="003F3B95">
              <w:rPr>
                <w:rFonts w:cs="Arial"/>
                <w:sz w:val="18"/>
                <w:lang w:val="es-ES" w:eastAsia="en-US"/>
              </w:rPr>
              <w:t>0.</w:t>
            </w:r>
            <w:r>
              <w:rPr>
                <w:rFonts w:cs="Arial"/>
                <w:sz w:val="18"/>
                <w:lang w:val="es-ES" w:eastAsia="en-US"/>
              </w:rPr>
              <w:t>4</w:t>
            </w:r>
          </w:p>
        </w:tc>
        <w:tc>
          <w:tcPr>
            <w:tcW w:w="1843" w:type="dxa"/>
            <w:tcBorders>
              <w:top w:val="nil"/>
              <w:left w:val="single" w:sz="8" w:space="0" w:color="404040"/>
              <w:bottom w:val="nil"/>
              <w:right w:val="double" w:sz="4" w:space="0" w:color="auto"/>
            </w:tcBorders>
            <w:hideMark/>
          </w:tcPr>
          <w:p w14:paraId="2248BE91" w14:textId="77777777" w:rsidR="00F66C0E" w:rsidRPr="003F3B95" w:rsidRDefault="00F66C0E" w:rsidP="00622E3A">
            <w:pPr>
              <w:tabs>
                <w:tab w:val="left" w:pos="307"/>
                <w:tab w:val="decimal" w:pos="881"/>
              </w:tabs>
              <w:spacing w:before="60"/>
              <w:ind w:right="624"/>
              <w:jc w:val="right"/>
              <w:rPr>
                <w:rFonts w:cs="Arial"/>
                <w:sz w:val="18"/>
                <w:lang w:val="es-ES" w:eastAsia="en-US"/>
              </w:rPr>
            </w:pPr>
            <w:r w:rsidRPr="003F3B95">
              <w:rPr>
                <w:rFonts w:cs="Arial"/>
                <w:sz w:val="18"/>
                <w:lang w:val="es-ES" w:eastAsia="en-US"/>
              </w:rPr>
              <w:t>(-</w:t>
            </w:r>
            <w:proofErr w:type="gramStart"/>
            <w:r w:rsidRPr="003F3B95">
              <w:rPr>
                <w:rFonts w:cs="Arial"/>
                <w:sz w:val="18"/>
                <w:lang w:val="es-ES" w:eastAsia="en-US"/>
              </w:rPr>
              <w:t>)</w:t>
            </w:r>
            <w:r>
              <w:rPr>
                <w:rFonts w:cs="Arial"/>
                <w:sz w:val="18"/>
                <w:lang w:val="es-ES" w:eastAsia="en-US"/>
              </w:rPr>
              <w:t xml:space="preserve"> </w:t>
            </w:r>
            <w:r w:rsidRPr="003F3B95">
              <w:rPr>
                <w:rFonts w:cs="Arial"/>
                <w:sz w:val="18"/>
                <w:lang w:val="es-ES" w:eastAsia="en-US"/>
              </w:rPr>
              <w:t xml:space="preserve"> 14</w:t>
            </w:r>
            <w:proofErr w:type="gramEnd"/>
            <w:r>
              <w:rPr>
                <w:rFonts w:cs="Arial"/>
                <w:sz w:val="18"/>
                <w:lang w:val="es-ES" w:eastAsia="en-US"/>
              </w:rPr>
              <w:t>.1</w:t>
            </w:r>
          </w:p>
        </w:tc>
      </w:tr>
      <w:tr w:rsidR="00F66C0E" w:rsidRPr="00A75FAD" w14:paraId="6E49F17E" w14:textId="77777777" w:rsidTr="00622E3A">
        <w:trPr>
          <w:cantSplit/>
          <w:trHeight w:val="20"/>
          <w:jc w:val="center"/>
        </w:trPr>
        <w:tc>
          <w:tcPr>
            <w:tcW w:w="2834" w:type="dxa"/>
            <w:tcBorders>
              <w:top w:val="nil"/>
              <w:left w:val="double" w:sz="4" w:space="0" w:color="auto"/>
              <w:bottom w:val="nil"/>
              <w:right w:val="single" w:sz="8" w:space="0" w:color="404040"/>
            </w:tcBorders>
            <w:hideMark/>
          </w:tcPr>
          <w:p w14:paraId="767694E0" w14:textId="77777777" w:rsidR="00F66C0E" w:rsidRDefault="00F66C0E" w:rsidP="00622E3A">
            <w:pPr>
              <w:pStyle w:val="p0"/>
              <w:spacing w:before="60" w:after="60"/>
              <w:ind w:firstLine="313"/>
              <w:rPr>
                <w:rFonts w:cs="Arial"/>
                <w:b/>
                <w:color w:val="auto"/>
                <w:sz w:val="18"/>
                <w:lang w:val="es-ES"/>
              </w:rPr>
            </w:pPr>
            <w:r>
              <w:rPr>
                <w:rFonts w:cs="Arial"/>
                <w:b/>
                <w:color w:val="auto"/>
                <w:sz w:val="18"/>
                <w:lang w:val="es-ES"/>
              </w:rPr>
              <w:t>Importado</w:t>
            </w:r>
          </w:p>
        </w:tc>
        <w:tc>
          <w:tcPr>
            <w:tcW w:w="1687" w:type="dxa"/>
            <w:tcBorders>
              <w:top w:val="nil"/>
              <w:left w:val="single" w:sz="8" w:space="0" w:color="404040"/>
              <w:bottom w:val="nil"/>
              <w:right w:val="single" w:sz="8" w:space="0" w:color="404040"/>
            </w:tcBorders>
            <w:hideMark/>
          </w:tcPr>
          <w:p w14:paraId="3E3A5F65" w14:textId="77777777" w:rsidR="00F66C0E" w:rsidRPr="003F3B95" w:rsidRDefault="00F66C0E" w:rsidP="00622E3A">
            <w:pPr>
              <w:tabs>
                <w:tab w:val="left" w:pos="307"/>
                <w:tab w:val="decimal" w:pos="881"/>
              </w:tabs>
              <w:spacing w:before="60" w:after="60"/>
              <w:ind w:right="624"/>
              <w:jc w:val="right"/>
              <w:rPr>
                <w:rFonts w:cs="Arial"/>
                <w:b/>
                <w:sz w:val="18"/>
                <w:lang w:val="es-ES" w:eastAsia="en-US"/>
              </w:rPr>
            </w:pPr>
            <w:r>
              <w:rPr>
                <w:rFonts w:cs="Arial"/>
                <w:b/>
                <w:sz w:val="18"/>
                <w:lang w:val="es-ES" w:eastAsia="en-US"/>
              </w:rPr>
              <w:t>(-</w:t>
            </w:r>
            <w:proofErr w:type="gramStart"/>
            <w:r>
              <w:rPr>
                <w:rFonts w:cs="Arial"/>
                <w:b/>
                <w:sz w:val="18"/>
                <w:lang w:val="es-ES" w:eastAsia="en-US"/>
              </w:rPr>
              <w:t>)  1</w:t>
            </w:r>
            <w:proofErr w:type="gramEnd"/>
            <w:r>
              <w:rPr>
                <w:rFonts w:cs="Arial"/>
                <w:b/>
                <w:sz w:val="18"/>
                <w:lang w:val="es-ES" w:eastAsia="en-US"/>
              </w:rPr>
              <w:t>.8</w:t>
            </w:r>
          </w:p>
        </w:tc>
        <w:tc>
          <w:tcPr>
            <w:tcW w:w="1843" w:type="dxa"/>
            <w:tcBorders>
              <w:top w:val="nil"/>
              <w:left w:val="single" w:sz="8" w:space="0" w:color="404040"/>
              <w:bottom w:val="nil"/>
              <w:right w:val="double" w:sz="4" w:space="0" w:color="auto"/>
            </w:tcBorders>
            <w:hideMark/>
          </w:tcPr>
          <w:p w14:paraId="606A6FA5" w14:textId="77777777" w:rsidR="00F66C0E" w:rsidRPr="003F3B95" w:rsidRDefault="00F66C0E" w:rsidP="00622E3A">
            <w:pPr>
              <w:tabs>
                <w:tab w:val="left" w:pos="307"/>
                <w:tab w:val="decimal" w:pos="881"/>
              </w:tabs>
              <w:spacing w:before="60" w:after="60"/>
              <w:ind w:right="624"/>
              <w:jc w:val="right"/>
              <w:rPr>
                <w:rFonts w:cs="Arial"/>
                <w:b/>
                <w:sz w:val="18"/>
                <w:lang w:val="es-ES" w:eastAsia="en-US"/>
              </w:rPr>
            </w:pPr>
            <w:r>
              <w:rPr>
                <w:rFonts w:cs="Arial"/>
                <w:b/>
                <w:sz w:val="18"/>
                <w:lang w:val="es-ES" w:eastAsia="en-US"/>
              </w:rPr>
              <w:t>2.9</w:t>
            </w:r>
            <w:r w:rsidRPr="003F3B95">
              <w:rPr>
                <w:rFonts w:cs="Arial"/>
                <w:b/>
                <w:sz w:val="18"/>
                <w:lang w:val="es-ES" w:eastAsia="en-US"/>
              </w:rPr>
              <w:t xml:space="preserve"> </w:t>
            </w:r>
          </w:p>
        </w:tc>
      </w:tr>
      <w:tr w:rsidR="00F66C0E" w:rsidRPr="00A75FAD" w14:paraId="05A2E7A4" w14:textId="77777777" w:rsidTr="00622E3A">
        <w:trPr>
          <w:cantSplit/>
          <w:trHeight w:val="20"/>
          <w:jc w:val="center"/>
        </w:trPr>
        <w:tc>
          <w:tcPr>
            <w:tcW w:w="2834" w:type="dxa"/>
            <w:tcBorders>
              <w:top w:val="nil"/>
              <w:left w:val="double" w:sz="4" w:space="0" w:color="auto"/>
              <w:bottom w:val="double" w:sz="4" w:space="0" w:color="404040"/>
              <w:right w:val="single" w:sz="8" w:space="0" w:color="404040"/>
            </w:tcBorders>
          </w:tcPr>
          <w:p w14:paraId="25C265D6" w14:textId="77777777" w:rsidR="00F66C0E" w:rsidRDefault="00F66C0E" w:rsidP="00622E3A">
            <w:pPr>
              <w:pStyle w:val="p0"/>
              <w:spacing w:before="0"/>
              <w:ind w:firstLine="454"/>
              <w:rPr>
                <w:rFonts w:cs="Arial"/>
                <w:color w:val="auto"/>
                <w:sz w:val="18"/>
                <w:lang w:val="es-ES"/>
              </w:rPr>
            </w:pPr>
            <w:r>
              <w:rPr>
                <w:rFonts w:cs="Arial"/>
                <w:color w:val="auto"/>
                <w:sz w:val="18"/>
                <w:lang w:val="es-ES"/>
              </w:rPr>
              <w:t>Bienes</w:t>
            </w:r>
          </w:p>
        </w:tc>
        <w:tc>
          <w:tcPr>
            <w:tcW w:w="1687" w:type="dxa"/>
            <w:tcBorders>
              <w:top w:val="nil"/>
              <w:left w:val="single" w:sz="8" w:space="0" w:color="404040"/>
              <w:bottom w:val="double" w:sz="4" w:space="0" w:color="404040"/>
              <w:right w:val="single" w:sz="8" w:space="0" w:color="404040"/>
            </w:tcBorders>
          </w:tcPr>
          <w:p w14:paraId="2DC98E59" w14:textId="77777777" w:rsidR="00F66C0E" w:rsidRPr="003F3B95" w:rsidRDefault="00F66C0E" w:rsidP="00622E3A">
            <w:pPr>
              <w:tabs>
                <w:tab w:val="left" w:pos="307"/>
                <w:tab w:val="decimal" w:pos="881"/>
              </w:tabs>
              <w:ind w:right="624"/>
              <w:jc w:val="right"/>
              <w:rPr>
                <w:rFonts w:cs="Arial"/>
                <w:sz w:val="18"/>
                <w:lang w:val="es-ES"/>
              </w:rPr>
            </w:pPr>
            <w:r>
              <w:rPr>
                <w:rFonts w:cs="Arial"/>
                <w:sz w:val="18"/>
                <w:lang w:val="es-ES"/>
              </w:rPr>
              <w:t>(-</w:t>
            </w:r>
            <w:proofErr w:type="gramStart"/>
            <w:r>
              <w:rPr>
                <w:rFonts w:cs="Arial"/>
                <w:sz w:val="18"/>
                <w:lang w:val="es-ES"/>
              </w:rPr>
              <w:t>)  1</w:t>
            </w:r>
            <w:proofErr w:type="gramEnd"/>
            <w:r>
              <w:rPr>
                <w:rFonts w:cs="Arial"/>
                <w:sz w:val="18"/>
                <w:lang w:val="es-ES"/>
              </w:rPr>
              <w:t>.8</w:t>
            </w:r>
          </w:p>
        </w:tc>
        <w:tc>
          <w:tcPr>
            <w:tcW w:w="1843" w:type="dxa"/>
            <w:tcBorders>
              <w:top w:val="nil"/>
              <w:left w:val="single" w:sz="8" w:space="0" w:color="404040"/>
              <w:bottom w:val="double" w:sz="4" w:space="0" w:color="404040"/>
              <w:right w:val="double" w:sz="4" w:space="0" w:color="auto"/>
            </w:tcBorders>
          </w:tcPr>
          <w:p w14:paraId="2866AA60" w14:textId="77777777" w:rsidR="00F66C0E" w:rsidRPr="003F3B95" w:rsidRDefault="00F66C0E" w:rsidP="00622E3A">
            <w:pPr>
              <w:tabs>
                <w:tab w:val="left" w:pos="307"/>
                <w:tab w:val="decimal" w:pos="881"/>
              </w:tabs>
              <w:ind w:right="624"/>
              <w:jc w:val="right"/>
              <w:rPr>
                <w:rFonts w:cs="Arial"/>
                <w:sz w:val="18"/>
                <w:lang w:val="es-ES"/>
              </w:rPr>
            </w:pPr>
            <w:r>
              <w:rPr>
                <w:rFonts w:cs="Arial"/>
                <w:sz w:val="18"/>
                <w:lang w:val="es-ES"/>
              </w:rPr>
              <w:t>2.9</w:t>
            </w:r>
          </w:p>
        </w:tc>
      </w:tr>
    </w:tbl>
    <w:p w14:paraId="559D2BFC" w14:textId="77777777" w:rsidR="00F66C0E" w:rsidRDefault="00F66C0E" w:rsidP="00F66C0E">
      <w:pPr>
        <w:pStyle w:val="p0"/>
        <w:spacing w:before="0"/>
        <w:ind w:left="1985" w:right="1327" w:hanging="709"/>
        <w:rPr>
          <w:b/>
          <w:sz w:val="16"/>
          <w:szCs w:val="16"/>
        </w:rPr>
      </w:pPr>
      <w:r w:rsidRPr="00E2461C">
        <w:rPr>
          <w:rFonts w:cs="Arial"/>
          <w:color w:val="auto"/>
          <w:sz w:val="16"/>
        </w:rPr>
        <w:t>Nota:</w:t>
      </w:r>
      <w:r w:rsidRPr="00E2461C">
        <w:rPr>
          <w:rFonts w:cs="Arial"/>
          <w:color w:val="auto"/>
          <w:sz w:val="16"/>
        </w:rPr>
        <w:tab/>
        <w:t xml:space="preserve">Las series desestacionalizadas de los principales agregados del Consumo </w:t>
      </w:r>
      <w:r>
        <w:rPr>
          <w:rFonts w:cs="Arial"/>
          <w:color w:val="auto"/>
          <w:sz w:val="16"/>
        </w:rPr>
        <w:t xml:space="preserve">    </w:t>
      </w:r>
      <w:r w:rsidRPr="00E2461C">
        <w:rPr>
          <w:rFonts w:cs="Arial"/>
          <w:color w:val="auto"/>
          <w:sz w:val="16"/>
        </w:rPr>
        <w:t>Privado en el Mercado Interior se calculan de manera independiente a la de sus componentes.</w:t>
      </w:r>
    </w:p>
    <w:p w14:paraId="09AD3F3D" w14:textId="77777777" w:rsidR="00F66C0E" w:rsidRDefault="00F66C0E" w:rsidP="00F66C0E">
      <w:pPr>
        <w:widowControl/>
        <w:ind w:left="1276"/>
        <w:jc w:val="left"/>
        <w:rPr>
          <w:b/>
          <w:i/>
        </w:rPr>
      </w:pPr>
      <w:r>
        <w:rPr>
          <w:sz w:val="16"/>
          <w:szCs w:val="16"/>
        </w:rPr>
        <w:t>Fuente:    INEGI.</w:t>
      </w:r>
    </w:p>
    <w:p w14:paraId="565FAEB9" w14:textId="77777777" w:rsidR="00F66C0E" w:rsidRDefault="00F66C0E" w:rsidP="00F66C0E">
      <w:pPr>
        <w:pStyle w:val="parr2"/>
        <w:keepNext/>
        <w:keepLines/>
        <w:spacing w:before="120"/>
        <w:ind w:left="0" w:right="584"/>
        <w:rPr>
          <w:b/>
          <w:i/>
        </w:rPr>
      </w:pPr>
    </w:p>
    <w:p w14:paraId="2FBEC573" w14:textId="77777777" w:rsidR="00F66C0E" w:rsidRDefault="00F66C0E" w:rsidP="00F66C0E">
      <w:pPr>
        <w:pStyle w:val="parr2"/>
        <w:keepNext/>
        <w:keepLines/>
        <w:spacing w:before="120"/>
        <w:ind w:left="0" w:right="584"/>
        <w:rPr>
          <w:b/>
          <w:i/>
        </w:rPr>
      </w:pPr>
    </w:p>
    <w:p w14:paraId="44A9A93D" w14:textId="77777777" w:rsidR="00F66C0E" w:rsidRDefault="00F66C0E" w:rsidP="00A03EB2">
      <w:pPr>
        <w:pStyle w:val="parr2"/>
        <w:keepNext/>
        <w:keepLines/>
        <w:spacing w:before="360"/>
        <w:ind w:left="-142" w:right="-547"/>
        <w:rPr>
          <w:b/>
          <w:i/>
        </w:rPr>
      </w:pPr>
      <w:r>
        <w:rPr>
          <w:b/>
          <w:i/>
        </w:rPr>
        <w:t>Nota al usuario</w:t>
      </w:r>
    </w:p>
    <w:p w14:paraId="3BCE688B" w14:textId="77777777" w:rsidR="00F66C0E" w:rsidRDefault="00F66C0E" w:rsidP="00F66C0E">
      <w:pPr>
        <w:pStyle w:val="Default"/>
        <w:spacing w:before="240" w:after="240"/>
        <w:ind w:left="-142" w:right="-547"/>
        <w:jc w:val="both"/>
        <w:rPr>
          <w:sz w:val="22"/>
          <w:szCs w:val="22"/>
        </w:rPr>
      </w:pPr>
      <w:r w:rsidRPr="00624EDC">
        <w:t>Con base en los “Lineamientos de cambios a la información divulgada en las publicaciones estadísticas y geográficas del INEGI” y derivado del Acuerdo por el que se implementan los Números de Identificación Comercial (NICO) y sus tablas de correlación para clasificar las mercancías en función de las fracciones arancelarias, a partir de la información de enero de 2021, se observan cambios en la</w:t>
      </w:r>
      <w:r>
        <w:t xml:space="preserve">s cifras </w:t>
      </w:r>
      <w:r w:rsidRPr="00624EDC">
        <w:t xml:space="preserve">de las importaciones de bienes </w:t>
      </w:r>
      <w:r>
        <w:t xml:space="preserve">de consumo, </w:t>
      </w:r>
      <w:r w:rsidRPr="00624EDC">
        <w:t xml:space="preserve">publicadas </w:t>
      </w:r>
      <w:r>
        <w:t xml:space="preserve">el pasado mes de abril, lo que impactó en el resultado del </w:t>
      </w:r>
      <w:r w:rsidRPr="00362D5F">
        <w:t>Indicador Mensual del Consumo Privado en el Mercado Interior (IMCPMI)</w:t>
      </w:r>
      <w:r w:rsidRPr="00624EDC">
        <w:t>.</w:t>
      </w:r>
    </w:p>
    <w:p w14:paraId="788D7F19" w14:textId="77777777" w:rsidR="00F66C0E" w:rsidRDefault="00F66C0E" w:rsidP="00F66C0E">
      <w:pPr>
        <w:pStyle w:val="Default"/>
        <w:spacing w:before="240" w:after="240"/>
        <w:ind w:left="-142" w:right="-547"/>
        <w:jc w:val="both"/>
      </w:pPr>
    </w:p>
    <w:p w14:paraId="39B68EE1" w14:textId="1E6D26CE" w:rsidR="00A851DA" w:rsidRDefault="00A851DA">
      <w:pPr>
        <w:widowControl/>
        <w:jc w:val="left"/>
        <w:rPr>
          <w:rFonts w:eastAsiaTheme="minorHAnsi" w:cs="Arial"/>
          <w:color w:val="000000"/>
          <w:szCs w:val="24"/>
          <w:lang w:eastAsia="en-US"/>
        </w:rPr>
      </w:pPr>
      <w:r>
        <w:br w:type="page"/>
      </w:r>
    </w:p>
    <w:p w14:paraId="5C7680C1" w14:textId="77777777" w:rsidR="00F66C0E" w:rsidRDefault="00F66C0E" w:rsidP="00F66C0E">
      <w:pPr>
        <w:pStyle w:val="Default"/>
        <w:spacing w:before="240" w:after="240"/>
        <w:ind w:left="-142" w:right="-547"/>
        <w:jc w:val="both"/>
      </w:pPr>
    </w:p>
    <w:p w14:paraId="2B942016" w14:textId="77777777" w:rsidR="00F66C0E" w:rsidRDefault="00F66C0E" w:rsidP="00F66C0E">
      <w:pPr>
        <w:pStyle w:val="Default"/>
        <w:spacing w:before="240" w:after="240"/>
        <w:ind w:left="-142" w:right="-547"/>
        <w:jc w:val="both"/>
        <w:rPr>
          <w:sz w:val="22"/>
          <w:szCs w:val="22"/>
        </w:rPr>
      </w:pPr>
      <w:r w:rsidRPr="00362D5F">
        <w:t>La Tasa de No Respuesta en la captación de las Encuestas Económicas que se consideraron para la integración del IMCPMI como son la Encuesta Mensual de la Industria Manufacturera (EMIM), la Encuesta Mensual sobre Empresas Comerciales (EMEC) y la Encuesta Mensual de Servicios (EMS), correspondientes a febrero de 2021, registraron porcentajes apropiados conforme al diseño estadístico de cada una de las encuestas mencionadas, lo que permitió la generación de estadísticas con niveles altos de cobertura y precisión. De igual forma, se contó oportunamente con los registros administrativos que difunde el instituto y los captados de otras fuentes de información e internet, para su integración en el IMCPMI.</w:t>
      </w:r>
    </w:p>
    <w:p w14:paraId="6C9FB75E" w14:textId="77777777" w:rsidR="00F66C0E" w:rsidRDefault="00F66C0E" w:rsidP="00F66C0E">
      <w:pPr>
        <w:pStyle w:val="Default"/>
        <w:spacing w:before="240" w:after="240"/>
        <w:ind w:left="-142" w:right="-547"/>
        <w:jc w:val="both"/>
        <w:rPr>
          <w:b/>
        </w:rPr>
      </w:pPr>
      <w:r>
        <w:rPr>
          <w:b/>
        </w:rPr>
        <w:tab/>
      </w:r>
    </w:p>
    <w:p w14:paraId="464A8703" w14:textId="77777777" w:rsidR="00F66C0E" w:rsidRDefault="00F66C0E" w:rsidP="00F66C0E">
      <w:pPr>
        <w:widowControl/>
        <w:ind w:left="-142" w:right="-547" w:firstLine="142"/>
        <w:jc w:val="center"/>
        <w:rPr>
          <w:rFonts w:cs="Arial"/>
          <w:b/>
          <w:color w:val="000000"/>
          <w:szCs w:val="24"/>
        </w:rPr>
      </w:pPr>
      <w:r w:rsidRPr="003B1ACA">
        <w:rPr>
          <w:rFonts w:cs="Arial"/>
          <w:b/>
          <w:color w:val="000000"/>
          <w:szCs w:val="24"/>
        </w:rPr>
        <w:t>Se anexa Nota Técnica</w:t>
      </w:r>
    </w:p>
    <w:p w14:paraId="342A4D4A" w14:textId="77777777" w:rsidR="00F66C0E" w:rsidRDefault="00F66C0E" w:rsidP="00F66C0E">
      <w:pPr>
        <w:widowControl/>
        <w:ind w:left="-142" w:right="-547" w:firstLine="142"/>
        <w:jc w:val="center"/>
        <w:rPr>
          <w:rFonts w:cs="Arial"/>
          <w:b/>
          <w:color w:val="000000"/>
          <w:szCs w:val="24"/>
        </w:rPr>
      </w:pPr>
    </w:p>
    <w:p w14:paraId="55E3E97F" w14:textId="77777777" w:rsidR="00F66C0E" w:rsidRDefault="00F66C0E" w:rsidP="00F66C0E">
      <w:pPr>
        <w:widowControl/>
        <w:ind w:left="-142" w:right="-547" w:firstLine="142"/>
        <w:jc w:val="center"/>
        <w:rPr>
          <w:rFonts w:cs="Arial"/>
          <w:b/>
          <w:color w:val="000000"/>
          <w:szCs w:val="24"/>
        </w:rPr>
      </w:pPr>
    </w:p>
    <w:p w14:paraId="23819045" w14:textId="77777777" w:rsidR="00F66C0E" w:rsidRDefault="00F66C0E" w:rsidP="00F66C0E">
      <w:pPr>
        <w:widowControl/>
        <w:ind w:left="-142" w:right="-547" w:firstLine="142"/>
        <w:jc w:val="center"/>
        <w:rPr>
          <w:rFonts w:cs="Arial"/>
          <w:b/>
          <w:color w:val="000000"/>
          <w:szCs w:val="24"/>
        </w:rPr>
      </w:pPr>
    </w:p>
    <w:p w14:paraId="3C886675" w14:textId="77777777" w:rsidR="00F66C0E" w:rsidRDefault="00F66C0E" w:rsidP="00F66C0E">
      <w:pPr>
        <w:widowControl/>
        <w:ind w:left="-142" w:right="-547" w:firstLine="142"/>
        <w:jc w:val="center"/>
        <w:rPr>
          <w:rFonts w:cs="Arial"/>
          <w:b/>
          <w:color w:val="000000"/>
          <w:szCs w:val="24"/>
        </w:rPr>
      </w:pPr>
    </w:p>
    <w:p w14:paraId="57CF639B" w14:textId="77777777" w:rsidR="00F66C0E" w:rsidRDefault="00F66C0E" w:rsidP="00F66C0E">
      <w:pPr>
        <w:widowControl/>
        <w:ind w:left="-142" w:right="-547" w:firstLine="142"/>
        <w:jc w:val="center"/>
        <w:rPr>
          <w:rFonts w:cs="Arial"/>
          <w:b/>
          <w:color w:val="000000"/>
          <w:szCs w:val="24"/>
        </w:rPr>
      </w:pPr>
    </w:p>
    <w:p w14:paraId="4A2D07A0" w14:textId="77777777" w:rsidR="00F66C0E" w:rsidRDefault="00F66C0E" w:rsidP="00F66C0E">
      <w:pPr>
        <w:widowControl/>
        <w:ind w:left="-142" w:right="-547" w:firstLine="142"/>
        <w:jc w:val="center"/>
        <w:rPr>
          <w:rFonts w:cs="Arial"/>
          <w:b/>
          <w:color w:val="000000"/>
          <w:szCs w:val="24"/>
        </w:rPr>
      </w:pPr>
    </w:p>
    <w:p w14:paraId="3C8A688E" w14:textId="77777777" w:rsidR="00F66C0E" w:rsidRDefault="00F66C0E" w:rsidP="00F66C0E">
      <w:pPr>
        <w:widowControl/>
        <w:ind w:left="-142" w:right="-547" w:firstLine="142"/>
        <w:jc w:val="center"/>
        <w:rPr>
          <w:rFonts w:cs="Arial"/>
          <w:b/>
          <w:color w:val="000000"/>
          <w:szCs w:val="24"/>
        </w:rPr>
      </w:pPr>
    </w:p>
    <w:p w14:paraId="24D9EADA" w14:textId="77777777" w:rsidR="00F66C0E" w:rsidRDefault="00F66C0E" w:rsidP="00F66C0E">
      <w:pPr>
        <w:widowControl/>
        <w:ind w:left="-142" w:right="-547" w:firstLine="142"/>
        <w:jc w:val="center"/>
        <w:rPr>
          <w:rFonts w:cs="Arial"/>
          <w:b/>
          <w:color w:val="000000"/>
          <w:szCs w:val="24"/>
        </w:rPr>
      </w:pPr>
    </w:p>
    <w:p w14:paraId="571369D0" w14:textId="77777777" w:rsidR="00F66C0E" w:rsidRDefault="00F66C0E" w:rsidP="00F66C0E">
      <w:pPr>
        <w:widowControl/>
        <w:ind w:left="-142" w:right="-547" w:firstLine="142"/>
        <w:jc w:val="center"/>
        <w:rPr>
          <w:rFonts w:cs="Arial"/>
          <w:b/>
          <w:color w:val="000000"/>
          <w:szCs w:val="24"/>
        </w:rPr>
      </w:pPr>
    </w:p>
    <w:p w14:paraId="1ECF2861" w14:textId="77777777" w:rsidR="00F66C0E" w:rsidRDefault="00F66C0E" w:rsidP="00F66C0E">
      <w:pPr>
        <w:widowControl/>
        <w:ind w:left="-142" w:right="-547" w:firstLine="142"/>
        <w:jc w:val="center"/>
        <w:rPr>
          <w:rFonts w:cs="Arial"/>
          <w:b/>
          <w:color w:val="000000"/>
          <w:szCs w:val="24"/>
        </w:rPr>
      </w:pPr>
    </w:p>
    <w:p w14:paraId="0C4CE696" w14:textId="77777777" w:rsidR="00F66C0E" w:rsidRDefault="00F66C0E" w:rsidP="00F66C0E">
      <w:pPr>
        <w:widowControl/>
        <w:ind w:left="-142" w:right="-547" w:firstLine="142"/>
        <w:jc w:val="center"/>
        <w:rPr>
          <w:rFonts w:cs="Arial"/>
          <w:b/>
          <w:color w:val="000000"/>
          <w:szCs w:val="24"/>
        </w:rPr>
      </w:pPr>
    </w:p>
    <w:p w14:paraId="7D36B7B2" w14:textId="77777777" w:rsidR="00F66C0E" w:rsidRDefault="00F66C0E" w:rsidP="00F66C0E">
      <w:pPr>
        <w:widowControl/>
        <w:ind w:left="-142" w:right="-547" w:firstLine="142"/>
        <w:jc w:val="center"/>
        <w:rPr>
          <w:rFonts w:cs="Arial"/>
          <w:b/>
          <w:color w:val="000000"/>
          <w:szCs w:val="24"/>
        </w:rPr>
      </w:pPr>
    </w:p>
    <w:p w14:paraId="37321223" w14:textId="77777777" w:rsidR="00F66C0E" w:rsidRDefault="00F66C0E" w:rsidP="00F66C0E">
      <w:pPr>
        <w:widowControl/>
        <w:ind w:left="-142" w:right="-547" w:firstLine="142"/>
        <w:jc w:val="center"/>
        <w:rPr>
          <w:rFonts w:cs="Arial"/>
          <w:b/>
          <w:color w:val="000000"/>
          <w:szCs w:val="24"/>
        </w:rPr>
      </w:pPr>
    </w:p>
    <w:p w14:paraId="16EEA6E7" w14:textId="77777777" w:rsidR="00F66C0E" w:rsidRDefault="00F66C0E" w:rsidP="00F66C0E">
      <w:pPr>
        <w:widowControl/>
        <w:ind w:left="-142" w:right="-547" w:firstLine="142"/>
        <w:jc w:val="center"/>
        <w:rPr>
          <w:rFonts w:cs="Arial"/>
          <w:b/>
          <w:color w:val="000000"/>
          <w:szCs w:val="24"/>
        </w:rPr>
      </w:pPr>
    </w:p>
    <w:p w14:paraId="5C85ABC1" w14:textId="77777777" w:rsidR="00F66C0E" w:rsidRDefault="00F66C0E" w:rsidP="00F66C0E">
      <w:pPr>
        <w:widowControl/>
        <w:ind w:left="-142" w:right="-547" w:firstLine="142"/>
        <w:jc w:val="center"/>
        <w:rPr>
          <w:rFonts w:cs="Arial"/>
          <w:b/>
          <w:color w:val="000000"/>
          <w:szCs w:val="24"/>
        </w:rPr>
      </w:pPr>
    </w:p>
    <w:p w14:paraId="0F1B0207" w14:textId="77777777" w:rsidR="00F66C0E" w:rsidRDefault="00F66C0E" w:rsidP="00F66C0E">
      <w:pPr>
        <w:widowControl/>
        <w:ind w:left="-142" w:right="-547" w:firstLine="142"/>
        <w:jc w:val="center"/>
        <w:rPr>
          <w:rFonts w:cs="Arial"/>
          <w:b/>
          <w:color w:val="000000"/>
          <w:szCs w:val="24"/>
        </w:rPr>
      </w:pPr>
    </w:p>
    <w:p w14:paraId="1A298423" w14:textId="77777777" w:rsidR="00F66C0E" w:rsidRDefault="00F66C0E" w:rsidP="00F66C0E">
      <w:pPr>
        <w:widowControl/>
        <w:ind w:left="-142" w:right="-547" w:firstLine="142"/>
        <w:jc w:val="center"/>
        <w:rPr>
          <w:rFonts w:cs="Arial"/>
          <w:b/>
          <w:color w:val="000000"/>
          <w:szCs w:val="24"/>
        </w:rPr>
      </w:pPr>
    </w:p>
    <w:p w14:paraId="45BEF207" w14:textId="77777777" w:rsidR="00F66C0E" w:rsidRDefault="00F66C0E" w:rsidP="00F66C0E">
      <w:pPr>
        <w:widowControl/>
        <w:ind w:left="-142" w:right="-547" w:firstLine="142"/>
        <w:jc w:val="center"/>
        <w:rPr>
          <w:rFonts w:cs="Arial"/>
          <w:b/>
          <w:color w:val="000000"/>
          <w:szCs w:val="24"/>
        </w:rPr>
      </w:pPr>
    </w:p>
    <w:p w14:paraId="4957E30A" w14:textId="77777777" w:rsidR="00F66C0E" w:rsidRDefault="00F66C0E" w:rsidP="00F66C0E">
      <w:pPr>
        <w:pStyle w:val="NormalWeb"/>
        <w:spacing w:before="0" w:beforeAutospacing="0" w:after="0" w:afterAutospacing="0"/>
        <w:ind w:left="-426" w:right="-518"/>
        <w:contextualSpacing/>
        <w:jc w:val="center"/>
        <w:rPr>
          <w:sz w:val="22"/>
          <w:szCs w:val="22"/>
        </w:rPr>
      </w:pPr>
    </w:p>
    <w:p w14:paraId="4BADD112" w14:textId="77777777" w:rsidR="00F66C0E" w:rsidRDefault="00F66C0E" w:rsidP="00F66C0E">
      <w:pPr>
        <w:pStyle w:val="NormalWeb"/>
        <w:spacing w:before="0" w:beforeAutospacing="0" w:after="0" w:afterAutospacing="0"/>
        <w:ind w:left="-426" w:right="-518"/>
        <w:contextualSpacing/>
        <w:jc w:val="center"/>
        <w:rPr>
          <w:sz w:val="22"/>
          <w:szCs w:val="22"/>
        </w:rPr>
      </w:pPr>
    </w:p>
    <w:p w14:paraId="663A8298" w14:textId="77777777" w:rsidR="00F66C0E" w:rsidRPr="00BC1BE3" w:rsidRDefault="00F66C0E" w:rsidP="00F66C0E">
      <w:pPr>
        <w:pStyle w:val="NormalWeb"/>
        <w:spacing w:before="0" w:beforeAutospacing="0" w:after="0" w:afterAutospacing="0"/>
        <w:ind w:left="-426" w:right="-518"/>
        <w:contextualSpacing/>
        <w:jc w:val="center"/>
        <w:rPr>
          <w:sz w:val="22"/>
          <w:szCs w:val="22"/>
        </w:rPr>
      </w:pPr>
      <w:r w:rsidRPr="00BC1BE3">
        <w:rPr>
          <w:sz w:val="22"/>
          <w:szCs w:val="22"/>
        </w:rPr>
        <w:t xml:space="preserve">Para consultas de medios y periodistas, contactar a: </w:t>
      </w:r>
      <w:hyperlink r:id="rId9" w:history="1">
        <w:r w:rsidRPr="00BC1BE3">
          <w:rPr>
            <w:rStyle w:val="Hipervnculo"/>
            <w:sz w:val="22"/>
            <w:szCs w:val="22"/>
          </w:rPr>
          <w:t>comunicacionsocial@inegi.org.mx</w:t>
        </w:r>
      </w:hyperlink>
      <w:r w:rsidRPr="00BC1BE3">
        <w:rPr>
          <w:sz w:val="22"/>
          <w:szCs w:val="22"/>
        </w:rPr>
        <w:t xml:space="preserve"> </w:t>
      </w:r>
    </w:p>
    <w:p w14:paraId="6DB0E000" w14:textId="77777777" w:rsidR="00F66C0E" w:rsidRPr="00BC1BE3" w:rsidRDefault="00F66C0E" w:rsidP="00F66C0E">
      <w:pPr>
        <w:pStyle w:val="NormalWeb"/>
        <w:spacing w:before="0" w:beforeAutospacing="0" w:after="0" w:afterAutospacing="0"/>
        <w:ind w:left="-426" w:right="-518"/>
        <w:contextualSpacing/>
        <w:jc w:val="center"/>
        <w:rPr>
          <w:sz w:val="22"/>
          <w:szCs w:val="22"/>
        </w:rPr>
      </w:pPr>
      <w:r w:rsidRPr="00BC1BE3">
        <w:rPr>
          <w:sz w:val="22"/>
          <w:szCs w:val="22"/>
        </w:rPr>
        <w:t xml:space="preserve">o llamar al teléfono (55) 52-78-10-00, </w:t>
      </w:r>
      <w:proofErr w:type="spellStart"/>
      <w:r w:rsidRPr="00BC1BE3">
        <w:rPr>
          <w:sz w:val="22"/>
          <w:szCs w:val="22"/>
        </w:rPr>
        <w:t>exts</w:t>
      </w:r>
      <w:proofErr w:type="spellEnd"/>
      <w:r w:rsidRPr="00BC1BE3">
        <w:rPr>
          <w:sz w:val="22"/>
          <w:szCs w:val="22"/>
        </w:rPr>
        <w:t>. 1134, 1260 y 1241.</w:t>
      </w:r>
    </w:p>
    <w:p w14:paraId="358E5796" w14:textId="77777777" w:rsidR="00F66C0E" w:rsidRPr="00BC1BE3" w:rsidRDefault="00F66C0E" w:rsidP="00F66C0E">
      <w:pPr>
        <w:ind w:left="-426" w:right="-518"/>
        <w:contextualSpacing/>
        <w:jc w:val="center"/>
        <w:rPr>
          <w:rFonts w:cs="Arial"/>
          <w:sz w:val="22"/>
          <w:szCs w:val="22"/>
        </w:rPr>
      </w:pPr>
    </w:p>
    <w:p w14:paraId="30C2EB70" w14:textId="77777777" w:rsidR="00F66C0E" w:rsidRPr="00BC1BE3" w:rsidRDefault="00F66C0E" w:rsidP="00F66C0E">
      <w:pPr>
        <w:ind w:left="-426" w:right="-518"/>
        <w:contextualSpacing/>
        <w:jc w:val="center"/>
        <w:rPr>
          <w:rFonts w:cs="Arial"/>
          <w:sz w:val="22"/>
          <w:szCs w:val="22"/>
        </w:rPr>
      </w:pPr>
      <w:r w:rsidRPr="00BC1BE3">
        <w:rPr>
          <w:rFonts w:cs="Arial"/>
          <w:sz w:val="22"/>
          <w:szCs w:val="22"/>
        </w:rPr>
        <w:t xml:space="preserve">Dirección de Atención a Medios / Dirección General Adjunta de Comunicación </w:t>
      </w:r>
    </w:p>
    <w:p w14:paraId="40CEE847" w14:textId="77777777" w:rsidR="00F66C0E" w:rsidRPr="00BC1BE3" w:rsidRDefault="00F66C0E" w:rsidP="00F66C0E">
      <w:pPr>
        <w:ind w:left="-426" w:right="-518"/>
        <w:contextualSpacing/>
        <w:jc w:val="center"/>
        <w:rPr>
          <w:rFonts w:cs="Arial"/>
          <w:sz w:val="22"/>
          <w:szCs w:val="22"/>
        </w:rPr>
      </w:pPr>
    </w:p>
    <w:p w14:paraId="5CB1B54C" w14:textId="77777777" w:rsidR="00F66C0E" w:rsidRDefault="00F66C0E" w:rsidP="00F66C0E">
      <w:pPr>
        <w:ind w:left="-425" w:right="-516"/>
        <w:contextualSpacing/>
        <w:jc w:val="center"/>
      </w:pPr>
      <w:r w:rsidRPr="00FF1218">
        <w:rPr>
          <w:noProof/>
          <w:lang w:eastAsia="es-MX"/>
        </w:rPr>
        <w:drawing>
          <wp:inline distT="0" distB="0" distL="0" distR="0" wp14:anchorId="28292076" wp14:editId="4CCF0F61">
            <wp:extent cx="274320" cy="365760"/>
            <wp:effectExtent l="0" t="0" r="0" b="0"/>
            <wp:docPr id="6" name="Imagen 6"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3E8DE523" wp14:editId="649C54F1">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C738A99" wp14:editId="579902BF">
            <wp:extent cx="365760" cy="365760"/>
            <wp:effectExtent l="0" t="0" r="0" b="0"/>
            <wp:docPr id="8" name="Imagen 8"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40B3A32" wp14:editId="5DC45DB7">
            <wp:extent cx="365760" cy="365760"/>
            <wp:effectExtent l="0" t="0" r="0" b="0"/>
            <wp:docPr id="14" name="Imagen 14"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514C0F3E" wp14:editId="6DF1AE96">
            <wp:extent cx="2286000" cy="274320"/>
            <wp:effectExtent l="0" t="0" r="0" b="0"/>
            <wp:docPr id="15" name="Imagen 1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8505B8" w14:textId="77777777" w:rsidR="00F66C0E" w:rsidRPr="00157C43" w:rsidRDefault="00F66C0E" w:rsidP="00F66C0E">
      <w:pPr>
        <w:pStyle w:val="bullet"/>
        <w:tabs>
          <w:tab w:val="left" w:pos="8789"/>
        </w:tabs>
        <w:spacing w:before="0"/>
        <w:ind w:left="0" w:right="51" w:firstLine="0"/>
        <w:jc w:val="center"/>
        <w:rPr>
          <w:rFonts w:cs="Arial"/>
          <w:szCs w:val="24"/>
        </w:rPr>
        <w:sectPr w:rsidR="00F66C0E" w:rsidRPr="00157C43" w:rsidSect="004C150C">
          <w:headerReference w:type="default" r:id="rId20"/>
          <w:footerReference w:type="default" r:id="rId21"/>
          <w:pgSz w:w="12240" w:h="15840" w:code="1"/>
          <w:pgMar w:top="1" w:right="1701" w:bottom="0" w:left="1588" w:header="510" w:footer="510" w:gutter="0"/>
          <w:cols w:space="720"/>
          <w:docGrid w:linePitch="272"/>
        </w:sectPr>
      </w:pPr>
    </w:p>
    <w:p w14:paraId="123926E8" w14:textId="4B5301CB" w:rsidR="00F66C0E" w:rsidRPr="00104F8F" w:rsidRDefault="00F66C0E" w:rsidP="00333FDF">
      <w:pPr>
        <w:pStyle w:val="Textoindependiente"/>
        <w:spacing w:before="100" w:beforeAutospacing="1" w:after="100" w:afterAutospacing="1"/>
        <w:ind w:left="-284" w:right="335"/>
        <w:contextualSpacing/>
        <w:rPr>
          <w:sz w:val="24"/>
          <w:szCs w:val="24"/>
        </w:rPr>
      </w:pPr>
      <w:r w:rsidRPr="00104F8F">
        <w:rPr>
          <w:sz w:val="24"/>
          <w:szCs w:val="24"/>
        </w:rPr>
        <w:lastRenderedPageBreak/>
        <w:t xml:space="preserve">       nota técnica</w:t>
      </w:r>
    </w:p>
    <w:p w14:paraId="4A78B551" w14:textId="77777777" w:rsidR="00333FDF" w:rsidRPr="00104F8F" w:rsidRDefault="00333FDF" w:rsidP="00333FDF">
      <w:pPr>
        <w:pStyle w:val="Textoindependiente"/>
        <w:spacing w:before="100" w:beforeAutospacing="1" w:after="100" w:afterAutospacing="1"/>
        <w:ind w:left="-284" w:right="335"/>
        <w:contextualSpacing/>
        <w:rPr>
          <w:sz w:val="24"/>
          <w:szCs w:val="24"/>
        </w:rPr>
      </w:pPr>
    </w:p>
    <w:p w14:paraId="6A973D61" w14:textId="77777777" w:rsidR="00607F23" w:rsidRPr="00104F8F" w:rsidRDefault="00607F23" w:rsidP="00607F23">
      <w:pPr>
        <w:pStyle w:val="Textoindependiente"/>
        <w:spacing w:before="120"/>
        <w:rPr>
          <w:sz w:val="24"/>
          <w:szCs w:val="24"/>
        </w:rPr>
      </w:pPr>
      <w:r w:rsidRPr="00104F8F">
        <w:rPr>
          <w:sz w:val="24"/>
          <w:szCs w:val="24"/>
        </w:rPr>
        <w:t>INDICADOR MENSUAL DEL CONSUMO</w:t>
      </w:r>
    </w:p>
    <w:p w14:paraId="471A8FE6" w14:textId="77777777" w:rsidR="00607F23" w:rsidRPr="00104F8F" w:rsidRDefault="00607F23" w:rsidP="00607F23">
      <w:pPr>
        <w:pStyle w:val="Textoindependiente"/>
        <w:tabs>
          <w:tab w:val="center" w:pos="4420"/>
          <w:tab w:val="left" w:pos="8099"/>
        </w:tabs>
        <w:rPr>
          <w:sz w:val="24"/>
          <w:szCs w:val="24"/>
        </w:rPr>
      </w:pPr>
      <w:r w:rsidRPr="00104F8F">
        <w:rPr>
          <w:sz w:val="24"/>
          <w:szCs w:val="24"/>
        </w:rPr>
        <w:t>PRIVADO EN EL MERCADO INTERIOr</w:t>
      </w:r>
      <w:r w:rsidRPr="00104F8F">
        <w:rPr>
          <w:sz w:val="24"/>
          <w:szCs w:val="24"/>
          <w:vertAlign w:val="superscript"/>
        </w:rPr>
        <w:footnoteReference w:id="5"/>
      </w:r>
    </w:p>
    <w:p w14:paraId="610F4657" w14:textId="627D461F" w:rsidR="00607F23" w:rsidRPr="00104F8F" w:rsidRDefault="00607F23" w:rsidP="00607F23">
      <w:pPr>
        <w:pStyle w:val="Textoindependiente"/>
        <w:rPr>
          <w:b w:val="0"/>
          <w:sz w:val="24"/>
          <w:szCs w:val="24"/>
        </w:rPr>
      </w:pPr>
      <w:r w:rsidRPr="00104F8F">
        <w:rPr>
          <w:sz w:val="24"/>
          <w:szCs w:val="24"/>
        </w:rPr>
        <w:t>DURANTE</w:t>
      </w:r>
      <w:r w:rsidR="00457CF0" w:rsidRPr="00104F8F">
        <w:rPr>
          <w:sz w:val="24"/>
          <w:szCs w:val="24"/>
        </w:rPr>
        <w:t xml:space="preserve"> </w:t>
      </w:r>
      <w:r w:rsidR="00EC75C4" w:rsidRPr="00104F8F">
        <w:rPr>
          <w:sz w:val="24"/>
          <w:szCs w:val="24"/>
        </w:rPr>
        <w:t>F</w:t>
      </w:r>
      <w:r w:rsidR="002D5C66" w:rsidRPr="00104F8F">
        <w:rPr>
          <w:sz w:val="24"/>
          <w:szCs w:val="24"/>
        </w:rPr>
        <w:t>E</w:t>
      </w:r>
      <w:r w:rsidR="00EC75C4" w:rsidRPr="00104F8F">
        <w:rPr>
          <w:sz w:val="24"/>
          <w:szCs w:val="24"/>
        </w:rPr>
        <w:t>BR</w:t>
      </w:r>
      <w:r w:rsidR="002D5C66" w:rsidRPr="00104F8F">
        <w:rPr>
          <w:sz w:val="24"/>
          <w:szCs w:val="24"/>
        </w:rPr>
        <w:t>ERO</w:t>
      </w:r>
      <w:r w:rsidRPr="00104F8F">
        <w:rPr>
          <w:sz w:val="24"/>
          <w:szCs w:val="24"/>
        </w:rPr>
        <w:t xml:space="preserve"> DE 20</w:t>
      </w:r>
      <w:r w:rsidR="00EB2CEC" w:rsidRPr="00104F8F">
        <w:rPr>
          <w:sz w:val="24"/>
          <w:szCs w:val="24"/>
        </w:rPr>
        <w:t>2</w:t>
      </w:r>
      <w:r w:rsidR="002D5C66" w:rsidRPr="00104F8F">
        <w:rPr>
          <w:sz w:val="24"/>
          <w:szCs w:val="24"/>
        </w:rPr>
        <w:t>1</w:t>
      </w:r>
    </w:p>
    <w:p w14:paraId="220A6501" w14:textId="77777777" w:rsidR="00607F23" w:rsidRPr="00104F8F" w:rsidRDefault="00607F23" w:rsidP="00607F23">
      <w:pPr>
        <w:jc w:val="center"/>
        <w:rPr>
          <w:b/>
          <w:spacing w:val="25"/>
          <w:szCs w:val="24"/>
        </w:rPr>
      </w:pPr>
      <w:r w:rsidRPr="00104F8F">
        <w:rPr>
          <w:b/>
          <w:i/>
          <w:spacing w:val="25"/>
          <w:szCs w:val="24"/>
        </w:rPr>
        <w:t>(Cifras desestacionalizadas)</w:t>
      </w:r>
    </w:p>
    <w:p w14:paraId="0098765B" w14:textId="77777777" w:rsidR="00D0777B" w:rsidRDefault="00D0777B" w:rsidP="00603623">
      <w:pPr>
        <w:pStyle w:val="p0"/>
        <w:spacing w:before="60"/>
        <w:jc w:val="center"/>
        <w:rPr>
          <w:rFonts w:cs="Arial"/>
          <w:color w:val="auto"/>
          <w:sz w:val="20"/>
          <w:szCs w:val="22"/>
        </w:rPr>
      </w:pPr>
    </w:p>
    <w:p w14:paraId="43AA782C" w14:textId="77777777" w:rsidR="00140D9C" w:rsidRDefault="00140D9C" w:rsidP="00E64A12">
      <w:pPr>
        <w:pStyle w:val="Ttulo4"/>
        <w:keepNext w:val="0"/>
        <w:spacing w:before="360"/>
        <w:ind w:left="142"/>
        <w:rPr>
          <w:u w:val="none"/>
        </w:rPr>
      </w:pPr>
      <w:r>
        <w:rPr>
          <w:u w:val="none"/>
        </w:rPr>
        <w:t>Principales Resultados</w:t>
      </w:r>
    </w:p>
    <w:p w14:paraId="7DD1179B" w14:textId="34C4DBC3" w:rsidR="004C2706" w:rsidRDefault="004C2706" w:rsidP="00E64A12">
      <w:pPr>
        <w:spacing w:before="240"/>
        <w:ind w:left="142"/>
      </w:pPr>
      <w:r>
        <w:t xml:space="preserve">Con base en cifras desestacionalizadas, el IMCPMI </w:t>
      </w:r>
      <w:r w:rsidR="00A56148">
        <w:t xml:space="preserve">presentó </w:t>
      </w:r>
      <w:r w:rsidR="008426E7">
        <w:t>un</w:t>
      </w:r>
      <w:r w:rsidR="004E7939">
        <w:t>a</w:t>
      </w:r>
      <w:r w:rsidR="002014F1">
        <w:t xml:space="preserve"> </w:t>
      </w:r>
      <w:r w:rsidR="004E7939">
        <w:t xml:space="preserve">disminución </w:t>
      </w:r>
      <w:r w:rsidR="006E2BAA">
        <w:t>en términos reales</w:t>
      </w:r>
      <w:r w:rsidR="00EF20E2">
        <w:t xml:space="preserve"> </w:t>
      </w:r>
      <w:r w:rsidR="008426E7">
        <w:t xml:space="preserve">de </w:t>
      </w:r>
      <w:r w:rsidR="004E7939">
        <w:t>0.2</w:t>
      </w:r>
      <w:r w:rsidR="008426E7">
        <w:t>%</w:t>
      </w:r>
      <w:r w:rsidR="00A56148">
        <w:t xml:space="preserve"> </w:t>
      </w:r>
      <w:r w:rsidR="00436623">
        <w:t>d</w:t>
      </w:r>
      <w:r w:rsidR="001E20B9">
        <w:t xml:space="preserve">urante </w:t>
      </w:r>
      <w:r w:rsidR="00EC75C4">
        <w:t>f</w:t>
      </w:r>
      <w:r w:rsidR="001E20B9">
        <w:t>e</w:t>
      </w:r>
      <w:r w:rsidR="00EC75C4">
        <w:t>bre</w:t>
      </w:r>
      <w:r w:rsidR="001E20B9">
        <w:t>ro</w:t>
      </w:r>
      <w:r>
        <w:t xml:space="preserve"> de 20</w:t>
      </w:r>
      <w:r w:rsidR="00EB2CEC">
        <w:t>2</w:t>
      </w:r>
      <w:r w:rsidR="001E20B9">
        <w:t>1</w:t>
      </w:r>
      <w:r>
        <w:t xml:space="preserve"> con relación al mes inmediato anterior</w:t>
      </w:r>
      <w:r w:rsidR="005E6FAD">
        <w:t>.</w:t>
      </w:r>
      <w:r>
        <w:t xml:space="preserve">  </w:t>
      </w:r>
    </w:p>
    <w:p w14:paraId="59839D87" w14:textId="77777777" w:rsidR="002A1950" w:rsidRDefault="002A1950" w:rsidP="002A1950">
      <w:pPr>
        <w:widowControl/>
        <w:jc w:val="center"/>
        <w:rPr>
          <w:rFonts w:cs="Arial"/>
          <w:sz w:val="20"/>
          <w:szCs w:val="22"/>
        </w:rPr>
      </w:pPr>
    </w:p>
    <w:p w14:paraId="293F2693" w14:textId="77777777" w:rsidR="00B920A0" w:rsidRDefault="00B920A0" w:rsidP="00E64A12">
      <w:pPr>
        <w:widowControl/>
        <w:jc w:val="center"/>
        <w:rPr>
          <w:rFonts w:cs="Arial"/>
          <w:sz w:val="20"/>
          <w:szCs w:val="22"/>
        </w:rPr>
      </w:pPr>
      <w:r>
        <w:rPr>
          <w:rFonts w:cs="Arial"/>
          <w:sz w:val="20"/>
          <w:szCs w:val="22"/>
        </w:rPr>
        <w:t>Gráfica</w:t>
      </w:r>
      <w:r w:rsidRPr="009A37CD">
        <w:rPr>
          <w:rFonts w:cs="Arial"/>
          <w:sz w:val="20"/>
          <w:szCs w:val="22"/>
        </w:rPr>
        <w:t xml:space="preserve"> 1</w:t>
      </w:r>
    </w:p>
    <w:p w14:paraId="76B7A9C5" w14:textId="328AADAC" w:rsidR="00140D9C" w:rsidRDefault="00140D9C" w:rsidP="00E64A12">
      <w:pPr>
        <w:jc w:val="center"/>
        <w:outlineLvl w:val="3"/>
        <w:rPr>
          <w:rFonts w:cs="Arial"/>
          <w:b/>
          <w:smallCaps/>
          <w:sz w:val="22"/>
        </w:rPr>
      </w:pPr>
      <w:r>
        <w:rPr>
          <w:rFonts w:cs="Arial"/>
          <w:b/>
          <w:smallCaps/>
          <w:sz w:val="22"/>
        </w:rPr>
        <w:t>Indicador Mensual del Consumo Privado</w:t>
      </w:r>
    </w:p>
    <w:p w14:paraId="7EF8D8A2" w14:textId="2A3F0655" w:rsidR="00140D9C" w:rsidRDefault="00140D9C" w:rsidP="00E64A12">
      <w:pPr>
        <w:jc w:val="center"/>
        <w:outlineLvl w:val="3"/>
        <w:rPr>
          <w:rFonts w:cs="Arial"/>
          <w:b/>
          <w:smallCaps/>
          <w:sz w:val="22"/>
        </w:rPr>
      </w:pPr>
      <w:r>
        <w:rPr>
          <w:rFonts w:cs="Arial"/>
          <w:b/>
          <w:smallCaps/>
          <w:sz w:val="22"/>
        </w:rPr>
        <w:t xml:space="preserve">en el Mercado Interior </w:t>
      </w:r>
      <w:r w:rsidR="00703F77">
        <w:rPr>
          <w:rFonts w:cs="Arial"/>
          <w:b/>
          <w:smallCaps/>
          <w:sz w:val="22"/>
        </w:rPr>
        <w:t>a</w:t>
      </w:r>
      <w:r w:rsidR="00E062CA">
        <w:rPr>
          <w:rFonts w:cs="Arial"/>
          <w:b/>
          <w:smallCaps/>
          <w:sz w:val="22"/>
        </w:rPr>
        <w:t xml:space="preserve"> </w:t>
      </w:r>
      <w:r w:rsidR="00EC75C4">
        <w:rPr>
          <w:rFonts w:cs="Arial"/>
          <w:b/>
          <w:smallCaps/>
          <w:sz w:val="22"/>
        </w:rPr>
        <w:t>f</w:t>
      </w:r>
      <w:r w:rsidR="002D5C66">
        <w:rPr>
          <w:rFonts w:cs="Arial"/>
          <w:b/>
          <w:smallCaps/>
          <w:sz w:val="22"/>
        </w:rPr>
        <w:t>e</w:t>
      </w:r>
      <w:r w:rsidR="00EC75C4">
        <w:rPr>
          <w:rFonts w:cs="Arial"/>
          <w:b/>
          <w:smallCaps/>
          <w:sz w:val="22"/>
        </w:rPr>
        <w:t>br</w:t>
      </w:r>
      <w:r w:rsidR="002D5C66">
        <w:rPr>
          <w:rFonts w:cs="Arial"/>
          <w:b/>
          <w:smallCaps/>
          <w:sz w:val="22"/>
        </w:rPr>
        <w:t>ero</w:t>
      </w:r>
      <w:r w:rsidRPr="004C2706">
        <w:rPr>
          <w:rFonts w:cs="Arial"/>
          <w:b/>
          <w:smallCaps/>
          <w:sz w:val="20"/>
        </w:rPr>
        <w:t xml:space="preserve"> </w:t>
      </w:r>
      <w:r>
        <w:rPr>
          <w:rFonts w:cs="Arial"/>
          <w:b/>
          <w:smallCaps/>
          <w:sz w:val="22"/>
        </w:rPr>
        <w:t>de 20</w:t>
      </w:r>
      <w:r w:rsidR="00EB2CEC">
        <w:rPr>
          <w:rFonts w:cs="Arial"/>
          <w:b/>
          <w:smallCaps/>
          <w:sz w:val="22"/>
        </w:rPr>
        <w:t>2</w:t>
      </w:r>
      <w:r w:rsidR="001E20B9">
        <w:rPr>
          <w:rFonts w:cs="Arial"/>
          <w:b/>
          <w:smallCaps/>
          <w:sz w:val="22"/>
        </w:rPr>
        <w:t>1</w:t>
      </w:r>
    </w:p>
    <w:p w14:paraId="2B9BB89D" w14:textId="77777777" w:rsidR="00140D9C" w:rsidRDefault="00140D9C" w:rsidP="00E64A12">
      <w:pPr>
        <w:jc w:val="center"/>
        <w:outlineLvl w:val="3"/>
        <w:rPr>
          <w:rFonts w:cs="Arial"/>
          <w:b/>
          <w:smallCaps/>
          <w:sz w:val="22"/>
        </w:rPr>
      </w:pPr>
      <w:r>
        <w:rPr>
          <w:rFonts w:cs="Arial"/>
          <w:b/>
          <w:smallCaps/>
          <w:sz w:val="22"/>
        </w:rPr>
        <w:t>Series desestacionalizada y de tendencia-ciclo</w:t>
      </w:r>
    </w:p>
    <w:p w14:paraId="100618F5" w14:textId="77777777" w:rsidR="00140D9C" w:rsidRDefault="00140D9C" w:rsidP="00E64A12">
      <w:pPr>
        <w:jc w:val="center"/>
        <w:outlineLvl w:val="3"/>
        <w:rPr>
          <w:rFonts w:cs="Arial"/>
          <w:sz w:val="18"/>
          <w:szCs w:val="18"/>
        </w:rPr>
      </w:pPr>
      <w:r>
        <w:rPr>
          <w:rFonts w:cs="Arial"/>
          <w:smallCaps/>
          <w:sz w:val="18"/>
          <w:szCs w:val="18"/>
        </w:rPr>
        <w:t>(</w:t>
      </w:r>
      <w:r>
        <w:rPr>
          <w:rFonts w:cs="Arial"/>
          <w:sz w:val="18"/>
          <w:szCs w:val="18"/>
        </w:rPr>
        <w:t>Índice base 20</w:t>
      </w:r>
      <w:r w:rsidR="00F854EF">
        <w:rPr>
          <w:rFonts w:cs="Arial"/>
          <w:sz w:val="18"/>
          <w:szCs w:val="18"/>
        </w:rPr>
        <w:t>13</w:t>
      </w:r>
      <w:r>
        <w:rPr>
          <w:rFonts w:cs="Arial"/>
          <w:sz w:val="18"/>
          <w:szCs w:val="18"/>
        </w:rPr>
        <w:t>=100)</w:t>
      </w:r>
    </w:p>
    <w:p w14:paraId="54F83224" w14:textId="4BDA8D5E" w:rsidR="00140D9C" w:rsidRDefault="00E73264" w:rsidP="00E64A12">
      <w:pPr>
        <w:jc w:val="center"/>
        <w:outlineLvl w:val="3"/>
        <w:rPr>
          <w:rFonts w:cs="Arial"/>
          <w:sz w:val="18"/>
          <w:szCs w:val="18"/>
        </w:rPr>
      </w:pPr>
      <w:r>
        <w:rPr>
          <w:noProof/>
        </w:rPr>
        <w:drawing>
          <wp:inline distT="0" distB="0" distL="0" distR="0" wp14:anchorId="1A6E2E29" wp14:editId="06C93F1C">
            <wp:extent cx="4320000" cy="2527200"/>
            <wp:effectExtent l="0" t="0" r="23495" b="2603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0A85F53" w14:textId="77777777" w:rsidR="00140D9C" w:rsidRDefault="00140D9C" w:rsidP="00362D5F">
      <w:pPr>
        <w:ind w:left="708" w:firstLine="708"/>
        <w:jc w:val="left"/>
      </w:pPr>
      <w:r>
        <w:rPr>
          <w:rFonts w:cs="Arial"/>
          <w:sz w:val="16"/>
        </w:rPr>
        <w:t>Fuente: INEGI.</w:t>
      </w:r>
    </w:p>
    <w:p w14:paraId="665DE198" w14:textId="77777777" w:rsidR="002C3239" w:rsidRDefault="002C3239" w:rsidP="002C3239">
      <w:pPr>
        <w:spacing w:before="240"/>
        <w:outlineLvl w:val="3"/>
      </w:pPr>
    </w:p>
    <w:p w14:paraId="0BEADAB2" w14:textId="76759D36" w:rsidR="00400038" w:rsidRPr="00400038" w:rsidRDefault="00400038" w:rsidP="00F431C4">
      <w:pPr>
        <w:pStyle w:val="bullet"/>
        <w:widowControl w:val="0"/>
        <w:tabs>
          <w:tab w:val="clear" w:pos="7939"/>
          <w:tab w:val="left" w:pos="7230"/>
        </w:tabs>
        <w:spacing w:before="120"/>
        <w:ind w:left="142" w:right="51" w:firstLine="0"/>
        <w:rPr>
          <w:rFonts w:eastAsiaTheme="minorHAnsi" w:cs="Arial"/>
          <w:b w:val="0"/>
          <w:color w:val="000000"/>
          <w:sz w:val="24"/>
          <w:szCs w:val="24"/>
          <w:lang w:val="es-MX" w:eastAsia="es-MX"/>
        </w:rPr>
      </w:pPr>
      <w:r w:rsidRPr="00400038">
        <w:rPr>
          <w:rFonts w:eastAsiaTheme="minorHAnsi" w:cs="Arial"/>
          <w:b w:val="0"/>
          <w:color w:val="000000"/>
          <w:sz w:val="24"/>
          <w:szCs w:val="24"/>
          <w:lang w:val="es-MX" w:eastAsia="es-MX"/>
        </w:rPr>
        <w:t xml:space="preserve">Por componentes, el consumo en Bienes de origen importado se redujo 1.8% y en Bienes y </w:t>
      </w:r>
      <w:r w:rsidR="00362D5F">
        <w:rPr>
          <w:rFonts w:eastAsiaTheme="minorHAnsi" w:cs="Arial"/>
          <w:b w:val="0"/>
          <w:color w:val="000000"/>
          <w:sz w:val="24"/>
          <w:szCs w:val="24"/>
          <w:lang w:val="es-MX" w:eastAsia="es-MX"/>
        </w:rPr>
        <w:t>S</w:t>
      </w:r>
      <w:r w:rsidRPr="00400038">
        <w:rPr>
          <w:rFonts w:eastAsiaTheme="minorHAnsi" w:cs="Arial"/>
          <w:b w:val="0"/>
          <w:color w:val="000000"/>
          <w:sz w:val="24"/>
          <w:szCs w:val="24"/>
          <w:lang w:val="es-MX" w:eastAsia="es-MX"/>
        </w:rPr>
        <w:t>ervicios de origen nacional retrocedió 0.3% en el segundo mes de 2021 respecto al mes previo, según datos ajustados por estacionalidad.</w:t>
      </w:r>
    </w:p>
    <w:p w14:paraId="25E84141" w14:textId="77777777" w:rsidR="00023AEF" w:rsidRDefault="00023AEF" w:rsidP="009471B1">
      <w:pPr>
        <w:pStyle w:val="p0"/>
        <w:spacing w:before="120"/>
        <w:jc w:val="center"/>
        <w:rPr>
          <w:rFonts w:cs="Arial"/>
          <w:color w:val="auto"/>
          <w:sz w:val="20"/>
          <w:szCs w:val="22"/>
        </w:rPr>
      </w:pPr>
    </w:p>
    <w:p w14:paraId="0482D56F" w14:textId="77777777" w:rsidR="00023AEF" w:rsidRDefault="00023AEF" w:rsidP="009471B1">
      <w:pPr>
        <w:pStyle w:val="p0"/>
        <w:spacing w:before="120"/>
        <w:jc w:val="center"/>
        <w:rPr>
          <w:rFonts w:cs="Arial"/>
          <w:color w:val="auto"/>
          <w:sz w:val="20"/>
          <w:szCs w:val="22"/>
        </w:rPr>
      </w:pPr>
    </w:p>
    <w:p w14:paraId="7BB08BA8" w14:textId="77777777" w:rsidR="00333FDF" w:rsidRDefault="00333FDF" w:rsidP="009471B1">
      <w:pPr>
        <w:pStyle w:val="p0"/>
        <w:spacing w:before="120"/>
        <w:jc w:val="center"/>
        <w:rPr>
          <w:rFonts w:cs="Arial"/>
          <w:color w:val="auto"/>
          <w:sz w:val="20"/>
          <w:szCs w:val="22"/>
        </w:rPr>
      </w:pPr>
    </w:p>
    <w:p w14:paraId="067CD453" w14:textId="48ABA39D" w:rsidR="008B3946" w:rsidRDefault="004C2706" w:rsidP="009471B1">
      <w:pPr>
        <w:pStyle w:val="p0"/>
        <w:spacing w:before="120"/>
        <w:jc w:val="center"/>
        <w:rPr>
          <w:rFonts w:cs="Arial"/>
          <w:color w:val="auto"/>
          <w:sz w:val="20"/>
          <w:szCs w:val="22"/>
        </w:rPr>
      </w:pPr>
      <w:r w:rsidRPr="00B920A0">
        <w:rPr>
          <w:rFonts w:cs="Arial"/>
          <w:color w:val="auto"/>
          <w:sz w:val="20"/>
          <w:szCs w:val="22"/>
        </w:rPr>
        <w:t xml:space="preserve">Gráfica </w:t>
      </w:r>
      <w:r>
        <w:rPr>
          <w:rFonts w:cs="Arial"/>
          <w:color w:val="auto"/>
          <w:sz w:val="20"/>
          <w:szCs w:val="22"/>
        </w:rPr>
        <w:t>2</w:t>
      </w:r>
    </w:p>
    <w:p w14:paraId="53FBC3EE" w14:textId="77777777" w:rsidR="00E73264" w:rsidRDefault="00E73264" w:rsidP="00E73264">
      <w:pPr>
        <w:pStyle w:val="p0"/>
        <w:spacing w:before="0"/>
        <w:jc w:val="center"/>
        <w:rPr>
          <w:rFonts w:cs="Arial"/>
          <w:b/>
          <w:smallCaps/>
          <w:color w:val="000000"/>
          <w:sz w:val="22"/>
        </w:rPr>
      </w:pPr>
      <w:r w:rsidRPr="00376D7C">
        <w:rPr>
          <w:rFonts w:cs="Arial"/>
          <w:b/>
          <w:smallCaps/>
          <w:color w:val="000000"/>
          <w:sz w:val="22"/>
        </w:rPr>
        <w:t xml:space="preserve">Consumo en </w:t>
      </w:r>
      <w:r>
        <w:rPr>
          <w:rFonts w:cs="Arial"/>
          <w:b/>
          <w:smallCaps/>
          <w:color w:val="000000"/>
          <w:sz w:val="22"/>
        </w:rPr>
        <w:t>B</w:t>
      </w:r>
      <w:r w:rsidRPr="00376D7C">
        <w:rPr>
          <w:rFonts w:cs="Arial"/>
          <w:b/>
          <w:smallCaps/>
          <w:color w:val="000000"/>
          <w:sz w:val="22"/>
        </w:rPr>
        <w:t xml:space="preserve">ienes de origen importado </w:t>
      </w:r>
      <w:r>
        <w:rPr>
          <w:rFonts w:cs="Arial"/>
          <w:b/>
          <w:smallCaps/>
          <w:color w:val="000000"/>
          <w:sz w:val="22"/>
        </w:rPr>
        <w:t>a febrero</w:t>
      </w:r>
      <w:r w:rsidRPr="00376D7C">
        <w:rPr>
          <w:rFonts w:cs="Arial"/>
          <w:b/>
          <w:smallCaps/>
          <w:color w:val="000000"/>
          <w:sz w:val="22"/>
        </w:rPr>
        <w:t xml:space="preserve"> de 20</w:t>
      </w:r>
      <w:r>
        <w:rPr>
          <w:rFonts w:cs="Arial"/>
          <w:b/>
          <w:smallCaps/>
          <w:color w:val="000000"/>
          <w:sz w:val="22"/>
        </w:rPr>
        <w:t xml:space="preserve">21 </w:t>
      </w:r>
    </w:p>
    <w:p w14:paraId="1D3B236D" w14:textId="6EA12F1B"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00CAD79B" w14:textId="77777777" w:rsidR="001A032F" w:rsidRDefault="001A032F" w:rsidP="001A032F">
      <w:pPr>
        <w:jc w:val="center"/>
        <w:rPr>
          <w:rFonts w:cs="Arial"/>
          <w:sz w:val="18"/>
          <w:szCs w:val="18"/>
        </w:rPr>
      </w:pPr>
      <w:r>
        <w:rPr>
          <w:rFonts w:cs="Arial"/>
          <w:sz w:val="18"/>
          <w:szCs w:val="18"/>
        </w:rPr>
        <w:t xml:space="preserve">(Índice base 2013=100) </w:t>
      </w:r>
    </w:p>
    <w:p w14:paraId="00BE01F8" w14:textId="50E26632" w:rsidR="001A032F" w:rsidRDefault="00E73264" w:rsidP="001A032F">
      <w:pPr>
        <w:jc w:val="center"/>
        <w:rPr>
          <w:rFonts w:cs="Arial"/>
          <w:sz w:val="18"/>
          <w:szCs w:val="18"/>
        </w:rPr>
      </w:pPr>
      <w:r>
        <w:rPr>
          <w:noProof/>
        </w:rPr>
        <w:drawing>
          <wp:inline distT="0" distB="0" distL="0" distR="0" wp14:anchorId="18777AB0" wp14:editId="49BF2E61">
            <wp:extent cx="4320000" cy="2527200"/>
            <wp:effectExtent l="0" t="0" r="23495" b="26035"/>
            <wp:docPr id="2" name="Gráfico 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5E4477" w14:textId="77777777" w:rsidR="004C2706" w:rsidRDefault="00F0415D" w:rsidP="00F0415D">
      <w:pPr>
        <w:pStyle w:val="p0"/>
        <w:spacing w:before="0"/>
        <w:ind w:left="708" w:firstLine="708"/>
        <w:jc w:val="left"/>
        <w:rPr>
          <w:rFonts w:cs="Arial"/>
          <w:color w:val="auto"/>
          <w:sz w:val="16"/>
        </w:rPr>
      </w:pPr>
      <w:r w:rsidRPr="00F0415D">
        <w:rPr>
          <w:rFonts w:cs="Arial"/>
          <w:color w:val="auto"/>
          <w:sz w:val="16"/>
        </w:rPr>
        <w:t>Fuente: INEGI.</w:t>
      </w:r>
    </w:p>
    <w:p w14:paraId="34B535B1" w14:textId="77777777" w:rsidR="004B12F0" w:rsidRDefault="004B12F0" w:rsidP="004C2706">
      <w:pPr>
        <w:pStyle w:val="p0"/>
        <w:spacing w:before="0"/>
        <w:jc w:val="center"/>
        <w:rPr>
          <w:rFonts w:cs="Arial"/>
          <w:color w:val="auto"/>
          <w:sz w:val="20"/>
          <w:szCs w:val="22"/>
        </w:rPr>
      </w:pPr>
    </w:p>
    <w:p w14:paraId="5B543615" w14:textId="77777777" w:rsidR="00333FDF" w:rsidRDefault="00333FDF" w:rsidP="004C2706">
      <w:pPr>
        <w:pStyle w:val="p0"/>
        <w:spacing w:before="0"/>
        <w:jc w:val="center"/>
        <w:rPr>
          <w:rFonts w:cs="Arial"/>
          <w:color w:val="auto"/>
          <w:sz w:val="20"/>
          <w:szCs w:val="22"/>
        </w:rPr>
      </w:pPr>
    </w:p>
    <w:p w14:paraId="4CE6BFA5" w14:textId="77777777" w:rsidR="00333FDF" w:rsidRDefault="00333FDF" w:rsidP="004C2706">
      <w:pPr>
        <w:pStyle w:val="p0"/>
        <w:spacing w:before="0"/>
        <w:jc w:val="center"/>
        <w:rPr>
          <w:rFonts w:cs="Arial"/>
          <w:color w:val="auto"/>
          <w:sz w:val="20"/>
          <w:szCs w:val="22"/>
        </w:rPr>
      </w:pPr>
    </w:p>
    <w:p w14:paraId="50041238" w14:textId="3EEAB321" w:rsidR="004C2706" w:rsidRDefault="004C2706" w:rsidP="004C2706">
      <w:pPr>
        <w:pStyle w:val="p0"/>
        <w:spacing w:before="0"/>
        <w:jc w:val="center"/>
        <w:rPr>
          <w:rFonts w:cs="Arial"/>
          <w:color w:val="auto"/>
          <w:sz w:val="20"/>
          <w:szCs w:val="22"/>
        </w:rPr>
      </w:pPr>
      <w:r w:rsidRPr="00B920A0">
        <w:rPr>
          <w:rFonts w:cs="Arial"/>
          <w:color w:val="auto"/>
          <w:sz w:val="20"/>
          <w:szCs w:val="22"/>
        </w:rPr>
        <w:t>Gráfica</w:t>
      </w:r>
      <w:r>
        <w:rPr>
          <w:rFonts w:cs="Arial"/>
          <w:color w:val="auto"/>
          <w:sz w:val="20"/>
          <w:szCs w:val="22"/>
        </w:rPr>
        <w:t xml:space="preserve"> 3</w:t>
      </w:r>
    </w:p>
    <w:p w14:paraId="7B2A33B2" w14:textId="77777777" w:rsidR="00E73264" w:rsidRDefault="00E73264" w:rsidP="00E73264">
      <w:pPr>
        <w:pStyle w:val="p0"/>
        <w:spacing w:before="0"/>
        <w:jc w:val="center"/>
        <w:rPr>
          <w:rFonts w:cs="Arial"/>
          <w:b/>
          <w:smallCaps/>
          <w:color w:val="000000"/>
          <w:sz w:val="22"/>
        </w:rPr>
      </w:pPr>
      <w:r>
        <w:rPr>
          <w:rFonts w:cs="Arial"/>
          <w:b/>
          <w:smallCaps/>
          <w:color w:val="000000"/>
          <w:sz w:val="22"/>
        </w:rPr>
        <w:t xml:space="preserve">Consumo en Bienes y Servicios de origen nacional a febrero de 2021 </w:t>
      </w:r>
    </w:p>
    <w:p w14:paraId="5CD4753A" w14:textId="77777777" w:rsidR="001A032F" w:rsidRDefault="001A032F" w:rsidP="001A032F">
      <w:pPr>
        <w:pStyle w:val="p0"/>
        <w:spacing w:before="0"/>
        <w:jc w:val="center"/>
        <w:rPr>
          <w:smallCaps/>
          <w:color w:val="auto"/>
          <w:szCs w:val="22"/>
        </w:rPr>
      </w:pPr>
      <w:r>
        <w:rPr>
          <w:rFonts w:cs="Arial"/>
          <w:b/>
          <w:smallCaps/>
          <w:color w:val="000000"/>
          <w:sz w:val="22"/>
        </w:rPr>
        <w:t>Series desestacionalizada y de tendencia-ciclo</w:t>
      </w:r>
    </w:p>
    <w:p w14:paraId="5DA20FA7" w14:textId="77777777" w:rsidR="001A032F" w:rsidRDefault="001A032F" w:rsidP="001A032F">
      <w:pPr>
        <w:jc w:val="center"/>
        <w:rPr>
          <w:rFonts w:cs="Arial"/>
          <w:sz w:val="18"/>
          <w:szCs w:val="18"/>
        </w:rPr>
      </w:pPr>
      <w:r>
        <w:rPr>
          <w:rFonts w:cs="Arial"/>
          <w:sz w:val="18"/>
          <w:szCs w:val="18"/>
        </w:rPr>
        <w:t>(Índice base 2013=100)</w:t>
      </w:r>
    </w:p>
    <w:p w14:paraId="2D3F74DA" w14:textId="11D16A39" w:rsidR="001A032F" w:rsidRDefault="00E73264" w:rsidP="001A032F">
      <w:pPr>
        <w:jc w:val="center"/>
        <w:rPr>
          <w:rFonts w:cs="Arial"/>
          <w:sz w:val="18"/>
          <w:szCs w:val="18"/>
        </w:rPr>
      </w:pPr>
      <w:r>
        <w:rPr>
          <w:noProof/>
        </w:rPr>
        <w:drawing>
          <wp:inline distT="0" distB="0" distL="0" distR="0" wp14:anchorId="29E4D2C4" wp14:editId="0E1F2988">
            <wp:extent cx="4320000" cy="2527200"/>
            <wp:effectExtent l="0" t="0" r="23495" b="26035"/>
            <wp:docPr id="5" name="Gráfico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29A58" w14:textId="77777777" w:rsidR="00F0415D" w:rsidRDefault="00F0415D" w:rsidP="00F0415D">
      <w:pPr>
        <w:pStyle w:val="p0"/>
        <w:spacing w:before="0"/>
        <w:ind w:left="708" w:firstLine="708"/>
        <w:rPr>
          <w:rFonts w:cs="Arial"/>
          <w:color w:val="auto"/>
          <w:sz w:val="20"/>
          <w:szCs w:val="22"/>
        </w:rPr>
      </w:pPr>
      <w:r w:rsidRPr="005F3E2F">
        <w:rPr>
          <w:rFonts w:cs="Arial"/>
          <w:color w:val="auto"/>
          <w:sz w:val="16"/>
        </w:rPr>
        <w:t>Fuente: INEGI</w:t>
      </w:r>
      <w:r>
        <w:rPr>
          <w:rFonts w:cs="Arial"/>
          <w:sz w:val="16"/>
        </w:rPr>
        <w:t>.</w:t>
      </w:r>
    </w:p>
    <w:p w14:paraId="2598294B" w14:textId="77777777" w:rsidR="00D0777B" w:rsidRPr="0044281B" w:rsidRDefault="00D0777B" w:rsidP="00D0777B">
      <w:pPr>
        <w:rPr>
          <w:rFonts w:cs="Arial"/>
          <w:sz w:val="18"/>
          <w:szCs w:val="18"/>
        </w:rPr>
      </w:pPr>
    </w:p>
    <w:p w14:paraId="5A0D236E" w14:textId="77777777" w:rsidR="00023AEF" w:rsidRDefault="00023AEF" w:rsidP="00CD79EC">
      <w:pPr>
        <w:pStyle w:val="Ttulo4"/>
        <w:keepNext w:val="0"/>
        <w:spacing w:before="0"/>
        <w:rPr>
          <w:u w:val="none"/>
        </w:rPr>
      </w:pPr>
    </w:p>
    <w:p w14:paraId="575BDAD2" w14:textId="77777777" w:rsidR="00023AEF" w:rsidRDefault="00023AEF" w:rsidP="00CD79EC">
      <w:pPr>
        <w:pStyle w:val="Ttulo4"/>
        <w:keepNext w:val="0"/>
        <w:spacing w:before="0"/>
        <w:rPr>
          <w:u w:val="none"/>
        </w:rPr>
      </w:pPr>
    </w:p>
    <w:p w14:paraId="1B6A9789" w14:textId="409B605D" w:rsidR="00023AEF" w:rsidRDefault="00023AEF" w:rsidP="00CD79EC">
      <w:pPr>
        <w:pStyle w:val="Ttulo4"/>
        <w:keepNext w:val="0"/>
        <w:spacing w:before="0"/>
        <w:rPr>
          <w:u w:val="none"/>
        </w:rPr>
      </w:pPr>
    </w:p>
    <w:p w14:paraId="7BED16A9" w14:textId="77777777" w:rsidR="00023AEF" w:rsidRDefault="00023AEF" w:rsidP="00CD79EC">
      <w:pPr>
        <w:pStyle w:val="Ttulo4"/>
        <w:keepNext w:val="0"/>
        <w:spacing w:before="0"/>
        <w:rPr>
          <w:u w:val="none"/>
        </w:rPr>
      </w:pPr>
    </w:p>
    <w:p w14:paraId="727CE8C6" w14:textId="0636B5E7" w:rsidR="00140D9C" w:rsidRDefault="00140D9C" w:rsidP="00CD79EC">
      <w:pPr>
        <w:pStyle w:val="Ttulo4"/>
        <w:keepNext w:val="0"/>
        <w:spacing w:before="0"/>
        <w:rPr>
          <w:u w:val="none"/>
        </w:rPr>
      </w:pPr>
      <w:r>
        <w:rPr>
          <w:u w:val="none"/>
        </w:rPr>
        <w:t xml:space="preserve">Cifras originales </w:t>
      </w:r>
    </w:p>
    <w:p w14:paraId="3CFADD81" w14:textId="77777777" w:rsidR="00B920A0" w:rsidRDefault="00B920A0" w:rsidP="00FF6A2A">
      <w:pPr>
        <w:pStyle w:val="p0"/>
        <w:jc w:val="center"/>
        <w:rPr>
          <w:rFonts w:cs="Arial"/>
          <w:color w:val="auto"/>
          <w:sz w:val="20"/>
          <w:szCs w:val="22"/>
        </w:rPr>
      </w:pPr>
      <w:r w:rsidRPr="009A37CD">
        <w:rPr>
          <w:rFonts w:cs="Arial"/>
          <w:color w:val="auto"/>
          <w:sz w:val="20"/>
          <w:szCs w:val="22"/>
        </w:rPr>
        <w:t xml:space="preserve">Cuadro </w:t>
      </w:r>
      <w:r>
        <w:rPr>
          <w:rFonts w:cs="Arial"/>
          <w:color w:val="auto"/>
          <w:sz w:val="20"/>
          <w:szCs w:val="22"/>
        </w:rPr>
        <w:t>2</w:t>
      </w:r>
    </w:p>
    <w:p w14:paraId="7F107527" w14:textId="77777777" w:rsidR="00140D9C" w:rsidRDefault="00140D9C" w:rsidP="00B920A0">
      <w:pPr>
        <w:pStyle w:val="p0"/>
        <w:spacing w:before="0"/>
        <w:jc w:val="center"/>
        <w:rPr>
          <w:rFonts w:cs="Arial"/>
          <w:b/>
          <w:smallCaps/>
          <w:color w:val="auto"/>
          <w:sz w:val="22"/>
          <w:szCs w:val="22"/>
        </w:rPr>
      </w:pPr>
      <w:r>
        <w:rPr>
          <w:rFonts w:cs="Arial"/>
          <w:b/>
          <w:smallCaps/>
          <w:color w:val="auto"/>
          <w:sz w:val="22"/>
          <w:szCs w:val="22"/>
        </w:rPr>
        <w:t xml:space="preserve">Indicador Mensual del Consumo Privado en el </w:t>
      </w:r>
    </w:p>
    <w:p w14:paraId="356B4A76" w14:textId="467DDE11" w:rsidR="00140D9C" w:rsidRDefault="0058550A" w:rsidP="00140D9C">
      <w:pPr>
        <w:pStyle w:val="p0"/>
        <w:spacing w:before="0"/>
        <w:jc w:val="center"/>
        <w:rPr>
          <w:rFonts w:cs="Arial"/>
          <w:b/>
          <w:smallCaps/>
          <w:color w:val="auto"/>
          <w:sz w:val="22"/>
          <w:szCs w:val="22"/>
        </w:rPr>
      </w:pPr>
      <w:r>
        <w:rPr>
          <w:rFonts w:cs="Arial"/>
          <w:b/>
          <w:smallCaps/>
          <w:color w:val="auto"/>
          <w:sz w:val="22"/>
          <w:szCs w:val="22"/>
        </w:rPr>
        <w:t xml:space="preserve">Mercado Interior </w:t>
      </w:r>
      <w:r w:rsidR="003270A4">
        <w:rPr>
          <w:rFonts w:cs="Arial"/>
          <w:b/>
          <w:smallCaps/>
          <w:color w:val="auto"/>
          <w:sz w:val="22"/>
          <w:szCs w:val="22"/>
        </w:rPr>
        <w:t>durante</w:t>
      </w:r>
      <w:r w:rsidR="00140D9C">
        <w:rPr>
          <w:rFonts w:cs="Arial"/>
          <w:b/>
          <w:smallCaps/>
          <w:color w:val="auto"/>
          <w:sz w:val="22"/>
          <w:szCs w:val="22"/>
        </w:rPr>
        <w:t xml:space="preserve"> </w:t>
      </w:r>
      <w:proofErr w:type="spellStart"/>
      <w:r w:rsidR="00EC75C4">
        <w:rPr>
          <w:rFonts w:cs="Arial"/>
          <w:b/>
          <w:smallCaps/>
          <w:color w:val="auto"/>
          <w:sz w:val="22"/>
          <w:szCs w:val="22"/>
        </w:rPr>
        <w:t>f</w:t>
      </w:r>
      <w:r w:rsidR="00E062CA">
        <w:rPr>
          <w:rFonts w:cs="Arial"/>
          <w:b/>
          <w:smallCaps/>
          <w:color w:val="auto"/>
          <w:sz w:val="22"/>
          <w:szCs w:val="22"/>
        </w:rPr>
        <w:t>e</w:t>
      </w:r>
      <w:r w:rsidR="00EC75C4">
        <w:rPr>
          <w:rFonts w:cs="Arial"/>
          <w:b/>
          <w:smallCaps/>
          <w:color w:val="auto"/>
          <w:sz w:val="22"/>
          <w:szCs w:val="22"/>
        </w:rPr>
        <w:t>br</w:t>
      </w:r>
      <w:r w:rsidR="001E20B9">
        <w:rPr>
          <w:rFonts w:cs="Arial"/>
          <w:b/>
          <w:smallCaps/>
          <w:color w:val="auto"/>
          <w:sz w:val="22"/>
          <w:szCs w:val="22"/>
        </w:rPr>
        <w:t>ero</w:t>
      </w:r>
      <w:r w:rsidR="00443873" w:rsidRPr="00624955">
        <w:rPr>
          <w:rFonts w:cs="Arial"/>
          <w:b/>
          <w:smallCaps/>
          <w:color w:val="auto"/>
          <w:sz w:val="22"/>
          <w:szCs w:val="22"/>
          <w:vertAlign w:val="superscript"/>
        </w:rPr>
        <w:t>p</w:t>
      </w:r>
      <w:proofErr w:type="spellEnd"/>
      <w:r w:rsidR="00443873" w:rsidRPr="00443873">
        <w:rPr>
          <w:rFonts w:cs="Arial"/>
          <w:smallCaps/>
          <w:color w:val="auto"/>
          <w:sz w:val="22"/>
          <w:szCs w:val="22"/>
          <w:vertAlign w:val="superscript"/>
        </w:rPr>
        <w:t>/</w:t>
      </w:r>
      <w:r w:rsidR="00140D9C" w:rsidRPr="00443873">
        <w:rPr>
          <w:rFonts w:cs="Arial"/>
          <w:smallCaps/>
          <w:color w:val="auto"/>
          <w:sz w:val="22"/>
          <w:szCs w:val="22"/>
          <w:vertAlign w:val="superscript"/>
        </w:rPr>
        <w:t xml:space="preserve"> </w:t>
      </w:r>
      <w:r w:rsidR="00140D9C">
        <w:rPr>
          <w:rFonts w:cs="Arial"/>
          <w:b/>
          <w:smallCaps/>
          <w:color w:val="auto"/>
          <w:sz w:val="22"/>
          <w:szCs w:val="22"/>
        </w:rPr>
        <w:t>de 20</w:t>
      </w:r>
      <w:r w:rsidR="00EB2CEC">
        <w:rPr>
          <w:rFonts w:cs="Arial"/>
          <w:b/>
          <w:smallCaps/>
          <w:color w:val="auto"/>
          <w:sz w:val="22"/>
          <w:szCs w:val="22"/>
        </w:rPr>
        <w:t>2</w:t>
      </w:r>
      <w:r w:rsidR="001E20B9">
        <w:rPr>
          <w:rFonts w:cs="Arial"/>
          <w:b/>
          <w:smallCaps/>
          <w:color w:val="auto"/>
          <w:sz w:val="22"/>
          <w:szCs w:val="22"/>
        </w:rPr>
        <w:t>1</w:t>
      </w:r>
    </w:p>
    <w:p w14:paraId="70145CEB" w14:textId="4F87EB59" w:rsidR="00140D9C" w:rsidRDefault="00140D9C" w:rsidP="00140D9C">
      <w:pPr>
        <w:pStyle w:val="p0"/>
        <w:spacing w:before="0"/>
        <w:jc w:val="center"/>
        <w:rPr>
          <w:rFonts w:cs="Arial"/>
          <w:smallCaps/>
          <w:color w:val="auto"/>
          <w:sz w:val="18"/>
        </w:rPr>
      </w:pPr>
      <w:r>
        <w:rPr>
          <w:rFonts w:cs="Arial"/>
          <w:smallCaps/>
          <w:color w:val="auto"/>
          <w:sz w:val="18"/>
        </w:rPr>
        <w:t>(</w:t>
      </w:r>
      <w:r>
        <w:rPr>
          <w:rFonts w:cs="Arial"/>
          <w:color w:val="auto"/>
          <w:sz w:val="18"/>
        </w:rPr>
        <w:t xml:space="preserve">Variación </w:t>
      </w:r>
      <w:r>
        <w:rPr>
          <w:rFonts w:cs="Arial"/>
          <w:color w:val="auto"/>
          <w:sz w:val="18"/>
          <w:szCs w:val="18"/>
        </w:rPr>
        <w:t>porcentual</w:t>
      </w:r>
      <w:r>
        <w:rPr>
          <w:rFonts w:cs="Arial"/>
          <w:color w:val="auto"/>
          <w:sz w:val="18"/>
        </w:rPr>
        <w:t xml:space="preserve"> real respecto al </w:t>
      </w:r>
      <w:r w:rsidR="00725D3A">
        <w:rPr>
          <w:rFonts w:cs="Arial"/>
          <w:color w:val="auto"/>
          <w:sz w:val="18"/>
        </w:rPr>
        <w:t>m</w:t>
      </w:r>
      <w:r w:rsidR="0096265F">
        <w:rPr>
          <w:rFonts w:cs="Arial"/>
          <w:color w:val="auto"/>
          <w:sz w:val="18"/>
        </w:rPr>
        <w:t>ismo</w:t>
      </w:r>
      <w:r>
        <w:rPr>
          <w:rFonts w:cs="Arial"/>
          <w:color w:val="auto"/>
          <w:sz w:val="18"/>
        </w:rPr>
        <w:t xml:space="preserve"> </w:t>
      </w:r>
      <w:r w:rsidR="00FF3D76">
        <w:rPr>
          <w:rFonts w:cs="Arial"/>
          <w:color w:val="auto"/>
          <w:sz w:val="18"/>
        </w:rPr>
        <w:t>período</w:t>
      </w:r>
      <w:r>
        <w:rPr>
          <w:rFonts w:cs="Arial"/>
          <w:color w:val="auto"/>
          <w:sz w:val="18"/>
        </w:rPr>
        <w:t xml:space="preserve"> del año anterior</w:t>
      </w:r>
      <w:r>
        <w:rPr>
          <w:rFonts w:cs="Arial"/>
          <w:smallCaps/>
          <w:color w:val="auto"/>
          <w:sz w:val="18"/>
        </w:rPr>
        <w:t>)</w:t>
      </w:r>
    </w:p>
    <w:tbl>
      <w:tblPr>
        <w:tblW w:w="0" w:type="auto"/>
        <w:jc w:val="center"/>
        <w:tblLayout w:type="fixed"/>
        <w:tblCellMar>
          <w:left w:w="107" w:type="dxa"/>
          <w:right w:w="107" w:type="dxa"/>
        </w:tblCellMar>
        <w:tblLook w:val="04A0" w:firstRow="1" w:lastRow="0" w:firstColumn="1" w:lastColumn="0" w:noHBand="0" w:noVBand="1"/>
      </w:tblPr>
      <w:tblGrid>
        <w:gridCol w:w="3888"/>
        <w:gridCol w:w="1499"/>
        <w:gridCol w:w="1499"/>
      </w:tblGrid>
      <w:tr w:rsidR="00FF3D76" w14:paraId="3AD62CD3" w14:textId="5303F0FF" w:rsidTr="00AC4550">
        <w:trPr>
          <w:cantSplit/>
          <w:trHeight w:val="20"/>
          <w:jc w:val="center"/>
        </w:trPr>
        <w:tc>
          <w:tcPr>
            <w:tcW w:w="3888" w:type="dxa"/>
            <w:tcBorders>
              <w:top w:val="double" w:sz="4" w:space="0" w:color="auto"/>
              <w:left w:val="double" w:sz="4" w:space="0" w:color="auto"/>
              <w:bottom w:val="single" w:sz="4" w:space="0" w:color="auto"/>
              <w:right w:val="single" w:sz="6" w:space="0" w:color="auto"/>
            </w:tcBorders>
            <w:shd w:val="clear" w:color="auto" w:fill="C2D69B" w:themeFill="accent3" w:themeFillTint="99"/>
            <w:vAlign w:val="center"/>
            <w:hideMark/>
          </w:tcPr>
          <w:p w14:paraId="1F743D27" w14:textId="77777777" w:rsidR="00FF3D76" w:rsidRDefault="00FF3D76">
            <w:pPr>
              <w:pStyle w:val="p0"/>
              <w:tabs>
                <w:tab w:val="left" w:pos="546"/>
              </w:tabs>
              <w:spacing w:before="120" w:after="120"/>
              <w:ind w:firstLine="537"/>
              <w:jc w:val="left"/>
              <w:rPr>
                <w:rFonts w:cs="Arial"/>
                <w:color w:val="auto"/>
                <w:sz w:val="18"/>
                <w:szCs w:val="18"/>
                <w:lang w:val="es-ES"/>
              </w:rPr>
            </w:pPr>
            <w:r>
              <w:rPr>
                <w:rFonts w:cs="Arial"/>
                <w:color w:val="auto"/>
                <w:sz w:val="18"/>
                <w:szCs w:val="18"/>
                <w:lang w:val="es-ES"/>
              </w:rPr>
              <w:t>Concepto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hideMark/>
          </w:tcPr>
          <w:p w14:paraId="495AC8CD" w14:textId="281BB907"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Febrero</w:t>
            </w:r>
          </w:p>
        </w:tc>
        <w:tc>
          <w:tcPr>
            <w:tcW w:w="1499" w:type="dxa"/>
            <w:tcBorders>
              <w:top w:val="double" w:sz="4" w:space="0" w:color="auto"/>
              <w:left w:val="single" w:sz="6" w:space="0" w:color="auto"/>
              <w:bottom w:val="single" w:sz="4" w:space="0" w:color="auto"/>
              <w:right w:val="double" w:sz="4" w:space="0" w:color="auto"/>
            </w:tcBorders>
            <w:shd w:val="clear" w:color="auto" w:fill="C2D69B" w:themeFill="accent3" w:themeFillTint="99"/>
          </w:tcPr>
          <w:p w14:paraId="5941565B" w14:textId="206225F5" w:rsidR="00FF3D76" w:rsidRDefault="00FF3D76">
            <w:pPr>
              <w:pStyle w:val="p0"/>
              <w:keepNext/>
              <w:spacing w:before="120" w:after="120"/>
              <w:jc w:val="center"/>
              <w:rPr>
                <w:rFonts w:cs="Arial"/>
                <w:color w:val="auto"/>
                <w:sz w:val="18"/>
                <w:szCs w:val="18"/>
                <w:lang w:val="es-ES"/>
              </w:rPr>
            </w:pPr>
            <w:r>
              <w:rPr>
                <w:rFonts w:cs="Arial"/>
                <w:color w:val="auto"/>
                <w:sz w:val="18"/>
                <w:szCs w:val="18"/>
                <w:lang w:val="es-ES"/>
              </w:rPr>
              <w:t>Ene-Feb</w:t>
            </w:r>
          </w:p>
        </w:tc>
      </w:tr>
      <w:tr w:rsidR="00FF3D76" w14:paraId="58327AAA" w14:textId="3A9AB43B" w:rsidTr="00AC4550">
        <w:trPr>
          <w:cantSplit/>
          <w:trHeight w:val="20"/>
          <w:jc w:val="center"/>
        </w:trPr>
        <w:tc>
          <w:tcPr>
            <w:tcW w:w="3888" w:type="dxa"/>
            <w:tcBorders>
              <w:top w:val="single" w:sz="4" w:space="0" w:color="auto"/>
              <w:left w:val="double" w:sz="4" w:space="0" w:color="auto"/>
              <w:bottom w:val="nil"/>
              <w:right w:val="single" w:sz="6" w:space="0" w:color="auto"/>
            </w:tcBorders>
            <w:hideMark/>
          </w:tcPr>
          <w:p w14:paraId="45827803" w14:textId="77777777" w:rsidR="00FF3D76" w:rsidRDefault="00FF3D76">
            <w:pPr>
              <w:pStyle w:val="p0"/>
              <w:spacing w:before="120" w:after="60"/>
              <w:ind w:firstLine="159"/>
              <w:rPr>
                <w:rFonts w:cs="Arial"/>
                <w:b/>
                <w:color w:val="auto"/>
                <w:sz w:val="18"/>
                <w:lang w:val="es-ES"/>
              </w:rPr>
            </w:pPr>
            <w:r>
              <w:rPr>
                <w:rFonts w:cs="Arial"/>
                <w:sz w:val="18"/>
              </w:rPr>
              <w:br w:type="page"/>
            </w:r>
            <w:r>
              <w:rPr>
                <w:rFonts w:cs="Arial"/>
                <w:b/>
                <w:color w:val="auto"/>
                <w:sz w:val="18"/>
                <w:u w:val="single"/>
                <w:lang w:val="es-ES"/>
              </w:rPr>
              <w:t>Total</w:t>
            </w:r>
          </w:p>
        </w:tc>
        <w:tc>
          <w:tcPr>
            <w:tcW w:w="1499" w:type="dxa"/>
            <w:tcBorders>
              <w:top w:val="single" w:sz="4" w:space="0" w:color="auto"/>
              <w:left w:val="single" w:sz="6" w:space="0" w:color="auto"/>
              <w:bottom w:val="nil"/>
              <w:right w:val="double" w:sz="4" w:space="0" w:color="auto"/>
            </w:tcBorders>
            <w:hideMark/>
          </w:tcPr>
          <w:p w14:paraId="3942F15E" w14:textId="6E57E2C7" w:rsidR="00FF3D76" w:rsidRPr="00D13CC0" w:rsidRDefault="00FF3D76" w:rsidP="00E61C6B">
            <w:pPr>
              <w:tabs>
                <w:tab w:val="left" w:pos="307"/>
                <w:tab w:val="decimal" w:pos="881"/>
              </w:tabs>
              <w:spacing w:before="120" w:after="60"/>
              <w:ind w:right="397"/>
              <w:jc w:val="right"/>
              <w:rPr>
                <w:rFonts w:cs="Arial"/>
                <w:b/>
                <w:sz w:val="18"/>
                <w:u w:val="single"/>
                <w:lang w:val="es-ES" w:eastAsia="en-US"/>
              </w:rPr>
            </w:pPr>
            <w:r w:rsidRPr="00D13CC0">
              <w:rPr>
                <w:rFonts w:cs="Arial"/>
                <w:b/>
                <w:sz w:val="18"/>
                <w:lang w:val="es-ES" w:eastAsia="en-US"/>
              </w:rPr>
              <w:t xml:space="preserve">(-)    </w:t>
            </w:r>
            <w:r>
              <w:rPr>
                <w:rFonts w:cs="Arial"/>
                <w:b/>
                <w:sz w:val="18"/>
                <w:u w:val="single"/>
                <w:lang w:val="es-ES" w:eastAsia="en-US"/>
              </w:rPr>
              <w:t>7.5</w:t>
            </w:r>
          </w:p>
        </w:tc>
        <w:tc>
          <w:tcPr>
            <w:tcW w:w="1499" w:type="dxa"/>
            <w:tcBorders>
              <w:top w:val="single" w:sz="4" w:space="0" w:color="auto"/>
              <w:left w:val="single" w:sz="6" w:space="0" w:color="auto"/>
              <w:bottom w:val="nil"/>
              <w:right w:val="double" w:sz="4" w:space="0" w:color="auto"/>
            </w:tcBorders>
          </w:tcPr>
          <w:p w14:paraId="5C0106BC" w14:textId="374244A1" w:rsidR="00FF3D76" w:rsidRPr="00D13CC0" w:rsidRDefault="00AC3016" w:rsidP="00E61C6B">
            <w:pPr>
              <w:tabs>
                <w:tab w:val="left" w:pos="307"/>
                <w:tab w:val="decimal" w:pos="881"/>
              </w:tabs>
              <w:spacing w:before="120" w:after="60"/>
              <w:ind w:right="397"/>
              <w:jc w:val="right"/>
              <w:rPr>
                <w:rFonts w:cs="Arial"/>
                <w:b/>
                <w:sz w:val="18"/>
                <w:lang w:val="es-ES" w:eastAsia="en-US"/>
              </w:rPr>
            </w:pPr>
            <w:r>
              <w:rPr>
                <w:rFonts w:cs="Arial"/>
                <w:b/>
                <w:sz w:val="18"/>
                <w:lang w:val="es-ES" w:eastAsia="en-US"/>
              </w:rPr>
              <w:t xml:space="preserve">(-)   </w:t>
            </w:r>
            <w:r w:rsidRPr="00362D5F">
              <w:rPr>
                <w:rFonts w:cs="Arial"/>
                <w:b/>
                <w:sz w:val="18"/>
                <w:u w:val="single"/>
                <w:lang w:val="es-ES" w:eastAsia="en-US"/>
              </w:rPr>
              <w:t>7.5</w:t>
            </w:r>
          </w:p>
        </w:tc>
      </w:tr>
      <w:tr w:rsidR="00FF3D76" w14:paraId="7B189E41" w14:textId="2E6C4931" w:rsidTr="00AC4550">
        <w:trPr>
          <w:cantSplit/>
          <w:trHeight w:val="20"/>
          <w:jc w:val="center"/>
        </w:trPr>
        <w:tc>
          <w:tcPr>
            <w:tcW w:w="3888" w:type="dxa"/>
            <w:tcBorders>
              <w:top w:val="nil"/>
              <w:left w:val="double" w:sz="4" w:space="0" w:color="auto"/>
              <w:bottom w:val="nil"/>
              <w:right w:val="single" w:sz="6" w:space="0" w:color="auto"/>
            </w:tcBorders>
            <w:hideMark/>
          </w:tcPr>
          <w:p w14:paraId="2398AB98" w14:textId="77777777" w:rsidR="00FF3D76" w:rsidRDefault="00FF3D76">
            <w:pPr>
              <w:pStyle w:val="p0"/>
              <w:spacing w:before="0"/>
              <w:ind w:firstLine="313"/>
              <w:rPr>
                <w:rFonts w:cs="Arial"/>
                <w:b/>
                <w:color w:val="auto"/>
                <w:sz w:val="18"/>
                <w:lang w:val="es-ES"/>
              </w:rPr>
            </w:pPr>
            <w:r>
              <w:rPr>
                <w:rFonts w:cs="Arial"/>
                <w:b/>
                <w:color w:val="auto"/>
                <w:sz w:val="18"/>
                <w:lang w:val="es-ES"/>
              </w:rPr>
              <w:t>Nacional</w:t>
            </w:r>
          </w:p>
        </w:tc>
        <w:tc>
          <w:tcPr>
            <w:tcW w:w="1499" w:type="dxa"/>
            <w:tcBorders>
              <w:top w:val="nil"/>
              <w:left w:val="single" w:sz="6" w:space="0" w:color="auto"/>
              <w:bottom w:val="nil"/>
              <w:right w:val="double" w:sz="4" w:space="0" w:color="auto"/>
            </w:tcBorders>
            <w:hideMark/>
          </w:tcPr>
          <w:p w14:paraId="32FBA5E9" w14:textId="73704706" w:rsidR="00FF3D76" w:rsidRPr="00D13CC0" w:rsidRDefault="00FF3D76" w:rsidP="00E61C6B">
            <w:pPr>
              <w:tabs>
                <w:tab w:val="left" w:pos="307"/>
              </w:tabs>
              <w:ind w:right="397"/>
              <w:jc w:val="right"/>
              <w:rPr>
                <w:rFonts w:cs="Arial"/>
                <w:b/>
                <w:sz w:val="18"/>
                <w:lang w:val="es-ES" w:eastAsia="en-US"/>
              </w:rPr>
            </w:pPr>
            <w:r w:rsidRPr="00D13CC0">
              <w:rPr>
                <w:rFonts w:cs="Arial"/>
                <w:b/>
                <w:sz w:val="18"/>
                <w:lang w:val="es-ES" w:eastAsia="en-US"/>
              </w:rPr>
              <w:t xml:space="preserve">(-)    </w:t>
            </w:r>
            <w:r>
              <w:rPr>
                <w:rFonts w:cs="Arial"/>
                <w:b/>
                <w:sz w:val="18"/>
                <w:lang w:val="es-ES" w:eastAsia="en-US"/>
              </w:rPr>
              <w:t>8.6</w:t>
            </w:r>
          </w:p>
        </w:tc>
        <w:tc>
          <w:tcPr>
            <w:tcW w:w="1499" w:type="dxa"/>
            <w:tcBorders>
              <w:top w:val="nil"/>
              <w:left w:val="single" w:sz="6" w:space="0" w:color="auto"/>
              <w:bottom w:val="nil"/>
              <w:right w:val="double" w:sz="4" w:space="0" w:color="auto"/>
            </w:tcBorders>
          </w:tcPr>
          <w:p w14:paraId="0B40B00D" w14:textId="0018A77C" w:rsidR="00FF3D76" w:rsidRPr="00D13CC0" w:rsidRDefault="00AC3016" w:rsidP="00E61C6B">
            <w:pPr>
              <w:tabs>
                <w:tab w:val="left" w:pos="307"/>
              </w:tabs>
              <w:ind w:right="397"/>
              <w:jc w:val="right"/>
              <w:rPr>
                <w:rFonts w:cs="Arial"/>
                <w:b/>
                <w:sz w:val="18"/>
                <w:lang w:val="es-ES" w:eastAsia="en-US"/>
              </w:rPr>
            </w:pPr>
            <w:r>
              <w:rPr>
                <w:rFonts w:cs="Arial"/>
                <w:b/>
                <w:sz w:val="18"/>
                <w:lang w:val="es-ES" w:eastAsia="en-US"/>
              </w:rPr>
              <w:t>(-)   8.4</w:t>
            </w:r>
          </w:p>
        </w:tc>
      </w:tr>
      <w:tr w:rsidR="00FF3D76" w14:paraId="167165BE" w14:textId="4BAE8EA1" w:rsidTr="00AC4550">
        <w:trPr>
          <w:cantSplit/>
          <w:trHeight w:val="20"/>
          <w:jc w:val="center"/>
        </w:trPr>
        <w:tc>
          <w:tcPr>
            <w:tcW w:w="3888" w:type="dxa"/>
            <w:tcBorders>
              <w:top w:val="nil"/>
              <w:left w:val="double" w:sz="4" w:space="0" w:color="auto"/>
              <w:bottom w:val="nil"/>
              <w:right w:val="single" w:sz="6" w:space="0" w:color="auto"/>
            </w:tcBorders>
            <w:hideMark/>
          </w:tcPr>
          <w:p w14:paraId="7A7C0FCE"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04775D22"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723C883D"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1743706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nil"/>
              <w:right w:val="double" w:sz="4" w:space="0" w:color="auto"/>
            </w:tcBorders>
            <w:hideMark/>
          </w:tcPr>
          <w:p w14:paraId="113C6DD9" w14:textId="4B7F856E" w:rsidR="00FF3D76" w:rsidRPr="00D13CC0" w:rsidRDefault="00FF3D76" w:rsidP="00E61C6B">
            <w:pPr>
              <w:tabs>
                <w:tab w:val="left" w:pos="307"/>
              </w:tabs>
              <w:ind w:right="397"/>
              <w:jc w:val="right"/>
              <w:rPr>
                <w:rFonts w:cs="Arial"/>
                <w:sz w:val="18"/>
                <w:lang w:val="es-ES" w:eastAsia="en-US"/>
              </w:rPr>
            </w:pPr>
            <w:r>
              <w:rPr>
                <w:rFonts w:cs="Arial"/>
                <w:sz w:val="18"/>
                <w:lang w:val="es-ES" w:eastAsia="en-US"/>
              </w:rPr>
              <w:t>(-)</w:t>
            </w:r>
            <w:r w:rsidRPr="00D13CC0">
              <w:rPr>
                <w:rFonts w:cs="Arial"/>
                <w:sz w:val="18"/>
                <w:lang w:val="es-ES" w:eastAsia="en-US"/>
              </w:rPr>
              <w:t xml:space="preserve">    </w:t>
            </w:r>
            <w:r>
              <w:rPr>
                <w:rFonts w:cs="Arial"/>
                <w:sz w:val="18"/>
                <w:lang w:val="es-ES" w:eastAsia="en-US"/>
              </w:rPr>
              <w:t>1.8</w:t>
            </w:r>
          </w:p>
          <w:p w14:paraId="564EE16B" w14:textId="531FD6E5" w:rsidR="00FF3D76" w:rsidRPr="00D13CC0" w:rsidRDefault="00FF3D76" w:rsidP="00E61C6B">
            <w:pPr>
              <w:tabs>
                <w:tab w:val="left" w:pos="307"/>
              </w:tabs>
              <w:ind w:right="397"/>
              <w:jc w:val="right"/>
              <w:rPr>
                <w:rFonts w:cs="Arial"/>
                <w:sz w:val="18"/>
                <w:lang w:val="es-ES" w:eastAsia="en-US"/>
              </w:rPr>
            </w:pPr>
            <w:r w:rsidRPr="00D13CC0">
              <w:rPr>
                <w:rFonts w:cs="Arial"/>
                <w:sz w:val="18"/>
                <w:lang w:val="es-ES" w:eastAsia="en-US"/>
              </w:rPr>
              <w:t xml:space="preserve">(-)    </w:t>
            </w:r>
            <w:r>
              <w:rPr>
                <w:rFonts w:cs="Arial"/>
                <w:sz w:val="18"/>
                <w:lang w:val="es-ES" w:eastAsia="en-US"/>
              </w:rPr>
              <w:t>7</w:t>
            </w:r>
            <w:r w:rsidRPr="00D13CC0">
              <w:rPr>
                <w:rFonts w:cs="Arial"/>
                <w:sz w:val="18"/>
                <w:lang w:val="es-ES" w:eastAsia="en-US"/>
              </w:rPr>
              <w:t>.</w:t>
            </w:r>
            <w:r>
              <w:rPr>
                <w:rFonts w:cs="Arial"/>
                <w:sz w:val="18"/>
                <w:lang w:val="es-ES" w:eastAsia="en-US"/>
              </w:rPr>
              <w:t>9</w:t>
            </w:r>
          </w:p>
          <w:p w14:paraId="2B2A9991" w14:textId="4FCB70FF" w:rsidR="00FF3D76" w:rsidRPr="00D13CC0" w:rsidRDefault="00FF3D76" w:rsidP="00E61C6B">
            <w:pPr>
              <w:tabs>
                <w:tab w:val="left" w:pos="307"/>
              </w:tabs>
              <w:ind w:right="397"/>
              <w:jc w:val="right"/>
              <w:rPr>
                <w:rFonts w:cs="Arial"/>
                <w:sz w:val="18"/>
                <w:lang w:val="es-ES" w:eastAsia="en-US"/>
              </w:rPr>
            </w:pPr>
            <w:r w:rsidRPr="00D13CC0">
              <w:rPr>
                <w:rFonts w:cs="Arial"/>
                <w:sz w:val="18"/>
                <w:lang w:val="es-ES" w:eastAsia="en-US"/>
              </w:rPr>
              <w:t>(-</w:t>
            </w:r>
            <w:proofErr w:type="gramStart"/>
            <w:r w:rsidRPr="00D13CC0">
              <w:rPr>
                <w:rFonts w:cs="Arial"/>
                <w:sz w:val="18"/>
                <w:lang w:val="es-ES" w:eastAsia="en-US"/>
              </w:rPr>
              <w:t xml:space="preserve">)  </w:t>
            </w:r>
            <w:r>
              <w:rPr>
                <w:rFonts w:cs="Arial"/>
                <w:sz w:val="18"/>
                <w:lang w:val="es-ES" w:eastAsia="en-US"/>
              </w:rPr>
              <w:t>13</w:t>
            </w:r>
            <w:r w:rsidRPr="00D13CC0">
              <w:rPr>
                <w:rFonts w:cs="Arial"/>
                <w:sz w:val="18"/>
                <w:lang w:val="es-ES" w:eastAsia="en-US"/>
              </w:rPr>
              <w:t>.</w:t>
            </w:r>
            <w:r>
              <w:rPr>
                <w:rFonts w:cs="Arial"/>
                <w:sz w:val="18"/>
                <w:lang w:val="es-ES" w:eastAsia="en-US"/>
              </w:rPr>
              <w:t>1</w:t>
            </w:r>
            <w:proofErr w:type="gramEnd"/>
          </w:p>
          <w:p w14:paraId="1C522565" w14:textId="6E087058" w:rsidR="00FF3D76" w:rsidRPr="00D13CC0" w:rsidRDefault="00FF3D76" w:rsidP="00E61C6B">
            <w:pPr>
              <w:tabs>
                <w:tab w:val="left" w:pos="307"/>
              </w:tabs>
              <w:ind w:right="397"/>
              <w:jc w:val="right"/>
              <w:rPr>
                <w:rFonts w:cs="Arial"/>
                <w:sz w:val="18"/>
                <w:lang w:val="es-ES" w:eastAsia="en-US"/>
              </w:rPr>
            </w:pPr>
            <w:r w:rsidRPr="00D13CC0">
              <w:rPr>
                <w:rFonts w:cs="Arial"/>
                <w:sz w:val="18"/>
                <w:lang w:val="es-ES" w:eastAsia="en-US"/>
              </w:rPr>
              <w:t xml:space="preserve">    </w:t>
            </w:r>
            <w:r>
              <w:rPr>
                <w:rFonts w:cs="Arial"/>
                <w:sz w:val="18"/>
                <w:lang w:val="es-ES" w:eastAsia="en-US"/>
              </w:rPr>
              <w:t>1.</w:t>
            </w:r>
            <w:r w:rsidRPr="00D13CC0">
              <w:rPr>
                <w:rFonts w:cs="Arial"/>
                <w:sz w:val="18"/>
                <w:lang w:val="es-ES" w:eastAsia="en-US"/>
              </w:rPr>
              <w:t>2</w:t>
            </w:r>
          </w:p>
        </w:tc>
        <w:tc>
          <w:tcPr>
            <w:tcW w:w="1499" w:type="dxa"/>
            <w:tcBorders>
              <w:top w:val="nil"/>
              <w:left w:val="single" w:sz="6" w:space="0" w:color="auto"/>
              <w:bottom w:val="nil"/>
              <w:right w:val="double" w:sz="4" w:space="0" w:color="auto"/>
            </w:tcBorders>
          </w:tcPr>
          <w:p w14:paraId="308045D1" w14:textId="77777777" w:rsidR="00FF3D76" w:rsidRDefault="00AC3016" w:rsidP="00E61C6B">
            <w:pPr>
              <w:tabs>
                <w:tab w:val="left" w:pos="307"/>
              </w:tabs>
              <w:ind w:right="397"/>
              <w:jc w:val="right"/>
              <w:rPr>
                <w:rFonts w:cs="Arial"/>
                <w:sz w:val="18"/>
                <w:lang w:val="es-ES" w:eastAsia="en-US"/>
              </w:rPr>
            </w:pPr>
            <w:r>
              <w:rPr>
                <w:rFonts w:cs="Arial"/>
                <w:sz w:val="18"/>
                <w:lang w:val="es-ES" w:eastAsia="en-US"/>
              </w:rPr>
              <w:t>(-)   2.0</w:t>
            </w:r>
          </w:p>
          <w:p w14:paraId="22A6B08E" w14:textId="77777777" w:rsidR="00AC3016" w:rsidRDefault="00AC3016" w:rsidP="00E61C6B">
            <w:pPr>
              <w:tabs>
                <w:tab w:val="left" w:pos="307"/>
              </w:tabs>
              <w:ind w:right="397"/>
              <w:jc w:val="right"/>
              <w:rPr>
                <w:rFonts w:cs="Arial"/>
                <w:sz w:val="18"/>
                <w:lang w:val="es-ES" w:eastAsia="en-US"/>
              </w:rPr>
            </w:pPr>
            <w:r>
              <w:rPr>
                <w:rFonts w:cs="Arial"/>
                <w:sz w:val="18"/>
                <w:lang w:val="es-ES" w:eastAsia="en-US"/>
              </w:rPr>
              <w:t>(-)   8.0</w:t>
            </w:r>
          </w:p>
          <w:p w14:paraId="05BF6272" w14:textId="77777777" w:rsidR="00AC3016" w:rsidRDefault="00AC3016" w:rsidP="00E61C6B">
            <w:pPr>
              <w:tabs>
                <w:tab w:val="left" w:pos="307"/>
              </w:tabs>
              <w:ind w:right="397"/>
              <w:jc w:val="right"/>
              <w:rPr>
                <w:rFonts w:cs="Arial"/>
                <w:sz w:val="18"/>
                <w:lang w:val="es-ES" w:eastAsia="en-US"/>
              </w:rPr>
            </w:pPr>
            <w:r>
              <w:rPr>
                <w:rFonts w:cs="Arial"/>
                <w:sz w:val="18"/>
                <w:lang w:val="es-ES" w:eastAsia="en-US"/>
              </w:rPr>
              <w:t>(-) 11.4</w:t>
            </w:r>
          </w:p>
          <w:p w14:paraId="02A2A144" w14:textId="36B2D7C8" w:rsidR="00AC3016" w:rsidRDefault="00AC3016" w:rsidP="00E61C6B">
            <w:pPr>
              <w:tabs>
                <w:tab w:val="left" w:pos="307"/>
              </w:tabs>
              <w:ind w:right="397"/>
              <w:jc w:val="right"/>
              <w:rPr>
                <w:rFonts w:cs="Arial"/>
                <w:sz w:val="18"/>
                <w:lang w:val="es-ES" w:eastAsia="en-US"/>
              </w:rPr>
            </w:pPr>
            <w:r>
              <w:rPr>
                <w:rFonts w:cs="Arial"/>
                <w:sz w:val="18"/>
                <w:lang w:val="es-ES" w:eastAsia="en-US"/>
              </w:rPr>
              <w:t>0.4</w:t>
            </w:r>
          </w:p>
        </w:tc>
      </w:tr>
      <w:tr w:rsidR="00FF3D76" w14:paraId="340E0A2B" w14:textId="34115AF6" w:rsidTr="00AC4550">
        <w:trPr>
          <w:cantSplit/>
          <w:trHeight w:val="20"/>
          <w:jc w:val="center"/>
        </w:trPr>
        <w:tc>
          <w:tcPr>
            <w:tcW w:w="3888" w:type="dxa"/>
            <w:tcBorders>
              <w:top w:val="nil"/>
              <w:left w:val="double" w:sz="4" w:space="0" w:color="auto"/>
              <w:bottom w:val="nil"/>
              <w:right w:val="single" w:sz="6" w:space="0" w:color="auto"/>
            </w:tcBorders>
            <w:hideMark/>
          </w:tcPr>
          <w:p w14:paraId="1758D988" w14:textId="77777777" w:rsidR="00FF3D76" w:rsidRDefault="00FF3D76">
            <w:pPr>
              <w:pStyle w:val="p0"/>
              <w:spacing w:before="0"/>
              <w:ind w:firstLine="454"/>
              <w:rPr>
                <w:rFonts w:cs="Arial"/>
                <w:color w:val="auto"/>
                <w:sz w:val="18"/>
                <w:lang w:val="es-ES"/>
              </w:rPr>
            </w:pPr>
            <w:r>
              <w:rPr>
                <w:rFonts w:cs="Arial"/>
                <w:color w:val="auto"/>
                <w:sz w:val="18"/>
                <w:lang w:val="es-ES"/>
              </w:rPr>
              <w:t>Servicios</w:t>
            </w:r>
          </w:p>
        </w:tc>
        <w:tc>
          <w:tcPr>
            <w:tcW w:w="1499" w:type="dxa"/>
            <w:tcBorders>
              <w:top w:val="nil"/>
              <w:left w:val="single" w:sz="6" w:space="0" w:color="auto"/>
              <w:bottom w:val="nil"/>
              <w:right w:val="double" w:sz="4" w:space="0" w:color="auto"/>
            </w:tcBorders>
            <w:hideMark/>
          </w:tcPr>
          <w:p w14:paraId="469DF007" w14:textId="1D8D68D5" w:rsidR="00FF3D76" w:rsidRPr="00D13CC0" w:rsidRDefault="00FF3D76" w:rsidP="00E61C6B">
            <w:pPr>
              <w:tabs>
                <w:tab w:val="left" w:pos="307"/>
              </w:tabs>
              <w:ind w:right="397"/>
              <w:jc w:val="right"/>
              <w:rPr>
                <w:rFonts w:cs="Arial"/>
                <w:sz w:val="18"/>
                <w:lang w:val="es-ES" w:eastAsia="en-US"/>
              </w:rPr>
            </w:pPr>
            <w:r w:rsidRPr="00D13CC0">
              <w:rPr>
                <w:rFonts w:cs="Arial"/>
                <w:sz w:val="18"/>
                <w:lang w:val="es-ES" w:eastAsia="en-US"/>
              </w:rPr>
              <w:t xml:space="preserve"> (-</w:t>
            </w:r>
            <w:proofErr w:type="gramStart"/>
            <w:r w:rsidRPr="00D13CC0">
              <w:rPr>
                <w:rFonts w:cs="Arial"/>
                <w:sz w:val="18"/>
                <w:lang w:val="es-ES" w:eastAsia="en-US"/>
              </w:rPr>
              <w:t>)  1</w:t>
            </w:r>
            <w:r>
              <w:rPr>
                <w:rFonts w:cs="Arial"/>
                <w:sz w:val="18"/>
                <w:lang w:val="es-ES" w:eastAsia="en-US"/>
              </w:rPr>
              <w:t>4</w:t>
            </w:r>
            <w:proofErr w:type="gramEnd"/>
            <w:r w:rsidRPr="00D13CC0">
              <w:rPr>
                <w:rFonts w:cs="Arial"/>
                <w:sz w:val="18"/>
                <w:lang w:val="es-ES" w:eastAsia="en-US"/>
              </w:rPr>
              <w:t>.</w:t>
            </w:r>
            <w:r>
              <w:rPr>
                <w:rFonts w:cs="Arial"/>
                <w:sz w:val="18"/>
                <w:lang w:val="es-ES" w:eastAsia="en-US"/>
              </w:rPr>
              <w:t>6</w:t>
            </w:r>
          </w:p>
        </w:tc>
        <w:tc>
          <w:tcPr>
            <w:tcW w:w="1499" w:type="dxa"/>
            <w:tcBorders>
              <w:top w:val="nil"/>
              <w:left w:val="single" w:sz="6" w:space="0" w:color="auto"/>
              <w:bottom w:val="nil"/>
              <w:right w:val="double" w:sz="4" w:space="0" w:color="auto"/>
            </w:tcBorders>
          </w:tcPr>
          <w:p w14:paraId="18DB5E1F" w14:textId="70948F3D" w:rsidR="00FF3D76" w:rsidRPr="00D13CC0" w:rsidRDefault="00AC3016" w:rsidP="00E61C6B">
            <w:pPr>
              <w:tabs>
                <w:tab w:val="left" w:pos="307"/>
              </w:tabs>
              <w:ind w:right="397"/>
              <w:jc w:val="right"/>
              <w:rPr>
                <w:rFonts w:cs="Arial"/>
                <w:sz w:val="18"/>
                <w:lang w:val="es-ES" w:eastAsia="en-US"/>
              </w:rPr>
            </w:pPr>
            <w:r>
              <w:rPr>
                <w:rFonts w:cs="Arial"/>
                <w:sz w:val="18"/>
                <w:lang w:val="es-ES" w:eastAsia="en-US"/>
              </w:rPr>
              <w:t xml:space="preserve">(-) 14.5  </w:t>
            </w:r>
          </w:p>
        </w:tc>
      </w:tr>
      <w:tr w:rsidR="00FF3D76" w14:paraId="4D1F2A76" w14:textId="32B69212" w:rsidTr="00AC4550">
        <w:trPr>
          <w:cantSplit/>
          <w:trHeight w:val="20"/>
          <w:jc w:val="center"/>
        </w:trPr>
        <w:tc>
          <w:tcPr>
            <w:tcW w:w="3888" w:type="dxa"/>
            <w:tcBorders>
              <w:top w:val="nil"/>
              <w:left w:val="double" w:sz="4" w:space="0" w:color="auto"/>
              <w:bottom w:val="nil"/>
              <w:right w:val="single" w:sz="6" w:space="0" w:color="auto"/>
            </w:tcBorders>
            <w:hideMark/>
          </w:tcPr>
          <w:p w14:paraId="19A8F45B" w14:textId="77777777" w:rsidR="00FF3D76" w:rsidRDefault="00FF3D76">
            <w:pPr>
              <w:pStyle w:val="p0"/>
              <w:spacing w:before="0"/>
              <w:ind w:firstLine="313"/>
              <w:rPr>
                <w:rFonts w:cs="Arial"/>
                <w:b/>
                <w:color w:val="auto"/>
                <w:sz w:val="18"/>
                <w:lang w:val="es-ES"/>
              </w:rPr>
            </w:pPr>
            <w:r>
              <w:rPr>
                <w:rFonts w:cs="Arial"/>
                <w:b/>
                <w:color w:val="auto"/>
                <w:sz w:val="18"/>
                <w:lang w:val="es-ES"/>
              </w:rPr>
              <w:t>Importado</w:t>
            </w:r>
          </w:p>
        </w:tc>
        <w:tc>
          <w:tcPr>
            <w:tcW w:w="1499" w:type="dxa"/>
            <w:tcBorders>
              <w:top w:val="nil"/>
              <w:left w:val="single" w:sz="6" w:space="0" w:color="auto"/>
              <w:bottom w:val="nil"/>
              <w:right w:val="double" w:sz="4" w:space="0" w:color="auto"/>
            </w:tcBorders>
            <w:hideMark/>
          </w:tcPr>
          <w:p w14:paraId="01B30DA5" w14:textId="4FDE809A" w:rsidR="00FF3D76" w:rsidRPr="00D13CC0" w:rsidRDefault="00FF3D76" w:rsidP="00E61C6B">
            <w:pPr>
              <w:tabs>
                <w:tab w:val="left" w:pos="307"/>
                <w:tab w:val="decimal" w:pos="881"/>
              </w:tabs>
              <w:ind w:right="397"/>
              <w:jc w:val="right"/>
              <w:rPr>
                <w:rFonts w:cs="Arial"/>
                <w:b/>
                <w:sz w:val="18"/>
                <w:lang w:val="es-ES" w:eastAsia="en-US"/>
              </w:rPr>
            </w:pPr>
            <w:r w:rsidRPr="00D13CC0">
              <w:rPr>
                <w:rFonts w:cs="Arial"/>
                <w:b/>
                <w:sz w:val="18"/>
                <w:lang w:val="es-ES" w:eastAsia="en-US"/>
              </w:rPr>
              <w:t xml:space="preserve">     </w:t>
            </w:r>
            <w:r>
              <w:rPr>
                <w:rFonts w:cs="Arial"/>
                <w:b/>
                <w:sz w:val="18"/>
                <w:lang w:val="es-ES" w:eastAsia="en-US"/>
              </w:rPr>
              <w:t>2</w:t>
            </w:r>
            <w:r w:rsidRPr="00D13CC0">
              <w:rPr>
                <w:rFonts w:cs="Arial"/>
                <w:b/>
                <w:sz w:val="18"/>
                <w:lang w:val="es-ES" w:eastAsia="en-US"/>
              </w:rPr>
              <w:t>.</w:t>
            </w:r>
            <w:r>
              <w:rPr>
                <w:rFonts w:cs="Arial"/>
                <w:b/>
                <w:sz w:val="18"/>
                <w:lang w:val="es-ES" w:eastAsia="en-US"/>
              </w:rPr>
              <w:t>1</w:t>
            </w:r>
          </w:p>
        </w:tc>
        <w:tc>
          <w:tcPr>
            <w:tcW w:w="1499" w:type="dxa"/>
            <w:tcBorders>
              <w:top w:val="nil"/>
              <w:left w:val="single" w:sz="6" w:space="0" w:color="auto"/>
              <w:bottom w:val="nil"/>
              <w:right w:val="double" w:sz="4" w:space="0" w:color="auto"/>
            </w:tcBorders>
          </w:tcPr>
          <w:p w14:paraId="210E88F8" w14:textId="6D66BC1C" w:rsidR="00FF3D76" w:rsidRPr="00D13CC0" w:rsidRDefault="00AC3016" w:rsidP="00E61C6B">
            <w:pPr>
              <w:tabs>
                <w:tab w:val="left" w:pos="307"/>
                <w:tab w:val="decimal" w:pos="881"/>
              </w:tabs>
              <w:ind w:right="397"/>
              <w:jc w:val="right"/>
              <w:rPr>
                <w:rFonts w:cs="Arial"/>
                <w:b/>
                <w:sz w:val="18"/>
                <w:lang w:val="es-ES" w:eastAsia="en-US"/>
              </w:rPr>
            </w:pPr>
            <w:r>
              <w:rPr>
                <w:rFonts w:cs="Arial"/>
                <w:b/>
                <w:sz w:val="18"/>
                <w:lang w:val="es-ES" w:eastAsia="en-US"/>
              </w:rPr>
              <w:t>0.1</w:t>
            </w:r>
          </w:p>
        </w:tc>
      </w:tr>
      <w:tr w:rsidR="00FF3D76" w14:paraId="33261FFD" w14:textId="45A9500F" w:rsidTr="00AC4550">
        <w:trPr>
          <w:cantSplit/>
          <w:trHeight w:val="20"/>
          <w:jc w:val="center"/>
        </w:trPr>
        <w:tc>
          <w:tcPr>
            <w:tcW w:w="3888" w:type="dxa"/>
            <w:tcBorders>
              <w:top w:val="nil"/>
              <w:left w:val="double" w:sz="4" w:space="0" w:color="auto"/>
              <w:bottom w:val="double" w:sz="4" w:space="0" w:color="auto"/>
              <w:right w:val="single" w:sz="6" w:space="0" w:color="auto"/>
            </w:tcBorders>
            <w:hideMark/>
          </w:tcPr>
          <w:p w14:paraId="3FACE190" w14:textId="77777777" w:rsidR="00FF3D76" w:rsidRDefault="00FF3D76">
            <w:pPr>
              <w:pStyle w:val="p0"/>
              <w:spacing w:before="0"/>
              <w:ind w:firstLine="454"/>
              <w:rPr>
                <w:rFonts w:cs="Arial"/>
                <w:color w:val="auto"/>
                <w:sz w:val="18"/>
                <w:lang w:val="es-ES"/>
              </w:rPr>
            </w:pPr>
            <w:r>
              <w:rPr>
                <w:rFonts w:cs="Arial"/>
                <w:color w:val="auto"/>
                <w:sz w:val="18"/>
                <w:lang w:val="es-ES"/>
              </w:rPr>
              <w:t>Bienes</w:t>
            </w:r>
          </w:p>
          <w:p w14:paraId="665622FB" w14:textId="77777777" w:rsidR="00FF3D76" w:rsidRDefault="00FF3D76">
            <w:pPr>
              <w:pStyle w:val="p0"/>
              <w:spacing w:before="0"/>
              <w:ind w:firstLine="454"/>
              <w:rPr>
                <w:rFonts w:cs="Arial"/>
                <w:color w:val="auto"/>
                <w:sz w:val="18"/>
                <w:lang w:val="es-ES"/>
              </w:rPr>
            </w:pPr>
            <w:r>
              <w:rPr>
                <w:rFonts w:cs="Arial"/>
                <w:color w:val="auto"/>
                <w:sz w:val="18"/>
                <w:lang w:val="es-ES"/>
              </w:rPr>
              <w:t xml:space="preserve">      Duraderos</w:t>
            </w:r>
          </w:p>
          <w:p w14:paraId="1188F6F1" w14:textId="77777777" w:rsidR="00FF3D76" w:rsidRDefault="00FF3D76">
            <w:pPr>
              <w:pStyle w:val="p0"/>
              <w:spacing w:before="0"/>
              <w:ind w:firstLine="454"/>
              <w:rPr>
                <w:rFonts w:cs="Arial"/>
                <w:color w:val="auto"/>
                <w:sz w:val="18"/>
                <w:lang w:val="es-ES"/>
              </w:rPr>
            </w:pPr>
            <w:r>
              <w:rPr>
                <w:rFonts w:cs="Arial"/>
                <w:color w:val="auto"/>
                <w:sz w:val="18"/>
                <w:lang w:val="es-ES"/>
              </w:rPr>
              <w:t xml:space="preserve">      Semi duraderos</w:t>
            </w:r>
          </w:p>
          <w:p w14:paraId="4E762369" w14:textId="77777777" w:rsidR="00FF3D76" w:rsidRDefault="00FF3D76">
            <w:pPr>
              <w:pStyle w:val="p0"/>
              <w:spacing w:before="0"/>
              <w:ind w:firstLine="454"/>
              <w:rPr>
                <w:rFonts w:cs="Arial"/>
                <w:color w:val="auto"/>
                <w:sz w:val="18"/>
                <w:lang w:val="es-ES"/>
              </w:rPr>
            </w:pPr>
            <w:r>
              <w:rPr>
                <w:rFonts w:cs="Arial"/>
                <w:color w:val="auto"/>
                <w:sz w:val="18"/>
                <w:lang w:val="es-ES"/>
              </w:rPr>
              <w:t xml:space="preserve">      No duraderos</w:t>
            </w:r>
          </w:p>
        </w:tc>
        <w:tc>
          <w:tcPr>
            <w:tcW w:w="1499" w:type="dxa"/>
            <w:tcBorders>
              <w:top w:val="nil"/>
              <w:left w:val="single" w:sz="6" w:space="0" w:color="auto"/>
              <w:bottom w:val="double" w:sz="4" w:space="0" w:color="auto"/>
              <w:right w:val="double" w:sz="4" w:space="0" w:color="auto"/>
            </w:tcBorders>
            <w:hideMark/>
          </w:tcPr>
          <w:p w14:paraId="25396543" w14:textId="4A08221E" w:rsidR="00FF3D76" w:rsidRPr="00D13CC0" w:rsidRDefault="00FF3D76" w:rsidP="00E61C6B">
            <w:pPr>
              <w:tabs>
                <w:tab w:val="left" w:pos="307"/>
                <w:tab w:val="decimal" w:pos="881"/>
              </w:tabs>
              <w:ind w:right="397"/>
              <w:jc w:val="right"/>
              <w:rPr>
                <w:rFonts w:cs="Arial"/>
                <w:sz w:val="18"/>
                <w:lang w:val="es-ES" w:eastAsia="en-US"/>
              </w:rPr>
            </w:pPr>
            <w:r w:rsidRPr="00D13CC0">
              <w:rPr>
                <w:rFonts w:cs="Arial"/>
                <w:sz w:val="18"/>
                <w:lang w:val="es-ES" w:eastAsia="en-US"/>
              </w:rPr>
              <w:t xml:space="preserve">     </w:t>
            </w:r>
            <w:r>
              <w:rPr>
                <w:rFonts w:cs="Arial"/>
                <w:sz w:val="18"/>
                <w:lang w:val="es-ES" w:eastAsia="en-US"/>
              </w:rPr>
              <w:t>2</w:t>
            </w:r>
            <w:r w:rsidRPr="00D13CC0">
              <w:rPr>
                <w:rFonts w:cs="Arial"/>
                <w:sz w:val="18"/>
                <w:lang w:val="es-ES" w:eastAsia="en-US"/>
              </w:rPr>
              <w:t>.</w:t>
            </w:r>
            <w:r>
              <w:rPr>
                <w:rFonts w:cs="Arial"/>
                <w:sz w:val="18"/>
                <w:lang w:val="es-ES" w:eastAsia="en-US"/>
              </w:rPr>
              <w:t>1</w:t>
            </w:r>
          </w:p>
          <w:p w14:paraId="25EE8752" w14:textId="65B8B15E" w:rsidR="00FF3D76" w:rsidRPr="00D13CC0" w:rsidRDefault="00FF3D76" w:rsidP="00E61C6B">
            <w:pPr>
              <w:tabs>
                <w:tab w:val="left" w:pos="307"/>
                <w:tab w:val="decimal" w:pos="881"/>
              </w:tabs>
              <w:ind w:right="397"/>
              <w:jc w:val="right"/>
              <w:rPr>
                <w:rFonts w:cs="Arial"/>
                <w:sz w:val="18"/>
                <w:lang w:val="es-ES" w:eastAsia="en-US"/>
              </w:rPr>
            </w:pPr>
            <w:r w:rsidRPr="00D13CC0">
              <w:rPr>
                <w:rFonts w:cs="Arial"/>
                <w:sz w:val="18"/>
                <w:lang w:val="es-ES" w:eastAsia="en-US"/>
              </w:rPr>
              <w:t xml:space="preserve">    </w:t>
            </w:r>
            <w:r>
              <w:rPr>
                <w:rFonts w:cs="Arial"/>
                <w:sz w:val="18"/>
                <w:lang w:val="es-ES" w:eastAsia="en-US"/>
              </w:rPr>
              <w:t>11</w:t>
            </w:r>
            <w:r w:rsidRPr="00D13CC0">
              <w:rPr>
                <w:rFonts w:cs="Arial"/>
                <w:sz w:val="18"/>
                <w:lang w:val="es-ES" w:eastAsia="en-US"/>
              </w:rPr>
              <w:t>.</w:t>
            </w:r>
            <w:r>
              <w:rPr>
                <w:rFonts w:cs="Arial"/>
                <w:sz w:val="18"/>
                <w:lang w:val="es-ES" w:eastAsia="en-US"/>
              </w:rPr>
              <w:t>1</w:t>
            </w:r>
          </w:p>
          <w:p w14:paraId="4ACA0F4F" w14:textId="1550975C" w:rsidR="00FF3D76" w:rsidRPr="00D13CC0" w:rsidRDefault="00FF3D76" w:rsidP="00E61C6B">
            <w:pPr>
              <w:tabs>
                <w:tab w:val="left" w:pos="307"/>
                <w:tab w:val="decimal" w:pos="881"/>
              </w:tabs>
              <w:ind w:right="397"/>
              <w:jc w:val="right"/>
              <w:rPr>
                <w:rFonts w:cs="Arial"/>
                <w:sz w:val="18"/>
                <w:lang w:val="es-ES" w:eastAsia="en-US"/>
              </w:rPr>
            </w:pPr>
            <w:r>
              <w:rPr>
                <w:rFonts w:cs="Arial"/>
                <w:sz w:val="18"/>
                <w:lang w:val="es-ES" w:eastAsia="en-US"/>
              </w:rPr>
              <w:t>(-)</w:t>
            </w:r>
            <w:r w:rsidRPr="00D13CC0">
              <w:rPr>
                <w:rFonts w:cs="Arial"/>
                <w:sz w:val="18"/>
                <w:lang w:val="es-ES" w:eastAsia="en-US"/>
              </w:rPr>
              <w:t xml:space="preserve"> </w:t>
            </w:r>
            <w:r>
              <w:rPr>
                <w:rFonts w:cs="Arial"/>
                <w:sz w:val="18"/>
                <w:lang w:val="es-ES" w:eastAsia="en-US"/>
              </w:rPr>
              <w:t xml:space="preserve">  9</w:t>
            </w:r>
            <w:r w:rsidRPr="00D13CC0">
              <w:rPr>
                <w:rFonts w:cs="Arial"/>
                <w:sz w:val="18"/>
                <w:lang w:val="es-ES" w:eastAsia="en-US"/>
              </w:rPr>
              <w:t>.</w:t>
            </w:r>
            <w:r>
              <w:rPr>
                <w:rFonts w:cs="Arial"/>
                <w:sz w:val="18"/>
                <w:lang w:val="es-ES" w:eastAsia="en-US"/>
              </w:rPr>
              <w:t>7</w:t>
            </w:r>
          </w:p>
          <w:p w14:paraId="44BA1E38" w14:textId="573131CE" w:rsidR="00FF3D76" w:rsidRPr="00D13CC0" w:rsidRDefault="00FF3D76" w:rsidP="00E61C6B">
            <w:pPr>
              <w:tabs>
                <w:tab w:val="left" w:pos="307"/>
                <w:tab w:val="decimal" w:pos="881"/>
              </w:tabs>
              <w:ind w:right="397"/>
              <w:jc w:val="right"/>
              <w:rPr>
                <w:rFonts w:cs="Arial"/>
                <w:b/>
                <w:sz w:val="18"/>
                <w:lang w:val="es-ES" w:eastAsia="en-US"/>
              </w:rPr>
            </w:pPr>
            <w:r w:rsidRPr="00D13CC0">
              <w:rPr>
                <w:rFonts w:cs="Arial"/>
                <w:sz w:val="18"/>
                <w:lang w:val="es-ES" w:eastAsia="en-US"/>
              </w:rPr>
              <w:t xml:space="preserve">     </w:t>
            </w:r>
            <w:r>
              <w:rPr>
                <w:rFonts w:cs="Arial"/>
                <w:sz w:val="18"/>
                <w:lang w:val="es-ES" w:eastAsia="en-US"/>
              </w:rPr>
              <w:t>2.0</w:t>
            </w:r>
          </w:p>
        </w:tc>
        <w:tc>
          <w:tcPr>
            <w:tcW w:w="1499" w:type="dxa"/>
            <w:tcBorders>
              <w:top w:val="nil"/>
              <w:left w:val="single" w:sz="6" w:space="0" w:color="auto"/>
              <w:bottom w:val="double" w:sz="4" w:space="0" w:color="auto"/>
              <w:right w:val="double" w:sz="4" w:space="0" w:color="auto"/>
            </w:tcBorders>
          </w:tcPr>
          <w:p w14:paraId="29E28E15" w14:textId="77777777" w:rsidR="00FF3D76" w:rsidRDefault="00AC3016" w:rsidP="00E61C6B">
            <w:pPr>
              <w:tabs>
                <w:tab w:val="left" w:pos="307"/>
                <w:tab w:val="decimal" w:pos="881"/>
              </w:tabs>
              <w:ind w:right="397"/>
              <w:jc w:val="right"/>
              <w:rPr>
                <w:rFonts w:cs="Arial"/>
                <w:sz w:val="18"/>
                <w:lang w:val="es-ES" w:eastAsia="en-US"/>
              </w:rPr>
            </w:pPr>
            <w:r>
              <w:rPr>
                <w:rFonts w:cs="Arial"/>
                <w:sz w:val="18"/>
                <w:lang w:val="es-ES" w:eastAsia="en-US"/>
              </w:rPr>
              <w:t>0.1</w:t>
            </w:r>
          </w:p>
          <w:p w14:paraId="2EE88447" w14:textId="77777777" w:rsidR="00AC3016" w:rsidRDefault="00AC3016" w:rsidP="00E61C6B">
            <w:pPr>
              <w:tabs>
                <w:tab w:val="left" w:pos="307"/>
                <w:tab w:val="decimal" w:pos="881"/>
              </w:tabs>
              <w:ind w:right="397"/>
              <w:jc w:val="right"/>
              <w:rPr>
                <w:rFonts w:cs="Arial"/>
                <w:sz w:val="18"/>
                <w:lang w:val="es-ES" w:eastAsia="en-US"/>
              </w:rPr>
            </w:pPr>
            <w:r>
              <w:rPr>
                <w:rFonts w:cs="Arial"/>
                <w:sz w:val="18"/>
                <w:lang w:val="es-ES" w:eastAsia="en-US"/>
              </w:rPr>
              <w:t>4.4</w:t>
            </w:r>
          </w:p>
          <w:p w14:paraId="66370870" w14:textId="0E48175E" w:rsidR="00AC3016" w:rsidRDefault="00AC3016" w:rsidP="00E61C6B">
            <w:pPr>
              <w:tabs>
                <w:tab w:val="left" w:pos="307"/>
                <w:tab w:val="decimal" w:pos="881"/>
              </w:tabs>
              <w:ind w:right="397"/>
              <w:jc w:val="right"/>
              <w:rPr>
                <w:rFonts w:cs="Arial"/>
                <w:sz w:val="18"/>
                <w:lang w:val="es-ES" w:eastAsia="en-US"/>
              </w:rPr>
            </w:pPr>
            <w:r>
              <w:rPr>
                <w:rFonts w:cs="Arial"/>
                <w:sz w:val="18"/>
                <w:lang w:val="es-ES" w:eastAsia="en-US"/>
              </w:rPr>
              <w:t>(-) 13.1</w:t>
            </w:r>
          </w:p>
          <w:p w14:paraId="0B71319C" w14:textId="4FDD1C53" w:rsidR="00AC3016" w:rsidRPr="00D13CC0" w:rsidRDefault="00AC3016" w:rsidP="00E61C6B">
            <w:pPr>
              <w:tabs>
                <w:tab w:val="left" w:pos="307"/>
                <w:tab w:val="decimal" w:pos="881"/>
              </w:tabs>
              <w:ind w:right="397"/>
              <w:jc w:val="right"/>
              <w:rPr>
                <w:rFonts w:cs="Arial"/>
                <w:sz w:val="18"/>
                <w:lang w:val="es-ES" w:eastAsia="en-US"/>
              </w:rPr>
            </w:pPr>
            <w:r>
              <w:rPr>
                <w:rFonts w:cs="Arial"/>
                <w:sz w:val="18"/>
                <w:lang w:val="es-ES" w:eastAsia="en-US"/>
              </w:rPr>
              <w:t>3.8</w:t>
            </w:r>
          </w:p>
        </w:tc>
      </w:tr>
    </w:tbl>
    <w:p w14:paraId="45BCBAE6" w14:textId="08976F49" w:rsidR="000A36D8" w:rsidRDefault="00CC2BE5" w:rsidP="00674481">
      <w:pPr>
        <w:ind w:left="993" w:right="-91"/>
        <w:outlineLvl w:val="3"/>
        <w:rPr>
          <w:sz w:val="16"/>
          <w:szCs w:val="16"/>
        </w:rPr>
      </w:pPr>
      <w:r>
        <w:rPr>
          <w:sz w:val="16"/>
          <w:szCs w:val="16"/>
          <w:vertAlign w:val="superscript"/>
        </w:rPr>
        <w:t xml:space="preserve">           </w:t>
      </w:r>
      <w:r w:rsidR="00565C7B">
        <w:rPr>
          <w:sz w:val="16"/>
          <w:szCs w:val="16"/>
          <w:vertAlign w:val="superscript"/>
        </w:rPr>
        <w:tab/>
        <w:t xml:space="preserve">           </w:t>
      </w:r>
      <w:r>
        <w:rPr>
          <w:sz w:val="16"/>
          <w:szCs w:val="16"/>
          <w:vertAlign w:val="superscript"/>
        </w:rPr>
        <w:t xml:space="preserve"> </w:t>
      </w:r>
      <w:r w:rsidR="00624955" w:rsidRPr="007333FB">
        <w:rPr>
          <w:sz w:val="16"/>
          <w:szCs w:val="16"/>
          <w:vertAlign w:val="superscript"/>
        </w:rPr>
        <w:t>P</w:t>
      </w:r>
      <w:r w:rsidR="00140D9C">
        <w:rPr>
          <w:sz w:val="16"/>
          <w:szCs w:val="16"/>
        </w:rPr>
        <w:t>/</w:t>
      </w:r>
      <w:r w:rsidR="00D7024E">
        <w:rPr>
          <w:sz w:val="16"/>
          <w:szCs w:val="16"/>
        </w:rPr>
        <w:t xml:space="preserve"> </w:t>
      </w:r>
      <w:r w:rsidR="00140D9C">
        <w:rPr>
          <w:sz w:val="16"/>
          <w:szCs w:val="16"/>
        </w:rPr>
        <w:t>Cifras preliminares.</w:t>
      </w:r>
      <w:r w:rsidR="00D7024E">
        <w:rPr>
          <w:sz w:val="16"/>
          <w:szCs w:val="16"/>
        </w:rPr>
        <w:t xml:space="preserve">  </w:t>
      </w:r>
    </w:p>
    <w:p w14:paraId="745ADF92" w14:textId="6BDD06B2" w:rsidR="00140D9C" w:rsidRDefault="00674481" w:rsidP="00674481">
      <w:pPr>
        <w:ind w:left="708" w:right="-91" w:firstLine="285"/>
        <w:outlineLvl w:val="3"/>
        <w:rPr>
          <w:sz w:val="16"/>
          <w:szCs w:val="16"/>
        </w:rPr>
      </w:pPr>
      <w:r>
        <w:rPr>
          <w:sz w:val="16"/>
          <w:szCs w:val="16"/>
        </w:rPr>
        <w:t xml:space="preserve">      </w:t>
      </w:r>
      <w:r w:rsidR="00565C7B">
        <w:rPr>
          <w:sz w:val="16"/>
          <w:szCs w:val="16"/>
        </w:rPr>
        <w:tab/>
        <w:t xml:space="preserve">       </w:t>
      </w:r>
      <w:r>
        <w:rPr>
          <w:sz w:val="16"/>
          <w:szCs w:val="16"/>
        </w:rPr>
        <w:t xml:space="preserve"> </w:t>
      </w:r>
      <w:r w:rsidR="00140D9C">
        <w:rPr>
          <w:sz w:val="16"/>
          <w:szCs w:val="16"/>
        </w:rPr>
        <w:t>Fuente: INEGI.</w:t>
      </w:r>
    </w:p>
    <w:p w14:paraId="69952304" w14:textId="77777777" w:rsidR="00023AEF" w:rsidRDefault="00023AEF" w:rsidP="00C76A30">
      <w:pPr>
        <w:pStyle w:val="parr2"/>
        <w:keepNext/>
        <w:keepLines/>
        <w:spacing w:before="120"/>
        <w:ind w:left="0" w:right="584"/>
        <w:rPr>
          <w:b/>
          <w:i/>
        </w:rPr>
      </w:pPr>
      <w:bookmarkStart w:id="1" w:name="_Hlk71222490"/>
    </w:p>
    <w:p w14:paraId="0E7D5415" w14:textId="77777777" w:rsidR="00023AEF" w:rsidRDefault="00023AEF" w:rsidP="00C76A30">
      <w:pPr>
        <w:pStyle w:val="parr2"/>
        <w:keepNext/>
        <w:keepLines/>
        <w:spacing w:before="120"/>
        <w:ind w:left="0" w:right="584"/>
        <w:rPr>
          <w:b/>
          <w:i/>
        </w:rPr>
      </w:pPr>
    </w:p>
    <w:p w14:paraId="2EA042D8" w14:textId="196D3B01" w:rsidR="00B25F61" w:rsidRDefault="00B25F61" w:rsidP="00C76A30">
      <w:pPr>
        <w:pStyle w:val="parr2"/>
        <w:keepNext/>
        <w:keepLines/>
        <w:spacing w:before="120"/>
        <w:ind w:left="0" w:right="584"/>
        <w:rPr>
          <w:b/>
          <w:i/>
        </w:rPr>
      </w:pPr>
      <w:r>
        <w:rPr>
          <w:b/>
          <w:i/>
        </w:rPr>
        <w:t>Nota al usuario</w:t>
      </w:r>
    </w:p>
    <w:p w14:paraId="7CCFEE68" w14:textId="083DA0C6" w:rsidR="00312894" w:rsidRDefault="00312894" w:rsidP="00312894">
      <w:pPr>
        <w:pStyle w:val="Default"/>
        <w:spacing w:before="240" w:after="240"/>
        <w:jc w:val="both"/>
        <w:rPr>
          <w:sz w:val="22"/>
          <w:szCs w:val="22"/>
        </w:rPr>
      </w:pPr>
      <w:bookmarkStart w:id="2" w:name="_Hlk71279672"/>
      <w:r w:rsidRPr="00624EDC">
        <w:t>Con base en los “Lineamientos de cambios a la información divulgada en las publicaciones estadísticas y geográficas del INEGI” y derivado del Acuerdo por el que se implementan los Números de Identificación Comercial (NICO) y sus tablas de correlación para clasificar las mercancías en función de las fracciones arancelarias, a partir de la información de enero de 2021</w:t>
      </w:r>
      <w:r w:rsidR="00624EDC" w:rsidRPr="00624EDC">
        <w:t>,</w:t>
      </w:r>
      <w:r w:rsidRPr="00624EDC">
        <w:t xml:space="preserve"> se observan cambios en la</w:t>
      </w:r>
      <w:r w:rsidR="00624EDC">
        <w:t xml:space="preserve">s cifras </w:t>
      </w:r>
      <w:r w:rsidRPr="00624EDC">
        <w:t xml:space="preserve">de las importaciones de bienes </w:t>
      </w:r>
      <w:r w:rsidR="00624EDC">
        <w:t>de consumo</w:t>
      </w:r>
      <w:r w:rsidR="00E80385">
        <w:t xml:space="preserve">, </w:t>
      </w:r>
      <w:r w:rsidR="00624EDC" w:rsidRPr="00624EDC">
        <w:t xml:space="preserve">publicadas </w:t>
      </w:r>
      <w:r w:rsidR="00E80385">
        <w:t xml:space="preserve">el pasado mes de abril, lo que impactó en el resultado del </w:t>
      </w:r>
      <w:r w:rsidR="00E80385" w:rsidRPr="00362D5F">
        <w:t>Indicador Mensual del Consumo Privado en el Mercado Interior (IMCPMI)</w:t>
      </w:r>
      <w:r w:rsidRPr="00624EDC">
        <w:t>.</w:t>
      </w:r>
      <w:bookmarkEnd w:id="2"/>
    </w:p>
    <w:bookmarkEnd w:id="1"/>
    <w:p w14:paraId="16346D80" w14:textId="16117E58" w:rsidR="00312894" w:rsidRDefault="00312894" w:rsidP="00312894">
      <w:pPr>
        <w:pStyle w:val="Default"/>
        <w:spacing w:before="240" w:after="240"/>
        <w:jc w:val="both"/>
        <w:rPr>
          <w:sz w:val="22"/>
          <w:szCs w:val="22"/>
        </w:rPr>
      </w:pPr>
      <w:r w:rsidRPr="00362D5F">
        <w:t>La Tasa de No Respuesta en la captación de las Encuestas Económicas que se consideraron para la integración del IMCPMI como son la Encuesta Mensual de la Industria Manufacturera (EMIM), la Encuesta Mensual sobre Empresas Comerciales (EMEC) y la Encuesta Mensual de Servicios (EMS), correspondientes a febrero de 2021, registraron porcentajes apropiados conforme al diseño estadístico de cada una de las encuestas mencionadas, lo que permitió la generación de estadísticas con niveles altos de cobertura y precisión. De igual forma, se contó oportunamente con los registros administrativos que difunde el instituto y los captados de otras fuentes de información e internet, para su integración en el IMCPMI.</w:t>
      </w:r>
    </w:p>
    <w:p w14:paraId="45A4C8E0" w14:textId="77777777" w:rsidR="00312894" w:rsidRDefault="00312894">
      <w:pPr>
        <w:widowControl/>
        <w:jc w:val="left"/>
        <w:rPr>
          <w:rFonts w:eastAsiaTheme="minorHAnsi" w:cs="Arial"/>
          <w:color w:val="000000"/>
          <w:szCs w:val="24"/>
          <w:lang w:eastAsia="es-MX"/>
        </w:rPr>
      </w:pPr>
      <w:r>
        <w:rPr>
          <w:lang w:eastAsia="es-MX"/>
        </w:rPr>
        <w:br w:type="page"/>
      </w:r>
    </w:p>
    <w:p w14:paraId="5C4B544A" w14:textId="134F9F2E" w:rsidR="00CF3DA0" w:rsidRPr="00423CDC" w:rsidRDefault="00DA081E" w:rsidP="00565C7B">
      <w:pPr>
        <w:pStyle w:val="Default"/>
        <w:spacing w:before="240" w:after="240"/>
        <w:jc w:val="both"/>
        <w:rPr>
          <w:lang w:eastAsia="es-MX"/>
        </w:rPr>
      </w:pPr>
      <w:r w:rsidRPr="00EB6FA2">
        <w:rPr>
          <w:lang w:eastAsia="es-MX"/>
        </w:rPr>
        <w:lastRenderedPageBreak/>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AA3197">
        <w:rPr>
          <w:i/>
          <w:iCs/>
          <w:lang w:eastAsia="es-MX"/>
        </w:rPr>
        <w:t>outliers</w:t>
      </w:r>
      <w:proofErr w:type="spellEnd"/>
      <w:r w:rsidRPr="00EB6FA2">
        <w:rPr>
          <w:lang w:eastAsia="es-MX"/>
        </w:rPr>
        <w:t>) en los modelos de ajuste estacional para los meses de la contingencia. Lo anterior con el objetivo de que los grandes cambios en las cifras originales no influyan de manera desproporcionada en los factores estacionales utilizados.</w:t>
      </w:r>
    </w:p>
    <w:p w14:paraId="5D4D1D6D" w14:textId="7C3B1EF5" w:rsidR="006811C3" w:rsidRDefault="006811C3" w:rsidP="006811C3">
      <w:pPr>
        <w:pStyle w:val="parr2"/>
        <w:keepNext/>
        <w:keepLines/>
        <w:spacing w:before="240"/>
        <w:ind w:left="0" w:right="584"/>
        <w:rPr>
          <w:b/>
          <w:i/>
        </w:rPr>
      </w:pPr>
      <w:r>
        <w:rPr>
          <w:b/>
          <w:i/>
        </w:rPr>
        <w:t>Nota metodológica</w:t>
      </w:r>
    </w:p>
    <w:p w14:paraId="726EC519" w14:textId="77777777" w:rsidR="006811C3" w:rsidRDefault="006811C3" w:rsidP="006811C3">
      <w:pPr>
        <w:spacing w:before="240"/>
        <w:outlineLvl w:val="3"/>
      </w:pPr>
      <w:r>
        <w:t>El Indicador Mensual del Consumo Privado en el Mercado Interior (IMCPMI) mide el comportamiento del gasto realizado por los hogares en bienes y servicios de consumo, tanto de origen nacional como importado, permitiendo con ello dar seguimiento de forma mensual al componente más significativo del PIB por el lado de la demanda.</w:t>
      </w:r>
    </w:p>
    <w:p w14:paraId="1E8C3C81" w14:textId="77777777" w:rsidR="006811C3" w:rsidRDefault="006811C3" w:rsidP="006811C3">
      <w:pPr>
        <w:spacing w:before="240"/>
        <w:outlineLvl w:val="3"/>
      </w:pPr>
      <w:r>
        <w:t xml:space="preserve">Los datos del Indicador Mensual del Consumo Privado en el Mercado Interior están disponibles en una serie larga desde enero de 1993 y se expresan en índices de volumen físico con base fija en el año 2013=100. </w:t>
      </w:r>
    </w:p>
    <w:p w14:paraId="633D27F0" w14:textId="77777777" w:rsidR="006E1C9E" w:rsidRDefault="006E1C9E" w:rsidP="006E1C9E">
      <w:pPr>
        <w:pStyle w:val="p0"/>
        <w:rPr>
          <w:color w:val="auto"/>
        </w:rPr>
      </w:pPr>
      <w:r w:rsidRPr="00A52DFA">
        <w:rPr>
          <w:color w:val="auto"/>
        </w:rPr>
        <w:t xml:space="preserve">Es importante destacar </w:t>
      </w:r>
      <w:r>
        <w:rPr>
          <w:color w:val="auto"/>
        </w:rPr>
        <w:t xml:space="preserve">que la mayoría de las series económicas se ven afectadas por factores estacionales. Éstos son efectos periódicos que se repiten cada año, y cuyas causas pueden considerarse ajenas a la naturaleza económica de las series, como son las festividades, </w:t>
      </w:r>
      <w:r>
        <w:rPr>
          <w:rFonts w:cs="Arial"/>
          <w:color w:val="auto"/>
          <w:szCs w:val="24"/>
        </w:rPr>
        <w:t>el hecho de que algunos meses tienen más días que otros,</w:t>
      </w:r>
      <w:r>
        <w:rPr>
          <w:color w:val="auto"/>
        </w:rPr>
        <w:t xml:space="preserve"> los periodos de vacaciones escolares, el efecto del clima en las estaciones del año, y otras fluctuaciones estacionales, por ejemplo, la elevada producción de juguetes en los meses previos a la Navidad</w:t>
      </w:r>
      <w:r w:rsidRPr="00A52DFA">
        <w:rPr>
          <w:color w:val="auto"/>
        </w:rPr>
        <w:t>,</w:t>
      </w:r>
      <w:r>
        <w:rPr>
          <w:color w:val="auto"/>
        </w:rPr>
        <w:t xml:space="preserve"> provocada por la expectativa de mayores ventas en diciembre.</w:t>
      </w:r>
    </w:p>
    <w:p w14:paraId="3C320B3D" w14:textId="77777777" w:rsidR="006E1C9E" w:rsidRDefault="006E1C9E" w:rsidP="006E1C9E">
      <w:pPr>
        <w:pStyle w:val="p0"/>
        <w:rPr>
          <w:color w:val="auto"/>
        </w:rPr>
      </w:pPr>
      <w:r>
        <w:rPr>
          <w:color w:val="auto"/>
        </w:rPr>
        <w:t xml:space="preserve">En este sentido, la desestacionalización o ajuste estacional de series económicas consiste en remover estas influencias </w:t>
      </w:r>
      <w:proofErr w:type="spellStart"/>
      <w:r>
        <w:rPr>
          <w:color w:val="auto"/>
        </w:rPr>
        <w:t>intra-anuales</w:t>
      </w:r>
      <w:proofErr w:type="spellEnd"/>
      <w:r>
        <w:rPr>
          <w:color w:val="auto"/>
        </w:rPr>
        <w:t xml:space="preserve"> periódicas, debido a que su presencia dificulta diagnosticar o describir el comportamiento de una serie </w:t>
      </w:r>
      <w:r w:rsidRPr="00A52DFA">
        <w:rPr>
          <w:color w:val="auto"/>
        </w:rPr>
        <w:t>económica</w:t>
      </w:r>
      <w:r>
        <w:rPr>
          <w:color w:val="auto"/>
        </w:rPr>
        <w:t xml:space="preserve"> al no poder comparar, adecuadamente, un determinado mes con el inmediato anterior.</w:t>
      </w:r>
    </w:p>
    <w:p w14:paraId="66E5EFF6" w14:textId="77777777" w:rsidR="006E1C9E" w:rsidRDefault="006E1C9E" w:rsidP="006E1C9E">
      <w:pPr>
        <w:pStyle w:val="p0"/>
        <w:rPr>
          <w:color w:val="auto"/>
        </w:rPr>
      </w:pPr>
      <w:r>
        <w:rPr>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1E33912D" w14:textId="77777777" w:rsidR="006E1C9E" w:rsidRPr="00DE3EC8" w:rsidRDefault="006E1C9E" w:rsidP="006E1C9E">
      <w:pPr>
        <w:spacing w:before="120"/>
      </w:pPr>
      <w:r w:rsidRPr="00DE3EC8">
        <w:t>Las series originales se ajustan estacionalm</w:t>
      </w:r>
      <w:r>
        <w:t>ente</w:t>
      </w:r>
      <w:r w:rsidRPr="00DE3EC8">
        <w:t xml:space="preserve"> mediante el paquete estadístico X</w:t>
      </w:r>
      <w:r w:rsidRPr="00DE3EC8">
        <w:noBreakHyphen/>
        <w:t>13ARIMA-SEATS. Para conocer la metodología se sugiere consultar la siguiente liga:</w:t>
      </w:r>
    </w:p>
    <w:p w14:paraId="73AA8CA1" w14:textId="3B5538E6" w:rsidR="006811C3" w:rsidRDefault="003A437C" w:rsidP="006E1C9E">
      <w:pPr>
        <w:spacing w:before="240"/>
        <w:rPr>
          <w:rFonts w:ascii="Calibri" w:hAnsi="Calibri"/>
          <w:color w:val="1F497D"/>
          <w:sz w:val="22"/>
          <w:lang w:eastAsia="en-US"/>
        </w:rPr>
      </w:pPr>
      <w:hyperlink r:id="rId25" w:history="1">
        <w:r w:rsidR="006E1C9E" w:rsidRPr="00E74593">
          <w:rPr>
            <w:rStyle w:val="Hipervnculo"/>
          </w:rPr>
          <w:t>https://www.inegi.org.mx/app/biblioteca/ficha.html?upc=702825099060</w:t>
        </w:r>
      </w:hyperlink>
    </w:p>
    <w:p w14:paraId="735B9A50" w14:textId="77777777" w:rsidR="00312894" w:rsidRDefault="00312894">
      <w:pPr>
        <w:widowControl/>
        <w:jc w:val="left"/>
      </w:pPr>
      <w:r>
        <w:br w:type="page"/>
      </w:r>
    </w:p>
    <w:p w14:paraId="3E408486" w14:textId="77777777" w:rsidR="00312894" w:rsidRDefault="00312894" w:rsidP="006811C3">
      <w:pPr>
        <w:spacing w:before="240"/>
        <w:outlineLvl w:val="3"/>
      </w:pPr>
    </w:p>
    <w:p w14:paraId="70E1E89B" w14:textId="1C3BD3FE" w:rsidR="006811C3" w:rsidRDefault="006811C3" w:rsidP="006811C3">
      <w:pPr>
        <w:spacing w:before="240"/>
        <w:outlineLvl w:val="3"/>
      </w:pPr>
      <w:r w:rsidRPr="00434EAE">
        <w:t xml:space="preserve">Asimismo, las especificaciones de los modelos utilizados para realizar el ajuste estacional están disponibles en el Banco de Información Económica, seleccionando el icono de información </w:t>
      </w:r>
      <w:r w:rsidRPr="00A115A8">
        <w:rPr>
          <w:rFonts w:cs="Arial"/>
          <w:noProof/>
          <w:color w:val="000000"/>
          <w:sz w:val="18"/>
          <w:szCs w:val="18"/>
          <w:lang w:eastAsia="es-MX"/>
        </w:rPr>
        <w:drawing>
          <wp:inline distT="0" distB="0" distL="0" distR="0" wp14:anchorId="4AA5062A" wp14:editId="37EA6335">
            <wp:extent cx="152400" cy="152400"/>
            <wp:effectExtent l="0" t="0" r="0" b="0"/>
            <wp:docPr id="4" name="Imagen 4"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4EAE">
        <w:t xml:space="preserve"> correspondiente a las “series desestacionalizadas y de tendencia-ciclo” del Indicador Mensual del Consumo Privado en el Mercado Interior.</w:t>
      </w:r>
    </w:p>
    <w:p w14:paraId="25A586B5" w14:textId="310E54EF" w:rsidR="006811C3" w:rsidRPr="006F503A" w:rsidRDefault="003A437C" w:rsidP="006811C3">
      <w:pPr>
        <w:spacing w:before="240"/>
        <w:outlineLvl w:val="3"/>
      </w:pPr>
      <w:hyperlink w:anchor="page3" w:history="1">
        <w:r w:rsidR="006811C3" w:rsidRPr="006F503A">
          <w:t>Su cobertura geográfica es nacional y mide exclusivamente el consumo privado en el mercado interior</w:t>
        </w:r>
        <w:r w:rsidR="006811C3">
          <w:t>. S</w:t>
        </w:r>
        <w:r w:rsidR="006811C3" w:rsidRPr="006F503A">
          <w:t>e</w:t>
        </w:r>
      </w:hyperlink>
      <w:r w:rsidR="006811C3" w:rsidRPr="006F503A">
        <w:t xml:space="preserve"> </w:t>
      </w:r>
      <w:hyperlink w:anchor="page3" w:history="1">
        <w:r w:rsidR="006811C3" w:rsidRPr="00A37A93">
          <w:t xml:space="preserve">identifica </w:t>
        </w:r>
        <w:r w:rsidR="006811C3" w:rsidRPr="00315C45">
          <w:t xml:space="preserve">el gasto realizado en bienes </w:t>
        </w:r>
        <w:r w:rsidR="006811C3" w:rsidRPr="00A37A93">
          <w:t xml:space="preserve">y </w:t>
        </w:r>
        <w:r w:rsidR="006811C3" w:rsidRPr="00315C45">
          <w:t xml:space="preserve">en servicios de origen nacional, así como los bienes de origen importado. En el caso de los bienes se establece </w:t>
        </w:r>
        <w:proofErr w:type="gramStart"/>
        <w:r w:rsidR="006811C3" w:rsidRPr="00315C45">
          <w:t>una  diferenciación</w:t>
        </w:r>
        <w:proofErr w:type="gramEnd"/>
        <w:r w:rsidR="006811C3" w:rsidRPr="00315C45">
          <w:t xml:space="preserve"> por durabilidad del bien, clasificándolos en duraderos, </w:t>
        </w:r>
        <w:proofErr w:type="spellStart"/>
        <w:r w:rsidR="006811C3" w:rsidRPr="00BE64DF">
          <w:t>semiduraderos</w:t>
        </w:r>
        <w:proofErr w:type="spellEnd"/>
        <w:r w:rsidR="006811C3" w:rsidRPr="00315C45">
          <w:t xml:space="preserve"> y no duraderos, y enseguida se muestra a cada una de estas categorías separadas de acuerdo con su origen, nacional e importado. La cobertura</w:t>
        </w:r>
        <w:r w:rsidR="006811C3" w:rsidRPr="006F503A">
          <w:t xml:space="preserve"> </w:t>
        </w:r>
      </w:hyperlink>
      <w:hyperlink w:anchor="page3" w:history="1">
        <w:r w:rsidR="006811C3" w:rsidRPr="006F503A">
          <w:t xml:space="preserve">de </w:t>
        </w:r>
        <w:r w:rsidR="006811C3">
          <w:t>e</w:t>
        </w:r>
        <w:r w:rsidR="006811C3" w:rsidRPr="006F503A">
          <w:t xml:space="preserve">ste indicador es del 95.2% </w:t>
        </w:r>
      </w:hyperlink>
      <w:hyperlink w:anchor="page3" w:history="1">
        <w:r w:rsidR="006811C3" w:rsidRPr="006F503A">
          <w:t>en el año 2013, año base de los productos del SCNM.</w:t>
        </w:r>
      </w:hyperlink>
    </w:p>
    <w:p w14:paraId="2449C67B" w14:textId="77777777" w:rsidR="006811C3" w:rsidRDefault="006811C3" w:rsidP="006811C3">
      <w:pPr>
        <w:spacing w:before="240"/>
        <w:outlineLvl w:val="3"/>
      </w:pPr>
      <w:r w:rsidRPr="006F503A">
        <w:t xml:space="preserve">La información estadística que da respaldo al cálculo de los índices mensuales de volumen físico del consumo privado en el mercado </w:t>
      </w:r>
      <w:proofErr w:type="gramStart"/>
      <w:r w:rsidRPr="006F503A">
        <w:t>interior,</w:t>
      </w:r>
      <w:proofErr w:type="gramEnd"/>
      <w:r w:rsidRPr="006F503A">
        <w:t xml:space="preserve"> reconoce distintas vertientes, que pueden sintetizarse así:</w:t>
      </w:r>
    </w:p>
    <w:p w14:paraId="3D501568" w14:textId="77777777" w:rsidR="006811C3" w:rsidRDefault="006811C3" w:rsidP="006811C3">
      <w:pPr>
        <w:pStyle w:val="Prrafodelista"/>
        <w:widowControl/>
        <w:numPr>
          <w:ilvl w:val="0"/>
          <w:numId w:val="13"/>
        </w:numPr>
        <w:spacing w:before="240"/>
        <w:outlineLvl w:val="3"/>
      </w:pPr>
      <w:r w:rsidRPr="006F503A">
        <w:t>Estadísticas mensuales elaboradas por el propio Instituto como la Encuesta Mensual de la Industria Manufacturera (EMIM), la Encuesta Mensual de Servicios (EMS), Registros del Comercio Exterior e Índices Nacionales de Precios al Productor y al Consumidor.</w:t>
      </w:r>
    </w:p>
    <w:p w14:paraId="4451FD83" w14:textId="77777777" w:rsidR="006811C3" w:rsidRDefault="006811C3" w:rsidP="006811C3">
      <w:pPr>
        <w:pStyle w:val="Prrafodelista"/>
        <w:widowControl/>
        <w:spacing w:before="240"/>
        <w:jc w:val="left"/>
        <w:outlineLvl w:val="3"/>
      </w:pPr>
    </w:p>
    <w:p w14:paraId="1877766A" w14:textId="2F6FC58D" w:rsidR="006811C3" w:rsidRPr="006F503A" w:rsidRDefault="006811C3" w:rsidP="006811C3">
      <w:pPr>
        <w:pStyle w:val="Prrafodelista"/>
        <w:numPr>
          <w:ilvl w:val="0"/>
          <w:numId w:val="13"/>
        </w:numPr>
        <w:spacing w:before="240"/>
        <w:outlineLvl w:val="3"/>
      </w:pPr>
      <w:r w:rsidRPr="006F503A">
        <w:t xml:space="preserve">Otra vertiente de información está constituida por las estadísticas producidas en fuentes externas al Instituto donde quedarían clasificadas las series de corto plazo provenientes de </w:t>
      </w:r>
      <w:r w:rsidR="00A26D76">
        <w:t>c</w:t>
      </w:r>
      <w:r w:rsidRPr="006F503A">
        <w:t xml:space="preserve">ámaras, </w:t>
      </w:r>
      <w:r w:rsidR="00A26D76">
        <w:t>a</w:t>
      </w:r>
      <w:r w:rsidRPr="006F503A">
        <w:t xml:space="preserve">sociaciones de </w:t>
      </w:r>
      <w:r w:rsidR="00A26D76">
        <w:t>p</w:t>
      </w:r>
      <w:r w:rsidRPr="006F503A">
        <w:t xml:space="preserve">roductores, </w:t>
      </w:r>
      <w:r w:rsidR="00A26D76">
        <w:t>o</w:t>
      </w:r>
      <w:r w:rsidRPr="006F503A">
        <w:t xml:space="preserve">rganismos y </w:t>
      </w:r>
      <w:r w:rsidR="00A26D76">
        <w:t>e</w:t>
      </w:r>
      <w:r w:rsidRPr="006F503A">
        <w:t xml:space="preserve">mpresas </w:t>
      </w:r>
      <w:r w:rsidR="00A26D76">
        <w:t>p</w:t>
      </w:r>
      <w:r w:rsidRPr="006F503A">
        <w:t xml:space="preserve">úblicas y </w:t>
      </w:r>
      <w:r w:rsidR="00A26D76">
        <w:t>p</w:t>
      </w:r>
      <w:r w:rsidRPr="006F503A">
        <w:t>rivadas y las estadísticas derivadas de registros administrativos, entre los que destacan: Petróleos Mexicanos; Comisión Federal de Electricidad; la Asociación Mexicana de la Industria Automotriz, A. C.; Banco de México</w:t>
      </w:r>
      <w:r>
        <w:t>, y</w:t>
      </w:r>
      <w:r w:rsidRPr="006F503A">
        <w:t xml:space="preserve"> </w:t>
      </w:r>
      <w:r w:rsidRPr="00315C45">
        <w:rPr>
          <w:i/>
          <w:iCs/>
        </w:rPr>
        <w:t xml:space="preserve">Bureau </w:t>
      </w:r>
      <w:proofErr w:type="spellStart"/>
      <w:r w:rsidRPr="00315C45">
        <w:rPr>
          <w:i/>
          <w:iCs/>
        </w:rPr>
        <w:t>of</w:t>
      </w:r>
      <w:proofErr w:type="spellEnd"/>
      <w:r w:rsidRPr="00315C45">
        <w:rPr>
          <w:i/>
          <w:iCs/>
        </w:rPr>
        <w:t xml:space="preserve"> Labor </w:t>
      </w:r>
      <w:proofErr w:type="spellStart"/>
      <w:r w:rsidRPr="00315C45">
        <w:rPr>
          <w:i/>
          <w:iCs/>
        </w:rPr>
        <w:t>Statistics</w:t>
      </w:r>
      <w:proofErr w:type="spellEnd"/>
      <w:r>
        <w:t>,</w:t>
      </w:r>
      <w:r w:rsidRPr="006F503A">
        <w:t xml:space="preserve"> principalmente.</w:t>
      </w:r>
    </w:p>
    <w:p w14:paraId="3A068298" w14:textId="77777777" w:rsidR="006811C3" w:rsidRPr="006F503A" w:rsidRDefault="006811C3" w:rsidP="006811C3">
      <w:pPr>
        <w:pStyle w:val="Prrafodelista"/>
        <w:spacing w:before="120"/>
        <w:outlineLvl w:val="3"/>
      </w:pPr>
    </w:p>
    <w:p w14:paraId="26CCE301" w14:textId="77777777" w:rsidR="006811C3" w:rsidRPr="006F503A" w:rsidRDefault="006811C3" w:rsidP="006811C3">
      <w:pPr>
        <w:pStyle w:val="Prrafodelista"/>
        <w:numPr>
          <w:ilvl w:val="0"/>
          <w:numId w:val="13"/>
        </w:numPr>
        <w:spacing w:before="240"/>
        <w:outlineLvl w:val="3"/>
      </w:pPr>
      <w:r w:rsidRPr="006F503A">
        <w:t>El restante canal de información está relacionado con la cuantificación de aquellas actividades vinculadas con la producción de bienes que no cuentan con información de ventas, para las cuales se utiliza el índice de volumen físico calculado para la producción en el proceso del Indicador Mensual de la Actividad Industrial.</w:t>
      </w:r>
    </w:p>
    <w:p w14:paraId="1D2D526A" w14:textId="77777777" w:rsidR="006811C3" w:rsidRPr="006F503A" w:rsidRDefault="006811C3" w:rsidP="006811C3">
      <w:pPr>
        <w:pStyle w:val="Prrafodelista"/>
        <w:spacing w:before="240"/>
        <w:outlineLvl w:val="3"/>
      </w:pPr>
    </w:p>
    <w:p w14:paraId="6EBF770F" w14:textId="363CDF37" w:rsidR="006811C3" w:rsidRPr="006F503A" w:rsidRDefault="006811C3" w:rsidP="006811C3">
      <w:r w:rsidRPr="006F503A">
        <w:t xml:space="preserve">En la elaboración del indicador se </w:t>
      </w:r>
      <w:r w:rsidR="00A26D76">
        <w:t>aplican</w:t>
      </w:r>
      <w:r w:rsidR="004E6D42">
        <w:t xml:space="preserve"> </w:t>
      </w:r>
      <w:r w:rsidRPr="006F503A">
        <w:t>los criterios metodológicos, clasificadores y datos fuente que se emplean en los cálculos anuales y trimestrales del consumo privado total, así como la aplicación del Sistema de Clasificación Industrial de América del Norte (SCIAN) 2013, última versión disponible.</w:t>
      </w:r>
    </w:p>
    <w:p w14:paraId="7A849FF6" w14:textId="77777777" w:rsidR="003D147C" w:rsidRDefault="003D147C">
      <w:pPr>
        <w:widowControl/>
        <w:jc w:val="left"/>
      </w:pPr>
      <w:r>
        <w:br w:type="page"/>
      </w:r>
    </w:p>
    <w:p w14:paraId="1E640071" w14:textId="77777777" w:rsidR="003D147C" w:rsidRDefault="003D147C" w:rsidP="006811C3">
      <w:pPr>
        <w:spacing w:before="240"/>
      </w:pPr>
    </w:p>
    <w:p w14:paraId="42477063" w14:textId="4CF998B4" w:rsidR="006811C3" w:rsidRPr="006F503A" w:rsidRDefault="006811C3" w:rsidP="006811C3">
      <w:pPr>
        <w:spacing w:before="240"/>
      </w:pPr>
      <w:r w:rsidRPr="006F503A">
        <w:t>Para evitar los problemas derivados del uso de metodologías y/o fuentes de información diferentes, los cálculos de corto plazo se alinean con la técnica Denton, a nivel de clase de actividad económica, con las cifras anuales de las Cuentas de Bienes y Servicios del SCNM, que poseen la ventaja de incluir información más completa y un mayor número de datos. De esta manera, se espera evitar que se interpreten de diferente manera, resultados que pueden diferir por su grado de cobertura o por la fecha de su disponibilidad, pero nunca en su base conceptual.</w:t>
      </w:r>
    </w:p>
    <w:p w14:paraId="7DC000DC" w14:textId="74DB0695" w:rsidR="006811C3" w:rsidRPr="00EB0367" w:rsidRDefault="006811C3" w:rsidP="006811C3">
      <w:pPr>
        <w:spacing w:before="240"/>
      </w:pPr>
      <w:r w:rsidRPr="006F503A">
        <w:t xml:space="preserve">La información contenida en este documento es generada por el INEGI con base en </w:t>
      </w:r>
      <w:r>
        <w:t>l</w:t>
      </w:r>
      <w:r w:rsidRPr="006F503A">
        <w:t xml:space="preserve">os indicadores de corto plazo del </w:t>
      </w:r>
      <w:r w:rsidR="00A26D76">
        <w:t>IMCPMI</w:t>
      </w:r>
      <w:r w:rsidRPr="006F503A">
        <w:t xml:space="preserve"> del Sistema de Cuentas Nacionales de México y se da a conocer en la fecha establecida en el Calendario de difusión de información estadística y geográfica y de Interés Nacional.</w:t>
      </w:r>
    </w:p>
    <w:p w14:paraId="736ACAFD" w14:textId="10D23495" w:rsidR="00BA1145" w:rsidRPr="00BA1145" w:rsidRDefault="006811C3" w:rsidP="006811C3">
      <w:pPr>
        <w:spacing w:before="240"/>
        <w:rPr>
          <w:b/>
          <w:color w:val="0070C0"/>
          <w:sz w:val="20"/>
        </w:rPr>
      </w:pPr>
      <w:r w:rsidRPr="00631C67">
        <w:t>Las se</w:t>
      </w:r>
      <w:r>
        <w:t xml:space="preserve">ries del Consumo Privado en el Mercado </w:t>
      </w:r>
      <w:proofErr w:type="gramStart"/>
      <w:r>
        <w:t>I</w:t>
      </w:r>
      <w:r w:rsidRPr="00631C67">
        <w:t>nterior,</w:t>
      </w:r>
      <w:proofErr w:type="gramEnd"/>
      <w:r w:rsidRPr="00631C67">
        <w:t xml:space="preserve"> </w:t>
      </w:r>
      <w:r w:rsidRPr="00BE64DF">
        <w:t>p</w:t>
      </w:r>
      <w:r w:rsidR="001E3A04" w:rsidRPr="00BE64DF">
        <w:t>ue</w:t>
      </w:r>
      <w:r w:rsidRPr="00BE64DF">
        <w:t>den</w:t>
      </w:r>
      <w:r w:rsidRPr="00631C67">
        <w:t xml:space="preserve"> ser consultadas en la sección PIB y Cuentas Nacionales de México y en el BIE, </w:t>
      </w:r>
      <w:r>
        <w:t>en</w:t>
      </w:r>
      <w:r w:rsidRPr="00631C67">
        <w:t xml:space="preserve"> la página del Instituto</w:t>
      </w:r>
      <w:r>
        <w:t xml:space="preserve"> en</w:t>
      </w:r>
      <w:r w:rsidRPr="00631C67">
        <w:t xml:space="preserve"> Internet</w:t>
      </w:r>
      <w:r>
        <w:rPr>
          <w:rStyle w:val="Hipervnculo"/>
          <w:u w:val="none"/>
          <w:lang w:eastAsia="en-US"/>
        </w:rPr>
        <w:t xml:space="preserve">: </w:t>
      </w:r>
      <w:r w:rsidRPr="00224330">
        <w:rPr>
          <w:rStyle w:val="Hipervnculo"/>
          <w:color w:val="0070C0"/>
          <w:lang w:eastAsia="en-US"/>
        </w:rPr>
        <w:t>http</w:t>
      </w:r>
      <w:r>
        <w:rPr>
          <w:rStyle w:val="Hipervnculo"/>
          <w:color w:val="0070C0"/>
          <w:lang w:eastAsia="en-US"/>
        </w:rPr>
        <w:t>s</w:t>
      </w:r>
      <w:r w:rsidRPr="00224330">
        <w:rPr>
          <w:rStyle w:val="Hipervnculo"/>
          <w:color w:val="0070C0"/>
          <w:lang w:eastAsia="en-US"/>
        </w:rPr>
        <w:t>://</w:t>
      </w:r>
      <w:hyperlink r:id="rId27" w:history="1">
        <w:r w:rsidRPr="00BA1145">
          <w:rPr>
            <w:rStyle w:val="Hipervnculo"/>
            <w:color w:val="0070C0"/>
            <w:lang w:eastAsia="en-US"/>
          </w:rPr>
          <w:t>www.inegi.org.mx</w:t>
        </w:r>
      </w:hyperlink>
    </w:p>
    <w:sectPr w:rsidR="00BA1145" w:rsidRPr="00BA1145" w:rsidSect="00E64A12">
      <w:headerReference w:type="default" r:id="rId28"/>
      <w:footerReference w:type="default" r:id="rId29"/>
      <w:pgSz w:w="12242" w:h="15842" w:code="1"/>
      <w:pgMar w:top="1191" w:right="1701" w:bottom="907" w:left="1418" w:header="510" w:footer="5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9FD54" w14:textId="77777777" w:rsidR="003A437C" w:rsidRDefault="003A437C">
      <w:r>
        <w:separator/>
      </w:r>
    </w:p>
  </w:endnote>
  <w:endnote w:type="continuationSeparator" w:id="0">
    <w:p w14:paraId="407A6A61" w14:textId="77777777" w:rsidR="003A437C" w:rsidRDefault="003A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EF632" w14:textId="77777777" w:rsidR="00F66C0E" w:rsidRPr="002346CA" w:rsidRDefault="00F66C0E" w:rsidP="004C150C">
    <w:pPr>
      <w:pStyle w:val="Piedepgina"/>
      <w:contextualSpacing/>
      <w:jc w:val="center"/>
      <w:rPr>
        <w:color w:val="002060"/>
        <w:sz w:val="18"/>
        <w:szCs w:val="18"/>
      </w:rPr>
    </w:pPr>
    <w:r w:rsidRPr="002346C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D897E" w14:textId="77777777" w:rsidR="008F2BC8" w:rsidRPr="001072CD" w:rsidRDefault="008F2BC8" w:rsidP="009D2FB0">
    <w:pPr>
      <w:pStyle w:val="Piedepgina"/>
      <w:jc w:val="center"/>
      <w:rPr>
        <w:color w:val="002060"/>
        <w:sz w:val="20"/>
      </w:rPr>
    </w:pPr>
    <w:r w:rsidRPr="001072CD">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677A" w14:textId="77777777" w:rsidR="003A437C" w:rsidRDefault="003A437C">
      <w:r>
        <w:separator/>
      </w:r>
    </w:p>
  </w:footnote>
  <w:footnote w:type="continuationSeparator" w:id="0">
    <w:p w14:paraId="7ED0092B" w14:textId="77777777" w:rsidR="003A437C" w:rsidRDefault="003A437C">
      <w:r>
        <w:continuationSeparator/>
      </w:r>
    </w:p>
  </w:footnote>
  <w:footnote w:id="1">
    <w:p w14:paraId="6BC3B45D" w14:textId="77777777" w:rsidR="00F66C0E" w:rsidRPr="00140D9C" w:rsidRDefault="00F66C0E" w:rsidP="00F66C0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 w:id="2">
    <w:p w14:paraId="4DEB4800" w14:textId="77777777" w:rsidR="00F66C0E" w:rsidRPr="00140D9C" w:rsidRDefault="00F66C0E" w:rsidP="00F66C0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Pr>
          <w:rFonts w:ascii="Arial" w:hAnsi="Arial" w:cs="Arial"/>
          <w:sz w:val="16"/>
          <w:szCs w:val="16"/>
        </w:rPr>
        <w:t>Año base 2013.</w:t>
      </w:r>
    </w:p>
  </w:footnote>
  <w:footnote w:id="3">
    <w:p w14:paraId="5635F759" w14:textId="77777777" w:rsidR="00F66C0E" w:rsidRDefault="00F66C0E" w:rsidP="00F66C0E">
      <w:pPr>
        <w:pStyle w:val="Textonotapie"/>
        <w:ind w:left="142" w:right="-547"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6F5EF8E1" w14:textId="77777777" w:rsidR="00F66C0E" w:rsidRDefault="00F66C0E" w:rsidP="00F66C0E">
      <w:pPr>
        <w:pStyle w:val="Textonotapie"/>
        <w:ind w:left="142" w:right="-547" w:hanging="142"/>
        <w:jc w:val="both"/>
        <w:rPr>
          <w:rFonts w:ascii="Arial" w:hAnsi="Arial" w:cs="Arial"/>
          <w:sz w:val="16"/>
          <w:szCs w:val="16"/>
        </w:rPr>
      </w:pPr>
    </w:p>
    <w:p w14:paraId="297ED0FE" w14:textId="77777777" w:rsidR="00F66C0E" w:rsidRPr="00140D9C" w:rsidRDefault="00F66C0E" w:rsidP="00F66C0E">
      <w:pPr>
        <w:pStyle w:val="Textonotapie"/>
        <w:ind w:left="142" w:right="-547" w:hanging="142"/>
        <w:jc w:val="both"/>
        <w:rPr>
          <w:rFonts w:ascii="Arial" w:hAnsi="Arial" w:cs="Arial"/>
          <w:sz w:val="16"/>
          <w:szCs w:val="16"/>
        </w:rPr>
      </w:pPr>
    </w:p>
  </w:footnote>
  <w:footnote w:id="4">
    <w:p w14:paraId="0124607E" w14:textId="77777777" w:rsidR="00F66C0E" w:rsidRDefault="00F66C0E" w:rsidP="00F66C0E">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Pr>
          <w:rStyle w:val="Refdenotaalpie"/>
          <w:sz w:val="18"/>
        </w:rPr>
        <w:t xml:space="preserve"> </w:t>
      </w:r>
      <w:r>
        <w:rPr>
          <w:sz w:val="18"/>
        </w:rPr>
        <w:tab/>
      </w:r>
      <w:r>
        <w:rPr>
          <w:rFonts w:ascii="Arial" w:hAnsi="Arial" w:cs="Arial"/>
          <w:sz w:val="16"/>
          <w:szCs w:val="16"/>
        </w:rPr>
        <w:t>Variación anual de las cifras desestacionalizadas.</w:t>
      </w:r>
    </w:p>
    <w:p w14:paraId="6B96686F" w14:textId="77777777" w:rsidR="00F66C0E" w:rsidRDefault="00F66C0E" w:rsidP="00F66C0E">
      <w:pPr>
        <w:pStyle w:val="Textonotapie"/>
        <w:ind w:left="142" w:hanging="142"/>
        <w:jc w:val="both"/>
        <w:rPr>
          <w:rFonts w:ascii="Arial" w:hAnsi="Arial" w:cs="Arial"/>
          <w:sz w:val="16"/>
          <w:szCs w:val="16"/>
        </w:rPr>
      </w:pPr>
    </w:p>
    <w:p w14:paraId="0431600B" w14:textId="77777777" w:rsidR="00F66C0E" w:rsidRDefault="00F66C0E" w:rsidP="00F66C0E">
      <w:pPr>
        <w:pStyle w:val="Textonotapie"/>
        <w:ind w:left="142" w:hanging="142"/>
        <w:jc w:val="both"/>
        <w:rPr>
          <w:rFonts w:ascii="Arial" w:hAnsi="Arial" w:cs="Arial"/>
          <w:sz w:val="16"/>
          <w:szCs w:val="16"/>
        </w:rPr>
      </w:pPr>
    </w:p>
  </w:footnote>
  <w:footnote w:id="5">
    <w:p w14:paraId="69A5EA68" w14:textId="77777777" w:rsidR="00607F23" w:rsidRPr="00140D9C" w:rsidRDefault="00607F23" w:rsidP="00607F23">
      <w:pPr>
        <w:pStyle w:val="Textonotapie"/>
        <w:ind w:left="142" w:hanging="142"/>
        <w:jc w:val="both"/>
        <w:rPr>
          <w:rFonts w:ascii="Arial" w:hAnsi="Arial" w:cs="Arial"/>
          <w:sz w:val="16"/>
          <w:szCs w:val="16"/>
        </w:rPr>
      </w:pPr>
      <w:r w:rsidRPr="007022CF">
        <w:rPr>
          <w:rStyle w:val="Refdenotaalpie"/>
          <w:rFonts w:ascii="Arial" w:hAnsi="Arial"/>
          <w:b w:val="0"/>
          <w:sz w:val="18"/>
        </w:rPr>
        <w:footnoteRef/>
      </w:r>
      <w:r w:rsidRPr="00140D9C">
        <w:rPr>
          <w:rStyle w:val="Refdenotaalpie"/>
          <w:rFonts w:ascii="Arial" w:hAnsi="Arial"/>
          <w:sz w:val="18"/>
        </w:rPr>
        <w:t xml:space="preserve"> </w:t>
      </w:r>
      <w:r w:rsidRPr="00140D9C">
        <w:rPr>
          <w:rFonts w:ascii="Arial" w:hAnsi="Arial" w:cs="Arial"/>
          <w:sz w:val="18"/>
        </w:rPr>
        <w:tab/>
      </w:r>
      <w:r w:rsidRPr="00140D9C">
        <w:rPr>
          <w:rFonts w:ascii="Arial" w:hAnsi="Arial" w:cs="Arial"/>
          <w:sz w:val="16"/>
          <w:szCs w:val="16"/>
        </w:rPr>
        <w:t xml:space="preserve">Mide el comportamiento del gasto realizado por los hogares residentes del país en bienes y servicios de consumo, tanto de origen nacional como importado; quedan excluidas las compras </w:t>
      </w:r>
      <w:r>
        <w:rPr>
          <w:rFonts w:ascii="Arial" w:hAnsi="Arial" w:cs="Arial"/>
          <w:sz w:val="16"/>
          <w:szCs w:val="16"/>
        </w:rPr>
        <w:t>de viviendas u objetos valiosos</w:t>
      </w:r>
      <w:r w:rsidRPr="00140D9C">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E2C6E" w14:textId="2C44C64D" w:rsidR="00F66C0E" w:rsidRPr="00E0416A" w:rsidRDefault="00F66C0E" w:rsidP="003B3B84">
    <w:pPr>
      <w:pStyle w:val="Encabezado"/>
      <w:framePr w:w="5459" w:hSpace="141" w:wrap="auto" w:vAnchor="text" w:hAnchor="page" w:x="5647" w:y="34"/>
      <w:ind w:left="567" w:hanging="11"/>
      <w:jc w:val="right"/>
      <w:rPr>
        <w:b/>
        <w:color w:val="002060"/>
      </w:rPr>
    </w:pPr>
    <w:r>
      <w:rPr>
        <w:b/>
        <w:color w:val="002060"/>
      </w:rPr>
      <w:t>COMUNICADO DE</w:t>
    </w:r>
    <w:r w:rsidRPr="00E0416A">
      <w:rPr>
        <w:b/>
        <w:color w:val="002060"/>
      </w:rPr>
      <w:t xml:space="preserve"> PRENSA NÚM. </w:t>
    </w:r>
    <w:r w:rsidR="003B3B84">
      <w:rPr>
        <w:b/>
        <w:color w:val="002060"/>
      </w:rPr>
      <w:t>273</w:t>
    </w:r>
    <w:r w:rsidRPr="00E0416A">
      <w:rPr>
        <w:b/>
        <w:color w:val="002060"/>
      </w:rPr>
      <w:t>/</w:t>
    </w:r>
    <w:r>
      <w:rPr>
        <w:b/>
        <w:color w:val="002060"/>
      </w:rPr>
      <w:t>21</w:t>
    </w:r>
  </w:p>
  <w:p w14:paraId="6D3B7F21" w14:textId="77777777" w:rsidR="00F66C0E" w:rsidRPr="00E0416A" w:rsidRDefault="00F66C0E" w:rsidP="003B3B84">
    <w:pPr>
      <w:pStyle w:val="Encabezado"/>
      <w:framePr w:w="5459" w:hSpace="141" w:wrap="auto" w:vAnchor="text" w:hAnchor="page" w:x="5647" w:y="34"/>
      <w:ind w:left="567" w:hanging="11"/>
      <w:jc w:val="right"/>
      <w:rPr>
        <w:b/>
        <w:color w:val="002060"/>
        <w:lang w:val="pt-BR"/>
      </w:rPr>
    </w:pPr>
    <w:r>
      <w:rPr>
        <w:b/>
        <w:color w:val="002060"/>
        <w:lang w:val="pt-BR"/>
      </w:rPr>
      <w:t xml:space="preserve">11 DE MAYO DE </w:t>
    </w:r>
    <w:r w:rsidRPr="00E0416A">
      <w:rPr>
        <w:b/>
        <w:color w:val="002060"/>
        <w:lang w:val="pt-BR"/>
      </w:rPr>
      <w:t>20</w:t>
    </w:r>
    <w:r>
      <w:rPr>
        <w:b/>
        <w:color w:val="002060"/>
        <w:lang w:val="pt-BR"/>
      </w:rPr>
      <w:t>21</w:t>
    </w:r>
  </w:p>
  <w:p w14:paraId="1E8908E8" w14:textId="77777777" w:rsidR="00F66C0E" w:rsidRPr="00ED588B" w:rsidRDefault="00F66C0E" w:rsidP="003B3B84">
    <w:pPr>
      <w:pStyle w:val="Encabezado"/>
      <w:framePr w:w="5459" w:hSpace="141" w:wrap="auto" w:vAnchor="text" w:hAnchor="page" w:x="5647" w:y="34"/>
      <w:ind w:left="567" w:hanging="11"/>
      <w:jc w:val="right"/>
      <w:rPr>
        <w:b/>
        <w:color w:val="002060"/>
        <w:lang w:val="pt-BR"/>
      </w:rPr>
    </w:pPr>
    <w:r>
      <w:rPr>
        <w:b/>
        <w:color w:val="002060"/>
        <w:lang w:val="pt-BR"/>
      </w:rPr>
      <w:t>P</w:t>
    </w:r>
    <w:r w:rsidRPr="00ED588B">
      <w:rPr>
        <w:b/>
        <w:color w:val="002060"/>
        <w:lang w:val="pt-BR"/>
      </w:rPr>
      <w:t xml:space="preserve">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0A275FC3" w14:textId="77777777" w:rsidR="00F66C0E" w:rsidRDefault="00F66C0E" w:rsidP="00BD23AD">
    <w:pPr>
      <w:pStyle w:val="Encabezado"/>
    </w:pPr>
    <w:r>
      <w:rPr>
        <w:noProof/>
      </w:rPr>
      <w:drawing>
        <wp:inline distT="0" distB="0" distL="0" distR="0" wp14:anchorId="4B408A15" wp14:editId="75D771A4">
          <wp:extent cx="794224" cy="824988"/>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995" cy="8527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4EF94" w14:textId="75ECE32F" w:rsidR="008F2BC8" w:rsidRDefault="00137231" w:rsidP="00652C48">
    <w:pPr>
      <w:pStyle w:val="Encabezado"/>
      <w:tabs>
        <w:tab w:val="clear" w:pos="4320"/>
        <w:tab w:val="clear" w:pos="8640"/>
        <w:tab w:val="center" w:pos="2606"/>
      </w:tabs>
      <w:jc w:val="center"/>
    </w:pPr>
    <w:r>
      <w:rPr>
        <w:noProof/>
        <w:lang w:eastAsia="es-MX"/>
      </w:rPr>
      <w:drawing>
        <wp:inline distT="0" distB="0" distL="0" distR="0" wp14:anchorId="3BEE5081" wp14:editId="40933004">
          <wp:extent cx="928370" cy="964800"/>
          <wp:effectExtent l="0" t="0" r="5080" b="6985"/>
          <wp:docPr id="13" name="Imagen 13" descr="cid:image002.png@01D4B335.490B1A50"/>
          <wp:cNvGraphicFramePr/>
          <a:graphic xmlns:a="http://schemas.openxmlformats.org/drawingml/2006/main">
            <a:graphicData uri="http://schemas.openxmlformats.org/drawingml/2006/picture">
              <pic:pic xmlns:pic="http://schemas.openxmlformats.org/drawingml/2006/picture">
                <pic:nvPicPr>
                  <pic:cNvPr id="6" name="Imagen 6"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p w14:paraId="25D7D270" w14:textId="77777777" w:rsidR="00D0777B" w:rsidRDefault="00D0777B" w:rsidP="00D0777B">
    <w:pPr>
      <w:pStyle w:val="Encabezado"/>
      <w:tabs>
        <w:tab w:val="clear" w:pos="4320"/>
        <w:tab w:val="clear" w:pos="8640"/>
        <w:tab w:val="center" w:pos="26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13447E"/>
    <w:multiLevelType w:val="hybridMultilevel"/>
    <w:tmpl w:val="9A46F5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D6BF8"/>
    <w:multiLevelType w:val="hybridMultilevel"/>
    <w:tmpl w:val="C450D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8"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0"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
  </w:num>
  <w:num w:numId="3">
    <w:abstractNumId w:val="8"/>
  </w:num>
  <w:num w:numId="4">
    <w:abstractNumId w:val="4"/>
  </w:num>
  <w:num w:numId="5">
    <w:abstractNumId w:val="0"/>
  </w:num>
  <w:num w:numId="6">
    <w:abstractNumId w:val="11"/>
  </w:num>
  <w:num w:numId="7">
    <w:abstractNumId w:val="1"/>
  </w:num>
  <w:num w:numId="8">
    <w:abstractNumId w:val="9"/>
  </w:num>
  <w:num w:numId="9">
    <w:abstractNumId w:val="7"/>
  </w:num>
  <w:num w:numId="10">
    <w:abstractNumId w:val="5"/>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GrammaticalError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C09"/>
    <w:rsid w:val="000012DC"/>
    <w:rsid w:val="00001560"/>
    <w:rsid w:val="000015C4"/>
    <w:rsid w:val="0000169F"/>
    <w:rsid w:val="00002780"/>
    <w:rsid w:val="000027A6"/>
    <w:rsid w:val="00002BFB"/>
    <w:rsid w:val="00002C46"/>
    <w:rsid w:val="00002E24"/>
    <w:rsid w:val="0000374E"/>
    <w:rsid w:val="000037C9"/>
    <w:rsid w:val="000039FE"/>
    <w:rsid w:val="00003B8F"/>
    <w:rsid w:val="00003DF8"/>
    <w:rsid w:val="00003EF8"/>
    <w:rsid w:val="000041DD"/>
    <w:rsid w:val="000046B6"/>
    <w:rsid w:val="00005304"/>
    <w:rsid w:val="00005754"/>
    <w:rsid w:val="00005B50"/>
    <w:rsid w:val="00005F2E"/>
    <w:rsid w:val="00006BB9"/>
    <w:rsid w:val="00006BDB"/>
    <w:rsid w:val="00007D7D"/>
    <w:rsid w:val="00007E87"/>
    <w:rsid w:val="00011260"/>
    <w:rsid w:val="000112C2"/>
    <w:rsid w:val="000113DF"/>
    <w:rsid w:val="000114CC"/>
    <w:rsid w:val="00011620"/>
    <w:rsid w:val="00011ED4"/>
    <w:rsid w:val="0001270B"/>
    <w:rsid w:val="000134DC"/>
    <w:rsid w:val="00013BA9"/>
    <w:rsid w:val="00014805"/>
    <w:rsid w:val="00014D68"/>
    <w:rsid w:val="00014E30"/>
    <w:rsid w:val="000169B1"/>
    <w:rsid w:val="000170F7"/>
    <w:rsid w:val="00017141"/>
    <w:rsid w:val="0001751C"/>
    <w:rsid w:val="000179B9"/>
    <w:rsid w:val="0002018E"/>
    <w:rsid w:val="000202A5"/>
    <w:rsid w:val="00020A81"/>
    <w:rsid w:val="00020C3A"/>
    <w:rsid w:val="00020CBA"/>
    <w:rsid w:val="00020D8C"/>
    <w:rsid w:val="00020E88"/>
    <w:rsid w:val="00021465"/>
    <w:rsid w:val="000217D2"/>
    <w:rsid w:val="000217EF"/>
    <w:rsid w:val="00022488"/>
    <w:rsid w:val="000227DC"/>
    <w:rsid w:val="00022A4F"/>
    <w:rsid w:val="00022AF4"/>
    <w:rsid w:val="000235F0"/>
    <w:rsid w:val="000237A8"/>
    <w:rsid w:val="00023AEF"/>
    <w:rsid w:val="000254B9"/>
    <w:rsid w:val="00025C3B"/>
    <w:rsid w:val="000263B5"/>
    <w:rsid w:val="000265BE"/>
    <w:rsid w:val="00027ED7"/>
    <w:rsid w:val="00030082"/>
    <w:rsid w:val="000300E3"/>
    <w:rsid w:val="00031713"/>
    <w:rsid w:val="00031845"/>
    <w:rsid w:val="00032545"/>
    <w:rsid w:val="000325D6"/>
    <w:rsid w:val="000327E9"/>
    <w:rsid w:val="00033C5F"/>
    <w:rsid w:val="000340C8"/>
    <w:rsid w:val="000342CC"/>
    <w:rsid w:val="0003448A"/>
    <w:rsid w:val="0003466E"/>
    <w:rsid w:val="00034A90"/>
    <w:rsid w:val="00034B65"/>
    <w:rsid w:val="00035D8A"/>
    <w:rsid w:val="0003734B"/>
    <w:rsid w:val="0003792C"/>
    <w:rsid w:val="0004085A"/>
    <w:rsid w:val="00040D9D"/>
    <w:rsid w:val="00040DC7"/>
    <w:rsid w:val="00041170"/>
    <w:rsid w:val="000414C3"/>
    <w:rsid w:val="00041A3D"/>
    <w:rsid w:val="000420AF"/>
    <w:rsid w:val="0004256A"/>
    <w:rsid w:val="00042694"/>
    <w:rsid w:val="00042998"/>
    <w:rsid w:val="00042999"/>
    <w:rsid w:val="00042B46"/>
    <w:rsid w:val="000431A4"/>
    <w:rsid w:val="00043921"/>
    <w:rsid w:val="00044375"/>
    <w:rsid w:val="0004460E"/>
    <w:rsid w:val="00045910"/>
    <w:rsid w:val="00045C23"/>
    <w:rsid w:val="0004657B"/>
    <w:rsid w:val="00046979"/>
    <w:rsid w:val="0004705C"/>
    <w:rsid w:val="00050101"/>
    <w:rsid w:val="00050FEF"/>
    <w:rsid w:val="000512BE"/>
    <w:rsid w:val="00051D8B"/>
    <w:rsid w:val="00051E25"/>
    <w:rsid w:val="000523C5"/>
    <w:rsid w:val="000533BC"/>
    <w:rsid w:val="00053691"/>
    <w:rsid w:val="00053AEC"/>
    <w:rsid w:val="00053DA7"/>
    <w:rsid w:val="000540EF"/>
    <w:rsid w:val="0005463E"/>
    <w:rsid w:val="00055478"/>
    <w:rsid w:val="000560B3"/>
    <w:rsid w:val="00056521"/>
    <w:rsid w:val="00056CFF"/>
    <w:rsid w:val="000573C0"/>
    <w:rsid w:val="00057442"/>
    <w:rsid w:val="000578E8"/>
    <w:rsid w:val="00057D70"/>
    <w:rsid w:val="00060033"/>
    <w:rsid w:val="00060E75"/>
    <w:rsid w:val="00061DB2"/>
    <w:rsid w:val="000620CB"/>
    <w:rsid w:val="00062295"/>
    <w:rsid w:val="00062569"/>
    <w:rsid w:val="00062A1B"/>
    <w:rsid w:val="00063600"/>
    <w:rsid w:val="00063728"/>
    <w:rsid w:val="00063BB7"/>
    <w:rsid w:val="00064D51"/>
    <w:rsid w:val="00065350"/>
    <w:rsid w:val="00065667"/>
    <w:rsid w:val="000660AB"/>
    <w:rsid w:val="000663A1"/>
    <w:rsid w:val="0006669E"/>
    <w:rsid w:val="00066787"/>
    <w:rsid w:val="000669F8"/>
    <w:rsid w:val="00066FFF"/>
    <w:rsid w:val="0007043D"/>
    <w:rsid w:val="00070E8A"/>
    <w:rsid w:val="00070F07"/>
    <w:rsid w:val="000711A3"/>
    <w:rsid w:val="0007144C"/>
    <w:rsid w:val="000716D8"/>
    <w:rsid w:val="000718B8"/>
    <w:rsid w:val="00071A40"/>
    <w:rsid w:val="0007232B"/>
    <w:rsid w:val="000746A2"/>
    <w:rsid w:val="00074A19"/>
    <w:rsid w:val="00074D43"/>
    <w:rsid w:val="00075095"/>
    <w:rsid w:val="00075136"/>
    <w:rsid w:val="00075264"/>
    <w:rsid w:val="0007550E"/>
    <w:rsid w:val="000759C1"/>
    <w:rsid w:val="0007634C"/>
    <w:rsid w:val="000765AC"/>
    <w:rsid w:val="00076B98"/>
    <w:rsid w:val="00076C8A"/>
    <w:rsid w:val="00077293"/>
    <w:rsid w:val="00077633"/>
    <w:rsid w:val="00077C67"/>
    <w:rsid w:val="00077E4C"/>
    <w:rsid w:val="0008015E"/>
    <w:rsid w:val="00080491"/>
    <w:rsid w:val="0008072A"/>
    <w:rsid w:val="00082088"/>
    <w:rsid w:val="00082728"/>
    <w:rsid w:val="00082F15"/>
    <w:rsid w:val="00083372"/>
    <w:rsid w:val="000841BA"/>
    <w:rsid w:val="000846B1"/>
    <w:rsid w:val="00084AF0"/>
    <w:rsid w:val="00085827"/>
    <w:rsid w:val="00085872"/>
    <w:rsid w:val="0008588C"/>
    <w:rsid w:val="00085A6E"/>
    <w:rsid w:val="00085AA4"/>
    <w:rsid w:val="00085B9C"/>
    <w:rsid w:val="00086533"/>
    <w:rsid w:val="000867C9"/>
    <w:rsid w:val="000867E1"/>
    <w:rsid w:val="00086E14"/>
    <w:rsid w:val="000872B2"/>
    <w:rsid w:val="0008783B"/>
    <w:rsid w:val="00087BA1"/>
    <w:rsid w:val="00087F49"/>
    <w:rsid w:val="00090721"/>
    <w:rsid w:val="00090C41"/>
    <w:rsid w:val="00090CBA"/>
    <w:rsid w:val="000913FC"/>
    <w:rsid w:val="000917C3"/>
    <w:rsid w:val="0009183C"/>
    <w:rsid w:val="00092628"/>
    <w:rsid w:val="000927DF"/>
    <w:rsid w:val="000929CC"/>
    <w:rsid w:val="00092D6B"/>
    <w:rsid w:val="0009312A"/>
    <w:rsid w:val="00093494"/>
    <w:rsid w:val="000946D3"/>
    <w:rsid w:val="00094AD2"/>
    <w:rsid w:val="000950D1"/>
    <w:rsid w:val="00095595"/>
    <w:rsid w:val="000959A8"/>
    <w:rsid w:val="00095B5B"/>
    <w:rsid w:val="00095F63"/>
    <w:rsid w:val="00095F72"/>
    <w:rsid w:val="00095FCC"/>
    <w:rsid w:val="000966C4"/>
    <w:rsid w:val="00097424"/>
    <w:rsid w:val="00097DD6"/>
    <w:rsid w:val="000A0296"/>
    <w:rsid w:val="000A039B"/>
    <w:rsid w:val="000A03D3"/>
    <w:rsid w:val="000A0F30"/>
    <w:rsid w:val="000A14C4"/>
    <w:rsid w:val="000A1A1F"/>
    <w:rsid w:val="000A2146"/>
    <w:rsid w:val="000A25D3"/>
    <w:rsid w:val="000A2738"/>
    <w:rsid w:val="000A2A33"/>
    <w:rsid w:val="000A2B3B"/>
    <w:rsid w:val="000A2DB5"/>
    <w:rsid w:val="000A3049"/>
    <w:rsid w:val="000A3405"/>
    <w:rsid w:val="000A36D8"/>
    <w:rsid w:val="000A3BE7"/>
    <w:rsid w:val="000A3CA9"/>
    <w:rsid w:val="000A3E3D"/>
    <w:rsid w:val="000A410C"/>
    <w:rsid w:val="000A4671"/>
    <w:rsid w:val="000A5154"/>
    <w:rsid w:val="000A58D0"/>
    <w:rsid w:val="000A69D3"/>
    <w:rsid w:val="000A6F37"/>
    <w:rsid w:val="000A7195"/>
    <w:rsid w:val="000A740B"/>
    <w:rsid w:val="000A7785"/>
    <w:rsid w:val="000A7FDB"/>
    <w:rsid w:val="000B0456"/>
    <w:rsid w:val="000B058C"/>
    <w:rsid w:val="000B05FA"/>
    <w:rsid w:val="000B11A8"/>
    <w:rsid w:val="000B12A0"/>
    <w:rsid w:val="000B18E9"/>
    <w:rsid w:val="000B2679"/>
    <w:rsid w:val="000B279B"/>
    <w:rsid w:val="000B2B1E"/>
    <w:rsid w:val="000B2FF7"/>
    <w:rsid w:val="000B31E7"/>
    <w:rsid w:val="000B3636"/>
    <w:rsid w:val="000B3864"/>
    <w:rsid w:val="000B3B3F"/>
    <w:rsid w:val="000B3BF6"/>
    <w:rsid w:val="000B3F42"/>
    <w:rsid w:val="000B4896"/>
    <w:rsid w:val="000B4AAB"/>
    <w:rsid w:val="000B54FB"/>
    <w:rsid w:val="000B59A6"/>
    <w:rsid w:val="000B6031"/>
    <w:rsid w:val="000B60DA"/>
    <w:rsid w:val="000B6610"/>
    <w:rsid w:val="000B67B4"/>
    <w:rsid w:val="000B6E70"/>
    <w:rsid w:val="000B731F"/>
    <w:rsid w:val="000B73D3"/>
    <w:rsid w:val="000B7404"/>
    <w:rsid w:val="000B7B8C"/>
    <w:rsid w:val="000C0BC1"/>
    <w:rsid w:val="000C1AAD"/>
    <w:rsid w:val="000C1C62"/>
    <w:rsid w:val="000C1EA6"/>
    <w:rsid w:val="000C31CB"/>
    <w:rsid w:val="000C394F"/>
    <w:rsid w:val="000C3C60"/>
    <w:rsid w:val="000C407B"/>
    <w:rsid w:val="000C4D1D"/>
    <w:rsid w:val="000C4DD1"/>
    <w:rsid w:val="000C57F3"/>
    <w:rsid w:val="000C5A46"/>
    <w:rsid w:val="000C5E8E"/>
    <w:rsid w:val="000C6F51"/>
    <w:rsid w:val="000C723B"/>
    <w:rsid w:val="000C7250"/>
    <w:rsid w:val="000C7274"/>
    <w:rsid w:val="000C7DB5"/>
    <w:rsid w:val="000C7DCE"/>
    <w:rsid w:val="000D0249"/>
    <w:rsid w:val="000D0FCD"/>
    <w:rsid w:val="000D118D"/>
    <w:rsid w:val="000D1690"/>
    <w:rsid w:val="000D179E"/>
    <w:rsid w:val="000D21B6"/>
    <w:rsid w:val="000D2233"/>
    <w:rsid w:val="000D232B"/>
    <w:rsid w:val="000D264F"/>
    <w:rsid w:val="000D27CE"/>
    <w:rsid w:val="000D2B5C"/>
    <w:rsid w:val="000D3520"/>
    <w:rsid w:val="000D36E0"/>
    <w:rsid w:val="000D42ED"/>
    <w:rsid w:val="000D4C2F"/>
    <w:rsid w:val="000D5C61"/>
    <w:rsid w:val="000D6BFD"/>
    <w:rsid w:val="000D6EA4"/>
    <w:rsid w:val="000D6F06"/>
    <w:rsid w:val="000D7B21"/>
    <w:rsid w:val="000E04B8"/>
    <w:rsid w:val="000E09BB"/>
    <w:rsid w:val="000E147B"/>
    <w:rsid w:val="000E1A53"/>
    <w:rsid w:val="000E1CB6"/>
    <w:rsid w:val="000E1FF1"/>
    <w:rsid w:val="000E226C"/>
    <w:rsid w:val="000E2778"/>
    <w:rsid w:val="000E3930"/>
    <w:rsid w:val="000E3E3B"/>
    <w:rsid w:val="000E40FC"/>
    <w:rsid w:val="000E46E0"/>
    <w:rsid w:val="000E488E"/>
    <w:rsid w:val="000E490D"/>
    <w:rsid w:val="000E4FEB"/>
    <w:rsid w:val="000E5547"/>
    <w:rsid w:val="000E5BCC"/>
    <w:rsid w:val="000E69E2"/>
    <w:rsid w:val="000E6B69"/>
    <w:rsid w:val="000E7B7C"/>
    <w:rsid w:val="000E7C9B"/>
    <w:rsid w:val="000F0159"/>
    <w:rsid w:val="000F044B"/>
    <w:rsid w:val="000F0492"/>
    <w:rsid w:val="000F1906"/>
    <w:rsid w:val="000F1D47"/>
    <w:rsid w:val="000F2054"/>
    <w:rsid w:val="000F2915"/>
    <w:rsid w:val="000F2B52"/>
    <w:rsid w:val="000F2CC8"/>
    <w:rsid w:val="000F3A44"/>
    <w:rsid w:val="000F3E42"/>
    <w:rsid w:val="000F4608"/>
    <w:rsid w:val="000F4655"/>
    <w:rsid w:val="000F46CF"/>
    <w:rsid w:val="000F4914"/>
    <w:rsid w:val="000F4916"/>
    <w:rsid w:val="000F54D5"/>
    <w:rsid w:val="000F5FDC"/>
    <w:rsid w:val="000F7069"/>
    <w:rsid w:val="000F706A"/>
    <w:rsid w:val="000F74DA"/>
    <w:rsid w:val="000F76D8"/>
    <w:rsid w:val="000F7721"/>
    <w:rsid w:val="00100607"/>
    <w:rsid w:val="00100806"/>
    <w:rsid w:val="0010119D"/>
    <w:rsid w:val="001014B8"/>
    <w:rsid w:val="001038F6"/>
    <w:rsid w:val="001042C6"/>
    <w:rsid w:val="001048BA"/>
    <w:rsid w:val="00104D18"/>
    <w:rsid w:val="00104F8F"/>
    <w:rsid w:val="001051DF"/>
    <w:rsid w:val="001052DC"/>
    <w:rsid w:val="00105455"/>
    <w:rsid w:val="001054B5"/>
    <w:rsid w:val="00105D58"/>
    <w:rsid w:val="00106346"/>
    <w:rsid w:val="00106629"/>
    <w:rsid w:val="00106B63"/>
    <w:rsid w:val="00106BDA"/>
    <w:rsid w:val="00106DF1"/>
    <w:rsid w:val="00106F24"/>
    <w:rsid w:val="001072CD"/>
    <w:rsid w:val="001078A3"/>
    <w:rsid w:val="00107C3D"/>
    <w:rsid w:val="00107E2A"/>
    <w:rsid w:val="00110536"/>
    <w:rsid w:val="001109D5"/>
    <w:rsid w:val="0011135B"/>
    <w:rsid w:val="0011179B"/>
    <w:rsid w:val="00111A1D"/>
    <w:rsid w:val="00111B06"/>
    <w:rsid w:val="00111BDF"/>
    <w:rsid w:val="00111C05"/>
    <w:rsid w:val="00112FFE"/>
    <w:rsid w:val="00113195"/>
    <w:rsid w:val="00113676"/>
    <w:rsid w:val="00113C67"/>
    <w:rsid w:val="00114208"/>
    <w:rsid w:val="00114E7B"/>
    <w:rsid w:val="001152AB"/>
    <w:rsid w:val="0011592B"/>
    <w:rsid w:val="00115E68"/>
    <w:rsid w:val="00116FD2"/>
    <w:rsid w:val="00117035"/>
    <w:rsid w:val="00117908"/>
    <w:rsid w:val="00117A68"/>
    <w:rsid w:val="0012070C"/>
    <w:rsid w:val="00120D45"/>
    <w:rsid w:val="00120DAD"/>
    <w:rsid w:val="00121071"/>
    <w:rsid w:val="001215A3"/>
    <w:rsid w:val="00121830"/>
    <w:rsid w:val="0012196C"/>
    <w:rsid w:val="00121D25"/>
    <w:rsid w:val="00121E90"/>
    <w:rsid w:val="00122278"/>
    <w:rsid w:val="00122ABA"/>
    <w:rsid w:val="0012310F"/>
    <w:rsid w:val="00123A7C"/>
    <w:rsid w:val="001241B9"/>
    <w:rsid w:val="00124280"/>
    <w:rsid w:val="00124566"/>
    <w:rsid w:val="001251D0"/>
    <w:rsid w:val="0012544B"/>
    <w:rsid w:val="001263CF"/>
    <w:rsid w:val="001264E4"/>
    <w:rsid w:val="00126990"/>
    <w:rsid w:val="00126D2E"/>
    <w:rsid w:val="00126FDB"/>
    <w:rsid w:val="001270B9"/>
    <w:rsid w:val="001272BF"/>
    <w:rsid w:val="0012735A"/>
    <w:rsid w:val="00130126"/>
    <w:rsid w:val="001308B3"/>
    <w:rsid w:val="00130ED6"/>
    <w:rsid w:val="001315C9"/>
    <w:rsid w:val="001320D6"/>
    <w:rsid w:val="00132D45"/>
    <w:rsid w:val="00132EE6"/>
    <w:rsid w:val="0013368A"/>
    <w:rsid w:val="0013372F"/>
    <w:rsid w:val="00134656"/>
    <w:rsid w:val="00134662"/>
    <w:rsid w:val="00134905"/>
    <w:rsid w:val="0013507A"/>
    <w:rsid w:val="00135130"/>
    <w:rsid w:val="00135817"/>
    <w:rsid w:val="00135EEF"/>
    <w:rsid w:val="001363D7"/>
    <w:rsid w:val="00136A1F"/>
    <w:rsid w:val="00137231"/>
    <w:rsid w:val="00137508"/>
    <w:rsid w:val="00137CE1"/>
    <w:rsid w:val="00140382"/>
    <w:rsid w:val="00140B82"/>
    <w:rsid w:val="00140D9C"/>
    <w:rsid w:val="00140E3B"/>
    <w:rsid w:val="00141D07"/>
    <w:rsid w:val="00141D28"/>
    <w:rsid w:val="0014249E"/>
    <w:rsid w:val="0014381D"/>
    <w:rsid w:val="001443AF"/>
    <w:rsid w:val="00145151"/>
    <w:rsid w:val="00145232"/>
    <w:rsid w:val="00145249"/>
    <w:rsid w:val="0014547C"/>
    <w:rsid w:val="00145519"/>
    <w:rsid w:val="00145AC4"/>
    <w:rsid w:val="00145B45"/>
    <w:rsid w:val="001460B1"/>
    <w:rsid w:val="00146B54"/>
    <w:rsid w:val="00146F18"/>
    <w:rsid w:val="001471BF"/>
    <w:rsid w:val="00147E6C"/>
    <w:rsid w:val="00147FCA"/>
    <w:rsid w:val="00150304"/>
    <w:rsid w:val="00150A0A"/>
    <w:rsid w:val="00151602"/>
    <w:rsid w:val="00151746"/>
    <w:rsid w:val="00151CF3"/>
    <w:rsid w:val="00152032"/>
    <w:rsid w:val="001526E1"/>
    <w:rsid w:val="001537DA"/>
    <w:rsid w:val="00153E48"/>
    <w:rsid w:val="001540B6"/>
    <w:rsid w:val="0015470F"/>
    <w:rsid w:val="0015477E"/>
    <w:rsid w:val="00154B74"/>
    <w:rsid w:val="00154F7D"/>
    <w:rsid w:val="0015586B"/>
    <w:rsid w:val="00155EE7"/>
    <w:rsid w:val="00155FB3"/>
    <w:rsid w:val="00156363"/>
    <w:rsid w:val="0015661D"/>
    <w:rsid w:val="00156958"/>
    <w:rsid w:val="00156E46"/>
    <w:rsid w:val="001612D4"/>
    <w:rsid w:val="0016157C"/>
    <w:rsid w:val="00161771"/>
    <w:rsid w:val="00161A75"/>
    <w:rsid w:val="00163343"/>
    <w:rsid w:val="001635F1"/>
    <w:rsid w:val="00163E70"/>
    <w:rsid w:val="00163F74"/>
    <w:rsid w:val="00163FD5"/>
    <w:rsid w:val="0016412F"/>
    <w:rsid w:val="00164A27"/>
    <w:rsid w:val="00164B37"/>
    <w:rsid w:val="00165661"/>
    <w:rsid w:val="001657FE"/>
    <w:rsid w:val="00165811"/>
    <w:rsid w:val="00165876"/>
    <w:rsid w:val="00165979"/>
    <w:rsid w:val="0016680F"/>
    <w:rsid w:val="00166EC6"/>
    <w:rsid w:val="00167641"/>
    <w:rsid w:val="00167874"/>
    <w:rsid w:val="00167BB4"/>
    <w:rsid w:val="00167D8C"/>
    <w:rsid w:val="00167F42"/>
    <w:rsid w:val="00167F8B"/>
    <w:rsid w:val="001707E6"/>
    <w:rsid w:val="0017080A"/>
    <w:rsid w:val="00170906"/>
    <w:rsid w:val="00171758"/>
    <w:rsid w:val="00171B80"/>
    <w:rsid w:val="00171C2C"/>
    <w:rsid w:val="00171DA6"/>
    <w:rsid w:val="001720F9"/>
    <w:rsid w:val="001733C8"/>
    <w:rsid w:val="00173718"/>
    <w:rsid w:val="0017384D"/>
    <w:rsid w:val="00173EB7"/>
    <w:rsid w:val="001741A9"/>
    <w:rsid w:val="001743E7"/>
    <w:rsid w:val="001745BE"/>
    <w:rsid w:val="001745E9"/>
    <w:rsid w:val="00174859"/>
    <w:rsid w:val="00174888"/>
    <w:rsid w:val="0017523F"/>
    <w:rsid w:val="001759E3"/>
    <w:rsid w:val="00175A58"/>
    <w:rsid w:val="00175FAA"/>
    <w:rsid w:val="001769C2"/>
    <w:rsid w:val="00176A17"/>
    <w:rsid w:val="00176FE5"/>
    <w:rsid w:val="00177115"/>
    <w:rsid w:val="00177622"/>
    <w:rsid w:val="001778E4"/>
    <w:rsid w:val="00177F0C"/>
    <w:rsid w:val="001807F8"/>
    <w:rsid w:val="00180B3E"/>
    <w:rsid w:val="00181089"/>
    <w:rsid w:val="001813C4"/>
    <w:rsid w:val="0018191D"/>
    <w:rsid w:val="00181D67"/>
    <w:rsid w:val="00181D7C"/>
    <w:rsid w:val="00181FA1"/>
    <w:rsid w:val="001823D6"/>
    <w:rsid w:val="00182679"/>
    <w:rsid w:val="00182EE9"/>
    <w:rsid w:val="00184064"/>
    <w:rsid w:val="001844E7"/>
    <w:rsid w:val="0018494F"/>
    <w:rsid w:val="00184A18"/>
    <w:rsid w:val="00184D5D"/>
    <w:rsid w:val="001852E6"/>
    <w:rsid w:val="001854F0"/>
    <w:rsid w:val="0018593B"/>
    <w:rsid w:val="00185DFF"/>
    <w:rsid w:val="00185E3B"/>
    <w:rsid w:val="00186288"/>
    <w:rsid w:val="0018653F"/>
    <w:rsid w:val="00187280"/>
    <w:rsid w:val="00187289"/>
    <w:rsid w:val="0019097A"/>
    <w:rsid w:val="001910DC"/>
    <w:rsid w:val="00191B61"/>
    <w:rsid w:val="00191D33"/>
    <w:rsid w:val="00191DE3"/>
    <w:rsid w:val="001920D6"/>
    <w:rsid w:val="00192382"/>
    <w:rsid w:val="00192B25"/>
    <w:rsid w:val="001937F0"/>
    <w:rsid w:val="00193A59"/>
    <w:rsid w:val="00193A8C"/>
    <w:rsid w:val="00193FFF"/>
    <w:rsid w:val="00194825"/>
    <w:rsid w:val="00194DC1"/>
    <w:rsid w:val="001952AC"/>
    <w:rsid w:val="00195BB5"/>
    <w:rsid w:val="00195E23"/>
    <w:rsid w:val="00195FEE"/>
    <w:rsid w:val="001961C7"/>
    <w:rsid w:val="0019657C"/>
    <w:rsid w:val="00196CDE"/>
    <w:rsid w:val="0019701B"/>
    <w:rsid w:val="001970AB"/>
    <w:rsid w:val="00197130"/>
    <w:rsid w:val="00197989"/>
    <w:rsid w:val="001A032F"/>
    <w:rsid w:val="001A0829"/>
    <w:rsid w:val="001A1221"/>
    <w:rsid w:val="001A15FE"/>
    <w:rsid w:val="001A1A41"/>
    <w:rsid w:val="001A1BA0"/>
    <w:rsid w:val="001A3CB5"/>
    <w:rsid w:val="001A3EC1"/>
    <w:rsid w:val="001A404D"/>
    <w:rsid w:val="001A4ABC"/>
    <w:rsid w:val="001A52A3"/>
    <w:rsid w:val="001A548C"/>
    <w:rsid w:val="001A578B"/>
    <w:rsid w:val="001A57A1"/>
    <w:rsid w:val="001A60C6"/>
    <w:rsid w:val="001A63BC"/>
    <w:rsid w:val="001A6863"/>
    <w:rsid w:val="001A6B3D"/>
    <w:rsid w:val="001A6F87"/>
    <w:rsid w:val="001A6FFE"/>
    <w:rsid w:val="001A742E"/>
    <w:rsid w:val="001A7557"/>
    <w:rsid w:val="001B01B1"/>
    <w:rsid w:val="001B028D"/>
    <w:rsid w:val="001B074F"/>
    <w:rsid w:val="001B11BD"/>
    <w:rsid w:val="001B1AB9"/>
    <w:rsid w:val="001B1E47"/>
    <w:rsid w:val="001B2BD6"/>
    <w:rsid w:val="001B3BB6"/>
    <w:rsid w:val="001B4249"/>
    <w:rsid w:val="001B468B"/>
    <w:rsid w:val="001B48C8"/>
    <w:rsid w:val="001B4D19"/>
    <w:rsid w:val="001B4DAB"/>
    <w:rsid w:val="001B4DC7"/>
    <w:rsid w:val="001B5138"/>
    <w:rsid w:val="001B52DE"/>
    <w:rsid w:val="001B53EE"/>
    <w:rsid w:val="001B5520"/>
    <w:rsid w:val="001B5656"/>
    <w:rsid w:val="001B604C"/>
    <w:rsid w:val="001B6943"/>
    <w:rsid w:val="001B7102"/>
    <w:rsid w:val="001B7194"/>
    <w:rsid w:val="001B7C04"/>
    <w:rsid w:val="001C0077"/>
    <w:rsid w:val="001C04B9"/>
    <w:rsid w:val="001C079C"/>
    <w:rsid w:val="001C09C0"/>
    <w:rsid w:val="001C1000"/>
    <w:rsid w:val="001C15F6"/>
    <w:rsid w:val="001C1626"/>
    <w:rsid w:val="001C16DD"/>
    <w:rsid w:val="001C1C09"/>
    <w:rsid w:val="001C20E9"/>
    <w:rsid w:val="001C2427"/>
    <w:rsid w:val="001C27A8"/>
    <w:rsid w:val="001C2AD8"/>
    <w:rsid w:val="001C2BC0"/>
    <w:rsid w:val="001C2E99"/>
    <w:rsid w:val="001C2F3B"/>
    <w:rsid w:val="001C475B"/>
    <w:rsid w:val="001C47AA"/>
    <w:rsid w:val="001C4C61"/>
    <w:rsid w:val="001C50E7"/>
    <w:rsid w:val="001C5399"/>
    <w:rsid w:val="001C5673"/>
    <w:rsid w:val="001C587C"/>
    <w:rsid w:val="001C5E57"/>
    <w:rsid w:val="001C60E8"/>
    <w:rsid w:val="001C67B1"/>
    <w:rsid w:val="001C6DF2"/>
    <w:rsid w:val="001C76EA"/>
    <w:rsid w:val="001C77E7"/>
    <w:rsid w:val="001C7E8A"/>
    <w:rsid w:val="001C7EE2"/>
    <w:rsid w:val="001D04C8"/>
    <w:rsid w:val="001D05D4"/>
    <w:rsid w:val="001D076A"/>
    <w:rsid w:val="001D083C"/>
    <w:rsid w:val="001D0858"/>
    <w:rsid w:val="001D08B8"/>
    <w:rsid w:val="001D08E5"/>
    <w:rsid w:val="001D1987"/>
    <w:rsid w:val="001D20FE"/>
    <w:rsid w:val="001D26FF"/>
    <w:rsid w:val="001D31D6"/>
    <w:rsid w:val="001D37A5"/>
    <w:rsid w:val="001D3AD9"/>
    <w:rsid w:val="001D3D3C"/>
    <w:rsid w:val="001D3D91"/>
    <w:rsid w:val="001D4165"/>
    <w:rsid w:val="001D4737"/>
    <w:rsid w:val="001D56EE"/>
    <w:rsid w:val="001D59D5"/>
    <w:rsid w:val="001D67E8"/>
    <w:rsid w:val="001D6B92"/>
    <w:rsid w:val="001D7584"/>
    <w:rsid w:val="001D761A"/>
    <w:rsid w:val="001D7772"/>
    <w:rsid w:val="001D7959"/>
    <w:rsid w:val="001D79F5"/>
    <w:rsid w:val="001D7A43"/>
    <w:rsid w:val="001E026B"/>
    <w:rsid w:val="001E0816"/>
    <w:rsid w:val="001E092E"/>
    <w:rsid w:val="001E09C0"/>
    <w:rsid w:val="001E0E77"/>
    <w:rsid w:val="001E1257"/>
    <w:rsid w:val="001E20B9"/>
    <w:rsid w:val="001E2814"/>
    <w:rsid w:val="001E2AA7"/>
    <w:rsid w:val="001E2ECB"/>
    <w:rsid w:val="001E31B7"/>
    <w:rsid w:val="001E3A04"/>
    <w:rsid w:val="001E3F88"/>
    <w:rsid w:val="001E47B2"/>
    <w:rsid w:val="001E4E95"/>
    <w:rsid w:val="001E5C5B"/>
    <w:rsid w:val="001E5EC3"/>
    <w:rsid w:val="001E6005"/>
    <w:rsid w:val="001E6791"/>
    <w:rsid w:val="001E7948"/>
    <w:rsid w:val="001E7BE0"/>
    <w:rsid w:val="001F0927"/>
    <w:rsid w:val="001F0C2F"/>
    <w:rsid w:val="001F0EEB"/>
    <w:rsid w:val="001F11A2"/>
    <w:rsid w:val="001F1985"/>
    <w:rsid w:val="001F1DE5"/>
    <w:rsid w:val="001F2233"/>
    <w:rsid w:val="001F2711"/>
    <w:rsid w:val="001F2919"/>
    <w:rsid w:val="001F3239"/>
    <w:rsid w:val="001F3557"/>
    <w:rsid w:val="001F36DC"/>
    <w:rsid w:val="001F3A46"/>
    <w:rsid w:val="001F496E"/>
    <w:rsid w:val="001F4B41"/>
    <w:rsid w:val="001F547C"/>
    <w:rsid w:val="001F5645"/>
    <w:rsid w:val="001F5A61"/>
    <w:rsid w:val="001F5BFE"/>
    <w:rsid w:val="001F5FB6"/>
    <w:rsid w:val="001F6EC5"/>
    <w:rsid w:val="001F7125"/>
    <w:rsid w:val="001F71EF"/>
    <w:rsid w:val="001F7245"/>
    <w:rsid w:val="001F7758"/>
    <w:rsid w:val="001F7CFA"/>
    <w:rsid w:val="0020071C"/>
    <w:rsid w:val="00200743"/>
    <w:rsid w:val="002009DF"/>
    <w:rsid w:val="00200ABF"/>
    <w:rsid w:val="00200CAE"/>
    <w:rsid w:val="002010BD"/>
    <w:rsid w:val="002010FA"/>
    <w:rsid w:val="002013A7"/>
    <w:rsid w:val="00201487"/>
    <w:rsid w:val="002014F1"/>
    <w:rsid w:val="00201A5C"/>
    <w:rsid w:val="00201B7C"/>
    <w:rsid w:val="00201BEA"/>
    <w:rsid w:val="00201F70"/>
    <w:rsid w:val="00202654"/>
    <w:rsid w:val="00203A38"/>
    <w:rsid w:val="00203D48"/>
    <w:rsid w:val="002045EE"/>
    <w:rsid w:val="00204616"/>
    <w:rsid w:val="0020484D"/>
    <w:rsid w:val="00204BD2"/>
    <w:rsid w:val="00204EDA"/>
    <w:rsid w:val="002051D1"/>
    <w:rsid w:val="002054C2"/>
    <w:rsid w:val="002060E8"/>
    <w:rsid w:val="00206BF5"/>
    <w:rsid w:val="002071FB"/>
    <w:rsid w:val="002079BC"/>
    <w:rsid w:val="002108CD"/>
    <w:rsid w:val="00210C97"/>
    <w:rsid w:val="002110B7"/>
    <w:rsid w:val="002115B8"/>
    <w:rsid w:val="00211714"/>
    <w:rsid w:val="00212287"/>
    <w:rsid w:val="00212948"/>
    <w:rsid w:val="00212CEB"/>
    <w:rsid w:val="002146E6"/>
    <w:rsid w:val="00214AE3"/>
    <w:rsid w:val="00214FD8"/>
    <w:rsid w:val="0021519B"/>
    <w:rsid w:val="00216C55"/>
    <w:rsid w:val="0021763F"/>
    <w:rsid w:val="00217772"/>
    <w:rsid w:val="00217D28"/>
    <w:rsid w:val="0022023B"/>
    <w:rsid w:val="00220767"/>
    <w:rsid w:val="0022081D"/>
    <w:rsid w:val="0022104F"/>
    <w:rsid w:val="002214BB"/>
    <w:rsid w:val="0022170C"/>
    <w:rsid w:val="00221B35"/>
    <w:rsid w:val="00221BEA"/>
    <w:rsid w:val="002225EE"/>
    <w:rsid w:val="00222CD7"/>
    <w:rsid w:val="00222EF5"/>
    <w:rsid w:val="0022318C"/>
    <w:rsid w:val="0022331F"/>
    <w:rsid w:val="002236A4"/>
    <w:rsid w:val="00224330"/>
    <w:rsid w:val="00224713"/>
    <w:rsid w:val="00224F66"/>
    <w:rsid w:val="00225A89"/>
    <w:rsid w:val="00225C73"/>
    <w:rsid w:val="00225F49"/>
    <w:rsid w:val="00225F7B"/>
    <w:rsid w:val="00226287"/>
    <w:rsid w:val="00226677"/>
    <w:rsid w:val="00226B2D"/>
    <w:rsid w:val="00226D72"/>
    <w:rsid w:val="00226F8D"/>
    <w:rsid w:val="002276D7"/>
    <w:rsid w:val="00230A50"/>
    <w:rsid w:val="0023158A"/>
    <w:rsid w:val="002315A0"/>
    <w:rsid w:val="00231A92"/>
    <w:rsid w:val="0023234E"/>
    <w:rsid w:val="00232383"/>
    <w:rsid w:val="002325F7"/>
    <w:rsid w:val="00232C9F"/>
    <w:rsid w:val="00232CDE"/>
    <w:rsid w:val="00232EAC"/>
    <w:rsid w:val="002331BD"/>
    <w:rsid w:val="00233926"/>
    <w:rsid w:val="0023399B"/>
    <w:rsid w:val="00234065"/>
    <w:rsid w:val="00234663"/>
    <w:rsid w:val="00234EB8"/>
    <w:rsid w:val="0023526A"/>
    <w:rsid w:val="0023575A"/>
    <w:rsid w:val="00235AF0"/>
    <w:rsid w:val="002361CC"/>
    <w:rsid w:val="00236BDB"/>
    <w:rsid w:val="00236C59"/>
    <w:rsid w:val="002370A2"/>
    <w:rsid w:val="00237420"/>
    <w:rsid w:val="00237447"/>
    <w:rsid w:val="0023765B"/>
    <w:rsid w:val="00237BF7"/>
    <w:rsid w:val="00237BFA"/>
    <w:rsid w:val="00237F62"/>
    <w:rsid w:val="00240757"/>
    <w:rsid w:val="00240A45"/>
    <w:rsid w:val="00240F0D"/>
    <w:rsid w:val="00241331"/>
    <w:rsid w:val="0024155B"/>
    <w:rsid w:val="00241A1A"/>
    <w:rsid w:val="00241FF4"/>
    <w:rsid w:val="00242305"/>
    <w:rsid w:val="002424B6"/>
    <w:rsid w:val="00242559"/>
    <w:rsid w:val="002425C8"/>
    <w:rsid w:val="00242E95"/>
    <w:rsid w:val="00243178"/>
    <w:rsid w:val="0024327B"/>
    <w:rsid w:val="002441E1"/>
    <w:rsid w:val="00244322"/>
    <w:rsid w:val="002443E6"/>
    <w:rsid w:val="00244C30"/>
    <w:rsid w:val="00244EF4"/>
    <w:rsid w:val="00245BEE"/>
    <w:rsid w:val="00246037"/>
    <w:rsid w:val="002463FB"/>
    <w:rsid w:val="002465DF"/>
    <w:rsid w:val="00246D18"/>
    <w:rsid w:val="00247682"/>
    <w:rsid w:val="002505AF"/>
    <w:rsid w:val="00250A5B"/>
    <w:rsid w:val="00250F32"/>
    <w:rsid w:val="002514B7"/>
    <w:rsid w:val="00251C86"/>
    <w:rsid w:val="002522A7"/>
    <w:rsid w:val="00253E1D"/>
    <w:rsid w:val="00254197"/>
    <w:rsid w:val="00254C39"/>
    <w:rsid w:val="002553FD"/>
    <w:rsid w:val="00255A65"/>
    <w:rsid w:val="00255FFF"/>
    <w:rsid w:val="00256C01"/>
    <w:rsid w:val="00257617"/>
    <w:rsid w:val="00260115"/>
    <w:rsid w:val="00261CB0"/>
    <w:rsid w:val="00261CC9"/>
    <w:rsid w:val="00262C5C"/>
    <w:rsid w:val="0026312E"/>
    <w:rsid w:val="00263BAF"/>
    <w:rsid w:val="00263D50"/>
    <w:rsid w:val="00264EE2"/>
    <w:rsid w:val="00265262"/>
    <w:rsid w:val="002653A6"/>
    <w:rsid w:val="00265533"/>
    <w:rsid w:val="0026654A"/>
    <w:rsid w:val="00266634"/>
    <w:rsid w:val="0026673B"/>
    <w:rsid w:val="00266D8E"/>
    <w:rsid w:val="0026738B"/>
    <w:rsid w:val="0026780E"/>
    <w:rsid w:val="00267B50"/>
    <w:rsid w:val="00267BA7"/>
    <w:rsid w:val="00270256"/>
    <w:rsid w:val="00270A11"/>
    <w:rsid w:val="00270B4B"/>
    <w:rsid w:val="00270BE4"/>
    <w:rsid w:val="00270CA8"/>
    <w:rsid w:val="00270D77"/>
    <w:rsid w:val="00271468"/>
    <w:rsid w:val="00271BCD"/>
    <w:rsid w:val="00271C71"/>
    <w:rsid w:val="00272178"/>
    <w:rsid w:val="0027248B"/>
    <w:rsid w:val="00272A33"/>
    <w:rsid w:val="002730EE"/>
    <w:rsid w:val="002735EA"/>
    <w:rsid w:val="002737BA"/>
    <w:rsid w:val="00273BE1"/>
    <w:rsid w:val="00274539"/>
    <w:rsid w:val="0027453F"/>
    <w:rsid w:val="00274E07"/>
    <w:rsid w:val="00275148"/>
    <w:rsid w:val="00275AD8"/>
    <w:rsid w:val="002763A9"/>
    <w:rsid w:val="00276E36"/>
    <w:rsid w:val="00276EAD"/>
    <w:rsid w:val="002771E5"/>
    <w:rsid w:val="00277898"/>
    <w:rsid w:val="00277C83"/>
    <w:rsid w:val="00277E4D"/>
    <w:rsid w:val="002816D9"/>
    <w:rsid w:val="0028192E"/>
    <w:rsid w:val="002828EA"/>
    <w:rsid w:val="0028321D"/>
    <w:rsid w:val="00283602"/>
    <w:rsid w:val="002840B0"/>
    <w:rsid w:val="0028461B"/>
    <w:rsid w:val="00284B9F"/>
    <w:rsid w:val="00284F0F"/>
    <w:rsid w:val="00285181"/>
    <w:rsid w:val="00285212"/>
    <w:rsid w:val="0028526E"/>
    <w:rsid w:val="00286943"/>
    <w:rsid w:val="00286F1A"/>
    <w:rsid w:val="002873CA"/>
    <w:rsid w:val="00287A19"/>
    <w:rsid w:val="00287D46"/>
    <w:rsid w:val="002900A1"/>
    <w:rsid w:val="00290858"/>
    <w:rsid w:val="00290FBC"/>
    <w:rsid w:val="002917E9"/>
    <w:rsid w:val="00291832"/>
    <w:rsid w:val="00291FB7"/>
    <w:rsid w:val="00292CC0"/>
    <w:rsid w:val="00292CFF"/>
    <w:rsid w:val="002931B0"/>
    <w:rsid w:val="002932BC"/>
    <w:rsid w:val="002932D1"/>
    <w:rsid w:val="0029397C"/>
    <w:rsid w:val="00294258"/>
    <w:rsid w:val="00294362"/>
    <w:rsid w:val="002943EB"/>
    <w:rsid w:val="00294579"/>
    <w:rsid w:val="0029469D"/>
    <w:rsid w:val="00294CA4"/>
    <w:rsid w:val="00295096"/>
    <w:rsid w:val="0029560D"/>
    <w:rsid w:val="00295CC7"/>
    <w:rsid w:val="00295D3F"/>
    <w:rsid w:val="002960D7"/>
    <w:rsid w:val="002966CA"/>
    <w:rsid w:val="00296940"/>
    <w:rsid w:val="00296EAB"/>
    <w:rsid w:val="0029736B"/>
    <w:rsid w:val="0029785B"/>
    <w:rsid w:val="002A02CE"/>
    <w:rsid w:val="002A10B1"/>
    <w:rsid w:val="002A1693"/>
    <w:rsid w:val="002A189C"/>
    <w:rsid w:val="002A1950"/>
    <w:rsid w:val="002A1A1A"/>
    <w:rsid w:val="002A2D84"/>
    <w:rsid w:val="002A321E"/>
    <w:rsid w:val="002A39B6"/>
    <w:rsid w:val="002A49D8"/>
    <w:rsid w:val="002A5486"/>
    <w:rsid w:val="002A5510"/>
    <w:rsid w:val="002A5949"/>
    <w:rsid w:val="002A6104"/>
    <w:rsid w:val="002A6819"/>
    <w:rsid w:val="002A6BB4"/>
    <w:rsid w:val="002A6EFA"/>
    <w:rsid w:val="002A7120"/>
    <w:rsid w:val="002A73EE"/>
    <w:rsid w:val="002B0C59"/>
    <w:rsid w:val="002B11EF"/>
    <w:rsid w:val="002B185E"/>
    <w:rsid w:val="002B19A8"/>
    <w:rsid w:val="002B205E"/>
    <w:rsid w:val="002B22DC"/>
    <w:rsid w:val="002B242C"/>
    <w:rsid w:val="002B2607"/>
    <w:rsid w:val="002B2F63"/>
    <w:rsid w:val="002B3786"/>
    <w:rsid w:val="002B3816"/>
    <w:rsid w:val="002B4284"/>
    <w:rsid w:val="002B4E24"/>
    <w:rsid w:val="002B50DF"/>
    <w:rsid w:val="002B56B5"/>
    <w:rsid w:val="002B5E62"/>
    <w:rsid w:val="002B60CB"/>
    <w:rsid w:val="002B6C5B"/>
    <w:rsid w:val="002B740B"/>
    <w:rsid w:val="002B7506"/>
    <w:rsid w:val="002C0BD6"/>
    <w:rsid w:val="002C0C1B"/>
    <w:rsid w:val="002C0FA6"/>
    <w:rsid w:val="002C1386"/>
    <w:rsid w:val="002C24D6"/>
    <w:rsid w:val="002C26CE"/>
    <w:rsid w:val="002C2B09"/>
    <w:rsid w:val="002C2DF8"/>
    <w:rsid w:val="002C3239"/>
    <w:rsid w:val="002C3946"/>
    <w:rsid w:val="002C48BA"/>
    <w:rsid w:val="002C52DB"/>
    <w:rsid w:val="002C5D1A"/>
    <w:rsid w:val="002C65A9"/>
    <w:rsid w:val="002C7CDA"/>
    <w:rsid w:val="002D00B3"/>
    <w:rsid w:val="002D01B5"/>
    <w:rsid w:val="002D0AD1"/>
    <w:rsid w:val="002D2248"/>
    <w:rsid w:val="002D22D9"/>
    <w:rsid w:val="002D22ED"/>
    <w:rsid w:val="002D2441"/>
    <w:rsid w:val="002D2F44"/>
    <w:rsid w:val="002D3C00"/>
    <w:rsid w:val="002D3DDF"/>
    <w:rsid w:val="002D4201"/>
    <w:rsid w:val="002D4AB1"/>
    <w:rsid w:val="002D5842"/>
    <w:rsid w:val="002D5C66"/>
    <w:rsid w:val="002D5D3A"/>
    <w:rsid w:val="002D5FEE"/>
    <w:rsid w:val="002D5FF5"/>
    <w:rsid w:val="002D6233"/>
    <w:rsid w:val="002D758E"/>
    <w:rsid w:val="002D7B9E"/>
    <w:rsid w:val="002D7ECD"/>
    <w:rsid w:val="002E0537"/>
    <w:rsid w:val="002E0607"/>
    <w:rsid w:val="002E0D11"/>
    <w:rsid w:val="002E1856"/>
    <w:rsid w:val="002E18AF"/>
    <w:rsid w:val="002E1E17"/>
    <w:rsid w:val="002E1FC1"/>
    <w:rsid w:val="002E1FDB"/>
    <w:rsid w:val="002E21D6"/>
    <w:rsid w:val="002E2443"/>
    <w:rsid w:val="002E299A"/>
    <w:rsid w:val="002E3077"/>
    <w:rsid w:val="002E3412"/>
    <w:rsid w:val="002E3BC2"/>
    <w:rsid w:val="002E3E3B"/>
    <w:rsid w:val="002E3F3F"/>
    <w:rsid w:val="002E4443"/>
    <w:rsid w:val="002E4477"/>
    <w:rsid w:val="002E4E0B"/>
    <w:rsid w:val="002E50C1"/>
    <w:rsid w:val="002E550C"/>
    <w:rsid w:val="002E560A"/>
    <w:rsid w:val="002E59BA"/>
    <w:rsid w:val="002E5E86"/>
    <w:rsid w:val="002E61CE"/>
    <w:rsid w:val="002E6200"/>
    <w:rsid w:val="002E62AD"/>
    <w:rsid w:val="002E6A49"/>
    <w:rsid w:val="002E6C85"/>
    <w:rsid w:val="002E71DD"/>
    <w:rsid w:val="002E7780"/>
    <w:rsid w:val="002E790A"/>
    <w:rsid w:val="002E7B7E"/>
    <w:rsid w:val="002F0A16"/>
    <w:rsid w:val="002F0A23"/>
    <w:rsid w:val="002F0E84"/>
    <w:rsid w:val="002F1393"/>
    <w:rsid w:val="002F16D4"/>
    <w:rsid w:val="002F1DB7"/>
    <w:rsid w:val="002F2280"/>
    <w:rsid w:val="002F22F9"/>
    <w:rsid w:val="002F31B0"/>
    <w:rsid w:val="002F31EB"/>
    <w:rsid w:val="002F327E"/>
    <w:rsid w:val="002F36E5"/>
    <w:rsid w:val="002F38EC"/>
    <w:rsid w:val="002F4196"/>
    <w:rsid w:val="002F50CB"/>
    <w:rsid w:val="002F50EA"/>
    <w:rsid w:val="002F60D6"/>
    <w:rsid w:val="002F60DE"/>
    <w:rsid w:val="002F6375"/>
    <w:rsid w:val="002F6B13"/>
    <w:rsid w:val="002F73A6"/>
    <w:rsid w:val="002F790B"/>
    <w:rsid w:val="002F7AE1"/>
    <w:rsid w:val="00300389"/>
    <w:rsid w:val="0030053E"/>
    <w:rsid w:val="00300FA9"/>
    <w:rsid w:val="00301493"/>
    <w:rsid w:val="00301D9E"/>
    <w:rsid w:val="00302637"/>
    <w:rsid w:val="00303009"/>
    <w:rsid w:val="0030344F"/>
    <w:rsid w:val="00303AFB"/>
    <w:rsid w:val="00303DF0"/>
    <w:rsid w:val="00304004"/>
    <w:rsid w:val="003042C3"/>
    <w:rsid w:val="0030495F"/>
    <w:rsid w:val="00304DC2"/>
    <w:rsid w:val="00304E7F"/>
    <w:rsid w:val="00305329"/>
    <w:rsid w:val="0030561C"/>
    <w:rsid w:val="003065B4"/>
    <w:rsid w:val="0030690D"/>
    <w:rsid w:val="00306D57"/>
    <w:rsid w:val="0030727E"/>
    <w:rsid w:val="0030750D"/>
    <w:rsid w:val="00307D3B"/>
    <w:rsid w:val="003101B2"/>
    <w:rsid w:val="00310395"/>
    <w:rsid w:val="003105DF"/>
    <w:rsid w:val="00310D48"/>
    <w:rsid w:val="00311518"/>
    <w:rsid w:val="00311816"/>
    <w:rsid w:val="00311AF2"/>
    <w:rsid w:val="00312295"/>
    <w:rsid w:val="00312894"/>
    <w:rsid w:val="003134E7"/>
    <w:rsid w:val="00313EFE"/>
    <w:rsid w:val="003141C1"/>
    <w:rsid w:val="00314B7A"/>
    <w:rsid w:val="0031516C"/>
    <w:rsid w:val="003152F1"/>
    <w:rsid w:val="00315457"/>
    <w:rsid w:val="0031567D"/>
    <w:rsid w:val="0031583B"/>
    <w:rsid w:val="00315E50"/>
    <w:rsid w:val="00315E93"/>
    <w:rsid w:val="00315ED7"/>
    <w:rsid w:val="00316A04"/>
    <w:rsid w:val="00316E83"/>
    <w:rsid w:val="00317FCB"/>
    <w:rsid w:val="00320137"/>
    <w:rsid w:val="003201DB"/>
    <w:rsid w:val="00320587"/>
    <w:rsid w:val="00322203"/>
    <w:rsid w:val="00322497"/>
    <w:rsid w:val="00322C03"/>
    <w:rsid w:val="003240BB"/>
    <w:rsid w:val="003249F6"/>
    <w:rsid w:val="00324AEE"/>
    <w:rsid w:val="00324B46"/>
    <w:rsid w:val="00325459"/>
    <w:rsid w:val="00325488"/>
    <w:rsid w:val="003254ED"/>
    <w:rsid w:val="003260D3"/>
    <w:rsid w:val="003270A4"/>
    <w:rsid w:val="0032744D"/>
    <w:rsid w:val="003275EA"/>
    <w:rsid w:val="003276B7"/>
    <w:rsid w:val="00327902"/>
    <w:rsid w:val="00327A7B"/>
    <w:rsid w:val="003301C6"/>
    <w:rsid w:val="0033023E"/>
    <w:rsid w:val="00330F4B"/>
    <w:rsid w:val="00331965"/>
    <w:rsid w:val="00331C0C"/>
    <w:rsid w:val="0033217A"/>
    <w:rsid w:val="00333029"/>
    <w:rsid w:val="00333313"/>
    <w:rsid w:val="00333425"/>
    <w:rsid w:val="00333D02"/>
    <w:rsid w:val="00333F64"/>
    <w:rsid w:val="00333F86"/>
    <w:rsid w:val="00333FDF"/>
    <w:rsid w:val="00334208"/>
    <w:rsid w:val="003348F7"/>
    <w:rsid w:val="00334A9F"/>
    <w:rsid w:val="00334AC3"/>
    <w:rsid w:val="00334EA3"/>
    <w:rsid w:val="00334F56"/>
    <w:rsid w:val="0033744F"/>
    <w:rsid w:val="00340030"/>
    <w:rsid w:val="00340BA5"/>
    <w:rsid w:val="00340EA6"/>
    <w:rsid w:val="00340F4E"/>
    <w:rsid w:val="00341A11"/>
    <w:rsid w:val="003422B1"/>
    <w:rsid w:val="003428C7"/>
    <w:rsid w:val="00342D3B"/>
    <w:rsid w:val="00342FF1"/>
    <w:rsid w:val="00343202"/>
    <w:rsid w:val="00343775"/>
    <w:rsid w:val="003437E5"/>
    <w:rsid w:val="00344590"/>
    <w:rsid w:val="003445F4"/>
    <w:rsid w:val="003446C4"/>
    <w:rsid w:val="00345A22"/>
    <w:rsid w:val="00345E2A"/>
    <w:rsid w:val="00346110"/>
    <w:rsid w:val="00346124"/>
    <w:rsid w:val="0034661F"/>
    <w:rsid w:val="003466D9"/>
    <w:rsid w:val="003467E5"/>
    <w:rsid w:val="00346E65"/>
    <w:rsid w:val="00347183"/>
    <w:rsid w:val="003472F4"/>
    <w:rsid w:val="003476A3"/>
    <w:rsid w:val="003501E1"/>
    <w:rsid w:val="00350DFF"/>
    <w:rsid w:val="003510CB"/>
    <w:rsid w:val="00351957"/>
    <w:rsid w:val="0035224C"/>
    <w:rsid w:val="00352FC0"/>
    <w:rsid w:val="00353720"/>
    <w:rsid w:val="00353CDF"/>
    <w:rsid w:val="00354C9F"/>
    <w:rsid w:val="00354E9F"/>
    <w:rsid w:val="00354EF6"/>
    <w:rsid w:val="00355645"/>
    <w:rsid w:val="00355D54"/>
    <w:rsid w:val="00356186"/>
    <w:rsid w:val="0035642A"/>
    <w:rsid w:val="0035653C"/>
    <w:rsid w:val="00356BD9"/>
    <w:rsid w:val="00356E02"/>
    <w:rsid w:val="003573F5"/>
    <w:rsid w:val="00357575"/>
    <w:rsid w:val="00357702"/>
    <w:rsid w:val="00357991"/>
    <w:rsid w:val="003603C9"/>
    <w:rsid w:val="00360A03"/>
    <w:rsid w:val="00360CE0"/>
    <w:rsid w:val="00360E53"/>
    <w:rsid w:val="00360F4D"/>
    <w:rsid w:val="00361D44"/>
    <w:rsid w:val="00361E18"/>
    <w:rsid w:val="00362235"/>
    <w:rsid w:val="0036291D"/>
    <w:rsid w:val="00362D5F"/>
    <w:rsid w:val="0036316E"/>
    <w:rsid w:val="003634B5"/>
    <w:rsid w:val="00363AD1"/>
    <w:rsid w:val="00363B9C"/>
    <w:rsid w:val="00363FA7"/>
    <w:rsid w:val="00363FDD"/>
    <w:rsid w:val="00364B98"/>
    <w:rsid w:val="00364E21"/>
    <w:rsid w:val="00365832"/>
    <w:rsid w:val="00365884"/>
    <w:rsid w:val="00365ED7"/>
    <w:rsid w:val="0036646F"/>
    <w:rsid w:val="00366537"/>
    <w:rsid w:val="0036672A"/>
    <w:rsid w:val="00366A79"/>
    <w:rsid w:val="00366B26"/>
    <w:rsid w:val="00366C14"/>
    <w:rsid w:val="003670A8"/>
    <w:rsid w:val="0037023F"/>
    <w:rsid w:val="00370AAE"/>
    <w:rsid w:val="00370BE0"/>
    <w:rsid w:val="00370BEC"/>
    <w:rsid w:val="00370DD1"/>
    <w:rsid w:val="003710D5"/>
    <w:rsid w:val="003710F0"/>
    <w:rsid w:val="00371676"/>
    <w:rsid w:val="0037280F"/>
    <w:rsid w:val="00372B3B"/>
    <w:rsid w:val="00372BED"/>
    <w:rsid w:val="00372D11"/>
    <w:rsid w:val="003730D4"/>
    <w:rsid w:val="003730FD"/>
    <w:rsid w:val="00373277"/>
    <w:rsid w:val="0037340E"/>
    <w:rsid w:val="00373795"/>
    <w:rsid w:val="00373951"/>
    <w:rsid w:val="0037472D"/>
    <w:rsid w:val="003752AA"/>
    <w:rsid w:val="003762EF"/>
    <w:rsid w:val="0037632C"/>
    <w:rsid w:val="0037639A"/>
    <w:rsid w:val="00376990"/>
    <w:rsid w:val="00376ADE"/>
    <w:rsid w:val="00376B40"/>
    <w:rsid w:val="00376D7C"/>
    <w:rsid w:val="00377184"/>
    <w:rsid w:val="00377A6A"/>
    <w:rsid w:val="00377E22"/>
    <w:rsid w:val="00377F36"/>
    <w:rsid w:val="00377F7D"/>
    <w:rsid w:val="0038051D"/>
    <w:rsid w:val="003806B1"/>
    <w:rsid w:val="003806CC"/>
    <w:rsid w:val="0038088F"/>
    <w:rsid w:val="00380CBB"/>
    <w:rsid w:val="00381696"/>
    <w:rsid w:val="0038217A"/>
    <w:rsid w:val="003822EB"/>
    <w:rsid w:val="00382370"/>
    <w:rsid w:val="0038250F"/>
    <w:rsid w:val="0038296A"/>
    <w:rsid w:val="003841DF"/>
    <w:rsid w:val="003846E9"/>
    <w:rsid w:val="00384B8B"/>
    <w:rsid w:val="00384F3C"/>
    <w:rsid w:val="00385329"/>
    <w:rsid w:val="0038557D"/>
    <w:rsid w:val="003856EB"/>
    <w:rsid w:val="00385848"/>
    <w:rsid w:val="003868C8"/>
    <w:rsid w:val="00386AD2"/>
    <w:rsid w:val="00386D36"/>
    <w:rsid w:val="0038702B"/>
    <w:rsid w:val="003879EE"/>
    <w:rsid w:val="00387BE8"/>
    <w:rsid w:val="00387F6B"/>
    <w:rsid w:val="00390123"/>
    <w:rsid w:val="0039086C"/>
    <w:rsid w:val="00391ACE"/>
    <w:rsid w:val="00391C0C"/>
    <w:rsid w:val="00392073"/>
    <w:rsid w:val="003929D2"/>
    <w:rsid w:val="00392A7A"/>
    <w:rsid w:val="00392CD6"/>
    <w:rsid w:val="00393584"/>
    <w:rsid w:val="00393B44"/>
    <w:rsid w:val="00394215"/>
    <w:rsid w:val="00394AE4"/>
    <w:rsid w:val="00395943"/>
    <w:rsid w:val="003959C0"/>
    <w:rsid w:val="00395B35"/>
    <w:rsid w:val="00395F93"/>
    <w:rsid w:val="00395FEA"/>
    <w:rsid w:val="00396048"/>
    <w:rsid w:val="0039622B"/>
    <w:rsid w:val="00397335"/>
    <w:rsid w:val="003973BF"/>
    <w:rsid w:val="003976AA"/>
    <w:rsid w:val="003A047B"/>
    <w:rsid w:val="003A06FE"/>
    <w:rsid w:val="003A0F92"/>
    <w:rsid w:val="003A11DE"/>
    <w:rsid w:val="003A1367"/>
    <w:rsid w:val="003A22E7"/>
    <w:rsid w:val="003A2876"/>
    <w:rsid w:val="003A2F18"/>
    <w:rsid w:val="003A30A5"/>
    <w:rsid w:val="003A39AF"/>
    <w:rsid w:val="003A39BB"/>
    <w:rsid w:val="003A3C97"/>
    <w:rsid w:val="003A437C"/>
    <w:rsid w:val="003A5546"/>
    <w:rsid w:val="003A5E15"/>
    <w:rsid w:val="003A6A29"/>
    <w:rsid w:val="003A6B9D"/>
    <w:rsid w:val="003A71C8"/>
    <w:rsid w:val="003A7DA5"/>
    <w:rsid w:val="003B0605"/>
    <w:rsid w:val="003B06AE"/>
    <w:rsid w:val="003B0C0D"/>
    <w:rsid w:val="003B2CC2"/>
    <w:rsid w:val="003B3014"/>
    <w:rsid w:val="003B3A07"/>
    <w:rsid w:val="003B3B81"/>
    <w:rsid w:val="003B3B84"/>
    <w:rsid w:val="003B41BD"/>
    <w:rsid w:val="003B4265"/>
    <w:rsid w:val="003B450E"/>
    <w:rsid w:val="003B45C2"/>
    <w:rsid w:val="003B4B62"/>
    <w:rsid w:val="003B4DE1"/>
    <w:rsid w:val="003B4E67"/>
    <w:rsid w:val="003B4EC2"/>
    <w:rsid w:val="003B569E"/>
    <w:rsid w:val="003B5762"/>
    <w:rsid w:val="003B587D"/>
    <w:rsid w:val="003B5D07"/>
    <w:rsid w:val="003B5EC1"/>
    <w:rsid w:val="003B6152"/>
    <w:rsid w:val="003B6321"/>
    <w:rsid w:val="003B6B30"/>
    <w:rsid w:val="003B6BBD"/>
    <w:rsid w:val="003B6F38"/>
    <w:rsid w:val="003B7055"/>
    <w:rsid w:val="003B709D"/>
    <w:rsid w:val="003B71C0"/>
    <w:rsid w:val="003B7461"/>
    <w:rsid w:val="003B74AC"/>
    <w:rsid w:val="003C032B"/>
    <w:rsid w:val="003C0556"/>
    <w:rsid w:val="003C0A39"/>
    <w:rsid w:val="003C0C12"/>
    <w:rsid w:val="003C0F90"/>
    <w:rsid w:val="003C13B2"/>
    <w:rsid w:val="003C154B"/>
    <w:rsid w:val="003C1764"/>
    <w:rsid w:val="003C1FCA"/>
    <w:rsid w:val="003C2CD9"/>
    <w:rsid w:val="003C2F3B"/>
    <w:rsid w:val="003C362A"/>
    <w:rsid w:val="003C3E59"/>
    <w:rsid w:val="003C3EAC"/>
    <w:rsid w:val="003C4055"/>
    <w:rsid w:val="003C4692"/>
    <w:rsid w:val="003C4F85"/>
    <w:rsid w:val="003C51CB"/>
    <w:rsid w:val="003C5380"/>
    <w:rsid w:val="003C58B1"/>
    <w:rsid w:val="003C5FF4"/>
    <w:rsid w:val="003C64F9"/>
    <w:rsid w:val="003C709D"/>
    <w:rsid w:val="003C7441"/>
    <w:rsid w:val="003C7556"/>
    <w:rsid w:val="003C78C4"/>
    <w:rsid w:val="003C798F"/>
    <w:rsid w:val="003C7F2A"/>
    <w:rsid w:val="003D09BD"/>
    <w:rsid w:val="003D0A9E"/>
    <w:rsid w:val="003D147C"/>
    <w:rsid w:val="003D181B"/>
    <w:rsid w:val="003D1846"/>
    <w:rsid w:val="003D1931"/>
    <w:rsid w:val="003D1BF2"/>
    <w:rsid w:val="003D24F9"/>
    <w:rsid w:val="003D301D"/>
    <w:rsid w:val="003D344E"/>
    <w:rsid w:val="003D3818"/>
    <w:rsid w:val="003D3BE9"/>
    <w:rsid w:val="003D42C1"/>
    <w:rsid w:val="003D463D"/>
    <w:rsid w:val="003D470A"/>
    <w:rsid w:val="003D5413"/>
    <w:rsid w:val="003D5743"/>
    <w:rsid w:val="003D5A05"/>
    <w:rsid w:val="003D6202"/>
    <w:rsid w:val="003D6321"/>
    <w:rsid w:val="003D77A8"/>
    <w:rsid w:val="003D78E3"/>
    <w:rsid w:val="003E02B8"/>
    <w:rsid w:val="003E09A8"/>
    <w:rsid w:val="003E17D0"/>
    <w:rsid w:val="003E1A63"/>
    <w:rsid w:val="003E1B04"/>
    <w:rsid w:val="003E2091"/>
    <w:rsid w:val="003E2CA0"/>
    <w:rsid w:val="003E40E8"/>
    <w:rsid w:val="003E439E"/>
    <w:rsid w:val="003E44D3"/>
    <w:rsid w:val="003E51F7"/>
    <w:rsid w:val="003E5BA2"/>
    <w:rsid w:val="003E5EE7"/>
    <w:rsid w:val="003E6825"/>
    <w:rsid w:val="003E7062"/>
    <w:rsid w:val="003E74D9"/>
    <w:rsid w:val="003E76A1"/>
    <w:rsid w:val="003E791F"/>
    <w:rsid w:val="003F014D"/>
    <w:rsid w:val="003F0547"/>
    <w:rsid w:val="003F0790"/>
    <w:rsid w:val="003F0933"/>
    <w:rsid w:val="003F11B0"/>
    <w:rsid w:val="003F1419"/>
    <w:rsid w:val="003F1524"/>
    <w:rsid w:val="003F15C3"/>
    <w:rsid w:val="003F2501"/>
    <w:rsid w:val="003F262E"/>
    <w:rsid w:val="003F27F9"/>
    <w:rsid w:val="003F2908"/>
    <w:rsid w:val="003F2A09"/>
    <w:rsid w:val="003F2DD9"/>
    <w:rsid w:val="003F2E57"/>
    <w:rsid w:val="003F3246"/>
    <w:rsid w:val="003F3B95"/>
    <w:rsid w:val="003F3E13"/>
    <w:rsid w:val="003F4159"/>
    <w:rsid w:val="003F423F"/>
    <w:rsid w:val="003F4FE2"/>
    <w:rsid w:val="003F5B8F"/>
    <w:rsid w:val="003F5BFF"/>
    <w:rsid w:val="003F5C0B"/>
    <w:rsid w:val="003F5F7F"/>
    <w:rsid w:val="003F6326"/>
    <w:rsid w:val="003F6BF4"/>
    <w:rsid w:val="003F6EBA"/>
    <w:rsid w:val="003F75ED"/>
    <w:rsid w:val="00400038"/>
    <w:rsid w:val="004001C1"/>
    <w:rsid w:val="004001D1"/>
    <w:rsid w:val="004008B8"/>
    <w:rsid w:val="00400F5D"/>
    <w:rsid w:val="0040106A"/>
    <w:rsid w:val="00401325"/>
    <w:rsid w:val="0040224B"/>
    <w:rsid w:val="00402475"/>
    <w:rsid w:val="00402561"/>
    <w:rsid w:val="0040279D"/>
    <w:rsid w:val="00402889"/>
    <w:rsid w:val="0040293C"/>
    <w:rsid w:val="00402AE6"/>
    <w:rsid w:val="00403844"/>
    <w:rsid w:val="00404705"/>
    <w:rsid w:val="004049A8"/>
    <w:rsid w:val="00404EA5"/>
    <w:rsid w:val="00406720"/>
    <w:rsid w:val="00406F5D"/>
    <w:rsid w:val="0040732A"/>
    <w:rsid w:val="00407AC2"/>
    <w:rsid w:val="00407D51"/>
    <w:rsid w:val="00407DF0"/>
    <w:rsid w:val="00410982"/>
    <w:rsid w:val="00411892"/>
    <w:rsid w:val="00411A3E"/>
    <w:rsid w:val="00411F59"/>
    <w:rsid w:val="0041304A"/>
    <w:rsid w:val="0041350F"/>
    <w:rsid w:val="00413742"/>
    <w:rsid w:val="00413B1E"/>
    <w:rsid w:val="0041435F"/>
    <w:rsid w:val="00414B50"/>
    <w:rsid w:val="00414E21"/>
    <w:rsid w:val="0041501F"/>
    <w:rsid w:val="00415F20"/>
    <w:rsid w:val="00416292"/>
    <w:rsid w:val="00416782"/>
    <w:rsid w:val="00416791"/>
    <w:rsid w:val="00416956"/>
    <w:rsid w:val="00416D3D"/>
    <w:rsid w:val="00417259"/>
    <w:rsid w:val="00417ACE"/>
    <w:rsid w:val="00417C3A"/>
    <w:rsid w:val="00417F5D"/>
    <w:rsid w:val="0042024A"/>
    <w:rsid w:val="00420F3C"/>
    <w:rsid w:val="004212A3"/>
    <w:rsid w:val="00421C86"/>
    <w:rsid w:val="00421CFD"/>
    <w:rsid w:val="00421D88"/>
    <w:rsid w:val="00422225"/>
    <w:rsid w:val="004224E1"/>
    <w:rsid w:val="0042264A"/>
    <w:rsid w:val="00422A2E"/>
    <w:rsid w:val="00422A6E"/>
    <w:rsid w:val="00422B68"/>
    <w:rsid w:val="00422F54"/>
    <w:rsid w:val="00423676"/>
    <w:rsid w:val="004238BF"/>
    <w:rsid w:val="0042399E"/>
    <w:rsid w:val="00423B65"/>
    <w:rsid w:val="00423CDC"/>
    <w:rsid w:val="00423D2D"/>
    <w:rsid w:val="0042404A"/>
    <w:rsid w:val="0042438D"/>
    <w:rsid w:val="004245D0"/>
    <w:rsid w:val="00424654"/>
    <w:rsid w:val="004247DF"/>
    <w:rsid w:val="004248DD"/>
    <w:rsid w:val="0042490E"/>
    <w:rsid w:val="00425471"/>
    <w:rsid w:val="00425592"/>
    <w:rsid w:val="00425E70"/>
    <w:rsid w:val="00426EB6"/>
    <w:rsid w:val="004274D8"/>
    <w:rsid w:val="00427EF8"/>
    <w:rsid w:val="00430102"/>
    <w:rsid w:val="00430454"/>
    <w:rsid w:val="0043059F"/>
    <w:rsid w:val="0043076C"/>
    <w:rsid w:val="004307C2"/>
    <w:rsid w:val="00430880"/>
    <w:rsid w:val="004308F6"/>
    <w:rsid w:val="00430908"/>
    <w:rsid w:val="00430A15"/>
    <w:rsid w:val="004312E8"/>
    <w:rsid w:val="004316CA"/>
    <w:rsid w:val="004317B4"/>
    <w:rsid w:val="00431C85"/>
    <w:rsid w:val="00432EE9"/>
    <w:rsid w:val="00432FFA"/>
    <w:rsid w:val="00434EAE"/>
    <w:rsid w:val="004354AC"/>
    <w:rsid w:val="004360AD"/>
    <w:rsid w:val="00436623"/>
    <w:rsid w:val="004366CA"/>
    <w:rsid w:val="00436834"/>
    <w:rsid w:val="00436D3E"/>
    <w:rsid w:val="004370B0"/>
    <w:rsid w:val="00437935"/>
    <w:rsid w:val="00437BDF"/>
    <w:rsid w:val="00437F5D"/>
    <w:rsid w:val="00440A24"/>
    <w:rsid w:val="00441B15"/>
    <w:rsid w:val="00441CF4"/>
    <w:rsid w:val="0044281B"/>
    <w:rsid w:val="00442D58"/>
    <w:rsid w:val="00442F6A"/>
    <w:rsid w:val="00443141"/>
    <w:rsid w:val="004432DD"/>
    <w:rsid w:val="00443594"/>
    <w:rsid w:val="00443873"/>
    <w:rsid w:val="004440CE"/>
    <w:rsid w:val="0044456F"/>
    <w:rsid w:val="00444A38"/>
    <w:rsid w:val="00444C21"/>
    <w:rsid w:val="00444D0B"/>
    <w:rsid w:val="004451C8"/>
    <w:rsid w:val="00446A33"/>
    <w:rsid w:val="00446C5E"/>
    <w:rsid w:val="00446E95"/>
    <w:rsid w:val="00446F0D"/>
    <w:rsid w:val="0044753D"/>
    <w:rsid w:val="00447E6A"/>
    <w:rsid w:val="00450407"/>
    <w:rsid w:val="00451AE6"/>
    <w:rsid w:val="00451E02"/>
    <w:rsid w:val="004524CB"/>
    <w:rsid w:val="00452FD5"/>
    <w:rsid w:val="00453C28"/>
    <w:rsid w:val="00454330"/>
    <w:rsid w:val="00454730"/>
    <w:rsid w:val="00455565"/>
    <w:rsid w:val="00455D3E"/>
    <w:rsid w:val="00455FC6"/>
    <w:rsid w:val="0045629C"/>
    <w:rsid w:val="00456B62"/>
    <w:rsid w:val="0045707D"/>
    <w:rsid w:val="0045731D"/>
    <w:rsid w:val="0045773F"/>
    <w:rsid w:val="00457CF0"/>
    <w:rsid w:val="00460D02"/>
    <w:rsid w:val="00460E75"/>
    <w:rsid w:val="00461D38"/>
    <w:rsid w:val="0046216B"/>
    <w:rsid w:val="00462783"/>
    <w:rsid w:val="004627E5"/>
    <w:rsid w:val="00462EE0"/>
    <w:rsid w:val="0046385D"/>
    <w:rsid w:val="00463C74"/>
    <w:rsid w:val="0046492E"/>
    <w:rsid w:val="00464ED1"/>
    <w:rsid w:val="004650A6"/>
    <w:rsid w:val="00465622"/>
    <w:rsid w:val="00465C40"/>
    <w:rsid w:val="00465E21"/>
    <w:rsid w:val="00465FA1"/>
    <w:rsid w:val="004662AE"/>
    <w:rsid w:val="004662CA"/>
    <w:rsid w:val="004665E8"/>
    <w:rsid w:val="004676EB"/>
    <w:rsid w:val="00471098"/>
    <w:rsid w:val="0047160A"/>
    <w:rsid w:val="004718A8"/>
    <w:rsid w:val="00471AD4"/>
    <w:rsid w:val="00472838"/>
    <w:rsid w:val="00472902"/>
    <w:rsid w:val="00472928"/>
    <w:rsid w:val="00472F34"/>
    <w:rsid w:val="0047315D"/>
    <w:rsid w:val="0047349D"/>
    <w:rsid w:val="004737CC"/>
    <w:rsid w:val="00473C84"/>
    <w:rsid w:val="00473D34"/>
    <w:rsid w:val="00473DD4"/>
    <w:rsid w:val="0047439F"/>
    <w:rsid w:val="00474A2D"/>
    <w:rsid w:val="00475023"/>
    <w:rsid w:val="00476266"/>
    <w:rsid w:val="00476F06"/>
    <w:rsid w:val="0047703D"/>
    <w:rsid w:val="00480031"/>
    <w:rsid w:val="00480945"/>
    <w:rsid w:val="00480A65"/>
    <w:rsid w:val="00480D24"/>
    <w:rsid w:val="00481359"/>
    <w:rsid w:val="004816FE"/>
    <w:rsid w:val="00481932"/>
    <w:rsid w:val="00482073"/>
    <w:rsid w:val="0048230C"/>
    <w:rsid w:val="0048264B"/>
    <w:rsid w:val="004835C9"/>
    <w:rsid w:val="00483690"/>
    <w:rsid w:val="00483D7A"/>
    <w:rsid w:val="00484194"/>
    <w:rsid w:val="0048452C"/>
    <w:rsid w:val="00484912"/>
    <w:rsid w:val="004849B4"/>
    <w:rsid w:val="00484A41"/>
    <w:rsid w:val="00484C5B"/>
    <w:rsid w:val="00484DBE"/>
    <w:rsid w:val="004852B4"/>
    <w:rsid w:val="004853D9"/>
    <w:rsid w:val="0048557D"/>
    <w:rsid w:val="004858D5"/>
    <w:rsid w:val="00485984"/>
    <w:rsid w:val="00485A4C"/>
    <w:rsid w:val="00485C00"/>
    <w:rsid w:val="004862B9"/>
    <w:rsid w:val="004866C0"/>
    <w:rsid w:val="00487005"/>
    <w:rsid w:val="004874E7"/>
    <w:rsid w:val="00487877"/>
    <w:rsid w:val="00487C2F"/>
    <w:rsid w:val="00487DEF"/>
    <w:rsid w:val="00490486"/>
    <w:rsid w:val="0049096C"/>
    <w:rsid w:val="004913A6"/>
    <w:rsid w:val="0049171B"/>
    <w:rsid w:val="0049198D"/>
    <w:rsid w:val="00491A64"/>
    <w:rsid w:val="004921A1"/>
    <w:rsid w:val="0049248D"/>
    <w:rsid w:val="0049250B"/>
    <w:rsid w:val="00492795"/>
    <w:rsid w:val="0049297F"/>
    <w:rsid w:val="00492ECB"/>
    <w:rsid w:val="0049306E"/>
    <w:rsid w:val="00493278"/>
    <w:rsid w:val="00493A15"/>
    <w:rsid w:val="0049483E"/>
    <w:rsid w:val="00494F7C"/>
    <w:rsid w:val="00495B32"/>
    <w:rsid w:val="00495EF0"/>
    <w:rsid w:val="00495FF8"/>
    <w:rsid w:val="004965BA"/>
    <w:rsid w:val="00496AAA"/>
    <w:rsid w:val="00496C86"/>
    <w:rsid w:val="00496C89"/>
    <w:rsid w:val="004973F4"/>
    <w:rsid w:val="004973F6"/>
    <w:rsid w:val="0049758A"/>
    <w:rsid w:val="004978E4"/>
    <w:rsid w:val="00497B5A"/>
    <w:rsid w:val="004A0FC2"/>
    <w:rsid w:val="004A1153"/>
    <w:rsid w:val="004A119A"/>
    <w:rsid w:val="004A13AF"/>
    <w:rsid w:val="004A2DCB"/>
    <w:rsid w:val="004A31C2"/>
    <w:rsid w:val="004A32F5"/>
    <w:rsid w:val="004A374B"/>
    <w:rsid w:val="004A3CE3"/>
    <w:rsid w:val="004A3D11"/>
    <w:rsid w:val="004A464C"/>
    <w:rsid w:val="004A4BCC"/>
    <w:rsid w:val="004A4CDA"/>
    <w:rsid w:val="004A52C7"/>
    <w:rsid w:val="004A6C80"/>
    <w:rsid w:val="004A6DA8"/>
    <w:rsid w:val="004A7EC2"/>
    <w:rsid w:val="004B02F6"/>
    <w:rsid w:val="004B09B6"/>
    <w:rsid w:val="004B0DDA"/>
    <w:rsid w:val="004B1039"/>
    <w:rsid w:val="004B12F0"/>
    <w:rsid w:val="004B2031"/>
    <w:rsid w:val="004B2839"/>
    <w:rsid w:val="004B29F9"/>
    <w:rsid w:val="004B2B34"/>
    <w:rsid w:val="004B2E18"/>
    <w:rsid w:val="004B3354"/>
    <w:rsid w:val="004B3E31"/>
    <w:rsid w:val="004B3F92"/>
    <w:rsid w:val="004B40BF"/>
    <w:rsid w:val="004B40DA"/>
    <w:rsid w:val="004B47CC"/>
    <w:rsid w:val="004B4BAE"/>
    <w:rsid w:val="004B5046"/>
    <w:rsid w:val="004B5062"/>
    <w:rsid w:val="004B5417"/>
    <w:rsid w:val="004B5714"/>
    <w:rsid w:val="004B5DC6"/>
    <w:rsid w:val="004B5FED"/>
    <w:rsid w:val="004B602A"/>
    <w:rsid w:val="004B642E"/>
    <w:rsid w:val="004B66AD"/>
    <w:rsid w:val="004B69C5"/>
    <w:rsid w:val="004B7655"/>
    <w:rsid w:val="004B7D4A"/>
    <w:rsid w:val="004C051F"/>
    <w:rsid w:val="004C05E8"/>
    <w:rsid w:val="004C069D"/>
    <w:rsid w:val="004C08C7"/>
    <w:rsid w:val="004C11E9"/>
    <w:rsid w:val="004C14C2"/>
    <w:rsid w:val="004C1536"/>
    <w:rsid w:val="004C170B"/>
    <w:rsid w:val="004C1739"/>
    <w:rsid w:val="004C196F"/>
    <w:rsid w:val="004C1DB7"/>
    <w:rsid w:val="004C1E2D"/>
    <w:rsid w:val="004C2113"/>
    <w:rsid w:val="004C2706"/>
    <w:rsid w:val="004C3350"/>
    <w:rsid w:val="004C3AA9"/>
    <w:rsid w:val="004C3BB5"/>
    <w:rsid w:val="004C3D9B"/>
    <w:rsid w:val="004C3F87"/>
    <w:rsid w:val="004C4853"/>
    <w:rsid w:val="004C5406"/>
    <w:rsid w:val="004C5633"/>
    <w:rsid w:val="004C622C"/>
    <w:rsid w:val="004C6682"/>
    <w:rsid w:val="004C67F5"/>
    <w:rsid w:val="004C696C"/>
    <w:rsid w:val="004C6B92"/>
    <w:rsid w:val="004C7A46"/>
    <w:rsid w:val="004D0397"/>
    <w:rsid w:val="004D0E22"/>
    <w:rsid w:val="004D0E2D"/>
    <w:rsid w:val="004D0E68"/>
    <w:rsid w:val="004D1116"/>
    <w:rsid w:val="004D19B7"/>
    <w:rsid w:val="004D19C3"/>
    <w:rsid w:val="004D2174"/>
    <w:rsid w:val="004D2409"/>
    <w:rsid w:val="004D2475"/>
    <w:rsid w:val="004D25B6"/>
    <w:rsid w:val="004D2C2A"/>
    <w:rsid w:val="004D2ECF"/>
    <w:rsid w:val="004D35F6"/>
    <w:rsid w:val="004D37BA"/>
    <w:rsid w:val="004D3961"/>
    <w:rsid w:val="004D3C12"/>
    <w:rsid w:val="004D4446"/>
    <w:rsid w:val="004D495A"/>
    <w:rsid w:val="004D4B90"/>
    <w:rsid w:val="004D4F37"/>
    <w:rsid w:val="004D5052"/>
    <w:rsid w:val="004D53B7"/>
    <w:rsid w:val="004D5D4C"/>
    <w:rsid w:val="004D5F2C"/>
    <w:rsid w:val="004D6675"/>
    <w:rsid w:val="004D6A36"/>
    <w:rsid w:val="004D6AED"/>
    <w:rsid w:val="004D6B05"/>
    <w:rsid w:val="004D6F2A"/>
    <w:rsid w:val="004D7A4E"/>
    <w:rsid w:val="004E04B3"/>
    <w:rsid w:val="004E0E4C"/>
    <w:rsid w:val="004E12B4"/>
    <w:rsid w:val="004E1400"/>
    <w:rsid w:val="004E1774"/>
    <w:rsid w:val="004E1EF7"/>
    <w:rsid w:val="004E1F29"/>
    <w:rsid w:val="004E23C5"/>
    <w:rsid w:val="004E3053"/>
    <w:rsid w:val="004E3073"/>
    <w:rsid w:val="004E3462"/>
    <w:rsid w:val="004E3693"/>
    <w:rsid w:val="004E36C1"/>
    <w:rsid w:val="004E36E0"/>
    <w:rsid w:val="004E3A6C"/>
    <w:rsid w:val="004E3D22"/>
    <w:rsid w:val="004E3F0B"/>
    <w:rsid w:val="004E4A35"/>
    <w:rsid w:val="004E4D8C"/>
    <w:rsid w:val="004E5644"/>
    <w:rsid w:val="004E6D42"/>
    <w:rsid w:val="004E7230"/>
    <w:rsid w:val="004E7233"/>
    <w:rsid w:val="004E7939"/>
    <w:rsid w:val="004E7C84"/>
    <w:rsid w:val="004F2B3F"/>
    <w:rsid w:val="004F2CA3"/>
    <w:rsid w:val="004F35CA"/>
    <w:rsid w:val="004F368C"/>
    <w:rsid w:val="004F4355"/>
    <w:rsid w:val="004F5C08"/>
    <w:rsid w:val="004F5EAF"/>
    <w:rsid w:val="004F6350"/>
    <w:rsid w:val="004F6B19"/>
    <w:rsid w:val="004F6E06"/>
    <w:rsid w:val="004F72A9"/>
    <w:rsid w:val="004F7DE7"/>
    <w:rsid w:val="004F7F83"/>
    <w:rsid w:val="0050039C"/>
    <w:rsid w:val="00500AE7"/>
    <w:rsid w:val="00500C9F"/>
    <w:rsid w:val="005010E5"/>
    <w:rsid w:val="005014DD"/>
    <w:rsid w:val="005017E5"/>
    <w:rsid w:val="00501DFF"/>
    <w:rsid w:val="005021C0"/>
    <w:rsid w:val="005022A2"/>
    <w:rsid w:val="005022E9"/>
    <w:rsid w:val="005024A1"/>
    <w:rsid w:val="00502526"/>
    <w:rsid w:val="005051AF"/>
    <w:rsid w:val="00506589"/>
    <w:rsid w:val="005067CE"/>
    <w:rsid w:val="00506E8B"/>
    <w:rsid w:val="0050795F"/>
    <w:rsid w:val="00507A2D"/>
    <w:rsid w:val="00507B55"/>
    <w:rsid w:val="00510916"/>
    <w:rsid w:val="00510EA2"/>
    <w:rsid w:val="00511003"/>
    <w:rsid w:val="005114C8"/>
    <w:rsid w:val="00511596"/>
    <w:rsid w:val="00511BBA"/>
    <w:rsid w:val="00512BDC"/>
    <w:rsid w:val="0051346E"/>
    <w:rsid w:val="00513503"/>
    <w:rsid w:val="00513981"/>
    <w:rsid w:val="00513AD1"/>
    <w:rsid w:val="00513B12"/>
    <w:rsid w:val="00513DE2"/>
    <w:rsid w:val="00513E2B"/>
    <w:rsid w:val="00513F01"/>
    <w:rsid w:val="00513F78"/>
    <w:rsid w:val="0051427D"/>
    <w:rsid w:val="0051427F"/>
    <w:rsid w:val="0051496E"/>
    <w:rsid w:val="00514C79"/>
    <w:rsid w:val="0051503C"/>
    <w:rsid w:val="005150A6"/>
    <w:rsid w:val="0051524E"/>
    <w:rsid w:val="00515635"/>
    <w:rsid w:val="00515941"/>
    <w:rsid w:val="005168AC"/>
    <w:rsid w:val="00517363"/>
    <w:rsid w:val="005177D9"/>
    <w:rsid w:val="00517DAE"/>
    <w:rsid w:val="00520BE1"/>
    <w:rsid w:val="00522778"/>
    <w:rsid w:val="00522948"/>
    <w:rsid w:val="00522A8F"/>
    <w:rsid w:val="00522CEC"/>
    <w:rsid w:val="00522DA1"/>
    <w:rsid w:val="00523180"/>
    <w:rsid w:val="005232F0"/>
    <w:rsid w:val="00523BA7"/>
    <w:rsid w:val="0052534A"/>
    <w:rsid w:val="005266A3"/>
    <w:rsid w:val="005272DD"/>
    <w:rsid w:val="00527378"/>
    <w:rsid w:val="005279BF"/>
    <w:rsid w:val="00527ADF"/>
    <w:rsid w:val="005306DB"/>
    <w:rsid w:val="005307AA"/>
    <w:rsid w:val="00530F70"/>
    <w:rsid w:val="005314BC"/>
    <w:rsid w:val="00531A8E"/>
    <w:rsid w:val="00531F63"/>
    <w:rsid w:val="005338BC"/>
    <w:rsid w:val="005346F4"/>
    <w:rsid w:val="0053496C"/>
    <w:rsid w:val="00534D3B"/>
    <w:rsid w:val="00535599"/>
    <w:rsid w:val="00535CB0"/>
    <w:rsid w:val="005362D2"/>
    <w:rsid w:val="00536DA7"/>
    <w:rsid w:val="00537670"/>
    <w:rsid w:val="00537CFF"/>
    <w:rsid w:val="00537F86"/>
    <w:rsid w:val="0054070F"/>
    <w:rsid w:val="0054081C"/>
    <w:rsid w:val="0054134B"/>
    <w:rsid w:val="005416DA"/>
    <w:rsid w:val="00541B9A"/>
    <w:rsid w:val="005420A0"/>
    <w:rsid w:val="00542A96"/>
    <w:rsid w:val="005431C1"/>
    <w:rsid w:val="0054346F"/>
    <w:rsid w:val="0054405E"/>
    <w:rsid w:val="005445E0"/>
    <w:rsid w:val="005455AE"/>
    <w:rsid w:val="005459B3"/>
    <w:rsid w:val="00546517"/>
    <w:rsid w:val="00546612"/>
    <w:rsid w:val="00546630"/>
    <w:rsid w:val="005507A9"/>
    <w:rsid w:val="00550C4F"/>
    <w:rsid w:val="00550E9E"/>
    <w:rsid w:val="0055125F"/>
    <w:rsid w:val="00551788"/>
    <w:rsid w:val="00551EBC"/>
    <w:rsid w:val="0055263D"/>
    <w:rsid w:val="005533A9"/>
    <w:rsid w:val="00553BFA"/>
    <w:rsid w:val="0055409C"/>
    <w:rsid w:val="00554DA8"/>
    <w:rsid w:val="0055514D"/>
    <w:rsid w:val="0055570A"/>
    <w:rsid w:val="00555763"/>
    <w:rsid w:val="00555A58"/>
    <w:rsid w:val="00555A5B"/>
    <w:rsid w:val="00556000"/>
    <w:rsid w:val="005564FB"/>
    <w:rsid w:val="0055663B"/>
    <w:rsid w:val="00556CBA"/>
    <w:rsid w:val="005572C5"/>
    <w:rsid w:val="00557583"/>
    <w:rsid w:val="005577C1"/>
    <w:rsid w:val="00557967"/>
    <w:rsid w:val="0056010A"/>
    <w:rsid w:val="00560440"/>
    <w:rsid w:val="00560C7B"/>
    <w:rsid w:val="0056144C"/>
    <w:rsid w:val="0056165B"/>
    <w:rsid w:val="005620B6"/>
    <w:rsid w:val="0056243C"/>
    <w:rsid w:val="0056250F"/>
    <w:rsid w:val="00562A70"/>
    <w:rsid w:val="00562B6F"/>
    <w:rsid w:val="00563797"/>
    <w:rsid w:val="005639C5"/>
    <w:rsid w:val="005641D1"/>
    <w:rsid w:val="005651A0"/>
    <w:rsid w:val="00565306"/>
    <w:rsid w:val="005654DB"/>
    <w:rsid w:val="00565766"/>
    <w:rsid w:val="00565B0D"/>
    <w:rsid w:val="00565C10"/>
    <w:rsid w:val="00565C7B"/>
    <w:rsid w:val="00566492"/>
    <w:rsid w:val="005668EA"/>
    <w:rsid w:val="00567499"/>
    <w:rsid w:val="0056756B"/>
    <w:rsid w:val="00567634"/>
    <w:rsid w:val="005676DB"/>
    <w:rsid w:val="00567E7C"/>
    <w:rsid w:val="005702C1"/>
    <w:rsid w:val="00571089"/>
    <w:rsid w:val="005717F1"/>
    <w:rsid w:val="00571DF8"/>
    <w:rsid w:val="005722F7"/>
    <w:rsid w:val="005725E0"/>
    <w:rsid w:val="0057270F"/>
    <w:rsid w:val="00572722"/>
    <w:rsid w:val="00572844"/>
    <w:rsid w:val="00572D19"/>
    <w:rsid w:val="005738F7"/>
    <w:rsid w:val="005746E3"/>
    <w:rsid w:val="0057491B"/>
    <w:rsid w:val="0057519D"/>
    <w:rsid w:val="005756E3"/>
    <w:rsid w:val="005756FE"/>
    <w:rsid w:val="00576617"/>
    <w:rsid w:val="00577A86"/>
    <w:rsid w:val="00577B51"/>
    <w:rsid w:val="00577B74"/>
    <w:rsid w:val="00577BBC"/>
    <w:rsid w:val="00577E3D"/>
    <w:rsid w:val="0058068C"/>
    <w:rsid w:val="005806A9"/>
    <w:rsid w:val="005809A2"/>
    <w:rsid w:val="005827D5"/>
    <w:rsid w:val="0058416D"/>
    <w:rsid w:val="005841AA"/>
    <w:rsid w:val="0058445E"/>
    <w:rsid w:val="00584805"/>
    <w:rsid w:val="0058499E"/>
    <w:rsid w:val="0058515F"/>
    <w:rsid w:val="0058540D"/>
    <w:rsid w:val="0058550A"/>
    <w:rsid w:val="00586094"/>
    <w:rsid w:val="00586570"/>
    <w:rsid w:val="00586B77"/>
    <w:rsid w:val="00586D1E"/>
    <w:rsid w:val="00586F7C"/>
    <w:rsid w:val="00587447"/>
    <w:rsid w:val="005874D1"/>
    <w:rsid w:val="005875E0"/>
    <w:rsid w:val="005901BF"/>
    <w:rsid w:val="005906C6"/>
    <w:rsid w:val="00590884"/>
    <w:rsid w:val="005911B7"/>
    <w:rsid w:val="005915DC"/>
    <w:rsid w:val="0059173F"/>
    <w:rsid w:val="0059179A"/>
    <w:rsid w:val="00591FC7"/>
    <w:rsid w:val="005923CD"/>
    <w:rsid w:val="0059304A"/>
    <w:rsid w:val="00593677"/>
    <w:rsid w:val="00593710"/>
    <w:rsid w:val="00593A9F"/>
    <w:rsid w:val="00593D09"/>
    <w:rsid w:val="00593FA4"/>
    <w:rsid w:val="005943F4"/>
    <w:rsid w:val="00594EDA"/>
    <w:rsid w:val="0059500B"/>
    <w:rsid w:val="00595A92"/>
    <w:rsid w:val="00595C18"/>
    <w:rsid w:val="005961D7"/>
    <w:rsid w:val="0059683F"/>
    <w:rsid w:val="00596915"/>
    <w:rsid w:val="0059699C"/>
    <w:rsid w:val="00596B41"/>
    <w:rsid w:val="00597193"/>
    <w:rsid w:val="00597465"/>
    <w:rsid w:val="005A024D"/>
    <w:rsid w:val="005A050F"/>
    <w:rsid w:val="005A085D"/>
    <w:rsid w:val="005A157F"/>
    <w:rsid w:val="005A21B6"/>
    <w:rsid w:val="005A2DB7"/>
    <w:rsid w:val="005A2DD4"/>
    <w:rsid w:val="005A33CF"/>
    <w:rsid w:val="005A38BC"/>
    <w:rsid w:val="005A3ACD"/>
    <w:rsid w:val="005A4761"/>
    <w:rsid w:val="005A4AAE"/>
    <w:rsid w:val="005A4CC6"/>
    <w:rsid w:val="005A5BCB"/>
    <w:rsid w:val="005A5D12"/>
    <w:rsid w:val="005A62DC"/>
    <w:rsid w:val="005A6C50"/>
    <w:rsid w:val="005A749F"/>
    <w:rsid w:val="005A79AD"/>
    <w:rsid w:val="005B016F"/>
    <w:rsid w:val="005B04C0"/>
    <w:rsid w:val="005B13CC"/>
    <w:rsid w:val="005B1745"/>
    <w:rsid w:val="005B17D6"/>
    <w:rsid w:val="005B183A"/>
    <w:rsid w:val="005B234A"/>
    <w:rsid w:val="005B2E56"/>
    <w:rsid w:val="005B36D3"/>
    <w:rsid w:val="005B390B"/>
    <w:rsid w:val="005B4125"/>
    <w:rsid w:val="005B5569"/>
    <w:rsid w:val="005B5BDA"/>
    <w:rsid w:val="005B5C1F"/>
    <w:rsid w:val="005B5E29"/>
    <w:rsid w:val="005B611C"/>
    <w:rsid w:val="005B66B1"/>
    <w:rsid w:val="005B6931"/>
    <w:rsid w:val="005B6A6C"/>
    <w:rsid w:val="005B6DF5"/>
    <w:rsid w:val="005B7547"/>
    <w:rsid w:val="005B761C"/>
    <w:rsid w:val="005B763E"/>
    <w:rsid w:val="005B7C8D"/>
    <w:rsid w:val="005B7E72"/>
    <w:rsid w:val="005B7F65"/>
    <w:rsid w:val="005C0303"/>
    <w:rsid w:val="005C0A4A"/>
    <w:rsid w:val="005C0FC2"/>
    <w:rsid w:val="005C1539"/>
    <w:rsid w:val="005C1644"/>
    <w:rsid w:val="005C1E7D"/>
    <w:rsid w:val="005C1F01"/>
    <w:rsid w:val="005C2F59"/>
    <w:rsid w:val="005C33DD"/>
    <w:rsid w:val="005C368F"/>
    <w:rsid w:val="005C3D17"/>
    <w:rsid w:val="005C424E"/>
    <w:rsid w:val="005C473B"/>
    <w:rsid w:val="005C4DA7"/>
    <w:rsid w:val="005C5543"/>
    <w:rsid w:val="005C5C22"/>
    <w:rsid w:val="005C5EF0"/>
    <w:rsid w:val="005C6D15"/>
    <w:rsid w:val="005C6DC1"/>
    <w:rsid w:val="005C7954"/>
    <w:rsid w:val="005D04CF"/>
    <w:rsid w:val="005D0799"/>
    <w:rsid w:val="005D1211"/>
    <w:rsid w:val="005D17D6"/>
    <w:rsid w:val="005D18B0"/>
    <w:rsid w:val="005D1970"/>
    <w:rsid w:val="005D1A79"/>
    <w:rsid w:val="005D27C8"/>
    <w:rsid w:val="005D4B6E"/>
    <w:rsid w:val="005D6523"/>
    <w:rsid w:val="005D668A"/>
    <w:rsid w:val="005D67A7"/>
    <w:rsid w:val="005D6EDA"/>
    <w:rsid w:val="005D6F7D"/>
    <w:rsid w:val="005D76AA"/>
    <w:rsid w:val="005D7C66"/>
    <w:rsid w:val="005D7DAB"/>
    <w:rsid w:val="005E0038"/>
    <w:rsid w:val="005E03A8"/>
    <w:rsid w:val="005E098F"/>
    <w:rsid w:val="005E0BBB"/>
    <w:rsid w:val="005E0CF1"/>
    <w:rsid w:val="005E0E80"/>
    <w:rsid w:val="005E12B9"/>
    <w:rsid w:val="005E1B90"/>
    <w:rsid w:val="005E1DFC"/>
    <w:rsid w:val="005E3505"/>
    <w:rsid w:val="005E3BBD"/>
    <w:rsid w:val="005E462D"/>
    <w:rsid w:val="005E4AE4"/>
    <w:rsid w:val="005E54EE"/>
    <w:rsid w:val="005E5F4F"/>
    <w:rsid w:val="005E6179"/>
    <w:rsid w:val="005E6C21"/>
    <w:rsid w:val="005E6D7B"/>
    <w:rsid w:val="005E6FAD"/>
    <w:rsid w:val="005E7692"/>
    <w:rsid w:val="005E76F2"/>
    <w:rsid w:val="005E7B02"/>
    <w:rsid w:val="005F0C0F"/>
    <w:rsid w:val="005F0E80"/>
    <w:rsid w:val="005F23F4"/>
    <w:rsid w:val="005F257E"/>
    <w:rsid w:val="005F2DB8"/>
    <w:rsid w:val="005F3308"/>
    <w:rsid w:val="005F36C0"/>
    <w:rsid w:val="005F3770"/>
    <w:rsid w:val="005F396C"/>
    <w:rsid w:val="005F3E2F"/>
    <w:rsid w:val="005F3E34"/>
    <w:rsid w:val="005F44D6"/>
    <w:rsid w:val="005F49A0"/>
    <w:rsid w:val="005F4CC0"/>
    <w:rsid w:val="005F556D"/>
    <w:rsid w:val="005F5B55"/>
    <w:rsid w:val="005F5B5E"/>
    <w:rsid w:val="005F5C16"/>
    <w:rsid w:val="005F5E6E"/>
    <w:rsid w:val="005F634E"/>
    <w:rsid w:val="005F6386"/>
    <w:rsid w:val="005F68BF"/>
    <w:rsid w:val="005F6C18"/>
    <w:rsid w:val="005F6EE2"/>
    <w:rsid w:val="005F757F"/>
    <w:rsid w:val="005F7714"/>
    <w:rsid w:val="00600078"/>
    <w:rsid w:val="0060031B"/>
    <w:rsid w:val="00600522"/>
    <w:rsid w:val="00600A8F"/>
    <w:rsid w:val="0060155E"/>
    <w:rsid w:val="00601F54"/>
    <w:rsid w:val="006021B1"/>
    <w:rsid w:val="0060233D"/>
    <w:rsid w:val="00602511"/>
    <w:rsid w:val="006027C3"/>
    <w:rsid w:val="0060288D"/>
    <w:rsid w:val="0060359B"/>
    <w:rsid w:val="00603623"/>
    <w:rsid w:val="006037CD"/>
    <w:rsid w:val="006045BB"/>
    <w:rsid w:val="0060471F"/>
    <w:rsid w:val="006047D3"/>
    <w:rsid w:val="00604D34"/>
    <w:rsid w:val="00605000"/>
    <w:rsid w:val="00605119"/>
    <w:rsid w:val="00605480"/>
    <w:rsid w:val="00605C11"/>
    <w:rsid w:val="00605C2A"/>
    <w:rsid w:val="006060A4"/>
    <w:rsid w:val="006064BF"/>
    <w:rsid w:val="00606A34"/>
    <w:rsid w:val="00606B59"/>
    <w:rsid w:val="00606C2B"/>
    <w:rsid w:val="00606F73"/>
    <w:rsid w:val="00607F23"/>
    <w:rsid w:val="00607F90"/>
    <w:rsid w:val="006103E5"/>
    <w:rsid w:val="0061053F"/>
    <w:rsid w:val="0061114C"/>
    <w:rsid w:val="0061136E"/>
    <w:rsid w:val="0061231E"/>
    <w:rsid w:val="00612C95"/>
    <w:rsid w:val="00613169"/>
    <w:rsid w:val="0061318B"/>
    <w:rsid w:val="00613A34"/>
    <w:rsid w:val="00613BBA"/>
    <w:rsid w:val="00613CF9"/>
    <w:rsid w:val="00614023"/>
    <w:rsid w:val="00614511"/>
    <w:rsid w:val="006147E2"/>
    <w:rsid w:val="006148B8"/>
    <w:rsid w:val="00614CAD"/>
    <w:rsid w:val="00614CAE"/>
    <w:rsid w:val="00615F02"/>
    <w:rsid w:val="00616049"/>
    <w:rsid w:val="00616081"/>
    <w:rsid w:val="006164E6"/>
    <w:rsid w:val="006166B1"/>
    <w:rsid w:val="00616C52"/>
    <w:rsid w:val="00617583"/>
    <w:rsid w:val="0062009F"/>
    <w:rsid w:val="0062091B"/>
    <w:rsid w:val="00620DFA"/>
    <w:rsid w:val="0062124E"/>
    <w:rsid w:val="006212CB"/>
    <w:rsid w:val="0062157C"/>
    <w:rsid w:val="00621726"/>
    <w:rsid w:val="0062179F"/>
    <w:rsid w:val="00622016"/>
    <w:rsid w:val="006222B8"/>
    <w:rsid w:val="0062279B"/>
    <w:rsid w:val="00622F04"/>
    <w:rsid w:val="006236DD"/>
    <w:rsid w:val="00624699"/>
    <w:rsid w:val="00624955"/>
    <w:rsid w:val="0062496A"/>
    <w:rsid w:val="00624EDC"/>
    <w:rsid w:val="0062554E"/>
    <w:rsid w:val="0062593B"/>
    <w:rsid w:val="00625C08"/>
    <w:rsid w:val="00626777"/>
    <w:rsid w:val="00626FDF"/>
    <w:rsid w:val="00627A19"/>
    <w:rsid w:val="00627D64"/>
    <w:rsid w:val="00627E90"/>
    <w:rsid w:val="00627EDD"/>
    <w:rsid w:val="006305FB"/>
    <w:rsid w:val="00630ADE"/>
    <w:rsid w:val="00630B0A"/>
    <w:rsid w:val="0063122C"/>
    <w:rsid w:val="006312A4"/>
    <w:rsid w:val="006317D2"/>
    <w:rsid w:val="00631940"/>
    <w:rsid w:val="00631A77"/>
    <w:rsid w:val="00631ADE"/>
    <w:rsid w:val="00631C67"/>
    <w:rsid w:val="00631E05"/>
    <w:rsid w:val="0063219E"/>
    <w:rsid w:val="00632BD2"/>
    <w:rsid w:val="00632E8D"/>
    <w:rsid w:val="00633137"/>
    <w:rsid w:val="00633B91"/>
    <w:rsid w:val="00633C64"/>
    <w:rsid w:val="00633E57"/>
    <w:rsid w:val="006340CD"/>
    <w:rsid w:val="006342B0"/>
    <w:rsid w:val="00634A27"/>
    <w:rsid w:val="006351AD"/>
    <w:rsid w:val="006353F7"/>
    <w:rsid w:val="00635EA9"/>
    <w:rsid w:val="0063682F"/>
    <w:rsid w:val="0063691F"/>
    <w:rsid w:val="00636CAB"/>
    <w:rsid w:val="00637456"/>
    <w:rsid w:val="006374DC"/>
    <w:rsid w:val="00640117"/>
    <w:rsid w:val="006405A1"/>
    <w:rsid w:val="006409F3"/>
    <w:rsid w:val="00640C97"/>
    <w:rsid w:val="00640EDB"/>
    <w:rsid w:val="00640FC6"/>
    <w:rsid w:val="00641752"/>
    <w:rsid w:val="006435F9"/>
    <w:rsid w:val="00643E42"/>
    <w:rsid w:val="00643EB6"/>
    <w:rsid w:val="00644171"/>
    <w:rsid w:val="00645037"/>
    <w:rsid w:val="006453F6"/>
    <w:rsid w:val="006467F3"/>
    <w:rsid w:val="00646D18"/>
    <w:rsid w:val="00646D5B"/>
    <w:rsid w:val="00647B37"/>
    <w:rsid w:val="00650F10"/>
    <w:rsid w:val="0065114D"/>
    <w:rsid w:val="006517D3"/>
    <w:rsid w:val="00651D8B"/>
    <w:rsid w:val="00651F09"/>
    <w:rsid w:val="0065233A"/>
    <w:rsid w:val="006523B0"/>
    <w:rsid w:val="0065284C"/>
    <w:rsid w:val="00652C48"/>
    <w:rsid w:val="00652DB5"/>
    <w:rsid w:val="006535C8"/>
    <w:rsid w:val="006539F7"/>
    <w:rsid w:val="00653CFE"/>
    <w:rsid w:val="006543CE"/>
    <w:rsid w:val="00654D55"/>
    <w:rsid w:val="00655015"/>
    <w:rsid w:val="00656910"/>
    <w:rsid w:val="00656FA9"/>
    <w:rsid w:val="0065723C"/>
    <w:rsid w:val="0065770E"/>
    <w:rsid w:val="00657B05"/>
    <w:rsid w:val="00657D4B"/>
    <w:rsid w:val="0066054D"/>
    <w:rsid w:val="00660F54"/>
    <w:rsid w:val="0066119E"/>
    <w:rsid w:val="00661650"/>
    <w:rsid w:val="0066188A"/>
    <w:rsid w:val="00661D61"/>
    <w:rsid w:val="006621AB"/>
    <w:rsid w:val="00662615"/>
    <w:rsid w:val="0066288D"/>
    <w:rsid w:val="006628EF"/>
    <w:rsid w:val="0066311F"/>
    <w:rsid w:val="0066358F"/>
    <w:rsid w:val="006635F8"/>
    <w:rsid w:val="00663B0E"/>
    <w:rsid w:val="0066417A"/>
    <w:rsid w:val="006642C8"/>
    <w:rsid w:val="00664C2C"/>
    <w:rsid w:val="00664E7F"/>
    <w:rsid w:val="0066503E"/>
    <w:rsid w:val="00665190"/>
    <w:rsid w:val="00665DDA"/>
    <w:rsid w:val="00666238"/>
    <w:rsid w:val="0066636A"/>
    <w:rsid w:val="0066652A"/>
    <w:rsid w:val="00666571"/>
    <w:rsid w:val="00666BC0"/>
    <w:rsid w:val="00666C72"/>
    <w:rsid w:val="00666D3E"/>
    <w:rsid w:val="00670358"/>
    <w:rsid w:val="0067073D"/>
    <w:rsid w:val="00671B00"/>
    <w:rsid w:val="00671B3F"/>
    <w:rsid w:val="00671BE5"/>
    <w:rsid w:val="00671E27"/>
    <w:rsid w:val="006721C6"/>
    <w:rsid w:val="006736BB"/>
    <w:rsid w:val="00673CF3"/>
    <w:rsid w:val="0067400E"/>
    <w:rsid w:val="006741B3"/>
    <w:rsid w:val="00674481"/>
    <w:rsid w:val="00674634"/>
    <w:rsid w:val="00674902"/>
    <w:rsid w:val="00675554"/>
    <w:rsid w:val="006755BC"/>
    <w:rsid w:val="006761CD"/>
    <w:rsid w:val="0067664C"/>
    <w:rsid w:val="006770B7"/>
    <w:rsid w:val="0067756D"/>
    <w:rsid w:val="006775A0"/>
    <w:rsid w:val="0068036C"/>
    <w:rsid w:val="00681089"/>
    <w:rsid w:val="006811C3"/>
    <w:rsid w:val="006817BF"/>
    <w:rsid w:val="006817DF"/>
    <w:rsid w:val="00681ED5"/>
    <w:rsid w:val="006829E8"/>
    <w:rsid w:val="00683C28"/>
    <w:rsid w:val="00683C67"/>
    <w:rsid w:val="0068420A"/>
    <w:rsid w:val="00684576"/>
    <w:rsid w:val="00685453"/>
    <w:rsid w:val="00685C8B"/>
    <w:rsid w:val="00686587"/>
    <w:rsid w:val="00686D35"/>
    <w:rsid w:val="00687CFC"/>
    <w:rsid w:val="00687DE6"/>
    <w:rsid w:val="00690FDD"/>
    <w:rsid w:val="006911D7"/>
    <w:rsid w:val="00691AEE"/>
    <w:rsid w:val="00691DE6"/>
    <w:rsid w:val="00692027"/>
    <w:rsid w:val="00692098"/>
    <w:rsid w:val="0069227C"/>
    <w:rsid w:val="0069277B"/>
    <w:rsid w:val="006931EB"/>
    <w:rsid w:val="00693B26"/>
    <w:rsid w:val="00693BDC"/>
    <w:rsid w:val="00693E1F"/>
    <w:rsid w:val="0069460D"/>
    <w:rsid w:val="006948DC"/>
    <w:rsid w:val="00694994"/>
    <w:rsid w:val="00694A16"/>
    <w:rsid w:val="00694B97"/>
    <w:rsid w:val="00694D21"/>
    <w:rsid w:val="006950AB"/>
    <w:rsid w:val="00695390"/>
    <w:rsid w:val="0069574F"/>
    <w:rsid w:val="00695BF1"/>
    <w:rsid w:val="00695C38"/>
    <w:rsid w:val="00695CBB"/>
    <w:rsid w:val="00696607"/>
    <w:rsid w:val="00696D06"/>
    <w:rsid w:val="00696E6C"/>
    <w:rsid w:val="006976D6"/>
    <w:rsid w:val="00697747"/>
    <w:rsid w:val="00697943"/>
    <w:rsid w:val="006A0522"/>
    <w:rsid w:val="006A0A8B"/>
    <w:rsid w:val="006A0D8C"/>
    <w:rsid w:val="006A15F8"/>
    <w:rsid w:val="006A2346"/>
    <w:rsid w:val="006A2442"/>
    <w:rsid w:val="006A24A3"/>
    <w:rsid w:val="006A289F"/>
    <w:rsid w:val="006A319B"/>
    <w:rsid w:val="006A3B80"/>
    <w:rsid w:val="006A427B"/>
    <w:rsid w:val="006A4AD4"/>
    <w:rsid w:val="006A4B18"/>
    <w:rsid w:val="006A5422"/>
    <w:rsid w:val="006A5619"/>
    <w:rsid w:val="006A56FF"/>
    <w:rsid w:val="006A5817"/>
    <w:rsid w:val="006A5F4F"/>
    <w:rsid w:val="006A624D"/>
    <w:rsid w:val="006A62D8"/>
    <w:rsid w:val="006A6A73"/>
    <w:rsid w:val="006A6D9F"/>
    <w:rsid w:val="006A6E45"/>
    <w:rsid w:val="006A78A3"/>
    <w:rsid w:val="006A7AA5"/>
    <w:rsid w:val="006A7D4B"/>
    <w:rsid w:val="006B0235"/>
    <w:rsid w:val="006B1B77"/>
    <w:rsid w:val="006B1D21"/>
    <w:rsid w:val="006B1D5B"/>
    <w:rsid w:val="006B252A"/>
    <w:rsid w:val="006B29E2"/>
    <w:rsid w:val="006B35B5"/>
    <w:rsid w:val="006B36B7"/>
    <w:rsid w:val="006B38EF"/>
    <w:rsid w:val="006B3951"/>
    <w:rsid w:val="006B39E4"/>
    <w:rsid w:val="006B4427"/>
    <w:rsid w:val="006B449B"/>
    <w:rsid w:val="006B4620"/>
    <w:rsid w:val="006B494E"/>
    <w:rsid w:val="006B4FB6"/>
    <w:rsid w:val="006B528C"/>
    <w:rsid w:val="006B5D55"/>
    <w:rsid w:val="006B62A6"/>
    <w:rsid w:val="006B66BD"/>
    <w:rsid w:val="006B675F"/>
    <w:rsid w:val="006B68D0"/>
    <w:rsid w:val="006B6F19"/>
    <w:rsid w:val="006B719B"/>
    <w:rsid w:val="006B7541"/>
    <w:rsid w:val="006B7BA5"/>
    <w:rsid w:val="006B7E6A"/>
    <w:rsid w:val="006C0A11"/>
    <w:rsid w:val="006C14C1"/>
    <w:rsid w:val="006C1919"/>
    <w:rsid w:val="006C19B9"/>
    <w:rsid w:val="006C1E67"/>
    <w:rsid w:val="006C1E8E"/>
    <w:rsid w:val="006C2324"/>
    <w:rsid w:val="006C2353"/>
    <w:rsid w:val="006C239F"/>
    <w:rsid w:val="006C23AA"/>
    <w:rsid w:val="006C23FF"/>
    <w:rsid w:val="006C276F"/>
    <w:rsid w:val="006C27D4"/>
    <w:rsid w:val="006C2995"/>
    <w:rsid w:val="006C2A2F"/>
    <w:rsid w:val="006C318A"/>
    <w:rsid w:val="006C3467"/>
    <w:rsid w:val="006C3797"/>
    <w:rsid w:val="006C3896"/>
    <w:rsid w:val="006C435D"/>
    <w:rsid w:val="006C4A5D"/>
    <w:rsid w:val="006C56F5"/>
    <w:rsid w:val="006C5765"/>
    <w:rsid w:val="006C61B1"/>
    <w:rsid w:val="006C63DE"/>
    <w:rsid w:val="006C644C"/>
    <w:rsid w:val="006C7BA4"/>
    <w:rsid w:val="006C7C88"/>
    <w:rsid w:val="006D135C"/>
    <w:rsid w:val="006D1D42"/>
    <w:rsid w:val="006D2385"/>
    <w:rsid w:val="006D264B"/>
    <w:rsid w:val="006D2D18"/>
    <w:rsid w:val="006D3536"/>
    <w:rsid w:val="006D3D05"/>
    <w:rsid w:val="006D408A"/>
    <w:rsid w:val="006D50CA"/>
    <w:rsid w:val="006D5460"/>
    <w:rsid w:val="006D54B5"/>
    <w:rsid w:val="006D5924"/>
    <w:rsid w:val="006D5A1D"/>
    <w:rsid w:val="006D5C96"/>
    <w:rsid w:val="006D616E"/>
    <w:rsid w:val="006D700F"/>
    <w:rsid w:val="006D7700"/>
    <w:rsid w:val="006E00F3"/>
    <w:rsid w:val="006E12F8"/>
    <w:rsid w:val="006E18A1"/>
    <w:rsid w:val="006E1C9E"/>
    <w:rsid w:val="006E283E"/>
    <w:rsid w:val="006E29CE"/>
    <w:rsid w:val="006E29D1"/>
    <w:rsid w:val="006E2ACB"/>
    <w:rsid w:val="006E2BAA"/>
    <w:rsid w:val="006E31EA"/>
    <w:rsid w:val="006E3354"/>
    <w:rsid w:val="006E3669"/>
    <w:rsid w:val="006E3BBF"/>
    <w:rsid w:val="006E46ED"/>
    <w:rsid w:val="006E4C35"/>
    <w:rsid w:val="006E543A"/>
    <w:rsid w:val="006E5625"/>
    <w:rsid w:val="006E5C49"/>
    <w:rsid w:val="006E67AE"/>
    <w:rsid w:val="006E67F7"/>
    <w:rsid w:val="006F0335"/>
    <w:rsid w:val="006F097B"/>
    <w:rsid w:val="006F1B7F"/>
    <w:rsid w:val="006F3CEA"/>
    <w:rsid w:val="006F3D5B"/>
    <w:rsid w:val="006F460E"/>
    <w:rsid w:val="006F485F"/>
    <w:rsid w:val="006F4912"/>
    <w:rsid w:val="006F503A"/>
    <w:rsid w:val="006F616D"/>
    <w:rsid w:val="006F6340"/>
    <w:rsid w:val="006F6555"/>
    <w:rsid w:val="006F6F5A"/>
    <w:rsid w:val="006F707B"/>
    <w:rsid w:val="00700E93"/>
    <w:rsid w:val="007017EE"/>
    <w:rsid w:val="00701893"/>
    <w:rsid w:val="00701D0C"/>
    <w:rsid w:val="007022CF"/>
    <w:rsid w:val="0070302E"/>
    <w:rsid w:val="0070391B"/>
    <w:rsid w:val="00703CCA"/>
    <w:rsid w:val="00703F77"/>
    <w:rsid w:val="00703F91"/>
    <w:rsid w:val="00704119"/>
    <w:rsid w:val="007041AF"/>
    <w:rsid w:val="00704808"/>
    <w:rsid w:val="00705513"/>
    <w:rsid w:val="00706251"/>
    <w:rsid w:val="007063BE"/>
    <w:rsid w:val="007066BD"/>
    <w:rsid w:val="007078F2"/>
    <w:rsid w:val="00707CCC"/>
    <w:rsid w:val="00707CF6"/>
    <w:rsid w:val="00710324"/>
    <w:rsid w:val="00710B0C"/>
    <w:rsid w:val="00710E4B"/>
    <w:rsid w:val="0071147D"/>
    <w:rsid w:val="00711595"/>
    <w:rsid w:val="00711791"/>
    <w:rsid w:val="00711AD4"/>
    <w:rsid w:val="007120FB"/>
    <w:rsid w:val="00712ADF"/>
    <w:rsid w:val="00712DE5"/>
    <w:rsid w:val="00713109"/>
    <w:rsid w:val="007135C5"/>
    <w:rsid w:val="007136E5"/>
    <w:rsid w:val="00713933"/>
    <w:rsid w:val="00713AE0"/>
    <w:rsid w:val="00714606"/>
    <w:rsid w:val="00714DC2"/>
    <w:rsid w:val="00714DC6"/>
    <w:rsid w:val="00714FEF"/>
    <w:rsid w:val="007152CF"/>
    <w:rsid w:val="00715641"/>
    <w:rsid w:val="007166AA"/>
    <w:rsid w:val="0071686E"/>
    <w:rsid w:val="007169E8"/>
    <w:rsid w:val="00716EF6"/>
    <w:rsid w:val="00717636"/>
    <w:rsid w:val="007202A1"/>
    <w:rsid w:val="00720492"/>
    <w:rsid w:val="007204A5"/>
    <w:rsid w:val="0072131A"/>
    <w:rsid w:val="007213A4"/>
    <w:rsid w:val="00721C56"/>
    <w:rsid w:val="00721E1C"/>
    <w:rsid w:val="00722308"/>
    <w:rsid w:val="00722330"/>
    <w:rsid w:val="00722EBF"/>
    <w:rsid w:val="00723628"/>
    <w:rsid w:val="00724106"/>
    <w:rsid w:val="007245D5"/>
    <w:rsid w:val="00724A57"/>
    <w:rsid w:val="00724E6D"/>
    <w:rsid w:val="00725202"/>
    <w:rsid w:val="00725790"/>
    <w:rsid w:val="0072596C"/>
    <w:rsid w:val="00725D3A"/>
    <w:rsid w:val="00726DAD"/>
    <w:rsid w:val="00726F1F"/>
    <w:rsid w:val="00727598"/>
    <w:rsid w:val="00727E1E"/>
    <w:rsid w:val="00727EFD"/>
    <w:rsid w:val="0073063B"/>
    <w:rsid w:val="007319E4"/>
    <w:rsid w:val="007322DD"/>
    <w:rsid w:val="007333CD"/>
    <w:rsid w:val="007333FB"/>
    <w:rsid w:val="0073416E"/>
    <w:rsid w:val="00734AA8"/>
    <w:rsid w:val="00735F57"/>
    <w:rsid w:val="0073608C"/>
    <w:rsid w:val="00736C72"/>
    <w:rsid w:val="0073722B"/>
    <w:rsid w:val="00737295"/>
    <w:rsid w:val="007374E0"/>
    <w:rsid w:val="00737532"/>
    <w:rsid w:val="007377A8"/>
    <w:rsid w:val="007405AE"/>
    <w:rsid w:val="00740B86"/>
    <w:rsid w:val="00740C21"/>
    <w:rsid w:val="00740E1E"/>
    <w:rsid w:val="00740E5B"/>
    <w:rsid w:val="00741177"/>
    <w:rsid w:val="0074141E"/>
    <w:rsid w:val="00741A71"/>
    <w:rsid w:val="00741BD1"/>
    <w:rsid w:val="007427E5"/>
    <w:rsid w:val="00742820"/>
    <w:rsid w:val="0074316A"/>
    <w:rsid w:val="007439D5"/>
    <w:rsid w:val="00743A96"/>
    <w:rsid w:val="00744303"/>
    <w:rsid w:val="007443C0"/>
    <w:rsid w:val="00744448"/>
    <w:rsid w:val="00744A5B"/>
    <w:rsid w:val="00745485"/>
    <w:rsid w:val="007456A9"/>
    <w:rsid w:val="00745CFA"/>
    <w:rsid w:val="0074608B"/>
    <w:rsid w:val="007464CB"/>
    <w:rsid w:val="0074675B"/>
    <w:rsid w:val="00747117"/>
    <w:rsid w:val="00747310"/>
    <w:rsid w:val="007474BF"/>
    <w:rsid w:val="00747A2C"/>
    <w:rsid w:val="00747D70"/>
    <w:rsid w:val="00747FC4"/>
    <w:rsid w:val="00750CD7"/>
    <w:rsid w:val="0075119E"/>
    <w:rsid w:val="00751EF5"/>
    <w:rsid w:val="0075211E"/>
    <w:rsid w:val="007526AE"/>
    <w:rsid w:val="007534B0"/>
    <w:rsid w:val="007539E9"/>
    <w:rsid w:val="00753A66"/>
    <w:rsid w:val="00753AEF"/>
    <w:rsid w:val="00753F64"/>
    <w:rsid w:val="00754030"/>
    <w:rsid w:val="00754D00"/>
    <w:rsid w:val="00754EB8"/>
    <w:rsid w:val="00754FFC"/>
    <w:rsid w:val="007555D7"/>
    <w:rsid w:val="00755CE2"/>
    <w:rsid w:val="00755DEE"/>
    <w:rsid w:val="00756026"/>
    <w:rsid w:val="00756721"/>
    <w:rsid w:val="0075681A"/>
    <w:rsid w:val="00756841"/>
    <w:rsid w:val="00756961"/>
    <w:rsid w:val="00756BDE"/>
    <w:rsid w:val="007572FF"/>
    <w:rsid w:val="0075770B"/>
    <w:rsid w:val="00757757"/>
    <w:rsid w:val="00757EF5"/>
    <w:rsid w:val="007600C5"/>
    <w:rsid w:val="00760EF4"/>
    <w:rsid w:val="00761156"/>
    <w:rsid w:val="00761829"/>
    <w:rsid w:val="007619C9"/>
    <w:rsid w:val="00761D50"/>
    <w:rsid w:val="00761E29"/>
    <w:rsid w:val="007622D1"/>
    <w:rsid w:val="00762DC6"/>
    <w:rsid w:val="007647A4"/>
    <w:rsid w:val="007648EA"/>
    <w:rsid w:val="00765A2E"/>
    <w:rsid w:val="00765C56"/>
    <w:rsid w:val="00765FEF"/>
    <w:rsid w:val="007661C7"/>
    <w:rsid w:val="007664D3"/>
    <w:rsid w:val="00766503"/>
    <w:rsid w:val="00766FD1"/>
    <w:rsid w:val="00766FE7"/>
    <w:rsid w:val="007670DC"/>
    <w:rsid w:val="00767304"/>
    <w:rsid w:val="00767821"/>
    <w:rsid w:val="007700F5"/>
    <w:rsid w:val="007706CD"/>
    <w:rsid w:val="00770EBD"/>
    <w:rsid w:val="00770F92"/>
    <w:rsid w:val="00770F9F"/>
    <w:rsid w:val="00771306"/>
    <w:rsid w:val="00772121"/>
    <w:rsid w:val="00772BF8"/>
    <w:rsid w:val="00772D61"/>
    <w:rsid w:val="0077328E"/>
    <w:rsid w:val="00774520"/>
    <w:rsid w:val="00774AB7"/>
    <w:rsid w:val="00774AE6"/>
    <w:rsid w:val="00774BDC"/>
    <w:rsid w:val="00774BFF"/>
    <w:rsid w:val="00775070"/>
    <w:rsid w:val="007752D2"/>
    <w:rsid w:val="00775842"/>
    <w:rsid w:val="00776215"/>
    <w:rsid w:val="00776A99"/>
    <w:rsid w:val="00776F61"/>
    <w:rsid w:val="00776FD5"/>
    <w:rsid w:val="007773B5"/>
    <w:rsid w:val="00777FEF"/>
    <w:rsid w:val="0078088C"/>
    <w:rsid w:val="007812C3"/>
    <w:rsid w:val="00781A9A"/>
    <w:rsid w:val="00781E44"/>
    <w:rsid w:val="00781E7E"/>
    <w:rsid w:val="007822FA"/>
    <w:rsid w:val="007827FE"/>
    <w:rsid w:val="00782B05"/>
    <w:rsid w:val="0078469D"/>
    <w:rsid w:val="007855E0"/>
    <w:rsid w:val="00786132"/>
    <w:rsid w:val="0078683E"/>
    <w:rsid w:val="0078686B"/>
    <w:rsid w:val="00786DBA"/>
    <w:rsid w:val="00787091"/>
    <w:rsid w:val="0078742A"/>
    <w:rsid w:val="00787496"/>
    <w:rsid w:val="00787744"/>
    <w:rsid w:val="00787E29"/>
    <w:rsid w:val="00790875"/>
    <w:rsid w:val="00790C78"/>
    <w:rsid w:val="00791201"/>
    <w:rsid w:val="007913F0"/>
    <w:rsid w:val="007913FA"/>
    <w:rsid w:val="00791AA5"/>
    <w:rsid w:val="0079265D"/>
    <w:rsid w:val="007926CF"/>
    <w:rsid w:val="00792860"/>
    <w:rsid w:val="00792889"/>
    <w:rsid w:val="00792B2F"/>
    <w:rsid w:val="00793172"/>
    <w:rsid w:val="00794995"/>
    <w:rsid w:val="00794A1B"/>
    <w:rsid w:val="00794B52"/>
    <w:rsid w:val="00794EA9"/>
    <w:rsid w:val="00796045"/>
    <w:rsid w:val="0079610A"/>
    <w:rsid w:val="007961FC"/>
    <w:rsid w:val="00796CA9"/>
    <w:rsid w:val="00797ACB"/>
    <w:rsid w:val="00797D9A"/>
    <w:rsid w:val="00797F6F"/>
    <w:rsid w:val="007A0E22"/>
    <w:rsid w:val="007A0E2A"/>
    <w:rsid w:val="007A100F"/>
    <w:rsid w:val="007A1046"/>
    <w:rsid w:val="007A1B8E"/>
    <w:rsid w:val="007A2181"/>
    <w:rsid w:val="007A2E38"/>
    <w:rsid w:val="007A2E64"/>
    <w:rsid w:val="007A2EA1"/>
    <w:rsid w:val="007A35ED"/>
    <w:rsid w:val="007A4439"/>
    <w:rsid w:val="007A45A1"/>
    <w:rsid w:val="007A4B9F"/>
    <w:rsid w:val="007A4D67"/>
    <w:rsid w:val="007A4E4F"/>
    <w:rsid w:val="007A4E80"/>
    <w:rsid w:val="007A4E9B"/>
    <w:rsid w:val="007A4F6E"/>
    <w:rsid w:val="007A528C"/>
    <w:rsid w:val="007A53CA"/>
    <w:rsid w:val="007A5A57"/>
    <w:rsid w:val="007A5CB6"/>
    <w:rsid w:val="007A612B"/>
    <w:rsid w:val="007A614A"/>
    <w:rsid w:val="007A6181"/>
    <w:rsid w:val="007A6470"/>
    <w:rsid w:val="007A65B9"/>
    <w:rsid w:val="007A6810"/>
    <w:rsid w:val="007A6821"/>
    <w:rsid w:val="007B01FF"/>
    <w:rsid w:val="007B0683"/>
    <w:rsid w:val="007B085C"/>
    <w:rsid w:val="007B09BF"/>
    <w:rsid w:val="007B0BE2"/>
    <w:rsid w:val="007B0F75"/>
    <w:rsid w:val="007B102A"/>
    <w:rsid w:val="007B109C"/>
    <w:rsid w:val="007B13A3"/>
    <w:rsid w:val="007B1E65"/>
    <w:rsid w:val="007B2A52"/>
    <w:rsid w:val="007B2E52"/>
    <w:rsid w:val="007B37B3"/>
    <w:rsid w:val="007B433A"/>
    <w:rsid w:val="007B44EA"/>
    <w:rsid w:val="007B45EE"/>
    <w:rsid w:val="007B5A60"/>
    <w:rsid w:val="007B5BD0"/>
    <w:rsid w:val="007B6645"/>
    <w:rsid w:val="007B6B6A"/>
    <w:rsid w:val="007B739D"/>
    <w:rsid w:val="007B788F"/>
    <w:rsid w:val="007B7C35"/>
    <w:rsid w:val="007C041E"/>
    <w:rsid w:val="007C1050"/>
    <w:rsid w:val="007C1147"/>
    <w:rsid w:val="007C1961"/>
    <w:rsid w:val="007C1DF5"/>
    <w:rsid w:val="007C26EB"/>
    <w:rsid w:val="007C2CDA"/>
    <w:rsid w:val="007C307A"/>
    <w:rsid w:val="007C31D2"/>
    <w:rsid w:val="007C34BE"/>
    <w:rsid w:val="007C3565"/>
    <w:rsid w:val="007C406B"/>
    <w:rsid w:val="007C432D"/>
    <w:rsid w:val="007C4DBE"/>
    <w:rsid w:val="007C56BC"/>
    <w:rsid w:val="007C5B05"/>
    <w:rsid w:val="007C5D5A"/>
    <w:rsid w:val="007C699A"/>
    <w:rsid w:val="007C6D11"/>
    <w:rsid w:val="007C7B24"/>
    <w:rsid w:val="007C7E44"/>
    <w:rsid w:val="007D056D"/>
    <w:rsid w:val="007D0824"/>
    <w:rsid w:val="007D0A3E"/>
    <w:rsid w:val="007D109F"/>
    <w:rsid w:val="007D20EE"/>
    <w:rsid w:val="007D2735"/>
    <w:rsid w:val="007D2A63"/>
    <w:rsid w:val="007D2EB9"/>
    <w:rsid w:val="007D3080"/>
    <w:rsid w:val="007D312E"/>
    <w:rsid w:val="007D3353"/>
    <w:rsid w:val="007D3BB9"/>
    <w:rsid w:val="007D41C4"/>
    <w:rsid w:val="007D452D"/>
    <w:rsid w:val="007D45EC"/>
    <w:rsid w:val="007D4862"/>
    <w:rsid w:val="007D5302"/>
    <w:rsid w:val="007D5395"/>
    <w:rsid w:val="007D5645"/>
    <w:rsid w:val="007D59B2"/>
    <w:rsid w:val="007D5CCD"/>
    <w:rsid w:val="007D607E"/>
    <w:rsid w:val="007D6211"/>
    <w:rsid w:val="007D6A6A"/>
    <w:rsid w:val="007D735B"/>
    <w:rsid w:val="007E0476"/>
    <w:rsid w:val="007E048F"/>
    <w:rsid w:val="007E0C77"/>
    <w:rsid w:val="007E0FC8"/>
    <w:rsid w:val="007E1255"/>
    <w:rsid w:val="007E1BC3"/>
    <w:rsid w:val="007E1C7D"/>
    <w:rsid w:val="007E2A5F"/>
    <w:rsid w:val="007E2C69"/>
    <w:rsid w:val="007E2D60"/>
    <w:rsid w:val="007E31A7"/>
    <w:rsid w:val="007E39A3"/>
    <w:rsid w:val="007E4266"/>
    <w:rsid w:val="007E5BF3"/>
    <w:rsid w:val="007E5DD6"/>
    <w:rsid w:val="007E5DF4"/>
    <w:rsid w:val="007E66AA"/>
    <w:rsid w:val="007E6FBB"/>
    <w:rsid w:val="007E7330"/>
    <w:rsid w:val="007E73FB"/>
    <w:rsid w:val="007E74B6"/>
    <w:rsid w:val="007E7520"/>
    <w:rsid w:val="007E763C"/>
    <w:rsid w:val="007E7DFF"/>
    <w:rsid w:val="007F05CE"/>
    <w:rsid w:val="007F1175"/>
    <w:rsid w:val="007F175B"/>
    <w:rsid w:val="007F1799"/>
    <w:rsid w:val="007F1A1B"/>
    <w:rsid w:val="007F1AA5"/>
    <w:rsid w:val="007F1AC7"/>
    <w:rsid w:val="007F1C23"/>
    <w:rsid w:val="007F1C26"/>
    <w:rsid w:val="007F2140"/>
    <w:rsid w:val="007F2BAA"/>
    <w:rsid w:val="007F2F19"/>
    <w:rsid w:val="007F30F4"/>
    <w:rsid w:val="007F3A09"/>
    <w:rsid w:val="007F3A31"/>
    <w:rsid w:val="007F463C"/>
    <w:rsid w:val="007F615F"/>
    <w:rsid w:val="007F69D9"/>
    <w:rsid w:val="007F780D"/>
    <w:rsid w:val="007F7FE5"/>
    <w:rsid w:val="008006B1"/>
    <w:rsid w:val="008009DC"/>
    <w:rsid w:val="008009F7"/>
    <w:rsid w:val="00800D26"/>
    <w:rsid w:val="008013A9"/>
    <w:rsid w:val="00801762"/>
    <w:rsid w:val="00801A43"/>
    <w:rsid w:val="00801BD4"/>
    <w:rsid w:val="008021CB"/>
    <w:rsid w:val="00802266"/>
    <w:rsid w:val="008023D5"/>
    <w:rsid w:val="00802514"/>
    <w:rsid w:val="00802F27"/>
    <w:rsid w:val="0080378D"/>
    <w:rsid w:val="00803C30"/>
    <w:rsid w:val="00803CC5"/>
    <w:rsid w:val="00803DB3"/>
    <w:rsid w:val="00803DD4"/>
    <w:rsid w:val="00803E1B"/>
    <w:rsid w:val="0080400D"/>
    <w:rsid w:val="00804D21"/>
    <w:rsid w:val="00805F67"/>
    <w:rsid w:val="008066D6"/>
    <w:rsid w:val="00806CAC"/>
    <w:rsid w:val="00806F34"/>
    <w:rsid w:val="00807A1C"/>
    <w:rsid w:val="00807FA5"/>
    <w:rsid w:val="008100C5"/>
    <w:rsid w:val="00810912"/>
    <w:rsid w:val="0081095E"/>
    <w:rsid w:val="00811AFF"/>
    <w:rsid w:val="00812219"/>
    <w:rsid w:val="0081321E"/>
    <w:rsid w:val="0081379B"/>
    <w:rsid w:val="00813D7E"/>
    <w:rsid w:val="00813DFC"/>
    <w:rsid w:val="00814C89"/>
    <w:rsid w:val="00815200"/>
    <w:rsid w:val="00815437"/>
    <w:rsid w:val="008156CD"/>
    <w:rsid w:val="008160DE"/>
    <w:rsid w:val="00816260"/>
    <w:rsid w:val="00816369"/>
    <w:rsid w:val="00816634"/>
    <w:rsid w:val="00816726"/>
    <w:rsid w:val="00816CF0"/>
    <w:rsid w:val="00817C87"/>
    <w:rsid w:val="00817E26"/>
    <w:rsid w:val="00820B05"/>
    <w:rsid w:val="008219A2"/>
    <w:rsid w:val="00821A92"/>
    <w:rsid w:val="00821BF4"/>
    <w:rsid w:val="00821DCA"/>
    <w:rsid w:val="00822062"/>
    <w:rsid w:val="00822564"/>
    <w:rsid w:val="00823A7E"/>
    <w:rsid w:val="00823B89"/>
    <w:rsid w:val="00824385"/>
    <w:rsid w:val="00824A91"/>
    <w:rsid w:val="00824DC2"/>
    <w:rsid w:val="00824DCB"/>
    <w:rsid w:val="008251AF"/>
    <w:rsid w:val="008251C3"/>
    <w:rsid w:val="0082524F"/>
    <w:rsid w:val="00825253"/>
    <w:rsid w:val="00826A6B"/>
    <w:rsid w:val="00826FC7"/>
    <w:rsid w:val="00830873"/>
    <w:rsid w:val="0083092B"/>
    <w:rsid w:val="00830D2A"/>
    <w:rsid w:val="0083130E"/>
    <w:rsid w:val="008318CE"/>
    <w:rsid w:val="008323B6"/>
    <w:rsid w:val="008324DF"/>
    <w:rsid w:val="00833568"/>
    <w:rsid w:val="00833A6D"/>
    <w:rsid w:val="00834074"/>
    <w:rsid w:val="008340D4"/>
    <w:rsid w:val="00834B06"/>
    <w:rsid w:val="00834C38"/>
    <w:rsid w:val="00834C3C"/>
    <w:rsid w:val="00834D3F"/>
    <w:rsid w:val="00835533"/>
    <w:rsid w:val="00835699"/>
    <w:rsid w:val="008365A6"/>
    <w:rsid w:val="008365B8"/>
    <w:rsid w:val="00836DBE"/>
    <w:rsid w:val="008376F9"/>
    <w:rsid w:val="00837943"/>
    <w:rsid w:val="00837BDB"/>
    <w:rsid w:val="00837F6F"/>
    <w:rsid w:val="008400D8"/>
    <w:rsid w:val="008402A4"/>
    <w:rsid w:val="008419F9"/>
    <w:rsid w:val="008426E7"/>
    <w:rsid w:val="0084274A"/>
    <w:rsid w:val="00842FDD"/>
    <w:rsid w:val="008430E0"/>
    <w:rsid w:val="00843658"/>
    <w:rsid w:val="00843D4B"/>
    <w:rsid w:val="00843EAE"/>
    <w:rsid w:val="008441E9"/>
    <w:rsid w:val="0084475C"/>
    <w:rsid w:val="00845048"/>
    <w:rsid w:val="008451B1"/>
    <w:rsid w:val="00845320"/>
    <w:rsid w:val="0084557D"/>
    <w:rsid w:val="008462E8"/>
    <w:rsid w:val="00846630"/>
    <w:rsid w:val="00846D3E"/>
    <w:rsid w:val="00847192"/>
    <w:rsid w:val="0084735D"/>
    <w:rsid w:val="008478E6"/>
    <w:rsid w:val="00847F83"/>
    <w:rsid w:val="0085001D"/>
    <w:rsid w:val="008509DA"/>
    <w:rsid w:val="008516AB"/>
    <w:rsid w:val="00851BEF"/>
    <w:rsid w:val="008520F6"/>
    <w:rsid w:val="0085219A"/>
    <w:rsid w:val="008522E5"/>
    <w:rsid w:val="00852610"/>
    <w:rsid w:val="00852946"/>
    <w:rsid w:val="0085298F"/>
    <w:rsid w:val="008535FF"/>
    <w:rsid w:val="00853C29"/>
    <w:rsid w:val="00853C72"/>
    <w:rsid w:val="00853E4D"/>
    <w:rsid w:val="00853E59"/>
    <w:rsid w:val="00854CF2"/>
    <w:rsid w:val="0085581A"/>
    <w:rsid w:val="00855886"/>
    <w:rsid w:val="008559FE"/>
    <w:rsid w:val="00857B5A"/>
    <w:rsid w:val="00857C83"/>
    <w:rsid w:val="00857DAA"/>
    <w:rsid w:val="00860120"/>
    <w:rsid w:val="0086076C"/>
    <w:rsid w:val="008609A7"/>
    <w:rsid w:val="00860CC1"/>
    <w:rsid w:val="00860E5E"/>
    <w:rsid w:val="00861219"/>
    <w:rsid w:val="0086135F"/>
    <w:rsid w:val="00861374"/>
    <w:rsid w:val="00861A2C"/>
    <w:rsid w:val="00861E76"/>
    <w:rsid w:val="0086213E"/>
    <w:rsid w:val="008625ED"/>
    <w:rsid w:val="00862BED"/>
    <w:rsid w:val="00864107"/>
    <w:rsid w:val="008642B5"/>
    <w:rsid w:val="00864307"/>
    <w:rsid w:val="00864731"/>
    <w:rsid w:val="008647D7"/>
    <w:rsid w:val="00864B7E"/>
    <w:rsid w:val="008657F3"/>
    <w:rsid w:val="0086580F"/>
    <w:rsid w:val="008658BB"/>
    <w:rsid w:val="00865D8B"/>
    <w:rsid w:val="0086600F"/>
    <w:rsid w:val="008665A6"/>
    <w:rsid w:val="0086662C"/>
    <w:rsid w:val="00866BE9"/>
    <w:rsid w:val="00866C93"/>
    <w:rsid w:val="00867F7E"/>
    <w:rsid w:val="00867F80"/>
    <w:rsid w:val="0087058C"/>
    <w:rsid w:val="00871F75"/>
    <w:rsid w:val="00871F79"/>
    <w:rsid w:val="008721A3"/>
    <w:rsid w:val="008724FB"/>
    <w:rsid w:val="00872BF9"/>
    <w:rsid w:val="00872C72"/>
    <w:rsid w:val="0087339D"/>
    <w:rsid w:val="00874040"/>
    <w:rsid w:val="0087421E"/>
    <w:rsid w:val="008748C2"/>
    <w:rsid w:val="00874931"/>
    <w:rsid w:val="00874F42"/>
    <w:rsid w:val="0087545E"/>
    <w:rsid w:val="008756CB"/>
    <w:rsid w:val="00875914"/>
    <w:rsid w:val="00875BEB"/>
    <w:rsid w:val="00875E4B"/>
    <w:rsid w:val="00875E80"/>
    <w:rsid w:val="00876118"/>
    <w:rsid w:val="00876310"/>
    <w:rsid w:val="00876D98"/>
    <w:rsid w:val="0087724F"/>
    <w:rsid w:val="008775FE"/>
    <w:rsid w:val="00877910"/>
    <w:rsid w:val="00877E49"/>
    <w:rsid w:val="008809CC"/>
    <w:rsid w:val="00880C06"/>
    <w:rsid w:val="00881219"/>
    <w:rsid w:val="00881AA9"/>
    <w:rsid w:val="0088232B"/>
    <w:rsid w:val="00883153"/>
    <w:rsid w:val="008831A1"/>
    <w:rsid w:val="00883C31"/>
    <w:rsid w:val="00883CA7"/>
    <w:rsid w:val="00883D2A"/>
    <w:rsid w:val="0088421A"/>
    <w:rsid w:val="0088436A"/>
    <w:rsid w:val="00884C00"/>
    <w:rsid w:val="00885C7D"/>
    <w:rsid w:val="00885D0F"/>
    <w:rsid w:val="00885E85"/>
    <w:rsid w:val="00886ADF"/>
    <w:rsid w:val="00887D83"/>
    <w:rsid w:val="0089024B"/>
    <w:rsid w:val="008906BF"/>
    <w:rsid w:val="008908FB"/>
    <w:rsid w:val="00890B17"/>
    <w:rsid w:val="00890BB1"/>
    <w:rsid w:val="00890DE0"/>
    <w:rsid w:val="00890EA9"/>
    <w:rsid w:val="00891275"/>
    <w:rsid w:val="00891482"/>
    <w:rsid w:val="0089185F"/>
    <w:rsid w:val="00891F03"/>
    <w:rsid w:val="00892012"/>
    <w:rsid w:val="00892495"/>
    <w:rsid w:val="00892595"/>
    <w:rsid w:val="00892720"/>
    <w:rsid w:val="00892A65"/>
    <w:rsid w:val="0089311E"/>
    <w:rsid w:val="00893551"/>
    <w:rsid w:val="00893847"/>
    <w:rsid w:val="00893B26"/>
    <w:rsid w:val="00894AD9"/>
    <w:rsid w:val="00895319"/>
    <w:rsid w:val="0089551E"/>
    <w:rsid w:val="0089555E"/>
    <w:rsid w:val="0089571D"/>
    <w:rsid w:val="00895A65"/>
    <w:rsid w:val="00895DBB"/>
    <w:rsid w:val="008960AA"/>
    <w:rsid w:val="0089619A"/>
    <w:rsid w:val="00896F88"/>
    <w:rsid w:val="008973C3"/>
    <w:rsid w:val="008973C4"/>
    <w:rsid w:val="008974EC"/>
    <w:rsid w:val="0089758E"/>
    <w:rsid w:val="00897650"/>
    <w:rsid w:val="008977DC"/>
    <w:rsid w:val="00897981"/>
    <w:rsid w:val="008A0392"/>
    <w:rsid w:val="008A08A4"/>
    <w:rsid w:val="008A0BA4"/>
    <w:rsid w:val="008A16DA"/>
    <w:rsid w:val="008A1F4F"/>
    <w:rsid w:val="008A2222"/>
    <w:rsid w:val="008A24E4"/>
    <w:rsid w:val="008A2C0B"/>
    <w:rsid w:val="008A3DBF"/>
    <w:rsid w:val="008A3E89"/>
    <w:rsid w:val="008A470E"/>
    <w:rsid w:val="008A4AA8"/>
    <w:rsid w:val="008A5885"/>
    <w:rsid w:val="008A5ED9"/>
    <w:rsid w:val="008A5F90"/>
    <w:rsid w:val="008A62B1"/>
    <w:rsid w:val="008A6362"/>
    <w:rsid w:val="008A65AC"/>
    <w:rsid w:val="008A68E6"/>
    <w:rsid w:val="008A6A0D"/>
    <w:rsid w:val="008A6AEC"/>
    <w:rsid w:val="008A6BED"/>
    <w:rsid w:val="008B06E0"/>
    <w:rsid w:val="008B0C06"/>
    <w:rsid w:val="008B1373"/>
    <w:rsid w:val="008B1831"/>
    <w:rsid w:val="008B19EF"/>
    <w:rsid w:val="008B2D10"/>
    <w:rsid w:val="008B2D1A"/>
    <w:rsid w:val="008B32CA"/>
    <w:rsid w:val="008B330E"/>
    <w:rsid w:val="008B3331"/>
    <w:rsid w:val="008B3946"/>
    <w:rsid w:val="008B39EF"/>
    <w:rsid w:val="008B3A68"/>
    <w:rsid w:val="008B3DDE"/>
    <w:rsid w:val="008B3EC4"/>
    <w:rsid w:val="008B4299"/>
    <w:rsid w:val="008B42C5"/>
    <w:rsid w:val="008B43B7"/>
    <w:rsid w:val="008B490E"/>
    <w:rsid w:val="008B4AB0"/>
    <w:rsid w:val="008B4E94"/>
    <w:rsid w:val="008B51F0"/>
    <w:rsid w:val="008B6432"/>
    <w:rsid w:val="008B676E"/>
    <w:rsid w:val="008B6831"/>
    <w:rsid w:val="008B6BBD"/>
    <w:rsid w:val="008B7887"/>
    <w:rsid w:val="008C08F0"/>
    <w:rsid w:val="008C0B02"/>
    <w:rsid w:val="008C0BEE"/>
    <w:rsid w:val="008C0CC4"/>
    <w:rsid w:val="008C0D93"/>
    <w:rsid w:val="008C0E70"/>
    <w:rsid w:val="008C125D"/>
    <w:rsid w:val="008C1794"/>
    <w:rsid w:val="008C26E5"/>
    <w:rsid w:val="008C33C2"/>
    <w:rsid w:val="008C3FCA"/>
    <w:rsid w:val="008C42D5"/>
    <w:rsid w:val="008C4A7F"/>
    <w:rsid w:val="008C4D36"/>
    <w:rsid w:val="008C5085"/>
    <w:rsid w:val="008C52A5"/>
    <w:rsid w:val="008C53CB"/>
    <w:rsid w:val="008C5B35"/>
    <w:rsid w:val="008C60DA"/>
    <w:rsid w:val="008C64D8"/>
    <w:rsid w:val="008C6741"/>
    <w:rsid w:val="008C6AB1"/>
    <w:rsid w:val="008C6AE8"/>
    <w:rsid w:val="008C73B2"/>
    <w:rsid w:val="008C7F85"/>
    <w:rsid w:val="008D03CF"/>
    <w:rsid w:val="008D0528"/>
    <w:rsid w:val="008D062D"/>
    <w:rsid w:val="008D0A2A"/>
    <w:rsid w:val="008D131A"/>
    <w:rsid w:val="008D1519"/>
    <w:rsid w:val="008D2231"/>
    <w:rsid w:val="008D2C95"/>
    <w:rsid w:val="008D34A9"/>
    <w:rsid w:val="008D396F"/>
    <w:rsid w:val="008D3D81"/>
    <w:rsid w:val="008D3EBA"/>
    <w:rsid w:val="008D421E"/>
    <w:rsid w:val="008D49FB"/>
    <w:rsid w:val="008D5B3B"/>
    <w:rsid w:val="008D6446"/>
    <w:rsid w:val="008D6A69"/>
    <w:rsid w:val="008D7055"/>
    <w:rsid w:val="008D725D"/>
    <w:rsid w:val="008D75D6"/>
    <w:rsid w:val="008D79AF"/>
    <w:rsid w:val="008E0E1C"/>
    <w:rsid w:val="008E0E3B"/>
    <w:rsid w:val="008E1180"/>
    <w:rsid w:val="008E1583"/>
    <w:rsid w:val="008E1C18"/>
    <w:rsid w:val="008E1EE2"/>
    <w:rsid w:val="008E1F8F"/>
    <w:rsid w:val="008E1FD6"/>
    <w:rsid w:val="008E2312"/>
    <w:rsid w:val="008E25FF"/>
    <w:rsid w:val="008E278D"/>
    <w:rsid w:val="008E2B15"/>
    <w:rsid w:val="008E35C9"/>
    <w:rsid w:val="008E38C4"/>
    <w:rsid w:val="008E3E40"/>
    <w:rsid w:val="008E3F60"/>
    <w:rsid w:val="008E5967"/>
    <w:rsid w:val="008E5AEA"/>
    <w:rsid w:val="008E614B"/>
    <w:rsid w:val="008E6864"/>
    <w:rsid w:val="008E6AB4"/>
    <w:rsid w:val="008E6F2C"/>
    <w:rsid w:val="008E7354"/>
    <w:rsid w:val="008E7556"/>
    <w:rsid w:val="008F1F01"/>
    <w:rsid w:val="008F26BD"/>
    <w:rsid w:val="008F26DE"/>
    <w:rsid w:val="008F2989"/>
    <w:rsid w:val="008F29DB"/>
    <w:rsid w:val="008F2B26"/>
    <w:rsid w:val="008F2BC8"/>
    <w:rsid w:val="008F2DD8"/>
    <w:rsid w:val="008F3974"/>
    <w:rsid w:val="008F3DBF"/>
    <w:rsid w:val="008F40EA"/>
    <w:rsid w:val="008F4104"/>
    <w:rsid w:val="008F43A6"/>
    <w:rsid w:val="008F5E1C"/>
    <w:rsid w:val="008F6E1E"/>
    <w:rsid w:val="008F7B31"/>
    <w:rsid w:val="009000CC"/>
    <w:rsid w:val="009002E3"/>
    <w:rsid w:val="0090066A"/>
    <w:rsid w:val="009006C0"/>
    <w:rsid w:val="00900784"/>
    <w:rsid w:val="009009C9"/>
    <w:rsid w:val="00900F8A"/>
    <w:rsid w:val="00901857"/>
    <w:rsid w:val="00902332"/>
    <w:rsid w:val="0090376C"/>
    <w:rsid w:val="00904290"/>
    <w:rsid w:val="00904596"/>
    <w:rsid w:val="00904BD9"/>
    <w:rsid w:val="00904EBF"/>
    <w:rsid w:val="00904FA3"/>
    <w:rsid w:val="009050A8"/>
    <w:rsid w:val="0090540C"/>
    <w:rsid w:val="00905901"/>
    <w:rsid w:val="00905C16"/>
    <w:rsid w:val="00905EB9"/>
    <w:rsid w:val="00906421"/>
    <w:rsid w:val="00906844"/>
    <w:rsid w:val="00906EBE"/>
    <w:rsid w:val="00907438"/>
    <w:rsid w:val="00907AAF"/>
    <w:rsid w:val="009101E4"/>
    <w:rsid w:val="00911650"/>
    <w:rsid w:val="0091223C"/>
    <w:rsid w:val="00912CB4"/>
    <w:rsid w:val="00913153"/>
    <w:rsid w:val="00913516"/>
    <w:rsid w:val="00913610"/>
    <w:rsid w:val="00913936"/>
    <w:rsid w:val="00913CE7"/>
    <w:rsid w:val="00914555"/>
    <w:rsid w:val="00914825"/>
    <w:rsid w:val="0091498D"/>
    <w:rsid w:val="009151B0"/>
    <w:rsid w:val="00915234"/>
    <w:rsid w:val="009155BA"/>
    <w:rsid w:val="00915F66"/>
    <w:rsid w:val="0091647C"/>
    <w:rsid w:val="00916540"/>
    <w:rsid w:val="009169F7"/>
    <w:rsid w:val="009203A3"/>
    <w:rsid w:val="00921541"/>
    <w:rsid w:val="00921627"/>
    <w:rsid w:val="009219A5"/>
    <w:rsid w:val="0092203F"/>
    <w:rsid w:val="00923947"/>
    <w:rsid w:val="00923D49"/>
    <w:rsid w:val="009242C7"/>
    <w:rsid w:val="00924647"/>
    <w:rsid w:val="00924AF6"/>
    <w:rsid w:val="00924D07"/>
    <w:rsid w:val="00925A55"/>
    <w:rsid w:val="00925EFD"/>
    <w:rsid w:val="00926206"/>
    <w:rsid w:val="009263A4"/>
    <w:rsid w:val="00926815"/>
    <w:rsid w:val="00926C5A"/>
    <w:rsid w:val="009312AB"/>
    <w:rsid w:val="009312DB"/>
    <w:rsid w:val="00931345"/>
    <w:rsid w:val="00931849"/>
    <w:rsid w:val="00931EEE"/>
    <w:rsid w:val="009320EB"/>
    <w:rsid w:val="00932117"/>
    <w:rsid w:val="00932A41"/>
    <w:rsid w:val="00933431"/>
    <w:rsid w:val="009342F8"/>
    <w:rsid w:val="00934409"/>
    <w:rsid w:val="009345E4"/>
    <w:rsid w:val="00935556"/>
    <w:rsid w:val="00935701"/>
    <w:rsid w:val="00936FBA"/>
    <w:rsid w:val="00937075"/>
    <w:rsid w:val="0093723B"/>
    <w:rsid w:val="00937353"/>
    <w:rsid w:val="00937D00"/>
    <w:rsid w:val="00937DA5"/>
    <w:rsid w:val="00940340"/>
    <w:rsid w:val="009403A6"/>
    <w:rsid w:val="00940436"/>
    <w:rsid w:val="00940605"/>
    <w:rsid w:val="00941177"/>
    <w:rsid w:val="009412C3"/>
    <w:rsid w:val="009412DF"/>
    <w:rsid w:val="00941BCE"/>
    <w:rsid w:val="00941F10"/>
    <w:rsid w:val="009428FC"/>
    <w:rsid w:val="009441B4"/>
    <w:rsid w:val="0094526A"/>
    <w:rsid w:val="00945488"/>
    <w:rsid w:val="00945B73"/>
    <w:rsid w:val="009462E6"/>
    <w:rsid w:val="00946EB0"/>
    <w:rsid w:val="00946F78"/>
    <w:rsid w:val="009471B1"/>
    <w:rsid w:val="00947640"/>
    <w:rsid w:val="009476FD"/>
    <w:rsid w:val="00947959"/>
    <w:rsid w:val="00951150"/>
    <w:rsid w:val="00951267"/>
    <w:rsid w:val="00951919"/>
    <w:rsid w:val="00951ABE"/>
    <w:rsid w:val="009521BC"/>
    <w:rsid w:val="009522BE"/>
    <w:rsid w:val="00952AF2"/>
    <w:rsid w:val="00952C0D"/>
    <w:rsid w:val="00952E6D"/>
    <w:rsid w:val="00952F41"/>
    <w:rsid w:val="00953CEF"/>
    <w:rsid w:val="0095424A"/>
    <w:rsid w:val="009542F4"/>
    <w:rsid w:val="0095457B"/>
    <w:rsid w:val="009549CD"/>
    <w:rsid w:val="00954CBB"/>
    <w:rsid w:val="00955282"/>
    <w:rsid w:val="00955B81"/>
    <w:rsid w:val="00955DC9"/>
    <w:rsid w:val="00955E6D"/>
    <w:rsid w:val="009560F7"/>
    <w:rsid w:val="009563D6"/>
    <w:rsid w:val="00956CE5"/>
    <w:rsid w:val="00956E45"/>
    <w:rsid w:val="00957057"/>
    <w:rsid w:val="009608C8"/>
    <w:rsid w:val="009609DB"/>
    <w:rsid w:val="00961184"/>
    <w:rsid w:val="009614FB"/>
    <w:rsid w:val="00962164"/>
    <w:rsid w:val="0096265F"/>
    <w:rsid w:val="009634B7"/>
    <w:rsid w:val="00963B88"/>
    <w:rsid w:val="00963F6F"/>
    <w:rsid w:val="00964CEC"/>
    <w:rsid w:val="00965168"/>
    <w:rsid w:val="009666C4"/>
    <w:rsid w:val="00966999"/>
    <w:rsid w:val="009673F7"/>
    <w:rsid w:val="00967D96"/>
    <w:rsid w:val="00971038"/>
    <w:rsid w:val="009712FE"/>
    <w:rsid w:val="0097153F"/>
    <w:rsid w:val="009718D9"/>
    <w:rsid w:val="00971941"/>
    <w:rsid w:val="00971D46"/>
    <w:rsid w:val="00971E82"/>
    <w:rsid w:val="00972660"/>
    <w:rsid w:val="0097288E"/>
    <w:rsid w:val="00972927"/>
    <w:rsid w:val="00972DCB"/>
    <w:rsid w:val="0097336B"/>
    <w:rsid w:val="009735A1"/>
    <w:rsid w:val="00973F4A"/>
    <w:rsid w:val="00974131"/>
    <w:rsid w:val="009744B5"/>
    <w:rsid w:val="009748B7"/>
    <w:rsid w:val="00974CF5"/>
    <w:rsid w:val="00974DBE"/>
    <w:rsid w:val="00975223"/>
    <w:rsid w:val="00975F5A"/>
    <w:rsid w:val="0097661B"/>
    <w:rsid w:val="00976B33"/>
    <w:rsid w:val="00977341"/>
    <w:rsid w:val="009776ED"/>
    <w:rsid w:val="0098000D"/>
    <w:rsid w:val="0098058D"/>
    <w:rsid w:val="00980EC0"/>
    <w:rsid w:val="0098110A"/>
    <w:rsid w:val="009811B3"/>
    <w:rsid w:val="00981C44"/>
    <w:rsid w:val="0098235E"/>
    <w:rsid w:val="009827DB"/>
    <w:rsid w:val="00983232"/>
    <w:rsid w:val="009839A2"/>
    <w:rsid w:val="009840DF"/>
    <w:rsid w:val="00984618"/>
    <w:rsid w:val="00984F60"/>
    <w:rsid w:val="00985242"/>
    <w:rsid w:val="009852BA"/>
    <w:rsid w:val="009857CF"/>
    <w:rsid w:val="00985875"/>
    <w:rsid w:val="00985E9B"/>
    <w:rsid w:val="00986146"/>
    <w:rsid w:val="00986A81"/>
    <w:rsid w:val="00987003"/>
    <w:rsid w:val="009878D4"/>
    <w:rsid w:val="00987A89"/>
    <w:rsid w:val="00987D9E"/>
    <w:rsid w:val="00990001"/>
    <w:rsid w:val="009908AE"/>
    <w:rsid w:val="00990A39"/>
    <w:rsid w:val="00990DF8"/>
    <w:rsid w:val="00990F4A"/>
    <w:rsid w:val="00991235"/>
    <w:rsid w:val="00991401"/>
    <w:rsid w:val="00991816"/>
    <w:rsid w:val="00991DC9"/>
    <w:rsid w:val="00992561"/>
    <w:rsid w:val="00992CFE"/>
    <w:rsid w:val="00992F3E"/>
    <w:rsid w:val="00993051"/>
    <w:rsid w:val="00993880"/>
    <w:rsid w:val="00993D42"/>
    <w:rsid w:val="00994159"/>
    <w:rsid w:val="00994CBE"/>
    <w:rsid w:val="00994DA0"/>
    <w:rsid w:val="00995B0D"/>
    <w:rsid w:val="00996925"/>
    <w:rsid w:val="00996BA7"/>
    <w:rsid w:val="00997010"/>
    <w:rsid w:val="0099791A"/>
    <w:rsid w:val="00997FFD"/>
    <w:rsid w:val="009A1325"/>
    <w:rsid w:val="009A168A"/>
    <w:rsid w:val="009A186A"/>
    <w:rsid w:val="009A1875"/>
    <w:rsid w:val="009A2147"/>
    <w:rsid w:val="009A239C"/>
    <w:rsid w:val="009A27B6"/>
    <w:rsid w:val="009A291D"/>
    <w:rsid w:val="009A313F"/>
    <w:rsid w:val="009A3290"/>
    <w:rsid w:val="009A3317"/>
    <w:rsid w:val="009A37CD"/>
    <w:rsid w:val="009A3A13"/>
    <w:rsid w:val="009A3A33"/>
    <w:rsid w:val="009A3A53"/>
    <w:rsid w:val="009A3F61"/>
    <w:rsid w:val="009A4552"/>
    <w:rsid w:val="009A47D3"/>
    <w:rsid w:val="009A4940"/>
    <w:rsid w:val="009A4B50"/>
    <w:rsid w:val="009A4ED0"/>
    <w:rsid w:val="009A500F"/>
    <w:rsid w:val="009A50CC"/>
    <w:rsid w:val="009A5921"/>
    <w:rsid w:val="009A5960"/>
    <w:rsid w:val="009A5DF8"/>
    <w:rsid w:val="009A5E05"/>
    <w:rsid w:val="009A603E"/>
    <w:rsid w:val="009A63F6"/>
    <w:rsid w:val="009A65D0"/>
    <w:rsid w:val="009A6E19"/>
    <w:rsid w:val="009A7403"/>
    <w:rsid w:val="009A7430"/>
    <w:rsid w:val="009A758C"/>
    <w:rsid w:val="009B0AC0"/>
    <w:rsid w:val="009B1A7C"/>
    <w:rsid w:val="009B20EA"/>
    <w:rsid w:val="009B2962"/>
    <w:rsid w:val="009B2FCE"/>
    <w:rsid w:val="009B3454"/>
    <w:rsid w:val="009B3C2C"/>
    <w:rsid w:val="009B3F73"/>
    <w:rsid w:val="009B3FB8"/>
    <w:rsid w:val="009B3FC2"/>
    <w:rsid w:val="009B5106"/>
    <w:rsid w:val="009B5A80"/>
    <w:rsid w:val="009B6053"/>
    <w:rsid w:val="009B6629"/>
    <w:rsid w:val="009B670F"/>
    <w:rsid w:val="009B6AC2"/>
    <w:rsid w:val="009B6AFF"/>
    <w:rsid w:val="009B6C0C"/>
    <w:rsid w:val="009B72B8"/>
    <w:rsid w:val="009B7571"/>
    <w:rsid w:val="009B76AF"/>
    <w:rsid w:val="009B78CA"/>
    <w:rsid w:val="009B7A9E"/>
    <w:rsid w:val="009B7B87"/>
    <w:rsid w:val="009B7D4C"/>
    <w:rsid w:val="009B7E95"/>
    <w:rsid w:val="009C04BB"/>
    <w:rsid w:val="009C06FE"/>
    <w:rsid w:val="009C10C5"/>
    <w:rsid w:val="009C10F8"/>
    <w:rsid w:val="009C117A"/>
    <w:rsid w:val="009C13E0"/>
    <w:rsid w:val="009C148D"/>
    <w:rsid w:val="009C17AD"/>
    <w:rsid w:val="009C224C"/>
    <w:rsid w:val="009C2C52"/>
    <w:rsid w:val="009C3ABD"/>
    <w:rsid w:val="009C3F23"/>
    <w:rsid w:val="009C42B8"/>
    <w:rsid w:val="009C4494"/>
    <w:rsid w:val="009C4DCE"/>
    <w:rsid w:val="009C4EB4"/>
    <w:rsid w:val="009C53C6"/>
    <w:rsid w:val="009C5755"/>
    <w:rsid w:val="009C5A6C"/>
    <w:rsid w:val="009C6104"/>
    <w:rsid w:val="009C61DB"/>
    <w:rsid w:val="009C65A4"/>
    <w:rsid w:val="009C7A3A"/>
    <w:rsid w:val="009D0305"/>
    <w:rsid w:val="009D0326"/>
    <w:rsid w:val="009D03D5"/>
    <w:rsid w:val="009D0490"/>
    <w:rsid w:val="009D0696"/>
    <w:rsid w:val="009D088F"/>
    <w:rsid w:val="009D0D7C"/>
    <w:rsid w:val="009D1AC4"/>
    <w:rsid w:val="009D22C6"/>
    <w:rsid w:val="009D2879"/>
    <w:rsid w:val="009D2EC1"/>
    <w:rsid w:val="009D2FB0"/>
    <w:rsid w:val="009D38DF"/>
    <w:rsid w:val="009D3990"/>
    <w:rsid w:val="009D3D8A"/>
    <w:rsid w:val="009D40C6"/>
    <w:rsid w:val="009D43BB"/>
    <w:rsid w:val="009D4647"/>
    <w:rsid w:val="009D483D"/>
    <w:rsid w:val="009D4D24"/>
    <w:rsid w:val="009D4D61"/>
    <w:rsid w:val="009D5217"/>
    <w:rsid w:val="009D53C5"/>
    <w:rsid w:val="009D55AB"/>
    <w:rsid w:val="009D5A84"/>
    <w:rsid w:val="009D7168"/>
    <w:rsid w:val="009E074C"/>
    <w:rsid w:val="009E0882"/>
    <w:rsid w:val="009E16A9"/>
    <w:rsid w:val="009E174E"/>
    <w:rsid w:val="009E175D"/>
    <w:rsid w:val="009E25D8"/>
    <w:rsid w:val="009E2B64"/>
    <w:rsid w:val="009E2DE0"/>
    <w:rsid w:val="009E2E36"/>
    <w:rsid w:val="009E328B"/>
    <w:rsid w:val="009E386F"/>
    <w:rsid w:val="009E444C"/>
    <w:rsid w:val="009E558E"/>
    <w:rsid w:val="009E5B75"/>
    <w:rsid w:val="009E679E"/>
    <w:rsid w:val="009E696F"/>
    <w:rsid w:val="009E7AC2"/>
    <w:rsid w:val="009F013A"/>
    <w:rsid w:val="009F044C"/>
    <w:rsid w:val="009F1C2D"/>
    <w:rsid w:val="009F20A3"/>
    <w:rsid w:val="009F2171"/>
    <w:rsid w:val="009F2A15"/>
    <w:rsid w:val="009F345B"/>
    <w:rsid w:val="009F384B"/>
    <w:rsid w:val="009F43F9"/>
    <w:rsid w:val="009F4799"/>
    <w:rsid w:val="009F4869"/>
    <w:rsid w:val="009F579C"/>
    <w:rsid w:val="009F5A31"/>
    <w:rsid w:val="009F5A8B"/>
    <w:rsid w:val="009F5DD2"/>
    <w:rsid w:val="009F64D4"/>
    <w:rsid w:val="009F6595"/>
    <w:rsid w:val="009F65F1"/>
    <w:rsid w:val="009F66D6"/>
    <w:rsid w:val="009F726E"/>
    <w:rsid w:val="009F764B"/>
    <w:rsid w:val="009F7A30"/>
    <w:rsid w:val="009F7B21"/>
    <w:rsid w:val="009F7F71"/>
    <w:rsid w:val="00A01428"/>
    <w:rsid w:val="00A018DF"/>
    <w:rsid w:val="00A01B2B"/>
    <w:rsid w:val="00A02098"/>
    <w:rsid w:val="00A038CE"/>
    <w:rsid w:val="00A03EB2"/>
    <w:rsid w:val="00A04945"/>
    <w:rsid w:val="00A04DF8"/>
    <w:rsid w:val="00A04F52"/>
    <w:rsid w:val="00A05977"/>
    <w:rsid w:val="00A05A95"/>
    <w:rsid w:val="00A05D1B"/>
    <w:rsid w:val="00A05D43"/>
    <w:rsid w:val="00A05F80"/>
    <w:rsid w:val="00A062B6"/>
    <w:rsid w:val="00A062D3"/>
    <w:rsid w:val="00A06F04"/>
    <w:rsid w:val="00A06F71"/>
    <w:rsid w:val="00A07C27"/>
    <w:rsid w:val="00A10449"/>
    <w:rsid w:val="00A1051C"/>
    <w:rsid w:val="00A10A2E"/>
    <w:rsid w:val="00A10BFD"/>
    <w:rsid w:val="00A10C90"/>
    <w:rsid w:val="00A115A8"/>
    <w:rsid w:val="00A11A6C"/>
    <w:rsid w:val="00A125C3"/>
    <w:rsid w:val="00A12824"/>
    <w:rsid w:val="00A12969"/>
    <w:rsid w:val="00A13B6A"/>
    <w:rsid w:val="00A13C3F"/>
    <w:rsid w:val="00A141B1"/>
    <w:rsid w:val="00A1444D"/>
    <w:rsid w:val="00A144E5"/>
    <w:rsid w:val="00A14B93"/>
    <w:rsid w:val="00A15312"/>
    <w:rsid w:val="00A153D1"/>
    <w:rsid w:val="00A1580F"/>
    <w:rsid w:val="00A15887"/>
    <w:rsid w:val="00A15CB4"/>
    <w:rsid w:val="00A16CDC"/>
    <w:rsid w:val="00A16E93"/>
    <w:rsid w:val="00A17F4B"/>
    <w:rsid w:val="00A20499"/>
    <w:rsid w:val="00A20907"/>
    <w:rsid w:val="00A20A30"/>
    <w:rsid w:val="00A20EA2"/>
    <w:rsid w:val="00A2150A"/>
    <w:rsid w:val="00A2187A"/>
    <w:rsid w:val="00A21CB8"/>
    <w:rsid w:val="00A222E9"/>
    <w:rsid w:val="00A22CC2"/>
    <w:rsid w:val="00A23082"/>
    <w:rsid w:val="00A24406"/>
    <w:rsid w:val="00A24A16"/>
    <w:rsid w:val="00A24EE6"/>
    <w:rsid w:val="00A25C24"/>
    <w:rsid w:val="00A25D42"/>
    <w:rsid w:val="00A260D8"/>
    <w:rsid w:val="00A26319"/>
    <w:rsid w:val="00A269AA"/>
    <w:rsid w:val="00A26B2E"/>
    <w:rsid w:val="00A26D76"/>
    <w:rsid w:val="00A26E43"/>
    <w:rsid w:val="00A2769B"/>
    <w:rsid w:val="00A27D1E"/>
    <w:rsid w:val="00A30957"/>
    <w:rsid w:val="00A30BDB"/>
    <w:rsid w:val="00A31D8B"/>
    <w:rsid w:val="00A32F44"/>
    <w:rsid w:val="00A33F61"/>
    <w:rsid w:val="00A345B1"/>
    <w:rsid w:val="00A35810"/>
    <w:rsid w:val="00A358DE"/>
    <w:rsid w:val="00A359C9"/>
    <w:rsid w:val="00A35D47"/>
    <w:rsid w:val="00A35F7A"/>
    <w:rsid w:val="00A35FDB"/>
    <w:rsid w:val="00A360BB"/>
    <w:rsid w:val="00A367A6"/>
    <w:rsid w:val="00A36831"/>
    <w:rsid w:val="00A37020"/>
    <w:rsid w:val="00A3737C"/>
    <w:rsid w:val="00A37A93"/>
    <w:rsid w:val="00A37B34"/>
    <w:rsid w:val="00A37F05"/>
    <w:rsid w:val="00A403C0"/>
    <w:rsid w:val="00A4057A"/>
    <w:rsid w:val="00A4078D"/>
    <w:rsid w:val="00A40EA7"/>
    <w:rsid w:val="00A41D95"/>
    <w:rsid w:val="00A41E48"/>
    <w:rsid w:val="00A4210C"/>
    <w:rsid w:val="00A42AB6"/>
    <w:rsid w:val="00A43032"/>
    <w:rsid w:val="00A4313A"/>
    <w:rsid w:val="00A440BC"/>
    <w:rsid w:val="00A443E7"/>
    <w:rsid w:val="00A44646"/>
    <w:rsid w:val="00A448D1"/>
    <w:rsid w:val="00A44C5B"/>
    <w:rsid w:val="00A44FB5"/>
    <w:rsid w:val="00A45AF9"/>
    <w:rsid w:val="00A45D4B"/>
    <w:rsid w:val="00A46532"/>
    <w:rsid w:val="00A46F7B"/>
    <w:rsid w:val="00A47320"/>
    <w:rsid w:val="00A47D9A"/>
    <w:rsid w:val="00A47EA0"/>
    <w:rsid w:val="00A50C7D"/>
    <w:rsid w:val="00A52708"/>
    <w:rsid w:val="00A52BAE"/>
    <w:rsid w:val="00A53006"/>
    <w:rsid w:val="00A53DCC"/>
    <w:rsid w:val="00A53E95"/>
    <w:rsid w:val="00A546B7"/>
    <w:rsid w:val="00A54843"/>
    <w:rsid w:val="00A54BB9"/>
    <w:rsid w:val="00A55210"/>
    <w:rsid w:val="00A55D8F"/>
    <w:rsid w:val="00A55D93"/>
    <w:rsid w:val="00A56148"/>
    <w:rsid w:val="00A562E4"/>
    <w:rsid w:val="00A56578"/>
    <w:rsid w:val="00A567AE"/>
    <w:rsid w:val="00A56E55"/>
    <w:rsid w:val="00A56E6C"/>
    <w:rsid w:val="00A56E8E"/>
    <w:rsid w:val="00A57934"/>
    <w:rsid w:val="00A57C15"/>
    <w:rsid w:val="00A57E4E"/>
    <w:rsid w:val="00A57F88"/>
    <w:rsid w:val="00A57FB2"/>
    <w:rsid w:val="00A6080A"/>
    <w:rsid w:val="00A60910"/>
    <w:rsid w:val="00A60912"/>
    <w:rsid w:val="00A60925"/>
    <w:rsid w:val="00A6097C"/>
    <w:rsid w:val="00A60A22"/>
    <w:rsid w:val="00A60A71"/>
    <w:rsid w:val="00A613CF"/>
    <w:rsid w:val="00A61FC9"/>
    <w:rsid w:val="00A62B01"/>
    <w:rsid w:val="00A62C09"/>
    <w:rsid w:val="00A63DC5"/>
    <w:rsid w:val="00A63DD9"/>
    <w:rsid w:val="00A64760"/>
    <w:rsid w:val="00A6479B"/>
    <w:rsid w:val="00A64833"/>
    <w:rsid w:val="00A64C1D"/>
    <w:rsid w:val="00A64F04"/>
    <w:rsid w:val="00A659D5"/>
    <w:rsid w:val="00A65F7A"/>
    <w:rsid w:val="00A665DF"/>
    <w:rsid w:val="00A66B03"/>
    <w:rsid w:val="00A6719E"/>
    <w:rsid w:val="00A677D0"/>
    <w:rsid w:val="00A702ED"/>
    <w:rsid w:val="00A7048E"/>
    <w:rsid w:val="00A71034"/>
    <w:rsid w:val="00A71063"/>
    <w:rsid w:val="00A71687"/>
    <w:rsid w:val="00A7293B"/>
    <w:rsid w:val="00A729F3"/>
    <w:rsid w:val="00A72C49"/>
    <w:rsid w:val="00A7351E"/>
    <w:rsid w:val="00A735FF"/>
    <w:rsid w:val="00A73EEE"/>
    <w:rsid w:val="00A74010"/>
    <w:rsid w:val="00A74D07"/>
    <w:rsid w:val="00A750E4"/>
    <w:rsid w:val="00A756B3"/>
    <w:rsid w:val="00A75C51"/>
    <w:rsid w:val="00A75E67"/>
    <w:rsid w:val="00A75FAD"/>
    <w:rsid w:val="00A76230"/>
    <w:rsid w:val="00A76799"/>
    <w:rsid w:val="00A76F8F"/>
    <w:rsid w:val="00A778D8"/>
    <w:rsid w:val="00A77B33"/>
    <w:rsid w:val="00A77C16"/>
    <w:rsid w:val="00A77FBD"/>
    <w:rsid w:val="00A806B3"/>
    <w:rsid w:val="00A80818"/>
    <w:rsid w:val="00A80DB5"/>
    <w:rsid w:val="00A81A42"/>
    <w:rsid w:val="00A81E0D"/>
    <w:rsid w:val="00A8236D"/>
    <w:rsid w:val="00A82F45"/>
    <w:rsid w:val="00A82FCE"/>
    <w:rsid w:val="00A83053"/>
    <w:rsid w:val="00A83454"/>
    <w:rsid w:val="00A84017"/>
    <w:rsid w:val="00A84147"/>
    <w:rsid w:val="00A84842"/>
    <w:rsid w:val="00A84D30"/>
    <w:rsid w:val="00A851DA"/>
    <w:rsid w:val="00A8590E"/>
    <w:rsid w:val="00A86156"/>
    <w:rsid w:val="00A86190"/>
    <w:rsid w:val="00A86BAA"/>
    <w:rsid w:val="00A86D7C"/>
    <w:rsid w:val="00A86DBD"/>
    <w:rsid w:val="00A872D8"/>
    <w:rsid w:val="00A875A4"/>
    <w:rsid w:val="00A87C08"/>
    <w:rsid w:val="00A87E71"/>
    <w:rsid w:val="00A900A1"/>
    <w:rsid w:val="00A90199"/>
    <w:rsid w:val="00A9072F"/>
    <w:rsid w:val="00A90B36"/>
    <w:rsid w:val="00A90C7F"/>
    <w:rsid w:val="00A90E79"/>
    <w:rsid w:val="00A928E5"/>
    <w:rsid w:val="00A931E6"/>
    <w:rsid w:val="00A9328A"/>
    <w:rsid w:val="00A93BAE"/>
    <w:rsid w:val="00A93D19"/>
    <w:rsid w:val="00A9464C"/>
    <w:rsid w:val="00A94EFB"/>
    <w:rsid w:val="00A9567B"/>
    <w:rsid w:val="00A95A55"/>
    <w:rsid w:val="00A95FB0"/>
    <w:rsid w:val="00A96112"/>
    <w:rsid w:val="00A963AD"/>
    <w:rsid w:val="00A96784"/>
    <w:rsid w:val="00A96E1F"/>
    <w:rsid w:val="00A96F2F"/>
    <w:rsid w:val="00A977F5"/>
    <w:rsid w:val="00A97B22"/>
    <w:rsid w:val="00A97D3F"/>
    <w:rsid w:val="00A97E98"/>
    <w:rsid w:val="00AA038D"/>
    <w:rsid w:val="00AA1299"/>
    <w:rsid w:val="00AA1930"/>
    <w:rsid w:val="00AA1C59"/>
    <w:rsid w:val="00AA1DA1"/>
    <w:rsid w:val="00AA1DE3"/>
    <w:rsid w:val="00AA3197"/>
    <w:rsid w:val="00AA3853"/>
    <w:rsid w:val="00AA4175"/>
    <w:rsid w:val="00AA470A"/>
    <w:rsid w:val="00AA52D7"/>
    <w:rsid w:val="00AA5BE6"/>
    <w:rsid w:val="00AA5CD7"/>
    <w:rsid w:val="00AA660F"/>
    <w:rsid w:val="00AA6CB9"/>
    <w:rsid w:val="00AA6E63"/>
    <w:rsid w:val="00AA6FC3"/>
    <w:rsid w:val="00AA71B6"/>
    <w:rsid w:val="00AA73F6"/>
    <w:rsid w:val="00AA74B9"/>
    <w:rsid w:val="00AA78F4"/>
    <w:rsid w:val="00AB00D1"/>
    <w:rsid w:val="00AB0501"/>
    <w:rsid w:val="00AB075D"/>
    <w:rsid w:val="00AB0F0C"/>
    <w:rsid w:val="00AB1312"/>
    <w:rsid w:val="00AB2331"/>
    <w:rsid w:val="00AB25AC"/>
    <w:rsid w:val="00AB28C0"/>
    <w:rsid w:val="00AB310A"/>
    <w:rsid w:val="00AB358F"/>
    <w:rsid w:val="00AB3A65"/>
    <w:rsid w:val="00AB3AD5"/>
    <w:rsid w:val="00AB3DEE"/>
    <w:rsid w:val="00AB4CF0"/>
    <w:rsid w:val="00AB5680"/>
    <w:rsid w:val="00AB600F"/>
    <w:rsid w:val="00AB6591"/>
    <w:rsid w:val="00AB753F"/>
    <w:rsid w:val="00AB7661"/>
    <w:rsid w:val="00AC0284"/>
    <w:rsid w:val="00AC170B"/>
    <w:rsid w:val="00AC1C15"/>
    <w:rsid w:val="00AC2678"/>
    <w:rsid w:val="00AC2685"/>
    <w:rsid w:val="00AC29D8"/>
    <w:rsid w:val="00AC3016"/>
    <w:rsid w:val="00AC3085"/>
    <w:rsid w:val="00AC3361"/>
    <w:rsid w:val="00AC38DD"/>
    <w:rsid w:val="00AC3BDD"/>
    <w:rsid w:val="00AC43B4"/>
    <w:rsid w:val="00AC4764"/>
    <w:rsid w:val="00AC4A8E"/>
    <w:rsid w:val="00AC4DD3"/>
    <w:rsid w:val="00AC5209"/>
    <w:rsid w:val="00AC66E9"/>
    <w:rsid w:val="00AC6A96"/>
    <w:rsid w:val="00AC6B21"/>
    <w:rsid w:val="00AC6BD2"/>
    <w:rsid w:val="00AC70BB"/>
    <w:rsid w:val="00AC72C5"/>
    <w:rsid w:val="00AC76B5"/>
    <w:rsid w:val="00AC7B26"/>
    <w:rsid w:val="00AD0114"/>
    <w:rsid w:val="00AD2505"/>
    <w:rsid w:val="00AD25A6"/>
    <w:rsid w:val="00AD27B9"/>
    <w:rsid w:val="00AD2882"/>
    <w:rsid w:val="00AD2BBB"/>
    <w:rsid w:val="00AD2D3F"/>
    <w:rsid w:val="00AD2D8D"/>
    <w:rsid w:val="00AD5164"/>
    <w:rsid w:val="00AD5565"/>
    <w:rsid w:val="00AD5CA6"/>
    <w:rsid w:val="00AD6979"/>
    <w:rsid w:val="00AD6A22"/>
    <w:rsid w:val="00AD741F"/>
    <w:rsid w:val="00AD744F"/>
    <w:rsid w:val="00AD77C7"/>
    <w:rsid w:val="00AE00AA"/>
    <w:rsid w:val="00AE1321"/>
    <w:rsid w:val="00AE15B5"/>
    <w:rsid w:val="00AE1938"/>
    <w:rsid w:val="00AE1D4A"/>
    <w:rsid w:val="00AE1FCD"/>
    <w:rsid w:val="00AE2295"/>
    <w:rsid w:val="00AE315D"/>
    <w:rsid w:val="00AE3D31"/>
    <w:rsid w:val="00AE45E4"/>
    <w:rsid w:val="00AE4B92"/>
    <w:rsid w:val="00AE4C31"/>
    <w:rsid w:val="00AE4D8A"/>
    <w:rsid w:val="00AE64F5"/>
    <w:rsid w:val="00AE6936"/>
    <w:rsid w:val="00AE6BBE"/>
    <w:rsid w:val="00AE6C49"/>
    <w:rsid w:val="00AE7312"/>
    <w:rsid w:val="00AE75CD"/>
    <w:rsid w:val="00AE77E5"/>
    <w:rsid w:val="00AE79D7"/>
    <w:rsid w:val="00AE7C11"/>
    <w:rsid w:val="00AF0009"/>
    <w:rsid w:val="00AF002E"/>
    <w:rsid w:val="00AF011B"/>
    <w:rsid w:val="00AF0267"/>
    <w:rsid w:val="00AF1016"/>
    <w:rsid w:val="00AF1113"/>
    <w:rsid w:val="00AF13FB"/>
    <w:rsid w:val="00AF2B86"/>
    <w:rsid w:val="00AF2E2C"/>
    <w:rsid w:val="00AF37A9"/>
    <w:rsid w:val="00AF3945"/>
    <w:rsid w:val="00AF3E6C"/>
    <w:rsid w:val="00AF465B"/>
    <w:rsid w:val="00AF50EA"/>
    <w:rsid w:val="00AF56A7"/>
    <w:rsid w:val="00AF5C21"/>
    <w:rsid w:val="00AF6108"/>
    <w:rsid w:val="00AF61C2"/>
    <w:rsid w:val="00AF647E"/>
    <w:rsid w:val="00AF6BF9"/>
    <w:rsid w:val="00AF7199"/>
    <w:rsid w:val="00AF727C"/>
    <w:rsid w:val="00AF77C9"/>
    <w:rsid w:val="00AF7C38"/>
    <w:rsid w:val="00AF7DA5"/>
    <w:rsid w:val="00AF7F82"/>
    <w:rsid w:val="00B002F6"/>
    <w:rsid w:val="00B003BA"/>
    <w:rsid w:val="00B003DF"/>
    <w:rsid w:val="00B008CA"/>
    <w:rsid w:val="00B00C8C"/>
    <w:rsid w:val="00B00CEE"/>
    <w:rsid w:val="00B0113C"/>
    <w:rsid w:val="00B01F4F"/>
    <w:rsid w:val="00B0239E"/>
    <w:rsid w:val="00B02AAA"/>
    <w:rsid w:val="00B03177"/>
    <w:rsid w:val="00B03498"/>
    <w:rsid w:val="00B03499"/>
    <w:rsid w:val="00B035B5"/>
    <w:rsid w:val="00B03D69"/>
    <w:rsid w:val="00B03EFF"/>
    <w:rsid w:val="00B03FA2"/>
    <w:rsid w:val="00B04634"/>
    <w:rsid w:val="00B048AB"/>
    <w:rsid w:val="00B0495B"/>
    <w:rsid w:val="00B04B12"/>
    <w:rsid w:val="00B053C6"/>
    <w:rsid w:val="00B0540C"/>
    <w:rsid w:val="00B059A3"/>
    <w:rsid w:val="00B06B65"/>
    <w:rsid w:val="00B06F86"/>
    <w:rsid w:val="00B070AD"/>
    <w:rsid w:val="00B07D55"/>
    <w:rsid w:val="00B105E0"/>
    <w:rsid w:val="00B11047"/>
    <w:rsid w:val="00B11D60"/>
    <w:rsid w:val="00B11F6B"/>
    <w:rsid w:val="00B12554"/>
    <w:rsid w:val="00B126FA"/>
    <w:rsid w:val="00B12A5F"/>
    <w:rsid w:val="00B1387E"/>
    <w:rsid w:val="00B139BE"/>
    <w:rsid w:val="00B13A18"/>
    <w:rsid w:val="00B13AD1"/>
    <w:rsid w:val="00B13CDF"/>
    <w:rsid w:val="00B13F94"/>
    <w:rsid w:val="00B143E0"/>
    <w:rsid w:val="00B1468F"/>
    <w:rsid w:val="00B14DA4"/>
    <w:rsid w:val="00B151BA"/>
    <w:rsid w:val="00B155B7"/>
    <w:rsid w:val="00B157A2"/>
    <w:rsid w:val="00B159D9"/>
    <w:rsid w:val="00B15D66"/>
    <w:rsid w:val="00B15DE7"/>
    <w:rsid w:val="00B15ED2"/>
    <w:rsid w:val="00B15F47"/>
    <w:rsid w:val="00B1614B"/>
    <w:rsid w:val="00B16336"/>
    <w:rsid w:val="00B169A1"/>
    <w:rsid w:val="00B172DF"/>
    <w:rsid w:val="00B17699"/>
    <w:rsid w:val="00B17B7A"/>
    <w:rsid w:val="00B17C8B"/>
    <w:rsid w:val="00B2089F"/>
    <w:rsid w:val="00B20977"/>
    <w:rsid w:val="00B20F3B"/>
    <w:rsid w:val="00B21173"/>
    <w:rsid w:val="00B21868"/>
    <w:rsid w:val="00B21BF6"/>
    <w:rsid w:val="00B21E91"/>
    <w:rsid w:val="00B23137"/>
    <w:rsid w:val="00B23409"/>
    <w:rsid w:val="00B2342E"/>
    <w:rsid w:val="00B23938"/>
    <w:rsid w:val="00B23D5E"/>
    <w:rsid w:val="00B245EB"/>
    <w:rsid w:val="00B2464C"/>
    <w:rsid w:val="00B24B40"/>
    <w:rsid w:val="00B24DA3"/>
    <w:rsid w:val="00B2584C"/>
    <w:rsid w:val="00B25F61"/>
    <w:rsid w:val="00B264A3"/>
    <w:rsid w:val="00B265DD"/>
    <w:rsid w:val="00B27803"/>
    <w:rsid w:val="00B27A76"/>
    <w:rsid w:val="00B27CD5"/>
    <w:rsid w:val="00B300DE"/>
    <w:rsid w:val="00B30217"/>
    <w:rsid w:val="00B303A6"/>
    <w:rsid w:val="00B30F18"/>
    <w:rsid w:val="00B3169D"/>
    <w:rsid w:val="00B31EAC"/>
    <w:rsid w:val="00B32DB9"/>
    <w:rsid w:val="00B33092"/>
    <w:rsid w:val="00B33323"/>
    <w:rsid w:val="00B3355D"/>
    <w:rsid w:val="00B33C24"/>
    <w:rsid w:val="00B345D3"/>
    <w:rsid w:val="00B348E8"/>
    <w:rsid w:val="00B350B8"/>
    <w:rsid w:val="00B35EB7"/>
    <w:rsid w:val="00B3608A"/>
    <w:rsid w:val="00B363E9"/>
    <w:rsid w:val="00B36481"/>
    <w:rsid w:val="00B36F12"/>
    <w:rsid w:val="00B375BD"/>
    <w:rsid w:val="00B37F6B"/>
    <w:rsid w:val="00B40348"/>
    <w:rsid w:val="00B405D3"/>
    <w:rsid w:val="00B4096B"/>
    <w:rsid w:val="00B40ABF"/>
    <w:rsid w:val="00B40E79"/>
    <w:rsid w:val="00B41BD9"/>
    <w:rsid w:val="00B42498"/>
    <w:rsid w:val="00B424AB"/>
    <w:rsid w:val="00B429D6"/>
    <w:rsid w:val="00B436C2"/>
    <w:rsid w:val="00B439C4"/>
    <w:rsid w:val="00B443A2"/>
    <w:rsid w:val="00B44682"/>
    <w:rsid w:val="00B44D47"/>
    <w:rsid w:val="00B44E74"/>
    <w:rsid w:val="00B452A3"/>
    <w:rsid w:val="00B45562"/>
    <w:rsid w:val="00B4562B"/>
    <w:rsid w:val="00B45B4A"/>
    <w:rsid w:val="00B45F53"/>
    <w:rsid w:val="00B4609C"/>
    <w:rsid w:val="00B467FC"/>
    <w:rsid w:val="00B4685D"/>
    <w:rsid w:val="00B46B30"/>
    <w:rsid w:val="00B473CF"/>
    <w:rsid w:val="00B474E3"/>
    <w:rsid w:val="00B47816"/>
    <w:rsid w:val="00B47BCC"/>
    <w:rsid w:val="00B503ED"/>
    <w:rsid w:val="00B508A6"/>
    <w:rsid w:val="00B50CAB"/>
    <w:rsid w:val="00B50D78"/>
    <w:rsid w:val="00B50F8B"/>
    <w:rsid w:val="00B510C4"/>
    <w:rsid w:val="00B51255"/>
    <w:rsid w:val="00B5193C"/>
    <w:rsid w:val="00B524AA"/>
    <w:rsid w:val="00B52E44"/>
    <w:rsid w:val="00B52F0A"/>
    <w:rsid w:val="00B53988"/>
    <w:rsid w:val="00B539B2"/>
    <w:rsid w:val="00B543EA"/>
    <w:rsid w:val="00B55277"/>
    <w:rsid w:val="00B5586D"/>
    <w:rsid w:val="00B55F57"/>
    <w:rsid w:val="00B564BA"/>
    <w:rsid w:val="00B569AB"/>
    <w:rsid w:val="00B56D3C"/>
    <w:rsid w:val="00B574E7"/>
    <w:rsid w:val="00B60541"/>
    <w:rsid w:val="00B60ADD"/>
    <w:rsid w:val="00B60BBC"/>
    <w:rsid w:val="00B61880"/>
    <w:rsid w:val="00B61F77"/>
    <w:rsid w:val="00B62204"/>
    <w:rsid w:val="00B622B8"/>
    <w:rsid w:val="00B636C9"/>
    <w:rsid w:val="00B63851"/>
    <w:rsid w:val="00B63B65"/>
    <w:rsid w:val="00B63E07"/>
    <w:rsid w:val="00B642B7"/>
    <w:rsid w:val="00B645F8"/>
    <w:rsid w:val="00B647BE"/>
    <w:rsid w:val="00B64EEA"/>
    <w:rsid w:val="00B64FB7"/>
    <w:rsid w:val="00B651D0"/>
    <w:rsid w:val="00B65408"/>
    <w:rsid w:val="00B65833"/>
    <w:rsid w:val="00B65BA6"/>
    <w:rsid w:val="00B65D0C"/>
    <w:rsid w:val="00B66F10"/>
    <w:rsid w:val="00B67A4F"/>
    <w:rsid w:val="00B67AAB"/>
    <w:rsid w:val="00B70AE5"/>
    <w:rsid w:val="00B70B46"/>
    <w:rsid w:val="00B710F6"/>
    <w:rsid w:val="00B7114F"/>
    <w:rsid w:val="00B71193"/>
    <w:rsid w:val="00B71A6E"/>
    <w:rsid w:val="00B72025"/>
    <w:rsid w:val="00B72479"/>
    <w:rsid w:val="00B72AC0"/>
    <w:rsid w:val="00B72B0B"/>
    <w:rsid w:val="00B72FD9"/>
    <w:rsid w:val="00B73232"/>
    <w:rsid w:val="00B73C71"/>
    <w:rsid w:val="00B7404D"/>
    <w:rsid w:val="00B74146"/>
    <w:rsid w:val="00B74B0D"/>
    <w:rsid w:val="00B750D7"/>
    <w:rsid w:val="00B75632"/>
    <w:rsid w:val="00B75ABF"/>
    <w:rsid w:val="00B76E4A"/>
    <w:rsid w:val="00B77054"/>
    <w:rsid w:val="00B80454"/>
    <w:rsid w:val="00B80E2D"/>
    <w:rsid w:val="00B80E61"/>
    <w:rsid w:val="00B80F3B"/>
    <w:rsid w:val="00B8112C"/>
    <w:rsid w:val="00B818D4"/>
    <w:rsid w:val="00B8190D"/>
    <w:rsid w:val="00B819DF"/>
    <w:rsid w:val="00B8248A"/>
    <w:rsid w:val="00B82F1C"/>
    <w:rsid w:val="00B839AC"/>
    <w:rsid w:val="00B8406E"/>
    <w:rsid w:val="00B84624"/>
    <w:rsid w:val="00B847A4"/>
    <w:rsid w:val="00B84908"/>
    <w:rsid w:val="00B852F0"/>
    <w:rsid w:val="00B855EB"/>
    <w:rsid w:val="00B85BC1"/>
    <w:rsid w:val="00B85D7F"/>
    <w:rsid w:val="00B85D95"/>
    <w:rsid w:val="00B86505"/>
    <w:rsid w:val="00B86E2F"/>
    <w:rsid w:val="00B871DD"/>
    <w:rsid w:val="00B8756D"/>
    <w:rsid w:val="00B87B66"/>
    <w:rsid w:val="00B9046D"/>
    <w:rsid w:val="00B9049B"/>
    <w:rsid w:val="00B90517"/>
    <w:rsid w:val="00B90CD2"/>
    <w:rsid w:val="00B90FE7"/>
    <w:rsid w:val="00B91253"/>
    <w:rsid w:val="00B91398"/>
    <w:rsid w:val="00B91677"/>
    <w:rsid w:val="00B91960"/>
    <w:rsid w:val="00B920A0"/>
    <w:rsid w:val="00B93335"/>
    <w:rsid w:val="00B9344F"/>
    <w:rsid w:val="00B938EB"/>
    <w:rsid w:val="00B943F8"/>
    <w:rsid w:val="00B94C00"/>
    <w:rsid w:val="00B94E21"/>
    <w:rsid w:val="00B951E1"/>
    <w:rsid w:val="00B95643"/>
    <w:rsid w:val="00B95F73"/>
    <w:rsid w:val="00B95FAD"/>
    <w:rsid w:val="00B962B1"/>
    <w:rsid w:val="00B96784"/>
    <w:rsid w:val="00B967BB"/>
    <w:rsid w:val="00B96DE9"/>
    <w:rsid w:val="00B96FE2"/>
    <w:rsid w:val="00B972C8"/>
    <w:rsid w:val="00B9734E"/>
    <w:rsid w:val="00B97416"/>
    <w:rsid w:val="00B975B4"/>
    <w:rsid w:val="00B978CA"/>
    <w:rsid w:val="00B97916"/>
    <w:rsid w:val="00B97DEC"/>
    <w:rsid w:val="00B97EAF"/>
    <w:rsid w:val="00BA012B"/>
    <w:rsid w:val="00BA09E4"/>
    <w:rsid w:val="00BA0E68"/>
    <w:rsid w:val="00BA1145"/>
    <w:rsid w:val="00BA1394"/>
    <w:rsid w:val="00BA145F"/>
    <w:rsid w:val="00BA15A8"/>
    <w:rsid w:val="00BA160F"/>
    <w:rsid w:val="00BA1704"/>
    <w:rsid w:val="00BA1744"/>
    <w:rsid w:val="00BA1829"/>
    <w:rsid w:val="00BA2427"/>
    <w:rsid w:val="00BA2584"/>
    <w:rsid w:val="00BA2F96"/>
    <w:rsid w:val="00BA3A80"/>
    <w:rsid w:val="00BA3C5D"/>
    <w:rsid w:val="00BA3E53"/>
    <w:rsid w:val="00BA5013"/>
    <w:rsid w:val="00BA5376"/>
    <w:rsid w:val="00BA551F"/>
    <w:rsid w:val="00BA584F"/>
    <w:rsid w:val="00BA6A1C"/>
    <w:rsid w:val="00BA6D96"/>
    <w:rsid w:val="00BA6EC1"/>
    <w:rsid w:val="00BA7D35"/>
    <w:rsid w:val="00BB0387"/>
    <w:rsid w:val="00BB063F"/>
    <w:rsid w:val="00BB0C8F"/>
    <w:rsid w:val="00BB1A9F"/>
    <w:rsid w:val="00BB1C25"/>
    <w:rsid w:val="00BB1C70"/>
    <w:rsid w:val="00BB234D"/>
    <w:rsid w:val="00BB2915"/>
    <w:rsid w:val="00BB29FD"/>
    <w:rsid w:val="00BB350E"/>
    <w:rsid w:val="00BB39FA"/>
    <w:rsid w:val="00BB4A2E"/>
    <w:rsid w:val="00BB5618"/>
    <w:rsid w:val="00BB5F51"/>
    <w:rsid w:val="00BB6039"/>
    <w:rsid w:val="00BB67CA"/>
    <w:rsid w:val="00BB6D4E"/>
    <w:rsid w:val="00BB7000"/>
    <w:rsid w:val="00BB776D"/>
    <w:rsid w:val="00BB7C65"/>
    <w:rsid w:val="00BC07A6"/>
    <w:rsid w:val="00BC086B"/>
    <w:rsid w:val="00BC0A8D"/>
    <w:rsid w:val="00BC14EA"/>
    <w:rsid w:val="00BC1CEB"/>
    <w:rsid w:val="00BC1F38"/>
    <w:rsid w:val="00BC24B4"/>
    <w:rsid w:val="00BC2AD1"/>
    <w:rsid w:val="00BC2B21"/>
    <w:rsid w:val="00BC2DA0"/>
    <w:rsid w:val="00BC3AD5"/>
    <w:rsid w:val="00BC42FE"/>
    <w:rsid w:val="00BC45BF"/>
    <w:rsid w:val="00BC4A9B"/>
    <w:rsid w:val="00BC4B26"/>
    <w:rsid w:val="00BC4DE1"/>
    <w:rsid w:val="00BC530B"/>
    <w:rsid w:val="00BC6429"/>
    <w:rsid w:val="00BC7A79"/>
    <w:rsid w:val="00BC7B1D"/>
    <w:rsid w:val="00BD02BD"/>
    <w:rsid w:val="00BD0907"/>
    <w:rsid w:val="00BD0A80"/>
    <w:rsid w:val="00BD0F28"/>
    <w:rsid w:val="00BD1F5C"/>
    <w:rsid w:val="00BD2269"/>
    <w:rsid w:val="00BD23AD"/>
    <w:rsid w:val="00BD2482"/>
    <w:rsid w:val="00BD2F33"/>
    <w:rsid w:val="00BD31FC"/>
    <w:rsid w:val="00BD36A5"/>
    <w:rsid w:val="00BD391B"/>
    <w:rsid w:val="00BD3E03"/>
    <w:rsid w:val="00BD43F4"/>
    <w:rsid w:val="00BD4B8D"/>
    <w:rsid w:val="00BD4C71"/>
    <w:rsid w:val="00BD4D00"/>
    <w:rsid w:val="00BD4D3B"/>
    <w:rsid w:val="00BD5FE1"/>
    <w:rsid w:val="00BD6368"/>
    <w:rsid w:val="00BD69FF"/>
    <w:rsid w:val="00BD6DAB"/>
    <w:rsid w:val="00BE0DD0"/>
    <w:rsid w:val="00BE115A"/>
    <w:rsid w:val="00BE121D"/>
    <w:rsid w:val="00BE16E7"/>
    <w:rsid w:val="00BE21E9"/>
    <w:rsid w:val="00BE2434"/>
    <w:rsid w:val="00BE2C0A"/>
    <w:rsid w:val="00BE2ECC"/>
    <w:rsid w:val="00BE3054"/>
    <w:rsid w:val="00BE33C3"/>
    <w:rsid w:val="00BE3662"/>
    <w:rsid w:val="00BE3A19"/>
    <w:rsid w:val="00BE3B86"/>
    <w:rsid w:val="00BE3BAE"/>
    <w:rsid w:val="00BE3FCC"/>
    <w:rsid w:val="00BE479F"/>
    <w:rsid w:val="00BE5C76"/>
    <w:rsid w:val="00BE5D5D"/>
    <w:rsid w:val="00BE623B"/>
    <w:rsid w:val="00BE64DF"/>
    <w:rsid w:val="00BE6985"/>
    <w:rsid w:val="00BE6AEA"/>
    <w:rsid w:val="00BE6C75"/>
    <w:rsid w:val="00BE6E4F"/>
    <w:rsid w:val="00BE7277"/>
    <w:rsid w:val="00BE749A"/>
    <w:rsid w:val="00BE78F8"/>
    <w:rsid w:val="00BE799F"/>
    <w:rsid w:val="00BE7CD3"/>
    <w:rsid w:val="00BF074A"/>
    <w:rsid w:val="00BF0BD5"/>
    <w:rsid w:val="00BF0DB1"/>
    <w:rsid w:val="00BF121B"/>
    <w:rsid w:val="00BF129E"/>
    <w:rsid w:val="00BF1657"/>
    <w:rsid w:val="00BF1731"/>
    <w:rsid w:val="00BF17CE"/>
    <w:rsid w:val="00BF1F7B"/>
    <w:rsid w:val="00BF239C"/>
    <w:rsid w:val="00BF2A83"/>
    <w:rsid w:val="00BF337A"/>
    <w:rsid w:val="00BF4262"/>
    <w:rsid w:val="00BF4B57"/>
    <w:rsid w:val="00BF526E"/>
    <w:rsid w:val="00BF52B7"/>
    <w:rsid w:val="00BF57AA"/>
    <w:rsid w:val="00BF5857"/>
    <w:rsid w:val="00BF587A"/>
    <w:rsid w:val="00BF5A39"/>
    <w:rsid w:val="00BF5BAD"/>
    <w:rsid w:val="00BF5F7F"/>
    <w:rsid w:val="00BF6842"/>
    <w:rsid w:val="00BF690F"/>
    <w:rsid w:val="00BF6BC4"/>
    <w:rsid w:val="00BF6FB5"/>
    <w:rsid w:val="00BF742C"/>
    <w:rsid w:val="00C0029D"/>
    <w:rsid w:val="00C00590"/>
    <w:rsid w:val="00C00D46"/>
    <w:rsid w:val="00C00F71"/>
    <w:rsid w:val="00C02C64"/>
    <w:rsid w:val="00C02CA3"/>
    <w:rsid w:val="00C033EF"/>
    <w:rsid w:val="00C035B8"/>
    <w:rsid w:val="00C03706"/>
    <w:rsid w:val="00C0374C"/>
    <w:rsid w:val="00C039BB"/>
    <w:rsid w:val="00C039C2"/>
    <w:rsid w:val="00C03D7D"/>
    <w:rsid w:val="00C03FF2"/>
    <w:rsid w:val="00C0418F"/>
    <w:rsid w:val="00C04918"/>
    <w:rsid w:val="00C050A0"/>
    <w:rsid w:val="00C051D8"/>
    <w:rsid w:val="00C05BFC"/>
    <w:rsid w:val="00C05D7E"/>
    <w:rsid w:val="00C05F10"/>
    <w:rsid w:val="00C063B2"/>
    <w:rsid w:val="00C06452"/>
    <w:rsid w:val="00C064A8"/>
    <w:rsid w:val="00C067AB"/>
    <w:rsid w:val="00C07066"/>
    <w:rsid w:val="00C07075"/>
    <w:rsid w:val="00C072AC"/>
    <w:rsid w:val="00C07B17"/>
    <w:rsid w:val="00C10415"/>
    <w:rsid w:val="00C108CB"/>
    <w:rsid w:val="00C10E3A"/>
    <w:rsid w:val="00C10F35"/>
    <w:rsid w:val="00C114CE"/>
    <w:rsid w:val="00C11695"/>
    <w:rsid w:val="00C11D6F"/>
    <w:rsid w:val="00C129FE"/>
    <w:rsid w:val="00C131C8"/>
    <w:rsid w:val="00C13BF9"/>
    <w:rsid w:val="00C13E51"/>
    <w:rsid w:val="00C14FF2"/>
    <w:rsid w:val="00C15249"/>
    <w:rsid w:val="00C153E9"/>
    <w:rsid w:val="00C1584C"/>
    <w:rsid w:val="00C15F04"/>
    <w:rsid w:val="00C16446"/>
    <w:rsid w:val="00C165B0"/>
    <w:rsid w:val="00C16694"/>
    <w:rsid w:val="00C16C57"/>
    <w:rsid w:val="00C171F3"/>
    <w:rsid w:val="00C17255"/>
    <w:rsid w:val="00C204E3"/>
    <w:rsid w:val="00C20A12"/>
    <w:rsid w:val="00C20C2B"/>
    <w:rsid w:val="00C20C8A"/>
    <w:rsid w:val="00C216B9"/>
    <w:rsid w:val="00C216F1"/>
    <w:rsid w:val="00C21C3A"/>
    <w:rsid w:val="00C21FEF"/>
    <w:rsid w:val="00C22417"/>
    <w:rsid w:val="00C226BA"/>
    <w:rsid w:val="00C22934"/>
    <w:rsid w:val="00C22EF1"/>
    <w:rsid w:val="00C23B4B"/>
    <w:rsid w:val="00C23D2C"/>
    <w:rsid w:val="00C23D6E"/>
    <w:rsid w:val="00C2403A"/>
    <w:rsid w:val="00C24BDD"/>
    <w:rsid w:val="00C25E4F"/>
    <w:rsid w:val="00C25ED9"/>
    <w:rsid w:val="00C266E1"/>
    <w:rsid w:val="00C26EF1"/>
    <w:rsid w:val="00C27197"/>
    <w:rsid w:val="00C2726B"/>
    <w:rsid w:val="00C273C0"/>
    <w:rsid w:val="00C279BF"/>
    <w:rsid w:val="00C27C99"/>
    <w:rsid w:val="00C30615"/>
    <w:rsid w:val="00C30881"/>
    <w:rsid w:val="00C30A13"/>
    <w:rsid w:val="00C30A67"/>
    <w:rsid w:val="00C30F16"/>
    <w:rsid w:val="00C310D0"/>
    <w:rsid w:val="00C3308E"/>
    <w:rsid w:val="00C337EE"/>
    <w:rsid w:val="00C33AA3"/>
    <w:rsid w:val="00C33AD2"/>
    <w:rsid w:val="00C33EDA"/>
    <w:rsid w:val="00C3422A"/>
    <w:rsid w:val="00C352F7"/>
    <w:rsid w:val="00C353BB"/>
    <w:rsid w:val="00C3559D"/>
    <w:rsid w:val="00C35BC1"/>
    <w:rsid w:val="00C360F4"/>
    <w:rsid w:val="00C36E5C"/>
    <w:rsid w:val="00C37109"/>
    <w:rsid w:val="00C371F3"/>
    <w:rsid w:val="00C37563"/>
    <w:rsid w:val="00C37A9D"/>
    <w:rsid w:val="00C400FF"/>
    <w:rsid w:val="00C40B05"/>
    <w:rsid w:val="00C40E17"/>
    <w:rsid w:val="00C41055"/>
    <w:rsid w:val="00C41587"/>
    <w:rsid w:val="00C43943"/>
    <w:rsid w:val="00C43BFF"/>
    <w:rsid w:val="00C43CA1"/>
    <w:rsid w:val="00C43EB0"/>
    <w:rsid w:val="00C44A18"/>
    <w:rsid w:val="00C45542"/>
    <w:rsid w:val="00C45910"/>
    <w:rsid w:val="00C45961"/>
    <w:rsid w:val="00C45965"/>
    <w:rsid w:val="00C45E96"/>
    <w:rsid w:val="00C4666E"/>
    <w:rsid w:val="00C4682C"/>
    <w:rsid w:val="00C46FD6"/>
    <w:rsid w:val="00C47674"/>
    <w:rsid w:val="00C4795C"/>
    <w:rsid w:val="00C47AD5"/>
    <w:rsid w:val="00C47BE9"/>
    <w:rsid w:val="00C47E3E"/>
    <w:rsid w:val="00C50349"/>
    <w:rsid w:val="00C51332"/>
    <w:rsid w:val="00C513C8"/>
    <w:rsid w:val="00C51634"/>
    <w:rsid w:val="00C518DF"/>
    <w:rsid w:val="00C51920"/>
    <w:rsid w:val="00C51F5F"/>
    <w:rsid w:val="00C52254"/>
    <w:rsid w:val="00C528E4"/>
    <w:rsid w:val="00C52AC7"/>
    <w:rsid w:val="00C52D70"/>
    <w:rsid w:val="00C52DE6"/>
    <w:rsid w:val="00C53218"/>
    <w:rsid w:val="00C537E3"/>
    <w:rsid w:val="00C53D0F"/>
    <w:rsid w:val="00C540D6"/>
    <w:rsid w:val="00C5444A"/>
    <w:rsid w:val="00C546E6"/>
    <w:rsid w:val="00C547AA"/>
    <w:rsid w:val="00C54E17"/>
    <w:rsid w:val="00C54ECA"/>
    <w:rsid w:val="00C55300"/>
    <w:rsid w:val="00C55777"/>
    <w:rsid w:val="00C5620E"/>
    <w:rsid w:val="00C56414"/>
    <w:rsid w:val="00C56AD6"/>
    <w:rsid w:val="00C56BD6"/>
    <w:rsid w:val="00C56E68"/>
    <w:rsid w:val="00C574F1"/>
    <w:rsid w:val="00C60DDF"/>
    <w:rsid w:val="00C612B7"/>
    <w:rsid w:val="00C6146D"/>
    <w:rsid w:val="00C61A70"/>
    <w:rsid w:val="00C61FA5"/>
    <w:rsid w:val="00C62947"/>
    <w:rsid w:val="00C6302D"/>
    <w:rsid w:val="00C6309F"/>
    <w:rsid w:val="00C632E3"/>
    <w:rsid w:val="00C63B6A"/>
    <w:rsid w:val="00C6448F"/>
    <w:rsid w:val="00C645EB"/>
    <w:rsid w:val="00C6476C"/>
    <w:rsid w:val="00C64B9E"/>
    <w:rsid w:val="00C6519A"/>
    <w:rsid w:val="00C6535C"/>
    <w:rsid w:val="00C65AB0"/>
    <w:rsid w:val="00C67C03"/>
    <w:rsid w:val="00C70998"/>
    <w:rsid w:val="00C70C6E"/>
    <w:rsid w:val="00C70CF5"/>
    <w:rsid w:val="00C71230"/>
    <w:rsid w:val="00C7139E"/>
    <w:rsid w:val="00C71BAB"/>
    <w:rsid w:val="00C72CE6"/>
    <w:rsid w:val="00C73D67"/>
    <w:rsid w:val="00C7470A"/>
    <w:rsid w:val="00C74991"/>
    <w:rsid w:val="00C749B6"/>
    <w:rsid w:val="00C755B9"/>
    <w:rsid w:val="00C757A8"/>
    <w:rsid w:val="00C76352"/>
    <w:rsid w:val="00C76510"/>
    <w:rsid w:val="00C76A30"/>
    <w:rsid w:val="00C771A5"/>
    <w:rsid w:val="00C776B7"/>
    <w:rsid w:val="00C80544"/>
    <w:rsid w:val="00C806EB"/>
    <w:rsid w:val="00C80993"/>
    <w:rsid w:val="00C82256"/>
    <w:rsid w:val="00C822DF"/>
    <w:rsid w:val="00C826DB"/>
    <w:rsid w:val="00C828D0"/>
    <w:rsid w:val="00C82A44"/>
    <w:rsid w:val="00C82EA7"/>
    <w:rsid w:val="00C836B4"/>
    <w:rsid w:val="00C83930"/>
    <w:rsid w:val="00C83AC6"/>
    <w:rsid w:val="00C84969"/>
    <w:rsid w:val="00C84B19"/>
    <w:rsid w:val="00C85013"/>
    <w:rsid w:val="00C85355"/>
    <w:rsid w:val="00C85477"/>
    <w:rsid w:val="00C85542"/>
    <w:rsid w:val="00C85667"/>
    <w:rsid w:val="00C85D85"/>
    <w:rsid w:val="00C85F31"/>
    <w:rsid w:val="00C86937"/>
    <w:rsid w:val="00C86973"/>
    <w:rsid w:val="00C87039"/>
    <w:rsid w:val="00C877A4"/>
    <w:rsid w:val="00C87862"/>
    <w:rsid w:val="00C87BF4"/>
    <w:rsid w:val="00C901EC"/>
    <w:rsid w:val="00C9030B"/>
    <w:rsid w:val="00C90799"/>
    <w:rsid w:val="00C90F20"/>
    <w:rsid w:val="00C91824"/>
    <w:rsid w:val="00C91C4D"/>
    <w:rsid w:val="00C93246"/>
    <w:rsid w:val="00C935FB"/>
    <w:rsid w:val="00C93C9D"/>
    <w:rsid w:val="00C93DD6"/>
    <w:rsid w:val="00C94032"/>
    <w:rsid w:val="00C940C9"/>
    <w:rsid w:val="00C94160"/>
    <w:rsid w:val="00C941BE"/>
    <w:rsid w:val="00C945EB"/>
    <w:rsid w:val="00C947B7"/>
    <w:rsid w:val="00C94889"/>
    <w:rsid w:val="00C9490C"/>
    <w:rsid w:val="00C94EAD"/>
    <w:rsid w:val="00C953E4"/>
    <w:rsid w:val="00C958A2"/>
    <w:rsid w:val="00C9624C"/>
    <w:rsid w:val="00C9684A"/>
    <w:rsid w:val="00C96BF3"/>
    <w:rsid w:val="00C971FB"/>
    <w:rsid w:val="00C97247"/>
    <w:rsid w:val="00C97683"/>
    <w:rsid w:val="00C97BED"/>
    <w:rsid w:val="00C97E00"/>
    <w:rsid w:val="00CA0321"/>
    <w:rsid w:val="00CA0B51"/>
    <w:rsid w:val="00CA0B60"/>
    <w:rsid w:val="00CA0C02"/>
    <w:rsid w:val="00CA1620"/>
    <w:rsid w:val="00CA1B3D"/>
    <w:rsid w:val="00CA2333"/>
    <w:rsid w:val="00CA281A"/>
    <w:rsid w:val="00CA2B79"/>
    <w:rsid w:val="00CA3962"/>
    <w:rsid w:val="00CA3E4B"/>
    <w:rsid w:val="00CA4364"/>
    <w:rsid w:val="00CA4406"/>
    <w:rsid w:val="00CA4696"/>
    <w:rsid w:val="00CA4AFE"/>
    <w:rsid w:val="00CA4B19"/>
    <w:rsid w:val="00CA4B25"/>
    <w:rsid w:val="00CA4C29"/>
    <w:rsid w:val="00CA52CB"/>
    <w:rsid w:val="00CA583D"/>
    <w:rsid w:val="00CA6460"/>
    <w:rsid w:val="00CA6537"/>
    <w:rsid w:val="00CA6D73"/>
    <w:rsid w:val="00CB01AB"/>
    <w:rsid w:val="00CB0380"/>
    <w:rsid w:val="00CB03A8"/>
    <w:rsid w:val="00CB0594"/>
    <w:rsid w:val="00CB0AA0"/>
    <w:rsid w:val="00CB0CA9"/>
    <w:rsid w:val="00CB0DA0"/>
    <w:rsid w:val="00CB1B48"/>
    <w:rsid w:val="00CB32B7"/>
    <w:rsid w:val="00CB35AA"/>
    <w:rsid w:val="00CB37E5"/>
    <w:rsid w:val="00CB4312"/>
    <w:rsid w:val="00CB489A"/>
    <w:rsid w:val="00CB577B"/>
    <w:rsid w:val="00CB57EA"/>
    <w:rsid w:val="00CB5D1D"/>
    <w:rsid w:val="00CB5D7F"/>
    <w:rsid w:val="00CB69D9"/>
    <w:rsid w:val="00CB7A1C"/>
    <w:rsid w:val="00CC0126"/>
    <w:rsid w:val="00CC027E"/>
    <w:rsid w:val="00CC04CD"/>
    <w:rsid w:val="00CC050C"/>
    <w:rsid w:val="00CC06D3"/>
    <w:rsid w:val="00CC1E89"/>
    <w:rsid w:val="00CC2A51"/>
    <w:rsid w:val="00CC2BE5"/>
    <w:rsid w:val="00CC301D"/>
    <w:rsid w:val="00CC354A"/>
    <w:rsid w:val="00CC3A10"/>
    <w:rsid w:val="00CC4217"/>
    <w:rsid w:val="00CC4540"/>
    <w:rsid w:val="00CC4924"/>
    <w:rsid w:val="00CC4D3F"/>
    <w:rsid w:val="00CC4FEC"/>
    <w:rsid w:val="00CC5008"/>
    <w:rsid w:val="00CC50B7"/>
    <w:rsid w:val="00CC6A76"/>
    <w:rsid w:val="00CC752C"/>
    <w:rsid w:val="00CC7669"/>
    <w:rsid w:val="00CD08BF"/>
    <w:rsid w:val="00CD110F"/>
    <w:rsid w:val="00CD195B"/>
    <w:rsid w:val="00CD1988"/>
    <w:rsid w:val="00CD1EEB"/>
    <w:rsid w:val="00CD2A7C"/>
    <w:rsid w:val="00CD3C0E"/>
    <w:rsid w:val="00CD3C54"/>
    <w:rsid w:val="00CD4C97"/>
    <w:rsid w:val="00CD4CA7"/>
    <w:rsid w:val="00CD4DA3"/>
    <w:rsid w:val="00CD4DE3"/>
    <w:rsid w:val="00CD58B0"/>
    <w:rsid w:val="00CD591A"/>
    <w:rsid w:val="00CD5D04"/>
    <w:rsid w:val="00CD79EC"/>
    <w:rsid w:val="00CD7A33"/>
    <w:rsid w:val="00CD7F8F"/>
    <w:rsid w:val="00CE0335"/>
    <w:rsid w:val="00CE15C1"/>
    <w:rsid w:val="00CE2243"/>
    <w:rsid w:val="00CE3559"/>
    <w:rsid w:val="00CE3600"/>
    <w:rsid w:val="00CE3946"/>
    <w:rsid w:val="00CE3C10"/>
    <w:rsid w:val="00CE435D"/>
    <w:rsid w:val="00CE4A4B"/>
    <w:rsid w:val="00CE4BEC"/>
    <w:rsid w:val="00CE550A"/>
    <w:rsid w:val="00CE5661"/>
    <w:rsid w:val="00CE5E8E"/>
    <w:rsid w:val="00CE6067"/>
    <w:rsid w:val="00CE6462"/>
    <w:rsid w:val="00CE65F4"/>
    <w:rsid w:val="00CE6DED"/>
    <w:rsid w:val="00CE6F49"/>
    <w:rsid w:val="00CE6FDD"/>
    <w:rsid w:val="00CE7159"/>
    <w:rsid w:val="00CE730B"/>
    <w:rsid w:val="00CE74E9"/>
    <w:rsid w:val="00CE76B5"/>
    <w:rsid w:val="00CE7A98"/>
    <w:rsid w:val="00CE7F77"/>
    <w:rsid w:val="00CF09A2"/>
    <w:rsid w:val="00CF1CFE"/>
    <w:rsid w:val="00CF1FD0"/>
    <w:rsid w:val="00CF2325"/>
    <w:rsid w:val="00CF2756"/>
    <w:rsid w:val="00CF2D07"/>
    <w:rsid w:val="00CF318D"/>
    <w:rsid w:val="00CF31E3"/>
    <w:rsid w:val="00CF3618"/>
    <w:rsid w:val="00CF3AAB"/>
    <w:rsid w:val="00CF3CAC"/>
    <w:rsid w:val="00CF3DA0"/>
    <w:rsid w:val="00CF42F9"/>
    <w:rsid w:val="00CF4B71"/>
    <w:rsid w:val="00CF4DC8"/>
    <w:rsid w:val="00CF5C92"/>
    <w:rsid w:val="00CF67D4"/>
    <w:rsid w:val="00CF71B1"/>
    <w:rsid w:val="00CF71CA"/>
    <w:rsid w:val="00CF7766"/>
    <w:rsid w:val="00CF7975"/>
    <w:rsid w:val="00CF799A"/>
    <w:rsid w:val="00CF7ABE"/>
    <w:rsid w:val="00CF7CC1"/>
    <w:rsid w:val="00CF7DA2"/>
    <w:rsid w:val="00D000DF"/>
    <w:rsid w:val="00D00585"/>
    <w:rsid w:val="00D00E51"/>
    <w:rsid w:val="00D013DD"/>
    <w:rsid w:val="00D0171D"/>
    <w:rsid w:val="00D0173A"/>
    <w:rsid w:val="00D01C34"/>
    <w:rsid w:val="00D01FE6"/>
    <w:rsid w:val="00D02438"/>
    <w:rsid w:val="00D02974"/>
    <w:rsid w:val="00D03264"/>
    <w:rsid w:val="00D036DD"/>
    <w:rsid w:val="00D03E98"/>
    <w:rsid w:val="00D03F7A"/>
    <w:rsid w:val="00D04900"/>
    <w:rsid w:val="00D04BBC"/>
    <w:rsid w:val="00D058D1"/>
    <w:rsid w:val="00D05BE7"/>
    <w:rsid w:val="00D06000"/>
    <w:rsid w:val="00D064C1"/>
    <w:rsid w:val="00D0739E"/>
    <w:rsid w:val="00D0777B"/>
    <w:rsid w:val="00D10AA6"/>
    <w:rsid w:val="00D10D73"/>
    <w:rsid w:val="00D1136E"/>
    <w:rsid w:val="00D12244"/>
    <w:rsid w:val="00D12704"/>
    <w:rsid w:val="00D12749"/>
    <w:rsid w:val="00D13514"/>
    <w:rsid w:val="00D13643"/>
    <w:rsid w:val="00D13CC0"/>
    <w:rsid w:val="00D13F75"/>
    <w:rsid w:val="00D142E5"/>
    <w:rsid w:val="00D1434E"/>
    <w:rsid w:val="00D144B9"/>
    <w:rsid w:val="00D1523F"/>
    <w:rsid w:val="00D15BAD"/>
    <w:rsid w:val="00D15DB6"/>
    <w:rsid w:val="00D15FC3"/>
    <w:rsid w:val="00D16A99"/>
    <w:rsid w:val="00D17580"/>
    <w:rsid w:val="00D1793E"/>
    <w:rsid w:val="00D17B70"/>
    <w:rsid w:val="00D20CBC"/>
    <w:rsid w:val="00D216B8"/>
    <w:rsid w:val="00D21DA8"/>
    <w:rsid w:val="00D21DEB"/>
    <w:rsid w:val="00D22142"/>
    <w:rsid w:val="00D2238B"/>
    <w:rsid w:val="00D224D3"/>
    <w:rsid w:val="00D22811"/>
    <w:rsid w:val="00D228A9"/>
    <w:rsid w:val="00D2290C"/>
    <w:rsid w:val="00D24299"/>
    <w:rsid w:val="00D24792"/>
    <w:rsid w:val="00D248E2"/>
    <w:rsid w:val="00D24937"/>
    <w:rsid w:val="00D24AF6"/>
    <w:rsid w:val="00D24B94"/>
    <w:rsid w:val="00D24C43"/>
    <w:rsid w:val="00D2512D"/>
    <w:rsid w:val="00D25B97"/>
    <w:rsid w:val="00D25C13"/>
    <w:rsid w:val="00D25F51"/>
    <w:rsid w:val="00D25FFC"/>
    <w:rsid w:val="00D26ACC"/>
    <w:rsid w:val="00D27175"/>
    <w:rsid w:val="00D271AB"/>
    <w:rsid w:val="00D275FD"/>
    <w:rsid w:val="00D27B37"/>
    <w:rsid w:val="00D30324"/>
    <w:rsid w:val="00D3065F"/>
    <w:rsid w:val="00D306D5"/>
    <w:rsid w:val="00D30709"/>
    <w:rsid w:val="00D30B03"/>
    <w:rsid w:val="00D311B9"/>
    <w:rsid w:val="00D311F7"/>
    <w:rsid w:val="00D31531"/>
    <w:rsid w:val="00D317CA"/>
    <w:rsid w:val="00D31B2A"/>
    <w:rsid w:val="00D31E0E"/>
    <w:rsid w:val="00D31E3A"/>
    <w:rsid w:val="00D320BD"/>
    <w:rsid w:val="00D32523"/>
    <w:rsid w:val="00D3268B"/>
    <w:rsid w:val="00D327C1"/>
    <w:rsid w:val="00D3291F"/>
    <w:rsid w:val="00D331B4"/>
    <w:rsid w:val="00D33CBE"/>
    <w:rsid w:val="00D346D1"/>
    <w:rsid w:val="00D35716"/>
    <w:rsid w:val="00D35811"/>
    <w:rsid w:val="00D35F84"/>
    <w:rsid w:val="00D35FBF"/>
    <w:rsid w:val="00D366E1"/>
    <w:rsid w:val="00D369E6"/>
    <w:rsid w:val="00D37AF3"/>
    <w:rsid w:val="00D40373"/>
    <w:rsid w:val="00D40565"/>
    <w:rsid w:val="00D407D4"/>
    <w:rsid w:val="00D40886"/>
    <w:rsid w:val="00D409D4"/>
    <w:rsid w:val="00D40D0D"/>
    <w:rsid w:val="00D41F9A"/>
    <w:rsid w:val="00D42277"/>
    <w:rsid w:val="00D42725"/>
    <w:rsid w:val="00D42A7A"/>
    <w:rsid w:val="00D42B41"/>
    <w:rsid w:val="00D430CE"/>
    <w:rsid w:val="00D430E8"/>
    <w:rsid w:val="00D43EE0"/>
    <w:rsid w:val="00D44364"/>
    <w:rsid w:val="00D443A3"/>
    <w:rsid w:val="00D4648C"/>
    <w:rsid w:val="00D468D3"/>
    <w:rsid w:val="00D46A79"/>
    <w:rsid w:val="00D4703E"/>
    <w:rsid w:val="00D47EF7"/>
    <w:rsid w:val="00D47FDB"/>
    <w:rsid w:val="00D505D5"/>
    <w:rsid w:val="00D50F8B"/>
    <w:rsid w:val="00D510B6"/>
    <w:rsid w:val="00D51351"/>
    <w:rsid w:val="00D51975"/>
    <w:rsid w:val="00D529C8"/>
    <w:rsid w:val="00D52E2B"/>
    <w:rsid w:val="00D52E87"/>
    <w:rsid w:val="00D532F2"/>
    <w:rsid w:val="00D53910"/>
    <w:rsid w:val="00D53F0F"/>
    <w:rsid w:val="00D53F60"/>
    <w:rsid w:val="00D5428B"/>
    <w:rsid w:val="00D544BD"/>
    <w:rsid w:val="00D54553"/>
    <w:rsid w:val="00D546FB"/>
    <w:rsid w:val="00D55057"/>
    <w:rsid w:val="00D55FE8"/>
    <w:rsid w:val="00D56285"/>
    <w:rsid w:val="00D5640B"/>
    <w:rsid w:val="00D56941"/>
    <w:rsid w:val="00D5789E"/>
    <w:rsid w:val="00D57F65"/>
    <w:rsid w:val="00D6010F"/>
    <w:rsid w:val="00D60518"/>
    <w:rsid w:val="00D60600"/>
    <w:rsid w:val="00D60CB7"/>
    <w:rsid w:val="00D60D19"/>
    <w:rsid w:val="00D61658"/>
    <w:rsid w:val="00D616D7"/>
    <w:rsid w:val="00D6238D"/>
    <w:rsid w:val="00D6350E"/>
    <w:rsid w:val="00D63550"/>
    <w:rsid w:val="00D636E7"/>
    <w:rsid w:val="00D63991"/>
    <w:rsid w:val="00D64DE0"/>
    <w:rsid w:val="00D65263"/>
    <w:rsid w:val="00D65973"/>
    <w:rsid w:val="00D65BAB"/>
    <w:rsid w:val="00D66301"/>
    <w:rsid w:val="00D6651C"/>
    <w:rsid w:val="00D66952"/>
    <w:rsid w:val="00D66F4E"/>
    <w:rsid w:val="00D678C7"/>
    <w:rsid w:val="00D7022F"/>
    <w:rsid w:val="00D7024E"/>
    <w:rsid w:val="00D7027F"/>
    <w:rsid w:val="00D709C2"/>
    <w:rsid w:val="00D70E21"/>
    <w:rsid w:val="00D71B05"/>
    <w:rsid w:val="00D72BEC"/>
    <w:rsid w:val="00D72E22"/>
    <w:rsid w:val="00D73124"/>
    <w:rsid w:val="00D742C9"/>
    <w:rsid w:val="00D74763"/>
    <w:rsid w:val="00D749B6"/>
    <w:rsid w:val="00D75920"/>
    <w:rsid w:val="00D75EF0"/>
    <w:rsid w:val="00D76369"/>
    <w:rsid w:val="00D76553"/>
    <w:rsid w:val="00D767A9"/>
    <w:rsid w:val="00D76904"/>
    <w:rsid w:val="00D76E31"/>
    <w:rsid w:val="00D76F8C"/>
    <w:rsid w:val="00D77420"/>
    <w:rsid w:val="00D7746A"/>
    <w:rsid w:val="00D77AB2"/>
    <w:rsid w:val="00D77DCA"/>
    <w:rsid w:val="00D77F54"/>
    <w:rsid w:val="00D807ED"/>
    <w:rsid w:val="00D81035"/>
    <w:rsid w:val="00D81594"/>
    <w:rsid w:val="00D82D4A"/>
    <w:rsid w:val="00D82F6A"/>
    <w:rsid w:val="00D83A43"/>
    <w:rsid w:val="00D83FAC"/>
    <w:rsid w:val="00D842B5"/>
    <w:rsid w:val="00D844CB"/>
    <w:rsid w:val="00D849D5"/>
    <w:rsid w:val="00D84C77"/>
    <w:rsid w:val="00D85097"/>
    <w:rsid w:val="00D85456"/>
    <w:rsid w:val="00D85A17"/>
    <w:rsid w:val="00D85A58"/>
    <w:rsid w:val="00D868FE"/>
    <w:rsid w:val="00D87988"/>
    <w:rsid w:val="00D87B28"/>
    <w:rsid w:val="00D900EF"/>
    <w:rsid w:val="00D9124A"/>
    <w:rsid w:val="00D91346"/>
    <w:rsid w:val="00D9147E"/>
    <w:rsid w:val="00D91CE3"/>
    <w:rsid w:val="00D91D51"/>
    <w:rsid w:val="00D92FE3"/>
    <w:rsid w:val="00D93287"/>
    <w:rsid w:val="00D932B7"/>
    <w:rsid w:val="00D93560"/>
    <w:rsid w:val="00D9385F"/>
    <w:rsid w:val="00D93CA0"/>
    <w:rsid w:val="00D942BA"/>
    <w:rsid w:val="00D94C1F"/>
    <w:rsid w:val="00D953C5"/>
    <w:rsid w:val="00D9645A"/>
    <w:rsid w:val="00D9665F"/>
    <w:rsid w:val="00D96A70"/>
    <w:rsid w:val="00D9753B"/>
    <w:rsid w:val="00DA00CA"/>
    <w:rsid w:val="00DA00EB"/>
    <w:rsid w:val="00DA0626"/>
    <w:rsid w:val="00DA081E"/>
    <w:rsid w:val="00DA1435"/>
    <w:rsid w:val="00DA1829"/>
    <w:rsid w:val="00DA2B10"/>
    <w:rsid w:val="00DA385F"/>
    <w:rsid w:val="00DA3B4D"/>
    <w:rsid w:val="00DA3CD3"/>
    <w:rsid w:val="00DA460E"/>
    <w:rsid w:val="00DA48B6"/>
    <w:rsid w:val="00DA4B3F"/>
    <w:rsid w:val="00DA4B9C"/>
    <w:rsid w:val="00DA4BBE"/>
    <w:rsid w:val="00DA5B6A"/>
    <w:rsid w:val="00DA5FAA"/>
    <w:rsid w:val="00DA67A5"/>
    <w:rsid w:val="00DA6E11"/>
    <w:rsid w:val="00DA7463"/>
    <w:rsid w:val="00DA7910"/>
    <w:rsid w:val="00DB029C"/>
    <w:rsid w:val="00DB0D8D"/>
    <w:rsid w:val="00DB17B0"/>
    <w:rsid w:val="00DB2005"/>
    <w:rsid w:val="00DB24B1"/>
    <w:rsid w:val="00DB28CF"/>
    <w:rsid w:val="00DB3693"/>
    <w:rsid w:val="00DB36B1"/>
    <w:rsid w:val="00DB3DE6"/>
    <w:rsid w:val="00DB3F8D"/>
    <w:rsid w:val="00DB45F8"/>
    <w:rsid w:val="00DB4634"/>
    <w:rsid w:val="00DB4A76"/>
    <w:rsid w:val="00DB53CB"/>
    <w:rsid w:val="00DB5779"/>
    <w:rsid w:val="00DB5C06"/>
    <w:rsid w:val="00DB5FD7"/>
    <w:rsid w:val="00DB67DF"/>
    <w:rsid w:val="00DB6BC0"/>
    <w:rsid w:val="00DB6C29"/>
    <w:rsid w:val="00DB6EF2"/>
    <w:rsid w:val="00DB7C8E"/>
    <w:rsid w:val="00DC05A9"/>
    <w:rsid w:val="00DC06F5"/>
    <w:rsid w:val="00DC098A"/>
    <w:rsid w:val="00DC09CB"/>
    <w:rsid w:val="00DC0E76"/>
    <w:rsid w:val="00DC1139"/>
    <w:rsid w:val="00DC19D3"/>
    <w:rsid w:val="00DC1AA4"/>
    <w:rsid w:val="00DC1D1D"/>
    <w:rsid w:val="00DC2145"/>
    <w:rsid w:val="00DC235B"/>
    <w:rsid w:val="00DC244A"/>
    <w:rsid w:val="00DC2B1C"/>
    <w:rsid w:val="00DC2B8B"/>
    <w:rsid w:val="00DC2C36"/>
    <w:rsid w:val="00DC2D43"/>
    <w:rsid w:val="00DC2D57"/>
    <w:rsid w:val="00DC2F2C"/>
    <w:rsid w:val="00DC33C9"/>
    <w:rsid w:val="00DC3BCE"/>
    <w:rsid w:val="00DC4608"/>
    <w:rsid w:val="00DC4D0D"/>
    <w:rsid w:val="00DC522B"/>
    <w:rsid w:val="00DC5590"/>
    <w:rsid w:val="00DC5EEF"/>
    <w:rsid w:val="00DC61CD"/>
    <w:rsid w:val="00DC6A15"/>
    <w:rsid w:val="00DC70A1"/>
    <w:rsid w:val="00DC7245"/>
    <w:rsid w:val="00DC768C"/>
    <w:rsid w:val="00DC7F4F"/>
    <w:rsid w:val="00DD02E7"/>
    <w:rsid w:val="00DD06B3"/>
    <w:rsid w:val="00DD102E"/>
    <w:rsid w:val="00DD11CF"/>
    <w:rsid w:val="00DD124D"/>
    <w:rsid w:val="00DD158F"/>
    <w:rsid w:val="00DD1A23"/>
    <w:rsid w:val="00DD1C6E"/>
    <w:rsid w:val="00DD2379"/>
    <w:rsid w:val="00DD26C1"/>
    <w:rsid w:val="00DD2853"/>
    <w:rsid w:val="00DD33B9"/>
    <w:rsid w:val="00DD398C"/>
    <w:rsid w:val="00DD47E9"/>
    <w:rsid w:val="00DD4AA4"/>
    <w:rsid w:val="00DD4B94"/>
    <w:rsid w:val="00DD5F85"/>
    <w:rsid w:val="00DD7D1D"/>
    <w:rsid w:val="00DE054F"/>
    <w:rsid w:val="00DE07A3"/>
    <w:rsid w:val="00DE0870"/>
    <w:rsid w:val="00DE0A71"/>
    <w:rsid w:val="00DE0D7C"/>
    <w:rsid w:val="00DE0DC0"/>
    <w:rsid w:val="00DE1DC0"/>
    <w:rsid w:val="00DE1DE8"/>
    <w:rsid w:val="00DE205A"/>
    <w:rsid w:val="00DE2D4B"/>
    <w:rsid w:val="00DE3148"/>
    <w:rsid w:val="00DE4763"/>
    <w:rsid w:val="00DE4CC5"/>
    <w:rsid w:val="00DE4CCD"/>
    <w:rsid w:val="00DE4FE0"/>
    <w:rsid w:val="00DE5114"/>
    <w:rsid w:val="00DE5252"/>
    <w:rsid w:val="00DE6001"/>
    <w:rsid w:val="00DE6027"/>
    <w:rsid w:val="00DE643A"/>
    <w:rsid w:val="00DE6A94"/>
    <w:rsid w:val="00DE6B73"/>
    <w:rsid w:val="00DE6D8A"/>
    <w:rsid w:val="00DE6F3E"/>
    <w:rsid w:val="00DE6FA9"/>
    <w:rsid w:val="00DE6FF2"/>
    <w:rsid w:val="00DE7218"/>
    <w:rsid w:val="00DE743C"/>
    <w:rsid w:val="00DE7616"/>
    <w:rsid w:val="00DE78AE"/>
    <w:rsid w:val="00DE7F24"/>
    <w:rsid w:val="00DF00D9"/>
    <w:rsid w:val="00DF02B6"/>
    <w:rsid w:val="00DF0816"/>
    <w:rsid w:val="00DF115C"/>
    <w:rsid w:val="00DF1221"/>
    <w:rsid w:val="00DF13BD"/>
    <w:rsid w:val="00DF1523"/>
    <w:rsid w:val="00DF1926"/>
    <w:rsid w:val="00DF1AF6"/>
    <w:rsid w:val="00DF1CC5"/>
    <w:rsid w:val="00DF200A"/>
    <w:rsid w:val="00DF3328"/>
    <w:rsid w:val="00DF36FC"/>
    <w:rsid w:val="00DF4056"/>
    <w:rsid w:val="00DF430C"/>
    <w:rsid w:val="00DF4597"/>
    <w:rsid w:val="00DF48C1"/>
    <w:rsid w:val="00DF4C75"/>
    <w:rsid w:val="00DF536F"/>
    <w:rsid w:val="00DF5401"/>
    <w:rsid w:val="00DF59B0"/>
    <w:rsid w:val="00DF5A21"/>
    <w:rsid w:val="00DF5BA6"/>
    <w:rsid w:val="00DF5FEA"/>
    <w:rsid w:val="00DF613F"/>
    <w:rsid w:val="00DF614C"/>
    <w:rsid w:val="00DF633D"/>
    <w:rsid w:val="00DF673F"/>
    <w:rsid w:val="00DF6A50"/>
    <w:rsid w:val="00DF7A2A"/>
    <w:rsid w:val="00E004E6"/>
    <w:rsid w:val="00E00790"/>
    <w:rsid w:val="00E00CDC"/>
    <w:rsid w:val="00E00E00"/>
    <w:rsid w:val="00E0110B"/>
    <w:rsid w:val="00E015B7"/>
    <w:rsid w:val="00E01E1B"/>
    <w:rsid w:val="00E01F67"/>
    <w:rsid w:val="00E02428"/>
    <w:rsid w:val="00E0307E"/>
    <w:rsid w:val="00E0321C"/>
    <w:rsid w:val="00E035EF"/>
    <w:rsid w:val="00E03CBE"/>
    <w:rsid w:val="00E042EE"/>
    <w:rsid w:val="00E044AE"/>
    <w:rsid w:val="00E0461D"/>
    <w:rsid w:val="00E04A12"/>
    <w:rsid w:val="00E04E11"/>
    <w:rsid w:val="00E056A2"/>
    <w:rsid w:val="00E059E2"/>
    <w:rsid w:val="00E062CA"/>
    <w:rsid w:val="00E06825"/>
    <w:rsid w:val="00E06BF0"/>
    <w:rsid w:val="00E10F32"/>
    <w:rsid w:val="00E11E71"/>
    <w:rsid w:val="00E12881"/>
    <w:rsid w:val="00E12B60"/>
    <w:rsid w:val="00E13102"/>
    <w:rsid w:val="00E13159"/>
    <w:rsid w:val="00E1339B"/>
    <w:rsid w:val="00E136F4"/>
    <w:rsid w:val="00E13740"/>
    <w:rsid w:val="00E1413A"/>
    <w:rsid w:val="00E14434"/>
    <w:rsid w:val="00E1480F"/>
    <w:rsid w:val="00E14C8C"/>
    <w:rsid w:val="00E1548A"/>
    <w:rsid w:val="00E1548C"/>
    <w:rsid w:val="00E15702"/>
    <w:rsid w:val="00E1637D"/>
    <w:rsid w:val="00E16414"/>
    <w:rsid w:val="00E16527"/>
    <w:rsid w:val="00E16B44"/>
    <w:rsid w:val="00E1750B"/>
    <w:rsid w:val="00E177F5"/>
    <w:rsid w:val="00E2012A"/>
    <w:rsid w:val="00E202B6"/>
    <w:rsid w:val="00E20E33"/>
    <w:rsid w:val="00E213D1"/>
    <w:rsid w:val="00E21E81"/>
    <w:rsid w:val="00E225B1"/>
    <w:rsid w:val="00E226B9"/>
    <w:rsid w:val="00E226FB"/>
    <w:rsid w:val="00E22884"/>
    <w:rsid w:val="00E22DDE"/>
    <w:rsid w:val="00E2461C"/>
    <w:rsid w:val="00E2469C"/>
    <w:rsid w:val="00E246B4"/>
    <w:rsid w:val="00E24842"/>
    <w:rsid w:val="00E248E7"/>
    <w:rsid w:val="00E24DDB"/>
    <w:rsid w:val="00E24DF0"/>
    <w:rsid w:val="00E24E0B"/>
    <w:rsid w:val="00E25115"/>
    <w:rsid w:val="00E2589B"/>
    <w:rsid w:val="00E25CC6"/>
    <w:rsid w:val="00E25E46"/>
    <w:rsid w:val="00E26063"/>
    <w:rsid w:val="00E262FE"/>
    <w:rsid w:val="00E26321"/>
    <w:rsid w:val="00E26938"/>
    <w:rsid w:val="00E26CD7"/>
    <w:rsid w:val="00E27775"/>
    <w:rsid w:val="00E27FA6"/>
    <w:rsid w:val="00E301B7"/>
    <w:rsid w:val="00E30876"/>
    <w:rsid w:val="00E30962"/>
    <w:rsid w:val="00E310C2"/>
    <w:rsid w:val="00E31AED"/>
    <w:rsid w:val="00E31F9E"/>
    <w:rsid w:val="00E32089"/>
    <w:rsid w:val="00E32163"/>
    <w:rsid w:val="00E327B5"/>
    <w:rsid w:val="00E32847"/>
    <w:rsid w:val="00E32B56"/>
    <w:rsid w:val="00E32E1B"/>
    <w:rsid w:val="00E32FE1"/>
    <w:rsid w:val="00E334A0"/>
    <w:rsid w:val="00E34051"/>
    <w:rsid w:val="00E340B2"/>
    <w:rsid w:val="00E345C7"/>
    <w:rsid w:val="00E345DA"/>
    <w:rsid w:val="00E3468E"/>
    <w:rsid w:val="00E3518E"/>
    <w:rsid w:val="00E355C3"/>
    <w:rsid w:val="00E3579E"/>
    <w:rsid w:val="00E35AB0"/>
    <w:rsid w:val="00E35B16"/>
    <w:rsid w:val="00E36AA5"/>
    <w:rsid w:val="00E36B16"/>
    <w:rsid w:val="00E37606"/>
    <w:rsid w:val="00E4024D"/>
    <w:rsid w:val="00E40546"/>
    <w:rsid w:val="00E40733"/>
    <w:rsid w:val="00E40792"/>
    <w:rsid w:val="00E40C43"/>
    <w:rsid w:val="00E40D60"/>
    <w:rsid w:val="00E411D1"/>
    <w:rsid w:val="00E424D8"/>
    <w:rsid w:val="00E425CA"/>
    <w:rsid w:val="00E4280F"/>
    <w:rsid w:val="00E43D22"/>
    <w:rsid w:val="00E44239"/>
    <w:rsid w:val="00E449BD"/>
    <w:rsid w:val="00E449EC"/>
    <w:rsid w:val="00E44A9B"/>
    <w:rsid w:val="00E44AAF"/>
    <w:rsid w:val="00E44BC9"/>
    <w:rsid w:val="00E44C1D"/>
    <w:rsid w:val="00E450EF"/>
    <w:rsid w:val="00E45236"/>
    <w:rsid w:val="00E4584A"/>
    <w:rsid w:val="00E4686C"/>
    <w:rsid w:val="00E471F4"/>
    <w:rsid w:val="00E475F5"/>
    <w:rsid w:val="00E47999"/>
    <w:rsid w:val="00E47FAF"/>
    <w:rsid w:val="00E47FBD"/>
    <w:rsid w:val="00E50DFB"/>
    <w:rsid w:val="00E50FB4"/>
    <w:rsid w:val="00E51121"/>
    <w:rsid w:val="00E511E3"/>
    <w:rsid w:val="00E515CF"/>
    <w:rsid w:val="00E51A03"/>
    <w:rsid w:val="00E51AA8"/>
    <w:rsid w:val="00E51CF4"/>
    <w:rsid w:val="00E51EDC"/>
    <w:rsid w:val="00E51FE4"/>
    <w:rsid w:val="00E52792"/>
    <w:rsid w:val="00E52958"/>
    <w:rsid w:val="00E52C71"/>
    <w:rsid w:val="00E52EF5"/>
    <w:rsid w:val="00E52F7B"/>
    <w:rsid w:val="00E530CA"/>
    <w:rsid w:val="00E53A69"/>
    <w:rsid w:val="00E53BDD"/>
    <w:rsid w:val="00E53BFB"/>
    <w:rsid w:val="00E53C25"/>
    <w:rsid w:val="00E54A75"/>
    <w:rsid w:val="00E5581E"/>
    <w:rsid w:val="00E55DDC"/>
    <w:rsid w:val="00E55EE8"/>
    <w:rsid w:val="00E55FEE"/>
    <w:rsid w:val="00E56113"/>
    <w:rsid w:val="00E56DBA"/>
    <w:rsid w:val="00E570EC"/>
    <w:rsid w:val="00E57601"/>
    <w:rsid w:val="00E613C9"/>
    <w:rsid w:val="00E61C6B"/>
    <w:rsid w:val="00E61D88"/>
    <w:rsid w:val="00E61F57"/>
    <w:rsid w:val="00E62357"/>
    <w:rsid w:val="00E62CC3"/>
    <w:rsid w:val="00E62FCA"/>
    <w:rsid w:val="00E63CAD"/>
    <w:rsid w:val="00E640BF"/>
    <w:rsid w:val="00E642FB"/>
    <w:rsid w:val="00E64A12"/>
    <w:rsid w:val="00E64C46"/>
    <w:rsid w:val="00E655C1"/>
    <w:rsid w:val="00E65972"/>
    <w:rsid w:val="00E65DD6"/>
    <w:rsid w:val="00E66009"/>
    <w:rsid w:val="00E6662D"/>
    <w:rsid w:val="00E66A6E"/>
    <w:rsid w:val="00E66C79"/>
    <w:rsid w:val="00E66D47"/>
    <w:rsid w:val="00E67718"/>
    <w:rsid w:val="00E67819"/>
    <w:rsid w:val="00E67CB0"/>
    <w:rsid w:val="00E67F68"/>
    <w:rsid w:val="00E70102"/>
    <w:rsid w:val="00E703F7"/>
    <w:rsid w:val="00E7089B"/>
    <w:rsid w:val="00E708F1"/>
    <w:rsid w:val="00E70A1A"/>
    <w:rsid w:val="00E70B32"/>
    <w:rsid w:val="00E71AA0"/>
    <w:rsid w:val="00E720D5"/>
    <w:rsid w:val="00E7273C"/>
    <w:rsid w:val="00E72BF2"/>
    <w:rsid w:val="00E730B3"/>
    <w:rsid w:val="00E73216"/>
    <w:rsid w:val="00E73264"/>
    <w:rsid w:val="00E7335D"/>
    <w:rsid w:val="00E73875"/>
    <w:rsid w:val="00E73E20"/>
    <w:rsid w:val="00E740A8"/>
    <w:rsid w:val="00E74189"/>
    <w:rsid w:val="00E7421E"/>
    <w:rsid w:val="00E74965"/>
    <w:rsid w:val="00E74C55"/>
    <w:rsid w:val="00E74D72"/>
    <w:rsid w:val="00E74F29"/>
    <w:rsid w:val="00E75ADC"/>
    <w:rsid w:val="00E769EF"/>
    <w:rsid w:val="00E772E5"/>
    <w:rsid w:val="00E800E4"/>
    <w:rsid w:val="00E80385"/>
    <w:rsid w:val="00E80F72"/>
    <w:rsid w:val="00E810B7"/>
    <w:rsid w:val="00E810B8"/>
    <w:rsid w:val="00E815C0"/>
    <w:rsid w:val="00E817E7"/>
    <w:rsid w:val="00E82725"/>
    <w:rsid w:val="00E82767"/>
    <w:rsid w:val="00E827D8"/>
    <w:rsid w:val="00E8296A"/>
    <w:rsid w:val="00E831A8"/>
    <w:rsid w:val="00E83BB5"/>
    <w:rsid w:val="00E83E64"/>
    <w:rsid w:val="00E8418C"/>
    <w:rsid w:val="00E8457D"/>
    <w:rsid w:val="00E84803"/>
    <w:rsid w:val="00E84F89"/>
    <w:rsid w:val="00E85285"/>
    <w:rsid w:val="00E85301"/>
    <w:rsid w:val="00E85488"/>
    <w:rsid w:val="00E85579"/>
    <w:rsid w:val="00E85830"/>
    <w:rsid w:val="00E85E1B"/>
    <w:rsid w:val="00E8606C"/>
    <w:rsid w:val="00E867FA"/>
    <w:rsid w:val="00E875EF"/>
    <w:rsid w:val="00E9090B"/>
    <w:rsid w:val="00E90A27"/>
    <w:rsid w:val="00E90E25"/>
    <w:rsid w:val="00E90EE7"/>
    <w:rsid w:val="00E9264E"/>
    <w:rsid w:val="00E93192"/>
    <w:rsid w:val="00E933E5"/>
    <w:rsid w:val="00E9359F"/>
    <w:rsid w:val="00E94871"/>
    <w:rsid w:val="00E95230"/>
    <w:rsid w:val="00E96089"/>
    <w:rsid w:val="00E96535"/>
    <w:rsid w:val="00E96A22"/>
    <w:rsid w:val="00E975AD"/>
    <w:rsid w:val="00E9763E"/>
    <w:rsid w:val="00E97AE2"/>
    <w:rsid w:val="00E97B82"/>
    <w:rsid w:val="00EA03D9"/>
    <w:rsid w:val="00EA0423"/>
    <w:rsid w:val="00EA0854"/>
    <w:rsid w:val="00EA176F"/>
    <w:rsid w:val="00EA1A0E"/>
    <w:rsid w:val="00EA1E37"/>
    <w:rsid w:val="00EA316B"/>
    <w:rsid w:val="00EA344E"/>
    <w:rsid w:val="00EA3E85"/>
    <w:rsid w:val="00EA4258"/>
    <w:rsid w:val="00EA492C"/>
    <w:rsid w:val="00EA4D63"/>
    <w:rsid w:val="00EA4FE0"/>
    <w:rsid w:val="00EA5129"/>
    <w:rsid w:val="00EA554C"/>
    <w:rsid w:val="00EA56B2"/>
    <w:rsid w:val="00EA5B3D"/>
    <w:rsid w:val="00EA61ED"/>
    <w:rsid w:val="00EA7A16"/>
    <w:rsid w:val="00EA7FE1"/>
    <w:rsid w:val="00EB0367"/>
    <w:rsid w:val="00EB0670"/>
    <w:rsid w:val="00EB1402"/>
    <w:rsid w:val="00EB15EA"/>
    <w:rsid w:val="00EB1972"/>
    <w:rsid w:val="00EB1A07"/>
    <w:rsid w:val="00EB2CEC"/>
    <w:rsid w:val="00EB3349"/>
    <w:rsid w:val="00EB3C03"/>
    <w:rsid w:val="00EB40DB"/>
    <w:rsid w:val="00EB4557"/>
    <w:rsid w:val="00EB4591"/>
    <w:rsid w:val="00EB4ABC"/>
    <w:rsid w:val="00EB51DF"/>
    <w:rsid w:val="00EB5353"/>
    <w:rsid w:val="00EB57B8"/>
    <w:rsid w:val="00EB58C0"/>
    <w:rsid w:val="00EB5A34"/>
    <w:rsid w:val="00EB5B35"/>
    <w:rsid w:val="00EB5EC9"/>
    <w:rsid w:val="00EB62FA"/>
    <w:rsid w:val="00EB6589"/>
    <w:rsid w:val="00EB6885"/>
    <w:rsid w:val="00EB7297"/>
    <w:rsid w:val="00EB7AD7"/>
    <w:rsid w:val="00EC0794"/>
    <w:rsid w:val="00EC0A01"/>
    <w:rsid w:val="00EC16BE"/>
    <w:rsid w:val="00EC1897"/>
    <w:rsid w:val="00EC21E3"/>
    <w:rsid w:val="00EC2D9B"/>
    <w:rsid w:val="00EC348F"/>
    <w:rsid w:val="00EC5C26"/>
    <w:rsid w:val="00EC6C32"/>
    <w:rsid w:val="00EC729D"/>
    <w:rsid w:val="00EC73D8"/>
    <w:rsid w:val="00EC75C4"/>
    <w:rsid w:val="00EC7D47"/>
    <w:rsid w:val="00EC7E1B"/>
    <w:rsid w:val="00ED03C8"/>
    <w:rsid w:val="00ED0501"/>
    <w:rsid w:val="00ED0FE7"/>
    <w:rsid w:val="00ED17DD"/>
    <w:rsid w:val="00ED18D1"/>
    <w:rsid w:val="00ED2396"/>
    <w:rsid w:val="00ED2482"/>
    <w:rsid w:val="00ED2A41"/>
    <w:rsid w:val="00ED2B7E"/>
    <w:rsid w:val="00ED337A"/>
    <w:rsid w:val="00ED340C"/>
    <w:rsid w:val="00ED3572"/>
    <w:rsid w:val="00ED4744"/>
    <w:rsid w:val="00ED47DC"/>
    <w:rsid w:val="00ED4C8E"/>
    <w:rsid w:val="00ED5131"/>
    <w:rsid w:val="00ED5407"/>
    <w:rsid w:val="00ED5704"/>
    <w:rsid w:val="00ED5874"/>
    <w:rsid w:val="00ED5BE0"/>
    <w:rsid w:val="00ED5F76"/>
    <w:rsid w:val="00ED6588"/>
    <w:rsid w:val="00ED7663"/>
    <w:rsid w:val="00EE07F4"/>
    <w:rsid w:val="00EE0DDE"/>
    <w:rsid w:val="00EE113E"/>
    <w:rsid w:val="00EE226E"/>
    <w:rsid w:val="00EE2786"/>
    <w:rsid w:val="00EE2BB3"/>
    <w:rsid w:val="00EE2F99"/>
    <w:rsid w:val="00EE3158"/>
    <w:rsid w:val="00EE4179"/>
    <w:rsid w:val="00EE4525"/>
    <w:rsid w:val="00EE45BF"/>
    <w:rsid w:val="00EE5429"/>
    <w:rsid w:val="00EE56B0"/>
    <w:rsid w:val="00EE613D"/>
    <w:rsid w:val="00EE64D8"/>
    <w:rsid w:val="00EE69D3"/>
    <w:rsid w:val="00EE6B09"/>
    <w:rsid w:val="00EE6C7C"/>
    <w:rsid w:val="00EE7116"/>
    <w:rsid w:val="00EE72AB"/>
    <w:rsid w:val="00EE7416"/>
    <w:rsid w:val="00EE7555"/>
    <w:rsid w:val="00EE75B7"/>
    <w:rsid w:val="00EF0167"/>
    <w:rsid w:val="00EF08BB"/>
    <w:rsid w:val="00EF09AF"/>
    <w:rsid w:val="00EF0D1E"/>
    <w:rsid w:val="00EF100F"/>
    <w:rsid w:val="00EF1ACE"/>
    <w:rsid w:val="00EF1DB8"/>
    <w:rsid w:val="00EF1E46"/>
    <w:rsid w:val="00EF1FC6"/>
    <w:rsid w:val="00EF20E2"/>
    <w:rsid w:val="00EF32C7"/>
    <w:rsid w:val="00EF35A9"/>
    <w:rsid w:val="00EF3A52"/>
    <w:rsid w:val="00EF3E8A"/>
    <w:rsid w:val="00EF43D8"/>
    <w:rsid w:val="00EF4609"/>
    <w:rsid w:val="00EF4EE6"/>
    <w:rsid w:val="00EF507C"/>
    <w:rsid w:val="00EF58DF"/>
    <w:rsid w:val="00EF591F"/>
    <w:rsid w:val="00EF6AA7"/>
    <w:rsid w:val="00EF6C6D"/>
    <w:rsid w:val="00EF7103"/>
    <w:rsid w:val="00EF7541"/>
    <w:rsid w:val="00F002B9"/>
    <w:rsid w:val="00F003E2"/>
    <w:rsid w:val="00F0062A"/>
    <w:rsid w:val="00F00B86"/>
    <w:rsid w:val="00F00D89"/>
    <w:rsid w:val="00F012D5"/>
    <w:rsid w:val="00F01D7D"/>
    <w:rsid w:val="00F02980"/>
    <w:rsid w:val="00F02CE9"/>
    <w:rsid w:val="00F02D4E"/>
    <w:rsid w:val="00F02DE0"/>
    <w:rsid w:val="00F032BD"/>
    <w:rsid w:val="00F03356"/>
    <w:rsid w:val="00F03426"/>
    <w:rsid w:val="00F0415D"/>
    <w:rsid w:val="00F045CF"/>
    <w:rsid w:val="00F046F1"/>
    <w:rsid w:val="00F04C02"/>
    <w:rsid w:val="00F050BE"/>
    <w:rsid w:val="00F05497"/>
    <w:rsid w:val="00F05859"/>
    <w:rsid w:val="00F0630D"/>
    <w:rsid w:val="00F06591"/>
    <w:rsid w:val="00F0678E"/>
    <w:rsid w:val="00F06F6E"/>
    <w:rsid w:val="00F075BB"/>
    <w:rsid w:val="00F07CAF"/>
    <w:rsid w:val="00F07D3E"/>
    <w:rsid w:val="00F10752"/>
    <w:rsid w:val="00F111F4"/>
    <w:rsid w:val="00F1146A"/>
    <w:rsid w:val="00F11486"/>
    <w:rsid w:val="00F1167A"/>
    <w:rsid w:val="00F117D5"/>
    <w:rsid w:val="00F124AD"/>
    <w:rsid w:val="00F124B5"/>
    <w:rsid w:val="00F1274E"/>
    <w:rsid w:val="00F12802"/>
    <w:rsid w:val="00F13020"/>
    <w:rsid w:val="00F14299"/>
    <w:rsid w:val="00F144E1"/>
    <w:rsid w:val="00F15A6B"/>
    <w:rsid w:val="00F15ACA"/>
    <w:rsid w:val="00F1617F"/>
    <w:rsid w:val="00F162DA"/>
    <w:rsid w:val="00F168F5"/>
    <w:rsid w:val="00F17FBF"/>
    <w:rsid w:val="00F20B6A"/>
    <w:rsid w:val="00F210C5"/>
    <w:rsid w:val="00F211A4"/>
    <w:rsid w:val="00F21636"/>
    <w:rsid w:val="00F21E66"/>
    <w:rsid w:val="00F21EB4"/>
    <w:rsid w:val="00F22432"/>
    <w:rsid w:val="00F234C6"/>
    <w:rsid w:val="00F23501"/>
    <w:rsid w:val="00F241A7"/>
    <w:rsid w:val="00F2424C"/>
    <w:rsid w:val="00F243B1"/>
    <w:rsid w:val="00F24CA0"/>
    <w:rsid w:val="00F25322"/>
    <w:rsid w:val="00F25B2B"/>
    <w:rsid w:val="00F2605C"/>
    <w:rsid w:val="00F2694B"/>
    <w:rsid w:val="00F26B67"/>
    <w:rsid w:val="00F26D7A"/>
    <w:rsid w:val="00F26E47"/>
    <w:rsid w:val="00F2712D"/>
    <w:rsid w:val="00F273EC"/>
    <w:rsid w:val="00F3011C"/>
    <w:rsid w:val="00F30ECA"/>
    <w:rsid w:val="00F30FE3"/>
    <w:rsid w:val="00F31236"/>
    <w:rsid w:val="00F314F0"/>
    <w:rsid w:val="00F31590"/>
    <w:rsid w:val="00F32CBB"/>
    <w:rsid w:val="00F33430"/>
    <w:rsid w:val="00F33740"/>
    <w:rsid w:val="00F338F0"/>
    <w:rsid w:val="00F339AD"/>
    <w:rsid w:val="00F33B7E"/>
    <w:rsid w:val="00F343B3"/>
    <w:rsid w:val="00F347B9"/>
    <w:rsid w:val="00F34990"/>
    <w:rsid w:val="00F34AA7"/>
    <w:rsid w:val="00F354F0"/>
    <w:rsid w:val="00F35E03"/>
    <w:rsid w:val="00F35F72"/>
    <w:rsid w:val="00F36E6A"/>
    <w:rsid w:val="00F37A8B"/>
    <w:rsid w:val="00F40B88"/>
    <w:rsid w:val="00F414D7"/>
    <w:rsid w:val="00F41A25"/>
    <w:rsid w:val="00F41ACF"/>
    <w:rsid w:val="00F41FB4"/>
    <w:rsid w:val="00F4229C"/>
    <w:rsid w:val="00F42472"/>
    <w:rsid w:val="00F42594"/>
    <w:rsid w:val="00F42B06"/>
    <w:rsid w:val="00F42B5F"/>
    <w:rsid w:val="00F431C4"/>
    <w:rsid w:val="00F43E44"/>
    <w:rsid w:val="00F44249"/>
    <w:rsid w:val="00F44303"/>
    <w:rsid w:val="00F443F0"/>
    <w:rsid w:val="00F447DB"/>
    <w:rsid w:val="00F447E3"/>
    <w:rsid w:val="00F448D9"/>
    <w:rsid w:val="00F4583F"/>
    <w:rsid w:val="00F45A8B"/>
    <w:rsid w:val="00F46167"/>
    <w:rsid w:val="00F46400"/>
    <w:rsid w:val="00F47174"/>
    <w:rsid w:val="00F47636"/>
    <w:rsid w:val="00F47681"/>
    <w:rsid w:val="00F47690"/>
    <w:rsid w:val="00F4780F"/>
    <w:rsid w:val="00F47BC2"/>
    <w:rsid w:val="00F47BC7"/>
    <w:rsid w:val="00F47F6F"/>
    <w:rsid w:val="00F5060F"/>
    <w:rsid w:val="00F50E33"/>
    <w:rsid w:val="00F51091"/>
    <w:rsid w:val="00F512E6"/>
    <w:rsid w:val="00F516D3"/>
    <w:rsid w:val="00F517D0"/>
    <w:rsid w:val="00F51E86"/>
    <w:rsid w:val="00F51F4E"/>
    <w:rsid w:val="00F52167"/>
    <w:rsid w:val="00F52BF1"/>
    <w:rsid w:val="00F52EF6"/>
    <w:rsid w:val="00F53033"/>
    <w:rsid w:val="00F54ADD"/>
    <w:rsid w:val="00F54B42"/>
    <w:rsid w:val="00F55154"/>
    <w:rsid w:val="00F55652"/>
    <w:rsid w:val="00F55D9C"/>
    <w:rsid w:val="00F56453"/>
    <w:rsid w:val="00F56AD6"/>
    <w:rsid w:val="00F57CB7"/>
    <w:rsid w:val="00F61C20"/>
    <w:rsid w:val="00F61FBF"/>
    <w:rsid w:val="00F6235C"/>
    <w:rsid w:val="00F62432"/>
    <w:rsid w:val="00F6288D"/>
    <w:rsid w:val="00F62EEE"/>
    <w:rsid w:val="00F639DB"/>
    <w:rsid w:val="00F63E19"/>
    <w:rsid w:val="00F64471"/>
    <w:rsid w:val="00F64D09"/>
    <w:rsid w:val="00F64EAD"/>
    <w:rsid w:val="00F65020"/>
    <w:rsid w:val="00F6503D"/>
    <w:rsid w:val="00F65BFA"/>
    <w:rsid w:val="00F65C1C"/>
    <w:rsid w:val="00F66094"/>
    <w:rsid w:val="00F66467"/>
    <w:rsid w:val="00F66571"/>
    <w:rsid w:val="00F668D0"/>
    <w:rsid w:val="00F66A15"/>
    <w:rsid w:val="00F66C0E"/>
    <w:rsid w:val="00F66F29"/>
    <w:rsid w:val="00F675AF"/>
    <w:rsid w:val="00F7014D"/>
    <w:rsid w:val="00F70BA0"/>
    <w:rsid w:val="00F70EC1"/>
    <w:rsid w:val="00F710AF"/>
    <w:rsid w:val="00F7174E"/>
    <w:rsid w:val="00F718D2"/>
    <w:rsid w:val="00F71C95"/>
    <w:rsid w:val="00F723EE"/>
    <w:rsid w:val="00F728F3"/>
    <w:rsid w:val="00F729A3"/>
    <w:rsid w:val="00F72D9E"/>
    <w:rsid w:val="00F73860"/>
    <w:rsid w:val="00F7437C"/>
    <w:rsid w:val="00F744D0"/>
    <w:rsid w:val="00F74945"/>
    <w:rsid w:val="00F74995"/>
    <w:rsid w:val="00F7515D"/>
    <w:rsid w:val="00F7533C"/>
    <w:rsid w:val="00F75C7D"/>
    <w:rsid w:val="00F761D9"/>
    <w:rsid w:val="00F762D0"/>
    <w:rsid w:val="00F76386"/>
    <w:rsid w:val="00F763D8"/>
    <w:rsid w:val="00F76B4A"/>
    <w:rsid w:val="00F76C08"/>
    <w:rsid w:val="00F76DB1"/>
    <w:rsid w:val="00F80049"/>
    <w:rsid w:val="00F800FE"/>
    <w:rsid w:val="00F80377"/>
    <w:rsid w:val="00F80610"/>
    <w:rsid w:val="00F80AAC"/>
    <w:rsid w:val="00F81685"/>
    <w:rsid w:val="00F81990"/>
    <w:rsid w:val="00F81A58"/>
    <w:rsid w:val="00F81CD4"/>
    <w:rsid w:val="00F82706"/>
    <w:rsid w:val="00F82B3E"/>
    <w:rsid w:val="00F830B2"/>
    <w:rsid w:val="00F835FA"/>
    <w:rsid w:val="00F84685"/>
    <w:rsid w:val="00F849DF"/>
    <w:rsid w:val="00F84B04"/>
    <w:rsid w:val="00F84E2E"/>
    <w:rsid w:val="00F8543D"/>
    <w:rsid w:val="00F854EF"/>
    <w:rsid w:val="00F85727"/>
    <w:rsid w:val="00F857AD"/>
    <w:rsid w:val="00F86274"/>
    <w:rsid w:val="00F868F8"/>
    <w:rsid w:val="00F87083"/>
    <w:rsid w:val="00F87694"/>
    <w:rsid w:val="00F87A47"/>
    <w:rsid w:val="00F901C2"/>
    <w:rsid w:val="00F90750"/>
    <w:rsid w:val="00F90AD4"/>
    <w:rsid w:val="00F913EF"/>
    <w:rsid w:val="00F91B11"/>
    <w:rsid w:val="00F923D8"/>
    <w:rsid w:val="00F92539"/>
    <w:rsid w:val="00F92645"/>
    <w:rsid w:val="00F929FE"/>
    <w:rsid w:val="00F92B15"/>
    <w:rsid w:val="00F92B4B"/>
    <w:rsid w:val="00F9324C"/>
    <w:rsid w:val="00F935C9"/>
    <w:rsid w:val="00F9361F"/>
    <w:rsid w:val="00F93828"/>
    <w:rsid w:val="00F939B6"/>
    <w:rsid w:val="00F939B9"/>
    <w:rsid w:val="00F946FB"/>
    <w:rsid w:val="00F94F22"/>
    <w:rsid w:val="00F950C2"/>
    <w:rsid w:val="00F9519F"/>
    <w:rsid w:val="00F95821"/>
    <w:rsid w:val="00F95C66"/>
    <w:rsid w:val="00F95EBC"/>
    <w:rsid w:val="00F960B0"/>
    <w:rsid w:val="00F960B3"/>
    <w:rsid w:val="00F972AB"/>
    <w:rsid w:val="00FA0097"/>
    <w:rsid w:val="00FA0378"/>
    <w:rsid w:val="00FA0430"/>
    <w:rsid w:val="00FA0530"/>
    <w:rsid w:val="00FA0C0E"/>
    <w:rsid w:val="00FA129A"/>
    <w:rsid w:val="00FA1657"/>
    <w:rsid w:val="00FA1954"/>
    <w:rsid w:val="00FA1CC7"/>
    <w:rsid w:val="00FA1D25"/>
    <w:rsid w:val="00FA1F57"/>
    <w:rsid w:val="00FA238C"/>
    <w:rsid w:val="00FA2F73"/>
    <w:rsid w:val="00FA31E0"/>
    <w:rsid w:val="00FA442C"/>
    <w:rsid w:val="00FA490F"/>
    <w:rsid w:val="00FA4D26"/>
    <w:rsid w:val="00FA5354"/>
    <w:rsid w:val="00FA56CB"/>
    <w:rsid w:val="00FA5F61"/>
    <w:rsid w:val="00FA668F"/>
    <w:rsid w:val="00FA6847"/>
    <w:rsid w:val="00FA6A92"/>
    <w:rsid w:val="00FA6BE8"/>
    <w:rsid w:val="00FA6FB8"/>
    <w:rsid w:val="00FB02AE"/>
    <w:rsid w:val="00FB07FB"/>
    <w:rsid w:val="00FB0948"/>
    <w:rsid w:val="00FB101B"/>
    <w:rsid w:val="00FB152A"/>
    <w:rsid w:val="00FB15B5"/>
    <w:rsid w:val="00FB15C8"/>
    <w:rsid w:val="00FB1966"/>
    <w:rsid w:val="00FB1FCC"/>
    <w:rsid w:val="00FB2405"/>
    <w:rsid w:val="00FB296A"/>
    <w:rsid w:val="00FB29CB"/>
    <w:rsid w:val="00FB2A5D"/>
    <w:rsid w:val="00FB2FA6"/>
    <w:rsid w:val="00FB381C"/>
    <w:rsid w:val="00FB426D"/>
    <w:rsid w:val="00FB4433"/>
    <w:rsid w:val="00FB4524"/>
    <w:rsid w:val="00FB456A"/>
    <w:rsid w:val="00FB5B5F"/>
    <w:rsid w:val="00FB5CDC"/>
    <w:rsid w:val="00FB5EB4"/>
    <w:rsid w:val="00FB5F15"/>
    <w:rsid w:val="00FB5FBB"/>
    <w:rsid w:val="00FB61A6"/>
    <w:rsid w:val="00FB6440"/>
    <w:rsid w:val="00FB6551"/>
    <w:rsid w:val="00FB6683"/>
    <w:rsid w:val="00FB68A8"/>
    <w:rsid w:val="00FB6C35"/>
    <w:rsid w:val="00FB7B9A"/>
    <w:rsid w:val="00FB7C31"/>
    <w:rsid w:val="00FB7CC8"/>
    <w:rsid w:val="00FC00F3"/>
    <w:rsid w:val="00FC0753"/>
    <w:rsid w:val="00FC07FE"/>
    <w:rsid w:val="00FC0C5E"/>
    <w:rsid w:val="00FC109C"/>
    <w:rsid w:val="00FC16A7"/>
    <w:rsid w:val="00FC17DA"/>
    <w:rsid w:val="00FC1FA2"/>
    <w:rsid w:val="00FC2049"/>
    <w:rsid w:val="00FC2322"/>
    <w:rsid w:val="00FC252E"/>
    <w:rsid w:val="00FC28AA"/>
    <w:rsid w:val="00FC325A"/>
    <w:rsid w:val="00FC3578"/>
    <w:rsid w:val="00FC359E"/>
    <w:rsid w:val="00FC37EB"/>
    <w:rsid w:val="00FC4959"/>
    <w:rsid w:val="00FC4B66"/>
    <w:rsid w:val="00FC4D41"/>
    <w:rsid w:val="00FC4E66"/>
    <w:rsid w:val="00FC5403"/>
    <w:rsid w:val="00FC561E"/>
    <w:rsid w:val="00FC5AAC"/>
    <w:rsid w:val="00FC5FAA"/>
    <w:rsid w:val="00FC634B"/>
    <w:rsid w:val="00FC6AD7"/>
    <w:rsid w:val="00FC6B94"/>
    <w:rsid w:val="00FC7A1E"/>
    <w:rsid w:val="00FD11CE"/>
    <w:rsid w:val="00FD122A"/>
    <w:rsid w:val="00FD1A59"/>
    <w:rsid w:val="00FD1FCB"/>
    <w:rsid w:val="00FD304D"/>
    <w:rsid w:val="00FD3C28"/>
    <w:rsid w:val="00FD4C8A"/>
    <w:rsid w:val="00FD4F20"/>
    <w:rsid w:val="00FD56D3"/>
    <w:rsid w:val="00FD5E23"/>
    <w:rsid w:val="00FD6847"/>
    <w:rsid w:val="00FD74C9"/>
    <w:rsid w:val="00FD7D2E"/>
    <w:rsid w:val="00FD7ED2"/>
    <w:rsid w:val="00FE07F4"/>
    <w:rsid w:val="00FE09A0"/>
    <w:rsid w:val="00FE0AB4"/>
    <w:rsid w:val="00FE182C"/>
    <w:rsid w:val="00FE1E2D"/>
    <w:rsid w:val="00FE1F98"/>
    <w:rsid w:val="00FE2423"/>
    <w:rsid w:val="00FE2A3E"/>
    <w:rsid w:val="00FE2AC1"/>
    <w:rsid w:val="00FE37CC"/>
    <w:rsid w:val="00FE3A05"/>
    <w:rsid w:val="00FE3E1C"/>
    <w:rsid w:val="00FE4152"/>
    <w:rsid w:val="00FE4B3C"/>
    <w:rsid w:val="00FE4F00"/>
    <w:rsid w:val="00FE5C37"/>
    <w:rsid w:val="00FE6395"/>
    <w:rsid w:val="00FE66E2"/>
    <w:rsid w:val="00FE6E82"/>
    <w:rsid w:val="00FE7515"/>
    <w:rsid w:val="00FE7703"/>
    <w:rsid w:val="00FE77FD"/>
    <w:rsid w:val="00FE7C31"/>
    <w:rsid w:val="00FE7C9A"/>
    <w:rsid w:val="00FE7CF9"/>
    <w:rsid w:val="00FF0202"/>
    <w:rsid w:val="00FF13C6"/>
    <w:rsid w:val="00FF1684"/>
    <w:rsid w:val="00FF1BA5"/>
    <w:rsid w:val="00FF1CF9"/>
    <w:rsid w:val="00FF2257"/>
    <w:rsid w:val="00FF26DB"/>
    <w:rsid w:val="00FF297A"/>
    <w:rsid w:val="00FF31C4"/>
    <w:rsid w:val="00FF3C52"/>
    <w:rsid w:val="00FF3D76"/>
    <w:rsid w:val="00FF3EDE"/>
    <w:rsid w:val="00FF4545"/>
    <w:rsid w:val="00FF4928"/>
    <w:rsid w:val="00FF4A4A"/>
    <w:rsid w:val="00FF4B10"/>
    <w:rsid w:val="00FF58EE"/>
    <w:rsid w:val="00FF5CE8"/>
    <w:rsid w:val="00FF6521"/>
    <w:rsid w:val="00FF6696"/>
    <w:rsid w:val="00FF6A2A"/>
    <w:rsid w:val="00FF7C2D"/>
    <w:rsid w:val="00FF7F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B977"/>
  <w15:docId w15:val="{BFCF492B-A00A-4A93-B228-F0680B53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rsid w:val="001D3AD9"/>
  </w:style>
  <w:style w:type="character" w:styleId="Refdenotaalpie">
    <w:name w:val="footnote reference"/>
    <w:basedOn w:val="Fuentedeprrafopredeter"/>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paragraph" w:customStyle="1" w:styleId="Default">
    <w:name w:val="Default"/>
    <w:rsid w:val="00801BD4"/>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rsid w:val="00DE0870"/>
    <w:rPr>
      <w:color w:val="0000FF"/>
      <w:u w:val="single"/>
    </w:rPr>
  </w:style>
  <w:style w:type="paragraph" w:customStyle="1" w:styleId="texto">
    <w:name w:val="texto"/>
    <w:basedOn w:val="Normal"/>
    <w:uiPriority w:val="99"/>
    <w:rsid w:val="00DE0870"/>
    <w:pPr>
      <w:keepLines/>
      <w:spacing w:before="240"/>
    </w:pPr>
    <w:rPr>
      <w:snapToGrid w:val="0"/>
      <w:color w:val="000080"/>
    </w:rPr>
  </w:style>
  <w:style w:type="character" w:customStyle="1" w:styleId="Ttulo4Car">
    <w:name w:val="Título 4 Car"/>
    <w:basedOn w:val="Fuentedeprrafopredeter"/>
    <w:link w:val="Ttulo4"/>
    <w:rsid w:val="00140D9C"/>
    <w:rPr>
      <w:rFonts w:ascii="Arial" w:hAnsi="Arial"/>
      <w:b/>
      <w:i/>
      <w:sz w:val="24"/>
      <w:u w:val="single"/>
      <w:lang w:val="es-MX"/>
    </w:rPr>
  </w:style>
  <w:style w:type="character" w:customStyle="1" w:styleId="TextoindependienteCar">
    <w:name w:val="Texto independiente Car"/>
    <w:basedOn w:val="Fuentedeprrafopredeter"/>
    <w:link w:val="Textoindependiente"/>
    <w:rsid w:val="00140D9C"/>
    <w:rPr>
      <w:rFonts w:ascii="Arial" w:hAnsi="Arial"/>
      <w:b/>
      <w:caps/>
      <w:spacing w:val="25"/>
      <w:sz w:val="32"/>
      <w:lang w:val="es-MX"/>
    </w:rPr>
  </w:style>
  <w:style w:type="character" w:styleId="Hipervnculovisitado">
    <w:name w:val="FollowedHyperlink"/>
    <w:basedOn w:val="Fuentedeprrafopredeter"/>
    <w:semiHidden/>
    <w:unhideWhenUsed/>
    <w:rsid w:val="00893551"/>
    <w:rPr>
      <w:color w:val="800080" w:themeColor="followedHyperlink"/>
      <w:u w:val="single"/>
    </w:rPr>
  </w:style>
  <w:style w:type="paragraph" w:customStyle="1" w:styleId="p01">
    <w:name w:val="p01"/>
    <w:basedOn w:val="Normal"/>
    <w:next w:val="p0"/>
    <w:rsid w:val="00D0777B"/>
    <w:pPr>
      <w:keepLines/>
      <w:widowControl/>
      <w:spacing w:before="240"/>
    </w:pPr>
    <w:rPr>
      <w:rFonts w:ascii="Univers" w:hAnsi="Univers"/>
      <w:color w:val="0000FF"/>
      <w:lang w:val="es-ES_tradnl"/>
    </w:rPr>
  </w:style>
  <w:style w:type="character" w:customStyle="1" w:styleId="Mencinsinresolver1">
    <w:name w:val="Mención sin resolver1"/>
    <w:basedOn w:val="Fuentedeprrafopredeter"/>
    <w:uiPriority w:val="99"/>
    <w:semiHidden/>
    <w:unhideWhenUsed/>
    <w:rsid w:val="00171758"/>
    <w:rPr>
      <w:color w:val="605E5C"/>
      <w:shd w:val="clear" w:color="auto" w:fill="E1DFDD"/>
    </w:rPr>
  </w:style>
  <w:style w:type="character" w:customStyle="1" w:styleId="Mencinsinresolver2">
    <w:name w:val="Mención sin resolver2"/>
    <w:basedOn w:val="Fuentedeprrafopredeter"/>
    <w:uiPriority w:val="99"/>
    <w:semiHidden/>
    <w:unhideWhenUsed/>
    <w:rsid w:val="000C7D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52222">
      <w:bodyDiv w:val="1"/>
      <w:marLeft w:val="0"/>
      <w:marRight w:val="0"/>
      <w:marTop w:val="0"/>
      <w:marBottom w:val="0"/>
      <w:divBdr>
        <w:top w:val="none" w:sz="0" w:space="0" w:color="auto"/>
        <w:left w:val="none" w:sz="0" w:space="0" w:color="auto"/>
        <w:bottom w:val="none" w:sz="0" w:space="0" w:color="auto"/>
        <w:right w:val="none" w:sz="0" w:space="0" w:color="auto"/>
      </w:divBdr>
    </w:div>
    <w:div w:id="111092701">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152845041">
      <w:bodyDiv w:val="1"/>
      <w:marLeft w:val="0"/>
      <w:marRight w:val="0"/>
      <w:marTop w:val="0"/>
      <w:marBottom w:val="0"/>
      <w:divBdr>
        <w:top w:val="none" w:sz="0" w:space="0" w:color="auto"/>
        <w:left w:val="none" w:sz="0" w:space="0" w:color="auto"/>
        <w:bottom w:val="none" w:sz="0" w:space="0" w:color="auto"/>
        <w:right w:val="none" w:sz="0" w:space="0" w:color="auto"/>
      </w:divBdr>
    </w:div>
    <w:div w:id="236136816">
      <w:bodyDiv w:val="1"/>
      <w:marLeft w:val="0"/>
      <w:marRight w:val="0"/>
      <w:marTop w:val="0"/>
      <w:marBottom w:val="0"/>
      <w:divBdr>
        <w:top w:val="none" w:sz="0" w:space="0" w:color="auto"/>
        <w:left w:val="none" w:sz="0" w:space="0" w:color="auto"/>
        <w:bottom w:val="none" w:sz="0" w:space="0" w:color="auto"/>
        <w:right w:val="none" w:sz="0" w:space="0" w:color="auto"/>
      </w:divBdr>
    </w:div>
    <w:div w:id="295451797">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576674033">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82319050">
      <w:bodyDiv w:val="1"/>
      <w:marLeft w:val="0"/>
      <w:marRight w:val="0"/>
      <w:marTop w:val="0"/>
      <w:marBottom w:val="0"/>
      <w:divBdr>
        <w:top w:val="none" w:sz="0" w:space="0" w:color="auto"/>
        <w:left w:val="none" w:sz="0" w:space="0" w:color="auto"/>
        <w:bottom w:val="none" w:sz="0" w:space="0" w:color="auto"/>
        <w:right w:val="none" w:sz="0" w:space="0" w:color="auto"/>
      </w:divBdr>
    </w:div>
    <w:div w:id="740062506">
      <w:bodyDiv w:val="1"/>
      <w:marLeft w:val="0"/>
      <w:marRight w:val="0"/>
      <w:marTop w:val="0"/>
      <w:marBottom w:val="0"/>
      <w:divBdr>
        <w:top w:val="none" w:sz="0" w:space="0" w:color="auto"/>
        <w:left w:val="none" w:sz="0" w:space="0" w:color="auto"/>
        <w:bottom w:val="none" w:sz="0" w:space="0" w:color="auto"/>
        <w:right w:val="none" w:sz="0" w:space="0" w:color="auto"/>
      </w:divBdr>
    </w:div>
    <w:div w:id="770392112">
      <w:bodyDiv w:val="1"/>
      <w:marLeft w:val="0"/>
      <w:marRight w:val="0"/>
      <w:marTop w:val="0"/>
      <w:marBottom w:val="0"/>
      <w:divBdr>
        <w:top w:val="none" w:sz="0" w:space="0" w:color="auto"/>
        <w:left w:val="none" w:sz="0" w:space="0" w:color="auto"/>
        <w:bottom w:val="none" w:sz="0" w:space="0" w:color="auto"/>
        <w:right w:val="none" w:sz="0" w:space="0" w:color="auto"/>
      </w:divBdr>
    </w:div>
    <w:div w:id="831455455">
      <w:bodyDiv w:val="1"/>
      <w:marLeft w:val="0"/>
      <w:marRight w:val="0"/>
      <w:marTop w:val="0"/>
      <w:marBottom w:val="0"/>
      <w:divBdr>
        <w:top w:val="none" w:sz="0" w:space="0" w:color="auto"/>
        <w:left w:val="none" w:sz="0" w:space="0" w:color="auto"/>
        <w:bottom w:val="none" w:sz="0" w:space="0" w:color="auto"/>
        <w:right w:val="none" w:sz="0" w:space="0" w:color="auto"/>
      </w:divBdr>
    </w:div>
    <w:div w:id="956637627">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074545959">
      <w:bodyDiv w:val="1"/>
      <w:marLeft w:val="0"/>
      <w:marRight w:val="0"/>
      <w:marTop w:val="0"/>
      <w:marBottom w:val="0"/>
      <w:divBdr>
        <w:top w:val="none" w:sz="0" w:space="0" w:color="auto"/>
        <w:left w:val="none" w:sz="0" w:space="0" w:color="auto"/>
        <w:bottom w:val="none" w:sz="0" w:space="0" w:color="auto"/>
        <w:right w:val="none" w:sz="0" w:space="0" w:color="auto"/>
      </w:divBdr>
    </w:div>
    <w:div w:id="1130366607">
      <w:bodyDiv w:val="1"/>
      <w:marLeft w:val="0"/>
      <w:marRight w:val="0"/>
      <w:marTop w:val="0"/>
      <w:marBottom w:val="0"/>
      <w:divBdr>
        <w:top w:val="none" w:sz="0" w:space="0" w:color="auto"/>
        <w:left w:val="none" w:sz="0" w:space="0" w:color="auto"/>
        <w:bottom w:val="none" w:sz="0" w:space="0" w:color="auto"/>
        <w:right w:val="none" w:sz="0" w:space="0" w:color="auto"/>
      </w:divBdr>
    </w:div>
    <w:div w:id="1468745014">
      <w:bodyDiv w:val="1"/>
      <w:marLeft w:val="0"/>
      <w:marRight w:val="0"/>
      <w:marTop w:val="0"/>
      <w:marBottom w:val="0"/>
      <w:divBdr>
        <w:top w:val="none" w:sz="0" w:space="0" w:color="auto"/>
        <w:left w:val="none" w:sz="0" w:space="0" w:color="auto"/>
        <w:bottom w:val="none" w:sz="0" w:space="0" w:color="auto"/>
        <w:right w:val="none" w:sz="0" w:space="0" w:color="auto"/>
      </w:divBdr>
    </w:div>
    <w:div w:id="1480268481">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79708029">
      <w:bodyDiv w:val="1"/>
      <w:marLeft w:val="0"/>
      <w:marRight w:val="0"/>
      <w:marTop w:val="0"/>
      <w:marBottom w:val="0"/>
      <w:divBdr>
        <w:top w:val="none" w:sz="0" w:space="0" w:color="auto"/>
        <w:left w:val="none" w:sz="0" w:space="0" w:color="auto"/>
        <w:bottom w:val="none" w:sz="0" w:space="0" w:color="auto"/>
        <w:right w:val="none" w:sz="0" w:space="0" w:color="auto"/>
      </w:divBdr>
    </w:div>
    <w:div w:id="1581014820">
      <w:bodyDiv w:val="1"/>
      <w:marLeft w:val="0"/>
      <w:marRight w:val="0"/>
      <w:marTop w:val="0"/>
      <w:marBottom w:val="0"/>
      <w:divBdr>
        <w:top w:val="none" w:sz="0" w:space="0" w:color="auto"/>
        <w:left w:val="none" w:sz="0" w:space="0" w:color="auto"/>
        <w:bottom w:val="none" w:sz="0" w:space="0" w:color="auto"/>
        <w:right w:val="none" w:sz="0" w:space="0" w:color="auto"/>
      </w:divBdr>
    </w:div>
    <w:div w:id="161319943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62946853">
      <w:bodyDiv w:val="1"/>
      <w:marLeft w:val="0"/>
      <w:marRight w:val="0"/>
      <w:marTop w:val="0"/>
      <w:marBottom w:val="0"/>
      <w:divBdr>
        <w:top w:val="none" w:sz="0" w:space="0" w:color="auto"/>
        <w:left w:val="none" w:sz="0" w:space="0" w:color="auto"/>
        <w:bottom w:val="none" w:sz="0" w:space="0" w:color="auto"/>
        <w:right w:val="none" w:sz="0" w:space="0" w:color="auto"/>
      </w:divBdr>
      <w:divsChild>
        <w:div w:id="1926452823">
          <w:marLeft w:val="0"/>
          <w:marRight w:val="0"/>
          <w:marTop w:val="0"/>
          <w:marBottom w:val="0"/>
          <w:divBdr>
            <w:top w:val="none" w:sz="0" w:space="0" w:color="auto"/>
            <w:left w:val="none" w:sz="0" w:space="0" w:color="auto"/>
            <w:bottom w:val="none" w:sz="0" w:space="0" w:color="auto"/>
            <w:right w:val="none" w:sz="0" w:space="0" w:color="auto"/>
          </w:divBdr>
          <w:divsChild>
            <w:div w:id="1652520144">
              <w:marLeft w:val="0"/>
              <w:marRight w:val="0"/>
              <w:marTop w:val="0"/>
              <w:marBottom w:val="0"/>
              <w:divBdr>
                <w:top w:val="none" w:sz="0" w:space="0" w:color="auto"/>
                <w:left w:val="none" w:sz="0" w:space="0" w:color="auto"/>
                <w:bottom w:val="none" w:sz="0" w:space="0" w:color="auto"/>
                <w:right w:val="none" w:sz="0" w:space="0" w:color="auto"/>
              </w:divBdr>
              <w:divsChild>
                <w:div w:id="1816754891">
                  <w:marLeft w:val="0"/>
                  <w:marRight w:val="0"/>
                  <w:marTop w:val="0"/>
                  <w:marBottom w:val="0"/>
                  <w:divBdr>
                    <w:top w:val="none" w:sz="0" w:space="0" w:color="auto"/>
                    <w:left w:val="none" w:sz="0" w:space="0" w:color="auto"/>
                    <w:bottom w:val="none" w:sz="0" w:space="0" w:color="auto"/>
                    <w:right w:val="none" w:sz="0" w:space="0" w:color="auto"/>
                  </w:divBdr>
                  <w:divsChild>
                    <w:div w:id="1418405159">
                      <w:marLeft w:val="0"/>
                      <w:marRight w:val="0"/>
                      <w:marTop w:val="0"/>
                      <w:marBottom w:val="0"/>
                      <w:divBdr>
                        <w:top w:val="none" w:sz="0" w:space="0" w:color="auto"/>
                        <w:left w:val="none" w:sz="0" w:space="0" w:color="auto"/>
                        <w:bottom w:val="none" w:sz="0" w:space="0" w:color="auto"/>
                        <w:right w:val="none" w:sz="0" w:space="0" w:color="auto"/>
                      </w:divBdr>
                      <w:divsChild>
                        <w:div w:id="586041284">
                          <w:marLeft w:val="0"/>
                          <w:marRight w:val="0"/>
                          <w:marTop w:val="0"/>
                          <w:marBottom w:val="0"/>
                          <w:divBdr>
                            <w:top w:val="none" w:sz="0" w:space="0" w:color="auto"/>
                            <w:left w:val="none" w:sz="0" w:space="0" w:color="auto"/>
                            <w:bottom w:val="none" w:sz="0" w:space="0" w:color="auto"/>
                            <w:right w:val="none" w:sz="0" w:space="0" w:color="auto"/>
                          </w:divBdr>
                          <w:divsChild>
                            <w:div w:id="634799136">
                              <w:marLeft w:val="0"/>
                              <w:marRight w:val="0"/>
                              <w:marTop w:val="0"/>
                              <w:marBottom w:val="0"/>
                              <w:divBdr>
                                <w:top w:val="none" w:sz="0" w:space="0" w:color="auto"/>
                                <w:left w:val="none" w:sz="0" w:space="0" w:color="auto"/>
                                <w:bottom w:val="none" w:sz="0" w:space="0" w:color="auto"/>
                                <w:right w:val="none" w:sz="0" w:space="0" w:color="auto"/>
                              </w:divBdr>
                              <w:divsChild>
                                <w:div w:id="130562620">
                                  <w:marLeft w:val="0"/>
                                  <w:marRight w:val="0"/>
                                  <w:marTop w:val="225"/>
                                  <w:marBottom w:val="0"/>
                                  <w:divBdr>
                                    <w:top w:val="none" w:sz="0" w:space="0" w:color="auto"/>
                                    <w:left w:val="none" w:sz="0" w:space="0" w:color="auto"/>
                                    <w:bottom w:val="none" w:sz="0" w:space="0" w:color="auto"/>
                                    <w:right w:val="none" w:sz="0" w:space="0" w:color="auto"/>
                                  </w:divBdr>
                                  <w:divsChild>
                                    <w:div w:id="709112655">
                                      <w:marLeft w:val="0"/>
                                      <w:marRight w:val="0"/>
                                      <w:marTop w:val="0"/>
                                      <w:marBottom w:val="0"/>
                                      <w:divBdr>
                                        <w:top w:val="none" w:sz="0" w:space="0" w:color="auto"/>
                                        <w:left w:val="none" w:sz="0" w:space="0" w:color="auto"/>
                                        <w:bottom w:val="none" w:sz="0" w:space="0" w:color="auto"/>
                                        <w:right w:val="none" w:sz="0" w:space="0" w:color="auto"/>
                                      </w:divBdr>
                                      <w:divsChild>
                                        <w:div w:id="1131292165">
                                          <w:marLeft w:val="0"/>
                                          <w:marRight w:val="0"/>
                                          <w:marTop w:val="0"/>
                                          <w:marBottom w:val="0"/>
                                          <w:divBdr>
                                            <w:top w:val="none" w:sz="0" w:space="0" w:color="auto"/>
                                            <w:left w:val="none" w:sz="0" w:space="0" w:color="auto"/>
                                            <w:bottom w:val="none" w:sz="0" w:space="0" w:color="auto"/>
                                            <w:right w:val="none" w:sz="0" w:space="0" w:color="auto"/>
                                          </w:divBdr>
                                          <w:divsChild>
                                            <w:div w:id="526335442">
                                              <w:marLeft w:val="0"/>
                                              <w:marRight w:val="0"/>
                                              <w:marTop w:val="0"/>
                                              <w:marBottom w:val="0"/>
                                              <w:divBdr>
                                                <w:top w:val="none" w:sz="0" w:space="0" w:color="auto"/>
                                                <w:left w:val="none" w:sz="0" w:space="0" w:color="auto"/>
                                                <w:bottom w:val="none" w:sz="0" w:space="0" w:color="auto"/>
                                                <w:right w:val="none" w:sz="0" w:space="0" w:color="auto"/>
                                              </w:divBdr>
                                              <w:divsChild>
                                                <w:div w:id="1458838200">
                                                  <w:marLeft w:val="0"/>
                                                  <w:marRight w:val="0"/>
                                                  <w:marTop w:val="0"/>
                                                  <w:marBottom w:val="0"/>
                                                  <w:divBdr>
                                                    <w:top w:val="none" w:sz="0" w:space="0" w:color="auto"/>
                                                    <w:left w:val="none" w:sz="0" w:space="0" w:color="auto"/>
                                                    <w:bottom w:val="none" w:sz="0" w:space="0" w:color="auto"/>
                                                    <w:right w:val="none" w:sz="0" w:space="0" w:color="auto"/>
                                                  </w:divBdr>
                                                  <w:divsChild>
                                                    <w:div w:id="982270162">
                                                      <w:marLeft w:val="0"/>
                                                      <w:marRight w:val="0"/>
                                                      <w:marTop w:val="0"/>
                                                      <w:marBottom w:val="0"/>
                                                      <w:divBdr>
                                                        <w:top w:val="none" w:sz="0" w:space="0" w:color="auto"/>
                                                        <w:left w:val="none" w:sz="0" w:space="0" w:color="auto"/>
                                                        <w:bottom w:val="none" w:sz="0" w:space="0" w:color="auto"/>
                                                        <w:right w:val="none" w:sz="0" w:space="0" w:color="auto"/>
                                                      </w:divBdr>
                                                      <w:divsChild>
                                                        <w:div w:id="134421477">
                                                          <w:marLeft w:val="0"/>
                                                          <w:marRight w:val="0"/>
                                                          <w:marTop w:val="0"/>
                                                          <w:marBottom w:val="0"/>
                                                          <w:divBdr>
                                                            <w:top w:val="none" w:sz="0" w:space="0" w:color="auto"/>
                                                            <w:left w:val="none" w:sz="0" w:space="0" w:color="auto"/>
                                                            <w:bottom w:val="none" w:sz="0" w:space="0" w:color="auto"/>
                                                            <w:right w:val="none" w:sz="0" w:space="0" w:color="auto"/>
                                                          </w:divBdr>
                                                          <w:divsChild>
                                                            <w:div w:id="110635168">
                                                              <w:marLeft w:val="0"/>
                                                              <w:marRight w:val="0"/>
                                                              <w:marTop w:val="0"/>
                                                              <w:marBottom w:val="0"/>
                                                              <w:divBdr>
                                                                <w:top w:val="none" w:sz="0" w:space="0" w:color="auto"/>
                                                                <w:left w:val="none" w:sz="0" w:space="0" w:color="auto"/>
                                                                <w:bottom w:val="none" w:sz="0" w:space="0" w:color="auto"/>
                                                                <w:right w:val="none" w:sz="0" w:space="0" w:color="auto"/>
                                                              </w:divBdr>
                                                              <w:divsChild>
                                                                <w:div w:id="1424297284">
                                                                  <w:marLeft w:val="0"/>
                                                                  <w:marRight w:val="0"/>
                                                                  <w:marTop w:val="0"/>
                                                                  <w:marBottom w:val="0"/>
                                                                  <w:divBdr>
                                                                    <w:top w:val="none" w:sz="0" w:space="0" w:color="auto"/>
                                                                    <w:left w:val="none" w:sz="0" w:space="0" w:color="auto"/>
                                                                    <w:bottom w:val="none" w:sz="0" w:space="0" w:color="auto"/>
                                                                    <w:right w:val="none" w:sz="0" w:space="0" w:color="auto"/>
                                                                  </w:divBdr>
                                                                  <w:divsChild>
                                                                    <w:div w:id="179121527">
                                                                      <w:marLeft w:val="0"/>
                                                                      <w:marRight w:val="0"/>
                                                                      <w:marTop w:val="0"/>
                                                                      <w:marBottom w:val="0"/>
                                                                      <w:divBdr>
                                                                        <w:top w:val="none" w:sz="0" w:space="0" w:color="auto"/>
                                                                        <w:left w:val="none" w:sz="0" w:space="0" w:color="auto"/>
                                                                        <w:bottom w:val="none" w:sz="0" w:space="0" w:color="auto"/>
                                                                        <w:right w:val="none" w:sz="0" w:space="0" w:color="auto"/>
                                                                      </w:divBdr>
                                                                      <w:divsChild>
                                                                        <w:div w:id="152451143">
                                                                          <w:marLeft w:val="0"/>
                                                                          <w:marRight w:val="0"/>
                                                                          <w:marTop w:val="0"/>
                                                                          <w:marBottom w:val="0"/>
                                                                          <w:divBdr>
                                                                            <w:top w:val="none" w:sz="0" w:space="0" w:color="auto"/>
                                                                            <w:left w:val="none" w:sz="0" w:space="0" w:color="auto"/>
                                                                            <w:bottom w:val="none" w:sz="0" w:space="0" w:color="auto"/>
                                                                            <w:right w:val="none" w:sz="0" w:space="0" w:color="auto"/>
                                                                          </w:divBdr>
                                                                          <w:divsChild>
                                                                            <w:div w:id="89474346">
                                                                              <w:marLeft w:val="0"/>
                                                                              <w:marRight w:val="0"/>
                                                                              <w:marTop w:val="0"/>
                                                                              <w:marBottom w:val="0"/>
                                                                              <w:divBdr>
                                                                                <w:top w:val="none" w:sz="0" w:space="0" w:color="auto"/>
                                                                                <w:left w:val="none" w:sz="0" w:space="0" w:color="auto"/>
                                                                                <w:bottom w:val="none" w:sz="0" w:space="0" w:color="auto"/>
                                                                                <w:right w:val="none" w:sz="0" w:space="0" w:color="auto"/>
                                                                              </w:divBdr>
                                                                              <w:divsChild>
                                                                                <w:div w:id="6476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471519">
      <w:bodyDiv w:val="1"/>
      <w:marLeft w:val="0"/>
      <w:marRight w:val="0"/>
      <w:marTop w:val="0"/>
      <w:marBottom w:val="0"/>
      <w:divBdr>
        <w:top w:val="none" w:sz="0" w:space="0" w:color="auto"/>
        <w:left w:val="none" w:sz="0" w:space="0" w:color="auto"/>
        <w:bottom w:val="none" w:sz="0" w:space="0" w:color="auto"/>
        <w:right w:val="none" w:sz="0" w:space="0" w:color="auto"/>
      </w:divBdr>
    </w:div>
    <w:div w:id="1990206696">
      <w:bodyDiv w:val="1"/>
      <w:marLeft w:val="0"/>
      <w:marRight w:val="0"/>
      <w:marTop w:val="0"/>
      <w:marBottom w:val="0"/>
      <w:divBdr>
        <w:top w:val="none" w:sz="0" w:space="0" w:color="auto"/>
        <w:left w:val="none" w:sz="0" w:space="0" w:color="auto"/>
        <w:bottom w:val="none" w:sz="0" w:space="0" w:color="auto"/>
        <w:right w:val="none" w:sz="0" w:space="0" w:color="auto"/>
      </w:divBdr>
    </w:div>
    <w:div w:id="21416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PILUGOS\Documents\Monica\INEGI\Consumo%20Privado\2021\Febrero\Graficas%20Consumo%20Priv%20%20(cifras%20desestacionalizadas)%20-%20copi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LUGOS\Documents\Monica\INEGI\Consumo%20Privado\2021\Febrero\Graficas%20Consumo%20Priv%20%20(cifras%20desestacionalizadas)%20-%20cop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LUGOS\Documents\Monica\INEGI\Consumo%20Privado\2021\Febrero\Graficas%20Consumo%20Priv%20%20(cifras%20desestacionalizadas)%20-%20copi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LUGOS\Documents\Monica\INEGI\Consumo%20Privado\2021\Febrero\Graficas%20Consumo%20Priv%20%20(cifras%20desestacionalizadas)%20-%20c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'!$C$17:$C$78</c:f>
              <c:numCache>
                <c:formatCode>0.0</c:formatCode>
                <c:ptCount val="62"/>
                <c:pt idx="0">
                  <c:v>108.167285263529</c:v>
                </c:pt>
                <c:pt idx="1">
                  <c:v>108.610406968242</c:v>
                </c:pt>
                <c:pt idx="2">
                  <c:v>109.25180242876</c:v>
                </c:pt>
                <c:pt idx="3">
                  <c:v>107.689467674463</c:v>
                </c:pt>
                <c:pt idx="4">
                  <c:v>108.813813122716</c:v>
                </c:pt>
                <c:pt idx="5">
                  <c:v>109.673969802984</c:v>
                </c:pt>
                <c:pt idx="6">
                  <c:v>109.848269306573</c:v>
                </c:pt>
                <c:pt idx="7">
                  <c:v>110.396582363466</c:v>
                </c:pt>
                <c:pt idx="8">
                  <c:v>110.70827066060301</c:v>
                </c:pt>
                <c:pt idx="9">
                  <c:v>111.377096926501</c:v>
                </c:pt>
                <c:pt idx="10">
                  <c:v>110.958734473044</c:v>
                </c:pt>
                <c:pt idx="11">
                  <c:v>113.644630281717</c:v>
                </c:pt>
                <c:pt idx="12">
                  <c:v>112.971767696284</c:v>
                </c:pt>
                <c:pt idx="13">
                  <c:v>112.765434129639</c:v>
                </c:pt>
                <c:pt idx="14">
                  <c:v>112.61393443994299</c:v>
                </c:pt>
                <c:pt idx="15">
                  <c:v>113.329899572084</c:v>
                </c:pt>
                <c:pt idx="16">
                  <c:v>113.331631699729</c:v>
                </c:pt>
                <c:pt idx="17">
                  <c:v>113.92246323782101</c:v>
                </c:pt>
                <c:pt idx="18">
                  <c:v>113.782973710108</c:v>
                </c:pt>
                <c:pt idx="19">
                  <c:v>113.92461315306601</c:v>
                </c:pt>
                <c:pt idx="20">
                  <c:v>113.718334035216</c:v>
                </c:pt>
                <c:pt idx="21">
                  <c:v>113.951572534343</c:v>
                </c:pt>
                <c:pt idx="22">
                  <c:v>113.85176403067901</c:v>
                </c:pt>
                <c:pt idx="23">
                  <c:v>115.29905421475701</c:v>
                </c:pt>
                <c:pt idx="24">
                  <c:v>114.29411885087301</c:v>
                </c:pt>
                <c:pt idx="25">
                  <c:v>115.01446043666699</c:v>
                </c:pt>
                <c:pt idx="26">
                  <c:v>117.54934554596601</c:v>
                </c:pt>
                <c:pt idx="27">
                  <c:v>116.006034712751</c:v>
                </c:pt>
                <c:pt idx="28">
                  <c:v>117.07576405944999</c:v>
                </c:pt>
                <c:pt idx="29">
                  <c:v>116.682275705824</c:v>
                </c:pt>
                <c:pt idx="30">
                  <c:v>117.365767797719</c:v>
                </c:pt>
                <c:pt idx="31">
                  <c:v>117.49563989722699</c:v>
                </c:pt>
                <c:pt idx="32">
                  <c:v>116.98461822735</c:v>
                </c:pt>
                <c:pt idx="33">
                  <c:v>115.864602673625</c:v>
                </c:pt>
                <c:pt idx="34">
                  <c:v>116.182582686098</c:v>
                </c:pt>
                <c:pt idx="35">
                  <c:v>115.984825987886</c:v>
                </c:pt>
                <c:pt idx="36">
                  <c:v>116.485909552343</c:v>
                </c:pt>
                <c:pt idx="37">
                  <c:v>117.208972334571</c:v>
                </c:pt>
                <c:pt idx="38">
                  <c:v>116.949612822614</c:v>
                </c:pt>
                <c:pt idx="39">
                  <c:v>117.82943281205699</c:v>
                </c:pt>
                <c:pt idx="40">
                  <c:v>117.89217285076801</c:v>
                </c:pt>
                <c:pt idx="41">
                  <c:v>118.521062590312</c:v>
                </c:pt>
                <c:pt idx="42">
                  <c:v>118.598206883746</c:v>
                </c:pt>
                <c:pt idx="43">
                  <c:v>118.004991139141</c:v>
                </c:pt>
                <c:pt idx="44">
                  <c:v>117.91495525470999</c:v>
                </c:pt>
                <c:pt idx="45">
                  <c:v>117.280843478376</c:v>
                </c:pt>
                <c:pt idx="46">
                  <c:v>116.799433073944</c:v>
                </c:pt>
                <c:pt idx="47">
                  <c:v>115.806788636977</c:v>
                </c:pt>
                <c:pt idx="48">
                  <c:v>116.16191606911499</c:v>
                </c:pt>
                <c:pt idx="49">
                  <c:v>116.282097148208</c:v>
                </c:pt>
                <c:pt idx="50">
                  <c:v>113.22441460348701</c:v>
                </c:pt>
                <c:pt idx="51">
                  <c:v>91.056190088257694</c:v>
                </c:pt>
                <c:pt idx="52">
                  <c:v>89.510140182599997</c:v>
                </c:pt>
                <c:pt idx="53">
                  <c:v>95.247622912161503</c:v>
                </c:pt>
                <c:pt idx="54">
                  <c:v>100.447962062225</c:v>
                </c:pt>
                <c:pt idx="55">
                  <c:v>102.496033236277</c:v>
                </c:pt>
                <c:pt idx="56">
                  <c:v>104.69820401152499</c:v>
                </c:pt>
                <c:pt idx="57">
                  <c:v>106.116353406283</c:v>
                </c:pt>
                <c:pt idx="58">
                  <c:v>108.891010885404</c:v>
                </c:pt>
                <c:pt idx="59">
                  <c:v>108.29280069748501</c:v>
                </c:pt>
                <c:pt idx="60">
                  <c:v>108.952441036038</c:v>
                </c:pt>
                <c:pt idx="61">
                  <c:v>108.76355227767699</c:v>
                </c:pt>
              </c:numCache>
            </c:numRef>
          </c:val>
          <c:extLst>
            <c:ext xmlns:c16="http://schemas.microsoft.com/office/drawing/2014/chart" uri="{C3380CC4-5D6E-409C-BE32-E72D297353CC}">
              <c16:uniqueId val="{00000000-B723-472C-AD7F-885255C0729A}"/>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'!$D$17:$D$78</c:f>
              <c:numCache>
                <c:formatCode>0.0</c:formatCode>
                <c:ptCount val="62"/>
                <c:pt idx="0">
                  <c:v>108.128440750379</c:v>
                </c:pt>
                <c:pt idx="1">
                  <c:v>108.453000851952</c:v>
                </c:pt>
                <c:pt idx="2">
                  <c:v>108.746040152658</c:v>
                </c:pt>
                <c:pt idx="3">
                  <c:v>108.99647711948199</c:v>
                </c:pt>
                <c:pt idx="4">
                  <c:v>109.245637256962</c:v>
                </c:pt>
                <c:pt idx="5">
                  <c:v>109.525893068896</c:v>
                </c:pt>
                <c:pt idx="6">
                  <c:v>109.870833110277</c:v>
                </c:pt>
                <c:pt idx="7">
                  <c:v>110.304376798346</c:v>
                </c:pt>
                <c:pt idx="8">
                  <c:v>110.808435188506</c:v>
                </c:pt>
                <c:pt idx="9">
                  <c:v>111.321820852851</c:v>
                </c:pt>
                <c:pt idx="10">
                  <c:v>111.79345003659201</c:v>
                </c:pt>
                <c:pt idx="11">
                  <c:v>112.20148789343099</c:v>
                </c:pt>
                <c:pt idx="12">
                  <c:v>112.53976209038299</c:v>
                </c:pt>
                <c:pt idx="13">
                  <c:v>112.808240548969</c:v>
                </c:pt>
                <c:pt idx="14">
                  <c:v>113.03997814728901</c:v>
                </c:pt>
                <c:pt idx="15">
                  <c:v>113.251802973282</c:v>
                </c:pt>
                <c:pt idx="16">
                  <c:v>113.455060037728</c:v>
                </c:pt>
                <c:pt idx="17">
                  <c:v>113.61805586589701</c:v>
                </c:pt>
                <c:pt idx="18">
                  <c:v>113.74894347067</c:v>
                </c:pt>
                <c:pt idx="19">
                  <c:v>113.83765701844101</c:v>
                </c:pt>
                <c:pt idx="20">
                  <c:v>113.89338489644599</c:v>
                </c:pt>
                <c:pt idx="21">
                  <c:v>113.977815734392</c:v>
                </c:pt>
                <c:pt idx="22">
                  <c:v>114.130391493042</c:v>
                </c:pt>
                <c:pt idx="23">
                  <c:v>114.385802030608</c:v>
                </c:pt>
                <c:pt idx="24">
                  <c:v>114.748109963753</c:v>
                </c:pt>
                <c:pt idx="25">
                  <c:v>115.18690118251</c:v>
                </c:pt>
                <c:pt idx="26">
                  <c:v>115.68273775883701</c:v>
                </c:pt>
                <c:pt idx="27">
                  <c:v>116.209515171137</c:v>
                </c:pt>
                <c:pt idx="28">
                  <c:v>116.68945814489101</c:v>
                </c:pt>
                <c:pt idx="29">
                  <c:v>117.025803815362</c:v>
                </c:pt>
                <c:pt idx="30">
                  <c:v>117.14129816256801</c:v>
                </c:pt>
                <c:pt idx="31">
                  <c:v>117.011877359992</c:v>
                </c:pt>
                <c:pt idx="32">
                  <c:v>116.750263035348</c:v>
                </c:pt>
                <c:pt idx="33">
                  <c:v>116.46514623081799</c:v>
                </c:pt>
                <c:pt idx="34">
                  <c:v>116.277964229538</c:v>
                </c:pt>
                <c:pt idx="35">
                  <c:v>116.271751701122</c:v>
                </c:pt>
                <c:pt idx="36">
                  <c:v>116.46167990346299</c:v>
                </c:pt>
                <c:pt idx="37">
                  <c:v>116.833562240083</c:v>
                </c:pt>
                <c:pt idx="38">
                  <c:v>117.285544029907</c:v>
                </c:pt>
                <c:pt idx="39">
                  <c:v>117.71928722823699</c:v>
                </c:pt>
                <c:pt idx="40">
                  <c:v>118.065715024109</c:v>
                </c:pt>
                <c:pt idx="41">
                  <c:v>118.288503243063</c:v>
                </c:pt>
                <c:pt idx="42">
                  <c:v>118.31880057159999</c:v>
                </c:pt>
                <c:pt idx="43">
                  <c:v>118.14934743140201</c:v>
                </c:pt>
                <c:pt idx="44">
                  <c:v>117.794891536992</c:v>
                </c:pt>
                <c:pt idx="45">
                  <c:v>117.3071895721</c:v>
                </c:pt>
                <c:pt idx="46">
                  <c:v>116.75716231325499</c:v>
                </c:pt>
                <c:pt idx="47">
                  <c:v>116.189348379728</c:v>
                </c:pt>
                <c:pt idx="48">
                  <c:v>115.64623212830099</c:v>
                </c:pt>
                <c:pt idx="49">
                  <c:v>115.167878016816</c:v>
                </c:pt>
                <c:pt idx="50">
                  <c:v>114.796942459961</c:v>
                </c:pt>
                <c:pt idx="51">
                  <c:v>100.75206476797101</c:v>
                </c:pt>
                <c:pt idx="52">
                  <c:v>100.844363257243</c:v>
                </c:pt>
                <c:pt idx="53">
                  <c:v>101.27067561571501</c:v>
                </c:pt>
                <c:pt idx="54">
                  <c:v>102.06239744392499</c:v>
                </c:pt>
                <c:pt idx="55">
                  <c:v>103.18967210266101</c:v>
                </c:pt>
                <c:pt idx="56">
                  <c:v>104.527516817669</c:v>
                </c:pt>
                <c:pt idx="57">
                  <c:v>105.900890520072</c:v>
                </c:pt>
                <c:pt idx="58">
                  <c:v>107.107631725166</c:v>
                </c:pt>
                <c:pt idx="59">
                  <c:v>107.998387354345</c:v>
                </c:pt>
                <c:pt idx="60">
                  <c:v>108.530835877499</c:v>
                </c:pt>
                <c:pt idx="61">
                  <c:v>108.74776821637801</c:v>
                </c:pt>
              </c:numCache>
            </c:numRef>
          </c:val>
          <c:smooth val="0"/>
          <c:extLst>
            <c:ext xmlns:c16="http://schemas.microsoft.com/office/drawing/2014/chart" uri="{C3380CC4-5D6E-409C-BE32-E72D297353CC}">
              <c16:uniqueId val="{00000001-B723-472C-AD7F-885255C0729A}"/>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541203703703712E-2"/>
          <c:y val="7.4017145037708634E-2"/>
          <c:w val="0.91766666666666663"/>
          <c:h val="0.81087187200390598"/>
        </c:manualLayout>
      </c:layout>
      <c:barChart>
        <c:barDir val="col"/>
        <c:grouping val="clustered"/>
        <c:varyColors val="0"/>
        <c:ser>
          <c:idx val="0"/>
          <c:order val="0"/>
          <c:tx>
            <c:strRef>
              <c:f>'Datos '!$C$4</c:f>
              <c:strCache>
                <c:ptCount val="1"/>
                <c:pt idx="0">
                  <c:v>Serie Desestacionalizada</c:v>
                </c:pt>
              </c:strCache>
            </c:strRef>
          </c:tx>
          <c:spPr>
            <a:solidFill>
              <a:srgbClr val="339966"/>
            </a:solidFill>
            <a:ln w="3175">
              <a:solidFill>
                <a:srgbClr val="4F6228"/>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'!$C$17:$C$78</c:f>
              <c:numCache>
                <c:formatCode>0.0</c:formatCode>
                <c:ptCount val="62"/>
                <c:pt idx="0">
                  <c:v>108.167285263529</c:v>
                </c:pt>
                <c:pt idx="1">
                  <c:v>108.610406968242</c:v>
                </c:pt>
                <c:pt idx="2">
                  <c:v>109.25180242876</c:v>
                </c:pt>
                <c:pt idx="3">
                  <c:v>107.689467674463</c:v>
                </c:pt>
                <c:pt idx="4">
                  <c:v>108.813813122716</c:v>
                </c:pt>
                <c:pt idx="5">
                  <c:v>109.673969802984</c:v>
                </c:pt>
                <c:pt idx="6">
                  <c:v>109.848269306573</c:v>
                </c:pt>
                <c:pt idx="7">
                  <c:v>110.396582363466</c:v>
                </c:pt>
                <c:pt idx="8">
                  <c:v>110.70827066060301</c:v>
                </c:pt>
                <c:pt idx="9">
                  <c:v>111.377096926501</c:v>
                </c:pt>
                <c:pt idx="10">
                  <c:v>110.958734473044</c:v>
                </c:pt>
                <c:pt idx="11">
                  <c:v>113.644630281717</c:v>
                </c:pt>
                <c:pt idx="12">
                  <c:v>112.971767696284</c:v>
                </c:pt>
                <c:pt idx="13">
                  <c:v>112.765434129639</c:v>
                </c:pt>
                <c:pt idx="14">
                  <c:v>112.61393443994299</c:v>
                </c:pt>
                <c:pt idx="15">
                  <c:v>113.329899572084</c:v>
                </c:pt>
                <c:pt idx="16">
                  <c:v>113.331631699729</c:v>
                </c:pt>
                <c:pt idx="17">
                  <c:v>113.92246323782101</c:v>
                </c:pt>
                <c:pt idx="18">
                  <c:v>113.782973710108</c:v>
                </c:pt>
                <c:pt idx="19">
                  <c:v>113.92461315306601</c:v>
                </c:pt>
                <c:pt idx="20">
                  <c:v>113.718334035216</c:v>
                </c:pt>
                <c:pt idx="21">
                  <c:v>113.951572534343</c:v>
                </c:pt>
                <c:pt idx="22">
                  <c:v>113.85176403067901</c:v>
                </c:pt>
                <c:pt idx="23">
                  <c:v>115.29905421475701</c:v>
                </c:pt>
                <c:pt idx="24">
                  <c:v>114.29411885087301</c:v>
                </c:pt>
                <c:pt idx="25">
                  <c:v>115.01446043666699</c:v>
                </c:pt>
                <c:pt idx="26">
                  <c:v>117.54934554596601</c:v>
                </c:pt>
                <c:pt idx="27">
                  <c:v>116.006034712751</c:v>
                </c:pt>
                <c:pt idx="28">
                  <c:v>117.07576405944999</c:v>
                </c:pt>
                <c:pt idx="29">
                  <c:v>116.682275705824</c:v>
                </c:pt>
                <c:pt idx="30">
                  <c:v>117.365767797719</c:v>
                </c:pt>
                <c:pt idx="31">
                  <c:v>117.49563989722699</c:v>
                </c:pt>
                <c:pt idx="32">
                  <c:v>116.98461822735</c:v>
                </c:pt>
                <c:pt idx="33">
                  <c:v>115.864602673625</c:v>
                </c:pt>
                <c:pt idx="34">
                  <c:v>116.182582686098</c:v>
                </c:pt>
                <c:pt idx="35">
                  <c:v>115.984825987886</c:v>
                </c:pt>
                <c:pt idx="36">
                  <c:v>116.485909552343</c:v>
                </c:pt>
                <c:pt idx="37">
                  <c:v>117.208972334571</c:v>
                </c:pt>
                <c:pt idx="38">
                  <c:v>116.949612822614</c:v>
                </c:pt>
                <c:pt idx="39">
                  <c:v>117.82943281205699</c:v>
                </c:pt>
                <c:pt idx="40">
                  <c:v>117.89217285076801</c:v>
                </c:pt>
                <c:pt idx="41">
                  <c:v>118.521062590312</c:v>
                </c:pt>
                <c:pt idx="42">
                  <c:v>118.598206883746</c:v>
                </c:pt>
                <c:pt idx="43">
                  <c:v>118.004991139141</c:v>
                </c:pt>
                <c:pt idx="44">
                  <c:v>117.91495525470999</c:v>
                </c:pt>
                <c:pt idx="45">
                  <c:v>117.280843478376</c:v>
                </c:pt>
                <c:pt idx="46">
                  <c:v>116.799433073944</c:v>
                </c:pt>
                <c:pt idx="47">
                  <c:v>115.806788636977</c:v>
                </c:pt>
                <c:pt idx="48">
                  <c:v>116.16191606911499</c:v>
                </c:pt>
                <c:pt idx="49">
                  <c:v>116.282097148208</c:v>
                </c:pt>
                <c:pt idx="50">
                  <c:v>113.22441460348701</c:v>
                </c:pt>
                <c:pt idx="51">
                  <c:v>91.056190088257694</c:v>
                </c:pt>
                <c:pt idx="52">
                  <c:v>89.510140182599997</c:v>
                </c:pt>
                <c:pt idx="53">
                  <c:v>95.247622912161503</c:v>
                </c:pt>
                <c:pt idx="54">
                  <c:v>100.447962062225</c:v>
                </c:pt>
                <c:pt idx="55">
                  <c:v>102.496033236277</c:v>
                </c:pt>
                <c:pt idx="56">
                  <c:v>104.69820401152499</c:v>
                </c:pt>
                <c:pt idx="57">
                  <c:v>106.116353406283</c:v>
                </c:pt>
                <c:pt idx="58">
                  <c:v>108.891010885404</c:v>
                </c:pt>
                <c:pt idx="59">
                  <c:v>108.29280069748501</c:v>
                </c:pt>
                <c:pt idx="60">
                  <c:v>108.952441036038</c:v>
                </c:pt>
                <c:pt idx="61">
                  <c:v>108.76355227767699</c:v>
                </c:pt>
              </c:numCache>
            </c:numRef>
          </c:val>
          <c:extLst>
            <c:ext xmlns:c16="http://schemas.microsoft.com/office/drawing/2014/chart" uri="{C3380CC4-5D6E-409C-BE32-E72D297353CC}">
              <c16:uniqueId val="{00000000-D24D-43E8-94B9-D7A57BB648A0}"/>
            </c:ext>
          </c:extLst>
        </c:ser>
        <c:dLbls>
          <c:showLegendKey val="0"/>
          <c:showVal val="0"/>
          <c:showCatName val="0"/>
          <c:showSerName val="0"/>
          <c:showPercent val="0"/>
          <c:showBubbleSize val="0"/>
        </c:dLbls>
        <c:gapWidth val="50"/>
        <c:axId val="836026664"/>
        <c:axId val="836035680"/>
      </c:barChart>
      <c:lineChart>
        <c:grouping val="standard"/>
        <c:varyColors val="0"/>
        <c:ser>
          <c:idx val="1"/>
          <c:order val="1"/>
          <c:tx>
            <c:strRef>
              <c:f>'Datos '!$D$4</c:f>
              <c:strCache>
                <c:ptCount val="1"/>
                <c:pt idx="0">
                  <c:v>Tendencia-Ciclo</c:v>
                </c:pt>
              </c:strCache>
            </c:strRef>
          </c:tx>
          <c:spPr>
            <a:ln w="12700">
              <a:solidFill>
                <a:srgbClr val="1203D3"/>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'!$D$17:$D$78</c:f>
              <c:numCache>
                <c:formatCode>0.0</c:formatCode>
                <c:ptCount val="62"/>
                <c:pt idx="0">
                  <c:v>108.128440750379</c:v>
                </c:pt>
                <c:pt idx="1">
                  <c:v>108.453000851952</c:v>
                </c:pt>
                <c:pt idx="2">
                  <c:v>108.746040152658</c:v>
                </c:pt>
                <c:pt idx="3">
                  <c:v>108.99647711948199</c:v>
                </c:pt>
                <c:pt idx="4">
                  <c:v>109.245637256962</c:v>
                </c:pt>
                <c:pt idx="5">
                  <c:v>109.525893068896</c:v>
                </c:pt>
                <c:pt idx="6">
                  <c:v>109.870833110277</c:v>
                </c:pt>
                <c:pt idx="7">
                  <c:v>110.304376798346</c:v>
                </c:pt>
                <c:pt idx="8">
                  <c:v>110.808435188506</c:v>
                </c:pt>
                <c:pt idx="9">
                  <c:v>111.321820852851</c:v>
                </c:pt>
                <c:pt idx="10">
                  <c:v>111.79345003659201</c:v>
                </c:pt>
                <c:pt idx="11">
                  <c:v>112.20148789343099</c:v>
                </c:pt>
                <c:pt idx="12">
                  <c:v>112.53976209038299</c:v>
                </c:pt>
                <c:pt idx="13">
                  <c:v>112.808240548969</c:v>
                </c:pt>
                <c:pt idx="14">
                  <c:v>113.03997814728901</c:v>
                </c:pt>
                <c:pt idx="15">
                  <c:v>113.251802973282</c:v>
                </c:pt>
                <c:pt idx="16">
                  <c:v>113.455060037728</c:v>
                </c:pt>
                <c:pt idx="17">
                  <c:v>113.61805586589701</c:v>
                </c:pt>
                <c:pt idx="18">
                  <c:v>113.74894347067</c:v>
                </c:pt>
                <c:pt idx="19">
                  <c:v>113.83765701844101</c:v>
                </c:pt>
                <c:pt idx="20">
                  <c:v>113.89338489644599</c:v>
                </c:pt>
                <c:pt idx="21">
                  <c:v>113.977815734392</c:v>
                </c:pt>
                <c:pt idx="22">
                  <c:v>114.130391493042</c:v>
                </c:pt>
                <c:pt idx="23">
                  <c:v>114.385802030608</c:v>
                </c:pt>
                <c:pt idx="24">
                  <c:v>114.748109963753</c:v>
                </c:pt>
                <c:pt idx="25">
                  <c:v>115.18690118251</c:v>
                </c:pt>
                <c:pt idx="26">
                  <c:v>115.68273775883701</c:v>
                </c:pt>
                <c:pt idx="27">
                  <c:v>116.209515171137</c:v>
                </c:pt>
                <c:pt idx="28">
                  <c:v>116.68945814489101</c:v>
                </c:pt>
                <c:pt idx="29">
                  <c:v>117.025803815362</c:v>
                </c:pt>
                <c:pt idx="30">
                  <c:v>117.14129816256801</c:v>
                </c:pt>
                <c:pt idx="31">
                  <c:v>117.011877359992</c:v>
                </c:pt>
                <c:pt idx="32">
                  <c:v>116.750263035348</c:v>
                </c:pt>
                <c:pt idx="33">
                  <c:v>116.46514623081799</c:v>
                </c:pt>
                <c:pt idx="34">
                  <c:v>116.277964229538</c:v>
                </c:pt>
                <c:pt idx="35">
                  <c:v>116.271751701122</c:v>
                </c:pt>
                <c:pt idx="36">
                  <c:v>116.46167990346299</c:v>
                </c:pt>
                <c:pt idx="37">
                  <c:v>116.833562240083</c:v>
                </c:pt>
                <c:pt idx="38">
                  <c:v>117.285544029907</c:v>
                </c:pt>
                <c:pt idx="39">
                  <c:v>117.71928722823699</c:v>
                </c:pt>
                <c:pt idx="40">
                  <c:v>118.065715024109</c:v>
                </c:pt>
                <c:pt idx="41">
                  <c:v>118.288503243063</c:v>
                </c:pt>
                <c:pt idx="42">
                  <c:v>118.31880057159999</c:v>
                </c:pt>
                <c:pt idx="43">
                  <c:v>118.14934743140201</c:v>
                </c:pt>
                <c:pt idx="44">
                  <c:v>117.794891536992</c:v>
                </c:pt>
                <c:pt idx="45">
                  <c:v>117.3071895721</c:v>
                </c:pt>
                <c:pt idx="46">
                  <c:v>116.75716231325499</c:v>
                </c:pt>
                <c:pt idx="47">
                  <c:v>116.189348379728</c:v>
                </c:pt>
                <c:pt idx="48">
                  <c:v>115.64623212830099</c:v>
                </c:pt>
                <c:pt idx="49">
                  <c:v>115.167878016816</c:v>
                </c:pt>
                <c:pt idx="50">
                  <c:v>114.796942459961</c:v>
                </c:pt>
                <c:pt idx="51">
                  <c:v>100.75206476797101</c:v>
                </c:pt>
                <c:pt idx="52">
                  <c:v>100.844363257243</c:v>
                </c:pt>
                <c:pt idx="53">
                  <c:v>101.27067561571501</c:v>
                </c:pt>
                <c:pt idx="54">
                  <c:v>102.06239744392499</c:v>
                </c:pt>
                <c:pt idx="55">
                  <c:v>103.18967210266101</c:v>
                </c:pt>
                <c:pt idx="56">
                  <c:v>104.527516817669</c:v>
                </c:pt>
                <c:pt idx="57">
                  <c:v>105.900890520072</c:v>
                </c:pt>
                <c:pt idx="58">
                  <c:v>107.107631725166</c:v>
                </c:pt>
                <c:pt idx="59">
                  <c:v>107.998387354345</c:v>
                </c:pt>
                <c:pt idx="60">
                  <c:v>108.530835877499</c:v>
                </c:pt>
                <c:pt idx="61">
                  <c:v>108.74776821637801</c:v>
                </c:pt>
              </c:numCache>
            </c:numRef>
          </c:val>
          <c:smooth val="0"/>
          <c:extLst>
            <c:ext xmlns:c16="http://schemas.microsoft.com/office/drawing/2014/chart" uri="{C3380CC4-5D6E-409C-BE32-E72D297353CC}">
              <c16:uniqueId val="{00000001-D24D-43E8-94B9-D7A57BB648A0}"/>
            </c:ext>
          </c:extLst>
        </c:ser>
        <c:dLbls>
          <c:showLegendKey val="0"/>
          <c:showVal val="0"/>
          <c:showCatName val="0"/>
          <c:showSerName val="0"/>
          <c:showPercent val="0"/>
          <c:showBubbleSize val="0"/>
        </c:dLbls>
        <c:marker val="1"/>
        <c:smooth val="0"/>
        <c:axId val="836026664"/>
        <c:axId val="836035680"/>
      </c:lineChart>
      <c:catAx>
        <c:axId val="836026664"/>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5680"/>
        <c:crosses val="autoZero"/>
        <c:auto val="1"/>
        <c:lblAlgn val="ctr"/>
        <c:lblOffset val="100"/>
        <c:tickLblSkip val="1"/>
        <c:tickMarkSkip val="12"/>
        <c:noMultiLvlLbl val="1"/>
      </c:catAx>
      <c:valAx>
        <c:axId val="836035680"/>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26664"/>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7037037036"/>
          <c:y val="0.96914075303260372"/>
          <c:w val="0.78343655439478144"/>
          <c:h val="2.779972543872010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586111111111124E-2"/>
          <c:y val="4.0468518518518522E-2"/>
          <c:w val="0.91876747685185189"/>
          <c:h val="0.82387453703703695"/>
        </c:manualLayout>
      </c:layout>
      <c:barChart>
        <c:barDir val="col"/>
        <c:grouping val="clustered"/>
        <c:varyColors val="0"/>
        <c:ser>
          <c:idx val="0"/>
          <c:order val="0"/>
          <c:tx>
            <c:strRef>
              <c:f>'Datos '!$K$4</c:f>
              <c:strCache>
                <c:ptCount val="1"/>
                <c:pt idx="0">
                  <c:v>Serie Desestacionalizada</c:v>
                </c:pt>
              </c:strCache>
            </c:strRef>
          </c:tx>
          <c:spPr>
            <a:solidFill>
              <a:srgbClr val="339966"/>
            </a:solidFill>
            <a:ln w="3175">
              <a:solidFill>
                <a:srgbClr val="4F6228"/>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'!$K$17:$K$78</c:f>
              <c:numCache>
                <c:formatCode>0.0</c:formatCode>
                <c:ptCount val="62"/>
                <c:pt idx="0">
                  <c:v>109.98706511872</c:v>
                </c:pt>
                <c:pt idx="1">
                  <c:v>111.62706623770799</c:v>
                </c:pt>
                <c:pt idx="2">
                  <c:v>113.22774166491099</c:v>
                </c:pt>
                <c:pt idx="3">
                  <c:v>108.58218884674</c:v>
                </c:pt>
                <c:pt idx="4">
                  <c:v>108.77146789595</c:v>
                </c:pt>
                <c:pt idx="5">
                  <c:v>110.4098435751</c:v>
                </c:pt>
                <c:pt idx="6">
                  <c:v>110.210474435351</c:v>
                </c:pt>
                <c:pt idx="7">
                  <c:v>109.468790911073</c:v>
                </c:pt>
                <c:pt idx="8">
                  <c:v>110.168072561887</c:v>
                </c:pt>
                <c:pt idx="9">
                  <c:v>108.82612686773599</c:v>
                </c:pt>
                <c:pt idx="10">
                  <c:v>106.627126860568</c:v>
                </c:pt>
                <c:pt idx="11">
                  <c:v>110.66166578567901</c:v>
                </c:pt>
                <c:pt idx="12">
                  <c:v>108.42664707043301</c:v>
                </c:pt>
                <c:pt idx="13">
                  <c:v>115.30521030092601</c:v>
                </c:pt>
                <c:pt idx="14">
                  <c:v>117.487737253842</c:v>
                </c:pt>
                <c:pt idx="15">
                  <c:v>117.24208949815799</c:v>
                </c:pt>
                <c:pt idx="16">
                  <c:v>119.864276561574</c:v>
                </c:pt>
                <c:pt idx="17">
                  <c:v>123.031674468571</c:v>
                </c:pt>
                <c:pt idx="18">
                  <c:v>120.183263406243</c:v>
                </c:pt>
                <c:pt idx="19">
                  <c:v>117.022881403209</c:v>
                </c:pt>
                <c:pt idx="20">
                  <c:v>116.300827015598</c:v>
                </c:pt>
                <c:pt idx="21">
                  <c:v>115.10992723715199</c:v>
                </c:pt>
                <c:pt idx="22">
                  <c:v>115.40868658508801</c:v>
                </c:pt>
                <c:pt idx="23">
                  <c:v>122.226251593797</c:v>
                </c:pt>
                <c:pt idx="24">
                  <c:v>115.98762255632199</c:v>
                </c:pt>
                <c:pt idx="25">
                  <c:v>117.12772355226799</c:v>
                </c:pt>
                <c:pt idx="26">
                  <c:v>126.90059685571499</c:v>
                </c:pt>
                <c:pt idx="27">
                  <c:v>121.485503392711</c:v>
                </c:pt>
                <c:pt idx="28">
                  <c:v>121.243564569528</c:v>
                </c:pt>
                <c:pt idx="29">
                  <c:v>122.15522010570901</c:v>
                </c:pt>
                <c:pt idx="30">
                  <c:v>119.26914513768099</c:v>
                </c:pt>
                <c:pt idx="31">
                  <c:v>123.303080844682</c:v>
                </c:pt>
                <c:pt idx="32">
                  <c:v>121.70369156520999</c:v>
                </c:pt>
                <c:pt idx="33">
                  <c:v>118.789770484446</c:v>
                </c:pt>
                <c:pt idx="34">
                  <c:v>120.012586687352</c:v>
                </c:pt>
                <c:pt idx="35">
                  <c:v>118.447415190879</c:v>
                </c:pt>
                <c:pt idx="36">
                  <c:v>121.92490659280099</c:v>
                </c:pt>
                <c:pt idx="37">
                  <c:v>122.48057342666699</c:v>
                </c:pt>
                <c:pt idx="38">
                  <c:v>120.755092728497</c:v>
                </c:pt>
                <c:pt idx="39">
                  <c:v>126.121812561523</c:v>
                </c:pt>
                <c:pt idx="40">
                  <c:v>123.512435458947</c:v>
                </c:pt>
                <c:pt idx="41">
                  <c:v>122.732624537427</c:v>
                </c:pt>
                <c:pt idx="42">
                  <c:v>125.91348797876699</c:v>
                </c:pt>
                <c:pt idx="43">
                  <c:v>123.658303361443</c:v>
                </c:pt>
                <c:pt idx="44">
                  <c:v>128.46657568095301</c:v>
                </c:pt>
                <c:pt idx="45">
                  <c:v>128.74869846679599</c:v>
                </c:pt>
                <c:pt idx="46">
                  <c:v>122.942693298018</c:v>
                </c:pt>
                <c:pt idx="47">
                  <c:v>121.01758486374599</c:v>
                </c:pt>
                <c:pt idx="48">
                  <c:v>121.966888413251</c:v>
                </c:pt>
                <c:pt idx="49">
                  <c:v>120.94072325202301</c:v>
                </c:pt>
                <c:pt idx="50">
                  <c:v>110.30229778005</c:v>
                </c:pt>
                <c:pt idx="51">
                  <c:v>87.844801781290997</c:v>
                </c:pt>
                <c:pt idx="52">
                  <c:v>82.292244651192107</c:v>
                </c:pt>
                <c:pt idx="53">
                  <c:v>91.847161847616903</c:v>
                </c:pt>
                <c:pt idx="54">
                  <c:v>97.655517089786699</c:v>
                </c:pt>
                <c:pt idx="55">
                  <c:v>101.306600815145</c:v>
                </c:pt>
                <c:pt idx="56">
                  <c:v>98.787336726332697</c:v>
                </c:pt>
                <c:pt idx="57">
                  <c:v>101.689467877014</c:v>
                </c:pt>
                <c:pt idx="58">
                  <c:v>122.48373187339401</c:v>
                </c:pt>
                <c:pt idx="59">
                  <c:v>122.436406428479</c:v>
                </c:pt>
                <c:pt idx="60">
                  <c:v>126.786527002377</c:v>
                </c:pt>
                <c:pt idx="61">
                  <c:v>124.46954689295799</c:v>
                </c:pt>
              </c:numCache>
            </c:numRef>
          </c:val>
          <c:extLst>
            <c:ext xmlns:c16="http://schemas.microsoft.com/office/drawing/2014/chart" uri="{C3380CC4-5D6E-409C-BE32-E72D297353CC}">
              <c16:uniqueId val="{00000000-C0F1-44AC-838F-81D04925E992}"/>
            </c:ext>
          </c:extLst>
        </c:ser>
        <c:dLbls>
          <c:showLegendKey val="0"/>
          <c:showVal val="0"/>
          <c:showCatName val="0"/>
          <c:showSerName val="0"/>
          <c:showPercent val="0"/>
          <c:showBubbleSize val="0"/>
        </c:dLbls>
        <c:gapWidth val="50"/>
        <c:axId val="836032152"/>
        <c:axId val="836036464"/>
      </c:barChart>
      <c:lineChart>
        <c:grouping val="standard"/>
        <c:varyColors val="0"/>
        <c:ser>
          <c:idx val="1"/>
          <c:order val="1"/>
          <c:tx>
            <c:strRef>
              <c:f>'Datos '!$L$4</c:f>
              <c:strCache>
                <c:ptCount val="1"/>
                <c:pt idx="0">
                  <c:v>Tendencia-Ciclo</c:v>
                </c:pt>
              </c:strCache>
            </c:strRef>
          </c:tx>
          <c:spPr>
            <a:ln w="12700">
              <a:solidFill>
                <a:srgbClr val="1203D3"/>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'!$L$17:$L$78</c:f>
              <c:numCache>
                <c:formatCode>0.0</c:formatCode>
                <c:ptCount val="62"/>
                <c:pt idx="0">
                  <c:v>112.38286126006</c:v>
                </c:pt>
                <c:pt idx="1">
                  <c:v>111.343488339144</c:v>
                </c:pt>
                <c:pt idx="2">
                  <c:v>110.58043489841999</c:v>
                </c:pt>
                <c:pt idx="3">
                  <c:v>110.12936764769</c:v>
                </c:pt>
                <c:pt idx="4">
                  <c:v>109.97983951254</c:v>
                </c:pt>
                <c:pt idx="5">
                  <c:v>109.849648451436</c:v>
                </c:pt>
                <c:pt idx="6">
                  <c:v>109.649136663196</c:v>
                </c:pt>
                <c:pt idx="7">
                  <c:v>109.34153129099499</c:v>
                </c:pt>
                <c:pt idx="8">
                  <c:v>108.974351142468</c:v>
                </c:pt>
                <c:pt idx="9">
                  <c:v>108.743624101761</c:v>
                </c:pt>
                <c:pt idx="10">
                  <c:v>108.944097465212</c:v>
                </c:pt>
                <c:pt idx="11">
                  <c:v>109.866397017938</c:v>
                </c:pt>
                <c:pt idx="12">
                  <c:v>111.57315030759599</c:v>
                </c:pt>
                <c:pt idx="13">
                  <c:v>113.89706184651899</c:v>
                </c:pt>
                <c:pt idx="14">
                  <c:v>116.41322511857101</c:v>
                </c:pt>
                <c:pt idx="15">
                  <c:v>118.562361479412</c:v>
                </c:pt>
                <c:pt idx="16">
                  <c:v>119.843101365604</c:v>
                </c:pt>
                <c:pt idx="17">
                  <c:v>120.058311797469</c:v>
                </c:pt>
                <c:pt idx="18">
                  <c:v>119.403332521986</c:v>
                </c:pt>
                <c:pt idx="19">
                  <c:v>118.22154133437699</c:v>
                </c:pt>
                <c:pt idx="20">
                  <c:v>116.967976356885</c:v>
                </c:pt>
                <c:pt idx="21">
                  <c:v>115.970963644454</c:v>
                </c:pt>
                <c:pt idx="22">
                  <c:v>115.600884106442</c:v>
                </c:pt>
                <c:pt idx="23">
                  <c:v>115.996338581324</c:v>
                </c:pt>
                <c:pt idx="24">
                  <c:v>117.014404154939</c:v>
                </c:pt>
                <c:pt idx="25">
                  <c:v>118.235212035366</c:v>
                </c:pt>
                <c:pt idx="26">
                  <c:v>119.422011606456</c:v>
                </c:pt>
                <c:pt idx="27">
                  <c:v>120.48061306790299</c:v>
                </c:pt>
                <c:pt idx="28">
                  <c:v>121.250475621326</c:v>
                </c:pt>
                <c:pt idx="29">
                  <c:v>121.662454043593</c:v>
                </c:pt>
                <c:pt idx="30">
                  <c:v>121.610478680021</c:v>
                </c:pt>
                <c:pt idx="31">
                  <c:v>121.16711988735</c:v>
                </c:pt>
                <c:pt idx="32">
                  <c:v>120.65926831547399</c:v>
                </c:pt>
                <c:pt idx="33">
                  <c:v>120.210594283964</c:v>
                </c:pt>
                <c:pt idx="34">
                  <c:v>120.00167104052299</c:v>
                </c:pt>
                <c:pt idx="35">
                  <c:v>120.21870615224</c:v>
                </c:pt>
                <c:pt idx="36">
                  <c:v>120.827319863566</c:v>
                </c:pt>
                <c:pt idx="37">
                  <c:v>121.727122098568</c:v>
                </c:pt>
                <c:pt idx="38">
                  <c:v>122.638577834194</c:v>
                </c:pt>
                <c:pt idx="39">
                  <c:v>123.283692445535</c:v>
                </c:pt>
                <c:pt idx="40">
                  <c:v>123.868026188203</c:v>
                </c:pt>
                <c:pt idx="41">
                  <c:v>124.59613758655399</c:v>
                </c:pt>
                <c:pt idx="42">
                  <c:v>125.355689879248</c:v>
                </c:pt>
                <c:pt idx="43">
                  <c:v>125.985163361367</c:v>
                </c:pt>
                <c:pt idx="44">
                  <c:v>126.20415386457</c:v>
                </c:pt>
                <c:pt idx="45">
                  <c:v>125.81808417876999</c:v>
                </c:pt>
                <c:pt idx="46">
                  <c:v>124.60220318161601</c:v>
                </c:pt>
                <c:pt idx="47">
                  <c:v>122.489532372808</c:v>
                </c:pt>
                <c:pt idx="48">
                  <c:v>119.836365220768</c:v>
                </c:pt>
                <c:pt idx="49">
                  <c:v>117.25882993656499</c:v>
                </c:pt>
                <c:pt idx="50">
                  <c:v>115.469442774665</c:v>
                </c:pt>
                <c:pt idx="51">
                  <c:v>89.758943280203994</c:v>
                </c:pt>
                <c:pt idx="52">
                  <c:v>90.7092751901654</c:v>
                </c:pt>
                <c:pt idx="53">
                  <c:v>92.911609731819098</c:v>
                </c:pt>
                <c:pt idx="54">
                  <c:v>96.306086987050193</c:v>
                </c:pt>
                <c:pt idx="55">
                  <c:v>100.721266212773</c:v>
                </c:pt>
                <c:pt idx="56">
                  <c:v>105.775488056554</c:v>
                </c:pt>
                <c:pt idx="57">
                  <c:v>111.045729704574</c:v>
                </c:pt>
                <c:pt idx="58">
                  <c:v>116.033542977983</c:v>
                </c:pt>
                <c:pt idx="59">
                  <c:v>120.264746076488</c:v>
                </c:pt>
                <c:pt idx="60">
                  <c:v>123.418492164816</c:v>
                </c:pt>
                <c:pt idx="61">
                  <c:v>125.455405441426</c:v>
                </c:pt>
              </c:numCache>
            </c:numRef>
          </c:val>
          <c:smooth val="0"/>
          <c:extLst>
            <c:ext xmlns:c16="http://schemas.microsoft.com/office/drawing/2014/chart" uri="{C3380CC4-5D6E-409C-BE32-E72D297353CC}">
              <c16:uniqueId val="{00000001-C0F1-44AC-838F-81D04925E992}"/>
            </c:ext>
          </c:extLst>
        </c:ser>
        <c:dLbls>
          <c:showLegendKey val="0"/>
          <c:showVal val="0"/>
          <c:showCatName val="0"/>
          <c:showSerName val="0"/>
          <c:showPercent val="0"/>
          <c:showBubbleSize val="0"/>
        </c:dLbls>
        <c:marker val="1"/>
        <c:smooth val="0"/>
        <c:axId val="836032152"/>
        <c:axId val="836036464"/>
      </c:lineChart>
      <c:catAx>
        <c:axId val="836032152"/>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464"/>
        <c:crosses val="autoZero"/>
        <c:auto val="1"/>
        <c:lblAlgn val="ctr"/>
        <c:lblOffset val="100"/>
        <c:tickLblSkip val="1"/>
        <c:tickMarkSkip val="12"/>
        <c:noMultiLvlLbl val="1"/>
      </c:catAx>
      <c:valAx>
        <c:axId val="836036464"/>
        <c:scaling>
          <c:orientation val="minMax"/>
          <c:max val="130"/>
          <c:min val="7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215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611516203703741"/>
          <c:y val="0.96627691580621888"/>
          <c:w val="0.78343655439478144"/>
          <c:h val="3.0045932746058067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89930555555564E-2"/>
          <c:y val="4.0468518518518522E-2"/>
          <c:w val="0.92173877314815"/>
          <c:h val="0.82827407407407416"/>
        </c:manualLayout>
      </c:layout>
      <c:barChart>
        <c:barDir val="col"/>
        <c:grouping val="clustered"/>
        <c:varyColors val="0"/>
        <c:ser>
          <c:idx val="0"/>
          <c:order val="0"/>
          <c:tx>
            <c:strRef>
              <c:f>'Datos '!$E$4</c:f>
              <c:strCache>
                <c:ptCount val="1"/>
                <c:pt idx="0">
                  <c:v>Serie Desestacionalizada</c:v>
                </c:pt>
              </c:strCache>
            </c:strRef>
          </c:tx>
          <c:spPr>
            <a:solidFill>
              <a:srgbClr val="339966"/>
            </a:solidFill>
            <a:ln w="3175">
              <a:solidFill>
                <a:srgbClr val="4F6228"/>
              </a:solidFill>
            </a:ln>
          </c:spPr>
          <c:invertIfNegative val="0"/>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'!$E$17:$E$78</c:f>
              <c:numCache>
                <c:formatCode>0.0</c:formatCode>
                <c:ptCount val="62"/>
                <c:pt idx="0">
                  <c:v>108.066941819224</c:v>
                </c:pt>
                <c:pt idx="1">
                  <c:v>108.32724240271099</c:v>
                </c:pt>
                <c:pt idx="2">
                  <c:v>108.687156236183</c:v>
                </c:pt>
                <c:pt idx="3">
                  <c:v>107.470664169942</c:v>
                </c:pt>
                <c:pt idx="4">
                  <c:v>108.835955479944</c:v>
                </c:pt>
                <c:pt idx="5">
                  <c:v>109.791224508686</c:v>
                </c:pt>
                <c:pt idx="6">
                  <c:v>110.02160748185101</c:v>
                </c:pt>
                <c:pt idx="7">
                  <c:v>110.3305518983</c:v>
                </c:pt>
                <c:pt idx="8">
                  <c:v>110.66677276928201</c:v>
                </c:pt>
                <c:pt idx="9">
                  <c:v>111.652872362297</c:v>
                </c:pt>
                <c:pt idx="10">
                  <c:v>111.42644527857399</c:v>
                </c:pt>
                <c:pt idx="11">
                  <c:v>114.048473913175</c:v>
                </c:pt>
                <c:pt idx="12">
                  <c:v>113.404036519223</c:v>
                </c:pt>
                <c:pt idx="13">
                  <c:v>112.472499419656</c:v>
                </c:pt>
                <c:pt idx="14">
                  <c:v>111.81552452369201</c:v>
                </c:pt>
                <c:pt idx="15">
                  <c:v>113.173750789721</c:v>
                </c:pt>
                <c:pt idx="16">
                  <c:v>112.53719803057901</c:v>
                </c:pt>
                <c:pt idx="17">
                  <c:v>113.075985238668</c:v>
                </c:pt>
                <c:pt idx="18">
                  <c:v>113.270780701056</c:v>
                </c:pt>
                <c:pt idx="19">
                  <c:v>113.48706759485</c:v>
                </c:pt>
                <c:pt idx="20">
                  <c:v>113.28115046468901</c:v>
                </c:pt>
                <c:pt idx="21">
                  <c:v>113.641587067527</c:v>
                </c:pt>
                <c:pt idx="22">
                  <c:v>113.73117455721599</c:v>
                </c:pt>
                <c:pt idx="23">
                  <c:v>114.702361759577</c:v>
                </c:pt>
                <c:pt idx="24">
                  <c:v>114.01079859036901</c:v>
                </c:pt>
                <c:pt idx="25">
                  <c:v>114.71633476398701</c:v>
                </c:pt>
                <c:pt idx="26">
                  <c:v>116.57071783816301</c:v>
                </c:pt>
                <c:pt idx="27">
                  <c:v>115.518189937895</c:v>
                </c:pt>
                <c:pt idx="28">
                  <c:v>116.721770699915</c:v>
                </c:pt>
                <c:pt idx="29">
                  <c:v>116.16574062797</c:v>
                </c:pt>
                <c:pt idx="30">
                  <c:v>117.153508027939</c:v>
                </c:pt>
                <c:pt idx="31">
                  <c:v>116.762717414666</c:v>
                </c:pt>
                <c:pt idx="32">
                  <c:v>116.480767022001</c:v>
                </c:pt>
                <c:pt idx="33">
                  <c:v>115.19950239107099</c:v>
                </c:pt>
                <c:pt idx="34">
                  <c:v>115.638599285208</c:v>
                </c:pt>
                <c:pt idx="35">
                  <c:v>115.867521367924</c:v>
                </c:pt>
                <c:pt idx="36">
                  <c:v>115.922663475734</c:v>
                </c:pt>
                <c:pt idx="37">
                  <c:v>116.520107376586</c:v>
                </c:pt>
                <c:pt idx="38">
                  <c:v>116.549313587782</c:v>
                </c:pt>
                <c:pt idx="39">
                  <c:v>117.083870849837</c:v>
                </c:pt>
                <c:pt idx="40">
                  <c:v>117.462855798346</c:v>
                </c:pt>
                <c:pt idx="41">
                  <c:v>118.23366376492299</c:v>
                </c:pt>
                <c:pt idx="42">
                  <c:v>117.612860378002</c:v>
                </c:pt>
                <c:pt idx="43">
                  <c:v>117.358125939939</c:v>
                </c:pt>
                <c:pt idx="44">
                  <c:v>116.52057124877901</c:v>
                </c:pt>
                <c:pt idx="45">
                  <c:v>115.732651531551</c:v>
                </c:pt>
                <c:pt idx="46">
                  <c:v>115.850768292868</c:v>
                </c:pt>
                <c:pt idx="47">
                  <c:v>115.280696472842</c:v>
                </c:pt>
                <c:pt idx="48">
                  <c:v>115.59167732537399</c:v>
                </c:pt>
                <c:pt idx="49">
                  <c:v>115.735272436375</c:v>
                </c:pt>
                <c:pt idx="50">
                  <c:v>113.52767770786799</c:v>
                </c:pt>
                <c:pt idx="51">
                  <c:v>91.704542131840299</c:v>
                </c:pt>
                <c:pt idx="52">
                  <c:v>90.4224657763544</c:v>
                </c:pt>
                <c:pt idx="53">
                  <c:v>95.486965406254299</c:v>
                </c:pt>
                <c:pt idx="54">
                  <c:v>100.766176100696</c:v>
                </c:pt>
                <c:pt idx="55">
                  <c:v>102.65001725080801</c:v>
                </c:pt>
                <c:pt idx="56">
                  <c:v>105.132959678655</c:v>
                </c:pt>
                <c:pt idx="57">
                  <c:v>106.78542650110801</c:v>
                </c:pt>
                <c:pt idx="58">
                  <c:v>107.087806657588</c:v>
                </c:pt>
                <c:pt idx="59">
                  <c:v>106.771766238718</c:v>
                </c:pt>
                <c:pt idx="60">
                  <c:v>107.24167258657199</c:v>
                </c:pt>
                <c:pt idx="61">
                  <c:v>106.931513633728</c:v>
                </c:pt>
              </c:numCache>
            </c:numRef>
          </c:val>
          <c:extLst>
            <c:ext xmlns:c16="http://schemas.microsoft.com/office/drawing/2014/chart" uri="{C3380CC4-5D6E-409C-BE32-E72D297353CC}">
              <c16:uniqueId val="{00000000-55BC-4287-B6CB-9B672F7E71BE}"/>
            </c:ext>
          </c:extLst>
        </c:ser>
        <c:dLbls>
          <c:showLegendKey val="0"/>
          <c:showVal val="0"/>
          <c:showCatName val="0"/>
          <c:showSerName val="0"/>
          <c:showPercent val="0"/>
          <c:showBubbleSize val="0"/>
        </c:dLbls>
        <c:gapWidth val="50"/>
        <c:axId val="836031368"/>
        <c:axId val="836036072"/>
      </c:barChart>
      <c:lineChart>
        <c:grouping val="standard"/>
        <c:varyColors val="0"/>
        <c:ser>
          <c:idx val="1"/>
          <c:order val="1"/>
          <c:tx>
            <c:strRef>
              <c:f>'Datos '!$F$4</c:f>
              <c:strCache>
                <c:ptCount val="1"/>
                <c:pt idx="0">
                  <c:v>Tendencia-Ciclo</c:v>
                </c:pt>
              </c:strCache>
            </c:strRef>
          </c:tx>
          <c:spPr>
            <a:ln w="12700">
              <a:solidFill>
                <a:srgbClr val="1203D3"/>
              </a:solidFill>
            </a:ln>
          </c:spPr>
          <c:marker>
            <c:symbol val="none"/>
          </c:marker>
          <c:cat>
            <c:multiLvlStrRef>
              <c:f>'Datos '!$A$17:$B$78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2016</c:v>
                  </c:pt>
                  <c:pt idx="12">
                    <c:v>2017</c:v>
                  </c:pt>
                  <c:pt idx="24">
                    <c:v>2018</c:v>
                  </c:pt>
                  <c:pt idx="36">
                    <c:v>2019</c:v>
                  </c:pt>
                  <c:pt idx="48">
                    <c:v>2020</c:v>
                  </c:pt>
                  <c:pt idx="60">
                    <c:v>2021</c:v>
                  </c:pt>
                </c:lvl>
              </c:multiLvlStrCache>
            </c:multiLvlStrRef>
          </c:cat>
          <c:val>
            <c:numRef>
              <c:f>'Datos '!$F$17:$F$78</c:f>
              <c:numCache>
                <c:formatCode>0.0</c:formatCode>
                <c:ptCount val="62"/>
                <c:pt idx="0">
                  <c:v>107.72836728648301</c:v>
                </c:pt>
                <c:pt idx="1">
                  <c:v>108.124210850154</c:v>
                </c:pt>
                <c:pt idx="2">
                  <c:v>108.51832722434899</c:v>
                </c:pt>
                <c:pt idx="3">
                  <c:v>108.872426755245</c:v>
                </c:pt>
                <c:pt idx="4">
                  <c:v>109.208861485258</c:v>
                </c:pt>
                <c:pt idx="5">
                  <c:v>109.549666674973</c:v>
                </c:pt>
                <c:pt idx="6">
                  <c:v>109.93628672779001</c:v>
                </c:pt>
                <c:pt idx="7">
                  <c:v>110.395035697742</c:v>
                </c:pt>
                <c:pt idx="8">
                  <c:v>110.900452418108</c:v>
                </c:pt>
                <c:pt idx="9">
                  <c:v>111.41343385218499</c:v>
                </c:pt>
                <c:pt idx="10">
                  <c:v>111.90479583397</c:v>
                </c:pt>
                <c:pt idx="11">
                  <c:v>112.32907193913699</c:v>
                </c:pt>
                <c:pt idx="12">
                  <c:v>112.639660421936</c:v>
                </c:pt>
                <c:pt idx="13">
                  <c:v>112.80999148239199</c:v>
                </c:pt>
                <c:pt idx="14">
                  <c:v>112.883996436316</c:v>
                </c:pt>
                <c:pt idx="15">
                  <c:v>112.91842027006</c:v>
                </c:pt>
                <c:pt idx="16">
                  <c:v>112.96437930638</c:v>
                </c:pt>
                <c:pt idx="17">
                  <c:v>113.031012327485</c:v>
                </c:pt>
                <c:pt idx="18">
                  <c:v>113.15494831150301</c:v>
                </c:pt>
                <c:pt idx="19">
                  <c:v>113.31240699319901</c:v>
                </c:pt>
                <c:pt idx="20">
                  <c:v>113.474398324243</c:v>
                </c:pt>
                <c:pt idx="21">
                  <c:v>113.66643320228</c:v>
                </c:pt>
                <c:pt idx="22">
                  <c:v>113.877255851287</c:v>
                </c:pt>
                <c:pt idx="23">
                  <c:v>114.14299102520501</c:v>
                </c:pt>
                <c:pt idx="24">
                  <c:v>114.48308886473799</c:v>
                </c:pt>
                <c:pt idx="25">
                  <c:v>114.889729211576</c:v>
                </c:pt>
                <c:pt idx="26">
                  <c:v>115.347994350062</c:v>
                </c:pt>
                <c:pt idx="27">
                  <c:v>115.837661847124</c:v>
                </c:pt>
                <c:pt idx="28">
                  <c:v>116.284523794024</c:v>
                </c:pt>
                <c:pt idx="29">
                  <c:v>116.58036634099901</c:v>
                </c:pt>
                <c:pt idx="30">
                  <c:v>116.65924394462</c:v>
                </c:pt>
                <c:pt idx="31">
                  <c:v>116.516036833024</c:v>
                </c:pt>
                <c:pt idx="32">
                  <c:v>116.257523677872</c:v>
                </c:pt>
                <c:pt idx="33">
                  <c:v>115.988798170195</c:v>
                </c:pt>
                <c:pt idx="34">
                  <c:v>115.814550358445</c:v>
                </c:pt>
                <c:pt idx="35">
                  <c:v>115.80497305121</c:v>
                </c:pt>
                <c:pt idx="36">
                  <c:v>115.984413360644</c:v>
                </c:pt>
                <c:pt idx="37">
                  <c:v>116.338973266758</c:v>
                </c:pt>
                <c:pt idx="38">
                  <c:v>116.77798253354599</c:v>
                </c:pt>
                <c:pt idx="39">
                  <c:v>117.210899363933</c:v>
                </c:pt>
                <c:pt idx="40">
                  <c:v>117.52487919895999</c:v>
                </c:pt>
                <c:pt idx="41">
                  <c:v>117.648153670159</c:v>
                </c:pt>
                <c:pt idx="42">
                  <c:v>117.517725385858</c:v>
                </c:pt>
                <c:pt idx="43">
                  <c:v>117.15521617207</c:v>
                </c:pt>
                <c:pt idx="44">
                  <c:v>116.669366543206</c:v>
                </c:pt>
                <c:pt idx="45">
                  <c:v>116.185104175832</c:v>
                </c:pt>
                <c:pt idx="46">
                  <c:v>115.79418643403299</c:v>
                </c:pt>
                <c:pt idx="47">
                  <c:v>115.509982833919</c:v>
                </c:pt>
                <c:pt idx="48">
                  <c:v>115.28937529473301</c:v>
                </c:pt>
                <c:pt idx="49">
                  <c:v>115.087071239629</c:v>
                </c:pt>
                <c:pt idx="50">
                  <c:v>114.902177182364</c:v>
                </c:pt>
                <c:pt idx="51">
                  <c:v>101.380365359964</c:v>
                </c:pt>
                <c:pt idx="52">
                  <c:v>101.49614015367401</c:v>
                </c:pt>
                <c:pt idx="53">
                  <c:v>101.92399717093301</c:v>
                </c:pt>
                <c:pt idx="54">
                  <c:v>102.679121482067</c:v>
                </c:pt>
                <c:pt idx="55">
                  <c:v>103.688429613704</c:v>
                </c:pt>
                <c:pt idx="56">
                  <c:v>104.791480588818</c:v>
                </c:pt>
                <c:pt idx="57">
                  <c:v>105.78362691746401</c:v>
                </c:pt>
                <c:pt idx="58">
                  <c:v>106.50776802682</c:v>
                </c:pt>
                <c:pt idx="59">
                  <c:v>106.894480063711</c:v>
                </c:pt>
                <c:pt idx="60">
                  <c:v>106.993354846787</c:v>
                </c:pt>
                <c:pt idx="61">
                  <c:v>106.919270918612</c:v>
                </c:pt>
              </c:numCache>
            </c:numRef>
          </c:val>
          <c:smooth val="0"/>
          <c:extLst>
            <c:ext xmlns:c16="http://schemas.microsoft.com/office/drawing/2014/chart" uri="{C3380CC4-5D6E-409C-BE32-E72D297353CC}">
              <c16:uniqueId val="{00000001-55BC-4287-B6CB-9B672F7E71BE}"/>
            </c:ext>
          </c:extLst>
        </c:ser>
        <c:dLbls>
          <c:showLegendKey val="0"/>
          <c:showVal val="0"/>
          <c:showCatName val="0"/>
          <c:showSerName val="0"/>
          <c:showPercent val="0"/>
          <c:showBubbleSize val="0"/>
        </c:dLbls>
        <c:marker val="1"/>
        <c:smooth val="0"/>
        <c:axId val="836031368"/>
        <c:axId val="836036072"/>
      </c:lineChart>
      <c:catAx>
        <c:axId val="836031368"/>
        <c:scaling>
          <c:orientation val="minMax"/>
        </c:scaling>
        <c:delete val="0"/>
        <c:axPos val="b"/>
        <c:numFmt formatCode="General" sourceLinked="1"/>
        <c:majorTickMark val="cross"/>
        <c:minorTickMark val="none"/>
        <c:tickLblPos val="low"/>
        <c:spPr>
          <a:ln w="6350">
            <a:solidFill>
              <a:schemeClr val="tx1"/>
            </a:solidFill>
          </a:ln>
        </c:spPr>
        <c:txPr>
          <a:bodyPr rot="0" vert="horz"/>
          <a:lstStyle/>
          <a:p>
            <a:pPr>
              <a:defRPr sz="600" baseline="0">
                <a:latin typeface="Arial" pitchFamily="34" charset="0"/>
                <a:cs typeface="Arial" pitchFamily="34" charset="0"/>
              </a:defRPr>
            </a:pPr>
            <a:endParaRPr lang="es-MX"/>
          </a:p>
        </c:txPr>
        <c:crossAx val="836036072"/>
        <c:crosses val="autoZero"/>
        <c:auto val="1"/>
        <c:lblAlgn val="ctr"/>
        <c:lblOffset val="100"/>
        <c:tickLblSkip val="1"/>
        <c:tickMarkSkip val="12"/>
        <c:noMultiLvlLbl val="1"/>
      </c:catAx>
      <c:valAx>
        <c:axId val="836036072"/>
        <c:scaling>
          <c:orientation val="minMax"/>
          <c:max val="120"/>
          <c:min val="8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836031368"/>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4516106706933432"/>
          <c:y val="0.96644754965395341"/>
          <c:w val="0.78343655439478144"/>
          <c:h val="2.9875203647238016E-2"/>
        </c:manualLayout>
      </c:layout>
      <c:overlay val="0"/>
      <c:txPr>
        <a:bodyPr/>
        <a:lstStyle/>
        <a:p>
          <a:pPr>
            <a:defRPr sz="550" baseline="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48E63-DAFB-4CFD-A80A-003A4124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1953</Words>
  <Characters>10743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Comunicado de Prensa. Indicador Mensual del Consumo Privado en el Mercado Interior</vt:lpstr>
    </vt:vector>
  </TitlesOfParts>
  <Company>INEGI</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del Consumo Privado en el Mercado Interior</dc:title>
  <dc:subject/>
  <dc:creator>INEGI</dc:creator>
  <cp:keywords/>
  <cp:lastModifiedBy>GUILLEN MEDINA MOISES</cp:lastModifiedBy>
  <cp:revision>92</cp:revision>
  <cp:lastPrinted>2021-03-03T00:54:00Z</cp:lastPrinted>
  <dcterms:created xsi:type="dcterms:W3CDTF">2021-03-30T18:22:00Z</dcterms:created>
  <dcterms:modified xsi:type="dcterms:W3CDTF">2021-05-10T22:46:00Z</dcterms:modified>
</cp:coreProperties>
</file>