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21772"/>
    <w:bookmarkEnd w:id="0"/>
    <w:p w14:paraId="01BE8AB6" w14:textId="77777777" w:rsidR="002012BF" w:rsidRDefault="002012BF" w:rsidP="002012BF">
      <w:pPr>
        <w:tabs>
          <w:tab w:val="left" w:pos="8789"/>
        </w:tabs>
        <w:ind w:left="284" w:right="51"/>
        <w:jc w:val="center"/>
      </w:pPr>
      <w:r>
        <w:rPr>
          <w:noProof/>
          <w:sz w:val="20"/>
          <w:lang w:val="es-MX" w:eastAsia="es-MX"/>
        </w:rPr>
        <mc:AlternateContent>
          <mc:Choice Requires="wps">
            <w:drawing>
              <wp:anchor distT="45720" distB="45720" distL="114300" distR="114300" simplePos="0" relativeHeight="251659264" behindDoc="0" locked="0" layoutInCell="1" allowOverlap="1" wp14:anchorId="1CE9D5DC" wp14:editId="51BE22F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B105302" w14:textId="77777777" w:rsidR="002012BF" w:rsidRPr="00265B8C" w:rsidRDefault="002012BF" w:rsidP="002012B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9D5D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B105302" w14:textId="77777777" w:rsidR="002012BF" w:rsidRPr="00265B8C" w:rsidRDefault="002012BF" w:rsidP="002012B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5DC2AF5" w14:textId="77777777" w:rsidR="002012BF" w:rsidRDefault="002012BF" w:rsidP="002012BF">
      <w:pPr>
        <w:tabs>
          <w:tab w:val="left" w:pos="8789"/>
        </w:tabs>
        <w:ind w:left="284" w:right="51"/>
        <w:jc w:val="center"/>
      </w:pPr>
    </w:p>
    <w:p w14:paraId="6A68AD61" w14:textId="77777777" w:rsidR="002012BF" w:rsidRDefault="002012BF" w:rsidP="002012BF">
      <w:pPr>
        <w:pStyle w:val="Profesin"/>
      </w:pPr>
    </w:p>
    <w:p w14:paraId="4CD051CC" w14:textId="77777777" w:rsidR="002012BF" w:rsidRDefault="002012BF" w:rsidP="002012BF">
      <w:pPr>
        <w:pStyle w:val="Profesin"/>
      </w:pPr>
    </w:p>
    <w:p w14:paraId="6EDEDB6B" w14:textId="77777777" w:rsidR="002012BF" w:rsidRPr="00A17B6C" w:rsidRDefault="002012BF" w:rsidP="002012BF">
      <w:pPr>
        <w:pStyle w:val="Profesin"/>
        <w:rPr>
          <w:sz w:val="24"/>
          <w:szCs w:val="24"/>
        </w:rPr>
      </w:pPr>
      <w:r w:rsidRPr="00A17B6C">
        <w:rPr>
          <w:sz w:val="24"/>
          <w:szCs w:val="24"/>
        </w:rPr>
        <w:t>ÍNDICE NACIONAL DE PRECIOS AL CONSUMIDOR</w:t>
      </w:r>
    </w:p>
    <w:p w14:paraId="76948FAE" w14:textId="5CB859E2" w:rsidR="002012BF" w:rsidRPr="00A17B6C" w:rsidRDefault="002012BF" w:rsidP="002012BF">
      <w:pPr>
        <w:pStyle w:val="Profesin"/>
        <w:rPr>
          <w:caps w:val="0"/>
          <w:sz w:val="24"/>
          <w:szCs w:val="24"/>
        </w:rPr>
      </w:pPr>
      <w:r w:rsidRPr="00A17B6C">
        <w:rPr>
          <w:caps w:val="0"/>
          <w:sz w:val="24"/>
          <w:szCs w:val="24"/>
        </w:rPr>
        <w:t>Primera quincena de mayo de 2021</w:t>
      </w:r>
      <w:bookmarkStart w:id="1" w:name="_GoBack"/>
      <w:bookmarkEnd w:id="1"/>
    </w:p>
    <w:p w14:paraId="3C58F122" w14:textId="77777777" w:rsidR="002012BF" w:rsidRPr="007A3524" w:rsidRDefault="002012BF" w:rsidP="002012BF">
      <w:pPr>
        <w:spacing w:before="360"/>
        <w:ind w:right="141"/>
      </w:pPr>
      <w:r w:rsidRPr="007A3524">
        <w:t>El Instituto Nacional de Estadística y Geografía (INEGI) informa que en la primera quincena de mayo de 2021 el Índice Nacional de Precios al Consumidor (INPC) registró una inflación de (-)0.01 por ciento respecto a la quincena inmediata anterior; con este resultado la inflación anual se ubicó en 5.80 por ciento. En el mismo periodo de 2020 la inflación mostró alzas de 0.30 por ciento quincenal y de 2.83 por ciento anual.</w:t>
      </w:r>
    </w:p>
    <w:p w14:paraId="3B2786FC" w14:textId="77777777" w:rsidR="002012BF" w:rsidRPr="007A3524" w:rsidRDefault="002012BF" w:rsidP="002012BF">
      <w:pPr>
        <w:spacing w:before="360"/>
        <w:ind w:right="141"/>
      </w:pPr>
      <w:r w:rsidRPr="007A3524">
        <w:t>El índice de precios subyacente</w:t>
      </w:r>
      <w:r w:rsidRPr="007A3524">
        <w:rPr>
          <w:rStyle w:val="Refdenotaalpie"/>
        </w:rPr>
        <w:footnoteReference w:id="1"/>
      </w:r>
      <w:r w:rsidRPr="007A3524">
        <w:t xml:space="preserve"> presentó un incremento de 0.33 por ciento quincenal y de 4.22 por ciento anual; por su parte, el índice de precios no subyacente retrocedió 1.00 por ciento quincenal y creció 10.83 por ciento anual.</w:t>
      </w:r>
    </w:p>
    <w:p w14:paraId="76723F05" w14:textId="77777777" w:rsidR="002012BF" w:rsidRPr="007A3524" w:rsidRDefault="002012BF" w:rsidP="002012BF">
      <w:pPr>
        <w:spacing w:before="360"/>
        <w:ind w:right="141"/>
      </w:pPr>
      <w:r w:rsidRPr="007A3524">
        <w:t>Al interior del índice de precios subyacente, a tasa quincenal, los precios de las mercancías aumentaron 0.42 por ciento y los de los servicios 0.23 por ciento.</w:t>
      </w:r>
    </w:p>
    <w:p w14:paraId="17E89BFA" w14:textId="35CFC1C3" w:rsidR="002012BF" w:rsidRDefault="002012BF" w:rsidP="002012BF">
      <w:pPr>
        <w:spacing w:before="360"/>
        <w:ind w:right="141"/>
      </w:pPr>
      <w:r w:rsidRPr="007A3524">
        <w:t>Dentro del índice de precios no subyacente, los precios de los productos agropecuarios subieron 1.20 por ciento, mientras que los de los energéticos y tarifas autorizadas por el gobierno bajaron 2.63 por ciento quincenal, como resultado de los ajustes a las tarifas eléctricas dentro del esquema de temporada cálida en 11 ciudades del país.</w:t>
      </w:r>
    </w:p>
    <w:p w14:paraId="7E491ED1" w14:textId="563034FB" w:rsidR="00955A55" w:rsidRDefault="00955A55">
      <w:pPr>
        <w:jc w:val="left"/>
      </w:pPr>
      <w:r>
        <w:br w:type="page"/>
      </w:r>
    </w:p>
    <w:p w14:paraId="126D612B" w14:textId="77777777" w:rsidR="00955A55" w:rsidRPr="007A3524" w:rsidRDefault="00955A55" w:rsidP="002012BF">
      <w:pPr>
        <w:spacing w:before="360"/>
        <w:ind w:right="141"/>
      </w:pPr>
    </w:p>
    <w:p w14:paraId="51B494B8" w14:textId="77777777" w:rsidR="002012BF" w:rsidRDefault="002012BF" w:rsidP="002012BF">
      <w:pPr>
        <w:pStyle w:val="Prrafodelista"/>
        <w:keepNext/>
        <w:keepLines/>
        <w:widowControl w:val="0"/>
        <w:spacing w:before="360"/>
        <w:ind w:left="0"/>
        <w:jc w:val="center"/>
        <w:rPr>
          <w:b/>
          <w:bCs/>
          <w:smallCaps/>
          <w:color w:val="000000" w:themeColor="text1"/>
          <w:spacing w:val="1"/>
          <w:sz w:val="22"/>
          <w:szCs w:val="22"/>
        </w:rPr>
      </w:pPr>
    </w:p>
    <w:p w14:paraId="17BA3AF3" w14:textId="77777777" w:rsidR="002012BF" w:rsidRPr="00B1367A" w:rsidRDefault="002012BF" w:rsidP="002012BF">
      <w:pPr>
        <w:pStyle w:val="Prrafodelista"/>
        <w:keepNext/>
        <w:keepLines/>
        <w:widowControl w:val="0"/>
        <w:spacing w:before="360"/>
        <w:ind w:left="0"/>
        <w:jc w:val="center"/>
        <w:rPr>
          <w:b/>
          <w:smallCaps/>
          <w:sz w:val="22"/>
          <w:szCs w:val="22"/>
        </w:rPr>
      </w:pPr>
      <w:r w:rsidRPr="00B1367A">
        <w:rPr>
          <w:b/>
          <w:smallCaps/>
          <w:sz w:val="22"/>
          <w:szCs w:val="22"/>
        </w:rPr>
        <w:t>INPC Y SUS COMPONENTES</w:t>
      </w:r>
    </w:p>
    <w:p w14:paraId="5E744987" w14:textId="77777777" w:rsidR="002012BF" w:rsidRPr="00B1367A" w:rsidRDefault="002012BF" w:rsidP="002012BF">
      <w:pPr>
        <w:keepNext/>
        <w:keepLines/>
        <w:widowControl w:val="0"/>
        <w:jc w:val="center"/>
        <w:rPr>
          <w:sz w:val="18"/>
          <w:szCs w:val="18"/>
        </w:rPr>
      </w:pPr>
      <w:r>
        <w:rPr>
          <w:sz w:val="18"/>
          <w:szCs w:val="18"/>
        </w:rPr>
        <w:t>P</w:t>
      </w:r>
      <w:r w:rsidRPr="00B1367A">
        <w:rPr>
          <w:sz w:val="18"/>
          <w:szCs w:val="18"/>
        </w:rPr>
        <w:t>rimera quincena de mayo de los años que se indican</w:t>
      </w:r>
    </w:p>
    <w:p w14:paraId="2E35A44C" w14:textId="77777777" w:rsidR="002012BF" w:rsidRPr="00A71198" w:rsidRDefault="002012BF" w:rsidP="002012BF">
      <w:pPr>
        <w:keepNext/>
        <w:keepLines/>
        <w:widowControl w:val="0"/>
        <w:jc w:val="center"/>
        <w:rPr>
          <w:b/>
        </w:rPr>
      </w:pPr>
      <w:r w:rsidRPr="00B1367A">
        <w:rPr>
          <w:noProof/>
        </w:rPr>
        <w:drawing>
          <wp:inline distT="0" distB="0" distL="0" distR="0" wp14:anchorId="064FAFCE" wp14:editId="3A18180D">
            <wp:extent cx="5972810" cy="2535139"/>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5139"/>
                    </a:xfrm>
                    <a:prstGeom prst="rect">
                      <a:avLst/>
                    </a:prstGeom>
                    <a:noFill/>
                    <a:ln>
                      <a:noFill/>
                    </a:ln>
                  </pic:spPr>
                </pic:pic>
              </a:graphicData>
            </a:graphic>
          </wp:inline>
        </w:drawing>
      </w:r>
    </w:p>
    <w:p w14:paraId="5AECD2CC" w14:textId="77777777" w:rsidR="002012BF" w:rsidRPr="00A71198" w:rsidRDefault="002012BF" w:rsidP="002012BF">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4A5FB81F" w14:textId="77777777" w:rsidR="002012BF" w:rsidRPr="00A71198" w:rsidRDefault="002012BF" w:rsidP="002012BF">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55275933" w14:textId="77777777" w:rsidR="002012BF" w:rsidRPr="00A71198" w:rsidRDefault="002012BF" w:rsidP="002012BF">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6195CE7F" w14:textId="77777777" w:rsidR="002012BF" w:rsidRPr="00A71198" w:rsidRDefault="002012BF" w:rsidP="002012BF">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B1FB73A" w14:textId="77777777" w:rsidR="002012BF" w:rsidRDefault="002012BF" w:rsidP="002012BF">
      <w:pPr>
        <w:autoSpaceDE w:val="0"/>
        <w:autoSpaceDN w:val="0"/>
        <w:adjustRightInd w:val="0"/>
        <w:ind w:left="283" w:right="113" w:hanging="170"/>
        <w:rPr>
          <w:color w:val="006600"/>
          <w:sz w:val="16"/>
          <w:szCs w:val="16"/>
        </w:rPr>
      </w:pPr>
    </w:p>
    <w:p w14:paraId="1AC504CA" w14:textId="77777777" w:rsidR="002012BF" w:rsidRPr="00A71198" w:rsidRDefault="002012BF" w:rsidP="002012BF">
      <w:pPr>
        <w:autoSpaceDE w:val="0"/>
        <w:autoSpaceDN w:val="0"/>
        <w:adjustRightInd w:val="0"/>
        <w:ind w:left="283" w:right="113" w:hanging="170"/>
        <w:rPr>
          <w:color w:val="006600"/>
          <w:sz w:val="16"/>
          <w:szCs w:val="16"/>
        </w:rPr>
      </w:pPr>
    </w:p>
    <w:p w14:paraId="13556F42" w14:textId="77777777" w:rsidR="002012BF" w:rsidRDefault="002012BF" w:rsidP="002012BF">
      <w:pPr>
        <w:pStyle w:val="p01"/>
        <w:keepLines w:val="0"/>
        <w:tabs>
          <w:tab w:val="left" w:pos="3261"/>
        </w:tabs>
        <w:spacing w:before="0"/>
        <w:ind w:left="1418"/>
        <w:jc w:val="right"/>
        <w:outlineLvl w:val="0"/>
        <w:rPr>
          <w:rFonts w:ascii="Arial" w:hAnsi="Arial" w:cs="Arial"/>
          <w:b/>
          <w:color w:val="000000"/>
          <w:szCs w:val="24"/>
        </w:rPr>
      </w:pPr>
    </w:p>
    <w:p w14:paraId="4F9A0174" w14:textId="77777777" w:rsidR="002012BF" w:rsidRDefault="002012BF" w:rsidP="002012BF">
      <w:pPr>
        <w:widowControl w:val="0"/>
        <w:autoSpaceDE w:val="0"/>
        <w:autoSpaceDN w:val="0"/>
        <w:adjustRightInd w:val="0"/>
        <w:spacing w:before="480"/>
        <w:ind w:right="141"/>
        <w:rPr>
          <w:b/>
          <w:i/>
        </w:rPr>
      </w:pPr>
      <w:r w:rsidRPr="00E45F62">
        <w:rPr>
          <w:b/>
          <w:i/>
        </w:rPr>
        <w:t xml:space="preserve">Nota </w:t>
      </w:r>
      <w:r>
        <w:rPr>
          <w:b/>
          <w:i/>
        </w:rPr>
        <w:t>al usuario</w:t>
      </w:r>
    </w:p>
    <w:p w14:paraId="6236AE1C" w14:textId="77777777" w:rsidR="002012BF" w:rsidRPr="00695B57" w:rsidRDefault="002012BF" w:rsidP="002012BF">
      <w:pPr>
        <w:pStyle w:val="Prrafodelista"/>
        <w:autoSpaceDE w:val="0"/>
        <w:autoSpaceDN w:val="0"/>
        <w:adjustRightInd w:val="0"/>
        <w:spacing w:before="240"/>
        <w:ind w:left="0" w:right="141"/>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66C24262" w14:textId="77777777" w:rsidR="002012BF" w:rsidRDefault="002012BF" w:rsidP="002012BF">
      <w:pPr>
        <w:pStyle w:val="Prrafodelista"/>
        <w:autoSpaceDE w:val="0"/>
        <w:autoSpaceDN w:val="0"/>
        <w:adjustRightInd w:val="0"/>
        <w:spacing w:before="240"/>
        <w:ind w:left="0" w:right="141"/>
        <w:rPr>
          <w:lang w:val="es-MX"/>
        </w:rPr>
      </w:pPr>
    </w:p>
    <w:p w14:paraId="587F9CFE" w14:textId="09357C40" w:rsidR="00955A55" w:rsidRDefault="00955A55">
      <w:pPr>
        <w:jc w:val="left"/>
        <w:rPr>
          <w:lang w:val="es-MX"/>
        </w:rPr>
      </w:pPr>
      <w:r>
        <w:rPr>
          <w:lang w:val="es-MX"/>
        </w:rPr>
        <w:br w:type="page"/>
      </w:r>
    </w:p>
    <w:p w14:paraId="63EC5D9E" w14:textId="77777777" w:rsidR="002012BF" w:rsidRDefault="002012BF" w:rsidP="002012BF">
      <w:pPr>
        <w:pStyle w:val="Prrafodelista"/>
        <w:autoSpaceDE w:val="0"/>
        <w:autoSpaceDN w:val="0"/>
        <w:adjustRightInd w:val="0"/>
        <w:spacing w:before="240"/>
        <w:ind w:left="0" w:right="141"/>
        <w:rPr>
          <w:lang w:val="es-MX"/>
        </w:rPr>
      </w:pPr>
    </w:p>
    <w:p w14:paraId="32B69451" w14:textId="77777777" w:rsidR="002012BF" w:rsidRDefault="002012BF" w:rsidP="002012BF">
      <w:pPr>
        <w:pStyle w:val="Prrafodelista"/>
        <w:autoSpaceDE w:val="0"/>
        <w:autoSpaceDN w:val="0"/>
        <w:adjustRightInd w:val="0"/>
        <w:spacing w:before="240"/>
        <w:ind w:left="0" w:right="141"/>
        <w:rPr>
          <w:lang w:val="es-MX"/>
        </w:rPr>
      </w:pPr>
    </w:p>
    <w:p w14:paraId="2164AB50" w14:textId="77777777" w:rsidR="002012BF" w:rsidRPr="008B4FB7" w:rsidRDefault="002012BF" w:rsidP="002012BF">
      <w:pPr>
        <w:pStyle w:val="Prrafodelista"/>
        <w:autoSpaceDE w:val="0"/>
        <w:autoSpaceDN w:val="0"/>
        <w:adjustRightInd w:val="0"/>
        <w:spacing w:before="240"/>
        <w:ind w:left="0" w:right="141"/>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mayo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2E0CE545" w14:textId="77777777" w:rsidR="002012BF" w:rsidRDefault="002012BF" w:rsidP="002012BF">
      <w:pPr>
        <w:pStyle w:val="Prrafodelista"/>
        <w:autoSpaceDE w:val="0"/>
        <w:autoSpaceDN w:val="0"/>
        <w:adjustRightInd w:val="0"/>
        <w:ind w:left="-142" w:right="113"/>
        <w:rPr>
          <w:lang w:val="es-MX"/>
        </w:rPr>
      </w:pPr>
    </w:p>
    <w:p w14:paraId="3FC44D4D" w14:textId="77777777" w:rsidR="002012BF" w:rsidRDefault="002012BF" w:rsidP="002012BF">
      <w:pPr>
        <w:pStyle w:val="Prrafodelista"/>
        <w:autoSpaceDE w:val="0"/>
        <w:autoSpaceDN w:val="0"/>
        <w:adjustRightInd w:val="0"/>
        <w:ind w:left="-142" w:right="113"/>
        <w:rPr>
          <w:lang w:val="es-MX"/>
        </w:rPr>
      </w:pPr>
    </w:p>
    <w:p w14:paraId="68D65684" w14:textId="77777777" w:rsidR="002012BF" w:rsidRPr="00A71198" w:rsidRDefault="002012BF" w:rsidP="002012BF">
      <w:pPr>
        <w:pStyle w:val="Texto"/>
        <w:keepNext/>
        <w:keepLines/>
        <w:autoSpaceDE w:val="0"/>
        <w:autoSpaceDN w:val="0"/>
        <w:adjustRightInd w:val="0"/>
        <w:spacing w:before="240" w:after="0" w:line="240" w:lineRule="auto"/>
        <w:ind w:firstLine="0"/>
        <w:jc w:val="right"/>
        <w:rPr>
          <w:sz w:val="24"/>
          <w:szCs w:val="24"/>
        </w:rPr>
      </w:pPr>
      <w:r>
        <w:rPr>
          <w:noProof/>
        </w:rPr>
        <w:drawing>
          <wp:inline distT="0" distB="0" distL="0" distR="0" wp14:anchorId="495F76A0" wp14:editId="6E56B209">
            <wp:extent cx="4581728" cy="1892030"/>
            <wp:effectExtent l="0" t="0" r="0" b="0"/>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464" cy="1913807"/>
                    </a:xfrm>
                    <a:prstGeom prst="rect">
                      <a:avLst/>
                    </a:prstGeom>
                    <a:noFill/>
                  </pic:spPr>
                </pic:pic>
              </a:graphicData>
            </a:graphic>
          </wp:inline>
        </w:drawing>
      </w:r>
    </w:p>
    <w:p w14:paraId="01C1F41A" w14:textId="77777777" w:rsidR="002012BF" w:rsidRDefault="002012BF" w:rsidP="002012BF">
      <w:pPr>
        <w:pStyle w:val="Prrafodelista"/>
        <w:autoSpaceDE w:val="0"/>
        <w:autoSpaceDN w:val="0"/>
        <w:adjustRightInd w:val="0"/>
        <w:ind w:left="-142" w:right="113"/>
        <w:rPr>
          <w:lang w:val="es-MX"/>
        </w:rPr>
      </w:pPr>
    </w:p>
    <w:p w14:paraId="08BE3D60" w14:textId="77777777" w:rsidR="002012BF" w:rsidRPr="008B4FB7" w:rsidRDefault="002012BF" w:rsidP="002012BF">
      <w:pPr>
        <w:pStyle w:val="Prrafodelista"/>
        <w:autoSpaceDE w:val="0"/>
        <w:autoSpaceDN w:val="0"/>
        <w:adjustRightInd w:val="0"/>
        <w:ind w:left="-142" w:right="113"/>
        <w:rPr>
          <w:lang w:val="es-MX"/>
        </w:rPr>
      </w:pPr>
    </w:p>
    <w:p w14:paraId="05453AA3" w14:textId="77777777" w:rsidR="002012BF" w:rsidRDefault="002012BF" w:rsidP="002012B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4BE73082" w14:textId="77777777" w:rsidR="002012BF" w:rsidRDefault="002012BF" w:rsidP="002012BF">
      <w:pPr>
        <w:pStyle w:val="p01"/>
        <w:keepLines w:val="0"/>
        <w:tabs>
          <w:tab w:val="left" w:pos="3261"/>
        </w:tabs>
        <w:spacing w:before="12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7F3CC9BC"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5A143ACA"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55203D36"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50D914B0"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32FB7623"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73EFDA27"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53910845" w14:textId="77777777" w:rsidR="002012BF" w:rsidRDefault="002012BF" w:rsidP="002012BF">
      <w:pPr>
        <w:pStyle w:val="NormalWeb"/>
        <w:spacing w:before="0" w:beforeAutospacing="0" w:after="0" w:afterAutospacing="0"/>
        <w:ind w:left="-426" w:right="-518"/>
        <w:contextualSpacing/>
        <w:jc w:val="center"/>
        <w:rPr>
          <w:rFonts w:ascii="Arial" w:hAnsi="Arial" w:cs="Arial"/>
          <w:sz w:val="20"/>
          <w:szCs w:val="20"/>
        </w:rPr>
      </w:pPr>
    </w:p>
    <w:p w14:paraId="7DF733E0" w14:textId="77777777" w:rsidR="002012BF" w:rsidRPr="000177E8" w:rsidRDefault="002012BF" w:rsidP="002012BF">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Para consultas de medios y periodistas, contactar a: </w:t>
      </w:r>
      <w:hyperlink r:id="rId10" w:history="1">
        <w:r w:rsidRPr="000177E8">
          <w:rPr>
            <w:rStyle w:val="Hipervnculo"/>
            <w:rFonts w:ascii="Arial" w:hAnsi="Arial" w:cs="Arial"/>
            <w:sz w:val="22"/>
            <w:szCs w:val="22"/>
          </w:rPr>
          <w:t>comunicacionsocial@inegi.org.mx</w:t>
        </w:r>
      </w:hyperlink>
      <w:r w:rsidRPr="000177E8">
        <w:rPr>
          <w:rFonts w:ascii="Arial" w:hAnsi="Arial" w:cs="Arial"/>
          <w:sz w:val="22"/>
          <w:szCs w:val="22"/>
        </w:rPr>
        <w:t xml:space="preserve"> </w:t>
      </w:r>
    </w:p>
    <w:p w14:paraId="0F8E1F66" w14:textId="77777777" w:rsidR="002012BF" w:rsidRPr="000177E8" w:rsidRDefault="002012BF" w:rsidP="002012BF">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o llamar al teléfono (55) 52-78-10-00, </w:t>
      </w:r>
      <w:proofErr w:type="spellStart"/>
      <w:r w:rsidRPr="000177E8">
        <w:rPr>
          <w:rFonts w:ascii="Arial" w:hAnsi="Arial" w:cs="Arial"/>
          <w:sz w:val="22"/>
          <w:szCs w:val="22"/>
        </w:rPr>
        <w:t>exts</w:t>
      </w:r>
      <w:proofErr w:type="spellEnd"/>
      <w:r w:rsidRPr="000177E8">
        <w:rPr>
          <w:rFonts w:ascii="Arial" w:hAnsi="Arial" w:cs="Arial"/>
          <w:sz w:val="22"/>
          <w:szCs w:val="22"/>
        </w:rPr>
        <w:t>. 1134, 1260 y 1241.</w:t>
      </w:r>
    </w:p>
    <w:p w14:paraId="5A574BD1" w14:textId="77777777" w:rsidR="002012BF" w:rsidRPr="000177E8" w:rsidRDefault="002012BF" w:rsidP="002012BF">
      <w:pPr>
        <w:ind w:left="-426" w:right="-518"/>
        <w:contextualSpacing/>
        <w:jc w:val="center"/>
        <w:rPr>
          <w:sz w:val="22"/>
          <w:szCs w:val="22"/>
        </w:rPr>
      </w:pPr>
    </w:p>
    <w:p w14:paraId="620480DE" w14:textId="77777777" w:rsidR="002012BF" w:rsidRPr="000177E8" w:rsidRDefault="002012BF" w:rsidP="002012BF">
      <w:pPr>
        <w:ind w:left="-426" w:right="-518"/>
        <w:contextualSpacing/>
        <w:jc w:val="center"/>
        <w:rPr>
          <w:sz w:val="22"/>
          <w:szCs w:val="22"/>
        </w:rPr>
      </w:pPr>
      <w:r w:rsidRPr="000177E8">
        <w:rPr>
          <w:sz w:val="22"/>
          <w:szCs w:val="22"/>
        </w:rPr>
        <w:t xml:space="preserve">Dirección de Atención a Medios / Dirección General Adjunta de Comunicación </w:t>
      </w:r>
    </w:p>
    <w:p w14:paraId="61D0ACB9" w14:textId="77777777" w:rsidR="002012BF" w:rsidRPr="00B70710" w:rsidRDefault="002012BF" w:rsidP="002012BF">
      <w:pPr>
        <w:ind w:left="-426" w:right="-518"/>
        <w:contextualSpacing/>
        <w:jc w:val="center"/>
        <w:rPr>
          <w:sz w:val="22"/>
          <w:szCs w:val="22"/>
        </w:rPr>
      </w:pPr>
    </w:p>
    <w:p w14:paraId="1D7F1A83" w14:textId="77777777" w:rsidR="002012BF" w:rsidRDefault="002012BF" w:rsidP="002012BF">
      <w:pPr>
        <w:ind w:left="-425" w:right="-516"/>
        <w:contextualSpacing/>
        <w:jc w:val="center"/>
      </w:pPr>
      <w:r w:rsidRPr="008F0992">
        <w:rPr>
          <w:noProof/>
          <w:sz w:val="20"/>
          <w:lang w:val="es-MX" w:eastAsia="es-MX"/>
        </w:rPr>
        <w:drawing>
          <wp:inline distT="0" distB="0" distL="0" distR="0" wp14:anchorId="0EF90247" wp14:editId="01D90CC7">
            <wp:extent cx="318472" cy="322419"/>
            <wp:effectExtent l="0" t="0" r="5715" b="1905"/>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ECBDD7F" wp14:editId="6DFD3B9C">
            <wp:extent cx="327704" cy="325467"/>
            <wp:effectExtent l="0" t="0" r="0" b="0"/>
            <wp:docPr id="10" name="Imagen 10"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6E4C4C9" wp14:editId="315E2943">
            <wp:extent cx="321276" cy="324093"/>
            <wp:effectExtent l="0" t="0" r="3175"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461CBCE" wp14:editId="36D456DB">
            <wp:extent cx="321276" cy="326574"/>
            <wp:effectExtent l="0" t="0" r="3175" b="0"/>
            <wp:docPr id="5" name="Imagen 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B14F22B" wp14:editId="3D9B1099">
            <wp:extent cx="2323070" cy="319707"/>
            <wp:effectExtent l="0" t="0" r="1270" b="4445"/>
            <wp:docPr id="13" name="Imagen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3028DD3F" w14:textId="77777777" w:rsidR="002012BF" w:rsidRPr="00157C43" w:rsidRDefault="002012BF" w:rsidP="002012BF">
      <w:pPr>
        <w:pStyle w:val="bullet"/>
        <w:tabs>
          <w:tab w:val="left" w:pos="8789"/>
        </w:tabs>
        <w:spacing w:before="0"/>
        <w:ind w:left="0" w:right="51" w:firstLine="0"/>
        <w:jc w:val="center"/>
        <w:rPr>
          <w:rFonts w:cs="Arial"/>
          <w:szCs w:val="24"/>
        </w:rPr>
        <w:sectPr w:rsidR="002012BF"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2ABC8292" w14:textId="7107AA7D" w:rsidR="002012BF" w:rsidRPr="00955A55" w:rsidRDefault="002012BF" w:rsidP="002012BF">
      <w:pPr>
        <w:pStyle w:val="Profesin"/>
        <w:tabs>
          <w:tab w:val="left" w:pos="8647"/>
        </w:tabs>
        <w:contextualSpacing/>
        <w:rPr>
          <w:sz w:val="24"/>
          <w:szCs w:val="24"/>
        </w:rPr>
      </w:pPr>
      <w:r w:rsidRPr="00955A55">
        <w:rPr>
          <w:sz w:val="24"/>
          <w:szCs w:val="24"/>
        </w:rPr>
        <w:lastRenderedPageBreak/>
        <w:t>NOTA TÉCNICA</w:t>
      </w:r>
    </w:p>
    <w:p w14:paraId="4E247A17" w14:textId="77777777" w:rsidR="00575B18" w:rsidRPr="00955A55" w:rsidRDefault="00575B18" w:rsidP="002012BF">
      <w:pPr>
        <w:pStyle w:val="Profesin"/>
        <w:tabs>
          <w:tab w:val="left" w:pos="8647"/>
        </w:tabs>
        <w:contextualSpacing/>
        <w:rPr>
          <w:sz w:val="24"/>
          <w:szCs w:val="24"/>
        </w:rPr>
      </w:pPr>
    </w:p>
    <w:p w14:paraId="27445CEE" w14:textId="77777777" w:rsidR="00DF2D89" w:rsidRPr="00955A55" w:rsidRDefault="00DF2D89" w:rsidP="00D74605">
      <w:pPr>
        <w:pStyle w:val="Profesin"/>
        <w:rPr>
          <w:sz w:val="24"/>
          <w:szCs w:val="24"/>
        </w:rPr>
      </w:pPr>
      <w:r w:rsidRPr="00955A55">
        <w:rPr>
          <w:sz w:val="24"/>
          <w:szCs w:val="24"/>
        </w:rPr>
        <w:t>ÍNDICE NACIONAL DE PRECIOS AL CONSUMIDOR</w:t>
      </w:r>
    </w:p>
    <w:p w14:paraId="04ADCCF0" w14:textId="36CDC067" w:rsidR="00DF2D89" w:rsidRPr="00955A55" w:rsidRDefault="00DF2D89" w:rsidP="00DF2D89">
      <w:pPr>
        <w:pStyle w:val="Profesin"/>
        <w:rPr>
          <w:caps w:val="0"/>
          <w:sz w:val="24"/>
          <w:szCs w:val="24"/>
        </w:rPr>
      </w:pPr>
      <w:r w:rsidRPr="00955A55">
        <w:rPr>
          <w:caps w:val="0"/>
          <w:sz w:val="24"/>
          <w:szCs w:val="24"/>
        </w:rPr>
        <w:t xml:space="preserve">Primera quincena de </w:t>
      </w:r>
      <w:r w:rsidR="00CF793A" w:rsidRPr="00955A55">
        <w:rPr>
          <w:caps w:val="0"/>
          <w:sz w:val="24"/>
          <w:szCs w:val="24"/>
        </w:rPr>
        <w:t>mayo</w:t>
      </w:r>
      <w:r w:rsidR="00926543" w:rsidRPr="00955A55">
        <w:rPr>
          <w:caps w:val="0"/>
          <w:sz w:val="24"/>
          <w:szCs w:val="24"/>
        </w:rPr>
        <w:t xml:space="preserve"> </w:t>
      </w:r>
      <w:r w:rsidRPr="00955A55">
        <w:rPr>
          <w:caps w:val="0"/>
          <w:sz w:val="24"/>
          <w:szCs w:val="24"/>
        </w:rPr>
        <w:t>de 202</w:t>
      </w:r>
      <w:r w:rsidR="00A40648" w:rsidRPr="00955A55">
        <w:rPr>
          <w:caps w:val="0"/>
          <w:sz w:val="24"/>
          <w:szCs w:val="24"/>
        </w:rPr>
        <w:t>1</w:t>
      </w:r>
    </w:p>
    <w:p w14:paraId="75F4DC1C" w14:textId="1A67C8DF"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5F6B00CC" w14:textId="43F6E832" w:rsidR="00CF793A" w:rsidRDefault="00CF793A" w:rsidP="00BD1A5A">
      <w:pPr>
        <w:keepNext/>
        <w:keepLines/>
        <w:autoSpaceDE w:val="0"/>
        <w:autoSpaceDN w:val="0"/>
        <w:adjustRightInd w:val="0"/>
        <w:spacing w:before="360"/>
      </w:pPr>
      <w:bookmarkStart w:id="2" w:name="_Hlk33002076"/>
      <w:r w:rsidRPr="00A71198">
        <w:t>En la primer</w:t>
      </w:r>
      <w:r>
        <w:t xml:space="preserve">a quincena de mayo de </w:t>
      </w:r>
      <w:r w:rsidRPr="00A71198">
        <w:t>20</w:t>
      </w:r>
      <w:r>
        <w:t>21</w:t>
      </w:r>
      <w:r w:rsidRPr="00A71198">
        <w:t xml:space="preserve"> el Índice Nacional de Precios al Consumidor</w:t>
      </w:r>
      <w:r>
        <w:t xml:space="preserve"> (INPC)</w:t>
      </w:r>
      <w:r w:rsidRPr="00A71198">
        <w:t xml:space="preserve"> </w:t>
      </w:r>
      <w:r>
        <w:t>registró una inflación quincenal de (-)</w:t>
      </w:r>
      <w:r w:rsidRPr="00A71198">
        <w:t>0.</w:t>
      </w:r>
      <w:r>
        <w:t>01</w:t>
      </w:r>
      <w:r w:rsidRPr="00A71198">
        <w:t xml:space="preserve"> por ciento</w:t>
      </w:r>
      <w:r>
        <w:t xml:space="preserve">. En igual periodo del año anterior </w:t>
      </w:r>
      <w:r w:rsidR="00673881">
        <w:t xml:space="preserve">la </w:t>
      </w:r>
      <w:r>
        <w:t xml:space="preserve">inflación </w:t>
      </w:r>
      <w:r w:rsidR="00673881">
        <w:t xml:space="preserve">se incrementó en </w:t>
      </w:r>
      <w:r>
        <w:t>0.30 por ciento</w:t>
      </w:r>
      <w:r w:rsidRPr="00A71198">
        <w:t>.</w:t>
      </w:r>
    </w:p>
    <w:p w14:paraId="55FEA4DC" w14:textId="2738A757" w:rsidR="00CF793A" w:rsidRPr="0095718C" w:rsidRDefault="0095718C" w:rsidP="00BD1A5A">
      <w:pPr>
        <w:pStyle w:val="n01"/>
        <w:keepNext/>
        <w:spacing w:before="360"/>
        <w:ind w:left="0" w:firstLine="0"/>
        <w:jc w:val="center"/>
        <w:rPr>
          <w:rFonts w:ascii="Arial" w:hAnsi="Arial"/>
          <w:b/>
          <w:bCs/>
          <w:color w:val="000000" w:themeColor="text1"/>
          <w:sz w:val="22"/>
        </w:rPr>
      </w:pPr>
      <w:r w:rsidRPr="0095718C">
        <w:rPr>
          <w:rFonts w:ascii="Arial" w:hAnsi="Arial"/>
          <w:b/>
          <w:bCs/>
          <w:color w:val="000000" w:themeColor="text1"/>
          <w:sz w:val="22"/>
        </w:rPr>
        <w:t xml:space="preserve">ÍNDICE NACIONAL DE </w:t>
      </w:r>
      <w:r w:rsidRPr="0095718C">
        <w:rPr>
          <w:rFonts w:ascii="Arial" w:hAnsi="Arial"/>
          <w:b/>
          <w:bCs/>
          <w:smallCaps/>
          <w:color w:val="000000" w:themeColor="text1"/>
          <w:sz w:val="22"/>
        </w:rPr>
        <w:t>PRECIOS</w:t>
      </w:r>
      <w:r w:rsidRPr="0095718C">
        <w:rPr>
          <w:rFonts w:ascii="Arial" w:hAnsi="Arial"/>
          <w:b/>
          <w:bCs/>
          <w:color w:val="000000" w:themeColor="text1"/>
          <w:sz w:val="22"/>
        </w:rPr>
        <w:t xml:space="preserve"> AL CONSUMIDOR</w:t>
      </w:r>
    </w:p>
    <w:p w14:paraId="25077892" w14:textId="19C4D78E" w:rsidR="00CF793A" w:rsidRPr="0095718C" w:rsidRDefault="00CF793A" w:rsidP="00BD1A5A">
      <w:pPr>
        <w:keepNext/>
        <w:keepLines/>
        <w:widowControl w:val="0"/>
        <w:autoSpaceDE w:val="0"/>
        <w:autoSpaceDN w:val="0"/>
        <w:adjustRightInd w:val="0"/>
        <w:spacing w:before="3" w:line="225" w:lineRule="exact"/>
        <w:jc w:val="center"/>
        <w:rPr>
          <w:sz w:val="18"/>
          <w:szCs w:val="18"/>
        </w:rPr>
      </w:pPr>
      <w:r w:rsidRPr="0095718C">
        <w:rPr>
          <w:sz w:val="18"/>
          <w:szCs w:val="18"/>
        </w:rPr>
        <w:t>Variación porcentual quincenal</w:t>
      </w:r>
      <w:r w:rsidR="0095718C">
        <w:rPr>
          <w:sz w:val="18"/>
          <w:szCs w:val="18"/>
        </w:rPr>
        <w:t>,</w:t>
      </w:r>
      <w:r w:rsidRPr="0095718C">
        <w:rPr>
          <w:sz w:val="18"/>
          <w:szCs w:val="18"/>
        </w:rPr>
        <w:t xml:space="preserve"> durante la primera quincena de mayo de los años que se indican</w:t>
      </w:r>
    </w:p>
    <w:p w14:paraId="2AA93B0D" w14:textId="71EB17C0" w:rsidR="00CF793A" w:rsidRPr="00A71198" w:rsidRDefault="0095718C" w:rsidP="0095718C">
      <w:pPr>
        <w:autoSpaceDE w:val="0"/>
        <w:autoSpaceDN w:val="0"/>
        <w:adjustRightInd w:val="0"/>
        <w:jc w:val="center"/>
        <w:rPr>
          <w:noProof/>
        </w:rPr>
      </w:pPr>
      <w:r>
        <w:rPr>
          <w:noProof/>
        </w:rPr>
        <w:drawing>
          <wp:inline distT="0" distB="0" distL="0" distR="0" wp14:anchorId="62FB02FB" wp14:editId="52AE361E">
            <wp:extent cx="5047957" cy="2945294"/>
            <wp:effectExtent l="0" t="0" r="19685" b="26670"/>
            <wp:docPr id="18" name="Gráfico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494837" w14:textId="232E5CF3" w:rsidR="00CF793A" w:rsidRPr="00A71198" w:rsidRDefault="00CF793A" w:rsidP="00575B18">
      <w:pPr>
        <w:autoSpaceDE w:val="0"/>
        <w:autoSpaceDN w:val="0"/>
        <w:adjustRightInd w:val="0"/>
        <w:spacing w:before="600"/>
        <w:ind w:left="-142"/>
      </w:pPr>
      <w:r w:rsidRPr="002E2B24">
        <w:t>En el siguiente cuadro se presentan las variaciones e incidencias</w:t>
      </w:r>
      <w:r>
        <w:t xml:space="preserve"> </w:t>
      </w:r>
      <w:r w:rsidRPr="002E2B24">
        <w:t xml:space="preserve">durante </w:t>
      </w:r>
      <w:r>
        <w:t xml:space="preserve">la primera quincena de mayo </w:t>
      </w:r>
      <w:r w:rsidR="0095718C">
        <w:t>de este año</w:t>
      </w:r>
      <w:r w:rsidRPr="002E2B24">
        <w:t xml:space="preserve"> en el INPC, así como en los subíndices que lo integran.</w:t>
      </w:r>
    </w:p>
    <w:p w14:paraId="5264655C" w14:textId="77777777" w:rsidR="00CF793A" w:rsidRPr="00B1367A" w:rsidRDefault="00CF793A" w:rsidP="00CF793A">
      <w:pPr>
        <w:pStyle w:val="Prrafodelista"/>
        <w:keepNext/>
        <w:keepLines/>
        <w:widowControl w:val="0"/>
        <w:spacing w:before="360"/>
        <w:ind w:left="0"/>
        <w:jc w:val="center"/>
        <w:rPr>
          <w:b/>
          <w:smallCaps/>
          <w:sz w:val="22"/>
          <w:szCs w:val="22"/>
        </w:rPr>
      </w:pPr>
      <w:r w:rsidRPr="00B1367A">
        <w:rPr>
          <w:b/>
          <w:smallCaps/>
          <w:sz w:val="22"/>
          <w:szCs w:val="22"/>
        </w:rPr>
        <w:lastRenderedPageBreak/>
        <w:t>INPC Y SUS COMPONENTES</w:t>
      </w:r>
    </w:p>
    <w:p w14:paraId="70914C2A" w14:textId="29A7C165" w:rsidR="00CF793A" w:rsidRPr="00B1367A" w:rsidRDefault="00B1367A" w:rsidP="00CF793A">
      <w:pPr>
        <w:keepNext/>
        <w:keepLines/>
        <w:widowControl w:val="0"/>
        <w:jc w:val="center"/>
        <w:rPr>
          <w:sz w:val="18"/>
          <w:szCs w:val="18"/>
        </w:rPr>
      </w:pPr>
      <w:r>
        <w:rPr>
          <w:sz w:val="18"/>
          <w:szCs w:val="18"/>
        </w:rPr>
        <w:t>P</w:t>
      </w:r>
      <w:r w:rsidR="00CF793A" w:rsidRPr="00B1367A">
        <w:rPr>
          <w:sz w:val="18"/>
          <w:szCs w:val="18"/>
        </w:rPr>
        <w:t>rimera quincena de mayo de los años que se indican</w:t>
      </w:r>
    </w:p>
    <w:p w14:paraId="1123EDFB" w14:textId="14AE81BF" w:rsidR="00CF793A" w:rsidRPr="00A71198" w:rsidRDefault="00B1367A" w:rsidP="00CF793A">
      <w:pPr>
        <w:keepNext/>
        <w:keepLines/>
        <w:widowControl w:val="0"/>
        <w:jc w:val="center"/>
        <w:rPr>
          <w:b/>
        </w:rPr>
      </w:pPr>
      <w:r w:rsidRPr="00B1367A">
        <w:rPr>
          <w:noProof/>
        </w:rPr>
        <w:drawing>
          <wp:inline distT="0" distB="0" distL="0" distR="0" wp14:anchorId="1037B614" wp14:editId="2F4694BF">
            <wp:extent cx="5972810" cy="2535139"/>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35139"/>
                    </a:xfrm>
                    <a:prstGeom prst="rect">
                      <a:avLst/>
                    </a:prstGeom>
                    <a:noFill/>
                    <a:ln>
                      <a:noFill/>
                    </a:ln>
                  </pic:spPr>
                </pic:pic>
              </a:graphicData>
            </a:graphic>
          </wp:inline>
        </w:drawing>
      </w:r>
    </w:p>
    <w:p w14:paraId="2A6D8070" w14:textId="77777777" w:rsidR="00CF793A" w:rsidRPr="00A71198" w:rsidRDefault="00CF793A" w:rsidP="00CF793A">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45E522C0" w14:textId="77777777" w:rsidR="00CF793A" w:rsidRPr="00A71198" w:rsidRDefault="00CF793A" w:rsidP="00CF793A">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02730655" w14:textId="77777777" w:rsidR="00CF793A" w:rsidRPr="00A71198" w:rsidRDefault="00CF793A" w:rsidP="00CF793A">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11C6918C" w14:textId="77777777" w:rsidR="00CF793A" w:rsidRPr="00A71198" w:rsidRDefault="00CF793A" w:rsidP="00CF793A">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12F401F4" w14:textId="77777777" w:rsidR="00CF793A" w:rsidRPr="00A71198" w:rsidRDefault="00CF793A" w:rsidP="00B1367A">
      <w:pPr>
        <w:pStyle w:val="n01"/>
        <w:keepLines w:val="0"/>
        <w:spacing w:before="720"/>
        <w:ind w:left="0" w:firstLine="0"/>
        <w:rPr>
          <w:rFonts w:ascii="Arial" w:hAnsi="Arial"/>
          <w:b/>
          <w:i/>
          <w:color w:val="auto"/>
        </w:rPr>
      </w:pPr>
      <w:r>
        <w:rPr>
          <w:rFonts w:ascii="Arial" w:hAnsi="Arial"/>
          <w:b/>
          <w:i/>
          <w:color w:val="auto"/>
        </w:rPr>
        <w:t>Inflación por componentes</w:t>
      </w:r>
    </w:p>
    <w:p w14:paraId="35FBAC5B" w14:textId="0E72CC3A" w:rsidR="00CF793A" w:rsidRPr="00A71198" w:rsidRDefault="00CF793A" w:rsidP="00CF793A">
      <w:pPr>
        <w:autoSpaceDE w:val="0"/>
        <w:autoSpaceDN w:val="0"/>
        <w:adjustRightInd w:val="0"/>
        <w:spacing w:before="240"/>
      </w:pPr>
      <w:r w:rsidRPr="00A71198">
        <w:t xml:space="preserve">La variación en la primera quincena de </w:t>
      </w:r>
      <w:r>
        <w:t>mayo</w:t>
      </w:r>
      <w:r w:rsidRPr="00A71198">
        <w:t xml:space="preserve"> </w:t>
      </w:r>
      <w:r w:rsidR="00FE21B5">
        <w:t xml:space="preserve">del año en curso </w:t>
      </w:r>
      <w:r w:rsidRPr="00A71198">
        <w:t>de los índices subyacente y no subyacente fue de 0.</w:t>
      </w:r>
      <w:r>
        <w:t>33</w:t>
      </w:r>
      <w:r w:rsidRPr="00A71198">
        <w:t xml:space="preserve"> y </w:t>
      </w:r>
      <w:r w:rsidR="00B1367A">
        <w:t xml:space="preserve">de </w:t>
      </w:r>
      <w:r>
        <w:t>(-)1.00</w:t>
      </w:r>
      <w:r w:rsidRPr="00A71198">
        <w:t xml:space="preserve"> por ciento</w:t>
      </w:r>
      <w:r w:rsidR="00B1367A">
        <w:t xml:space="preserve"> con relación a la quincena inmediata anterior</w:t>
      </w:r>
      <w:r w:rsidR="00EE5CF8">
        <w:t xml:space="preserve">, </w:t>
      </w:r>
      <w:r w:rsidR="00EE5CF8" w:rsidRPr="00A71198">
        <w:t>respectivamente</w:t>
      </w:r>
      <w:r>
        <w:t xml:space="preserve">. Los </w:t>
      </w:r>
      <w:r w:rsidRPr="00A71198">
        <w:t xml:space="preserve">datos </w:t>
      </w:r>
      <w:r>
        <w:t xml:space="preserve">correspondientes </w:t>
      </w:r>
      <w:r w:rsidR="00AE07D2">
        <w:t xml:space="preserve">para </w:t>
      </w:r>
      <w:r w:rsidRPr="00A71198">
        <w:t xml:space="preserve">el mismo </w:t>
      </w:r>
      <w:r w:rsidR="00B1367A">
        <w:t>lapso</w:t>
      </w:r>
      <w:r w:rsidRPr="00A71198">
        <w:t xml:space="preserve"> de 20</w:t>
      </w:r>
      <w:r>
        <w:t>20</w:t>
      </w:r>
      <w:r w:rsidRPr="00A71198">
        <w:t xml:space="preserve"> </w:t>
      </w:r>
      <w:r>
        <w:t>fueron</w:t>
      </w:r>
      <w:r w:rsidRPr="00A71198">
        <w:t xml:space="preserve"> </w:t>
      </w:r>
      <w:r w:rsidR="00B1367A">
        <w:t xml:space="preserve">de </w:t>
      </w:r>
      <w:r w:rsidRPr="00A71198">
        <w:t>0.</w:t>
      </w:r>
      <w:r>
        <w:t>24</w:t>
      </w:r>
      <w:r w:rsidRPr="00A71198">
        <w:t xml:space="preserve"> y </w:t>
      </w:r>
      <w:r w:rsidR="00B1367A">
        <w:t xml:space="preserve">de </w:t>
      </w:r>
      <w:r>
        <w:t>0.46 por ciento.</w:t>
      </w:r>
    </w:p>
    <w:p w14:paraId="66FD3F07" w14:textId="2B525888" w:rsidR="00CF793A" w:rsidRPr="00B1367A" w:rsidRDefault="00B1367A" w:rsidP="00B1367A">
      <w:pPr>
        <w:keepNext/>
        <w:keepLines/>
        <w:spacing w:before="240"/>
        <w:jc w:val="center"/>
        <w:rPr>
          <w:b/>
          <w:bCs/>
          <w:smallCaps/>
          <w:color w:val="000000" w:themeColor="text1"/>
          <w:spacing w:val="1"/>
          <w:sz w:val="22"/>
          <w:szCs w:val="22"/>
        </w:rPr>
      </w:pPr>
      <w:r w:rsidRPr="00B1367A">
        <w:rPr>
          <w:b/>
          <w:bCs/>
          <w:smallCaps/>
          <w:color w:val="000000" w:themeColor="text1"/>
          <w:spacing w:val="1"/>
          <w:sz w:val="22"/>
          <w:szCs w:val="22"/>
        </w:rPr>
        <w:lastRenderedPageBreak/>
        <w:t>ÍNDICES DE PRECIOS SUBYACENTE Y NO SUBYACENTE</w:t>
      </w:r>
    </w:p>
    <w:p w14:paraId="1C67CF9B" w14:textId="4449C197" w:rsidR="00CF793A" w:rsidRPr="00B1367A" w:rsidRDefault="00CF793A" w:rsidP="00B1367A">
      <w:pPr>
        <w:keepNext/>
        <w:keepLines/>
        <w:widowControl w:val="0"/>
        <w:autoSpaceDE w:val="0"/>
        <w:autoSpaceDN w:val="0"/>
        <w:adjustRightInd w:val="0"/>
        <w:jc w:val="center"/>
        <w:rPr>
          <w:sz w:val="18"/>
          <w:szCs w:val="18"/>
        </w:rPr>
      </w:pPr>
      <w:r w:rsidRPr="00B1367A">
        <w:rPr>
          <w:sz w:val="18"/>
          <w:szCs w:val="18"/>
        </w:rPr>
        <w:t>Variación porcentual</w:t>
      </w:r>
      <w:r w:rsidR="00B1367A">
        <w:rPr>
          <w:sz w:val="18"/>
          <w:szCs w:val="18"/>
        </w:rPr>
        <w:t xml:space="preserve"> quincenal,</w:t>
      </w:r>
      <w:r w:rsidRPr="00B1367A">
        <w:rPr>
          <w:sz w:val="18"/>
          <w:szCs w:val="18"/>
        </w:rPr>
        <w:t xml:space="preserve"> </w:t>
      </w:r>
      <w:r w:rsidR="00B1367A">
        <w:rPr>
          <w:sz w:val="18"/>
          <w:szCs w:val="18"/>
        </w:rPr>
        <w:t xml:space="preserve">durante </w:t>
      </w:r>
      <w:r w:rsidRPr="00B1367A">
        <w:rPr>
          <w:sz w:val="18"/>
          <w:szCs w:val="18"/>
        </w:rPr>
        <w:t>la primera quincena de mayo de los años que se indican</w:t>
      </w:r>
    </w:p>
    <w:p w14:paraId="55941B8A" w14:textId="37B16B08" w:rsidR="00CF793A" w:rsidRPr="00A71198" w:rsidRDefault="00B1367A" w:rsidP="00CF793A">
      <w:pPr>
        <w:pStyle w:val="n01"/>
        <w:keepLines w:val="0"/>
        <w:spacing w:before="0"/>
        <w:ind w:left="0" w:firstLine="0"/>
        <w:jc w:val="center"/>
        <w:rPr>
          <w:rFonts w:ascii="Arial" w:hAnsi="Arial"/>
          <w:color w:val="auto"/>
        </w:rPr>
      </w:pPr>
      <w:r>
        <w:rPr>
          <w:noProof/>
        </w:rPr>
        <w:drawing>
          <wp:inline distT="0" distB="0" distL="0" distR="0" wp14:anchorId="2C63E6A7" wp14:editId="0F9458DB">
            <wp:extent cx="5047957" cy="2945294"/>
            <wp:effectExtent l="0" t="0" r="19685" b="26670"/>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572523" w14:textId="77777777" w:rsidR="00CF793A" w:rsidRDefault="00CF793A" w:rsidP="00AE07D2">
      <w:pPr>
        <w:autoSpaceDE w:val="0"/>
        <w:autoSpaceDN w:val="0"/>
        <w:adjustRightInd w:val="0"/>
        <w:spacing w:before="360"/>
      </w:pPr>
      <w:r>
        <w:t>A continuación,</w:t>
      </w:r>
      <w:r w:rsidRPr="00C31BEB">
        <w:t xml:space="preserve"> se muestra la serie histórica de la inflación por componentes en variaciones anuales.</w:t>
      </w:r>
    </w:p>
    <w:p w14:paraId="5C5E05A1" w14:textId="77777777" w:rsidR="00CF793A" w:rsidRPr="00B1367A" w:rsidRDefault="00CF793A" w:rsidP="00AE07D2">
      <w:pPr>
        <w:pStyle w:val="n01"/>
        <w:keepNext/>
        <w:widowControl w:val="0"/>
        <w:spacing w:before="360"/>
        <w:ind w:left="0" w:firstLine="0"/>
        <w:jc w:val="center"/>
        <w:rPr>
          <w:rFonts w:ascii="Arial" w:hAnsi="Arial"/>
          <w:b/>
          <w:bCs/>
          <w:smallCaps/>
          <w:color w:val="000000" w:themeColor="text1"/>
          <w:sz w:val="22"/>
          <w:szCs w:val="22"/>
        </w:rPr>
      </w:pPr>
      <w:r w:rsidRPr="00B1367A">
        <w:rPr>
          <w:rFonts w:ascii="Arial" w:hAnsi="Arial"/>
          <w:b/>
          <w:bCs/>
          <w:smallCaps/>
          <w:color w:val="000000" w:themeColor="text1"/>
          <w:sz w:val="22"/>
          <w:szCs w:val="22"/>
        </w:rPr>
        <w:t xml:space="preserve">INPC Y SUS COMPONENTES </w:t>
      </w:r>
    </w:p>
    <w:p w14:paraId="1E0ACF9A" w14:textId="4152FE7D" w:rsidR="00CF793A" w:rsidRPr="00B1367A" w:rsidRDefault="00CF793A" w:rsidP="00B1367A">
      <w:pPr>
        <w:keepNext/>
        <w:keepLines/>
        <w:widowControl w:val="0"/>
        <w:autoSpaceDE w:val="0"/>
        <w:autoSpaceDN w:val="0"/>
        <w:adjustRightInd w:val="0"/>
        <w:jc w:val="center"/>
        <w:rPr>
          <w:sz w:val="18"/>
          <w:szCs w:val="18"/>
        </w:rPr>
      </w:pPr>
      <w:r w:rsidRPr="00B1367A">
        <w:rPr>
          <w:sz w:val="18"/>
          <w:szCs w:val="18"/>
        </w:rPr>
        <w:t>Variación porcentual anual</w:t>
      </w:r>
      <w:r w:rsidR="00B1367A">
        <w:rPr>
          <w:sz w:val="18"/>
          <w:szCs w:val="18"/>
        </w:rPr>
        <w:t>, por quincena de los años que se indican</w:t>
      </w:r>
      <w:r w:rsidRPr="00B1367A">
        <w:rPr>
          <w:sz w:val="18"/>
          <w:szCs w:val="18"/>
        </w:rPr>
        <w:t xml:space="preserve"> </w:t>
      </w:r>
    </w:p>
    <w:p w14:paraId="1FCAFFD1" w14:textId="02C281C8" w:rsidR="00CF793A" w:rsidRPr="00A71198" w:rsidRDefault="00B1367A" w:rsidP="00CF793A">
      <w:pPr>
        <w:widowControl w:val="0"/>
        <w:autoSpaceDE w:val="0"/>
        <w:autoSpaceDN w:val="0"/>
        <w:adjustRightInd w:val="0"/>
        <w:jc w:val="center"/>
      </w:pPr>
      <w:r>
        <w:rPr>
          <w:noProof/>
        </w:rPr>
        <w:drawing>
          <wp:inline distT="0" distB="0" distL="0" distR="0" wp14:anchorId="7AF98A8D" wp14:editId="52454C91">
            <wp:extent cx="5047957" cy="2941667"/>
            <wp:effectExtent l="0" t="0" r="19685" b="11430"/>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03F4E0" w14:textId="1C33BA4F" w:rsidR="00CF793A" w:rsidRPr="00A71198" w:rsidRDefault="00CF793A" w:rsidP="00CF793A">
      <w:pPr>
        <w:autoSpaceDE w:val="0"/>
        <w:autoSpaceDN w:val="0"/>
        <w:adjustRightInd w:val="0"/>
        <w:spacing w:before="240"/>
      </w:pPr>
      <w:r>
        <w:rPr>
          <w:sz w:val="23"/>
          <w:szCs w:val="23"/>
        </w:rPr>
        <w:lastRenderedPageBreak/>
        <w:t>A</w:t>
      </w:r>
      <w:r w:rsidR="00921497">
        <w:rPr>
          <w:sz w:val="23"/>
          <w:szCs w:val="23"/>
        </w:rPr>
        <w:t>hora</w:t>
      </w:r>
      <w:r>
        <w:rPr>
          <w:sz w:val="23"/>
          <w:szCs w:val="23"/>
        </w:rPr>
        <w:t xml:space="preserve"> se presentan los principales productos genéricos cuyas variaciones de precios al alza y a la baja destacaron por su incidencia sobre la inflación general.</w:t>
      </w:r>
    </w:p>
    <w:p w14:paraId="33D63A60" w14:textId="2F281577" w:rsidR="00CF793A" w:rsidRPr="00B1367A" w:rsidRDefault="00B1367A" w:rsidP="00CF793A">
      <w:pPr>
        <w:widowControl w:val="0"/>
        <w:tabs>
          <w:tab w:val="left" w:pos="1220"/>
        </w:tabs>
        <w:autoSpaceDE w:val="0"/>
        <w:autoSpaceDN w:val="0"/>
        <w:adjustRightInd w:val="0"/>
        <w:spacing w:before="240"/>
        <w:jc w:val="center"/>
        <w:rPr>
          <w:b/>
          <w:bCs/>
          <w:smallCaps/>
          <w:color w:val="000000" w:themeColor="text1"/>
          <w:spacing w:val="1"/>
          <w:sz w:val="22"/>
          <w:szCs w:val="22"/>
        </w:rPr>
      </w:pPr>
      <w:r w:rsidRPr="00B1367A">
        <w:rPr>
          <w:b/>
          <w:bCs/>
          <w:smallCaps/>
          <w:color w:val="000000" w:themeColor="text1"/>
          <w:spacing w:val="1"/>
          <w:sz w:val="22"/>
          <w:szCs w:val="22"/>
        </w:rPr>
        <w:t>ÍNDICE NACIONAL DE PRECIOS AL CONSUMIDOR</w:t>
      </w:r>
    </w:p>
    <w:p w14:paraId="3C8A383C" w14:textId="4CD50C73" w:rsidR="00CF793A" w:rsidRPr="00B1367A" w:rsidRDefault="00B1367A" w:rsidP="00CF793A">
      <w:pPr>
        <w:widowControl w:val="0"/>
        <w:tabs>
          <w:tab w:val="left" w:pos="1220"/>
        </w:tabs>
        <w:autoSpaceDE w:val="0"/>
        <w:autoSpaceDN w:val="0"/>
        <w:adjustRightInd w:val="0"/>
        <w:jc w:val="center"/>
        <w:rPr>
          <w:b/>
          <w:bCs/>
          <w:smallCaps/>
          <w:color w:val="000000" w:themeColor="text1"/>
          <w:spacing w:val="1"/>
          <w:sz w:val="22"/>
          <w:szCs w:val="22"/>
        </w:rPr>
      </w:pPr>
      <w:r w:rsidRPr="00B1367A">
        <w:rPr>
          <w:b/>
          <w:bCs/>
          <w:smallCaps/>
          <w:color w:val="000000" w:themeColor="text1"/>
          <w:spacing w:val="1"/>
          <w:sz w:val="22"/>
          <w:szCs w:val="22"/>
        </w:rPr>
        <w:t>GENÉRICOS CON MAYOR Y MENOR INCIDENCIA</w:t>
      </w:r>
    </w:p>
    <w:p w14:paraId="1D9C3AF4" w14:textId="77777777" w:rsidR="00CF793A" w:rsidRPr="00B1367A" w:rsidRDefault="00CF793A" w:rsidP="00B1367A">
      <w:pPr>
        <w:keepNext/>
        <w:keepLines/>
        <w:widowControl w:val="0"/>
        <w:autoSpaceDE w:val="0"/>
        <w:autoSpaceDN w:val="0"/>
        <w:adjustRightInd w:val="0"/>
        <w:jc w:val="center"/>
        <w:rPr>
          <w:color w:val="000000"/>
          <w:position w:val="-1"/>
          <w:sz w:val="18"/>
          <w:szCs w:val="20"/>
        </w:rPr>
      </w:pPr>
      <w:r w:rsidRPr="00B1367A">
        <w:rPr>
          <w:color w:val="000000"/>
          <w:position w:val="-1"/>
          <w:sz w:val="18"/>
          <w:szCs w:val="20"/>
        </w:rPr>
        <w:t>Primera quincena de mayo de 2021</w:t>
      </w:r>
    </w:p>
    <w:p w14:paraId="0D8E5E5D" w14:textId="388D3CB0" w:rsidR="00CF793A" w:rsidRPr="00A71198" w:rsidRDefault="00B1367A" w:rsidP="00CF793A">
      <w:pPr>
        <w:autoSpaceDE w:val="0"/>
        <w:autoSpaceDN w:val="0"/>
        <w:adjustRightInd w:val="0"/>
        <w:jc w:val="center"/>
      </w:pPr>
      <w:r w:rsidRPr="00B1367A">
        <w:rPr>
          <w:noProof/>
        </w:rPr>
        <w:drawing>
          <wp:inline distT="0" distB="0" distL="0" distR="0" wp14:anchorId="36F2D8A0" wp14:editId="77D820B0">
            <wp:extent cx="5972810" cy="1786997"/>
            <wp:effectExtent l="0" t="0" r="889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6997"/>
                    </a:xfrm>
                    <a:prstGeom prst="rect">
                      <a:avLst/>
                    </a:prstGeom>
                    <a:noFill/>
                    <a:ln>
                      <a:noFill/>
                    </a:ln>
                  </pic:spPr>
                </pic:pic>
              </a:graphicData>
            </a:graphic>
          </wp:inline>
        </w:drawing>
      </w:r>
    </w:p>
    <w:p w14:paraId="48CDD067" w14:textId="339B45D9" w:rsidR="00CF793A" w:rsidRPr="00B1367A" w:rsidRDefault="00CF793A" w:rsidP="00B1367A">
      <w:pPr>
        <w:autoSpaceDE w:val="0"/>
        <w:autoSpaceDN w:val="0"/>
        <w:adjustRightInd w:val="0"/>
        <w:spacing w:line="276" w:lineRule="auto"/>
        <w:ind w:left="283" w:right="113" w:hanging="170"/>
        <w:rPr>
          <w:color w:val="006600"/>
          <w:sz w:val="16"/>
          <w:szCs w:val="16"/>
        </w:rPr>
      </w:pPr>
      <w:r w:rsidRPr="00B1367A">
        <w:rPr>
          <w:color w:val="006600"/>
          <w:sz w:val="18"/>
          <w:szCs w:val="16"/>
          <w:vertAlign w:val="superscript"/>
        </w:rPr>
        <w:t>1/</w:t>
      </w:r>
      <w:r w:rsidR="00B1367A">
        <w:rPr>
          <w:color w:val="006600"/>
          <w:sz w:val="18"/>
          <w:szCs w:val="16"/>
          <w:vertAlign w:val="superscript"/>
        </w:rPr>
        <w:tab/>
      </w:r>
      <w:r w:rsidRPr="00B1367A">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720B39C7" w14:textId="57088397" w:rsidR="00CF793A" w:rsidRPr="00300D44" w:rsidRDefault="00CF793A" w:rsidP="00B1367A">
      <w:pPr>
        <w:autoSpaceDE w:val="0"/>
        <w:autoSpaceDN w:val="0"/>
        <w:adjustRightInd w:val="0"/>
        <w:spacing w:line="276" w:lineRule="auto"/>
        <w:ind w:left="283" w:right="113" w:hanging="170"/>
        <w:rPr>
          <w:color w:val="006600"/>
          <w:sz w:val="16"/>
          <w:szCs w:val="16"/>
        </w:rPr>
      </w:pPr>
      <w:r w:rsidRPr="00B1367A">
        <w:rPr>
          <w:color w:val="006600"/>
          <w:sz w:val="18"/>
          <w:szCs w:val="16"/>
          <w:vertAlign w:val="superscript"/>
        </w:rPr>
        <w:t>2/</w:t>
      </w:r>
      <w:r w:rsidR="00300D44">
        <w:rPr>
          <w:color w:val="006600"/>
          <w:sz w:val="18"/>
          <w:szCs w:val="16"/>
          <w:vertAlign w:val="superscript"/>
        </w:rPr>
        <w:tab/>
      </w:r>
      <w:r w:rsidRPr="00300D44">
        <w:rPr>
          <w:color w:val="006600"/>
          <w:sz w:val="16"/>
          <w:szCs w:val="16"/>
        </w:rPr>
        <w:t xml:space="preserve">El programa de tarifas eléctricas de temporada cálida inició su vigencia durante mayo en las siguientes ciudades: Mexicali, </w:t>
      </w:r>
      <w:r w:rsidR="00C40F06">
        <w:rPr>
          <w:color w:val="006600"/>
          <w:sz w:val="16"/>
          <w:szCs w:val="16"/>
        </w:rPr>
        <w:br/>
      </w:r>
      <w:r w:rsidRPr="00300D44">
        <w:rPr>
          <w:color w:val="006600"/>
          <w:sz w:val="16"/>
          <w:szCs w:val="16"/>
        </w:rPr>
        <w:t>Cd. Juárez, Culiacán, Chihuahua, Hermosillo, Matamoros, Colima, La Paz, Huatabampo, Cd. Jiménez y Esperanza.</w:t>
      </w:r>
    </w:p>
    <w:p w14:paraId="1790FB0E" w14:textId="09EA6159" w:rsidR="00CF793A" w:rsidRPr="00A71198" w:rsidRDefault="00CF793A" w:rsidP="00300D44">
      <w:pPr>
        <w:keepNext/>
        <w:keepLines/>
        <w:autoSpaceDE w:val="0"/>
        <w:autoSpaceDN w:val="0"/>
        <w:adjustRightInd w:val="0"/>
        <w:spacing w:before="360"/>
      </w:pPr>
      <w:r>
        <w:t>En los siguientes cuadros se muestran las entidades federativas y ciudades con la mayor y</w:t>
      </w:r>
      <w:r w:rsidR="00300D44">
        <w:t xml:space="preserve"> </w:t>
      </w:r>
      <w:r>
        <w:t>menor variación de precios en la primera quincena de mayo de 2021.</w:t>
      </w:r>
    </w:p>
    <w:p w14:paraId="73A36151" w14:textId="77777777" w:rsidR="00CF793A" w:rsidRPr="00300D44" w:rsidRDefault="00CF793A" w:rsidP="00300D44">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300D44">
        <w:rPr>
          <w:b/>
          <w:bCs/>
          <w:smallCaps/>
          <w:color w:val="000000" w:themeColor="text1"/>
          <w:spacing w:val="1"/>
          <w:sz w:val="22"/>
          <w:szCs w:val="22"/>
        </w:rPr>
        <w:t>ÍNDICE NACIONAL DE PRECIOS AL CONSUMIDOR</w:t>
      </w:r>
    </w:p>
    <w:p w14:paraId="5DD94CBC" w14:textId="77777777" w:rsidR="00CF793A" w:rsidRPr="00300D44" w:rsidRDefault="00CF793A" w:rsidP="00CF793A">
      <w:pPr>
        <w:widowControl w:val="0"/>
        <w:tabs>
          <w:tab w:val="left" w:pos="1220"/>
        </w:tabs>
        <w:autoSpaceDE w:val="0"/>
        <w:autoSpaceDN w:val="0"/>
        <w:adjustRightInd w:val="0"/>
        <w:jc w:val="center"/>
        <w:rPr>
          <w:b/>
          <w:bCs/>
          <w:smallCaps/>
          <w:color w:val="000000" w:themeColor="text1"/>
          <w:spacing w:val="1"/>
          <w:sz w:val="22"/>
          <w:szCs w:val="22"/>
        </w:rPr>
      </w:pPr>
      <w:r w:rsidRPr="00300D44">
        <w:rPr>
          <w:b/>
          <w:bCs/>
          <w:smallCaps/>
          <w:color w:val="000000" w:themeColor="text1"/>
          <w:spacing w:val="1"/>
          <w:sz w:val="22"/>
          <w:szCs w:val="22"/>
        </w:rPr>
        <w:t>ENTIDADES FEDERATIVAS CON MAYOR Y MENOR VARIACIÓN *</w:t>
      </w:r>
    </w:p>
    <w:p w14:paraId="7461A488" w14:textId="77777777" w:rsidR="00CF793A" w:rsidRPr="00300D44" w:rsidRDefault="00CF793A" w:rsidP="00300D44">
      <w:pPr>
        <w:keepNext/>
        <w:keepLines/>
        <w:widowControl w:val="0"/>
        <w:tabs>
          <w:tab w:val="left" w:pos="1220"/>
        </w:tabs>
        <w:autoSpaceDE w:val="0"/>
        <w:autoSpaceDN w:val="0"/>
        <w:adjustRightInd w:val="0"/>
        <w:jc w:val="center"/>
        <w:rPr>
          <w:bCs/>
          <w:color w:val="000000" w:themeColor="text1"/>
          <w:spacing w:val="1"/>
          <w:sz w:val="18"/>
          <w:szCs w:val="20"/>
        </w:rPr>
      </w:pPr>
      <w:r w:rsidRPr="00300D44">
        <w:rPr>
          <w:bCs/>
          <w:color w:val="000000" w:themeColor="text1"/>
          <w:spacing w:val="1"/>
          <w:sz w:val="18"/>
          <w:szCs w:val="20"/>
        </w:rPr>
        <w:t>Primera quincena de mayo de 2021</w:t>
      </w:r>
    </w:p>
    <w:p w14:paraId="60F1E63F" w14:textId="22C8408E" w:rsidR="00CF793A" w:rsidRPr="00A71198" w:rsidRDefault="00300D44" w:rsidP="00CF793A">
      <w:pPr>
        <w:autoSpaceDE w:val="0"/>
        <w:autoSpaceDN w:val="0"/>
        <w:adjustRightInd w:val="0"/>
        <w:rPr>
          <w:color w:val="006600"/>
        </w:rPr>
      </w:pPr>
      <w:r w:rsidRPr="00300D44">
        <w:rPr>
          <w:noProof/>
        </w:rPr>
        <w:drawing>
          <wp:inline distT="0" distB="0" distL="0" distR="0" wp14:anchorId="34413414" wp14:editId="52013EBF">
            <wp:extent cx="5972810" cy="113336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3369"/>
                    </a:xfrm>
                    <a:prstGeom prst="rect">
                      <a:avLst/>
                    </a:prstGeom>
                    <a:noFill/>
                    <a:ln>
                      <a:noFill/>
                    </a:ln>
                  </pic:spPr>
                </pic:pic>
              </a:graphicData>
            </a:graphic>
          </wp:inline>
        </w:drawing>
      </w:r>
    </w:p>
    <w:p w14:paraId="317D1E80" w14:textId="77777777" w:rsidR="00300D44" w:rsidRPr="0093518A" w:rsidRDefault="00300D44" w:rsidP="00300D44">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06CC9526" w14:textId="77777777" w:rsidR="00CF793A" w:rsidRPr="00300D44" w:rsidRDefault="00CF793A" w:rsidP="00300D44">
      <w:pPr>
        <w:keepNext/>
        <w:keepLines/>
        <w:widowControl w:val="0"/>
        <w:autoSpaceDE w:val="0"/>
        <w:autoSpaceDN w:val="0"/>
        <w:adjustRightInd w:val="0"/>
        <w:spacing w:before="240"/>
        <w:jc w:val="center"/>
        <w:rPr>
          <w:b/>
          <w:bCs/>
          <w:smallCaps/>
          <w:color w:val="000000" w:themeColor="text1"/>
          <w:spacing w:val="1"/>
          <w:sz w:val="22"/>
          <w:szCs w:val="22"/>
        </w:rPr>
      </w:pPr>
      <w:r w:rsidRPr="00300D44">
        <w:rPr>
          <w:b/>
          <w:bCs/>
          <w:smallCaps/>
          <w:color w:val="000000" w:themeColor="text1"/>
          <w:spacing w:val="1"/>
          <w:sz w:val="22"/>
          <w:szCs w:val="22"/>
        </w:rPr>
        <w:lastRenderedPageBreak/>
        <w:t>ÍNDICE NACIONAL DE PRECIOS AL CONSUMIDOR</w:t>
      </w:r>
    </w:p>
    <w:p w14:paraId="71828D65" w14:textId="77777777" w:rsidR="00CF793A" w:rsidRPr="00300D44" w:rsidRDefault="00CF793A" w:rsidP="00300D44">
      <w:pPr>
        <w:keepNext/>
        <w:keepLines/>
        <w:tabs>
          <w:tab w:val="left" w:pos="1220"/>
        </w:tabs>
        <w:autoSpaceDE w:val="0"/>
        <w:autoSpaceDN w:val="0"/>
        <w:adjustRightInd w:val="0"/>
        <w:jc w:val="center"/>
        <w:rPr>
          <w:b/>
          <w:bCs/>
          <w:smallCaps/>
          <w:color w:val="000000" w:themeColor="text1"/>
          <w:spacing w:val="1"/>
          <w:sz w:val="22"/>
          <w:szCs w:val="22"/>
        </w:rPr>
      </w:pPr>
      <w:r w:rsidRPr="00300D44">
        <w:rPr>
          <w:b/>
          <w:bCs/>
          <w:smallCaps/>
          <w:color w:val="000000" w:themeColor="text1"/>
          <w:spacing w:val="1"/>
          <w:sz w:val="22"/>
          <w:szCs w:val="22"/>
        </w:rPr>
        <w:t>CIUDADES CON MAYOR Y MENOR VARIACIÓN *</w:t>
      </w:r>
    </w:p>
    <w:p w14:paraId="38775D8B" w14:textId="77777777" w:rsidR="00CF793A" w:rsidRPr="00300D44" w:rsidRDefault="00CF793A" w:rsidP="00300D44">
      <w:pPr>
        <w:keepNext/>
        <w:keepLines/>
        <w:tabs>
          <w:tab w:val="left" w:pos="1220"/>
        </w:tabs>
        <w:autoSpaceDE w:val="0"/>
        <w:autoSpaceDN w:val="0"/>
        <w:adjustRightInd w:val="0"/>
        <w:jc w:val="center"/>
        <w:rPr>
          <w:bCs/>
          <w:color w:val="000000" w:themeColor="text1"/>
          <w:spacing w:val="1"/>
          <w:sz w:val="18"/>
          <w:szCs w:val="20"/>
        </w:rPr>
      </w:pPr>
      <w:r w:rsidRPr="00300D44">
        <w:rPr>
          <w:bCs/>
          <w:color w:val="000000" w:themeColor="text1"/>
          <w:spacing w:val="1"/>
          <w:sz w:val="18"/>
          <w:szCs w:val="20"/>
        </w:rPr>
        <w:t>Primera quincena de mayo 2021</w:t>
      </w:r>
    </w:p>
    <w:p w14:paraId="564C6F18" w14:textId="5DFB8A09" w:rsidR="00CF793A" w:rsidRPr="00A71198" w:rsidRDefault="00300D44" w:rsidP="00CF793A">
      <w:pPr>
        <w:widowControl w:val="0"/>
        <w:tabs>
          <w:tab w:val="left" w:pos="1220"/>
        </w:tabs>
        <w:autoSpaceDE w:val="0"/>
        <w:autoSpaceDN w:val="0"/>
        <w:adjustRightInd w:val="0"/>
        <w:jc w:val="center"/>
        <w:rPr>
          <w:bCs/>
          <w:color w:val="000000" w:themeColor="text1"/>
          <w:spacing w:val="1"/>
        </w:rPr>
      </w:pPr>
      <w:r w:rsidRPr="00300D44">
        <w:rPr>
          <w:noProof/>
        </w:rPr>
        <w:drawing>
          <wp:inline distT="0" distB="0" distL="0" distR="0" wp14:anchorId="79C42F07" wp14:editId="59E41FFC">
            <wp:extent cx="5972810" cy="190905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9058"/>
                    </a:xfrm>
                    <a:prstGeom prst="rect">
                      <a:avLst/>
                    </a:prstGeom>
                    <a:noFill/>
                    <a:ln>
                      <a:noFill/>
                    </a:ln>
                  </pic:spPr>
                </pic:pic>
              </a:graphicData>
            </a:graphic>
          </wp:inline>
        </w:drawing>
      </w:r>
    </w:p>
    <w:p w14:paraId="22B76604" w14:textId="77777777" w:rsidR="00300D44" w:rsidRPr="0093518A" w:rsidRDefault="00300D44" w:rsidP="00300D44">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3BFE49FA" w14:textId="45B3C289" w:rsidR="00CF793A" w:rsidRDefault="00CF793A" w:rsidP="00CF793A">
      <w:pPr>
        <w:widowControl w:val="0"/>
        <w:autoSpaceDE w:val="0"/>
        <w:autoSpaceDN w:val="0"/>
        <w:adjustRightInd w:val="0"/>
        <w:spacing w:before="240"/>
      </w:pPr>
      <w:r w:rsidRPr="005D3641">
        <w:t>A continuación</w:t>
      </w:r>
      <w:r w:rsidR="00300D44">
        <w:t>,</w:t>
      </w:r>
      <w:r w:rsidRPr="005D3641">
        <w:t xml:space="preserve"> se muestran las variaciones de precios del INPC duran</w:t>
      </w:r>
      <w:r>
        <w:t>te la primera quincena de mayo</w:t>
      </w:r>
      <w:r w:rsidRPr="005D3641">
        <w:t xml:space="preserve"> de 2021, en función </w:t>
      </w:r>
      <w:r w:rsidR="00300D44">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411C5D4E" w14:textId="1325EEA4" w:rsidR="00CF793A" w:rsidRPr="00300D44" w:rsidRDefault="00300D44" w:rsidP="00300D44">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300D44">
        <w:rPr>
          <w:rFonts w:ascii="Arial" w:hAnsi="Arial"/>
          <w:b/>
          <w:bCs/>
          <w:color w:val="000000" w:themeColor="text1"/>
          <w:spacing w:val="1"/>
          <w:sz w:val="22"/>
          <w:szCs w:val="22"/>
        </w:rPr>
        <w:t>ÍNDICE NACIONAL DE PRECIOS AL CONSUMIDOR</w:t>
      </w:r>
    </w:p>
    <w:p w14:paraId="783459FE" w14:textId="27C1DCDE" w:rsidR="00CF793A" w:rsidRPr="00300D44" w:rsidRDefault="00300D44" w:rsidP="00CF793A">
      <w:pPr>
        <w:keepNext/>
        <w:keepLines/>
        <w:tabs>
          <w:tab w:val="left" w:pos="1220"/>
        </w:tabs>
        <w:autoSpaceDE w:val="0"/>
        <w:autoSpaceDN w:val="0"/>
        <w:adjustRightInd w:val="0"/>
        <w:jc w:val="center"/>
        <w:rPr>
          <w:b/>
          <w:bCs/>
          <w:color w:val="000000" w:themeColor="text1"/>
          <w:spacing w:val="1"/>
          <w:sz w:val="22"/>
          <w:szCs w:val="22"/>
        </w:rPr>
      </w:pPr>
      <w:r w:rsidRPr="00300D44">
        <w:rPr>
          <w:b/>
          <w:bCs/>
          <w:color w:val="000000" w:themeColor="text1"/>
          <w:spacing w:val="1"/>
          <w:sz w:val="22"/>
          <w:szCs w:val="22"/>
        </w:rPr>
        <w:t>CLASIFICACIÓN DEL CONSUMO INDIVIDUAL POR FINALIDADES</w:t>
      </w:r>
    </w:p>
    <w:p w14:paraId="0B6D4B41" w14:textId="77777777" w:rsidR="00CF793A" w:rsidRPr="00300D44" w:rsidRDefault="00CF793A" w:rsidP="00CF793A">
      <w:pPr>
        <w:keepNext/>
        <w:keepLines/>
        <w:tabs>
          <w:tab w:val="left" w:pos="1220"/>
        </w:tabs>
        <w:autoSpaceDE w:val="0"/>
        <w:autoSpaceDN w:val="0"/>
        <w:adjustRightInd w:val="0"/>
        <w:jc w:val="center"/>
        <w:rPr>
          <w:bCs/>
          <w:color w:val="000000"/>
          <w:spacing w:val="1"/>
          <w:sz w:val="18"/>
          <w:szCs w:val="20"/>
        </w:rPr>
      </w:pPr>
      <w:r w:rsidRPr="00300D44">
        <w:rPr>
          <w:bCs/>
          <w:color w:val="000000"/>
          <w:spacing w:val="1"/>
          <w:sz w:val="18"/>
          <w:szCs w:val="20"/>
        </w:rPr>
        <w:t>Variación porcentual</w:t>
      </w:r>
    </w:p>
    <w:p w14:paraId="7AECB854" w14:textId="49ED9BFB" w:rsidR="00CF793A" w:rsidRPr="00A71198" w:rsidRDefault="00300D44" w:rsidP="00CF793A">
      <w:pPr>
        <w:pStyle w:val="Prrafodelista"/>
        <w:keepNext/>
        <w:keepLines/>
        <w:autoSpaceDE w:val="0"/>
        <w:autoSpaceDN w:val="0"/>
        <w:adjustRightInd w:val="0"/>
        <w:ind w:hanging="708"/>
        <w:jc w:val="center"/>
      </w:pPr>
      <w:r w:rsidRPr="00300D44">
        <w:rPr>
          <w:noProof/>
        </w:rPr>
        <w:drawing>
          <wp:inline distT="0" distB="0" distL="0" distR="0" wp14:anchorId="74ECB570" wp14:editId="360A944D">
            <wp:extent cx="5972810" cy="2548053"/>
            <wp:effectExtent l="0" t="0" r="0"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8053"/>
                    </a:xfrm>
                    <a:prstGeom prst="rect">
                      <a:avLst/>
                    </a:prstGeom>
                    <a:noFill/>
                    <a:ln>
                      <a:noFill/>
                    </a:ln>
                  </pic:spPr>
                </pic:pic>
              </a:graphicData>
            </a:graphic>
          </wp:inline>
        </w:drawing>
      </w:r>
    </w:p>
    <w:p w14:paraId="666865CD" w14:textId="77777777" w:rsidR="00CF793A" w:rsidRPr="00A71198" w:rsidRDefault="00CF793A" w:rsidP="00CF793A">
      <w:pPr>
        <w:autoSpaceDE w:val="0"/>
        <w:autoSpaceDN w:val="0"/>
        <w:adjustRightInd w:val="0"/>
        <w:ind w:left="283" w:right="113" w:hanging="170"/>
        <w:rPr>
          <w:color w:val="006600"/>
          <w:sz w:val="16"/>
          <w:szCs w:val="16"/>
        </w:rPr>
      </w:pPr>
      <w:r w:rsidRPr="00014BA2">
        <w:rPr>
          <w:color w:val="006600"/>
          <w:sz w:val="18"/>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67B3A038" w14:textId="0F7FFEE8" w:rsidR="00926543" w:rsidRDefault="00CF793A" w:rsidP="00926543">
      <w:pPr>
        <w:autoSpaceDE w:val="0"/>
        <w:autoSpaceDN w:val="0"/>
        <w:adjustRightInd w:val="0"/>
        <w:rPr>
          <w:color w:val="000000" w:themeColor="text1"/>
        </w:rPr>
      </w:pPr>
      <w:r>
        <w:rPr>
          <w:color w:val="000000" w:themeColor="text1"/>
        </w:rPr>
        <w:lastRenderedPageBreak/>
        <w:t xml:space="preserve">Finalmente,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 xml:space="preserve">presentó </w:t>
      </w:r>
      <w:r w:rsidR="008E27A1">
        <w:rPr>
          <w:color w:val="000000" w:themeColor="text1"/>
        </w:rPr>
        <w:t xml:space="preserve">en la primera quincena de mayo de este año </w:t>
      </w:r>
      <w:r>
        <w:rPr>
          <w:color w:val="000000" w:themeColor="text1"/>
        </w:rPr>
        <w:t>un</w:t>
      </w:r>
      <w:r w:rsidR="00300D44">
        <w:rPr>
          <w:color w:val="000000" w:themeColor="text1"/>
        </w:rPr>
        <w:t xml:space="preserve">a reducción </w:t>
      </w:r>
      <w:r w:rsidR="008E27A1">
        <w:rPr>
          <w:color w:val="000000" w:themeColor="text1"/>
        </w:rPr>
        <w:t>d</w:t>
      </w:r>
      <w:r>
        <w:rPr>
          <w:color w:val="000000" w:themeColor="text1"/>
        </w:rPr>
        <w:t>e</w:t>
      </w:r>
      <w:r w:rsidRPr="00AF5DD6">
        <w:rPr>
          <w:color w:val="000000" w:themeColor="text1"/>
        </w:rPr>
        <w:t xml:space="preserve"> </w:t>
      </w:r>
      <w:r>
        <w:rPr>
          <w:color w:val="000000" w:themeColor="text1"/>
        </w:rPr>
        <w:t>0.19</w:t>
      </w:r>
      <w:r w:rsidRPr="00AF5DD6">
        <w:rPr>
          <w:color w:val="000000" w:themeColor="text1"/>
        </w:rPr>
        <w:t xml:space="preserve"> por ciento</w:t>
      </w:r>
      <w:r>
        <w:rPr>
          <w:color w:val="000000" w:themeColor="text1"/>
        </w:rPr>
        <w:t xml:space="preserve"> </w:t>
      </w:r>
      <w:r w:rsidR="008E27A1">
        <w:rPr>
          <w:color w:val="000000" w:themeColor="text1"/>
        </w:rPr>
        <w:t xml:space="preserve">quincenal </w:t>
      </w:r>
      <w:r>
        <w:rPr>
          <w:color w:val="000000" w:themeColor="text1"/>
        </w:rPr>
        <w:t xml:space="preserve">y </w:t>
      </w:r>
      <w:r w:rsidR="00300D44">
        <w:rPr>
          <w:color w:val="000000" w:themeColor="text1"/>
        </w:rPr>
        <w:t xml:space="preserve">un incremento anual de </w:t>
      </w:r>
      <w:r>
        <w:rPr>
          <w:color w:val="000000" w:themeColor="text1"/>
        </w:rPr>
        <w:t>7.08 por ciento, en tanto que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300D44">
        <w:rPr>
          <w:color w:val="000000" w:themeColor="text1"/>
        </w:rPr>
        <w:t xml:space="preserve">de </w:t>
      </w:r>
      <w:r>
        <w:rPr>
          <w:color w:val="000000" w:themeColor="text1"/>
        </w:rPr>
        <w:t>0.15</w:t>
      </w:r>
      <w:r w:rsidRPr="00AF5DD6">
        <w:rPr>
          <w:color w:val="000000" w:themeColor="text1"/>
        </w:rPr>
        <w:t xml:space="preserve"> y </w:t>
      </w:r>
      <w:r w:rsidR="00300D44">
        <w:rPr>
          <w:color w:val="000000" w:themeColor="text1"/>
        </w:rPr>
        <w:t xml:space="preserve">de </w:t>
      </w:r>
      <w:r>
        <w:rPr>
          <w:color w:val="000000" w:themeColor="text1"/>
        </w:rPr>
        <w:t>2.24 por ciento</w:t>
      </w:r>
      <w:r w:rsidR="00300D44">
        <w:rPr>
          <w:color w:val="000000" w:themeColor="text1"/>
        </w:rPr>
        <w:t>, respectivamente</w:t>
      </w:r>
      <w:r>
        <w:rPr>
          <w:color w:val="000000" w:themeColor="text1"/>
        </w:rPr>
        <w:t>.</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2EDA96E5"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300D44">
        <w:rPr>
          <w:lang w:val="es-MX"/>
        </w:rPr>
        <w:t>mayo</w:t>
      </w:r>
      <w:r w:rsidR="00E912AA">
        <w:rPr>
          <w:lang w:val="es-MX"/>
        </w:rPr>
        <w:t xml:space="preserve"> 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B499F19"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 xml:space="preserve">enérico en la canasta de bienes y servicios del INPC su ponderación debe ser igual o mayor a 0.01%.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7D47461">
            <wp:extent cx="5391150" cy="2514600"/>
            <wp:effectExtent l="0" t="0" r="0" b="0"/>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5146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A4C5" w14:textId="77777777" w:rsidR="001D003A" w:rsidRDefault="001D003A">
      <w:r>
        <w:separator/>
      </w:r>
    </w:p>
  </w:endnote>
  <w:endnote w:type="continuationSeparator" w:id="0">
    <w:p w14:paraId="18EDEAB0" w14:textId="77777777" w:rsidR="001D003A" w:rsidRDefault="001D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D2DD" w14:textId="77777777" w:rsidR="002012BF" w:rsidRPr="00BB245B" w:rsidRDefault="002012BF"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5F0403" w:rsidRDefault="003B5757" w:rsidP="003076C4">
    <w:pPr>
      <w:pStyle w:val="Piedepgina"/>
      <w:jc w:val="center"/>
      <w:rPr>
        <w:b/>
        <w:color w:val="002060"/>
        <w:sz w:val="20"/>
        <w:szCs w:val="20"/>
        <w:lang w:val="es-MX"/>
      </w:rPr>
    </w:pPr>
    <w:r w:rsidRPr="005F040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9024" w14:textId="77777777" w:rsidR="001D003A" w:rsidRDefault="001D003A">
      <w:r>
        <w:separator/>
      </w:r>
    </w:p>
  </w:footnote>
  <w:footnote w:type="continuationSeparator" w:id="0">
    <w:p w14:paraId="24489BD8" w14:textId="77777777" w:rsidR="001D003A" w:rsidRDefault="001D003A">
      <w:r>
        <w:continuationSeparator/>
      </w:r>
    </w:p>
  </w:footnote>
  <w:footnote w:id="1">
    <w:p w14:paraId="00D8812C" w14:textId="77777777" w:rsidR="002012BF" w:rsidRDefault="002012BF" w:rsidP="002012BF">
      <w:pPr>
        <w:pStyle w:val="Textonotapie"/>
        <w:ind w:left="170" w:hanging="170"/>
        <w:rPr>
          <w:color w:val="000000" w:themeColor="text1"/>
          <w:sz w:val="16"/>
          <w:szCs w:val="16"/>
        </w:rPr>
      </w:pPr>
      <w:r>
        <w:rPr>
          <w:rStyle w:val="Refdenotaalpie"/>
        </w:rPr>
        <w:footnoteRef/>
      </w:r>
      <w:r w:rsidRPr="00866182">
        <w:rPr>
          <w:color w:val="000000" w:themeColor="text1"/>
          <w:sz w:val="16"/>
          <w:szCs w:val="16"/>
        </w:rPr>
        <w:tab/>
      </w:r>
      <w:r w:rsidRPr="00926543">
        <w:rPr>
          <w:color w:val="000000" w:themeColor="text1"/>
          <w:sz w:val="16"/>
          <w:szCs w:val="16"/>
        </w:rPr>
        <w:t xml:space="preserve">La inflación subyacente se obtiene </w:t>
      </w:r>
      <w:r>
        <w:rPr>
          <w:color w:val="000000" w:themeColor="text1"/>
          <w:sz w:val="16"/>
          <w:szCs w:val="16"/>
        </w:rPr>
        <w:t xml:space="preserve">al </w:t>
      </w:r>
      <w:r w:rsidRPr="00926543">
        <w:rPr>
          <w:color w:val="000000" w:themeColor="text1"/>
          <w:sz w:val="16"/>
          <w:szCs w:val="16"/>
        </w:rPr>
        <w:t>elimina</w:t>
      </w:r>
      <w:r>
        <w:rPr>
          <w:color w:val="000000" w:themeColor="text1"/>
          <w:sz w:val="16"/>
          <w:szCs w:val="16"/>
        </w:rPr>
        <w:t>r</w:t>
      </w:r>
      <w:r w:rsidRPr="00926543">
        <w:rPr>
          <w:color w:val="000000" w:themeColor="text1"/>
          <w:sz w:val="16"/>
          <w:szCs w:val="16"/>
        </w:rPr>
        <w:t xml:space="preserve">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0CE02252" w14:textId="77777777" w:rsidR="002012BF" w:rsidRDefault="002012BF" w:rsidP="002012BF">
      <w:pPr>
        <w:pStyle w:val="Textonotapie"/>
        <w:ind w:left="170" w:hanging="170"/>
        <w:rPr>
          <w:sz w:val="16"/>
          <w:szCs w:val="16"/>
        </w:rPr>
      </w:pPr>
    </w:p>
    <w:p w14:paraId="0D915326" w14:textId="77777777" w:rsidR="002012BF" w:rsidRDefault="002012BF" w:rsidP="002012BF">
      <w:pPr>
        <w:pStyle w:val="Textonotapie"/>
        <w:ind w:left="170" w:hanging="170"/>
        <w:rPr>
          <w:sz w:val="16"/>
          <w:szCs w:val="16"/>
        </w:rPr>
      </w:pPr>
    </w:p>
    <w:p w14:paraId="1B2F8FFE" w14:textId="77777777" w:rsidR="002012BF" w:rsidRPr="0095718C" w:rsidRDefault="002012BF" w:rsidP="002012BF">
      <w:pPr>
        <w:pStyle w:val="Textonotapie"/>
        <w:ind w:left="170" w:hanging="170"/>
        <w:rPr>
          <w:sz w:val="16"/>
          <w:szCs w:val="16"/>
        </w:rPr>
      </w:pPr>
    </w:p>
  </w:footnote>
  <w:footnote w:id="2">
    <w:p w14:paraId="4606E4CC" w14:textId="0F6CC4C3" w:rsidR="00CF793A" w:rsidRPr="00CA39BA" w:rsidRDefault="00CF793A" w:rsidP="00CF793A">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014BA2">
        <w:rPr>
          <w:sz w:val="16"/>
          <w:szCs w:val="16"/>
        </w:rPr>
        <w:t>á</w:t>
      </w:r>
      <w:r>
        <w:rPr>
          <w:sz w:val="16"/>
          <w:szCs w:val="16"/>
        </w:rPr>
        <w:t>gina 26. OIT, FMI, OCDE, Eurostat, UNECE, Banco Mundial.</w:t>
      </w:r>
    </w:p>
  </w:footnote>
  <w:footnote w:id="3">
    <w:p w14:paraId="11844D5D" w14:textId="725CEF1D" w:rsidR="00CF793A" w:rsidRPr="009C5908" w:rsidRDefault="00CF793A" w:rsidP="00CF793A">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w:t>
      </w:r>
      <w:r w:rsidR="00C40F06">
        <w:rPr>
          <w:color w:val="auto"/>
          <w:sz w:val="16"/>
          <w:szCs w:val="16"/>
          <w:lang w:val="es-ES_tradnl" w:eastAsia="es-ES"/>
        </w:rPr>
        <w:t xml:space="preserve">los </w:t>
      </w:r>
      <w:r w:rsidRPr="00B2207F">
        <w:rPr>
          <w:color w:val="auto"/>
          <w:sz w:val="16"/>
          <w:szCs w:val="16"/>
          <w:lang w:val="es-ES_tradnl" w:eastAsia="es-ES"/>
        </w:rPr>
        <w:t xml:space="preserve">176 productos y servicios que la conforman, contenidos en las canastas alimentarias y no alimentarias del Consejo Nacional de Evaluación de la Política de Desarrollo Social (CONEVAL). </w:t>
      </w:r>
      <w:r w:rsidR="00106A20">
        <w:rPr>
          <w:color w:val="auto"/>
          <w:sz w:val="16"/>
          <w:szCs w:val="16"/>
          <w:lang w:val="es-ES_tradnl" w:eastAsia="es-ES"/>
        </w:rPr>
        <w:t>L</w:t>
      </w:r>
      <w:r w:rsidRPr="00B2207F">
        <w:rPr>
          <w:color w:val="auto"/>
          <w:sz w:val="16"/>
          <w:szCs w:val="16"/>
          <w:lang w:val="es-ES_tradnl" w:eastAsia="es-ES"/>
        </w:rPr>
        <w:t xml:space="preserve">a CCM </w:t>
      </w:r>
      <w:r w:rsidR="00106A20">
        <w:rPr>
          <w:color w:val="auto"/>
          <w:sz w:val="16"/>
          <w:szCs w:val="16"/>
          <w:lang w:val="es-ES_tradnl" w:eastAsia="es-ES"/>
        </w:rPr>
        <w:t xml:space="preserve">fue diseñada por </w:t>
      </w:r>
      <w:r w:rsidRPr="00B2207F">
        <w:rPr>
          <w:color w:val="auto"/>
          <w:sz w:val="16"/>
          <w:szCs w:val="16"/>
          <w:lang w:val="es-ES_tradnl" w:eastAsia="es-ES"/>
        </w:rPr>
        <w:t>el CONEVAL y el INEGI. La metodología puede consultarse en</w:t>
      </w:r>
      <w:r w:rsidR="00106A20">
        <w:rPr>
          <w:color w:val="auto"/>
          <w:sz w:val="16"/>
          <w:szCs w:val="16"/>
          <w:lang w:val="es-ES_tradnl" w:eastAsia="es-ES"/>
        </w:rPr>
        <w:t xml:space="preserve"> la dirección de internet</w:t>
      </w:r>
      <w:r w:rsidRPr="00B2207F">
        <w:rPr>
          <w:color w:val="auto"/>
          <w:sz w:val="16"/>
          <w:szCs w:val="16"/>
          <w:lang w:val="es-ES_tradnl" w:eastAsia="es-ES"/>
        </w:rPr>
        <w:t xml:space="preserve">: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C16E" w14:textId="1C1425FB" w:rsidR="002012BF" w:rsidRPr="00265B8C" w:rsidRDefault="002012BF" w:rsidP="00864656">
    <w:pPr>
      <w:pStyle w:val="Encabezado"/>
      <w:framePr w:w="5608" w:hSpace="141" w:wrap="auto" w:vAnchor="text" w:hAnchor="page" w:x="5485" w:y="31"/>
      <w:ind w:left="567" w:hanging="11"/>
      <w:jc w:val="right"/>
      <w:rPr>
        <w:b/>
        <w:color w:val="002060"/>
      </w:rPr>
    </w:pPr>
    <w:r w:rsidRPr="00265B8C">
      <w:rPr>
        <w:b/>
        <w:color w:val="002060"/>
      </w:rPr>
      <w:t xml:space="preserve">COMUNICADO DE PRENSA NÚM. </w:t>
    </w:r>
    <w:r w:rsidR="00864656">
      <w:rPr>
        <w:b/>
        <w:color w:val="002060"/>
      </w:rPr>
      <w:t>318</w:t>
    </w:r>
    <w:r w:rsidRPr="00265B8C">
      <w:rPr>
        <w:b/>
        <w:color w:val="002060"/>
      </w:rPr>
      <w:t>/</w:t>
    </w:r>
    <w:r>
      <w:rPr>
        <w:b/>
        <w:color w:val="002060"/>
      </w:rPr>
      <w:t>21</w:t>
    </w:r>
  </w:p>
  <w:p w14:paraId="2D1052FF" w14:textId="77777777" w:rsidR="002012BF" w:rsidRPr="00265B8C" w:rsidRDefault="002012BF" w:rsidP="00864656">
    <w:pPr>
      <w:pStyle w:val="Encabezado"/>
      <w:framePr w:w="5608" w:hSpace="141" w:wrap="auto" w:vAnchor="text" w:hAnchor="page" w:x="5485" w:y="31"/>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MAYO D</w:t>
    </w:r>
    <w:r w:rsidRPr="00265B8C">
      <w:rPr>
        <w:b/>
        <w:color w:val="002060"/>
        <w:lang w:val="pt-BR"/>
      </w:rPr>
      <w:t>E 20</w:t>
    </w:r>
    <w:r>
      <w:rPr>
        <w:b/>
        <w:color w:val="002060"/>
        <w:lang w:val="pt-BR"/>
      </w:rPr>
      <w:t>21</w:t>
    </w:r>
  </w:p>
  <w:p w14:paraId="664CBB0B" w14:textId="77777777" w:rsidR="002012BF" w:rsidRPr="00265B8C" w:rsidRDefault="002012BF" w:rsidP="00864656">
    <w:pPr>
      <w:pStyle w:val="Encabezado"/>
      <w:framePr w:w="5608" w:hSpace="141" w:wrap="auto" w:vAnchor="text" w:hAnchor="page" w:x="548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28B0723F" w14:textId="77777777" w:rsidR="002012BF" w:rsidRDefault="002012BF" w:rsidP="00955A55">
    <w:pPr>
      <w:pStyle w:val="Encabezado"/>
      <w:ind w:left="142"/>
    </w:pPr>
    <w:r>
      <w:rPr>
        <w:noProof/>
      </w:rPr>
      <w:drawing>
        <wp:inline distT="0" distB="0" distL="0" distR="0" wp14:anchorId="19F354CD" wp14:editId="51145D8C">
          <wp:extent cx="796610" cy="827465"/>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290" cy="8582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1DCAEFDF" w:rsidR="00BC75C4" w:rsidRDefault="00B940B6" w:rsidP="002012BF">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1E80"/>
    <w:rsid w:val="0013222E"/>
    <w:rsid w:val="001328D2"/>
    <w:rsid w:val="001332F8"/>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3A"/>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2BF"/>
    <w:rsid w:val="00201C2D"/>
    <w:rsid w:val="00203367"/>
    <w:rsid w:val="00204438"/>
    <w:rsid w:val="00204A44"/>
    <w:rsid w:val="00204F6E"/>
    <w:rsid w:val="00206147"/>
    <w:rsid w:val="002064F3"/>
    <w:rsid w:val="002069A8"/>
    <w:rsid w:val="00206B2B"/>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4E5"/>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B8B"/>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983"/>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5B18"/>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403"/>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6754"/>
    <w:rsid w:val="0066685A"/>
    <w:rsid w:val="00666AEA"/>
    <w:rsid w:val="00666D37"/>
    <w:rsid w:val="0066706E"/>
    <w:rsid w:val="00667D71"/>
    <w:rsid w:val="00667FB2"/>
    <w:rsid w:val="00670D2E"/>
    <w:rsid w:val="006715AD"/>
    <w:rsid w:val="0067269F"/>
    <w:rsid w:val="006726CB"/>
    <w:rsid w:val="0067272F"/>
    <w:rsid w:val="00672E8B"/>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656"/>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55"/>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17B6C"/>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4F"/>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6DEB"/>
    <w:rsid w:val="00B776D5"/>
    <w:rsid w:val="00B77B7E"/>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5820"/>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9B8"/>
    <w:rsid w:val="00F16B9D"/>
    <w:rsid w:val="00F16CE1"/>
    <w:rsid w:val="00F17125"/>
    <w:rsid w:val="00F171DD"/>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4760"/>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2012BF"/>
    <w:rPr>
      <w:rFonts w:ascii="Arial" w:hAnsi="Arial" w:cs="Arial"/>
      <w:sz w:val="24"/>
      <w:szCs w:val="24"/>
      <w:lang w:val="es-ES_tradnl" w:eastAsia="es-ES"/>
    </w:rPr>
  </w:style>
  <w:style w:type="paragraph" w:customStyle="1" w:styleId="p01">
    <w:name w:val="p01"/>
    <w:basedOn w:val="Normal"/>
    <w:next w:val="p0"/>
    <w:rsid w:val="002012BF"/>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6C-486E-ACDF-ED04D21D72E1}"/>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6C-486E-ACDF-ED04D21D72E1}"/>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6C-486E-ACDF-ED04D21D72E1}"/>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6C-486E-ACDF-ED04D21D72E1}"/>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6C-486E-ACDF-ED04D21D72E1}"/>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2018'!$Q$399:$Z$399</c:f>
              <c:numCache>
                <c:formatCode>0.00</c:formatCode>
                <c:ptCount val="10"/>
                <c:pt idx="0">
                  <c:v>-0.47746426208761905</c:v>
                </c:pt>
                <c:pt idx="1">
                  <c:v>-0.34562423220082822</c:v>
                </c:pt>
                <c:pt idx="2">
                  <c:v>-0.36859826333510015</c:v>
                </c:pt>
                <c:pt idx="3">
                  <c:v>-0.53026917391453932</c:v>
                </c:pt>
                <c:pt idx="4">
                  <c:v>-0.4838696151684852</c:v>
                </c:pt>
                <c:pt idx="5">
                  <c:v>-0.33777904346038423</c:v>
                </c:pt>
                <c:pt idx="6">
                  <c:v>-0.29093333535371058</c:v>
                </c:pt>
                <c:pt idx="7">
                  <c:v>-0.30126880516019156</c:v>
                </c:pt>
                <c:pt idx="8">
                  <c:v>0.29569029039998712</c:v>
                </c:pt>
                <c:pt idx="9">
                  <c:v>-6.2317498753694557E-3</c:v>
                </c:pt>
              </c:numCache>
            </c:numRef>
          </c:val>
          <c:extLst>
            <c:ext xmlns:c16="http://schemas.microsoft.com/office/drawing/2014/chart" uri="{C3380CC4-5D6E-409C-BE32-E72D297353CC}">
              <c16:uniqueId val="{00000005-3D6C-486E-ACDF-ED04D21D72E1}"/>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4"/>
          <c:min val="-0.60000000000000009"/>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C7-4F98-AE22-F646C3156375}"/>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2018'!$Q$414:$Z$414</c:f>
              <c:numCache>
                <c:formatCode>0.00</c:formatCode>
                <c:ptCount val="10"/>
                <c:pt idx="0">
                  <c:v>0.14000000000000001</c:v>
                </c:pt>
                <c:pt idx="1">
                  <c:v>0.14000000000000001</c:v>
                </c:pt>
                <c:pt idx="2">
                  <c:v>5.5680246934214132E-2</c:v>
                </c:pt>
                <c:pt idx="3">
                  <c:v>3.3913359180756115E-2</c:v>
                </c:pt>
                <c:pt idx="4">
                  <c:v>8.2736129242599307E-2</c:v>
                </c:pt>
                <c:pt idx="5">
                  <c:v>0.15145655737839661</c:v>
                </c:pt>
                <c:pt idx="6">
                  <c:v>0.12735943082236401</c:v>
                </c:pt>
                <c:pt idx="7">
                  <c:v>9.1234676941885529E-2</c:v>
                </c:pt>
                <c:pt idx="8">
                  <c:v>0.24169523916587957</c:v>
                </c:pt>
                <c:pt idx="9">
                  <c:v>0.32926993837434182</c:v>
                </c:pt>
              </c:numCache>
            </c:numRef>
          </c:val>
          <c:extLst>
            <c:ext xmlns:c16="http://schemas.microsoft.com/office/drawing/2014/chart" uri="{C3380CC4-5D6E-409C-BE32-E72D297353CC}">
              <c16:uniqueId val="{00000001-9AC7-4F98-AE22-F646C3156375}"/>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C7-4F98-AE22-F646C3156375}"/>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C7-4F98-AE22-F646C3156375}"/>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C7-4F98-AE22-F646C3156375}"/>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C7-4F98-AE22-F646C3156375}"/>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C7-4F98-AE22-F646C3156375}"/>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C7-4F98-AE22-F646C3156375}"/>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2018'!$Q$429:$Z$429</c:f>
              <c:numCache>
                <c:formatCode>0.00</c:formatCode>
                <c:ptCount val="10"/>
                <c:pt idx="0">
                  <c:v>-2.5503781797587499</c:v>
                </c:pt>
                <c:pt idx="1">
                  <c:v>-1.9257517546089411</c:v>
                </c:pt>
                <c:pt idx="2">
                  <c:v>-1.717708867975215</c:v>
                </c:pt>
                <c:pt idx="3">
                  <c:v>-2.2735411554748</c:v>
                </c:pt>
                <c:pt idx="4">
                  <c:v>-2.2607168756146132</c:v>
                </c:pt>
                <c:pt idx="5">
                  <c:v>-1.7951141419815617</c:v>
                </c:pt>
                <c:pt idx="6">
                  <c:v>-1.5065667182267475</c:v>
                </c:pt>
                <c:pt idx="7">
                  <c:v>-1.4876143039105698</c:v>
                </c:pt>
                <c:pt idx="8">
                  <c:v>0.46362754607178341</c:v>
                </c:pt>
                <c:pt idx="9">
                  <c:v>-1.0003967090397887</c:v>
                </c:pt>
              </c:numCache>
            </c:numRef>
          </c:val>
          <c:extLst>
            <c:ext xmlns:c16="http://schemas.microsoft.com/office/drawing/2014/chart" uri="{C3380CC4-5D6E-409C-BE32-E72D297353CC}">
              <c16:uniqueId val="{00000008-9AC7-4F98-AE22-F646C3156375}"/>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1"/>
          <c:min val="-3"/>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5"/>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393087320896621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2E-42C5-8500-D07C18009742}"/>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2018'!$A$157:$B$373</c:f>
              <c:multiLvlStrCache>
                <c:ptCount val="217"/>
                <c:lvl>
                  <c:pt idx="0">
                    <c:v>1qMay</c:v>
                  </c:pt>
                  <c:pt idx="1">
                    <c:v>2qMay</c:v>
                  </c:pt>
                  <c:pt idx="2">
                    <c:v>1qJun</c:v>
                  </c:pt>
                  <c:pt idx="3">
                    <c:v>2qJun</c:v>
                  </c:pt>
                  <c:pt idx="4">
                    <c:v>1qJul</c:v>
                  </c:pt>
                  <c:pt idx="5">
                    <c:v>2qJul</c:v>
                  </c:pt>
                  <c:pt idx="6">
                    <c:v>1qAgo</c:v>
                  </c:pt>
                  <c:pt idx="7">
                    <c:v>2qAgo</c:v>
                  </c:pt>
                  <c:pt idx="8">
                    <c:v>1qSep</c:v>
                  </c:pt>
                  <c:pt idx="9">
                    <c:v>2qSep</c:v>
                  </c:pt>
                  <c:pt idx="10">
                    <c:v>1qOct</c:v>
                  </c:pt>
                  <c:pt idx="11">
                    <c:v>2qOct</c:v>
                  </c:pt>
                  <c:pt idx="12">
                    <c:v>1qNov</c:v>
                  </c:pt>
                  <c:pt idx="13">
                    <c:v>2qNov</c:v>
                  </c:pt>
                  <c:pt idx="14">
                    <c:v>1qDic</c:v>
                  </c:pt>
                  <c:pt idx="15">
                    <c:v>2qDic</c:v>
                  </c:pt>
                  <c:pt idx="16">
                    <c:v>1qEne</c:v>
                  </c:pt>
                  <c:pt idx="17">
                    <c:v>2qEne</c:v>
                  </c:pt>
                  <c:pt idx="18">
                    <c:v>1qFeb</c:v>
                  </c:pt>
                  <c:pt idx="19">
                    <c:v>2qFeb</c:v>
                  </c:pt>
                  <c:pt idx="20">
                    <c:v>1qMar</c:v>
                  </c:pt>
                  <c:pt idx="21">
                    <c:v>2qMar</c:v>
                  </c:pt>
                  <c:pt idx="22">
                    <c:v>1qAbr</c:v>
                  </c:pt>
                  <c:pt idx="23">
                    <c:v>2qAbr</c:v>
                  </c:pt>
                  <c:pt idx="24">
                    <c:v>1qMay</c:v>
                  </c:pt>
                  <c:pt idx="25">
                    <c:v>2qMay</c:v>
                  </c:pt>
                  <c:pt idx="26">
                    <c:v>1qJun</c:v>
                  </c:pt>
                  <c:pt idx="27">
                    <c:v>2qJun</c:v>
                  </c:pt>
                  <c:pt idx="28">
                    <c:v>1qJul</c:v>
                  </c:pt>
                  <c:pt idx="29">
                    <c:v>2qJul</c:v>
                  </c:pt>
                  <c:pt idx="30">
                    <c:v>1qAgo</c:v>
                  </c:pt>
                  <c:pt idx="31">
                    <c:v>2qAgo</c:v>
                  </c:pt>
                  <c:pt idx="32">
                    <c:v>1qSep</c:v>
                  </c:pt>
                  <c:pt idx="33">
                    <c:v>2qSep</c:v>
                  </c:pt>
                  <c:pt idx="34">
                    <c:v>1qOct</c:v>
                  </c:pt>
                  <c:pt idx="35">
                    <c:v>2qOct</c:v>
                  </c:pt>
                  <c:pt idx="36">
                    <c:v>1qNov</c:v>
                  </c:pt>
                  <c:pt idx="37">
                    <c:v>2qNov</c:v>
                  </c:pt>
                  <c:pt idx="38">
                    <c:v>1qDic</c:v>
                  </c:pt>
                  <c:pt idx="39">
                    <c:v>2qDic</c:v>
                  </c:pt>
                  <c:pt idx="40">
                    <c:v>1qEne</c:v>
                  </c:pt>
                  <c:pt idx="41">
                    <c:v>2qEne</c:v>
                  </c:pt>
                  <c:pt idx="42">
                    <c:v>1qFeb</c:v>
                  </c:pt>
                  <c:pt idx="43">
                    <c:v>2qFeb</c:v>
                  </c:pt>
                  <c:pt idx="44">
                    <c:v>1qMar</c:v>
                  </c:pt>
                  <c:pt idx="45">
                    <c:v>2qMar</c:v>
                  </c:pt>
                  <c:pt idx="46">
                    <c:v>1qAbr</c:v>
                  </c:pt>
                  <c:pt idx="47">
                    <c:v>2qAbr</c:v>
                  </c:pt>
                  <c:pt idx="48">
                    <c:v>1qMay</c:v>
                  </c:pt>
                  <c:pt idx="49">
                    <c:v>2qMay</c:v>
                  </c:pt>
                  <c:pt idx="50">
                    <c:v>1qJun</c:v>
                  </c:pt>
                  <c:pt idx="51">
                    <c:v>2qJun</c:v>
                  </c:pt>
                  <c:pt idx="52">
                    <c:v>1qJul</c:v>
                  </c:pt>
                  <c:pt idx="53">
                    <c:v>2qJul</c:v>
                  </c:pt>
                  <c:pt idx="54">
                    <c:v>1qAgo</c:v>
                  </c:pt>
                  <c:pt idx="55">
                    <c:v>2qAgo</c:v>
                  </c:pt>
                  <c:pt idx="56">
                    <c:v>1qSep</c:v>
                  </c:pt>
                  <c:pt idx="57">
                    <c:v>2qSep</c:v>
                  </c:pt>
                  <c:pt idx="58">
                    <c:v>1qOct</c:v>
                  </c:pt>
                  <c:pt idx="59">
                    <c:v>2qOct</c:v>
                  </c:pt>
                  <c:pt idx="60">
                    <c:v>1qNov</c:v>
                  </c:pt>
                  <c:pt idx="61">
                    <c:v>2qNov</c:v>
                  </c:pt>
                  <c:pt idx="62">
                    <c:v>1qDic</c:v>
                  </c:pt>
                  <c:pt idx="63">
                    <c:v>2qDic</c:v>
                  </c:pt>
                  <c:pt idx="64">
                    <c:v>1qEne</c:v>
                  </c:pt>
                  <c:pt idx="65">
                    <c:v>2qEne</c:v>
                  </c:pt>
                  <c:pt idx="66">
                    <c:v>1qFeb</c:v>
                  </c:pt>
                  <c:pt idx="67">
                    <c:v>2qFeb</c:v>
                  </c:pt>
                  <c:pt idx="68">
                    <c:v>1qMar</c:v>
                  </c:pt>
                  <c:pt idx="69">
                    <c:v>2qMar</c:v>
                  </c:pt>
                  <c:pt idx="70">
                    <c:v>1qAbr</c:v>
                  </c:pt>
                  <c:pt idx="71">
                    <c:v>2qAbr</c:v>
                  </c:pt>
                  <c:pt idx="72">
                    <c:v>1qMay</c:v>
                  </c:pt>
                  <c:pt idx="73">
                    <c:v>2qMay</c:v>
                  </c:pt>
                  <c:pt idx="74">
                    <c:v>1qJun</c:v>
                  </c:pt>
                  <c:pt idx="75">
                    <c:v>2qJun</c:v>
                  </c:pt>
                  <c:pt idx="76">
                    <c:v>1qJul</c:v>
                  </c:pt>
                  <c:pt idx="77">
                    <c:v>2qJul</c:v>
                  </c:pt>
                  <c:pt idx="78">
                    <c:v>1qAgo</c:v>
                  </c:pt>
                  <c:pt idx="79">
                    <c:v>2qAgo</c:v>
                  </c:pt>
                  <c:pt idx="80">
                    <c:v>1qSep</c:v>
                  </c:pt>
                  <c:pt idx="81">
                    <c:v>2qSep</c:v>
                  </c:pt>
                  <c:pt idx="82">
                    <c:v>1qOct</c:v>
                  </c:pt>
                  <c:pt idx="83">
                    <c:v>2qOct</c:v>
                  </c:pt>
                  <c:pt idx="84">
                    <c:v>1qNov</c:v>
                  </c:pt>
                  <c:pt idx="85">
                    <c:v>2qNov</c:v>
                  </c:pt>
                  <c:pt idx="86">
                    <c:v>1qDic</c:v>
                  </c:pt>
                  <c:pt idx="87">
                    <c:v>2qDic</c:v>
                  </c:pt>
                  <c:pt idx="88">
                    <c:v>1qEne</c:v>
                  </c:pt>
                  <c:pt idx="89">
                    <c:v>2qEne</c:v>
                  </c:pt>
                  <c:pt idx="90">
                    <c:v>1qFeb</c:v>
                  </c:pt>
                  <c:pt idx="91">
                    <c:v>2qFeb</c:v>
                  </c:pt>
                  <c:pt idx="92">
                    <c:v>1qMar</c:v>
                  </c:pt>
                  <c:pt idx="93">
                    <c:v>2qMar</c:v>
                  </c:pt>
                  <c:pt idx="94">
                    <c:v>1qAbr</c:v>
                  </c:pt>
                  <c:pt idx="95">
                    <c:v>2qAbr</c:v>
                  </c:pt>
                  <c:pt idx="96">
                    <c:v>1qMay</c:v>
                  </c:pt>
                  <c:pt idx="97">
                    <c:v>2qMay</c:v>
                  </c:pt>
                  <c:pt idx="98">
                    <c:v>1qJun</c:v>
                  </c:pt>
                  <c:pt idx="99">
                    <c:v>2qJun</c:v>
                  </c:pt>
                  <c:pt idx="100">
                    <c:v>1qJul</c:v>
                  </c:pt>
                  <c:pt idx="101">
                    <c:v>2qJul</c:v>
                  </c:pt>
                  <c:pt idx="102">
                    <c:v>1qAgo</c:v>
                  </c:pt>
                  <c:pt idx="103">
                    <c:v>2qAgo</c:v>
                  </c:pt>
                  <c:pt idx="104">
                    <c:v>1qSep</c:v>
                  </c:pt>
                  <c:pt idx="105">
                    <c:v>2qSep</c:v>
                  </c:pt>
                  <c:pt idx="106">
                    <c:v>1qOct</c:v>
                  </c:pt>
                  <c:pt idx="107">
                    <c:v>2qOct</c:v>
                  </c:pt>
                  <c:pt idx="108">
                    <c:v>1qNov</c:v>
                  </c:pt>
                  <c:pt idx="109">
                    <c:v>2qNov</c:v>
                  </c:pt>
                  <c:pt idx="110">
                    <c:v>1qDic</c:v>
                  </c:pt>
                  <c:pt idx="111">
                    <c:v>2qDic</c:v>
                  </c:pt>
                  <c:pt idx="112">
                    <c:v>1qEne</c:v>
                  </c:pt>
                  <c:pt idx="113">
                    <c:v>2qEne</c:v>
                  </c:pt>
                  <c:pt idx="114">
                    <c:v>1qFeb</c:v>
                  </c:pt>
                  <c:pt idx="115">
                    <c:v>2qFeb</c:v>
                  </c:pt>
                  <c:pt idx="116">
                    <c:v>1qMar</c:v>
                  </c:pt>
                  <c:pt idx="117">
                    <c:v>2qMar</c:v>
                  </c:pt>
                  <c:pt idx="118">
                    <c:v>1qAbr</c:v>
                  </c:pt>
                  <c:pt idx="119">
                    <c:v>2qAbr</c:v>
                  </c:pt>
                  <c:pt idx="120">
                    <c:v>1qMay</c:v>
                  </c:pt>
                  <c:pt idx="121">
                    <c:v>2qMay</c:v>
                  </c:pt>
                  <c:pt idx="122">
                    <c:v>1qJun</c:v>
                  </c:pt>
                  <c:pt idx="123">
                    <c:v>2qJun</c:v>
                  </c:pt>
                  <c:pt idx="124">
                    <c:v>1qJul</c:v>
                  </c:pt>
                  <c:pt idx="125">
                    <c:v>2qJul</c:v>
                  </c:pt>
                  <c:pt idx="126">
                    <c:v>1qAgo</c:v>
                  </c:pt>
                  <c:pt idx="127">
                    <c:v>2qAgo</c:v>
                  </c:pt>
                  <c:pt idx="128">
                    <c:v>1qSep</c:v>
                  </c:pt>
                  <c:pt idx="129">
                    <c:v>2qSep</c:v>
                  </c:pt>
                  <c:pt idx="130">
                    <c:v>1qOct</c:v>
                  </c:pt>
                  <c:pt idx="131">
                    <c:v>2qOct</c:v>
                  </c:pt>
                  <c:pt idx="132">
                    <c:v>1qNov</c:v>
                  </c:pt>
                  <c:pt idx="133">
                    <c:v>2qNov</c:v>
                  </c:pt>
                  <c:pt idx="134">
                    <c:v>1qDic</c:v>
                  </c:pt>
                  <c:pt idx="135">
                    <c:v>2qDic</c:v>
                  </c:pt>
                  <c:pt idx="136">
                    <c:v>1qEne</c:v>
                  </c:pt>
                  <c:pt idx="137">
                    <c:v>2qEne</c:v>
                  </c:pt>
                  <c:pt idx="138">
                    <c:v>1qFeb</c:v>
                  </c:pt>
                  <c:pt idx="139">
                    <c:v>2qFeb</c:v>
                  </c:pt>
                  <c:pt idx="140">
                    <c:v>1qMar</c:v>
                  </c:pt>
                  <c:pt idx="141">
                    <c:v>2qMar</c:v>
                  </c:pt>
                  <c:pt idx="142">
                    <c:v>1qAbr</c:v>
                  </c:pt>
                  <c:pt idx="143">
                    <c:v>2qAbr</c:v>
                  </c:pt>
                  <c:pt idx="144">
                    <c:v>1qMay</c:v>
                  </c:pt>
                  <c:pt idx="145">
                    <c:v>2qMay</c:v>
                  </c:pt>
                  <c:pt idx="146">
                    <c:v>1qJun</c:v>
                  </c:pt>
                  <c:pt idx="147">
                    <c:v>2qJun</c:v>
                  </c:pt>
                  <c:pt idx="148">
                    <c:v>1qJul</c:v>
                  </c:pt>
                  <c:pt idx="149">
                    <c:v>2qJul</c:v>
                  </c:pt>
                  <c:pt idx="150">
                    <c:v>1qAgo</c:v>
                  </c:pt>
                  <c:pt idx="151">
                    <c:v>2qAgo</c:v>
                  </c:pt>
                  <c:pt idx="152">
                    <c:v>1qSep</c:v>
                  </c:pt>
                  <c:pt idx="153">
                    <c:v>2qSep</c:v>
                  </c:pt>
                  <c:pt idx="154">
                    <c:v>1qOct</c:v>
                  </c:pt>
                  <c:pt idx="155">
                    <c:v>2qOct</c:v>
                  </c:pt>
                  <c:pt idx="156">
                    <c:v>1qNov</c:v>
                  </c:pt>
                  <c:pt idx="157">
                    <c:v>2qNov</c:v>
                  </c:pt>
                  <c:pt idx="158">
                    <c:v>1qDic</c:v>
                  </c:pt>
                  <c:pt idx="159">
                    <c:v>2qDic</c:v>
                  </c:pt>
                  <c:pt idx="160">
                    <c:v>1qEne</c:v>
                  </c:pt>
                  <c:pt idx="161">
                    <c:v>2qEne</c:v>
                  </c:pt>
                  <c:pt idx="162">
                    <c:v>1qFeb</c:v>
                  </c:pt>
                  <c:pt idx="163">
                    <c:v>2qFeb</c:v>
                  </c:pt>
                  <c:pt idx="164">
                    <c:v>1qMar</c:v>
                  </c:pt>
                  <c:pt idx="165">
                    <c:v>2qMar</c:v>
                  </c:pt>
                  <c:pt idx="166">
                    <c:v>1qAbr</c:v>
                  </c:pt>
                  <c:pt idx="167">
                    <c:v>2qAbr</c:v>
                  </c:pt>
                  <c:pt idx="168">
                    <c:v>1qMay</c:v>
                  </c:pt>
                  <c:pt idx="169">
                    <c:v>2qMay</c:v>
                  </c:pt>
                  <c:pt idx="170">
                    <c:v>1qJun</c:v>
                  </c:pt>
                  <c:pt idx="171">
                    <c:v>2qJun</c:v>
                  </c:pt>
                  <c:pt idx="172">
                    <c:v>1qJul</c:v>
                  </c:pt>
                  <c:pt idx="173">
                    <c:v>2qJul</c:v>
                  </c:pt>
                  <c:pt idx="174">
                    <c:v>1qAgo</c:v>
                  </c:pt>
                  <c:pt idx="175">
                    <c:v>2qAgo</c:v>
                  </c:pt>
                  <c:pt idx="176">
                    <c:v>1qSep</c:v>
                  </c:pt>
                  <c:pt idx="177">
                    <c:v>2qSep</c:v>
                  </c:pt>
                  <c:pt idx="178">
                    <c:v>1qOct</c:v>
                  </c:pt>
                  <c:pt idx="179">
                    <c:v>2qOct</c:v>
                  </c:pt>
                  <c:pt idx="180">
                    <c:v>1qNov</c:v>
                  </c:pt>
                  <c:pt idx="181">
                    <c:v>2qNov</c:v>
                  </c:pt>
                  <c:pt idx="182">
                    <c:v>1qDic</c:v>
                  </c:pt>
                  <c:pt idx="183">
                    <c:v>2qDic</c:v>
                  </c:pt>
                  <c:pt idx="184">
                    <c:v>1qEne</c:v>
                  </c:pt>
                  <c:pt idx="185">
                    <c:v>2qEne</c:v>
                  </c:pt>
                  <c:pt idx="186">
                    <c:v>1qFeb</c:v>
                  </c:pt>
                  <c:pt idx="187">
                    <c:v>2qFeb</c:v>
                  </c:pt>
                  <c:pt idx="188">
                    <c:v>1qMar</c:v>
                  </c:pt>
                  <c:pt idx="189">
                    <c:v>2qMar</c:v>
                  </c:pt>
                  <c:pt idx="190">
                    <c:v>1qAbr</c:v>
                  </c:pt>
                  <c:pt idx="191">
                    <c:v>2qAbr</c:v>
                  </c:pt>
                  <c:pt idx="192">
                    <c:v>1qMay</c:v>
                  </c:pt>
                  <c:pt idx="193">
                    <c:v>2qMay</c:v>
                  </c:pt>
                  <c:pt idx="194">
                    <c:v>1qJun</c:v>
                  </c:pt>
                  <c:pt idx="195">
                    <c:v>2qJun</c:v>
                  </c:pt>
                  <c:pt idx="196">
                    <c:v>1qJul</c:v>
                  </c:pt>
                  <c:pt idx="197">
                    <c:v>2qJul</c:v>
                  </c:pt>
                  <c:pt idx="198">
                    <c:v>1qAgo</c:v>
                  </c:pt>
                  <c:pt idx="199">
                    <c:v>2qAgo</c:v>
                  </c:pt>
                  <c:pt idx="200">
                    <c:v>1qSep</c:v>
                  </c:pt>
                  <c:pt idx="201">
                    <c:v>2qSep</c:v>
                  </c:pt>
                  <c:pt idx="202">
                    <c:v>1qOct</c:v>
                  </c:pt>
                  <c:pt idx="203">
                    <c:v>2qOct</c:v>
                  </c:pt>
                  <c:pt idx="204">
                    <c:v>1qNov</c:v>
                  </c:pt>
                  <c:pt idx="205">
                    <c:v>2qNov</c:v>
                  </c:pt>
                  <c:pt idx="206">
                    <c:v>1qDic</c:v>
                  </c:pt>
                  <c:pt idx="207">
                    <c:v>2qDic</c:v>
                  </c:pt>
                  <c:pt idx="208">
                    <c:v>1qEne</c:v>
                  </c:pt>
                  <c:pt idx="209">
                    <c:v>2qEne</c:v>
                  </c:pt>
                  <c:pt idx="210">
                    <c:v>1qFeb</c:v>
                  </c:pt>
                  <c:pt idx="211">
                    <c:v>2qFeb</c:v>
                  </c:pt>
                  <c:pt idx="212">
                    <c:v>1qMar</c:v>
                  </c:pt>
                  <c:pt idx="213">
                    <c:v>2qMar</c:v>
                  </c:pt>
                  <c:pt idx="214">
                    <c:v>1qAbr</c:v>
                  </c:pt>
                  <c:pt idx="215">
                    <c:v>2qAbr</c:v>
                  </c:pt>
                  <c:pt idx="216">
                    <c:v>1qMay</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2012</c:v>
                  </c:pt>
                  <c:pt idx="15">
                    <c:v>2012</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2013</c:v>
                  </c:pt>
                  <c:pt idx="39">
                    <c:v>2013</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2014</c:v>
                  </c:pt>
                  <c:pt idx="63">
                    <c:v>2014</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2015</c:v>
                  </c:pt>
                  <c:pt idx="87">
                    <c:v>2015</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2016</c:v>
                  </c:pt>
                  <c:pt idx="111">
                    <c:v>2016</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2017</c:v>
                  </c:pt>
                  <c:pt idx="135">
                    <c:v>2017</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2018</c:v>
                  </c:pt>
                  <c:pt idx="159">
                    <c:v>2018</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2019</c:v>
                  </c:pt>
                  <c:pt idx="183">
                    <c:v>2019</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2020</c:v>
                  </c:pt>
                  <c:pt idx="207">
                    <c:v>2020</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2018'!$D$157:$D$373</c:f>
              <c:numCache>
                <c:formatCode>0.00</c:formatCode>
                <c:ptCount val="217"/>
                <c:pt idx="0">
                  <c:v>3.7096613048256435</c:v>
                </c:pt>
                <c:pt idx="1">
                  <c:v>3.9939600603993903</c:v>
                </c:pt>
                <c:pt idx="2">
                  <c:v>4.302323254557459</c:v>
                </c:pt>
                <c:pt idx="3">
                  <c:v>4.3691017126878737</c:v>
                </c:pt>
                <c:pt idx="4">
                  <c:v>4.4459487710426178</c:v>
                </c:pt>
                <c:pt idx="5">
                  <c:v>4.3929934786066402</c:v>
                </c:pt>
                <c:pt idx="6">
                  <c:v>4.445857088937017</c:v>
                </c:pt>
                <c:pt idx="7">
                  <c:v>4.690014103811996</c:v>
                </c:pt>
                <c:pt idx="8">
                  <c:v>4.7296694583477903</c:v>
                </c:pt>
                <c:pt idx="9">
                  <c:v>4.8148735117573711</c:v>
                </c:pt>
                <c:pt idx="10">
                  <c:v>4.6447522569085571</c:v>
                </c:pt>
                <c:pt idx="11">
                  <c:v>4.5454545454545627</c:v>
                </c:pt>
                <c:pt idx="12">
                  <c:v>4.361637855430601</c:v>
                </c:pt>
                <c:pt idx="13">
                  <c:v>3.9973927932134794</c:v>
                </c:pt>
                <c:pt idx="14">
                  <c:v>3.7575499457952515</c:v>
                </c:pt>
                <c:pt idx="15">
                  <c:v>3.3799017246362757</c:v>
                </c:pt>
                <c:pt idx="16">
                  <c:v>3.2107184018440211</c:v>
                </c:pt>
                <c:pt idx="17">
                  <c:v>3.2973345588235308</c:v>
                </c:pt>
                <c:pt idx="18">
                  <c:v>3.4720627631075369</c:v>
                </c:pt>
                <c:pt idx="19">
                  <c:v>3.634501440591146</c:v>
                </c:pt>
                <c:pt idx="20">
                  <c:v>4.1245299987562261</c:v>
                </c:pt>
                <c:pt idx="21">
                  <c:v>4.3809159575485159</c:v>
                </c:pt>
                <c:pt idx="22">
                  <c:v>4.7199339439675789</c:v>
                </c:pt>
                <c:pt idx="23">
                  <c:v>4.5800136144428123</c:v>
                </c:pt>
                <c:pt idx="24">
                  <c:v>4.7185534136778191</c:v>
                </c:pt>
                <c:pt idx="25">
                  <c:v>4.5444492523679036</c:v>
                </c:pt>
                <c:pt idx="26">
                  <c:v>4.2438079158912814</c:v>
                </c:pt>
                <c:pt idx="27">
                  <c:v>3.9316811788345425</c:v>
                </c:pt>
                <c:pt idx="28">
                  <c:v>3.528503483706158</c:v>
                </c:pt>
                <c:pt idx="29">
                  <c:v>3.4158326270581392</c:v>
                </c:pt>
                <c:pt idx="30">
                  <c:v>3.5443254655077352</c:v>
                </c:pt>
                <c:pt idx="31">
                  <c:v>3.3689423551288482</c:v>
                </c:pt>
                <c:pt idx="32">
                  <c:v>3.4599259939242977</c:v>
                </c:pt>
                <c:pt idx="33">
                  <c:v>3.3217097118664887</c:v>
                </c:pt>
                <c:pt idx="34">
                  <c:v>3.2720259654734472</c:v>
                </c:pt>
                <c:pt idx="35">
                  <c:v>3.4472049689440953</c:v>
                </c:pt>
                <c:pt idx="36">
                  <c:v>3.5108031896020431</c:v>
                </c:pt>
                <c:pt idx="37">
                  <c:v>3.7268126584409909</c:v>
                </c:pt>
                <c:pt idx="38">
                  <c:v>3.8602906879116397</c:v>
                </c:pt>
                <c:pt idx="39">
                  <c:v>4.0886130216779497</c:v>
                </c:pt>
                <c:pt idx="40">
                  <c:v>4.6313614918623145</c:v>
                </c:pt>
                <c:pt idx="41">
                  <c:v>4.335817298780249</c:v>
                </c:pt>
                <c:pt idx="42">
                  <c:v>4.2117818934987694</c:v>
                </c:pt>
                <c:pt idx="43">
                  <c:v>4.2551815864336904</c:v>
                </c:pt>
                <c:pt idx="44">
                  <c:v>3.8940752719788327</c:v>
                </c:pt>
                <c:pt idx="45">
                  <c:v>3.6227237753270081</c:v>
                </c:pt>
                <c:pt idx="46">
                  <c:v>3.5270926927661179</c:v>
                </c:pt>
                <c:pt idx="47">
                  <c:v>3.4672436238288107</c:v>
                </c:pt>
                <c:pt idx="48">
                  <c:v>3.4433905851832236</c:v>
                </c:pt>
                <c:pt idx="49">
                  <c:v>3.5779656184177719</c:v>
                </c:pt>
                <c:pt idx="50">
                  <c:v>3.7103156344897048</c:v>
                </c:pt>
                <c:pt idx="51">
                  <c:v>3.7958368241283909</c:v>
                </c:pt>
                <c:pt idx="52">
                  <c:v>4.001141605059888</c:v>
                </c:pt>
                <c:pt idx="53">
                  <c:v>4.144643547763315</c:v>
                </c:pt>
                <c:pt idx="54">
                  <c:v>4.0704989851305564</c:v>
                </c:pt>
                <c:pt idx="55">
                  <c:v>4.2283511541462131</c:v>
                </c:pt>
                <c:pt idx="56">
                  <c:v>4.2141177977187114</c:v>
                </c:pt>
                <c:pt idx="57">
                  <c:v>4.2200962189254909</c:v>
                </c:pt>
                <c:pt idx="58">
                  <c:v>4.319823636048949</c:v>
                </c:pt>
                <c:pt idx="59">
                  <c:v>4.275720276921116</c:v>
                </c:pt>
                <c:pt idx="60">
                  <c:v>4.1584730014974358</c:v>
                </c:pt>
                <c:pt idx="61">
                  <c:v>4.1791044776119204</c:v>
                </c:pt>
                <c:pt idx="62">
                  <c:v>4.191068156504886</c:v>
                </c:pt>
                <c:pt idx="63">
                  <c:v>3.9718852128754896</c:v>
                </c:pt>
                <c:pt idx="64">
                  <c:v>3.0807541800071165</c:v>
                </c:pt>
                <c:pt idx="65">
                  <c:v>3.0496579905836412</c:v>
                </c:pt>
                <c:pt idx="66">
                  <c:v>3.0353847245883201</c:v>
                </c:pt>
                <c:pt idx="67">
                  <c:v>2.9652270210409597</c:v>
                </c:pt>
                <c:pt idx="68">
                  <c:v>2.9724949146546393</c:v>
                </c:pt>
                <c:pt idx="69">
                  <c:v>3.3015990877509354</c:v>
                </c:pt>
                <c:pt idx="70">
                  <c:v>3.0270021343110427</c:v>
                </c:pt>
                <c:pt idx="71">
                  <c:v>3.0976430976431031</c:v>
                </c:pt>
                <c:pt idx="72">
                  <c:v>2.9303475507808314</c:v>
                </c:pt>
                <c:pt idx="73">
                  <c:v>2.8212163998188555</c:v>
                </c:pt>
                <c:pt idx="74">
                  <c:v>2.8739507728345943</c:v>
                </c:pt>
                <c:pt idx="75">
                  <c:v>2.8667222508027153</c:v>
                </c:pt>
                <c:pt idx="76">
                  <c:v>2.760146948169786</c:v>
                </c:pt>
                <c:pt idx="77">
                  <c:v>2.7188569306536725</c:v>
                </c:pt>
                <c:pt idx="78">
                  <c:v>2.6431212658741687</c:v>
                </c:pt>
                <c:pt idx="79">
                  <c:v>2.5325372924041352</c:v>
                </c:pt>
                <c:pt idx="80">
                  <c:v>2.5287457210567879</c:v>
                </c:pt>
                <c:pt idx="81">
                  <c:v>2.509039210868119</c:v>
                </c:pt>
                <c:pt idx="82">
                  <c:v>2.4730384665763943</c:v>
                </c:pt>
                <c:pt idx="83">
                  <c:v>2.4872844019088571</c:v>
                </c:pt>
                <c:pt idx="84">
                  <c:v>2.2672948349326192</c:v>
                </c:pt>
                <c:pt idx="85">
                  <c:v>2.1624148408487054</c:v>
                </c:pt>
                <c:pt idx="86">
                  <c:v>2.0026207348402476</c:v>
                </c:pt>
                <c:pt idx="87">
                  <c:v>2.2571283402657554</c:v>
                </c:pt>
                <c:pt idx="88">
                  <c:v>2.4761871893981242</c:v>
                </c:pt>
                <c:pt idx="89">
                  <c:v>2.7507909278208404</c:v>
                </c:pt>
                <c:pt idx="90">
                  <c:v>2.9356297093649055</c:v>
                </c:pt>
                <c:pt idx="91">
                  <c:v>2.7989537264889646</c:v>
                </c:pt>
                <c:pt idx="92">
                  <c:v>2.7131949394920647</c:v>
                </c:pt>
                <c:pt idx="93">
                  <c:v>2.4892608375691108</c:v>
                </c:pt>
                <c:pt idx="94">
                  <c:v>2.5985301070185352</c:v>
                </c:pt>
                <c:pt idx="95">
                  <c:v>2.4846161779366516</c:v>
                </c:pt>
                <c:pt idx="96">
                  <c:v>2.5324220876282051</c:v>
                </c:pt>
                <c:pt idx="97">
                  <c:v>2.6608975023318471</c:v>
                </c:pt>
                <c:pt idx="98">
                  <c:v>2.5487101198022941</c:v>
                </c:pt>
                <c:pt idx="99">
                  <c:v>2.528152861848342</c:v>
                </c:pt>
                <c:pt idx="100">
                  <c:v>2.7161599889734105</c:v>
                </c:pt>
                <c:pt idx="101">
                  <c:v>2.5935235078416721</c:v>
                </c:pt>
                <c:pt idx="102">
                  <c:v>2.7968841352271587</c:v>
                </c:pt>
                <c:pt idx="103">
                  <c:v>2.6580669540871518</c:v>
                </c:pt>
                <c:pt idx="104">
                  <c:v>2.8807218498257776</c:v>
                </c:pt>
                <c:pt idx="105">
                  <c:v>3.057179792306961</c:v>
                </c:pt>
                <c:pt idx="106">
                  <c:v>3.0891288230632474</c:v>
                </c:pt>
                <c:pt idx="107">
                  <c:v>3.0372678209646473</c:v>
                </c:pt>
                <c:pt idx="108">
                  <c:v>3.2942093050827412</c:v>
                </c:pt>
                <c:pt idx="109">
                  <c:v>3.3156240202682721</c:v>
                </c:pt>
                <c:pt idx="110">
                  <c:v>3.4786724250133023</c:v>
                </c:pt>
                <c:pt idx="111">
                  <c:v>3.2440080173822237</c:v>
                </c:pt>
                <c:pt idx="112">
                  <c:v>4.777981713169539</c:v>
                </c:pt>
                <c:pt idx="113">
                  <c:v>4.6587915499102257</c:v>
                </c:pt>
                <c:pt idx="114">
                  <c:v>4.7091204176217527</c:v>
                </c:pt>
                <c:pt idx="115">
                  <c:v>5.0202971332914927</c:v>
                </c:pt>
                <c:pt idx="116">
                  <c:v>5.2872313738607115</c:v>
                </c:pt>
                <c:pt idx="117">
                  <c:v>5.417839042840094</c:v>
                </c:pt>
                <c:pt idx="118">
                  <c:v>5.6234186229661951</c:v>
                </c:pt>
                <c:pt idx="119">
                  <c:v>6.0102140934363444</c:v>
                </c:pt>
                <c:pt idx="120">
                  <c:v>6.165838038257343</c:v>
                </c:pt>
                <c:pt idx="121">
                  <c:v>6.163087095878649</c:v>
                </c:pt>
                <c:pt idx="122">
                  <c:v>6.299623200107658</c:v>
                </c:pt>
                <c:pt idx="123">
                  <c:v>6.3268464164970579</c:v>
                </c:pt>
                <c:pt idx="124">
                  <c:v>6.2824985742561026</c:v>
                </c:pt>
                <c:pt idx="125">
                  <c:v>6.5938399322073762</c:v>
                </c:pt>
                <c:pt idx="126">
                  <c:v>6.5882687498431682</c:v>
                </c:pt>
                <c:pt idx="127">
                  <c:v>6.7378882818970585</c:v>
                </c:pt>
                <c:pt idx="128">
                  <c:v>6.5287578218612659</c:v>
                </c:pt>
                <c:pt idx="129">
                  <c:v>6.1664091445280791</c:v>
                </c:pt>
                <c:pt idx="130">
                  <c:v>6.2989782759646946</c:v>
                </c:pt>
                <c:pt idx="131">
                  <c:v>6.44321805654236</c:v>
                </c:pt>
                <c:pt idx="132">
                  <c:v>6.5947399488423954</c:v>
                </c:pt>
                <c:pt idx="133">
                  <c:v>6.67350118920693</c:v>
                </c:pt>
                <c:pt idx="134">
                  <c:v>6.694054901704555</c:v>
                </c:pt>
                <c:pt idx="135">
                  <c:v>6.8510693834934884</c:v>
                </c:pt>
                <c:pt idx="136">
                  <c:v>5.5090840424591905</c:v>
                </c:pt>
                <c:pt idx="137">
                  <c:v>5.5824989779313308</c:v>
                </c:pt>
                <c:pt idx="138">
                  <c:v>5.4472967250705189</c:v>
                </c:pt>
                <c:pt idx="139">
                  <c:v>5.2322013500912563</c:v>
                </c:pt>
                <c:pt idx="140">
                  <c:v>5.1734133886095535</c:v>
                </c:pt>
                <c:pt idx="141">
                  <c:v>4.8978298748613769</c:v>
                </c:pt>
                <c:pt idx="142">
                  <c:v>4.6926310779725515</c:v>
                </c:pt>
                <c:pt idx="143">
                  <c:v>4.4101128039615771</c:v>
                </c:pt>
                <c:pt idx="144">
                  <c:v>4.4591902339130147</c:v>
                </c:pt>
                <c:pt idx="145">
                  <c:v>4.5540631562264844</c:v>
                </c:pt>
                <c:pt idx="146">
                  <c:v>4.5361036823698937</c:v>
                </c:pt>
                <c:pt idx="147">
                  <c:v>4.7584019489199445</c:v>
                </c:pt>
                <c:pt idx="148">
                  <c:v>4.848217033465648</c:v>
                </c:pt>
                <c:pt idx="149">
                  <c:v>4.7746485524927875</c:v>
                </c:pt>
                <c:pt idx="150">
                  <c:v>4.8106327469043819</c:v>
                </c:pt>
                <c:pt idx="151">
                  <c:v>4.9991362129370582</c:v>
                </c:pt>
                <c:pt idx="152">
                  <c:v>4.875270500382749</c:v>
                </c:pt>
                <c:pt idx="153">
                  <c:v>5.1659896244943289</c:v>
                </c:pt>
                <c:pt idx="154">
                  <c:v>4.9352188627597346</c:v>
                </c:pt>
                <c:pt idx="155">
                  <c:v>4.8739609906784294</c:v>
                </c:pt>
                <c:pt idx="156">
                  <c:v>4.5607966774342428</c:v>
                </c:pt>
                <c:pt idx="157">
                  <c:v>4.8719965556213225</c:v>
                </c:pt>
                <c:pt idx="158">
                  <c:v>5.0045431705618117</c:v>
                </c:pt>
                <c:pt idx="159">
                  <c:v>4.6580435901155077</c:v>
                </c:pt>
                <c:pt idx="160">
                  <c:v>4.5239157686302747</c:v>
                </c:pt>
                <c:pt idx="161">
                  <c:v>4.2087945881513358</c:v>
                </c:pt>
                <c:pt idx="162">
                  <c:v>3.8917269000841048</c:v>
                </c:pt>
                <c:pt idx="163">
                  <c:v>3.9890243717717704</c:v>
                </c:pt>
                <c:pt idx="164">
                  <c:v>3.9499307543024047</c:v>
                </c:pt>
                <c:pt idx="165">
                  <c:v>4.0592034671257489</c:v>
                </c:pt>
                <c:pt idx="166">
                  <c:v>4.3839885442395508</c:v>
                </c:pt>
                <c:pt idx="167">
                  <c:v>4.4431349885217726</c:v>
                </c:pt>
                <c:pt idx="168">
                  <c:v>4.4323088028570456</c:v>
                </c:pt>
                <c:pt idx="169">
                  <c:v>4.1312712555516722</c:v>
                </c:pt>
                <c:pt idx="170">
                  <c:v>4.0008340965341755</c:v>
                </c:pt>
                <c:pt idx="171">
                  <c:v>3.8935918758730175</c:v>
                </c:pt>
                <c:pt idx="172">
                  <c:v>3.8420065175997649</c:v>
                </c:pt>
                <c:pt idx="173">
                  <c:v>3.7200000000000135</c:v>
                </c:pt>
                <c:pt idx="174">
                  <c:v>3.2877231097336064</c:v>
                </c:pt>
                <c:pt idx="175">
                  <c:v>3.0365358054868268</c:v>
                </c:pt>
                <c:pt idx="176">
                  <c:v>2.9861696326773419</c:v>
                </c:pt>
                <c:pt idx="177">
                  <c:v>3.0078241061701556</c:v>
                </c:pt>
                <c:pt idx="178">
                  <c:v>3.0067474253245492</c:v>
                </c:pt>
                <c:pt idx="179">
                  <c:v>3.032243446393919</c:v>
                </c:pt>
                <c:pt idx="180">
                  <c:v>3.1008890455488989</c:v>
                </c:pt>
                <c:pt idx="181">
                  <c:v>2.8495310959960203</c:v>
                </c:pt>
                <c:pt idx="182">
                  <c:v>2.6336985317664396</c:v>
                </c:pt>
                <c:pt idx="183">
                  <c:v>3.0225648594065553</c:v>
                </c:pt>
                <c:pt idx="184">
                  <c:v>3.1841326802773886</c:v>
                </c:pt>
                <c:pt idx="185">
                  <c:v>3.2915664520133503</c:v>
                </c:pt>
                <c:pt idx="186">
                  <c:v>3.5210515586016711</c:v>
                </c:pt>
                <c:pt idx="187">
                  <c:v>3.8691226369364999</c:v>
                </c:pt>
                <c:pt idx="188">
                  <c:v>3.7122274331576643</c:v>
                </c:pt>
                <c:pt idx="189">
                  <c:v>2.7864434936302875</c:v>
                </c:pt>
                <c:pt idx="190">
                  <c:v>2.0811393126636419</c:v>
                </c:pt>
                <c:pt idx="191">
                  <c:v>2.2131669917537335</c:v>
                </c:pt>
                <c:pt idx="192">
                  <c:v>2.8251815980629558</c:v>
                </c:pt>
                <c:pt idx="193">
                  <c:v>2.850333281661765</c:v>
                </c:pt>
                <c:pt idx="194">
                  <c:v>3.167837248728516</c:v>
                </c:pt>
                <c:pt idx="195">
                  <c:v>3.4999467946175451</c:v>
                </c:pt>
                <c:pt idx="196">
                  <c:v>3.5859687035714969</c:v>
                </c:pt>
                <c:pt idx="197">
                  <c:v>3.6608175858079419</c:v>
                </c:pt>
                <c:pt idx="198">
                  <c:v>3.9896952972733115</c:v>
                </c:pt>
                <c:pt idx="199">
                  <c:v>4.1071583555937012</c:v>
                </c:pt>
                <c:pt idx="200">
                  <c:v>4.0961906870625935</c:v>
                </c:pt>
                <c:pt idx="201">
                  <c:v>3.9324276250636871</c:v>
                </c:pt>
                <c:pt idx="202">
                  <c:v>4.0854242482283132</c:v>
                </c:pt>
                <c:pt idx="203">
                  <c:v>4.0875060954038176</c:v>
                </c:pt>
                <c:pt idx="204">
                  <c:v>3.4292823293668411</c:v>
                </c:pt>
                <c:pt idx="205">
                  <c:v>3.2336113404116031</c:v>
                </c:pt>
                <c:pt idx="206">
                  <c:v>3.2194623828749194</c:v>
                </c:pt>
                <c:pt idx="207">
                  <c:v>3.0809104189246419</c:v>
                </c:pt>
                <c:pt idx="208">
                  <c:v>3.3349625897657642</c:v>
                </c:pt>
                <c:pt idx="209">
                  <c:v>3.7350008450228103</c:v>
                </c:pt>
                <c:pt idx="210">
                  <c:v>3.8448553959263365</c:v>
                </c:pt>
                <c:pt idx="211">
                  <c:v>3.6755303758598368</c:v>
                </c:pt>
                <c:pt idx="212">
                  <c:v>4.115464225110486</c:v>
                </c:pt>
                <c:pt idx="213">
                  <c:v>5.2235440040593089</c:v>
                </c:pt>
                <c:pt idx="214">
                  <c:v>6.0546117079172834</c:v>
                </c:pt>
                <c:pt idx="215">
                  <c:v>6.1159710544712569</c:v>
                </c:pt>
                <c:pt idx="216">
                  <c:v>5.7965281113717033</c:v>
                </c:pt>
              </c:numCache>
            </c:numRef>
          </c:val>
          <c:smooth val="0"/>
          <c:extLst>
            <c:ext xmlns:c16="http://schemas.microsoft.com/office/drawing/2014/chart" uri="{C3380CC4-5D6E-409C-BE32-E72D297353CC}">
              <c16:uniqueId val="{00000001-5A2E-42C5-8500-D07C18009742}"/>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2E-42C5-8500-D07C18009742}"/>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2018'!$A$157:$B$373</c:f>
              <c:multiLvlStrCache>
                <c:ptCount val="217"/>
                <c:lvl>
                  <c:pt idx="0">
                    <c:v>1qMay</c:v>
                  </c:pt>
                  <c:pt idx="1">
                    <c:v>2qMay</c:v>
                  </c:pt>
                  <c:pt idx="2">
                    <c:v>1qJun</c:v>
                  </c:pt>
                  <c:pt idx="3">
                    <c:v>2qJun</c:v>
                  </c:pt>
                  <c:pt idx="4">
                    <c:v>1qJul</c:v>
                  </c:pt>
                  <c:pt idx="5">
                    <c:v>2qJul</c:v>
                  </c:pt>
                  <c:pt idx="6">
                    <c:v>1qAgo</c:v>
                  </c:pt>
                  <c:pt idx="7">
                    <c:v>2qAgo</c:v>
                  </c:pt>
                  <c:pt idx="8">
                    <c:v>1qSep</c:v>
                  </c:pt>
                  <c:pt idx="9">
                    <c:v>2qSep</c:v>
                  </c:pt>
                  <c:pt idx="10">
                    <c:v>1qOct</c:v>
                  </c:pt>
                  <c:pt idx="11">
                    <c:v>2qOct</c:v>
                  </c:pt>
                  <c:pt idx="12">
                    <c:v>1qNov</c:v>
                  </c:pt>
                  <c:pt idx="13">
                    <c:v>2qNov</c:v>
                  </c:pt>
                  <c:pt idx="14">
                    <c:v>1qDic</c:v>
                  </c:pt>
                  <c:pt idx="15">
                    <c:v>2qDic</c:v>
                  </c:pt>
                  <c:pt idx="16">
                    <c:v>1qEne</c:v>
                  </c:pt>
                  <c:pt idx="17">
                    <c:v>2qEne</c:v>
                  </c:pt>
                  <c:pt idx="18">
                    <c:v>1qFeb</c:v>
                  </c:pt>
                  <c:pt idx="19">
                    <c:v>2qFeb</c:v>
                  </c:pt>
                  <c:pt idx="20">
                    <c:v>1qMar</c:v>
                  </c:pt>
                  <c:pt idx="21">
                    <c:v>2qMar</c:v>
                  </c:pt>
                  <c:pt idx="22">
                    <c:v>1qAbr</c:v>
                  </c:pt>
                  <c:pt idx="23">
                    <c:v>2qAbr</c:v>
                  </c:pt>
                  <c:pt idx="24">
                    <c:v>1qMay</c:v>
                  </c:pt>
                  <c:pt idx="25">
                    <c:v>2qMay</c:v>
                  </c:pt>
                  <c:pt idx="26">
                    <c:v>1qJun</c:v>
                  </c:pt>
                  <c:pt idx="27">
                    <c:v>2qJun</c:v>
                  </c:pt>
                  <c:pt idx="28">
                    <c:v>1qJul</c:v>
                  </c:pt>
                  <c:pt idx="29">
                    <c:v>2qJul</c:v>
                  </c:pt>
                  <c:pt idx="30">
                    <c:v>1qAgo</c:v>
                  </c:pt>
                  <c:pt idx="31">
                    <c:v>2qAgo</c:v>
                  </c:pt>
                  <c:pt idx="32">
                    <c:v>1qSep</c:v>
                  </c:pt>
                  <c:pt idx="33">
                    <c:v>2qSep</c:v>
                  </c:pt>
                  <c:pt idx="34">
                    <c:v>1qOct</c:v>
                  </c:pt>
                  <c:pt idx="35">
                    <c:v>2qOct</c:v>
                  </c:pt>
                  <c:pt idx="36">
                    <c:v>1qNov</c:v>
                  </c:pt>
                  <c:pt idx="37">
                    <c:v>2qNov</c:v>
                  </c:pt>
                  <c:pt idx="38">
                    <c:v>1qDic</c:v>
                  </c:pt>
                  <c:pt idx="39">
                    <c:v>2qDic</c:v>
                  </c:pt>
                  <c:pt idx="40">
                    <c:v>1qEne</c:v>
                  </c:pt>
                  <c:pt idx="41">
                    <c:v>2qEne</c:v>
                  </c:pt>
                  <c:pt idx="42">
                    <c:v>1qFeb</c:v>
                  </c:pt>
                  <c:pt idx="43">
                    <c:v>2qFeb</c:v>
                  </c:pt>
                  <c:pt idx="44">
                    <c:v>1qMar</c:v>
                  </c:pt>
                  <c:pt idx="45">
                    <c:v>2qMar</c:v>
                  </c:pt>
                  <c:pt idx="46">
                    <c:v>1qAbr</c:v>
                  </c:pt>
                  <c:pt idx="47">
                    <c:v>2qAbr</c:v>
                  </c:pt>
                  <c:pt idx="48">
                    <c:v>1qMay</c:v>
                  </c:pt>
                  <c:pt idx="49">
                    <c:v>2qMay</c:v>
                  </c:pt>
                  <c:pt idx="50">
                    <c:v>1qJun</c:v>
                  </c:pt>
                  <c:pt idx="51">
                    <c:v>2qJun</c:v>
                  </c:pt>
                  <c:pt idx="52">
                    <c:v>1qJul</c:v>
                  </c:pt>
                  <c:pt idx="53">
                    <c:v>2qJul</c:v>
                  </c:pt>
                  <c:pt idx="54">
                    <c:v>1qAgo</c:v>
                  </c:pt>
                  <c:pt idx="55">
                    <c:v>2qAgo</c:v>
                  </c:pt>
                  <c:pt idx="56">
                    <c:v>1qSep</c:v>
                  </c:pt>
                  <c:pt idx="57">
                    <c:v>2qSep</c:v>
                  </c:pt>
                  <c:pt idx="58">
                    <c:v>1qOct</c:v>
                  </c:pt>
                  <c:pt idx="59">
                    <c:v>2qOct</c:v>
                  </c:pt>
                  <c:pt idx="60">
                    <c:v>1qNov</c:v>
                  </c:pt>
                  <c:pt idx="61">
                    <c:v>2qNov</c:v>
                  </c:pt>
                  <c:pt idx="62">
                    <c:v>1qDic</c:v>
                  </c:pt>
                  <c:pt idx="63">
                    <c:v>2qDic</c:v>
                  </c:pt>
                  <c:pt idx="64">
                    <c:v>1qEne</c:v>
                  </c:pt>
                  <c:pt idx="65">
                    <c:v>2qEne</c:v>
                  </c:pt>
                  <c:pt idx="66">
                    <c:v>1qFeb</c:v>
                  </c:pt>
                  <c:pt idx="67">
                    <c:v>2qFeb</c:v>
                  </c:pt>
                  <c:pt idx="68">
                    <c:v>1qMar</c:v>
                  </c:pt>
                  <c:pt idx="69">
                    <c:v>2qMar</c:v>
                  </c:pt>
                  <c:pt idx="70">
                    <c:v>1qAbr</c:v>
                  </c:pt>
                  <c:pt idx="71">
                    <c:v>2qAbr</c:v>
                  </c:pt>
                  <c:pt idx="72">
                    <c:v>1qMay</c:v>
                  </c:pt>
                  <c:pt idx="73">
                    <c:v>2qMay</c:v>
                  </c:pt>
                  <c:pt idx="74">
                    <c:v>1qJun</c:v>
                  </c:pt>
                  <c:pt idx="75">
                    <c:v>2qJun</c:v>
                  </c:pt>
                  <c:pt idx="76">
                    <c:v>1qJul</c:v>
                  </c:pt>
                  <c:pt idx="77">
                    <c:v>2qJul</c:v>
                  </c:pt>
                  <c:pt idx="78">
                    <c:v>1qAgo</c:v>
                  </c:pt>
                  <c:pt idx="79">
                    <c:v>2qAgo</c:v>
                  </c:pt>
                  <c:pt idx="80">
                    <c:v>1qSep</c:v>
                  </c:pt>
                  <c:pt idx="81">
                    <c:v>2qSep</c:v>
                  </c:pt>
                  <c:pt idx="82">
                    <c:v>1qOct</c:v>
                  </c:pt>
                  <c:pt idx="83">
                    <c:v>2qOct</c:v>
                  </c:pt>
                  <c:pt idx="84">
                    <c:v>1qNov</c:v>
                  </c:pt>
                  <c:pt idx="85">
                    <c:v>2qNov</c:v>
                  </c:pt>
                  <c:pt idx="86">
                    <c:v>1qDic</c:v>
                  </c:pt>
                  <c:pt idx="87">
                    <c:v>2qDic</c:v>
                  </c:pt>
                  <c:pt idx="88">
                    <c:v>1qEne</c:v>
                  </c:pt>
                  <c:pt idx="89">
                    <c:v>2qEne</c:v>
                  </c:pt>
                  <c:pt idx="90">
                    <c:v>1qFeb</c:v>
                  </c:pt>
                  <c:pt idx="91">
                    <c:v>2qFeb</c:v>
                  </c:pt>
                  <c:pt idx="92">
                    <c:v>1qMar</c:v>
                  </c:pt>
                  <c:pt idx="93">
                    <c:v>2qMar</c:v>
                  </c:pt>
                  <c:pt idx="94">
                    <c:v>1qAbr</c:v>
                  </c:pt>
                  <c:pt idx="95">
                    <c:v>2qAbr</c:v>
                  </c:pt>
                  <c:pt idx="96">
                    <c:v>1qMay</c:v>
                  </c:pt>
                  <c:pt idx="97">
                    <c:v>2qMay</c:v>
                  </c:pt>
                  <c:pt idx="98">
                    <c:v>1qJun</c:v>
                  </c:pt>
                  <c:pt idx="99">
                    <c:v>2qJun</c:v>
                  </c:pt>
                  <c:pt idx="100">
                    <c:v>1qJul</c:v>
                  </c:pt>
                  <c:pt idx="101">
                    <c:v>2qJul</c:v>
                  </c:pt>
                  <c:pt idx="102">
                    <c:v>1qAgo</c:v>
                  </c:pt>
                  <c:pt idx="103">
                    <c:v>2qAgo</c:v>
                  </c:pt>
                  <c:pt idx="104">
                    <c:v>1qSep</c:v>
                  </c:pt>
                  <c:pt idx="105">
                    <c:v>2qSep</c:v>
                  </c:pt>
                  <c:pt idx="106">
                    <c:v>1qOct</c:v>
                  </c:pt>
                  <c:pt idx="107">
                    <c:v>2qOct</c:v>
                  </c:pt>
                  <c:pt idx="108">
                    <c:v>1qNov</c:v>
                  </c:pt>
                  <c:pt idx="109">
                    <c:v>2qNov</c:v>
                  </c:pt>
                  <c:pt idx="110">
                    <c:v>1qDic</c:v>
                  </c:pt>
                  <c:pt idx="111">
                    <c:v>2qDic</c:v>
                  </c:pt>
                  <c:pt idx="112">
                    <c:v>1qEne</c:v>
                  </c:pt>
                  <c:pt idx="113">
                    <c:v>2qEne</c:v>
                  </c:pt>
                  <c:pt idx="114">
                    <c:v>1qFeb</c:v>
                  </c:pt>
                  <c:pt idx="115">
                    <c:v>2qFeb</c:v>
                  </c:pt>
                  <c:pt idx="116">
                    <c:v>1qMar</c:v>
                  </c:pt>
                  <c:pt idx="117">
                    <c:v>2qMar</c:v>
                  </c:pt>
                  <c:pt idx="118">
                    <c:v>1qAbr</c:v>
                  </c:pt>
                  <c:pt idx="119">
                    <c:v>2qAbr</c:v>
                  </c:pt>
                  <c:pt idx="120">
                    <c:v>1qMay</c:v>
                  </c:pt>
                  <c:pt idx="121">
                    <c:v>2qMay</c:v>
                  </c:pt>
                  <c:pt idx="122">
                    <c:v>1qJun</c:v>
                  </c:pt>
                  <c:pt idx="123">
                    <c:v>2qJun</c:v>
                  </c:pt>
                  <c:pt idx="124">
                    <c:v>1qJul</c:v>
                  </c:pt>
                  <c:pt idx="125">
                    <c:v>2qJul</c:v>
                  </c:pt>
                  <c:pt idx="126">
                    <c:v>1qAgo</c:v>
                  </c:pt>
                  <c:pt idx="127">
                    <c:v>2qAgo</c:v>
                  </c:pt>
                  <c:pt idx="128">
                    <c:v>1qSep</c:v>
                  </c:pt>
                  <c:pt idx="129">
                    <c:v>2qSep</c:v>
                  </c:pt>
                  <c:pt idx="130">
                    <c:v>1qOct</c:v>
                  </c:pt>
                  <c:pt idx="131">
                    <c:v>2qOct</c:v>
                  </c:pt>
                  <c:pt idx="132">
                    <c:v>1qNov</c:v>
                  </c:pt>
                  <c:pt idx="133">
                    <c:v>2qNov</c:v>
                  </c:pt>
                  <c:pt idx="134">
                    <c:v>1qDic</c:v>
                  </c:pt>
                  <c:pt idx="135">
                    <c:v>2qDic</c:v>
                  </c:pt>
                  <c:pt idx="136">
                    <c:v>1qEne</c:v>
                  </c:pt>
                  <c:pt idx="137">
                    <c:v>2qEne</c:v>
                  </c:pt>
                  <c:pt idx="138">
                    <c:v>1qFeb</c:v>
                  </c:pt>
                  <c:pt idx="139">
                    <c:v>2qFeb</c:v>
                  </c:pt>
                  <c:pt idx="140">
                    <c:v>1qMar</c:v>
                  </c:pt>
                  <c:pt idx="141">
                    <c:v>2qMar</c:v>
                  </c:pt>
                  <c:pt idx="142">
                    <c:v>1qAbr</c:v>
                  </c:pt>
                  <c:pt idx="143">
                    <c:v>2qAbr</c:v>
                  </c:pt>
                  <c:pt idx="144">
                    <c:v>1qMay</c:v>
                  </c:pt>
                  <c:pt idx="145">
                    <c:v>2qMay</c:v>
                  </c:pt>
                  <c:pt idx="146">
                    <c:v>1qJun</c:v>
                  </c:pt>
                  <c:pt idx="147">
                    <c:v>2qJun</c:v>
                  </c:pt>
                  <c:pt idx="148">
                    <c:v>1qJul</c:v>
                  </c:pt>
                  <c:pt idx="149">
                    <c:v>2qJul</c:v>
                  </c:pt>
                  <c:pt idx="150">
                    <c:v>1qAgo</c:v>
                  </c:pt>
                  <c:pt idx="151">
                    <c:v>2qAgo</c:v>
                  </c:pt>
                  <c:pt idx="152">
                    <c:v>1qSep</c:v>
                  </c:pt>
                  <c:pt idx="153">
                    <c:v>2qSep</c:v>
                  </c:pt>
                  <c:pt idx="154">
                    <c:v>1qOct</c:v>
                  </c:pt>
                  <c:pt idx="155">
                    <c:v>2qOct</c:v>
                  </c:pt>
                  <c:pt idx="156">
                    <c:v>1qNov</c:v>
                  </c:pt>
                  <c:pt idx="157">
                    <c:v>2qNov</c:v>
                  </c:pt>
                  <c:pt idx="158">
                    <c:v>1qDic</c:v>
                  </c:pt>
                  <c:pt idx="159">
                    <c:v>2qDic</c:v>
                  </c:pt>
                  <c:pt idx="160">
                    <c:v>1qEne</c:v>
                  </c:pt>
                  <c:pt idx="161">
                    <c:v>2qEne</c:v>
                  </c:pt>
                  <c:pt idx="162">
                    <c:v>1qFeb</c:v>
                  </c:pt>
                  <c:pt idx="163">
                    <c:v>2qFeb</c:v>
                  </c:pt>
                  <c:pt idx="164">
                    <c:v>1qMar</c:v>
                  </c:pt>
                  <c:pt idx="165">
                    <c:v>2qMar</c:v>
                  </c:pt>
                  <c:pt idx="166">
                    <c:v>1qAbr</c:v>
                  </c:pt>
                  <c:pt idx="167">
                    <c:v>2qAbr</c:v>
                  </c:pt>
                  <c:pt idx="168">
                    <c:v>1qMay</c:v>
                  </c:pt>
                  <c:pt idx="169">
                    <c:v>2qMay</c:v>
                  </c:pt>
                  <c:pt idx="170">
                    <c:v>1qJun</c:v>
                  </c:pt>
                  <c:pt idx="171">
                    <c:v>2qJun</c:v>
                  </c:pt>
                  <c:pt idx="172">
                    <c:v>1qJul</c:v>
                  </c:pt>
                  <c:pt idx="173">
                    <c:v>2qJul</c:v>
                  </c:pt>
                  <c:pt idx="174">
                    <c:v>1qAgo</c:v>
                  </c:pt>
                  <c:pt idx="175">
                    <c:v>2qAgo</c:v>
                  </c:pt>
                  <c:pt idx="176">
                    <c:v>1qSep</c:v>
                  </c:pt>
                  <c:pt idx="177">
                    <c:v>2qSep</c:v>
                  </c:pt>
                  <c:pt idx="178">
                    <c:v>1qOct</c:v>
                  </c:pt>
                  <c:pt idx="179">
                    <c:v>2qOct</c:v>
                  </c:pt>
                  <c:pt idx="180">
                    <c:v>1qNov</c:v>
                  </c:pt>
                  <c:pt idx="181">
                    <c:v>2qNov</c:v>
                  </c:pt>
                  <c:pt idx="182">
                    <c:v>1qDic</c:v>
                  </c:pt>
                  <c:pt idx="183">
                    <c:v>2qDic</c:v>
                  </c:pt>
                  <c:pt idx="184">
                    <c:v>1qEne</c:v>
                  </c:pt>
                  <c:pt idx="185">
                    <c:v>2qEne</c:v>
                  </c:pt>
                  <c:pt idx="186">
                    <c:v>1qFeb</c:v>
                  </c:pt>
                  <c:pt idx="187">
                    <c:v>2qFeb</c:v>
                  </c:pt>
                  <c:pt idx="188">
                    <c:v>1qMar</c:v>
                  </c:pt>
                  <c:pt idx="189">
                    <c:v>2qMar</c:v>
                  </c:pt>
                  <c:pt idx="190">
                    <c:v>1qAbr</c:v>
                  </c:pt>
                  <c:pt idx="191">
                    <c:v>2qAbr</c:v>
                  </c:pt>
                  <c:pt idx="192">
                    <c:v>1qMay</c:v>
                  </c:pt>
                  <c:pt idx="193">
                    <c:v>2qMay</c:v>
                  </c:pt>
                  <c:pt idx="194">
                    <c:v>1qJun</c:v>
                  </c:pt>
                  <c:pt idx="195">
                    <c:v>2qJun</c:v>
                  </c:pt>
                  <c:pt idx="196">
                    <c:v>1qJul</c:v>
                  </c:pt>
                  <c:pt idx="197">
                    <c:v>2qJul</c:v>
                  </c:pt>
                  <c:pt idx="198">
                    <c:v>1qAgo</c:v>
                  </c:pt>
                  <c:pt idx="199">
                    <c:v>2qAgo</c:v>
                  </c:pt>
                  <c:pt idx="200">
                    <c:v>1qSep</c:v>
                  </c:pt>
                  <c:pt idx="201">
                    <c:v>2qSep</c:v>
                  </c:pt>
                  <c:pt idx="202">
                    <c:v>1qOct</c:v>
                  </c:pt>
                  <c:pt idx="203">
                    <c:v>2qOct</c:v>
                  </c:pt>
                  <c:pt idx="204">
                    <c:v>1qNov</c:v>
                  </c:pt>
                  <c:pt idx="205">
                    <c:v>2qNov</c:v>
                  </c:pt>
                  <c:pt idx="206">
                    <c:v>1qDic</c:v>
                  </c:pt>
                  <c:pt idx="207">
                    <c:v>2qDic</c:v>
                  </c:pt>
                  <c:pt idx="208">
                    <c:v>1qEne</c:v>
                  </c:pt>
                  <c:pt idx="209">
                    <c:v>2qEne</c:v>
                  </c:pt>
                  <c:pt idx="210">
                    <c:v>1qFeb</c:v>
                  </c:pt>
                  <c:pt idx="211">
                    <c:v>2qFeb</c:v>
                  </c:pt>
                  <c:pt idx="212">
                    <c:v>1qMar</c:v>
                  </c:pt>
                  <c:pt idx="213">
                    <c:v>2qMar</c:v>
                  </c:pt>
                  <c:pt idx="214">
                    <c:v>1qAbr</c:v>
                  </c:pt>
                  <c:pt idx="215">
                    <c:v>2qAbr</c:v>
                  </c:pt>
                  <c:pt idx="216">
                    <c:v>1qMay</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2012</c:v>
                  </c:pt>
                  <c:pt idx="15">
                    <c:v>2012</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2013</c:v>
                  </c:pt>
                  <c:pt idx="39">
                    <c:v>2013</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2014</c:v>
                  </c:pt>
                  <c:pt idx="63">
                    <c:v>2014</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2015</c:v>
                  </c:pt>
                  <c:pt idx="87">
                    <c:v>2015</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2016</c:v>
                  </c:pt>
                  <c:pt idx="111">
                    <c:v>2016</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2017</c:v>
                  </c:pt>
                  <c:pt idx="135">
                    <c:v>2017</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2018</c:v>
                  </c:pt>
                  <c:pt idx="159">
                    <c:v>2018</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2019</c:v>
                  </c:pt>
                  <c:pt idx="183">
                    <c:v>2019</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2020</c:v>
                  </c:pt>
                  <c:pt idx="207">
                    <c:v>2020</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2018'!$G$157:$G$373</c:f>
              <c:numCache>
                <c:formatCode>0.00</c:formatCode>
                <c:ptCount val="217"/>
                <c:pt idx="0">
                  <c:v>3.5090861090997398</c:v>
                </c:pt>
                <c:pt idx="1">
                  <c:v>3.4496459587907644</c:v>
                </c:pt>
                <c:pt idx="2">
                  <c:v>3.5138071411092509</c:v>
                </c:pt>
                <c:pt idx="3">
                  <c:v>3.4911275160914821</c:v>
                </c:pt>
                <c:pt idx="4">
                  <c:v>3.5552667198767716</c:v>
                </c:pt>
                <c:pt idx="5">
                  <c:v>3.628890973374955</c:v>
                </c:pt>
                <c:pt idx="6">
                  <c:v>3.699449234809765</c:v>
                </c:pt>
                <c:pt idx="7">
                  <c:v>3.7010392130833916</c:v>
                </c:pt>
                <c:pt idx="8">
                  <c:v>3.5989553948191961</c:v>
                </c:pt>
                <c:pt idx="9">
                  <c:v>3.6175749418751248</c:v>
                </c:pt>
                <c:pt idx="10">
                  <c:v>3.5804788237867169</c:v>
                </c:pt>
                <c:pt idx="11">
                  <c:v>3.5710434435480733</c:v>
                </c:pt>
                <c:pt idx="12">
                  <c:v>3.497724814484096</c:v>
                </c:pt>
                <c:pt idx="13">
                  <c:v>3.0944012280048958</c:v>
                </c:pt>
                <c:pt idx="14">
                  <c:v>3.0040571360508883</c:v>
                </c:pt>
                <c:pt idx="15">
                  <c:v>2.7964321989406584</c:v>
                </c:pt>
                <c:pt idx="16">
                  <c:v>2.7763497027195498</c:v>
                </c:pt>
                <c:pt idx="17">
                  <c:v>2.9751754935712431</c:v>
                </c:pt>
                <c:pt idx="18">
                  <c:v>2.9575503875276712</c:v>
                </c:pt>
                <c:pt idx="19">
                  <c:v>2.9657092040579758</c:v>
                </c:pt>
                <c:pt idx="20">
                  <c:v>3.0602036721268644</c:v>
                </c:pt>
                <c:pt idx="21">
                  <c:v>2.9791164494705962</c:v>
                </c:pt>
                <c:pt idx="22">
                  <c:v>3.0026041070565621</c:v>
                </c:pt>
                <c:pt idx="23">
                  <c:v>2.8915458173883479</c:v>
                </c:pt>
                <c:pt idx="24">
                  <c:v>2.8909365438263444</c:v>
                </c:pt>
                <c:pt idx="25">
                  <c:v>2.8631679529443979</c:v>
                </c:pt>
                <c:pt idx="26">
                  <c:v>2.8307350923769405</c:v>
                </c:pt>
                <c:pt idx="27">
                  <c:v>2.7437282572557016</c:v>
                </c:pt>
                <c:pt idx="28">
                  <c:v>2.5697096747123833</c:v>
                </c:pt>
                <c:pt idx="29">
                  <c:v>2.4360903054217125</c:v>
                </c:pt>
                <c:pt idx="30">
                  <c:v>2.3835805910849777</c:v>
                </c:pt>
                <c:pt idx="31">
                  <c:v>2.3480634242683229</c:v>
                </c:pt>
                <c:pt idx="32">
                  <c:v>2.535276339954553</c:v>
                </c:pt>
                <c:pt idx="33">
                  <c:v>2.4965785009156081</c:v>
                </c:pt>
                <c:pt idx="34">
                  <c:v>2.4640712164855678</c:v>
                </c:pt>
                <c:pt idx="35">
                  <c:v>2.4948139964390839</c:v>
                </c:pt>
                <c:pt idx="36">
                  <c:v>2.4265245867401597</c:v>
                </c:pt>
                <c:pt idx="37">
                  <c:v>2.7038703266946786</c:v>
                </c:pt>
                <c:pt idx="38">
                  <c:v>2.751128068649233</c:v>
                </c:pt>
                <c:pt idx="39">
                  <c:v>2.8026579468947426</c:v>
                </c:pt>
                <c:pt idx="40">
                  <c:v>3.3301766974286218</c:v>
                </c:pt>
                <c:pt idx="41">
                  <c:v>3.1002666825252425</c:v>
                </c:pt>
                <c:pt idx="42">
                  <c:v>2.9720512722063508</c:v>
                </c:pt>
                <c:pt idx="43">
                  <c:v>2.9911409949387719</c:v>
                </c:pt>
                <c:pt idx="44">
                  <c:v>2.8393403954390637</c:v>
                </c:pt>
                <c:pt idx="45">
                  <c:v>2.9470966063651716</c:v>
                </c:pt>
                <c:pt idx="46">
                  <c:v>3.1650623331299617</c:v>
                </c:pt>
                <c:pt idx="47">
                  <c:v>3.0552508730965879</c:v>
                </c:pt>
                <c:pt idx="48">
                  <c:v>2.965790301060844</c:v>
                </c:pt>
                <c:pt idx="49">
                  <c:v>3.0412359691456019</c:v>
                </c:pt>
                <c:pt idx="50">
                  <c:v>3.0875416706861825</c:v>
                </c:pt>
                <c:pt idx="51">
                  <c:v>3.0926368076054618</c:v>
                </c:pt>
                <c:pt idx="52">
                  <c:v>3.2008508707259615</c:v>
                </c:pt>
                <c:pt idx="53">
                  <c:v>3.296727917181848</c:v>
                </c:pt>
                <c:pt idx="54">
                  <c:v>3.3403363995215916</c:v>
                </c:pt>
                <c:pt idx="55">
                  <c:v>3.4088159517772554</c:v>
                </c:pt>
                <c:pt idx="56">
                  <c:v>3.3443317105628387</c:v>
                </c:pt>
                <c:pt idx="57">
                  <c:v>3.3410517831071793</c:v>
                </c:pt>
                <c:pt idx="58">
                  <c:v>3.320114326066006</c:v>
                </c:pt>
                <c:pt idx="59">
                  <c:v>3.3125587217442973</c:v>
                </c:pt>
                <c:pt idx="60">
                  <c:v>3.3269143797989815</c:v>
                </c:pt>
                <c:pt idx="61">
                  <c:v>3.3597016646049473</c:v>
                </c:pt>
                <c:pt idx="62">
                  <c:v>3.2613173618448141</c:v>
                </c:pt>
                <c:pt idx="63">
                  <c:v>3.2283311008381563</c:v>
                </c:pt>
                <c:pt idx="64">
                  <c:v>2.4257619293549975</c:v>
                </c:pt>
                <c:pt idx="65">
                  <c:v>2.2512483178846994</c:v>
                </c:pt>
                <c:pt idx="66">
                  <c:v>2.4154760560769155</c:v>
                </c:pt>
                <c:pt idx="67">
                  <c:v>2.3803601042870661</c:v>
                </c:pt>
                <c:pt idx="68">
                  <c:v>2.4210809690652884</c:v>
                </c:pt>
                <c:pt idx="69">
                  <c:v>2.4716727562373664</c:v>
                </c:pt>
                <c:pt idx="70">
                  <c:v>2.22959038644635</c:v>
                </c:pt>
                <c:pt idx="71">
                  <c:v>2.3867779230047406</c:v>
                </c:pt>
                <c:pt idx="72">
                  <c:v>2.3645039102051868</c:v>
                </c:pt>
                <c:pt idx="73">
                  <c:v>2.2967267698564018</c:v>
                </c:pt>
                <c:pt idx="74">
                  <c:v>2.3068088582791066</c:v>
                </c:pt>
                <c:pt idx="75">
                  <c:v>2.3470897521408207</c:v>
                </c:pt>
                <c:pt idx="76">
                  <c:v>2.3048831870518853</c:v>
                </c:pt>
                <c:pt idx="77">
                  <c:v>2.3176027185983523</c:v>
                </c:pt>
                <c:pt idx="78">
                  <c:v>2.2916919550657333</c:v>
                </c:pt>
                <c:pt idx="79">
                  <c:v>2.3072511966621598</c:v>
                </c:pt>
                <c:pt idx="80">
                  <c:v>2.3401806229756428</c:v>
                </c:pt>
                <c:pt idx="81">
                  <c:v>2.4176421285037821</c:v>
                </c:pt>
                <c:pt idx="82">
                  <c:v>2.4587510846686191</c:v>
                </c:pt>
                <c:pt idx="83">
                  <c:v>2.4726079923024322</c:v>
                </c:pt>
                <c:pt idx="84">
                  <c:v>2.3463360125931945</c:v>
                </c:pt>
                <c:pt idx="85">
                  <c:v>2.3268213688759705</c:v>
                </c:pt>
                <c:pt idx="86">
                  <c:v>2.390553712314857</c:v>
                </c:pt>
                <c:pt idx="87">
                  <c:v>2.4333480158938574</c:v>
                </c:pt>
                <c:pt idx="88">
                  <c:v>2.6075350521938248</c:v>
                </c:pt>
                <c:pt idx="89">
                  <c:v>2.6792848558866034</c:v>
                </c:pt>
                <c:pt idx="90">
                  <c:v>2.6247721940712854</c:v>
                </c:pt>
                <c:pt idx="91">
                  <c:v>2.6999719049183106</c:v>
                </c:pt>
                <c:pt idx="92">
                  <c:v>2.8570717271853301</c:v>
                </c:pt>
                <c:pt idx="93">
                  <c:v>2.6643976864392171</c:v>
                </c:pt>
                <c:pt idx="94">
                  <c:v>2.7889505267186077</c:v>
                </c:pt>
                <c:pt idx="95">
                  <c:v>2.8653494472590446</c:v>
                </c:pt>
                <c:pt idx="96">
                  <c:v>2.9155541341971842</c:v>
                </c:pt>
                <c:pt idx="97">
                  <c:v>2.9400204454453038</c:v>
                </c:pt>
                <c:pt idx="98">
                  <c:v>2.9780685524937418</c:v>
                </c:pt>
                <c:pt idx="99">
                  <c:v>2.970805194310711</c:v>
                </c:pt>
                <c:pt idx="100">
                  <c:v>2.9869000821721321</c:v>
                </c:pt>
                <c:pt idx="101">
                  <c:v>2.958184265532811</c:v>
                </c:pt>
                <c:pt idx="102">
                  <c:v>2.9678902064447099</c:v>
                </c:pt>
                <c:pt idx="103">
                  <c:v>2.9539547347381339</c:v>
                </c:pt>
                <c:pt idx="104">
                  <c:v>3.0468116923746806</c:v>
                </c:pt>
                <c:pt idx="105">
                  <c:v>3.0912825950724891</c:v>
                </c:pt>
                <c:pt idx="106">
                  <c:v>3.1012509952726064</c:v>
                </c:pt>
                <c:pt idx="107">
                  <c:v>3.0947616902772506</c:v>
                </c:pt>
                <c:pt idx="108">
                  <c:v>3.3319998055344984</c:v>
                </c:pt>
                <c:pt idx="109">
                  <c:v>3.2541169825970431</c:v>
                </c:pt>
                <c:pt idx="110">
                  <c:v>3.4556844443457231</c:v>
                </c:pt>
                <c:pt idx="111">
                  <c:v>3.4190637781387228</c:v>
                </c:pt>
                <c:pt idx="112">
                  <c:v>3.7171121119421828</c:v>
                </c:pt>
                <c:pt idx="113">
                  <c:v>3.9541963785562761</c:v>
                </c:pt>
                <c:pt idx="114">
                  <c:v>4.1997330552909586</c:v>
                </c:pt>
                <c:pt idx="115">
                  <c:v>4.311207443014049</c:v>
                </c:pt>
                <c:pt idx="116">
                  <c:v>4.3234288151573121</c:v>
                </c:pt>
                <c:pt idx="117">
                  <c:v>4.6332592126084799</c:v>
                </c:pt>
                <c:pt idx="118">
                  <c:v>4.755660342374016</c:v>
                </c:pt>
                <c:pt idx="119">
                  <c:v>4.6790514324428747</c:v>
                </c:pt>
                <c:pt idx="120">
                  <c:v>4.7509278569842373</c:v>
                </c:pt>
                <c:pt idx="121">
                  <c:v>4.8121947523125428</c:v>
                </c:pt>
                <c:pt idx="122">
                  <c:v>4.8209395856761645</c:v>
                </c:pt>
                <c:pt idx="123">
                  <c:v>4.8467381815305748</c:v>
                </c:pt>
                <c:pt idx="124">
                  <c:v>4.9207056044795072</c:v>
                </c:pt>
                <c:pt idx="125">
                  <c:v>4.9503227740202931</c:v>
                </c:pt>
                <c:pt idx="126">
                  <c:v>5.0213060833167322</c:v>
                </c:pt>
                <c:pt idx="127">
                  <c:v>4.9846248601918619</c:v>
                </c:pt>
                <c:pt idx="128">
                  <c:v>4.896399946121428</c:v>
                </c:pt>
                <c:pt idx="129">
                  <c:v>4.7040384762837748</c:v>
                </c:pt>
                <c:pt idx="130">
                  <c:v>4.7478938244134978</c:v>
                </c:pt>
                <c:pt idx="131">
                  <c:v>4.7956917969896518</c:v>
                </c:pt>
                <c:pt idx="132">
                  <c:v>4.8450991871710318</c:v>
                </c:pt>
                <c:pt idx="133">
                  <c:v>4.9491574797445885</c:v>
                </c:pt>
                <c:pt idx="134">
                  <c:v>4.9048497326154274</c:v>
                </c:pt>
                <c:pt idx="135">
                  <c:v>4.8327261818475638</c:v>
                </c:pt>
                <c:pt idx="136">
                  <c:v>4.626351793496065</c:v>
                </c:pt>
                <c:pt idx="137">
                  <c:v>4.4960621553256628</c:v>
                </c:pt>
                <c:pt idx="138">
                  <c:v>4.3243267051739158</c:v>
                </c:pt>
                <c:pt idx="139">
                  <c:v>4.225113200069833</c:v>
                </c:pt>
                <c:pt idx="140">
                  <c:v>4.1452320212772849</c:v>
                </c:pt>
                <c:pt idx="141">
                  <c:v>3.9008573614003428</c:v>
                </c:pt>
                <c:pt idx="142">
                  <c:v>3.7001331444606622</c:v>
                </c:pt>
                <c:pt idx="143">
                  <c:v>3.7189879850623115</c:v>
                </c:pt>
                <c:pt idx="144">
                  <c:v>3.6940324860046641</c:v>
                </c:pt>
                <c:pt idx="145">
                  <c:v>3.6872847615328928</c:v>
                </c:pt>
                <c:pt idx="146">
                  <c:v>3.5926706669103226</c:v>
                </c:pt>
                <c:pt idx="147">
                  <c:v>3.6378912164257176</c:v>
                </c:pt>
                <c:pt idx="148">
                  <c:v>3.6414532163026938</c:v>
                </c:pt>
                <c:pt idx="149">
                  <c:v>3.6283822763214917</c:v>
                </c:pt>
                <c:pt idx="150">
                  <c:v>3.60422766425244</c:v>
                </c:pt>
                <c:pt idx="151">
                  <c:v>3.6492836648371476</c:v>
                </c:pt>
                <c:pt idx="152">
                  <c:v>3.5583711462958476</c:v>
                </c:pt>
                <c:pt idx="153">
                  <c:v>3.7816822032604827</c:v>
                </c:pt>
                <c:pt idx="154">
                  <c:v>3.7416397848555354</c:v>
                </c:pt>
                <c:pt idx="155">
                  <c:v>3.7169746286009109</c:v>
                </c:pt>
                <c:pt idx="156">
                  <c:v>3.6257828133946166</c:v>
                </c:pt>
                <c:pt idx="157">
                  <c:v>3.6406529749812364</c:v>
                </c:pt>
                <c:pt idx="158">
                  <c:v>3.6377886379533457</c:v>
                </c:pt>
                <c:pt idx="159">
                  <c:v>3.7284330721464332</c:v>
                </c:pt>
                <c:pt idx="160">
                  <c:v>3.6380265636959224</c:v>
                </c:pt>
                <c:pt idx="161">
                  <c:v>3.5537579923622067</c:v>
                </c:pt>
                <c:pt idx="162">
                  <c:v>3.509918365929515</c:v>
                </c:pt>
                <c:pt idx="163">
                  <c:v>3.564393581591327</c:v>
                </c:pt>
                <c:pt idx="164">
                  <c:v>3.5059473833730292</c:v>
                </c:pt>
                <c:pt idx="165">
                  <c:v>3.598281490808529</c:v>
                </c:pt>
                <c:pt idx="166">
                  <c:v>3.9357101255393165</c:v>
                </c:pt>
                <c:pt idx="167">
                  <c:v>3.806631755056848</c:v>
                </c:pt>
                <c:pt idx="168">
                  <c:v>3.7691795637214343</c:v>
                </c:pt>
                <c:pt idx="169">
                  <c:v>3.7794944538024566</c:v>
                </c:pt>
                <c:pt idx="170">
                  <c:v>3.8676322662943812</c:v>
                </c:pt>
                <c:pt idx="171">
                  <c:v>3.8307340537165544</c:v>
                </c:pt>
                <c:pt idx="172">
                  <c:v>3.8083742254525612</c:v>
                </c:pt>
                <c:pt idx="173">
                  <c:v>3.8340000000000032</c:v>
                </c:pt>
                <c:pt idx="174">
                  <c:v>3.7689600905269542</c:v>
                </c:pt>
                <c:pt idx="175">
                  <c:v>3.7839724729466879</c:v>
                </c:pt>
                <c:pt idx="176">
                  <c:v>3.7817928425663299</c:v>
                </c:pt>
                <c:pt idx="177">
                  <c:v>3.7183882347095838</c:v>
                </c:pt>
                <c:pt idx="178">
                  <c:v>3.6764049402311283</c:v>
                </c:pt>
                <c:pt idx="179">
                  <c:v>3.6914813493479151</c:v>
                </c:pt>
                <c:pt idx="180">
                  <c:v>3.6567393003036597</c:v>
                </c:pt>
                <c:pt idx="181">
                  <c:v>3.6491658343140236</c:v>
                </c:pt>
                <c:pt idx="182">
                  <c:v>3.5895062336281049</c:v>
                </c:pt>
                <c:pt idx="183">
                  <c:v>3.5997205247050266</c:v>
                </c:pt>
                <c:pt idx="184">
                  <c:v>3.7255904505319482</c:v>
                </c:pt>
                <c:pt idx="185">
                  <c:v>3.7263910158244067</c:v>
                </c:pt>
                <c:pt idx="186">
                  <c:v>3.6855710480965023</c:v>
                </c:pt>
                <c:pt idx="187">
                  <c:v>3.6268569194683473</c:v>
                </c:pt>
                <c:pt idx="188">
                  <c:v>3.6028213808376321</c:v>
                </c:pt>
                <c:pt idx="189">
                  <c:v>3.6045163615817035</c:v>
                </c:pt>
                <c:pt idx="190">
                  <c:v>3.4020338456761374</c:v>
                </c:pt>
                <c:pt idx="191">
                  <c:v>3.6057109025438834</c:v>
                </c:pt>
                <c:pt idx="192">
                  <c:v>3.7614545454545505</c:v>
                </c:pt>
                <c:pt idx="193">
                  <c:v>3.524719503576986</c:v>
                </c:pt>
                <c:pt idx="194">
                  <c:v>3.6600334399675325</c:v>
                </c:pt>
                <c:pt idx="195">
                  <c:v>3.7593404259427365</c:v>
                </c:pt>
                <c:pt idx="196">
                  <c:v>3.8427063755963657</c:v>
                </c:pt>
                <c:pt idx="197">
                  <c:v>3.8580811680181828</c:v>
                </c:pt>
                <c:pt idx="198">
                  <c:v>3.9287741339669684</c:v>
                </c:pt>
                <c:pt idx="199">
                  <c:v>4.0083029819621627</c:v>
                </c:pt>
                <c:pt idx="200">
                  <c:v>3.9854585915168732</c:v>
                </c:pt>
                <c:pt idx="201">
                  <c:v>3.9865104381233425</c:v>
                </c:pt>
                <c:pt idx="202">
                  <c:v>4.0034063400024857</c:v>
                </c:pt>
                <c:pt idx="203">
                  <c:v>3.9547752621066063</c:v>
                </c:pt>
                <c:pt idx="204">
                  <c:v>3.6804137483539758</c:v>
                </c:pt>
                <c:pt idx="205">
                  <c:v>3.6437710501960736</c:v>
                </c:pt>
                <c:pt idx="206">
                  <c:v>3.8064092935707339</c:v>
                </c:pt>
                <c:pt idx="207">
                  <c:v>3.8014001158847566</c:v>
                </c:pt>
                <c:pt idx="208">
                  <c:v>3.8344503322558334</c:v>
                </c:pt>
                <c:pt idx="209">
                  <c:v>3.8404754694124703</c:v>
                </c:pt>
                <c:pt idx="210">
                  <c:v>3.8435386998073575</c:v>
                </c:pt>
                <c:pt idx="211">
                  <c:v>3.8941441653855859</c:v>
                </c:pt>
                <c:pt idx="212">
                  <c:v>4.0914912049418053</c:v>
                </c:pt>
                <c:pt idx="213">
                  <c:v>4.1542468664491361</c:v>
                </c:pt>
                <c:pt idx="214">
                  <c:v>4.1337437360409917</c:v>
                </c:pt>
                <c:pt idx="215">
                  <c:v>4.1303655406291631</c:v>
                </c:pt>
                <c:pt idx="216">
                  <c:v>4.2213375200927032</c:v>
                </c:pt>
              </c:numCache>
            </c:numRef>
          </c:val>
          <c:smooth val="0"/>
          <c:extLst>
            <c:ext xmlns:c16="http://schemas.microsoft.com/office/drawing/2014/chart" uri="{C3380CC4-5D6E-409C-BE32-E72D297353CC}">
              <c16:uniqueId val="{00000003-5A2E-42C5-8500-D07C18009742}"/>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3.0953877512308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2E-42C5-8500-D07C18009742}"/>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2018'!$A$157:$B$373</c:f>
              <c:multiLvlStrCache>
                <c:ptCount val="217"/>
                <c:lvl>
                  <c:pt idx="0">
                    <c:v>1qMay</c:v>
                  </c:pt>
                  <c:pt idx="1">
                    <c:v>2qMay</c:v>
                  </c:pt>
                  <c:pt idx="2">
                    <c:v>1qJun</c:v>
                  </c:pt>
                  <c:pt idx="3">
                    <c:v>2qJun</c:v>
                  </c:pt>
                  <c:pt idx="4">
                    <c:v>1qJul</c:v>
                  </c:pt>
                  <c:pt idx="5">
                    <c:v>2qJul</c:v>
                  </c:pt>
                  <c:pt idx="6">
                    <c:v>1qAgo</c:v>
                  </c:pt>
                  <c:pt idx="7">
                    <c:v>2qAgo</c:v>
                  </c:pt>
                  <c:pt idx="8">
                    <c:v>1qSep</c:v>
                  </c:pt>
                  <c:pt idx="9">
                    <c:v>2qSep</c:v>
                  </c:pt>
                  <c:pt idx="10">
                    <c:v>1qOct</c:v>
                  </c:pt>
                  <c:pt idx="11">
                    <c:v>2qOct</c:v>
                  </c:pt>
                  <c:pt idx="12">
                    <c:v>1qNov</c:v>
                  </c:pt>
                  <c:pt idx="13">
                    <c:v>2qNov</c:v>
                  </c:pt>
                  <c:pt idx="14">
                    <c:v>1qDic</c:v>
                  </c:pt>
                  <c:pt idx="15">
                    <c:v>2qDic</c:v>
                  </c:pt>
                  <c:pt idx="16">
                    <c:v>1qEne</c:v>
                  </c:pt>
                  <c:pt idx="17">
                    <c:v>2qEne</c:v>
                  </c:pt>
                  <c:pt idx="18">
                    <c:v>1qFeb</c:v>
                  </c:pt>
                  <c:pt idx="19">
                    <c:v>2qFeb</c:v>
                  </c:pt>
                  <c:pt idx="20">
                    <c:v>1qMar</c:v>
                  </c:pt>
                  <c:pt idx="21">
                    <c:v>2qMar</c:v>
                  </c:pt>
                  <c:pt idx="22">
                    <c:v>1qAbr</c:v>
                  </c:pt>
                  <c:pt idx="23">
                    <c:v>2qAbr</c:v>
                  </c:pt>
                  <c:pt idx="24">
                    <c:v>1qMay</c:v>
                  </c:pt>
                  <c:pt idx="25">
                    <c:v>2qMay</c:v>
                  </c:pt>
                  <c:pt idx="26">
                    <c:v>1qJun</c:v>
                  </c:pt>
                  <c:pt idx="27">
                    <c:v>2qJun</c:v>
                  </c:pt>
                  <c:pt idx="28">
                    <c:v>1qJul</c:v>
                  </c:pt>
                  <c:pt idx="29">
                    <c:v>2qJul</c:v>
                  </c:pt>
                  <c:pt idx="30">
                    <c:v>1qAgo</c:v>
                  </c:pt>
                  <c:pt idx="31">
                    <c:v>2qAgo</c:v>
                  </c:pt>
                  <c:pt idx="32">
                    <c:v>1qSep</c:v>
                  </c:pt>
                  <c:pt idx="33">
                    <c:v>2qSep</c:v>
                  </c:pt>
                  <c:pt idx="34">
                    <c:v>1qOct</c:v>
                  </c:pt>
                  <c:pt idx="35">
                    <c:v>2qOct</c:v>
                  </c:pt>
                  <c:pt idx="36">
                    <c:v>1qNov</c:v>
                  </c:pt>
                  <c:pt idx="37">
                    <c:v>2qNov</c:v>
                  </c:pt>
                  <c:pt idx="38">
                    <c:v>1qDic</c:v>
                  </c:pt>
                  <c:pt idx="39">
                    <c:v>2qDic</c:v>
                  </c:pt>
                  <c:pt idx="40">
                    <c:v>1qEne</c:v>
                  </c:pt>
                  <c:pt idx="41">
                    <c:v>2qEne</c:v>
                  </c:pt>
                  <c:pt idx="42">
                    <c:v>1qFeb</c:v>
                  </c:pt>
                  <c:pt idx="43">
                    <c:v>2qFeb</c:v>
                  </c:pt>
                  <c:pt idx="44">
                    <c:v>1qMar</c:v>
                  </c:pt>
                  <c:pt idx="45">
                    <c:v>2qMar</c:v>
                  </c:pt>
                  <c:pt idx="46">
                    <c:v>1qAbr</c:v>
                  </c:pt>
                  <c:pt idx="47">
                    <c:v>2qAbr</c:v>
                  </c:pt>
                  <c:pt idx="48">
                    <c:v>1qMay</c:v>
                  </c:pt>
                  <c:pt idx="49">
                    <c:v>2qMay</c:v>
                  </c:pt>
                  <c:pt idx="50">
                    <c:v>1qJun</c:v>
                  </c:pt>
                  <c:pt idx="51">
                    <c:v>2qJun</c:v>
                  </c:pt>
                  <c:pt idx="52">
                    <c:v>1qJul</c:v>
                  </c:pt>
                  <c:pt idx="53">
                    <c:v>2qJul</c:v>
                  </c:pt>
                  <c:pt idx="54">
                    <c:v>1qAgo</c:v>
                  </c:pt>
                  <c:pt idx="55">
                    <c:v>2qAgo</c:v>
                  </c:pt>
                  <c:pt idx="56">
                    <c:v>1qSep</c:v>
                  </c:pt>
                  <c:pt idx="57">
                    <c:v>2qSep</c:v>
                  </c:pt>
                  <c:pt idx="58">
                    <c:v>1qOct</c:v>
                  </c:pt>
                  <c:pt idx="59">
                    <c:v>2qOct</c:v>
                  </c:pt>
                  <c:pt idx="60">
                    <c:v>1qNov</c:v>
                  </c:pt>
                  <c:pt idx="61">
                    <c:v>2qNov</c:v>
                  </c:pt>
                  <c:pt idx="62">
                    <c:v>1qDic</c:v>
                  </c:pt>
                  <c:pt idx="63">
                    <c:v>2qDic</c:v>
                  </c:pt>
                  <c:pt idx="64">
                    <c:v>1qEne</c:v>
                  </c:pt>
                  <c:pt idx="65">
                    <c:v>2qEne</c:v>
                  </c:pt>
                  <c:pt idx="66">
                    <c:v>1qFeb</c:v>
                  </c:pt>
                  <c:pt idx="67">
                    <c:v>2qFeb</c:v>
                  </c:pt>
                  <c:pt idx="68">
                    <c:v>1qMar</c:v>
                  </c:pt>
                  <c:pt idx="69">
                    <c:v>2qMar</c:v>
                  </c:pt>
                  <c:pt idx="70">
                    <c:v>1qAbr</c:v>
                  </c:pt>
                  <c:pt idx="71">
                    <c:v>2qAbr</c:v>
                  </c:pt>
                  <c:pt idx="72">
                    <c:v>1qMay</c:v>
                  </c:pt>
                  <c:pt idx="73">
                    <c:v>2qMay</c:v>
                  </c:pt>
                  <c:pt idx="74">
                    <c:v>1qJun</c:v>
                  </c:pt>
                  <c:pt idx="75">
                    <c:v>2qJun</c:v>
                  </c:pt>
                  <c:pt idx="76">
                    <c:v>1qJul</c:v>
                  </c:pt>
                  <c:pt idx="77">
                    <c:v>2qJul</c:v>
                  </c:pt>
                  <c:pt idx="78">
                    <c:v>1qAgo</c:v>
                  </c:pt>
                  <c:pt idx="79">
                    <c:v>2qAgo</c:v>
                  </c:pt>
                  <c:pt idx="80">
                    <c:v>1qSep</c:v>
                  </c:pt>
                  <c:pt idx="81">
                    <c:v>2qSep</c:v>
                  </c:pt>
                  <c:pt idx="82">
                    <c:v>1qOct</c:v>
                  </c:pt>
                  <c:pt idx="83">
                    <c:v>2qOct</c:v>
                  </c:pt>
                  <c:pt idx="84">
                    <c:v>1qNov</c:v>
                  </c:pt>
                  <c:pt idx="85">
                    <c:v>2qNov</c:v>
                  </c:pt>
                  <c:pt idx="86">
                    <c:v>1qDic</c:v>
                  </c:pt>
                  <c:pt idx="87">
                    <c:v>2qDic</c:v>
                  </c:pt>
                  <c:pt idx="88">
                    <c:v>1qEne</c:v>
                  </c:pt>
                  <c:pt idx="89">
                    <c:v>2qEne</c:v>
                  </c:pt>
                  <c:pt idx="90">
                    <c:v>1qFeb</c:v>
                  </c:pt>
                  <c:pt idx="91">
                    <c:v>2qFeb</c:v>
                  </c:pt>
                  <c:pt idx="92">
                    <c:v>1qMar</c:v>
                  </c:pt>
                  <c:pt idx="93">
                    <c:v>2qMar</c:v>
                  </c:pt>
                  <c:pt idx="94">
                    <c:v>1qAbr</c:v>
                  </c:pt>
                  <c:pt idx="95">
                    <c:v>2qAbr</c:v>
                  </c:pt>
                  <c:pt idx="96">
                    <c:v>1qMay</c:v>
                  </c:pt>
                  <c:pt idx="97">
                    <c:v>2qMay</c:v>
                  </c:pt>
                  <c:pt idx="98">
                    <c:v>1qJun</c:v>
                  </c:pt>
                  <c:pt idx="99">
                    <c:v>2qJun</c:v>
                  </c:pt>
                  <c:pt idx="100">
                    <c:v>1qJul</c:v>
                  </c:pt>
                  <c:pt idx="101">
                    <c:v>2qJul</c:v>
                  </c:pt>
                  <c:pt idx="102">
                    <c:v>1qAgo</c:v>
                  </c:pt>
                  <c:pt idx="103">
                    <c:v>2qAgo</c:v>
                  </c:pt>
                  <c:pt idx="104">
                    <c:v>1qSep</c:v>
                  </c:pt>
                  <c:pt idx="105">
                    <c:v>2qSep</c:v>
                  </c:pt>
                  <c:pt idx="106">
                    <c:v>1qOct</c:v>
                  </c:pt>
                  <c:pt idx="107">
                    <c:v>2qOct</c:v>
                  </c:pt>
                  <c:pt idx="108">
                    <c:v>1qNov</c:v>
                  </c:pt>
                  <c:pt idx="109">
                    <c:v>2qNov</c:v>
                  </c:pt>
                  <c:pt idx="110">
                    <c:v>1qDic</c:v>
                  </c:pt>
                  <c:pt idx="111">
                    <c:v>2qDic</c:v>
                  </c:pt>
                  <c:pt idx="112">
                    <c:v>1qEne</c:v>
                  </c:pt>
                  <c:pt idx="113">
                    <c:v>2qEne</c:v>
                  </c:pt>
                  <c:pt idx="114">
                    <c:v>1qFeb</c:v>
                  </c:pt>
                  <c:pt idx="115">
                    <c:v>2qFeb</c:v>
                  </c:pt>
                  <c:pt idx="116">
                    <c:v>1qMar</c:v>
                  </c:pt>
                  <c:pt idx="117">
                    <c:v>2qMar</c:v>
                  </c:pt>
                  <c:pt idx="118">
                    <c:v>1qAbr</c:v>
                  </c:pt>
                  <c:pt idx="119">
                    <c:v>2qAbr</c:v>
                  </c:pt>
                  <c:pt idx="120">
                    <c:v>1qMay</c:v>
                  </c:pt>
                  <c:pt idx="121">
                    <c:v>2qMay</c:v>
                  </c:pt>
                  <c:pt idx="122">
                    <c:v>1qJun</c:v>
                  </c:pt>
                  <c:pt idx="123">
                    <c:v>2qJun</c:v>
                  </c:pt>
                  <c:pt idx="124">
                    <c:v>1qJul</c:v>
                  </c:pt>
                  <c:pt idx="125">
                    <c:v>2qJul</c:v>
                  </c:pt>
                  <c:pt idx="126">
                    <c:v>1qAgo</c:v>
                  </c:pt>
                  <c:pt idx="127">
                    <c:v>2qAgo</c:v>
                  </c:pt>
                  <c:pt idx="128">
                    <c:v>1qSep</c:v>
                  </c:pt>
                  <c:pt idx="129">
                    <c:v>2qSep</c:v>
                  </c:pt>
                  <c:pt idx="130">
                    <c:v>1qOct</c:v>
                  </c:pt>
                  <c:pt idx="131">
                    <c:v>2qOct</c:v>
                  </c:pt>
                  <c:pt idx="132">
                    <c:v>1qNov</c:v>
                  </c:pt>
                  <c:pt idx="133">
                    <c:v>2qNov</c:v>
                  </c:pt>
                  <c:pt idx="134">
                    <c:v>1qDic</c:v>
                  </c:pt>
                  <c:pt idx="135">
                    <c:v>2qDic</c:v>
                  </c:pt>
                  <c:pt idx="136">
                    <c:v>1qEne</c:v>
                  </c:pt>
                  <c:pt idx="137">
                    <c:v>2qEne</c:v>
                  </c:pt>
                  <c:pt idx="138">
                    <c:v>1qFeb</c:v>
                  </c:pt>
                  <c:pt idx="139">
                    <c:v>2qFeb</c:v>
                  </c:pt>
                  <c:pt idx="140">
                    <c:v>1qMar</c:v>
                  </c:pt>
                  <c:pt idx="141">
                    <c:v>2qMar</c:v>
                  </c:pt>
                  <c:pt idx="142">
                    <c:v>1qAbr</c:v>
                  </c:pt>
                  <c:pt idx="143">
                    <c:v>2qAbr</c:v>
                  </c:pt>
                  <c:pt idx="144">
                    <c:v>1qMay</c:v>
                  </c:pt>
                  <c:pt idx="145">
                    <c:v>2qMay</c:v>
                  </c:pt>
                  <c:pt idx="146">
                    <c:v>1qJun</c:v>
                  </c:pt>
                  <c:pt idx="147">
                    <c:v>2qJun</c:v>
                  </c:pt>
                  <c:pt idx="148">
                    <c:v>1qJul</c:v>
                  </c:pt>
                  <c:pt idx="149">
                    <c:v>2qJul</c:v>
                  </c:pt>
                  <c:pt idx="150">
                    <c:v>1qAgo</c:v>
                  </c:pt>
                  <c:pt idx="151">
                    <c:v>2qAgo</c:v>
                  </c:pt>
                  <c:pt idx="152">
                    <c:v>1qSep</c:v>
                  </c:pt>
                  <c:pt idx="153">
                    <c:v>2qSep</c:v>
                  </c:pt>
                  <c:pt idx="154">
                    <c:v>1qOct</c:v>
                  </c:pt>
                  <c:pt idx="155">
                    <c:v>2qOct</c:v>
                  </c:pt>
                  <c:pt idx="156">
                    <c:v>1qNov</c:v>
                  </c:pt>
                  <c:pt idx="157">
                    <c:v>2qNov</c:v>
                  </c:pt>
                  <c:pt idx="158">
                    <c:v>1qDic</c:v>
                  </c:pt>
                  <c:pt idx="159">
                    <c:v>2qDic</c:v>
                  </c:pt>
                  <c:pt idx="160">
                    <c:v>1qEne</c:v>
                  </c:pt>
                  <c:pt idx="161">
                    <c:v>2qEne</c:v>
                  </c:pt>
                  <c:pt idx="162">
                    <c:v>1qFeb</c:v>
                  </c:pt>
                  <c:pt idx="163">
                    <c:v>2qFeb</c:v>
                  </c:pt>
                  <c:pt idx="164">
                    <c:v>1qMar</c:v>
                  </c:pt>
                  <c:pt idx="165">
                    <c:v>2qMar</c:v>
                  </c:pt>
                  <c:pt idx="166">
                    <c:v>1qAbr</c:v>
                  </c:pt>
                  <c:pt idx="167">
                    <c:v>2qAbr</c:v>
                  </c:pt>
                  <c:pt idx="168">
                    <c:v>1qMay</c:v>
                  </c:pt>
                  <c:pt idx="169">
                    <c:v>2qMay</c:v>
                  </c:pt>
                  <c:pt idx="170">
                    <c:v>1qJun</c:v>
                  </c:pt>
                  <c:pt idx="171">
                    <c:v>2qJun</c:v>
                  </c:pt>
                  <c:pt idx="172">
                    <c:v>1qJul</c:v>
                  </c:pt>
                  <c:pt idx="173">
                    <c:v>2qJul</c:v>
                  </c:pt>
                  <c:pt idx="174">
                    <c:v>1qAgo</c:v>
                  </c:pt>
                  <c:pt idx="175">
                    <c:v>2qAgo</c:v>
                  </c:pt>
                  <c:pt idx="176">
                    <c:v>1qSep</c:v>
                  </c:pt>
                  <c:pt idx="177">
                    <c:v>2qSep</c:v>
                  </c:pt>
                  <c:pt idx="178">
                    <c:v>1qOct</c:v>
                  </c:pt>
                  <c:pt idx="179">
                    <c:v>2qOct</c:v>
                  </c:pt>
                  <c:pt idx="180">
                    <c:v>1qNov</c:v>
                  </c:pt>
                  <c:pt idx="181">
                    <c:v>2qNov</c:v>
                  </c:pt>
                  <c:pt idx="182">
                    <c:v>1qDic</c:v>
                  </c:pt>
                  <c:pt idx="183">
                    <c:v>2qDic</c:v>
                  </c:pt>
                  <c:pt idx="184">
                    <c:v>1qEne</c:v>
                  </c:pt>
                  <c:pt idx="185">
                    <c:v>2qEne</c:v>
                  </c:pt>
                  <c:pt idx="186">
                    <c:v>1qFeb</c:v>
                  </c:pt>
                  <c:pt idx="187">
                    <c:v>2qFeb</c:v>
                  </c:pt>
                  <c:pt idx="188">
                    <c:v>1qMar</c:v>
                  </c:pt>
                  <c:pt idx="189">
                    <c:v>2qMar</c:v>
                  </c:pt>
                  <c:pt idx="190">
                    <c:v>1qAbr</c:v>
                  </c:pt>
                  <c:pt idx="191">
                    <c:v>2qAbr</c:v>
                  </c:pt>
                  <c:pt idx="192">
                    <c:v>1qMay</c:v>
                  </c:pt>
                  <c:pt idx="193">
                    <c:v>2qMay</c:v>
                  </c:pt>
                  <c:pt idx="194">
                    <c:v>1qJun</c:v>
                  </c:pt>
                  <c:pt idx="195">
                    <c:v>2qJun</c:v>
                  </c:pt>
                  <c:pt idx="196">
                    <c:v>1qJul</c:v>
                  </c:pt>
                  <c:pt idx="197">
                    <c:v>2qJul</c:v>
                  </c:pt>
                  <c:pt idx="198">
                    <c:v>1qAgo</c:v>
                  </c:pt>
                  <c:pt idx="199">
                    <c:v>2qAgo</c:v>
                  </c:pt>
                  <c:pt idx="200">
                    <c:v>1qSep</c:v>
                  </c:pt>
                  <c:pt idx="201">
                    <c:v>2qSep</c:v>
                  </c:pt>
                  <c:pt idx="202">
                    <c:v>1qOct</c:v>
                  </c:pt>
                  <c:pt idx="203">
                    <c:v>2qOct</c:v>
                  </c:pt>
                  <c:pt idx="204">
                    <c:v>1qNov</c:v>
                  </c:pt>
                  <c:pt idx="205">
                    <c:v>2qNov</c:v>
                  </c:pt>
                  <c:pt idx="206">
                    <c:v>1qDic</c:v>
                  </c:pt>
                  <c:pt idx="207">
                    <c:v>2qDic</c:v>
                  </c:pt>
                  <c:pt idx="208">
                    <c:v>1qEne</c:v>
                  </c:pt>
                  <c:pt idx="209">
                    <c:v>2qEne</c:v>
                  </c:pt>
                  <c:pt idx="210">
                    <c:v>1qFeb</c:v>
                  </c:pt>
                  <c:pt idx="211">
                    <c:v>2qFeb</c:v>
                  </c:pt>
                  <c:pt idx="212">
                    <c:v>1qMar</c:v>
                  </c:pt>
                  <c:pt idx="213">
                    <c:v>2qMar</c:v>
                  </c:pt>
                  <c:pt idx="214">
                    <c:v>1qAbr</c:v>
                  </c:pt>
                  <c:pt idx="215">
                    <c:v>2qAbr</c:v>
                  </c:pt>
                  <c:pt idx="216">
                    <c:v>1qMay</c:v>
                  </c:pt>
                </c:lvl>
                <c:lvl>
                  <c:pt idx="0">
                    <c:v>2012</c:v>
                  </c:pt>
                  <c:pt idx="1">
                    <c:v>2012</c:v>
                  </c:pt>
                  <c:pt idx="2">
                    <c:v>2012</c:v>
                  </c:pt>
                  <c:pt idx="3">
                    <c:v>2012</c:v>
                  </c:pt>
                  <c:pt idx="4">
                    <c:v>2012</c:v>
                  </c:pt>
                  <c:pt idx="5">
                    <c:v>2012</c:v>
                  </c:pt>
                  <c:pt idx="6">
                    <c:v>2012</c:v>
                  </c:pt>
                  <c:pt idx="7">
                    <c:v>2012</c:v>
                  </c:pt>
                  <c:pt idx="8">
                    <c:v>2012</c:v>
                  </c:pt>
                  <c:pt idx="9">
                    <c:v>2012</c:v>
                  </c:pt>
                  <c:pt idx="10">
                    <c:v>2012</c:v>
                  </c:pt>
                  <c:pt idx="11">
                    <c:v>2012</c:v>
                  </c:pt>
                  <c:pt idx="12">
                    <c:v>2012</c:v>
                  </c:pt>
                  <c:pt idx="13">
                    <c:v>2012</c:v>
                  </c:pt>
                  <c:pt idx="14">
                    <c:v>2012</c:v>
                  </c:pt>
                  <c:pt idx="15">
                    <c:v>2012</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2013</c:v>
                  </c:pt>
                  <c:pt idx="39">
                    <c:v>2013</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2014</c:v>
                  </c:pt>
                  <c:pt idx="61">
                    <c:v>2014</c:v>
                  </c:pt>
                  <c:pt idx="62">
                    <c:v>2014</c:v>
                  </c:pt>
                  <c:pt idx="63">
                    <c:v>2014</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2015</c:v>
                  </c:pt>
                  <c:pt idx="85">
                    <c:v>2015</c:v>
                  </c:pt>
                  <c:pt idx="86">
                    <c:v>2015</c:v>
                  </c:pt>
                  <c:pt idx="87">
                    <c:v>2015</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2016</c:v>
                  </c:pt>
                  <c:pt idx="105">
                    <c:v>2016</c:v>
                  </c:pt>
                  <c:pt idx="106">
                    <c:v>2016</c:v>
                  </c:pt>
                  <c:pt idx="107">
                    <c:v>2016</c:v>
                  </c:pt>
                  <c:pt idx="108">
                    <c:v>2016</c:v>
                  </c:pt>
                  <c:pt idx="109">
                    <c:v>2016</c:v>
                  </c:pt>
                  <c:pt idx="110">
                    <c:v>2016</c:v>
                  </c:pt>
                  <c:pt idx="111">
                    <c:v>2016</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2017</c:v>
                  </c:pt>
                  <c:pt idx="129">
                    <c:v>2017</c:v>
                  </c:pt>
                  <c:pt idx="130">
                    <c:v>2017</c:v>
                  </c:pt>
                  <c:pt idx="131">
                    <c:v>2017</c:v>
                  </c:pt>
                  <c:pt idx="132">
                    <c:v>2017</c:v>
                  </c:pt>
                  <c:pt idx="133">
                    <c:v>2017</c:v>
                  </c:pt>
                  <c:pt idx="134">
                    <c:v>2017</c:v>
                  </c:pt>
                  <c:pt idx="135">
                    <c:v>2017</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2018</c:v>
                  </c:pt>
                  <c:pt idx="153">
                    <c:v>2018</c:v>
                  </c:pt>
                  <c:pt idx="154">
                    <c:v>2018</c:v>
                  </c:pt>
                  <c:pt idx="155">
                    <c:v>2018</c:v>
                  </c:pt>
                  <c:pt idx="156">
                    <c:v>2018</c:v>
                  </c:pt>
                  <c:pt idx="157">
                    <c:v>2018</c:v>
                  </c:pt>
                  <c:pt idx="158">
                    <c:v>2018</c:v>
                  </c:pt>
                  <c:pt idx="159">
                    <c:v>2018</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2019</c:v>
                  </c:pt>
                  <c:pt idx="177">
                    <c:v>2019</c:v>
                  </c:pt>
                  <c:pt idx="178">
                    <c:v>2019</c:v>
                  </c:pt>
                  <c:pt idx="179">
                    <c:v>2019</c:v>
                  </c:pt>
                  <c:pt idx="180">
                    <c:v>2019</c:v>
                  </c:pt>
                  <c:pt idx="181">
                    <c:v>2019</c:v>
                  </c:pt>
                  <c:pt idx="182">
                    <c:v>2019</c:v>
                  </c:pt>
                  <c:pt idx="183">
                    <c:v>2019</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2020</c:v>
                  </c:pt>
                  <c:pt idx="201">
                    <c:v>2020</c:v>
                  </c:pt>
                  <c:pt idx="202">
                    <c:v>2020</c:v>
                  </c:pt>
                  <c:pt idx="203">
                    <c:v>2020</c:v>
                  </c:pt>
                  <c:pt idx="204">
                    <c:v>2020</c:v>
                  </c:pt>
                  <c:pt idx="205">
                    <c:v>2020</c:v>
                  </c:pt>
                  <c:pt idx="206">
                    <c:v>2020</c:v>
                  </c:pt>
                  <c:pt idx="207">
                    <c:v>2020</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2018'!$J$157:$J$373</c:f>
              <c:numCache>
                <c:formatCode>0.00</c:formatCode>
                <c:ptCount val="217"/>
                <c:pt idx="0">
                  <c:v>4.4063457190961399</c:v>
                </c:pt>
                <c:pt idx="1">
                  <c:v>5.8983907467252319</c:v>
                </c:pt>
                <c:pt idx="2">
                  <c:v>7.0719229188464947</c:v>
                </c:pt>
                <c:pt idx="3">
                  <c:v>7.4507635130297452</c:v>
                </c:pt>
                <c:pt idx="4">
                  <c:v>7.5521809507569255</c:v>
                </c:pt>
                <c:pt idx="5">
                  <c:v>7.0396963392735641</c:v>
                </c:pt>
                <c:pt idx="6">
                  <c:v>7.0306437576530145</c:v>
                </c:pt>
                <c:pt idx="7">
                  <c:v>8.1267483710033641</c:v>
                </c:pt>
                <c:pt idx="8">
                  <c:v>8.6566494869844988</c:v>
                </c:pt>
                <c:pt idx="9">
                  <c:v>8.9689564639889685</c:v>
                </c:pt>
                <c:pt idx="10">
                  <c:v>8.2727964085251564</c:v>
                </c:pt>
                <c:pt idx="11">
                  <c:v>7.870155377424946</c:v>
                </c:pt>
                <c:pt idx="12">
                  <c:v>7.2170220161045044</c:v>
                </c:pt>
                <c:pt idx="13">
                  <c:v>6.9706637062358769</c:v>
                </c:pt>
                <c:pt idx="14">
                  <c:v>6.2218573451948833</c:v>
                </c:pt>
                <c:pt idx="15">
                  <c:v>5.2682157801897365</c:v>
                </c:pt>
                <c:pt idx="16">
                  <c:v>4.608977501040858</c:v>
                </c:pt>
                <c:pt idx="17">
                  <c:v>4.3355668355780272</c:v>
                </c:pt>
                <c:pt idx="18">
                  <c:v>5.1382253293632401</c:v>
                </c:pt>
                <c:pt idx="19">
                  <c:v>5.8118619831810516</c:v>
                </c:pt>
                <c:pt idx="20">
                  <c:v>7.6078959792507632</c:v>
                </c:pt>
                <c:pt idx="21">
                  <c:v>8.974829046550866</c:v>
                </c:pt>
                <c:pt idx="22">
                  <c:v>10.4402917934479</c:v>
                </c:pt>
                <c:pt idx="23">
                  <c:v>10.201009942024438</c:v>
                </c:pt>
                <c:pt idx="24">
                  <c:v>10.907369408610769</c:v>
                </c:pt>
                <c:pt idx="25">
                  <c:v>10.207435473414865</c:v>
                </c:pt>
                <c:pt idx="26">
                  <c:v>8.9461357031676076</c:v>
                </c:pt>
                <c:pt idx="27">
                  <c:v>7.8336181790615926</c:v>
                </c:pt>
                <c:pt idx="28">
                  <c:v>6.6244275978413096</c:v>
                </c:pt>
                <c:pt idx="29">
                  <c:v>6.5849956521731121</c:v>
                </c:pt>
                <c:pt idx="30">
                  <c:v>7.3449762834321159</c:v>
                </c:pt>
                <c:pt idx="31">
                  <c:v>6.6779523560491665</c:v>
                </c:pt>
                <c:pt idx="32">
                  <c:v>6.4359410807156525</c:v>
                </c:pt>
                <c:pt idx="33">
                  <c:v>5.9553218744046132</c:v>
                </c:pt>
                <c:pt idx="34">
                  <c:v>5.8530958727509432</c:v>
                </c:pt>
                <c:pt idx="35">
                  <c:v>6.5128075430433015</c:v>
                </c:pt>
                <c:pt idx="36">
                  <c:v>7.0118965034908376</c:v>
                </c:pt>
                <c:pt idx="37">
                  <c:v>7.0221263361673998</c:v>
                </c:pt>
                <c:pt idx="38">
                  <c:v>7.4370205211353877</c:v>
                </c:pt>
                <c:pt idx="39">
                  <c:v>8.2465287880433564</c:v>
                </c:pt>
                <c:pt idx="40">
                  <c:v>8.8367983932548242</c:v>
                </c:pt>
                <c:pt idx="41">
                  <c:v>8.3284321874428038</c:v>
                </c:pt>
                <c:pt idx="42">
                  <c:v>8.2233548225420758</c:v>
                </c:pt>
                <c:pt idx="43">
                  <c:v>8.3413815433276302</c:v>
                </c:pt>
                <c:pt idx="44">
                  <c:v>7.2884436711685847</c:v>
                </c:pt>
                <c:pt idx="45">
                  <c:v>5.7915782414892245</c:v>
                </c:pt>
                <c:pt idx="46">
                  <c:v>4.6968785523998315</c:v>
                </c:pt>
                <c:pt idx="47">
                  <c:v>4.798318686234242</c:v>
                </c:pt>
                <c:pt idx="48">
                  <c:v>5.020625205263511</c:v>
                </c:pt>
                <c:pt idx="49">
                  <c:v>5.3523730112123085</c:v>
                </c:pt>
                <c:pt idx="50">
                  <c:v>5.781514877854991</c:v>
                </c:pt>
                <c:pt idx="51">
                  <c:v>6.1425421142468783</c:v>
                </c:pt>
                <c:pt idx="52">
                  <c:v>6.6760329205397984</c:v>
                </c:pt>
                <c:pt idx="53">
                  <c:v>6.9782029697425152</c:v>
                </c:pt>
                <c:pt idx="54">
                  <c:v>6.4950635503201806</c:v>
                </c:pt>
                <c:pt idx="55">
                  <c:v>6.9409184628710738</c:v>
                </c:pt>
                <c:pt idx="56">
                  <c:v>7.0922003284502013</c:v>
                </c:pt>
                <c:pt idx="57">
                  <c:v>7.1317297538828734</c:v>
                </c:pt>
                <c:pt idx="58">
                  <c:v>7.5886496453235548</c:v>
                </c:pt>
                <c:pt idx="59">
                  <c:v>7.4237251066789662</c:v>
                </c:pt>
                <c:pt idx="60">
                  <c:v>6.7872551782769337</c:v>
                </c:pt>
                <c:pt idx="61">
                  <c:v>6.7653961950898802</c:v>
                </c:pt>
                <c:pt idx="62">
                  <c:v>7.1142206408702933</c:v>
                </c:pt>
                <c:pt idx="63">
                  <c:v>6.2883677473259407</c:v>
                </c:pt>
                <c:pt idx="64">
                  <c:v>5.1238236673489137</c:v>
                </c:pt>
                <c:pt idx="65">
                  <c:v>5.553502053315559</c:v>
                </c:pt>
                <c:pt idx="66">
                  <c:v>4.9759722534293189</c:v>
                </c:pt>
                <c:pt idx="67">
                  <c:v>4.7923307780056659</c:v>
                </c:pt>
                <c:pt idx="68">
                  <c:v>4.6877848019337964</c:v>
                </c:pt>
                <c:pt idx="69">
                  <c:v>5.8982881785546351</c:v>
                </c:pt>
                <c:pt idx="70">
                  <c:v>5.5662086749607775</c:v>
                </c:pt>
                <c:pt idx="71">
                  <c:v>5.3604930577271457</c:v>
                </c:pt>
                <c:pt idx="72">
                  <c:v>4.7646302304178798</c:v>
                </c:pt>
                <c:pt idx="73">
                  <c:v>4.5218429460487961</c:v>
                </c:pt>
                <c:pt idx="74">
                  <c:v>4.7150900692212332</c:v>
                </c:pt>
                <c:pt idx="75">
                  <c:v>4.5522452292606204</c:v>
                </c:pt>
                <c:pt idx="76">
                  <c:v>4.2340596225878899</c:v>
                </c:pt>
                <c:pt idx="77">
                  <c:v>4.0145974849363251</c:v>
                </c:pt>
                <c:pt idx="78">
                  <c:v>3.7730940060574425</c:v>
                </c:pt>
                <c:pt idx="79">
                  <c:v>3.253707279534702</c:v>
                </c:pt>
                <c:pt idx="80">
                  <c:v>3.1284345527310906</c:v>
                </c:pt>
                <c:pt idx="81">
                  <c:v>2.799376312718608</c:v>
                </c:pt>
                <c:pt idx="82">
                  <c:v>2.5182673831467639</c:v>
                </c:pt>
                <c:pt idx="83">
                  <c:v>2.5316811331532789</c:v>
                </c:pt>
                <c:pt idx="84">
                  <c:v>2.0256458057087765</c:v>
                </c:pt>
                <c:pt idx="85">
                  <c:v>1.6607444895850163</c:v>
                </c:pt>
                <c:pt idx="86">
                  <c:v>0.82695210466758939</c:v>
                </c:pt>
                <c:pt idx="87">
                  <c:v>1.724262703140605</c:v>
                </c:pt>
                <c:pt idx="88">
                  <c:v>2.076840265880878</c:v>
                </c:pt>
                <c:pt idx="89">
                  <c:v>2.9670720466403915</c:v>
                </c:pt>
                <c:pt idx="90">
                  <c:v>3.8869802894417953</c:v>
                </c:pt>
                <c:pt idx="91">
                  <c:v>3.1013903780819594</c:v>
                </c:pt>
                <c:pt idx="92">
                  <c:v>2.2772829941737354</c:v>
                </c:pt>
                <c:pt idx="93">
                  <c:v>1.9572208365234951</c:v>
                </c:pt>
                <c:pt idx="94">
                  <c:v>2.0115736658447148</c:v>
                </c:pt>
                <c:pt idx="95">
                  <c:v>1.3069599469632531</c:v>
                </c:pt>
                <c:pt idx="96">
                  <c:v>1.3202540826712859</c:v>
                </c:pt>
                <c:pt idx="97">
                  <c:v>1.7754334846294024</c:v>
                </c:pt>
                <c:pt idx="98">
                  <c:v>1.1875054186072642</c:v>
                </c:pt>
                <c:pt idx="99">
                  <c:v>1.1236102759206998</c:v>
                </c:pt>
                <c:pt idx="100">
                  <c:v>1.8570672629971363</c:v>
                </c:pt>
                <c:pt idx="101">
                  <c:v>1.435473434493211</c:v>
                </c:pt>
                <c:pt idx="102">
                  <c:v>2.2551891944160936</c:v>
                </c:pt>
                <c:pt idx="103">
                  <c:v>1.7205237390155139</c:v>
                </c:pt>
                <c:pt idx="104">
                  <c:v>2.3568244434462002</c:v>
                </c:pt>
                <c:pt idx="105">
                  <c:v>2.9494501849673669</c:v>
                </c:pt>
                <c:pt idx="106">
                  <c:v>3.0509461123777619</c:v>
                </c:pt>
                <c:pt idx="107">
                  <c:v>2.8557463161235983</c:v>
                </c:pt>
                <c:pt idx="108">
                  <c:v>3.1799022420404248</c:v>
                </c:pt>
                <c:pt idx="109">
                  <c:v>3.5033422442723645</c:v>
                </c:pt>
                <c:pt idx="110">
                  <c:v>3.5487290477032336</c:v>
                </c:pt>
                <c:pt idx="111">
                  <c:v>2.7088446842934264</c:v>
                </c:pt>
                <c:pt idx="112">
                  <c:v>8.0155759671578775</c:v>
                </c:pt>
                <c:pt idx="113">
                  <c:v>6.7889227299709018</c:v>
                </c:pt>
                <c:pt idx="114">
                  <c:v>6.2468428455855101</c:v>
                </c:pt>
                <c:pt idx="115">
                  <c:v>7.1735536812742309</c:v>
                </c:pt>
                <c:pt idx="116">
                  <c:v>8.2400694123811249</c:v>
                </c:pt>
                <c:pt idx="117">
                  <c:v>7.8091062118025887</c:v>
                </c:pt>
                <c:pt idx="118">
                  <c:v>8.3192674122531542</c:v>
                </c:pt>
                <c:pt idx="119">
                  <c:v>10.188536743829049</c:v>
                </c:pt>
                <c:pt idx="120">
                  <c:v>10.713444255762218</c:v>
                </c:pt>
                <c:pt idx="121">
                  <c:v>10.494054509718536</c:v>
                </c:pt>
                <c:pt idx="122">
                  <c:v>11.068084455061635</c:v>
                </c:pt>
                <c:pt idx="123">
                  <c:v>11.116193236681299</c:v>
                </c:pt>
                <c:pt idx="124">
                  <c:v>10.654814832773308</c:v>
                </c:pt>
                <c:pt idx="125">
                  <c:v>11.890453651150397</c:v>
                </c:pt>
                <c:pt idx="126">
                  <c:v>11.59946520094484</c:v>
                </c:pt>
                <c:pt idx="127">
                  <c:v>12.370504117360422</c:v>
                </c:pt>
                <c:pt idx="128">
                  <c:v>11.732885573617841</c:v>
                </c:pt>
                <c:pt idx="129">
                  <c:v>10.826978305481262</c:v>
                </c:pt>
                <c:pt idx="130">
                  <c:v>11.175643401945399</c:v>
                </c:pt>
                <c:pt idx="131">
                  <c:v>11.627961590016657</c:v>
                </c:pt>
                <c:pt idx="132">
                  <c:v>11.979095541609256</c:v>
                </c:pt>
                <c:pt idx="133">
                  <c:v>11.966928586012539</c:v>
                </c:pt>
                <c:pt idx="134">
                  <c:v>12.19819985820498</c:v>
                </c:pt>
                <c:pt idx="135">
                  <c:v>13.042548535754021</c:v>
                </c:pt>
                <c:pt idx="136">
                  <c:v>8.0957142470216468</c:v>
                </c:pt>
                <c:pt idx="137">
                  <c:v>8.784029546271972</c:v>
                </c:pt>
                <c:pt idx="138">
                  <c:v>8.7699585650103895</c:v>
                </c:pt>
                <c:pt idx="139">
                  <c:v>8.2133204175087577</c:v>
                </c:pt>
                <c:pt idx="140">
                  <c:v>8.2109095942744847</c:v>
                </c:pt>
                <c:pt idx="141">
                  <c:v>7.8437064030363404</c:v>
                </c:pt>
                <c:pt idx="142">
                  <c:v>7.674493162831669</c:v>
                </c:pt>
                <c:pt idx="143">
                  <c:v>6.4732617723916475</c:v>
                </c:pt>
                <c:pt idx="144">
                  <c:v>6.7861034921774976</c:v>
                </c:pt>
                <c:pt idx="145">
                  <c:v>7.1894470826787513</c:v>
                </c:pt>
                <c:pt idx="146">
                  <c:v>7.4080464156303885</c:v>
                </c:pt>
                <c:pt idx="147">
                  <c:v>8.1759578507468582</c:v>
                </c:pt>
                <c:pt idx="148">
                  <c:v>8.5244469707804758</c:v>
                </c:pt>
                <c:pt idx="149">
                  <c:v>8.2396443389400353</c:v>
                </c:pt>
                <c:pt idx="150">
                  <c:v>8.4778777874222051</c:v>
                </c:pt>
                <c:pt idx="151">
                  <c:v>9.1250834094069031</c:v>
                </c:pt>
                <c:pt idx="152">
                  <c:v>8.9014621740238677</c:v>
                </c:pt>
                <c:pt idx="153">
                  <c:v>9.4001712302329175</c:v>
                </c:pt>
                <c:pt idx="154">
                  <c:v>8.5833746080847018</c:v>
                </c:pt>
                <c:pt idx="155">
                  <c:v>8.4149503244663659</c:v>
                </c:pt>
                <c:pt idx="156">
                  <c:v>7.4587754195543852</c:v>
                </c:pt>
                <c:pt idx="157">
                  <c:v>8.6855000983297579</c:v>
                </c:pt>
                <c:pt idx="158">
                  <c:v>9.2345283540430856</c:v>
                </c:pt>
                <c:pt idx="159">
                  <c:v>7.5711178493052351</c:v>
                </c:pt>
                <c:pt idx="160">
                  <c:v>7.3124385579132483</c:v>
                </c:pt>
                <c:pt idx="161">
                  <c:v>6.3061753519809374</c:v>
                </c:pt>
                <c:pt idx="162">
                  <c:v>5.1471540749467239</c:v>
                </c:pt>
                <c:pt idx="163">
                  <c:v>5.3588076577166346</c:v>
                </c:pt>
                <c:pt idx="164">
                  <c:v>5.3893710249035962</c:v>
                </c:pt>
                <c:pt idx="165">
                  <c:v>5.5437019338347788</c:v>
                </c:pt>
                <c:pt idx="166">
                  <c:v>5.7707492934085547</c:v>
                </c:pt>
                <c:pt idx="167">
                  <c:v>6.3945344975361236</c:v>
                </c:pt>
                <c:pt idx="168">
                  <c:v>6.4150072664465689</c:v>
                </c:pt>
                <c:pt idx="169">
                  <c:v>5.1485634676002903</c:v>
                </c:pt>
                <c:pt idx="170">
                  <c:v>4.3393156770757928</c:v>
                </c:pt>
                <c:pt idx="171">
                  <c:v>4.037491372769324</c:v>
                </c:pt>
                <c:pt idx="172">
                  <c:v>3.920254162049539</c:v>
                </c:pt>
                <c:pt idx="173">
                  <c:v>3.3700000000000041</c:v>
                </c:pt>
                <c:pt idx="174">
                  <c:v>1.8069870764384564</c:v>
                </c:pt>
                <c:pt idx="175">
                  <c:v>0.76325379907859547</c:v>
                </c:pt>
                <c:pt idx="176">
                  <c:v>0.56789253123408745</c:v>
                </c:pt>
                <c:pt idx="177">
                  <c:v>0.84506489941570395</c:v>
                </c:pt>
                <c:pt idx="178">
                  <c:v>0.98524078276217042</c:v>
                </c:pt>
                <c:pt idx="179">
                  <c:v>1.0409411036297576</c:v>
                </c:pt>
                <c:pt idx="180">
                  <c:v>1.4517936155263074</c:v>
                </c:pt>
                <c:pt idx="181">
                  <c:v>0.50817105300167975</c:v>
                </c:pt>
                <c:pt idx="182">
                  <c:v>-0.15228473531241721</c:v>
                </c:pt>
                <c:pt idx="183">
                  <c:v>1.3325873082482418</c:v>
                </c:pt>
                <c:pt idx="184">
                  <c:v>1.6008786217551949</c:v>
                </c:pt>
                <c:pt idx="185">
                  <c:v>2.012004712129996</c:v>
                </c:pt>
                <c:pt idx="186">
                  <c:v>3.0312774872081154</c:v>
                </c:pt>
                <c:pt idx="187">
                  <c:v>4.5964072536017415</c:v>
                </c:pt>
                <c:pt idx="188">
                  <c:v>4.0373138543215932</c:v>
                </c:pt>
                <c:pt idx="189">
                  <c:v>0.34719281903632798</c:v>
                </c:pt>
                <c:pt idx="190">
                  <c:v>-1.930833261820982</c:v>
                </c:pt>
                <c:pt idx="191">
                  <c:v>-1.9980608733674303</c:v>
                </c:pt>
                <c:pt idx="192">
                  <c:v>-5.6929474994449378E-2</c:v>
                </c:pt>
                <c:pt idx="193">
                  <c:v>0.76050428329998754</c:v>
                </c:pt>
                <c:pt idx="194">
                  <c:v>1.6326889107925342</c:v>
                </c:pt>
                <c:pt idx="195">
                  <c:v>2.6876539244030369</c:v>
                </c:pt>
                <c:pt idx="196">
                  <c:v>2.7878306980704846</c:v>
                </c:pt>
                <c:pt idx="197">
                  <c:v>3.0463383960530144</c:v>
                </c:pt>
                <c:pt idx="198">
                  <c:v>4.1846423528266028</c:v>
                </c:pt>
                <c:pt idx="199">
                  <c:v>4.4181013472674415</c:v>
                </c:pt>
                <c:pt idx="200">
                  <c:v>4.4425188877638462</c:v>
                </c:pt>
                <c:pt idx="201">
                  <c:v>3.7582874808002638</c:v>
                </c:pt>
                <c:pt idx="202">
                  <c:v>4.3403944765599451</c:v>
                </c:pt>
                <c:pt idx="203">
                  <c:v>4.5000191490176578</c:v>
                </c:pt>
                <c:pt idx="204">
                  <c:v>2.6664295675124281</c:v>
                </c:pt>
                <c:pt idx="205">
                  <c:v>1.9934887452308327</c:v>
                </c:pt>
                <c:pt idx="206">
                  <c:v>1.4461215114062316</c:v>
                </c:pt>
                <c:pt idx="207">
                  <c:v>0.9257895899285874</c:v>
                </c:pt>
                <c:pt idx="208">
                  <c:v>1.8422330319436389</c:v>
                </c:pt>
                <c:pt idx="209">
                  <c:v>3.418568417193661</c:v>
                </c:pt>
                <c:pt idx="210">
                  <c:v>3.8481310127047008</c:v>
                </c:pt>
                <c:pt idx="211">
                  <c:v>3.0278913287269824</c:v>
                </c:pt>
                <c:pt idx="212">
                  <c:v>4.186458927101155</c:v>
                </c:pt>
                <c:pt idx="213">
                  <c:v>8.5175808720112407</c:v>
                </c:pt>
                <c:pt idx="214">
                  <c:v>12.205888072181388</c:v>
                </c:pt>
                <c:pt idx="215">
                  <c:v>12.467507274490785</c:v>
                </c:pt>
                <c:pt idx="216">
                  <c:v>10.828554326208263</c:v>
                </c:pt>
              </c:numCache>
            </c:numRef>
          </c:val>
          <c:smooth val="0"/>
          <c:extLst>
            <c:ext xmlns:c16="http://schemas.microsoft.com/office/drawing/2014/chart" uri="{C3380CC4-5D6E-409C-BE32-E72D297353CC}">
              <c16:uniqueId val="{00000005-5A2E-42C5-8500-D07C18009742}"/>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9773-0726-4FD4-80D2-52843192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10</TotalTime>
  <Pages>12</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33</cp:revision>
  <cp:lastPrinted>2021-01-19T21:18:00Z</cp:lastPrinted>
  <dcterms:created xsi:type="dcterms:W3CDTF">2021-05-20T21:25:00Z</dcterms:created>
  <dcterms:modified xsi:type="dcterms:W3CDTF">2021-05-21T22:50:00Z</dcterms:modified>
  <cp:category>INDICES DE PRECIOS</cp:category>
  <cp:version>1</cp:version>
</cp:coreProperties>
</file>