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94D9B" w14:textId="77777777" w:rsidR="00F17927" w:rsidRDefault="00F17927" w:rsidP="00F17927">
      <w:pPr>
        <w:tabs>
          <w:tab w:val="left" w:pos="8789"/>
        </w:tabs>
        <w:ind w:left="284" w:right="51"/>
        <w:jc w:val="center"/>
      </w:pPr>
      <w:bookmarkStart w:id="0" w:name="_Hlk12021772"/>
      <w:bookmarkEnd w:id="0"/>
      <w:r>
        <w:rPr>
          <w:noProof/>
          <w:sz w:val="20"/>
          <w:lang w:val="es-MX" w:eastAsia="es-MX"/>
        </w:rPr>
        <mc:AlternateContent>
          <mc:Choice Requires="wps">
            <w:drawing>
              <wp:anchor distT="45720" distB="45720" distL="114300" distR="114300" simplePos="0" relativeHeight="251659264" behindDoc="0" locked="0" layoutInCell="1" allowOverlap="1" wp14:anchorId="7B75D0BE" wp14:editId="71D5FC2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959454C" w14:textId="77777777" w:rsidR="00F17927" w:rsidRPr="00265B8C" w:rsidRDefault="00F17927" w:rsidP="00F17927">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22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octubre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5D0B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959454C" w14:textId="77777777" w:rsidR="00F17927" w:rsidRPr="00265B8C" w:rsidRDefault="00F17927" w:rsidP="00F17927">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22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octubre   </w:t>
                      </w:r>
                    </w:p>
                  </w:txbxContent>
                </v:textbox>
                <w10:wrap type="square"/>
              </v:shape>
            </w:pict>
          </mc:Fallback>
        </mc:AlternateContent>
      </w:r>
    </w:p>
    <w:p w14:paraId="670333CF" w14:textId="77777777" w:rsidR="00F17927" w:rsidRDefault="00F17927" w:rsidP="00F17927">
      <w:pPr>
        <w:tabs>
          <w:tab w:val="left" w:pos="8789"/>
        </w:tabs>
        <w:ind w:left="284" w:right="51"/>
        <w:jc w:val="center"/>
      </w:pPr>
    </w:p>
    <w:p w14:paraId="00E779D3" w14:textId="77777777" w:rsidR="00F17927" w:rsidRDefault="00F17927" w:rsidP="00F17927">
      <w:pPr>
        <w:pStyle w:val="Profesin"/>
      </w:pPr>
    </w:p>
    <w:p w14:paraId="4B393D2A" w14:textId="77777777" w:rsidR="00F17927" w:rsidRDefault="00F17927" w:rsidP="00F17927">
      <w:pPr>
        <w:pStyle w:val="Profesin"/>
      </w:pPr>
    </w:p>
    <w:p w14:paraId="6DEC3FDC" w14:textId="24316A4A" w:rsidR="00F17927" w:rsidRPr="008617EC" w:rsidRDefault="00F17927" w:rsidP="00F17927">
      <w:pPr>
        <w:pStyle w:val="Profesin"/>
        <w:rPr>
          <w:sz w:val="24"/>
          <w:szCs w:val="24"/>
        </w:rPr>
      </w:pPr>
      <w:bookmarkStart w:id="1" w:name="_GoBack"/>
      <w:bookmarkEnd w:id="1"/>
      <w:r w:rsidRPr="008617EC">
        <w:rPr>
          <w:sz w:val="24"/>
          <w:szCs w:val="24"/>
        </w:rPr>
        <w:t>ÍNDICE NACIONAL DE PRECIOS AL CONSUMIDOR</w:t>
      </w:r>
    </w:p>
    <w:p w14:paraId="1B5ACACB" w14:textId="77777777" w:rsidR="00F17927" w:rsidRPr="008617EC" w:rsidRDefault="00F17927" w:rsidP="00F17927">
      <w:pPr>
        <w:pStyle w:val="Profesin"/>
        <w:rPr>
          <w:caps w:val="0"/>
          <w:sz w:val="24"/>
          <w:szCs w:val="24"/>
        </w:rPr>
      </w:pPr>
      <w:r w:rsidRPr="008617EC">
        <w:rPr>
          <w:caps w:val="0"/>
          <w:sz w:val="24"/>
          <w:szCs w:val="24"/>
        </w:rPr>
        <w:t>Primera quincena de septiembre de 2021</w:t>
      </w:r>
    </w:p>
    <w:p w14:paraId="05228892" w14:textId="77777777" w:rsidR="00F17927" w:rsidRPr="008D3B0A" w:rsidRDefault="00F17927" w:rsidP="00F17927">
      <w:pPr>
        <w:spacing w:before="360"/>
        <w:ind w:right="141"/>
      </w:pPr>
      <w:r w:rsidRPr="008D3B0A">
        <w:t>El Instituto Nacional de Estadística y Geografía (INEGI) informa que en la primera quincena de septiembre de 2021 el Índice Nacional de Precios al Consumidor (INPC) registró un crecimiento de 0.42 por ciento respecto a la quincena inmediata anterior; con este resultado la inflación anual se ubicó en 5.87 por ciento. En el mismo periodo de 2020 la inflación fue de 0.16 por ciento quincenal y de 4.10 por ciento anual.</w:t>
      </w:r>
    </w:p>
    <w:p w14:paraId="18DDECB5" w14:textId="77777777" w:rsidR="00F17927" w:rsidRPr="008D3B0A" w:rsidRDefault="00F17927" w:rsidP="00F17927">
      <w:pPr>
        <w:spacing w:before="360"/>
        <w:ind w:right="141"/>
      </w:pPr>
      <w:r w:rsidRPr="008D3B0A">
        <w:t>El índice de precios subyacente</w:t>
      </w:r>
      <w:r w:rsidRPr="008D3B0A">
        <w:rPr>
          <w:vertAlign w:val="superscript"/>
        </w:rPr>
        <w:footnoteReference w:id="1"/>
      </w:r>
      <w:r w:rsidRPr="008D3B0A">
        <w:t xml:space="preserve"> presentó un incremento de 0.31 por ciento quincenal y de 4.92 por ciento anual; por su parte, el índice de precios no subyacente se elevó 0.76 por ciento quincenal y 8.86 por ciento anual.</w:t>
      </w:r>
    </w:p>
    <w:p w14:paraId="14CEA0EA" w14:textId="77777777" w:rsidR="00F17927" w:rsidRPr="008D3B0A" w:rsidRDefault="00F17927" w:rsidP="00F17927">
      <w:pPr>
        <w:spacing w:before="360"/>
        <w:ind w:right="141"/>
      </w:pPr>
      <w:r w:rsidRPr="008D3B0A">
        <w:t>Al interior del índice de precios subyacente, a tasa quincenal, los precios de las mercancías aumentaron 0.43 por ciento y los de los servicios 0.17 por ciento.</w:t>
      </w:r>
    </w:p>
    <w:p w14:paraId="55FFFD95" w14:textId="1BEE636A" w:rsidR="00F17927" w:rsidRDefault="00F17927" w:rsidP="00F17927">
      <w:pPr>
        <w:spacing w:before="360"/>
        <w:ind w:right="141"/>
      </w:pPr>
      <w:r w:rsidRPr="008D3B0A">
        <w:t>Dentro del índice de precios no subyacente, los precios de los productos agropecuarios subieron 0.92 por ciento, al mismo tiempo que los de los energéticos y tarifas autorizadas por el gobierno ascendieron 0.63 por ciento quincenal.</w:t>
      </w:r>
    </w:p>
    <w:p w14:paraId="58B02F65" w14:textId="011181E4" w:rsidR="008009BF" w:rsidRDefault="008009BF">
      <w:pPr>
        <w:jc w:val="left"/>
      </w:pPr>
      <w:r>
        <w:br w:type="page"/>
      </w:r>
    </w:p>
    <w:p w14:paraId="17B0AEB8" w14:textId="77777777" w:rsidR="00F17927" w:rsidRDefault="00F17927" w:rsidP="00F17927">
      <w:pPr>
        <w:pStyle w:val="Prrafodelista"/>
        <w:keepNext/>
        <w:keepLines/>
        <w:widowControl w:val="0"/>
        <w:spacing w:before="360"/>
        <w:ind w:left="0"/>
        <w:jc w:val="center"/>
        <w:rPr>
          <w:b/>
          <w:bCs/>
          <w:smallCaps/>
          <w:color w:val="000000" w:themeColor="text1"/>
          <w:spacing w:val="1"/>
          <w:sz w:val="22"/>
          <w:szCs w:val="22"/>
        </w:rPr>
      </w:pPr>
    </w:p>
    <w:p w14:paraId="7A170F9A" w14:textId="77777777" w:rsidR="00F17927" w:rsidRPr="00A71198" w:rsidRDefault="00F17927" w:rsidP="00F17927">
      <w:pPr>
        <w:pStyle w:val="Prrafodelista"/>
        <w:keepNext/>
        <w:keepLines/>
        <w:widowControl w:val="0"/>
        <w:spacing w:before="360"/>
        <w:ind w:left="0"/>
        <w:jc w:val="center"/>
        <w:rPr>
          <w:b/>
          <w:smallCaps/>
        </w:rPr>
      </w:pPr>
      <w:r>
        <w:rPr>
          <w:b/>
          <w:smallCaps/>
        </w:rPr>
        <w:t>INPC Y SUS COMPONENTES</w:t>
      </w:r>
    </w:p>
    <w:p w14:paraId="61BE85F2" w14:textId="77777777" w:rsidR="00F17927" w:rsidRDefault="00F17927" w:rsidP="00F17927">
      <w:pPr>
        <w:keepNext/>
        <w:keepLines/>
        <w:widowControl w:val="0"/>
        <w:jc w:val="center"/>
        <w:rPr>
          <w:noProof/>
        </w:rPr>
      </w:pPr>
      <w:r>
        <w:rPr>
          <w:sz w:val="18"/>
          <w:szCs w:val="20"/>
        </w:rPr>
        <w:t>P</w:t>
      </w:r>
      <w:r w:rsidRPr="00C30BEE">
        <w:rPr>
          <w:sz w:val="18"/>
          <w:szCs w:val="20"/>
        </w:rPr>
        <w:t xml:space="preserve">rimera quincena de septiembre de los años que se indican </w:t>
      </w:r>
    </w:p>
    <w:p w14:paraId="6525909E" w14:textId="77777777" w:rsidR="00F17927" w:rsidRPr="00A71198" w:rsidRDefault="00F17927" w:rsidP="00F17927">
      <w:pPr>
        <w:keepNext/>
        <w:keepLines/>
        <w:widowControl w:val="0"/>
        <w:jc w:val="center"/>
        <w:rPr>
          <w:b/>
        </w:rPr>
      </w:pPr>
      <w:r w:rsidRPr="005642AA">
        <w:rPr>
          <w:noProof/>
        </w:rPr>
        <w:drawing>
          <wp:inline distT="0" distB="0" distL="0" distR="0" wp14:anchorId="39389E52" wp14:editId="4C1E8462">
            <wp:extent cx="5972810" cy="25187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18737"/>
                    </a:xfrm>
                    <a:prstGeom prst="rect">
                      <a:avLst/>
                    </a:prstGeom>
                    <a:noFill/>
                    <a:ln>
                      <a:noFill/>
                    </a:ln>
                  </pic:spPr>
                </pic:pic>
              </a:graphicData>
            </a:graphic>
          </wp:inline>
        </w:drawing>
      </w:r>
    </w:p>
    <w:p w14:paraId="6D29F954" w14:textId="77777777" w:rsidR="00F17927" w:rsidRPr="00A71198" w:rsidRDefault="00F17927" w:rsidP="00F17927">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7E4EF5FC" w14:textId="77777777" w:rsidR="00F17927" w:rsidRPr="00A71198" w:rsidRDefault="00F17927" w:rsidP="00F17927">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363FC919" w14:textId="77777777" w:rsidR="00F17927" w:rsidRPr="00A71198" w:rsidRDefault="00F17927" w:rsidP="00F17927">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481283FF" w14:textId="77777777" w:rsidR="00F17927" w:rsidRPr="00A71198" w:rsidRDefault="00F17927" w:rsidP="00F17927">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095EA528" w14:textId="77777777" w:rsidR="00F17927" w:rsidRDefault="00F17927" w:rsidP="00F17927">
      <w:pPr>
        <w:autoSpaceDE w:val="0"/>
        <w:autoSpaceDN w:val="0"/>
        <w:adjustRightInd w:val="0"/>
        <w:ind w:left="283" w:right="113" w:hanging="170"/>
        <w:rPr>
          <w:color w:val="006600"/>
          <w:sz w:val="16"/>
          <w:szCs w:val="16"/>
        </w:rPr>
      </w:pPr>
    </w:p>
    <w:p w14:paraId="0EF2A901" w14:textId="77777777" w:rsidR="00F17927" w:rsidRPr="00A71198" w:rsidRDefault="00F17927" w:rsidP="00F17927">
      <w:pPr>
        <w:autoSpaceDE w:val="0"/>
        <w:autoSpaceDN w:val="0"/>
        <w:adjustRightInd w:val="0"/>
        <w:ind w:left="283" w:right="113" w:hanging="170"/>
        <w:rPr>
          <w:color w:val="006600"/>
          <w:sz w:val="16"/>
          <w:szCs w:val="16"/>
        </w:rPr>
      </w:pPr>
    </w:p>
    <w:p w14:paraId="0E4A4B0E" w14:textId="77777777" w:rsidR="00F17927" w:rsidRDefault="00F17927" w:rsidP="00F17927">
      <w:pPr>
        <w:pStyle w:val="p01"/>
        <w:keepLines w:val="0"/>
        <w:tabs>
          <w:tab w:val="left" w:pos="3261"/>
        </w:tabs>
        <w:spacing w:before="0"/>
        <w:ind w:left="1418"/>
        <w:jc w:val="right"/>
        <w:outlineLvl w:val="0"/>
        <w:rPr>
          <w:rFonts w:ascii="Arial" w:hAnsi="Arial" w:cs="Arial"/>
          <w:b/>
          <w:color w:val="000000"/>
          <w:szCs w:val="24"/>
        </w:rPr>
      </w:pPr>
    </w:p>
    <w:p w14:paraId="532E1AB2" w14:textId="77777777" w:rsidR="00F17927" w:rsidRDefault="00F17927" w:rsidP="00F17927">
      <w:pPr>
        <w:widowControl w:val="0"/>
        <w:autoSpaceDE w:val="0"/>
        <w:autoSpaceDN w:val="0"/>
        <w:adjustRightInd w:val="0"/>
        <w:spacing w:before="600"/>
        <w:ind w:right="-1"/>
        <w:rPr>
          <w:b/>
          <w:i/>
        </w:rPr>
      </w:pPr>
      <w:r w:rsidRPr="00E45F62">
        <w:rPr>
          <w:b/>
          <w:i/>
        </w:rPr>
        <w:t xml:space="preserve">Nota </w:t>
      </w:r>
      <w:r>
        <w:rPr>
          <w:b/>
          <w:i/>
        </w:rPr>
        <w:t>al usuario</w:t>
      </w:r>
    </w:p>
    <w:p w14:paraId="2AC30ADD" w14:textId="77777777" w:rsidR="00F17927" w:rsidRPr="00695B57" w:rsidRDefault="00F17927" w:rsidP="00F17927">
      <w:pPr>
        <w:pStyle w:val="Prrafodelista"/>
        <w:autoSpaceDE w:val="0"/>
        <w:autoSpaceDN w:val="0"/>
        <w:adjustRightInd w:val="0"/>
        <w:spacing w:before="240"/>
        <w:ind w:left="0" w:right="-1"/>
        <w:rPr>
          <w:lang w:val="es-MX"/>
        </w:rPr>
      </w:pPr>
      <w:r w:rsidRPr="00695B57">
        <w:rPr>
          <w:lang w:val="es-MX"/>
        </w:rPr>
        <w:t xml:space="preserve">Como </w:t>
      </w:r>
      <w:r>
        <w:rPr>
          <w:lang w:val="es-MX"/>
        </w:rPr>
        <w:t xml:space="preserve">ya se ha </w:t>
      </w:r>
      <w:r w:rsidRPr="00695B57">
        <w:rPr>
          <w:lang w:val="es-MX"/>
        </w:rPr>
        <w:t>inform</w:t>
      </w:r>
      <w:r>
        <w:rPr>
          <w:lang w:val="es-MX"/>
        </w:rPr>
        <w:t>ado</w:t>
      </w:r>
      <w:r w:rsidRPr="00695B57">
        <w:rPr>
          <w:lang w:val="es-MX"/>
        </w:rPr>
        <w:t xml:space="preserve">, dadas las medidas adoptadas por el INEGI ante el estado de emergencia sanitaria originada por el COVID-19, a partir del mes de abril </w:t>
      </w:r>
      <w:r>
        <w:rPr>
          <w:lang w:val="es-MX"/>
        </w:rPr>
        <w:t xml:space="preserve">de 2020 </w:t>
      </w:r>
      <w:r w:rsidRPr="00695B57">
        <w:rPr>
          <w:lang w:val="es-MX"/>
        </w:rPr>
        <w:t xml:space="preserve">y mientras dure esta </w:t>
      </w:r>
      <w:r w:rsidRPr="00431DC7">
        <w:rPr>
          <w:lang w:val="es-MX"/>
        </w:rPr>
        <w:t>contingencia</w:t>
      </w:r>
      <w:r w:rsidRPr="00695B57">
        <w:rPr>
          <w:lang w:val="es-MX"/>
        </w:rPr>
        <w:t xml:space="preserve">, la medición del Índice Nacional de Precios al Consumidor (INPC) seguirá utilizando medios electrónicos como el </w:t>
      </w:r>
      <w:r>
        <w:rPr>
          <w:lang w:val="es-MX"/>
        </w:rPr>
        <w:t>i</w:t>
      </w:r>
      <w:r w:rsidRPr="00695B57">
        <w:rPr>
          <w:lang w:val="es-MX"/>
        </w:rPr>
        <w:t>nternet, correo electrónico, teléfono y otras tecnologías de la información para obtener sus cotizaciones</w:t>
      </w:r>
      <w:r w:rsidRPr="00FA04B0">
        <w:rPr>
          <w:lang w:val="es-MX"/>
        </w:rPr>
        <w:t>,</w:t>
      </w:r>
      <w:r w:rsidRPr="00FA04B0">
        <w:t xml:space="preserve"> </w:t>
      </w:r>
      <w:r>
        <w:t>hasta que</w:t>
      </w:r>
      <w:r w:rsidRPr="00FA04B0">
        <w:t xml:space="preserve"> sea posible retomar la visita directa a los comercios.</w:t>
      </w:r>
      <w:r w:rsidRPr="00FA04B0">
        <w:rPr>
          <w:lang w:val="es-MX"/>
        </w:rPr>
        <w:t xml:space="preserve"> Los resultados se da</w:t>
      </w:r>
      <w:r>
        <w:rPr>
          <w:lang w:val="es-MX"/>
        </w:rPr>
        <w:t>rá</w:t>
      </w:r>
      <w:r w:rsidRPr="00FA04B0">
        <w:rPr>
          <w:lang w:val="es-MX"/>
        </w:rPr>
        <w:t xml:space="preserve">n a conocer de acuerdo con el Calendario de </w:t>
      </w:r>
      <w:r>
        <w:rPr>
          <w:lang w:val="es-MX"/>
        </w:rPr>
        <w:t>d</w:t>
      </w:r>
      <w:r w:rsidRPr="00FA04B0">
        <w:rPr>
          <w:lang w:val="es-MX"/>
        </w:rPr>
        <w:t>ifusión</w:t>
      </w:r>
      <w:r w:rsidRPr="00695B57">
        <w:rPr>
          <w:lang w:val="es-MX"/>
        </w:rPr>
        <w:t xml:space="preserve"> de </w:t>
      </w:r>
      <w:r>
        <w:rPr>
          <w:lang w:val="es-MX"/>
        </w:rPr>
        <w:t>i</w:t>
      </w:r>
      <w:r w:rsidRPr="00695B57">
        <w:rPr>
          <w:lang w:val="es-MX"/>
        </w:rPr>
        <w:t xml:space="preserve">nformación </w:t>
      </w:r>
      <w:r>
        <w:rPr>
          <w:lang w:val="es-MX"/>
        </w:rPr>
        <w:t>e</w:t>
      </w:r>
      <w:r w:rsidRPr="00695B57">
        <w:rPr>
          <w:lang w:val="es-MX"/>
        </w:rPr>
        <w:t xml:space="preserve">stadística y </w:t>
      </w:r>
      <w:r>
        <w:rPr>
          <w:lang w:val="es-MX"/>
        </w:rPr>
        <w:t>g</w:t>
      </w:r>
      <w:r w:rsidRPr="00695B57">
        <w:rPr>
          <w:lang w:val="es-MX"/>
        </w:rPr>
        <w:t>eográfica y de Interés Nacional establecido por el Instituto.</w:t>
      </w:r>
      <w:r w:rsidRPr="00533979">
        <w:rPr>
          <w:b/>
          <w:bCs/>
          <w:noProof/>
          <w:sz w:val="22"/>
          <w:szCs w:val="22"/>
        </w:rPr>
        <w:t xml:space="preserve"> </w:t>
      </w:r>
    </w:p>
    <w:p w14:paraId="74A702AF" w14:textId="702B86BC" w:rsidR="008009BF" w:rsidRDefault="008009BF">
      <w:pPr>
        <w:jc w:val="left"/>
        <w:rPr>
          <w:lang w:val="es-MX"/>
        </w:rPr>
      </w:pPr>
      <w:r>
        <w:rPr>
          <w:lang w:val="es-MX"/>
        </w:rPr>
        <w:br w:type="page"/>
      </w:r>
    </w:p>
    <w:p w14:paraId="50DCC0FC" w14:textId="77777777" w:rsidR="00F17927" w:rsidRDefault="00F17927" w:rsidP="00F17927">
      <w:pPr>
        <w:pStyle w:val="Prrafodelista"/>
        <w:autoSpaceDE w:val="0"/>
        <w:autoSpaceDN w:val="0"/>
        <w:adjustRightInd w:val="0"/>
        <w:spacing w:before="240"/>
        <w:ind w:left="0" w:right="-1"/>
        <w:rPr>
          <w:lang w:val="es-MX"/>
        </w:rPr>
      </w:pPr>
    </w:p>
    <w:p w14:paraId="461EDD26" w14:textId="27EFCCB6" w:rsidR="00F17927" w:rsidRDefault="00F17927" w:rsidP="00F17927">
      <w:pPr>
        <w:pStyle w:val="Prrafodelista"/>
        <w:autoSpaceDE w:val="0"/>
        <w:autoSpaceDN w:val="0"/>
        <w:adjustRightInd w:val="0"/>
        <w:spacing w:before="240"/>
        <w:ind w:left="0" w:right="-1"/>
        <w:rPr>
          <w:lang w:val="es-MX"/>
        </w:rPr>
      </w:pPr>
      <w:r w:rsidRPr="00176A27">
        <w:rPr>
          <w:lang w:val="es-MX"/>
        </w:rPr>
        <w:t xml:space="preserve">Desde abril </w:t>
      </w:r>
      <w:r>
        <w:rPr>
          <w:lang w:val="es-MX"/>
        </w:rPr>
        <w:t xml:space="preserve">de 2020 </w:t>
      </w:r>
      <w:r w:rsidRPr="00176A27">
        <w:rPr>
          <w:lang w:val="es-MX"/>
        </w:rPr>
        <w:t xml:space="preserve">y aún en </w:t>
      </w:r>
      <w:r>
        <w:rPr>
          <w:lang w:val="es-MX"/>
        </w:rPr>
        <w:t>l</w:t>
      </w:r>
      <w:r w:rsidRPr="00176A27">
        <w:rPr>
          <w:lang w:val="es-MX"/>
        </w:rPr>
        <w:t xml:space="preserve">a primera quincena de </w:t>
      </w:r>
      <w:r>
        <w:rPr>
          <w:lang w:val="es-MX"/>
        </w:rPr>
        <w:t>septiembre de 2021</w:t>
      </w:r>
      <w:r w:rsidRPr="00176A27">
        <w:rPr>
          <w:lang w:val="es-MX"/>
        </w:rPr>
        <w:t xml:space="preserve">, </w:t>
      </w:r>
      <w:r w:rsidRPr="00413162">
        <w:rPr>
          <w:lang w:val="es-MX"/>
        </w:rPr>
        <w:t>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w:t>
      </w:r>
      <w:r>
        <w:rPr>
          <w:lang w:val="es-MX"/>
        </w:rPr>
        <w:t xml:space="preserve"> ha </w:t>
      </w:r>
      <w:r w:rsidRPr="00413162">
        <w:rPr>
          <w:lang w:val="es-MX"/>
        </w:rPr>
        <w:t>ocurr</w:t>
      </w:r>
      <w:r>
        <w:rPr>
          <w:lang w:val="es-MX"/>
        </w:rPr>
        <w:t>ido</w:t>
      </w:r>
      <w:r w:rsidRPr="00413162">
        <w:rPr>
          <w:lang w:val="es-MX"/>
        </w:rPr>
        <w:t xml:space="preserve"> durante este periodo de contingencia porque: </w:t>
      </w:r>
      <w:r>
        <w:rPr>
          <w:lang w:val="es-MX"/>
        </w:rPr>
        <w:t xml:space="preserve">realizan </w:t>
      </w:r>
      <w:r w:rsidRPr="00413162">
        <w:rPr>
          <w:lang w:val="es-MX"/>
        </w:rPr>
        <w:t xml:space="preserve">actividades económicas no esenciales, por otras medidas sanitarias o por voluntad del </w:t>
      </w:r>
      <w:r>
        <w:rPr>
          <w:lang w:val="es-MX"/>
        </w:rPr>
        <w:t xml:space="preserve">dueño del </w:t>
      </w:r>
      <w:r w:rsidRPr="00413162">
        <w:rPr>
          <w:lang w:val="es-MX"/>
        </w:rPr>
        <w:t xml:space="preserve">negocio. La falta de precios se distribuyó entre todos los genéricos y estadísticamente sólo afectó a aquellos que representan el </w:t>
      </w:r>
      <w:r w:rsidRPr="003F0AEA">
        <w:rPr>
          <w:lang w:val="es-MX"/>
        </w:rPr>
        <w:t>0.</w:t>
      </w:r>
      <w:r>
        <w:rPr>
          <w:lang w:val="es-MX"/>
        </w:rPr>
        <w:t>04</w:t>
      </w:r>
      <w:r w:rsidRPr="003F0AEA">
        <w:rPr>
          <w:lang w:val="es-MX"/>
        </w:rPr>
        <w:t>%</w:t>
      </w:r>
      <w:r w:rsidRPr="00413162">
        <w:rPr>
          <w:lang w:val="es-MX"/>
        </w:rPr>
        <w:t xml:space="preserve"> del ponderador del gasto total de la canasta nacional. Estas medidas </w:t>
      </w:r>
      <w:r>
        <w:rPr>
          <w:lang w:val="es-MX"/>
        </w:rPr>
        <w:t xml:space="preserve">se </w:t>
      </w:r>
      <w:r w:rsidRPr="00413162">
        <w:rPr>
          <w:lang w:val="es-MX"/>
        </w:rPr>
        <w:t>apega</w:t>
      </w:r>
      <w:r>
        <w:rPr>
          <w:lang w:val="es-MX"/>
        </w:rPr>
        <w:t>n</w:t>
      </w:r>
      <w:r w:rsidRPr="00413162">
        <w:rPr>
          <w:lang w:val="es-MX"/>
        </w:rPr>
        <w:t xml:space="preserve"> a las recomendaciones que han </w:t>
      </w:r>
      <w:r>
        <w:rPr>
          <w:lang w:val="es-MX"/>
        </w:rPr>
        <w:t xml:space="preserve">hecho </w:t>
      </w:r>
      <w:r w:rsidRPr="00413162">
        <w:rPr>
          <w:lang w:val="es-MX"/>
        </w:rPr>
        <w:t xml:space="preserve">los organismos internacionales debido a esta contingencia. </w:t>
      </w:r>
    </w:p>
    <w:p w14:paraId="2916D219" w14:textId="77777777" w:rsidR="00F17927" w:rsidRPr="00A71198" w:rsidRDefault="00F17927" w:rsidP="00F17927">
      <w:pPr>
        <w:pStyle w:val="Texto"/>
        <w:keepNext/>
        <w:keepLines/>
        <w:autoSpaceDE w:val="0"/>
        <w:autoSpaceDN w:val="0"/>
        <w:adjustRightInd w:val="0"/>
        <w:spacing w:before="480" w:after="0" w:line="240" w:lineRule="auto"/>
        <w:ind w:firstLine="0"/>
        <w:jc w:val="right"/>
        <w:rPr>
          <w:sz w:val="24"/>
          <w:szCs w:val="24"/>
        </w:rPr>
      </w:pPr>
      <w:r>
        <w:rPr>
          <w:noProof/>
        </w:rPr>
        <w:drawing>
          <wp:inline distT="0" distB="0" distL="0" distR="0" wp14:anchorId="49C98036" wp14:editId="524884F0">
            <wp:extent cx="4581728" cy="1892030"/>
            <wp:effectExtent l="0" t="0" r="0" b="0"/>
            <wp:docPr id="4" name="Imagen 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4464" cy="1913807"/>
                    </a:xfrm>
                    <a:prstGeom prst="rect">
                      <a:avLst/>
                    </a:prstGeom>
                    <a:noFill/>
                  </pic:spPr>
                </pic:pic>
              </a:graphicData>
            </a:graphic>
          </wp:inline>
        </w:drawing>
      </w:r>
    </w:p>
    <w:p w14:paraId="6B86D402" w14:textId="77777777" w:rsidR="00F17927" w:rsidRDefault="00F17927" w:rsidP="00F17927">
      <w:pPr>
        <w:pStyle w:val="Prrafodelista"/>
        <w:autoSpaceDE w:val="0"/>
        <w:autoSpaceDN w:val="0"/>
        <w:adjustRightInd w:val="0"/>
        <w:ind w:left="-142" w:right="113"/>
        <w:rPr>
          <w:lang w:val="es-MX"/>
        </w:rPr>
      </w:pPr>
    </w:p>
    <w:p w14:paraId="2E804325" w14:textId="77777777" w:rsidR="00F17927" w:rsidRPr="008B4FB7" w:rsidRDefault="00F17927" w:rsidP="00F17927">
      <w:pPr>
        <w:pStyle w:val="Prrafodelista"/>
        <w:autoSpaceDE w:val="0"/>
        <w:autoSpaceDN w:val="0"/>
        <w:adjustRightInd w:val="0"/>
        <w:ind w:left="-142" w:right="113"/>
        <w:rPr>
          <w:lang w:val="es-MX"/>
        </w:rPr>
      </w:pPr>
    </w:p>
    <w:p w14:paraId="099CA402" w14:textId="77777777" w:rsidR="00F17927" w:rsidRDefault="00F17927" w:rsidP="00F17927">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Pr>
          <w:rFonts w:ascii="Arial" w:hAnsi="Arial" w:cs="Arial"/>
          <w:b/>
          <w:color w:val="000000"/>
          <w:szCs w:val="24"/>
        </w:rPr>
        <w:tab/>
      </w:r>
    </w:p>
    <w:p w14:paraId="594C91BA" w14:textId="77777777" w:rsidR="00F17927" w:rsidRDefault="00F17927" w:rsidP="00F17927">
      <w:pPr>
        <w:pStyle w:val="p01"/>
        <w:keepLines w:val="0"/>
        <w:tabs>
          <w:tab w:val="left" w:pos="3261"/>
        </w:tabs>
        <w:spacing w:before="0"/>
        <w:ind w:left="1418"/>
        <w:outlineLvl w:val="0"/>
        <w:rPr>
          <w:rFonts w:ascii="Arial" w:hAnsi="Arial" w:cs="Arial"/>
          <w:sz w:val="20"/>
        </w:rPr>
      </w:pPr>
      <w:r>
        <w:rPr>
          <w:rFonts w:ascii="Arial" w:hAnsi="Arial" w:cs="Arial"/>
          <w:b/>
          <w:color w:val="000000"/>
          <w:szCs w:val="24"/>
        </w:rPr>
        <w:tab/>
      </w:r>
      <w:r w:rsidRPr="003B1ACA">
        <w:rPr>
          <w:rFonts w:ascii="Arial" w:hAnsi="Arial" w:cs="Arial"/>
          <w:b/>
          <w:color w:val="000000"/>
          <w:szCs w:val="24"/>
        </w:rPr>
        <w:t>Se anexa Nota Técnica</w:t>
      </w:r>
    </w:p>
    <w:p w14:paraId="697F84D4" w14:textId="77777777" w:rsidR="00F17927" w:rsidRDefault="00F17927" w:rsidP="00F17927">
      <w:pPr>
        <w:pStyle w:val="NormalWeb"/>
        <w:spacing w:before="0" w:beforeAutospacing="0" w:after="0" w:afterAutospacing="0"/>
        <w:ind w:left="-426" w:right="-518"/>
        <w:contextualSpacing/>
        <w:jc w:val="center"/>
        <w:rPr>
          <w:rFonts w:ascii="Arial" w:hAnsi="Arial" w:cs="Arial"/>
          <w:sz w:val="20"/>
          <w:szCs w:val="20"/>
        </w:rPr>
      </w:pPr>
    </w:p>
    <w:p w14:paraId="5C17A74F" w14:textId="77777777" w:rsidR="00F17927" w:rsidRDefault="00F17927" w:rsidP="00F17927">
      <w:pPr>
        <w:pStyle w:val="NormalWeb"/>
        <w:spacing w:before="0" w:beforeAutospacing="0" w:after="0" w:afterAutospacing="0"/>
        <w:ind w:left="-426" w:right="-518"/>
        <w:contextualSpacing/>
        <w:jc w:val="center"/>
        <w:rPr>
          <w:rFonts w:ascii="Arial" w:hAnsi="Arial" w:cs="Arial"/>
          <w:sz w:val="20"/>
          <w:szCs w:val="20"/>
        </w:rPr>
      </w:pPr>
    </w:p>
    <w:p w14:paraId="127A69ED" w14:textId="77777777" w:rsidR="00F17927" w:rsidRDefault="00F17927" w:rsidP="00F17927">
      <w:pPr>
        <w:pStyle w:val="NormalWeb"/>
        <w:spacing w:before="0" w:beforeAutospacing="0" w:after="0" w:afterAutospacing="0"/>
        <w:ind w:left="-426" w:right="-518"/>
        <w:contextualSpacing/>
        <w:jc w:val="center"/>
        <w:rPr>
          <w:rFonts w:ascii="Arial" w:hAnsi="Arial" w:cs="Arial"/>
          <w:sz w:val="20"/>
          <w:szCs w:val="20"/>
        </w:rPr>
      </w:pPr>
    </w:p>
    <w:p w14:paraId="7D3E75F8" w14:textId="77777777" w:rsidR="00F17927" w:rsidRDefault="00F17927" w:rsidP="00F17927">
      <w:pPr>
        <w:pStyle w:val="NormalWeb"/>
        <w:spacing w:before="0" w:beforeAutospacing="0" w:after="0" w:afterAutospacing="0"/>
        <w:ind w:left="-426" w:right="-518"/>
        <w:contextualSpacing/>
        <w:jc w:val="center"/>
        <w:rPr>
          <w:rFonts w:ascii="Arial" w:hAnsi="Arial" w:cs="Arial"/>
          <w:sz w:val="20"/>
          <w:szCs w:val="20"/>
        </w:rPr>
      </w:pPr>
    </w:p>
    <w:p w14:paraId="6040B93B" w14:textId="77777777" w:rsidR="00F17927" w:rsidRDefault="00F17927" w:rsidP="00F17927">
      <w:pPr>
        <w:pStyle w:val="NormalWeb"/>
        <w:spacing w:after="0" w:afterAutospacing="0"/>
        <w:ind w:left="-426" w:right="-518"/>
        <w:contextualSpacing/>
        <w:jc w:val="center"/>
        <w:rPr>
          <w:rFonts w:ascii="Arial" w:hAnsi="Arial" w:cs="Arial"/>
          <w:sz w:val="20"/>
          <w:szCs w:val="20"/>
        </w:rPr>
      </w:pPr>
    </w:p>
    <w:p w14:paraId="2E0EFC4E" w14:textId="77777777" w:rsidR="00F17927" w:rsidRDefault="00F17927" w:rsidP="00F17927">
      <w:pPr>
        <w:pStyle w:val="NormalWeb"/>
        <w:spacing w:before="120" w:beforeAutospacing="0" w:after="0" w:afterAutospacing="0"/>
        <w:ind w:left="-426" w:right="-518"/>
        <w:contextualSpacing/>
        <w:jc w:val="center"/>
        <w:rPr>
          <w:rFonts w:ascii="Arial" w:hAnsi="Arial" w:cs="Arial"/>
          <w:sz w:val="20"/>
          <w:szCs w:val="20"/>
        </w:rPr>
      </w:pPr>
    </w:p>
    <w:p w14:paraId="0FF1F715" w14:textId="77777777" w:rsidR="00F17927" w:rsidRDefault="00F17927" w:rsidP="00F17927">
      <w:pPr>
        <w:pStyle w:val="NormalWeb"/>
        <w:spacing w:before="0" w:beforeAutospacing="0" w:after="0" w:afterAutospacing="0"/>
        <w:ind w:left="-426" w:right="-518"/>
        <w:contextualSpacing/>
        <w:jc w:val="center"/>
        <w:rPr>
          <w:rFonts w:ascii="Arial" w:hAnsi="Arial" w:cs="Arial"/>
          <w:sz w:val="20"/>
          <w:szCs w:val="20"/>
        </w:rPr>
      </w:pPr>
    </w:p>
    <w:p w14:paraId="50A0A3B0" w14:textId="77777777" w:rsidR="00F17927" w:rsidRDefault="00F17927" w:rsidP="00F17927">
      <w:pPr>
        <w:pStyle w:val="NormalWeb"/>
        <w:spacing w:before="0" w:beforeAutospacing="0" w:after="0" w:afterAutospacing="0"/>
        <w:ind w:left="-426" w:right="-518"/>
        <w:contextualSpacing/>
        <w:jc w:val="center"/>
        <w:rPr>
          <w:rFonts w:ascii="Arial" w:hAnsi="Arial" w:cs="Arial"/>
          <w:sz w:val="20"/>
          <w:szCs w:val="20"/>
        </w:rPr>
      </w:pPr>
    </w:p>
    <w:p w14:paraId="3DB48695" w14:textId="77777777" w:rsidR="00F17927" w:rsidRPr="003D7879" w:rsidRDefault="00F17927" w:rsidP="00F17927">
      <w:pPr>
        <w:pStyle w:val="NormalWeb"/>
        <w:spacing w:after="0" w:afterAutospacing="0"/>
        <w:ind w:left="-426" w:right="-518"/>
        <w:contextualSpacing/>
        <w:jc w:val="center"/>
        <w:rPr>
          <w:rFonts w:ascii="Arial" w:hAnsi="Arial" w:cs="Arial"/>
          <w:sz w:val="22"/>
          <w:szCs w:val="22"/>
        </w:rPr>
      </w:pPr>
      <w:r w:rsidRPr="003D7879">
        <w:rPr>
          <w:rFonts w:ascii="Arial" w:hAnsi="Arial" w:cs="Arial"/>
          <w:sz w:val="22"/>
          <w:szCs w:val="22"/>
        </w:rPr>
        <w:t xml:space="preserve">Para consultas de medios y periodistas, contactar a: </w:t>
      </w:r>
      <w:hyperlink r:id="rId10" w:history="1">
        <w:r w:rsidRPr="003D7879">
          <w:rPr>
            <w:rStyle w:val="Hipervnculo"/>
            <w:rFonts w:ascii="Arial" w:hAnsi="Arial" w:cs="Arial"/>
            <w:sz w:val="22"/>
            <w:szCs w:val="22"/>
          </w:rPr>
          <w:t>comunicacionsocial@inegi.org.mx</w:t>
        </w:r>
      </w:hyperlink>
      <w:r w:rsidRPr="003D7879">
        <w:rPr>
          <w:rFonts w:ascii="Arial" w:hAnsi="Arial" w:cs="Arial"/>
          <w:sz w:val="22"/>
          <w:szCs w:val="22"/>
        </w:rPr>
        <w:t xml:space="preserve"> </w:t>
      </w:r>
    </w:p>
    <w:p w14:paraId="519BCE55" w14:textId="77777777" w:rsidR="00F17927" w:rsidRPr="003D7879" w:rsidRDefault="00F17927" w:rsidP="00F17927">
      <w:pPr>
        <w:pStyle w:val="NormalWeb"/>
        <w:spacing w:before="0" w:beforeAutospacing="0" w:after="0" w:afterAutospacing="0"/>
        <w:ind w:left="-426" w:right="-518"/>
        <w:contextualSpacing/>
        <w:jc w:val="center"/>
        <w:rPr>
          <w:rFonts w:ascii="Arial" w:hAnsi="Arial" w:cs="Arial"/>
          <w:sz w:val="22"/>
          <w:szCs w:val="22"/>
        </w:rPr>
      </w:pPr>
      <w:r w:rsidRPr="003D7879">
        <w:rPr>
          <w:rFonts w:ascii="Arial" w:hAnsi="Arial" w:cs="Arial"/>
          <w:sz w:val="22"/>
          <w:szCs w:val="22"/>
        </w:rPr>
        <w:t xml:space="preserve">o llamar al teléfono (55) 52-78-10-00, </w:t>
      </w:r>
      <w:proofErr w:type="spellStart"/>
      <w:r w:rsidRPr="003D7879">
        <w:rPr>
          <w:rFonts w:ascii="Arial" w:hAnsi="Arial" w:cs="Arial"/>
          <w:sz w:val="22"/>
          <w:szCs w:val="22"/>
        </w:rPr>
        <w:t>exts</w:t>
      </w:r>
      <w:proofErr w:type="spellEnd"/>
      <w:r w:rsidRPr="003D7879">
        <w:rPr>
          <w:rFonts w:ascii="Arial" w:hAnsi="Arial" w:cs="Arial"/>
          <w:sz w:val="22"/>
          <w:szCs w:val="22"/>
        </w:rPr>
        <w:t>. 1134, 1260 y 1241.</w:t>
      </w:r>
    </w:p>
    <w:p w14:paraId="6147624D" w14:textId="77777777" w:rsidR="00F17927" w:rsidRPr="003D7879" w:rsidRDefault="00F17927" w:rsidP="00F17927">
      <w:pPr>
        <w:ind w:left="-426" w:right="-518"/>
        <w:contextualSpacing/>
        <w:jc w:val="center"/>
        <w:rPr>
          <w:sz w:val="22"/>
          <w:szCs w:val="22"/>
        </w:rPr>
      </w:pPr>
    </w:p>
    <w:p w14:paraId="0A93127F" w14:textId="77777777" w:rsidR="00F17927" w:rsidRPr="003D7879" w:rsidRDefault="00F17927" w:rsidP="00F17927">
      <w:pPr>
        <w:ind w:left="-426" w:right="-518"/>
        <w:contextualSpacing/>
        <w:jc w:val="center"/>
        <w:rPr>
          <w:sz w:val="22"/>
          <w:szCs w:val="22"/>
        </w:rPr>
      </w:pPr>
      <w:r w:rsidRPr="003D7879">
        <w:rPr>
          <w:sz w:val="22"/>
          <w:szCs w:val="22"/>
        </w:rPr>
        <w:t xml:space="preserve">Dirección de Atención a Medios / Dirección General Adjunta de Comunicación </w:t>
      </w:r>
    </w:p>
    <w:p w14:paraId="4739428A" w14:textId="77777777" w:rsidR="00F17927" w:rsidRPr="00B70710" w:rsidRDefault="00F17927" w:rsidP="00F17927">
      <w:pPr>
        <w:ind w:left="-426" w:right="-518"/>
        <w:contextualSpacing/>
        <w:jc w:val="center"/>
        <w:rPr>
          <w:sz w:val="22"/>
          <w:szCs w:val="22"/>
        </w:rPr>
      </w:pPr>
    </w:p>
    <w:p w14:paraId="7ABA8F02" w14:textId="77777777" w:rsidR="00F17927" w:rsidRDefault="00F17927" w:rsidP="00F17927">
      <w:pPr>
        <w:ind w:left="-425" w:right="-516"/>
        <w:contextualSpacing/>
        <w:jc w:val="center"/>
      </w:pPr>
      <w:r w:rsidRPr="008F0992">
        <w:rPr>
          <w:noProof/>
          <w:sz w:val="20"/>
          <w:lang w:val="es-MX" w:eastAsia="es-MX"/>
        </w:rPr>
        <w:drawing>
          <wp:inline distT="0" distB="0" distL="0" distR="0" wp14:anchorId="4320C58D" wp14:editId="5B478E4F">
            <wp:extent cx="318472" cy="322419"/>
            <wp:effectExtent l="0" t="0" r="5715" b="1905"/>
            <wp:docPr id="6" name="Imagen 6"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32B4F9A" wp14:editId="0F99BE29">
            <wp:extent cx="327704" cy="325467"/>
            <wp:effectExtent l="0" t="0" r="0" b="0"/>
            <wp:docPr id="10" name="Imagen 10"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1820DE00" wp14:editId="3FF154D5">
            <wp:extent cx="321276" cy="324093"/>
            <wp:effectExtent l="0" t="0" r="3175" b="0"/>
            <wp:docPr id="11" name="Imagen 11"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8503703" wp14:editId="285B3A72">
            <wp:extent cx="321276" cy="326574"/>
            <wp:effectExtent l="0" t="0" r="3175" b="0"/>
            <wp:docPr id="13" name="Imagen 13"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4EDDDE69" wp14:editId="30AA486C">
            <wp:extent cx="2323070" cy="319707"/>
            <wp:effectExtent l="0" t="0" r="1270" b="4445"/>
            <wp:docPr id="14" name="Imagen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b/>
          <w:color w:val="000000"/>
        </w:rPr>
        <w:tab/>
      </w:r>
    </w:p>
    <w:p w14:paraId="620D28A0" w14:textId="77777777" w:rsidR="00F17927" w:rsidRPr="00157C43" w:rsidRDefault="00F17927" w:rsidP="00F17927">
      <w:pPr>
        <w:pStyle w:val="bullet"/>
        <w:tabs>
          <w:tab w:val="left" w:pos="8789"/>
        </w:tabs>
        <w:spacing w:before="0"/>
        <w:ind w:left="0" w:right="51" w:firstLine="0"/>
        <w:jc w:val="center"/>
        <w:rPr>
          <w:rFonts w:cs="Arial"/>
          <w:szCs w:val="24"/>
        </w:rPr>
        <w:sectPr w:rsidR="00F17927" w:rsidRPr="00157C43" w:rsidSect="004B348B">
          <w:headerReference w:type="default" r:id="rId21"/>
          <w:footerReference w:type="default" r:id="rId22"/>
          <w:pgSz w:w="12240" w:h="15840" w:code="1"/>
          <w:pgMar w:top="1" w:right="1183" w:bottom="0" w:left="1560" w:header="510" w:footer="510" w:gutter="0"/>
          <w:cols w:space="720"/>
          <w:docGrid w:linePitch="272"/>
        </w:sectPr>
      </w:pPr>
      <w:r>
        <w:rPr>
          <w:rFonts w:cs="Arial"/>
          <w:szCs w:val="24"/>
        </w:rPr>
        <w:tab/>
      </w:r>
    </w:p>
    <w:p w14:paraId="2DDC675B" w14:textId="5683EF7A" w:rsidR="00F17927" w:rsidRPr="008009BF" w:rsidRDefault="00F17927" w:rsidP="00F17927">
      <w:pPr>
        <w:pStyle w:val="Profesin"/>
        <w:tabs>
          <w:tab w:val="left" w:pos="8647"/>
        </w:tabs>
        <w:contextualSpacing/>
        <w:rPr>
          <w:sz w:val="24"/>
          <w:szCs w:val="24"/>
        </w:rPr>
      </w:pPr>
      <w:r w:rsidRPr="008009BF">
        <w:rPr>
          <w:sz w:val="24"/>
          <w:szCs w:val="24"/>
        </w:rPr>
        <w:lastRenderedPageBreak/>
        <w:t>NOTA TÉCNICA</w:t>
      </w:r>
    </w:p>
    <w:p w14:paraId="1E870964" w14:textId="77777777" w:rsidR="00F17927" w:rsidRPr="008009BF" w:rsidRDefault="00F17927" w:rsidP="00F17927">
      <w:pPr>
        <w:pStyle w:val="Profesin"/>
        <w:tabs>
          <w:tab w:val="left" w:pos="8647"/>
        </w:tabs>
        <w:contextualSpacing/>
        <w:rPr>
          <w:sz w:val="24"/>
          <w:szCs w:val="24"/>
        </w:rPr>
      </w:pPr>
    </w:p>
    <w:p w14:paraId="27445CEE" w14:textId="77777777" w:rsidR="00DF2D89" w:rsidRPr="008009BF" w:rsidRDefault="00DF2D89" w:rsidP="00D74605">
      <w:pPr>
        <w:pStyle w:val="Profesin"/>
        <w:rPr>
          <w:sz w:val="24"/>
          <w:szCs w:val="24"/>
        </w:rPr>
      </w:pPr>
      <w:r w:rsidRPr="008009BF">
        <w:rPr>
          <w:sz w:val="24"/>
          <w:szCs w:val="24"/>
        </w:rPr>
        <w:t>ÍNDICE NACIONAL DE PRECIOS AL CONSUMIDOR</w:t>
      </w:r>
    </w:p>
    <w:p w14:paraId="04ADCCF0" w14:textId="78496E36" w:rsidR="00DF2D89" w:rsidRPr="008009BF" w:rsidRDefault="00DF2D89" w:rsidP="00DF2D89">
      <w:pPr>
        <w:pStyle w:val="Profesin"/>
        <w:rPr>
          <w:caps w:val="0"/>
          <w:sz w:val="24"/>
          <w:szCs w:val="24"/>
        </w:rPr>
      </w:pPr>
      <w:r w:rsidRPr="008009BF">
        <w:rPr>
          <w:caps w:val="0"/>
          <w:sz w:val="24"/>
          <w:szCs w:val="24"/>
        </w:rPr>
        <w:t xml:space="preserve">Primera quincena de </w:t>
      </w:r>
      <w:r w:rsidR="0039290C" w:rsidRPr="008009BF">
        <w:rPr>
          <w:caps w:val="0"/>
          <w:sz w:val="24"/>
          <w:szCs w:val="24"/>
        </w:rPr>
        <w:t xml:space="preserve">septiembre </w:t>
      </w:r>
      <w:r w:rsidRPr="008009BF">
        <w:rPr>
          <w:caps w:val="0"/>
          <w:sz w:val="24"/>
          <w:szCs w:val="24"/>
        </w:rPr>
        <w:t>de 202</w:t>
      </w:r>
      <w:r w:rsidR="00A40648" w:rsidRPr="008009BF">
        <w:rPr>
          <w:caps w:val="0"/>
          <w:sz w:val="24"/>
          <w:szCs w:val="24"/>
        </w:rPr>
        <w:t>1</w:t>
      </w:r>
    </w:p>
    <w:p w14:paraId="1C7810F6" w14:textId="7FD62CDC" w:rsidR="00D00C54" w:rsidRDefault="00D00C54">
      <w:pPr>
        <w:jc w:val="left"/>
        <w:rPr>
          <w:b/>
          <w:i/>
          <w:color w:val="000000" w:themeColor="text1"/>
        </w:rPr>
      </w:pPr>
    </w:p>
    <w:p w14:paraId="75F4DC1C" w14:textId="4988B441" w:rsidR="005E1990" w:rsidRPr="00B940B6" w:rsidRDefault="005E1990" w:rsidP="00BD1A5A">
      <w:pPr>
        <w:keepNext/>
        <w:keepLines/>
        <w:widowControl w:val="0"/>
        <w:spacing w:before="36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72C95EA0" w14:textId="69D4814C" w:rsidR="0039290C" w:rsidRDefault="0039290C" w:rsidP="0039290C">
      <w:pPr>
        <w:keepNext/>
        <w:keepLines/>
        <w:autoSpaceDE w:val="0"/>
        <w:autoSpaceDN w:val="0"/>
        <w:adjustRightInd w:val="0"/>
        <w:spacing w:before="360"/>
      </w:pPr>
      <w:bookmarkStart w:id="2" w:name="_Hlk33002076"/>
      <w:r w:rsidRPr="00A71198">
        <w:t>En la primer</w:t>
      </w:r>
      <w:r>
        <w:t xml:space="preserve">a quincena de septiembre de </w:t>
      </w:r>
      <w:r w:rsidRPr="00A71198">
        <w:t>20</w:t>
      </w:r>
      <w:r>
        <w:t>21</w:t>
      </w:r>
      <w:r w:rsidRPr="00A71198">
        <w:t xml:space="preserve"> el Índice Nacional de Precios al Consumidor</w:t>
      </w:r>
      <w:r>
        <w:t xml:space="preserve"> (INPC)</w:t>
      </w:r>
      <w:r w:rsidRPr="00A71198">
        <w:t xml:space="preserve"> </w:t>
      </w:r>
      <w:r>
        <w:t>registró una inflación quincenal de 0.42</w:t>
      </w:r>
      <w:r w:rsidRPr="00A71198">
        <w:t xml:space="preserve"> por ciento</w:t>
      </w:r>
      <w:r>
        <w:t xml:space="preserve">. En igual periodo del año anterior </w:t>
      </w:r>
      <w:r w:rsidR="00C30BEE">
        <w:t>la</w:t>
      </w:r>
      <w:r>
        <w:t xml:space="preserve"> inflación </w:t>
      </w:r>
      <w:r w:rsidR="00C30BEE">
        <w:t xml:space="preserve">fue </w:t>
      </w:r>
      <w:r>
        <w:t>de 0.16 por ciento</w:t>
      </w:r>
      <w:r w:rsidRPr="00A71198">
        <w:t>.</w:t>
      </w:r>
    </w:p>
    <w:p w14:paraId="0C78F43C" w14:textId="77777777" w:rsidR="00C30BEE" w:rsidRPr="00F1727E" w:rsidRDefault="00C30BEE" w:rsidP="00C30BEE">
      <w:pPr>
        <w:pStyle w:val="n01"/>
        <w:keepNext/>
        <w:spacing w:before="360"/>
        <w:ind w:left="0" w:firstLine="0"/>
        <w:jc w:val="center"/>
        <w:rPr>
          <w:rFonts w:ascii="Arial" w:hAnsi="Arial"/>
          <w:b/>
          <w:bCs/>
          <w:color w:val="000000" w:themeColor="text1"/>
          <w:sz w:val="22"/>
        </w:rPr>
      </w:pPr>
      <w:r w:rsidRPr="00F1727E">
        <w:rPr>
          <w:rFonts w:ascii="Arial" w:hAnsi="Arial"/>
          <w:b/>
          <w:bCs/>
          <w:color w:val="000000" w:themeColor="text1"/>
          <w:sz w:val="22"/>
        </w:rPr>
        <w:t>ÍNDICE NACIONAL DE PRECIOS AL CONSUMIDOR</w:t>
      </w:r>
    </w:p>
    <w:p w14:paraId="2646F665" w14:textId="41CEA130" w:rsidR="0039290C" w:rsidRPr="00C30BEE" w:rsidRDefault="0039290C" w:rsidP="00C30BEE">
      <w:pPr>
        <w:keepNext/>
        <w:keepLines/>
        <w:widowControl w:val="0"/>
        <w:autoSpaceDE w:val="0"/>
        <w:autoSpaceDN w:val="0"/>
        <w:adjustRightInd w:val="0"/>
        <w:spacing w:before="3" w:line="225" w:lineRule="exact"/>
        <w:jc w:val="center"/>
        <w:rPr>
          <w:sz w:val="18"/>
          <w:szCs w:val="18"/>
        </w:rPr>
      </w:pPr>
      <w:r w:rsidRPr="00C30BEE">
        <w:rPr>
          <w:sz w:val="18"/>
          <w:szCs w:val="18"/>
        </w:rPr>
        <w:t>Variación porcentual quincenal</w:t>
      </w:r>
      <w:r w:rsidR="00C30BEE">
        <w:rPr>
          <w:sz w:val="18"/>
          <w:szCs w:val="18"/>
        </w:rPr>
        <w:t>,</w:t>
      </w:r>
      <w:r w:rsidRPr="00C30BEE">
        <w:rPr>
          <w:sz w:val="18"/>
          <w:szCs w:val="18"/>
        </w:rPr>
        <w:t xml:space="preserve"> durante la primera quincena de septiembre de los años que se indican</w:t>
      </w:r>
    </w:p>
    <w:p w14:paraId="0B674EFF" w14:textId="57BC7391" w:rsidR="0039290C" w:rsidRPr="00A71198" w:rsidRDefault="005642AA" w:rsidP="00C30BEE">
      <w:pPr>
        <w:autoSpaceDE w:val="0"/>
        <w:autoSpaceDN w:val="0"/>
        <w:adjustRightInd w:val="0"/>
        <w:jc w:val="center"/>
        <w:rPr>
          <w:noProof/>
        </w:rPr>
      </w:pPr>
      <w:r>
        <w:rPr>
          <w:noProof/>
        </w:rPr>
        <w:drawing>
          <wp:inline distT="0" distB="0" distL="0" distR="0" wp14:anchorId="73AA64CE" wp14:editId="03AF190C">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14E5D4" w14:textId="33006192" w:rsidR="0039290C" w:rsidRPr="00A71198" w:rsidRDefault="0039290C" w:rsidP="00F17927">
      <w:pPr>
        <w:autoSpaceDE w:val="0"/>
        <w:autoSpaceDN w:val="0"/>
        <w:adjustRightInd w:val="0"/>
        <w:spacing w:before="720"/>
        <w:ind w:left="-142"/>
      </w:pPr>
      <w:r w:rsidRPr="002E2B24">
        <w:t>En el siguiente cuadro se presentan las variaciones e incidencias</w:t>
      </w:r>
      <w:r>
        <w:t xml:space="preserve"> </w:t>
      </w:r>
      <w:r w:rsidRPr="002E2B24">
        <w:t xml:space="preserve">durante </w:t>
      </w:r>
      <w:r>
        <w:t xml:space="preserve">la primera quincena de septiembre </w:t>
      </w:r>
      <w:r w:rsidRPr="002E2B24">
        <w:t xml:space="preserve">de </w:t>
      </w:r>
      <w:r w:rsidR="00C30BEE">
        <w:t>este año</w:t>
      </w:r>
      <w:r w:rsidRPr="002E2B24">
        <w:t xml:space="preserve"> en el INPC, así como en los subíndices que lo integran.</w:t>
      </w:r>
    </w:p>
    <w:p w14:paraId="2DC1CDAF" w14:textId="77777777" w:rsidR="0039290C" w:rsidRPr="00A71198" w:rsidRDefault="0039290C" w:rsidP="0039290C">
      <w:pPr>
        <w:pStyle w:val="Prrafodelista"/>
        <w:keepNext/>
        <w:keepLines/>
        <w:widowControl w:val="0"/>
        <w:spacing w:before="360"/>
        <w:ind w:left="0"/>
        <w:jc w:val="center"/>
        <w:rPr>
          <w:b/>
          <w:smallCaps/>
        </w:rPr>
      </w:pPr>
      <w:r>
        <w:rPr>
          <w:b/>
          <w:smallCaps/>
        </w:rPr>
        <w:lastRenderedPageBreak/>
        <w:t>INPC Y SUS COMPONENTES</w:t>
      </w:r>
    </w:p>
    <w:p w14:paraId="36E06FFF" w14:textId="3174B8DE" w:rsidR="0039290C" w:rsidRDefault="00C30BEE" w:rsidP="0039290C">
      <w:pPr>
        <w:keepNext/>
        <w:keepLines/>
        <w:widowControl w:val="0"/>
        <w:jc w:val="center"/>
        <w:rPr>
          <w:noProof/>
        </w:rPr>
      </w:pPr>
      <w:r>
        <w:rPr>
          <w:sz w:val="18"/>
          <w:szCs w:val="20"/>
        </w:rPr>
        <w:t>P</w:t>
      </w:r>
      <w:r w:rsidR="0039290C" w:rsidRPr="00C30BEE">
        <w:rPr>
          <w:sz w:val="18"/>
          <w:szCs w:val="20"/>
        </w:rPr>
        <w:t xml:space="preserve">rimera quincena de septiembre de los años que se indican </w:t>
      </w:r>
    </w:p>
    <w:p w14:paraId="65E4E39B" w14:textId="39AFB014" w:rsidR="005642AA" w:rsidRPr="00A71198" w:rsidRDefault="005642AA" w:rsidP="0039290C">
      <w:pPr>
        <w:keepNext/>
        <w:keepLines/>
        <w:widowControl w:val="0"/>
        <w:jc w:val="center"/>
        <w:rPr>
          <w:b/>
        </w:rPr>
      </w:pPr>
      <w:r w:rsidRPr="005642AA">
        <w:rPr>
          <w:noProof/>
        </w:rPr>
        <w:drawing>
          <wp:inline distT="0" distB="0" distL="0" distR="0" wp14:anchorId="2A599E9F" wp14:editId="32DF892F">
            <wp:extent cx="5972810" cy="251873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18737"/>
                    </a:xfrm>
                    <a:prstGeom prst="rect">
                      <a:avLst/>
                    </a:prstGeom>
                    <a:noFill/>
                    <a:ln>
                      <a:noFill/>
                    </a:ln>
                  </pic:spPr>
                </pic:pic>
              </a:graphicData>
            </a:graphic>
          </wp:inline>
        </w:drawing>
      </w:r>
    </w:p>
    <w:p w14:paraId="6E29086B" w14:textId="77777777" w:rsidR="00C30BEE" w:rsidRPr="00A71198" w:rsidRDefault="00C30BEE" w:rsidP="00C30BEE">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La incidencia se refiere a la contribución en puntos porcentuales de cada componente del INPC en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3734E5AF" w14:textId="77777777" w:rsidR="00C30BEE" w:rsidRPr="00A71198" w:rsidRDefault="00C30BEE" w:rsidP="00C30BEE">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035C4B50" w14:textId="77777777" w:rsidR="00C30BEE" w:rsidRPr="00A71198" w:rsidRDefault="00C30BEE" w:rsidP="00C30BEE">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06C1DC49" w14:textId="77777777" w:rsidR="00C30BEE" w:rsidRPr="00A71198" w:rsidRDefault="00C30BEE" w:rsidP="00C30BEE">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2436A362" w14:textId="77777777" w:rsidR="0039290C" w:rsidRPr="00A71198" w:rsidRDefault="0039290C" w:rsidP="00C30BEE">
      <w:pPr>
        <w:pStyle w:val="n01"/>
        <w:keepLines w:val="0"/>
        <w:spacing w:before="720"/>
        <w:ind w:left="0" w:firstLine="0"/>
        <w:rPr>
          <w:rFonts w:ascii="Arial" w:hAnsi="Arial"/>
          <w:b/>
          <w:i/>
          <w:color w:val="auto"/>
        </w:rPr>
      </w:pPr>
      <w:r>
        <w:rPr>
          <w:rFonts w:ascii="Arial" w:hAnsi="Arial"/>
          <w:b/>
          <w:i/>
          <w:color w:val="auto"/>
        </w:rPr>
        <w:t>Inflación por componentes</w:t>
      </w:r>
    </w:p>
    <w:p w14:paraId="5F269C79" w14:textId="22A4FE23" w:rsidR="0039290C" w:rsidRPr="00A71198" w:rsidRDefault="0039290C" w:rsidP="0039290C">
      <w:pPr>
        <w:autoSpaceDE w:val="0"/>
        <w:autoSpaceDN w:val="0"/>
        <w:adjustRightInd w:val="0"/>
        <w:spacing w:before="240"/>
      </w:pPr>
      <w:r w:rsidRPr="00A71198">
        <w:t>La variación en la primera quincena de</w:t>
      </w:r>
      <w:r w:rsidR="00C30BEE">
        <w:t>l noveno mes de 2021</w:t>
      </w:r>
      <w:r w:rsidRPr="00A71198">
        <w:t xml:space="preserve"> de los índices subyacente y no subyacente fue de </w:t>
      </w:r>
      <w:r w:rsidR="00C47B25">
        <w:t xml:space="preserve">un aumento de </w:t>
      </w:r>
      <w:r w:rsidRPr="00A71198">
        <w:t>0.</w:t>
      </w:r>
      <w:r>
        <w:t>31</w:t>
      </w:r>
      <w:r w:rsidRPr="00A71198">
        <w:t xml:space="preserve"> y </w:t>
      </w:r>
      <w:r w:rsidR="00C30BEE">
        <w:t xml:space="preserve">de </w:t>
      </w:r>
      <w:r>
        <w:t>0.76</w:t>
      </w:r>
      <w:r w:rsidRPr="00A71198">
        <w:t xml:space="preserve"> por ciento</w:t>
      </w:r>
      <w:r w:rsidR="00C30BEE">
        <w:t>,</w:t>
      </w:r>
      <w:r>
        <w:t xml:space="preserve"> </w:t>
      </w:r>
      <w:r w:rsidRPr="00A71198">
        <w:t>respectivamente</w:t>
      </w:r>
      <w:r>
        <w:t xml:space="preserve">. Los </w:t>
      </w:r>
      <w:r w:rsidRPr="00A71198">
        <w:t xml:space="preserve">datos </w:t>
      </w:r>
      <w:r>
        <w:t xml:space="preserve">correspondientes </w:t>
      </w:r>
      <w:r w:rsidR="00C30BEE">
        <w:t>para</w:t>
      </w:r>
      <w:r w:rsidRPr="00A71198">
        <w:t xml:space="preserve"> el mismo periodo de 20</w:t>
      </w:r>
      <w:r>
        <w:t>20</w:t>
      </w:r>
      <w:r w:rsidRPr="00A71198">
        <w:t xml:space="preserve"> </w:t>
      </w:r>
      <w:r>
        <w:t>fueron</w:t>
      </w:r>
      <w:r w:rsidRPr="00A71198">
        <w:t xml:space="preserve"> </w:t>
      </w:r>
      <w:r w:rsidR="00C30BEE">
        <w:t xml:space="preserve">de </w:t>
      </w:r>
      <w:r w:rsidRPr="00A71198">
        <w:t>0.</w:t>
      </w:r>
      <w:r>
        <w:t>17</w:t>
      </w:r>
      <w:r w:rsidRPr="00A71198">
        <w:t xml:space="preserve"> y </w:t>
      </w:r>
      <w:r w:rsidR="00C30BEE">
        <w:t xml:space="preserve">de </w:t>
      </w:r>
      <w:r>
        <w:t>0.15 por ciento.</w:t>
      </w:r>
    </w:p>
    <w:p w14:paraId="510C6C8A" w14:textId="77777777" w:rsidR="00C30BEE" w:rsidRPr="00F1727E" w:rsidRDefault="00C30BEE" w:rsidP="00C30BEE">
      <w:pPr>
        <w:keepNext/>
        <w:keepLines/>
        <w:spacing w:before="240"/>
        <w:jc w:val="center"/>
        <w:rPr>
          <w:b/>
          <w:bCs/>
          <w:color w:val="000000" w:themeColor="text1"/>
          <w:spacing w:val="1"/>
          <w:sz w:val="22"/>
          <w:szCs w:val="22"/>
        </w:rPr>
      </w:pPr>
      <w:r w:rsidRPr="00F1727E">
        <w:rPr>
          <w:b/>
          <w:bCs/>
          <w:color w:val="000000" w:themeColor="text1"/>
          <w:spacing w:val="1"/>
          <w:sz w:val="22"/>
          <w:szCs w:val="22"/>
        </w:rPr>
        <w:lastRenderedPageBreak/>
        <w:t>ÍNDICES DE PRECIOS SUBYACENTE Y NO SUBYACENTE</w:t>
      </w:r>
    </w:p>
    <w:p w14:paraId="3253E47B" w14:textId="13318B3C" w:rsidR="0039290C" w:rsidRPr="00C30BEE" w:rsidRDefault="0039290C" w:rsidP="00C30BEE">
      <w:pPr>
        <w:keepNext/>
        <w:keepLines/>
        <w:widowControl w:val="0"/>
        <w:autoSpaceDE w:val="0"/>
        <w:autoSpaceDN w:val="0"/>
        <w:adjustRightInd w:val="0"/>
        <w:jc w:val="center"/>
        <w:rPr>
          <w:sz w:val="18"/>
          <w:szCs w:val="18"/>
        </w:rPr>
      </w:pPr>
      <w:r w:rsidRPr="00C30BEE">
        <w:rPr>
          <w:sz w:val="18"/>
          <w:szCs w:val="18"/>
        </w:rPr>
        <w:t xml:space="preserve">Variación porcentual </w:t>
      </w:r>
      <w:r w:rsidR="00C30BEE">
        <w:rPr>
          <w:sz w:val="18"/>
          <w:szCs w:val="18"/>
        </w:rPr>
        <w:t xml:space="preserve">quincenal, durante </w:t>
      </w:r>
      <w:r w:rsidRPr="00C30BEE">
        <w:rPr>
          <w:sz w:val="18"/>
          <w:szCs w:val="18"/>
        </w:rPr>
        <w:t>la primera quincena de septiembre de los años que se indican</w:t>
      </w:r>
    </w:p>
    <w:p w14:paraId="577110D5" w14:textId="43123F42" w:rsidR="0039290C" w:rsidRPr="00A71198" w:rsidRDefault="005642AA" w:rsidP="0039290C">
      <w:pPr>
        <w:pStyle w:val="n01"/>
        <w:keepLines w:val="0"/>
        <w:spacing w:before="0"/>
        <w:ind w:left="0" w:firstLine="0"/>
        <w:jc w:val="center"/>
        <w:rPr>
          <w:rFonts w:ascii="Arial" w:hAnsi="Arial"/>
          <w:color w:val="auto"/>
        </w:rPr>
      </w:pPr>
      <w:r>
        <w:rPr>
          <w:noProof/>
        </w:rPr>
        <w:drawing>
          <wp:inline distT="0" distB="0" distL="0" distR="0" wp14:anchorId="2E11A04B" wp14:editId="267FAF69">
            <wp:extent cx="5040000" cy="2880000"/>
            <wp:effectExtent l="0" t="0" r="27305" b="15875"/>
            <wp:docPr id="16" name="Gráfico 1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38BC3D" w14:textId="77777777" w:rsidR="0039290C" w:rsidRDefault="0039290C" w:rsidP="00C30BEE">
      <w:pPr>
        <w:autoSpaceDE w:val="0"/>
        <w:autoSpaceDN w:val="0"/>
        <w:adjustRightInd w:val="0"/>
        <w:spacing w:before="360"/>
      </w:pPr>
      <w:r>
        <w:t>A continuación,</w:t>
      </w:r>
      <w:r w:rsidRPr="00C31BEB">
        <w:t xml:space="preserve"> se muestra la serie histórica de la inflación por componentes en variaciones anuales.</w:t>
      </w:r>
    </w:p>
    <w:p w14:paraId="6E60F2D6" w14:textId="77777777" w:rsidR="0039290C" w:rsidRPr="005F57AB" w:rsidRDefault="0039290C" w:rsidP="005F57AB">
      <w:pPr>
        <w:pStyle w:val="n01"/>
        <w:keepNext/>
        <w:widowControl w:val="0"/>
        <w:spacing w:before="360"/>
        <w:ind w:left="0" w:firstLine="0"/>
        <w:jc w:val="center"/>
        <w:rPr>
          <w:rFonts w:ascii="Arial" w:hAnsi="Arial"/>
          <w:b/>
          <w:bCs/>
          <w:smallCaps/>
          <w:color w:val="000000" w:themeColor="text1"/>
          <w:sz w:val="22"/>
          <w:szCs w:val="22"/>
        </w:rPr>
      </w:pPr>
      <w:r w:rsidRPr="005F57AB">
        <w:rPr>
          <w:rFonts w:ascii="Arial" w:hAnsi="Arial"/>
          <w:b/>
          <w:bCs/>
          <w:smallCaps/>
          <w:color w:val="000000" w:themeColor="text1"/>
          <w:sz w:val="22"/>
          <w:szCs w:val="22"/>
        </w:rPr>
        <w:t xml:space="preserve">INPC Y SUS COMPONENTES </w:t>
      </w:r>
    </w:p>
    <w:p w14:paraId="1850F73A" w14:textId="1B252A43" w:rsidR="0039290C" w:rsidRPr="005F57AB" w:rsidRDefault="0039290C" w:rsidP="005F57AB">
      <w:pPr>
        <w:keepNext/>
        <w:keepLines/>
        <w:widowControl w:val="0"/>
        <w:autoSpaceDE w:val="0"/>
        <w:autoSpaceDN w:val="0"/>
        <w:adjustRightInd w:val="0"/>
        <w:jc w:val="center"/>
        <w:rPr>
          <w:sz w:val="18"/>
          <w:szCs w:val="18"/>
        </w:rPr>
      </w:pPr>
      <w:r w:rsidRPr="005F57AB">
        <w:rPr>
          <w:sz w:val="18"/>
          <w:szCs w:val="18"/>
        </w:rPr>
        <w:t>Variación porcentual anual</w:t>
      </w:r>
      <w:r w:rsidR="005F57AB">
        <w:rPr>
          <w:sz w:val="18"/>
          <w:szCs w:val="18"/>
        </w:rPr>
        <w:t xml:space="preserve">, por </w:t>
      </w:r>
      <w:r w:rsidR="005F57AB" w:rsidRPr="00AD16B8">
        <w:rPr>
          <w:sz w:val="18"/>
          <w:szCs w:val="18"/>
        </w:rPr>
        <w:t xml:space="preserve">quincena de </w:t>
      </w:r>
      <w:r w:rsidR="005F57AB">
        <w:rPr>
          <w:sz w:val="18"/>
          <w:szCs w:val="18"/>
        </w:rPr>
        <w:t>los años que se indican</w:t>
      </w:r>
      <w:r w:rsidRPr="005F57AB">
        <w:rPr>
          <w:sz w:val="18"/>
          <w:szCs w:val="18"/>
        </w:rPr>
        <w:t xml:space="preserve"> </w:t>
      </w:r>
    </w:p>
    <w:p w14:paraId="75292CBB" w14:textId="71443D6A" w:rsidR="0039290C" w:rsidRPr="00A71198" w:rsidRDefault="005642AA" w:rsidP="0039290C">
      <w:pPr>
        <w:widowControl w:val="0"/>
        <w:autoSpaceDE w:val="0"/>
        <w:autoSpaceDN w:val="0"/>
        <w:adjustRightInd w:val="0"/>
        <w:jc w:val="center"/>
      </w:pPr>
      <w:r>
        <w:rPr>
          <w:noProof/>
        </w:rPr>
        <w:drawing>
          <wp:inline distT="0" distB="0" distL="0" distR="0" wp14:anchorId="61F5032B" wp14:editId="45D2F8ED">
            <wp:extent cx="5040000" cy="2880000"/>
            <wp:effectExtent l="0" t="0" r="27305" b="34925"/>
            <wp:docPr id="18" name="Gráfico 1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2DC98E" w14:textId="7B791C29" w:rsidR="0039290C" w:rsidRPr="00550ACA" w:rsidRDefault="005F57AB" w:rsidP="005F57AB">
      <w:pPr>
        <w:keepNext/>
        <w:keepLines/>
        <w:autoSpaceDE w:val="0"/>
        <w:autoSpaceDN w:val="0"/>
        <w:adjustRightInd w:val="0"/>
        <w:spacing w:before="240"/>
      </w:pPr>
      <w:r>
        <w:lastRenderedPageBreak/>
        <w:t>Ahora se</w:t>
      </w:r>
      <w:r w:rsidR="0039290C" w:rsidRPr="00550ACA">
        <w:t xml:space="preserve"> presenta</w:t>
      </w:r>
      <w:r>
        <w:t>n</w:t>
      </w:r>
      <w:r w:rsidR="0039290C" w:rsidRPr="00550ACA">
        <w:t xml:space="preserve"> los principales productos genéricos cuyas variaciones de precios al alza y a la baja destacaron por su incidencia sobre la inflación general.</w:t>
      </w:r>
    </w:p>
    <w:p w14:paraId="16DCBCD6" w14:textId="77777777" w:rsidR="005F57AB" w:rsidRPr="00F1727E" w:rsidRDefault="005F57AB" w:rsidP="005F57AB">
      <w:pPr>
        <w:keepNext/>
        <w:keepLines/>
        <w:widowControl w:val="0"/>
        <w:tabs>
          <w:tab w:val="left" w:pos="1220"/>
        </w:tabs>
        <w:autoSpaceDE w:val="0"/>
        <w:autoSpaceDN w:val="0"/>
        <w:adjustRightInd w:val="0"/>
        <w:spacing w:before="240"/>
        <w:jc w:val="center"/>
        <w:rPr>
          <w:b/>
          <w:bCs/>
          <w:color w:val="000000" w:themeColor="text1"/>
          <w:spacing w:val="1"/>
          <w:sz w:val="22"/>
          <w:szCs w:val="22"/>
        </w:rPr>
      </w:pPr>
      <w:r w:rsidRPr="00F1727E">
        <w:rPr>
          <w:b/>
          <w:bCs/>
          <w:color w:val="000000" w:themeColor="text1"/>
          <w:spacing w:val="1"/>
          <w:sz w:val="22"/>
          <w:szCs w:val="22"/>
        </w:rPr>
        <w:t>ÍNDICE NACIONAL DE PRECIOS AL CONSUMIDOR</w:t>
      </w:r>
    </w:p>
    <w:p w14:paraId="2D450AA0" w14:textId="77777777" w:rsidR="005F57AB" w:rsidRPr="00F1727E" w:rsidRDefault="005F57AB" w:rsidP="005F57AB">
      <w:pPr>
        <w:widowControl w:val="0"/>
        <w:tabs>
          <w:tab w:val="left" w:pos="1220"/>
        </w:tabs>
        <w:autoSpaceDE w:val="0"/>
        <w:autoSpaceDN w:val="0"/>
        <w:adjustRightInd w:val="0"/>
        <w:jc w:val="center"/>
        <w:rPr>
          <w:b/>
          <w:bCs/>
          <w:color w:val="000000" w:themeColor="text1"/>
          <w:spacing w:val="1"/>
          <w:sz w:val="22"/>
        </w:rPr>
      </w:pPr>
      <w:r w:rsidRPr="00F1727E">
        <w:rPr>
          <w:b/>
          <w:bCs/>
          <w:color w:val="000000" w:themeColor="text1"/>
          <w:spacing w:val="1"/>
          <w:sz w:val="22"/>
        </w:rPr>
        <w:t>GENÉRICOS CON MAYOR Y MENOR INCIDENCIA</w:t>
      </w:r>
    </w:p>
    <w:p w14:paraId="310C48C4" w14:textId="77777777" w:rsidR="0039290C" w:rsidRPr="005F57AB" w:rsidRDefault="0039290C" w:rsidP="005F57AB">
      <w:pPr>
        <w:keepNext/>
        <w:keepLines/>
        <w:widowControl w:val="0"/>
        <w:autoSpaceDE w:val="0"/>
        <w:autoSpaceDN w:val="0"/>
        <w:adjustRightInd w:val="0"/>
        <w:jc w:val="center"/>
        <w:rPr>
          <w:color w:val="000000"/>
          <w:position w:val="-1"/>
          <w:sz w:val="18"/>
          <w:szCs w:val="20"/>
        </w:rPr>
      </w:pPr>
      <w:r w:rsidRPr="005F57AB">
        <w:rPr>
          <w:color w:val="000000"/>
          <w:position w:val="-1"/>
          <w:sz w:val="18"/>
          <w:szCs w:val="20"/>
        </w:rPr>
        <w:t>Primera quincena de septiembre de 2021</w:t>
      </w:r>
    </w:p>
    <w:p w14:paraId="3F504758" w14:textId="162FDE2F" w:rsidR="0039290C" w:rsidRPr="00A71198" w:rsidRDefault="005642AA" w:rsidP="0039290C">
      <w:pPr>
        <w:autoSpaceDE w:val="0"/>
        <w:autoSpaceDN w:val="0"/>
        <w:adjustRightInd w:val="0"/>
        <w:jc w:val="center"/>
      </w:pPr>
      <w:r w:rsidRPr="005642AA">
        <w:rPr>
          <w:noProof/>
        </w:rPr>
        <w:drawing>
          <wp:inline distT="0" distB="0" distL="0" distR="0" wp14:anchorId="6B896AFF" wp14:editId="09FB3116">
            <wp:extent cx="5972810" cy="1785219"/>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810" cy="1785219"/>
                    </a:xfrm>
                    <a:prstGeom prst="rect">
                      <a:avLst/>
                    </a:prstGeom>
                    <a:noFill/>
                    <a:ln>
                      <a:noFill/>
                    </a:ln>
                  </pic:spPr>
                </pic:pic>
              </a:graphicData>
            </a:graphic>
          </wp:inline>
        </w:drawing>
      </w:r>
    </w:p>
    <w:p w14:paraId="7885291E" w14:textId="77777777" w:rsidR="005F57AB" w:rsidRPr="00321AF7" w:rsidRDefault="005F57AB" w:rsidP="005F57AB">
      <w:pPr>
        <w:autoSpaceDE w:val="0"/>
        <w:autoSpaceDN w:val="0"/>
        <w:adjustRightInd w:val="0"/>
        <w:spacing w:line="276" w:lineRule="auto"/>
        <w:ind w:left="283" w:right="113" w:hanging="170"/>
        <w:rPr>
          <w:color w:val="006600"/>
          <w:sz w:val="16"/>
          <w:szCs w:val="16"/>
        </w:rPr>
      </w:pPr>
      <w:r w:rsidRPr="00F1727E">
        <w:rPr>
          <w:color w:val="006600"/>
          <w:sz w:val="18"/>
          <w:szCs w:val="16"/>
          <w:vertAlign w:val="superscript"/>
        </w:rPr>
        <w:t>1/</w:t>
      </w:r>
      <w:r>
        <w:rPr>
          <w:color w:val="006600"/>
          <w:sz w:val="18"/>
          <w:szCs w:val="16"/>
          <w:vertAlign w:val="superscript"/>
        </w:rPr>
        <w:tab/>
      </w:r>
      <w:r w:rsidRPr="00321AF7">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6D1A99BA" w14:textId="1BF0DDBB" w:rsidR="0039290C" w:rsidRPr="00A71198" w:rsidRDefault="0039290C" w:rsidP="005F57AB">
      <w:pPr>
        <w:keepNext/>
        <w:keepLines/>
        <w:autoSpaceDE w:val="0"/>
        <w:autoSpaceDN w:val="0"/>
        <w:adjustRightInd w:val="0"/>
        <w:spacing w:before="360"/>
      </w:pPr>
      <w:r>
        <w:t>En los siguientes cuadros se muestran las entidades federativas y ciudades con la mayor y</w:t>
      </w:r>
      <w:r w:rsidR="005F57AB">
        <w:t xml:space="preserve"> </w:t>
      </w:r>
      <w:r>
        <w:t>menor variación de</w:t>
      </w:r>
      <w:r w:rsidR="005F57AB">
        <w:t>l INPC</w:t>
      </w:r>
      <w:r>
        <w:t xml:space="preserve"> en la primera quincena de septiembre de 2021.</w:t>
      </w:r>
    </w:p>
    <w:p w14:paraId="79A1F38A" w14:textId="77777777" w:rsidR="0039290C" w:rsidRPr="005F57AB" w:rsidRDefault="0039290C" w:rsidP="005F57AB">
      <w:pPr>
        <w:keepNext/>
        <w:keepLines/>
        <w:widowControl w:val="0"/>
        <w:tabs>
          <w:tab w:val="left" w:pos="1220"/>
        </w:tabs>
        <w:autoSpaceDE w:val="0"/>
        <w:autoSpaceDN w:val="0"/>
        <w:adjustRightInd w:val="0"/>
        <w:spacing w:before="240"/>
        <w:jc w:val="center"/>
        <w:rPr>
          <w:b/>
          <w:bCs/>
          <w:smallCaps/>
          <w:color w:val="000000" w:themeColor="text1"/>
          <w:spacing w:val="1"/>
          <w:sz w:val="22"/>
          <w:szCs w:val="22"/>
        </w:rPr>
      </w:pPr>
      <w:r w:rsidRPr="005F57AB">
        <w:rPr>
          <w:b/>
          <w:bCs/>
          <w:smallCaps/>
          <w:color w:val="000000" w:themeColor="text1"/>
          <w:spacing w:val="1"/>
          <w:sz w:val="22"/>
          <w:szCs w:val="22"/>
        </w:rPr>
        <w:t>ÍNDICE NACIONAL DE PRECIOS AL CONSUMIDOR</w:t>
      </w:r>
    </w:p>
    <w:p w14:paraId="5508EA2B" w14:textId="77777777" w:rsidR="0039290C" w:rsidRPr="005F57AB" w:rsidRDefault="0039290C" w:rsidP="0039290C">
      <w:pPr>
        <w:widowControl w:val="0"/>
        <w:tabs>
          <w:tab w:val="left" w:pos="1220"/>
        </w:tabs>
        <w:autoSpaceDE w:val="0"/>
        <w:autoSpaceDN w:val="0"/>
        <w:adjustRightInd w:val="0"/>
        <w:jc w:val="center"/>
        <w:rPr>
          <w:b/>
          <w:bCs/>
          <w:smallCaps/>
          <w:color w:val="000000" w:themeColor="text1"/>
          <w:spacing w:val="1"/>
          <w:sz w:val="22"/>
        </w:rPr>
      </w:pPr>
      <w:r w:rsidRPr="005F57AB">
        <w:rPr>
          <w:b/>
          <w:bCs/>
          <w:smallCaps/>
          <w:color w:val="000000" w:themeColor="text1"/>
          <w:spacing w:val="1"/>
          <w:sz w:val="22"/>
        </w:rPr>
        <w:t>ENTIDADES FEDERATIVAS CON MAYOR Y MENOR VARIACIÓN *</w:t>
      </w:r>
    </w:p>
    <w:p w14:paraId="520C6955" w14:textId="77777777" w:rsidR="0039290C" w:rsidRPr="005F57AB" w:rsidRDefault="0039290C" w:rsidP="005F57AB">
      <w:pPr>
        <w:keepNext/>
        <w:keepLines/>
        <w:widowControl w:val="0"/>
        <w:tabs>
          <w:tab w:val="left" w:pos="1220"/>
        </w:tabs>
        <w:autoSpaceDE w:val="0"/>
        <w:autoSpaceDN w:val="0"/>
        <w:adjustRightInd w:val="0"/>
        <w:jc w:val="center"/>
        <w:rPr>
          <w:bCs/>
          <w:color w:val="000000" w:themeColor="text1"/>
          <w:spacing w:val="1"/>
          <w:sz w:val="18"/>
          <w:szCs w:val="20"/>
        </w:rPr>
      </w:pPr>
      <w:r w:rsidRPr="005F57AB">
        <w:rPr>
          <w:bCs/>
          <w:color w:val="000000" w:themeColor="text1"/>
          <w:spacing w:val="1"/>
          <w:sz w:val="18"/>
          <w:szCs w:val="20"/>
        </w:rPr>
        <w:t>Primera quincena de septiembre de 2021</w:t>
      </w:r>
    </w:p>
    <w:p w14:paraId="4131C96E" w14:textId="36EAA9B7" w:rsidR="0039290C" w:rsidRPr="00A71198" w:rsidRDefault="005642AA" w:rsidP="005642AA">
      <w:pPr>
        <w:autoSpaceDE w:val="0"/>
        <w:autoSpaceDN w:val="0"/>
        <w:adjustRightInd w:val="0"/>
        <w:jc w:val="center"/>
        <w:rPr>
          <w:color w:val="006600"/>
        </w:rPr>
      </w:pPr>
      <w:r w:rsidRPr="005642AA">
        <w:rPr>
          <w:noProof/>
        </w:rPr>
        <w:drawing>
          <wp:inline distT="0" distB="0" distL="0" distR="0" wp14:anchorId="75192783" wp14:editId="3568FEF8">
            <wp:extent cx="5972810" cy="11332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810" cy="1133205"/>
                    </a:xfrm>
                    <a:prstGeom prst="rect">
                      <a:avLst/>
                    </a:prstGeom>
                    <a:noFill/>
                    <a:ln>
                      <a:noFill/>
                    </a:ln>
                  </pic:spPr>
                </pic:pic>
              </a:graphicData>
            </a:graphic>
          </wp:inline>
        </w:drawing>
      </w:r>
    </w:p>
    <w:p w14:paraId="59EEAB32" w14:textId="77777777" w:rsidR="005F57AB" w:rsidRPr="0093518A" w:rsidRDefault="005F57AB" w:rsidP="005F57AB">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w:t>
      </w:r>
      <w:r>
        <w:rPr>
          <w:rStyle w:val="Hipervnculo"/>
          <w:color w:val="006600"/>
          <w:sz w:val="16"/>
          <w:szCs w:val="28"/>
          <w:u w:val="none"/>
        </w:rPr>
        <w:t>ó</w:t>
      </w:r>
      <w:r w:rsidRPr="00071F0D">
        <w:rPr>
          <w:rStyle w:val="Hipervnculo"/>
          <w:color w:val="006600"/>
          <w:sz w:val="16"/>
          <w:szCs w:val="28"/>
          <w:u w:val="none"/>
        </w:rPr>
        <w:t>lo tienen valor informativo.</w:t>
      </w:r>
    </w:p>
    <w:p w14:paraId="3930FE01" w14:textId="77777777" w:rsidR="0039290C" w:rsidRPr="005F57AB" w:rsidRDefault="0039290C" w:rsidP="005F57AB">
      <w:pPr>
        <w:keepNext/>
        <w:keepLines/>
        <w:widowControl w:val="0"/>
        <w:autoSpaceDE w:val="0"/>
        <w:autoSpaceDN w:val="0"/>
        <w:adjustRightInd w:val="0"/>
        <w:spacing w:before="240"/>
        <w:jc w:val="center"/>
        <w:rPr>
          <w:b/>
          <w:bCs/>
          <w:smallCaps/>
          <w:color w:val="000000" w:themeColor="text1"/>
          <w:spacing w:val="1"/>
          <w:sz w:val="22"/>
          <w:szCs w:val="22"/>
        </w:rPr>
      </w:pPr>
      <w:r w:rsidRPr="005F57AB">
        <w:rPr>
          <w:b/>
          <w:bCs/>
          <w:smallCaps/>
          <w:color w:val="000000" w:themeColor="text1"/>
          <w:spacing w:val="1"/>
          <w:sz w:val="22"/>
          <w:szCs w:val="22"/>
        </w:rPr>
        <w:lastRenderedPageBreak/>
        <w:t>ÍNDICE NACIONAL DE PRECIOS AL CONSUMIDOR</w:t>
      </w:r>
    </w:p>
    <w:p w14:paraId="278D4C6C" w14:textId="77777777" w:rsidR="0039290C" w:rsidRPr="005F57AB" w:rsidRDefault="0039290C" w:rsidP="005F57AB">
      <w:pPr>
        <w:keepNext/>
        <w:keepLines/>
        <w:tabs>
          <w:tab w:val="left" w:pos="1220"/>
        </w:tabs>
        <w:autoSpaceDE w:val="0"/>
        <w:autoSpaceDN w:val="0"/>
        <w:adjustRightInd w:val="0"/>
        <w:jc w:val="center"/>
        <w:rPr>
          <w:b/>
          <w:bCs/>
          <w:smallCaps/>
          <w:color w:val="000000" w:themeColor="text1"/>
          <w:spacing w:val="1"/>
          <w:sz w:val="22"/>
          <w:szCs w:val="22"/>
        </w:rPr>
      </w:pPr>
      <w:r w:rsidRPr="005F57AB">
        <w:rPr>
          <w:b/>
          <w:bCs/>
          <w:smallCaps/>
          <w:color w:val="000000" w:themeColor="text1"/>
          <w:spacing w:val="1"/>
          <w:sz w:val="22"/>
          <w:szCs w:val="22"/>
        </w:rPr>
        <w:t>CIUDADES CON MAYOR Y MENOR VARIACIÓN *</w:t>
      </w:r>
    </w:p>
    <w:p w14:paraId="72B99FD3" w14:textId="4BD7F92E" w:rsidR="0039290C" w:rsidRPr="005F57AB" w:rsidRDefault="0039290C" w:rsidP="005F57AB">
      <w:pPr>
        <w:keepNext/>
        <w:keepLines/>
        <w:tabs>
          <w:tab w:val="left" w:pos="1220"/>
        </w:tabs>
        <w:autoSpaceDE w:val="0"/>
        <w:autoSpaceDN w:val="0"/>
        <w:adjustRightInd w:val="0"/>
        <w:jc w:val="center"/>
        <w:rPr>
          <w:bCs/>
          <w:color w:val="000000" w:themeColor="text1"/>
          <w:spacing w:val="1"/>
          <w:sz w:val="18"/>
          <w:szCs w:val="20"/>
        </w:rPr>
      </w:pPr>
      <w:r w:rsidRPr="005F57AB">
        <w:rPr>
          <w:bCs/>
          <w:color w:val="000000" w:themeColor="text1"/>
          <w:spacing w:val="1"/>
          <w:sz w:val="18"/>
          <w:szCs w:val="20"/>
        </w:rPr>
        <w:t xml:space="preserve">Primera quincena de septiembre </w:t>
      </w:r>
      <w:r w:rsidR="005F57AB">
        <w:rPr>
          <w:bCs/>
          <w:color w:val="000000" w:themeColor="text1"/>
          <w:spacing w:val="1"/>
          <w:sz w:val="18"/>
          <w:szCs w:val="20"/>
        </w:rPr>
        <w:t xml:space="preserve">de </w:t>
      </w:r>
      <w:r w:rsidRPr="005F57AB">
        <w:rPr>
          <w:bCs/>
          <w:color w:val="000000" w:themeColor="text1"/>
          <w:spacing w:val="1"/>
          <w:sz w:val="18"/>
          <w:szCs w:val="20"/>
        </w:rPr>
        <w:t>2021</w:t>
      </w:r>
    </w:p>
    <w:p w14:paraId="563564A0" w14:textId="7AE845EF" w:rsidR="0039290C" w:rsidRPr="00A71198" w:rsidRDefault="005642AA" w:rsidP="0039290C">
      <w:pPr>
        <w:widowControl w:val="0"/>
        <w:tabs>
          <w:tab w:val="left" w:pos="1220"/>
        </w:tabs>
        <w:autoSpaceDE w:val="0"/>
        <w:autoSpaceDN w:val="0"/>
        <w:adjustRightInd w:val="0"/>
        <w:jc w:val="center"/>
        <w:rPr>
          <w:bCs/>
          <w:color w:val="000000" w:themeColor="text1"/>
          <w:spacing w:val="1"/>
        </w:rPr>
      </w:pPr>
      <w:r w:rsidRPr="005642AA">
        <w:rPr>
          <w:noProof/>
        </w:rPr>
        <w:drawing>
          <wp:inline distT="0" distB="0" distL="0" distR="0" wp14:anchorId="0FE7C15C" wp14:editId="3C504098">
            <wp:extent cx="5972810" cy="1904474"/>
            <wp:effectExtent l="0" t="0" r="889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2810" cy="1904474"/>
                    </a:xfrm>
                    <a:prstGeom prst="rect">
                      <a:avLst/>
                    </a:prstGeom>
                    <a:noFill/>
                    <a:ln>
                      <a:noFill/>
                    </a:ln>
                  </pic:spPr>
                </pic:pic>
              </a:graphicData>
            </a:graphic>
          </wp:inline>
        </w:drawing>
      </w:r>
    </w:p>
    <w:p w14:paraId="256DDF75" w14:textId="77777777" w:rsidR="005F57AB" w:rsidRPr="0093518A" w:rsidRDefault="005F57AB" w:rsidP="005F57AB">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00C739A4" w14:textId="6C58D2D1" w:rsidR="0039290C" w:rsidRDefault="0039290C" w:rsidP="0039290C">
      <w:pPr>
        <w:widowControl w:val="0"/>
        <w:autoSpaceDE w:val="0"/>
        <w:autoSpaceDN w:val="0"/>
        <w:adjustRightInd w:val="0"/>
        <w:spacing w:before="240"/>
      </w:pPr>
      <w:r w:rsidRPr="005D3641">
        <w:t>A continuación se muestran las variaciones de precios del INPC duran</w:t>
      </w:r>
      <w:r>
        <w:t>te la primera quincena de septiembre</w:t>
      </w:r>
      <w:r w:rsidRPr="005D3641">
        <w:t xml:space="preserve"> de 2021, en función </w:t>
      </w:r>
      <w:r w:rsidR="005F57AB">
        <w:t>de</w:t>
      </w:r>
      <w:r w:rsidRPr="005D3641">
        <w:t xml:space="preserve"> la Clasificación del Consumo Individual por Finalidades (CCIF), utilizada internacionalmente para los índices de</w:t>
      </w:r>
      <w:r>
        <w:t xml:space="preserve"> precios al </w:t>
      </w:r>
      <w:r w:rsidRPr="00A71198">
        <w:t>consumidor</w:t>
      </w:r>
      <w:r w:rsidRPr="00A71198">
        <w:rPr>
          <w:vertAlign w:val="superscript"/>
        </w:rPr>
        <w:footnoteReference w:id="2"/>
      </w:r>
      <w:r w:rsidRPr="00A71198">
        <w:t>:</w:t>
      </w:r>
    </w:p>
    <w:p w14:paraId="36E9CAAD" w14:textId="2E201689" w:rsidR="0039290C" w:rsidRPr="005F57AB" w:rsidRDefault="005F57AB" w:rsidP="005F57AB">
      <w:pPr>
        <w:pStyle w:val="n01"/>
        <w:keepNext/>
        <w:autoSpaceDE w:val="0"/>
        <w:autoSpaceDN w:val="0"/>
        <w:adjustRightInd w:val="0"/>
        <w:spacing w:before="360"/>
        <w:ind w:left="0" w:firstLine="0"/>
        <w:jc w:val="center"/>
        <w:rPr>
          <w:rFonts w:ascii="Arial" w:hAnsi="Arial"/>
          <w:b/>
          <w:bCs/>
          <w:color w:val="000000" w:themeColor="text1"/>
          <w:spacing w:val="1"/>
          <w:sz w:val="22"/>
          <w:szCs w:val="22"/>
        </w:rPr>
      </w:pPr>
      <w:r w:rsidRPr="005F57AB">
        <w:rPr>
          <w:rFonts w:ascii="Arial" w:hAnsi="Arial"/>
          <w:b/>
          <w:bCs/>
          <w:color w:val="000000" w:themeColor="text1"/>
          <w:spacing w:val="1"/>
          <w:sz w:val="22"/>
          <w:szCs w:val="22"/>
        </w:rPr>
        <w:t>ÍNDICE NACIONAL DE PRECIOS AL CONSUMIDOR</w:t>
      </w:r>
    </w:p>
    <w:p w14:paraId="4211223E" w14:textId="1A74C41C" w:rsidR="0039290C" w:rsidRPr="005F57AB" w:rsidRDefault="005F57AB" w:rsidP="0039290C">
      <w:pPr>
        <w:keepNext/>
        <w:keepLines/>
        <w:tabs>
          <w:tab w:val="left" w:pos="1220"/>
        </w:tabs>
        <w:autoSpaceDE w:val="0"/>
        <w:autoSpaceDN w:val="0"/>
        <w:adjustRightInd w:val="0"/>
        <w:jc w:val="center"/>
        <w:rPr>
          <w:b/>
          <w:bCs/>
          <w:color w:val="000000" w:themeColor="text1"/>
          <w:spacing w:val="1"/>
          <w:sz w:val="22"/>
          <w:szCs w:val="22"/>
        </w:rPr>
      </w:pPr>
      <w:r w:rsidRPr="005F57AB">
        <w:rPr>
          <w:b/>
          <w:bCs/>
          <w:color w:val="000000" w:themeColor="text1"/>
          <w:spacing w:val="1"/>
          <w:sz w:val="22"/>
          <w:szCs w:val="22"/>
        </w:rPr>
        <w:t>CLASIFICACIÓN DEL CONSUMO INDIVIDUAL POR FINALIDADES</w:t>
      </w:r>
    </w:p>
    <w:p w14:paraId="265B84BC" w14:textId="77777777" w:rsidR="0039290C" w:rsidRPr="005F57AB" w:rsidRDefault="0039290C" w:rsidP="0039290C">
      <w:pPr>
        <w:keepNext/>
        <w:keepLines/>
        <w:tabs>
          <w:tab w:val="left" w:pos="1220"/>
        </w:tabs>
        <w:autoSpaceDE w:val="0"/>
        <w:autoSpaceDN w:val="0"/>
        <w:adjustRightInd w:val="0"/>
        <w:jc w:val="center"/>
        <w:rPr>
          <w:bCs/>
          <w:color w:val="000000"/>
          <w:spacing w:val="1"/>
          <w:sz w:val="18"/>
          <w:szCs w:val="20"/>
        </w:rPr>
      </w:pPr>
      <w:r w:rsidRPr="005F57AB">
        <w:rPr>
          <w:bCs/>
          <w:color w:val="000000"/>
          <w:spacing w:val="1"/>
          <w:sz w:val="18"/>
          <w:szCs w:val="20"/>
        </w:rPr>
        <w:t>Variación porcentual</w:t>
      </w:r>
    </w:p>
    <w:p w14:paraId="1FFFDC77" w14:textId="52C66E48" w:rsidR="0039290C" w:rsidRPr="00A71198" w:rsidRDefault="005642AA" w:rsidP="0039290C">
      <w:pPr>
        <w:pStyle w:val="Prrafodelista"/>
        <w:keepNext/>
        <w:keepLines/>
        <w:autoSpaceDE w:val="0"/>
        <w:autoSpaceDN w:val="0"/>
        <w:adjustRightInd w:val="0"/>
        <w:ind w:hanging="708"/>
        <w:jc w:val="center"/>
      </w:pPr>
      <w:r w:rsidRPr="005642AA">
        <w:rPr>
          <w:noProof/>
        </w:rPr>
        <w:drawing>
          <wp:inline distT="0" distB="0" distL="0" distR="0" wp14:anchorId="35D5F138" wp14:editId="1AEE7C25">
            <wp:extent cx="5972810" cy="2548295"/>
            <wp:effectExtent l="0" t="0" r="889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810" cy="2548295"/>
                    </a:xfrm>
                    <a:prstGeom prst="rect">
                      <a:avLst/>
                    </a:prstGeom>
                    <a:noFill/>
                    <a:ln>
                      <a:noFill/>
                    </a:ln>
                  </pic:spPr>
                </pic:pic>
              </a:graphicData>
            </a:graphic>
          </wp:inline>
        </w:drawing>
      </w:r>
    </w:p>
    <w:p w14:paraId="2C48EB0D" w14:textId="77777777" w:rsidR="005F57AB" w:rsidRPr="00321AF7" w:rsidRDefault="005F57AB" w:rsidP="005F57AB">
      <w:pPr>
        <w:autoSpaceDE w:val="0"/>
        <w:autoSpaceDN w:val="0"/>
        <w:adjustRightInd w:val="0"/>
        <w:ind w:left="283" w:right="113" w:hanging="170"/>
        <w:rPr>
          <w:color w:val="006600"/>
          <w:sz w:val="16"/>
          <w:szCs w:val="16"/>
        </w:rPr>
      </w:pPr>
      <w:r w:rsidRPr="00321AF7">
        <w:rPr>
          <w:color w:val="006600"/>
          <w:sz w:val="18"/>
          <w:szCs w:val="16"/>
          <w:vertAlign w:val="superscript"/>
        </w:rPr>
        <w:t>1/</w:t>
      </w:r>
      <w:r w:rsidRPr="00321AF7">
        <w:rPr>
          <w:color w:val="006600"/>
          <w:sz w:val="18"/>
          <w:szCs w:val="16"/>
          <w:vertAlign w:val="superscript"/>
        </w:rPr>
        <w:tab/>
      </w:r>
      <w:r w:rsidRPr="00321AF7">
        <w:rPr>
          <w:color w:val="006600"/>
          <w:sz w:val="16"/>
          <w:szCs w:val="16"/>
        </w:rPr>
        <w:t>Incluye productos y servicios de cuidado personal, relojes, maletas, seguro de automóvil, servicios funerarios y profesionales, entre otros.</w:t>
      </w:r>
    </w:p>
    <w:p w14:paraId="1B067427" w14:textId="1F040AEB" w:rsidR="0039290C" w:rsidRDefault="0039290C" w:rsidP="0039290C">
      <w:pPr>
        <w:autoSpaceDE w:val="0"/>
        <w:autoSpaceDN w:val="0"/>
        <w:adjustRightInd w:val="0"/>
        <w:rPr>
          <w:color w:val="000000" w:themeColor="text1"/>
        </w:rPr>
      </w:pPr>
      <w:r>
        <w:rPr>
          <w:color w:val="000000" w:themeColor="text1"/>
        </w:rPr>
        <w:lastRenderedPageBreak/>
        <w:t>Finalmente, en la primera quincena de septiembre</w:t>
      </w:r>
      <w:r w:rsidR="005F57AB">
        <w:rPr>
          <w:color w:val="000000" w:themeColor="text1"/>
        </w:rPr>
        <w:t xml:space="preserve"> del año en curso</w:t>
      </w:r>
      <w:r>
        <w:rPr>
          <w:color w:val="000000" w:themeColor="text1"/>
        </w:rPr>
        <w:t xml:space="preserve">,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3"/>
      </w:r>
      <w:r w:rsidRPr="00AF5DD6">
        <w:rPr>
          <w:color w:val="000000" w:themeColor="text1"/>
        </w:rPr>
        <w:t xml:space="preserve"> </w:t>
      </w:r>
      <w:r>
        <w:rPr>
          <w:color w:val="000000" w:themeColor="text1"/>
        </w:rPr>
        <w:t>presentó un incremento quincenal de</w:t>
      </w:r>
      <w:r w:rsidRPr="00AF5DD6">
        <w:rPr>
          <w:color w:val="000000" w:themeColor="text1"/>
        </w:rPr>
        <w:t xml:space="preserve"> </w:t>
      </w:r>
      <w:r>
        <w:rPr>
          <w:color w:val="000000" w:themeColor="text1"/>
        </w:rPr>
        <w:t>0.54</w:t>
      </w:r>
      <w:r w:rsidRPr="00AF5DD6">
        <w:rPr>
          <w:color w:val="000000" w:themeColor="text1"/>
        </w:rPr>
        <w:t xml:space="preserve"> por ciento</w:t>
      </w:r>
      <w:r>
        <w:rPr>
          <w:color w:val="000000" w:themeColor="text1"/>
        </w:rPr>
        <w:t xml:space="preserve"> y </w:t>
      </w:r>
      <w:r w:rsidR="005F57AB">
        <w:rPr>
          <w:color w:val="000000" w:themeColor="text1"/>
        </w:rPr>
        <w:t xml:space="preserve">de </w:t>
      </w:r>
      <w:r>
        <w:rPr>
          <w:color w:val="000000" w:themeColor="text1"/>
        </w:rPr>
        <w:t>6.71 por ciento anual</w:t>
      </w:r>
      <w:r w:rsidR="005F57AB">
        <w:rPr>
          <w:color w:val="000000" w:themeColor="text1"/>
        </w:rPr>
        <w:t>;</w:t>
      </w:r>
      <w:r>
        <w:rPr>
          <w:color w:val="000000" w:themeColor="text1"/>
        </w:rPr>
        <w:t xml:space="preserve"> en </w:t>
      </w:r>
      <w:r w:rsidRPr="00AF5DD6">
        <w:rPr>
          <w:color w:val="000000" w:themeColor="text1"/>
        </w:rPr>
        <w:t xml:space="preserve">el mismo </w:t>
      </w:r>
      <w:r>
        <w:rPr>
          <w:color w:val="000000" w:themeColor="text1"/>
        </w:rPr>
        <w:t xml:space="preserve">periodo </w:t>
      </w:r>
      <w:r w:rsidRPr="00AF5DD6">
        <w:rPr>
          <w:color w:val="000000" w:themeColor="text1"/>
        </w:rPr>
        <w:t>de 20</w:t>
      </w:r>
      <w:r>
        <w:rPr>
          <w:color w:val="000000" w:themeColor="text1"/>
        </w:rPr>
        <w:t>20</w:t>
      </w:r>
      <w:r w:rsidRPr="00AF5DD6">
        <w:rPr>
          <w:color w:val="000000" w:themeColor="text1"/>
        </w:rPr>
        <w:t xml:space="preserve"> las c</w:t>
      </w:r>
      <w:r>
        <w:rPr>
          <w:color w:val="000000" w:themeColor="text1"/>
        </w:rPr>
        <w:t>ifras correspondientes fueron</w:t>
      </w:r>
      <w:r w:rsidRPr="00AF5DD6">
        <w:rPr>
          <w:color w:val="000000" w:themeColor="text1"/>
        </w:rPr>
        <w:t xml:space="preserve"> </w:t>
      </w:r>
      <w:r w:rsidR="005F57AB">
        <w:rPr>
          <w:color w:val="000000" w:themeColor="text1"/>
        </w:rPr>
        <w:t xml:space="preserve">de </w:t>
      </w:r>
      <w:r>
        <w:rPr>
          <w:color w:val="000000" w:themeColor="text1"/>
        </w:rPr>
        <w:t>0.26</w:t>
      </w:r>
      <w:r w:rsidRPr="00AF5DD6">
        <w:rPr>
          <w:color w:val="000000" w:themeColor="text1"/>
        </w:rPr>
        <w:t xml:space="preserve"> y </w:t>
      </w:r>
      <w:r w:rsidR="005F57AB">
        <w:rPr>
          <w:color w:val="000000" w:themeColor="text1"/>
        </w:rPr>
        <w:t xml:space="preserve">de </w:t>
      </w:r>
      <w:r>
        <w:rPr>
          <w:color w:val="000000" w:themeColor="text1"/>
        </w:rPr>
        <w:t xml:space="preserve">4.57 por ciento. </w:t>
      </w:r>
    </w:p>
    <w:p w14:paraId="03E8E88E" w14:textId="5C9D9CCA" w:rsidR="00DC3A57" w:rsidRDefault="00DC3A57" w:rsidP="00840C84">
      <w:pPr>
        <w:widowControl w:val="0"/>
        <w:autoSpaceDE w:val="0"/>
        <w:autoSpaceDN w:val="0"/>
        <w:adjustRightInd w:val="0"/>
        <w:spacing w:before="480"/>
        <w:rPr>
          <w:b/>
          <w:i/>
        </w:rPr>
      </w:pPr>
      <w:r w:rsidRPr="00E45F62">
        <w:rPr>
          <w:b/>
          <w:i/>
        </w:rPr>
        <w:t xml:space="preserve">Nota </w:t>
      </w:r>
      <w:r>
        <w:rPr>
          <w:b/>
          <w:i/>
        </w:rPr>
        <w:t>al usuario</w:t>
      </w:r>
    </w:p>
    <w:p w14:paraId="0879AFC1" w14:textId="078EF4EA" w:rsidR="00D473E9" w:rsidRPr="00695B57" w:rsidRDefault="00D473E9" w:rsidP="00D473E9">
      <w:pPr>
        <w:pStyle w:val="Prrafodelista"/>
        <w:autoSpaceDE w:val="0"/>
        <w:autoSpaceDN w:val="0"/>
        <w:adjustRightInd w:val="0"/>
        <w:spacing w:before="240"/>
        <w:ind w:left="0"/>
        <w:rPr>
          <w:lang w:val="es-MX"/>
        </w:rPr>
      </w:pPr>
      <w:r w:rsidRPr="00695B57">
        <w:rPr>
          <w:lang w:val="es-MX"/>
        </w:rPr>
        <w:t xml:space="preserve">Como </w:t>
      </w:r>
      <w:r w:rsidR="00C40F06">
        <w:rPr>
          <w:lang w:val="es-MX"/>
        </w:rPr>
        <w:t xml:space="preserve">ya se ha </w:t>
      </w:r>
      <w:r w:rsidRPr="00695B57">
        <w:rPr>
          <w:lang w:val="es-MX"/>
        </w:rPr>
        <w:t>inform</w:t>
      </w:r>
      <w:r w:rsidR="00C40F06">
        <w:rPr>
          <w:lang w:val="es-MX"/>
        </w:rPr>
        <w:t>ado</w:t>
      </w:r>
      <w:r w:rsidRPr="00695B57">
        <w:rPr>
          <w:lang w:val="es-MX"/>
        </w:rPr>
        <w:t xml:space="preserve">, dadas las medidas adoptadas por el INEGI ante el estado de emergencia sanitaria originada por el COVID-19, a partir del mes de abril </w:t>
      </w:r>
      <w:r w:rsidR="00E912AA">
        <w:rPr>
          <w:lang w:val="es-MX"/>
        </w:rPr>
        <w:t xml:space="preserve">de 2020 </w:t>
      </w:r>
      <w:r w:rsidRPr="00695B57">
        <w:rPr>
          <w:lang w:val="es-MX"/>
        </w:rPr>
        <w:t xml:space="preserve">y mientras dure esta </w:t>
      </w:r>
      <w:r w:rsidR="00185457" w:rsidRPr="00431DC7">
        <w:rPr>
          <w:lang w:val="es-MX"/>
        </w:rPr>
        <w:t>contingencia</w:t>
      </w:r>
      <w:r w:rsidRPr="00695B57">
        <w:rPr>
          <w:lang w:val="es-MX"/>
        </w:rPr>
        <w:t xml:space="preserve">, la medición del Índice Nacional de Precios al Consumidor (INPC) seguirá utilizando medios electrónicos como el </w:t>
      </w:r>
      <w:r w:rsidR="00C20001">
        <w:rPr>
          <w:lang w:val="es-MX"/>
        </w:rPr>
        <w:t>i</w:t>
      </w:r>
      <w:r w:rsidRPr="00695B57">
        <w:rPr>
          <w:lang w:val="es-MX"/>
        </w:rPr>
        <w:t>nternet, correo electrónico, teléfono y otras tecnologías de la información para obtener sus cotizaciones</w:t>
      </w:r>
      <w:r w:rsidR="001604E1" w:rsidRPr="00FA04B0">
        <w:rPr>
          <w:lang w:val="es-MX"/>
        </w:rPr>
        <w:t>,</w:t>
      </w:r>
      <w:r w:rsidR="001604E1" w:rsidRPr="00FA04B0">
        <w:t xml:space="preserve"> </w:t>
      </w:r>
      <w:r w:rsidR="00C40F06">
        <w:t>hasta que</w:t>
      </w:r>
      <w:r w:rsidR="001604E1" w:rsidRPr="00FA04B0">
        <w:t xml:space="preserve"> sea posible retomar la visita directa a los comercios.</w:t>
      </w:r>
      <w:r w:rsidRPr="00FA04B0">
        <w:rPr>
          <w:lang w:val="es-MX"/>
        </w:rPr>
        <w:t xml:space="preserve"> Los resultados se da</w:t>
      </w:r>
      <w:r w:rsidR="00C40F06">
        <w:rPr>
          <w:lang w:val="es-MX"/>
        </w:rPr>
        <w:t>rá</w:t>
      </w:r>
      <w:r w:rsidRPr="00FA04B0">
        <w:rPr>
          <w:lang w:val="es-MX"/>
        </w:rPr>
        <w:t xml:space="preserve">n a conocer de acuerdo con el Calendario de </w:t>
      </w:r>
      <w:r w:rsidR="00C40F06">
        <w:rPr>
          <w:lang w:val="es-MX"/>
        </w:rPr>
        <w:t>d</w:t>
      </w:r>
      <w:r w:rsidRPr="00FA04B0">
        <w:rPr>
          <w:lang w:val="es-MX"/>
        </w:rPr>
        <w:t>ifusión</w:t>
      </w:r>
      <w:r w:rsidRPr="00695B57">
        <w:rPr>
          <w:lang w:val="es-MX"/>
        </w:rPr>
        <w:t xml:space="preserve"> de </w:t>
      </w:r>
      <w:r w:rsidR="00C40F06">
        <w:rPr>
          <w:lang w:val="es-MX"/>
        </w:rPr>
        <w:t>i</w:t>
      </w:r>
      <w:r w:rsidRPr="00695B57">
        <w:rPr>
          <w:lang w:val="es-MX"/>
        </w:rPr>
        <w:t xml:space="preserve">nformación </w:t>
      </w:r>
      <w:r w:rsidR="00C40F06">
        <w:rPr>
          <w:lang w:val="es-MX"/>
        </w:rPr>
        <w:t>e</w:t>
      </w:r>
      <w:r w:rsidRPr="00695B57">
        <w:rPr>
          <w:lang w:val="es-MX"/>
        </w:rPr>
        <w:t xml:space="preserve">stadística y </w:t>
      </w:r>
      <w:r w:rsidR="00C40F06">
        <w:rPr>
          <w:lang w:val="es-MX"/>
        </w:rPr>
        <w:t>g</w:t>
      </w:r>
      <w:r w:rsidRPr="00695B57">
        <w:rPr>
          <w:lang w:val="es-MX"/>
        </w:rPr>
        <w:t>eográfica y de Interés Nacional establecido por el Instituto.</w:t>
      </w:r>
      <w:r w:rsidRPr="00533979">
        <w:rPr>
          <w:b/>
          <w:bCs/>
          <w:noProof/>
          <w:sz w:val="22"/>
          <w:szCs w:val="22"/>
        </w:rPr>
        <w:t xml:space="preserve"> </w:t>
      </w:r>
    </w:p>
    <w:p w14:paraId="5B4B2171" w14:textId="1B266C61" w:rsidR="00384701" w:rsidRPr="008B4FB7" w:rsidRDefault="00176A27" w:rsidP="00D473E9">
      <w:pPr>
        <w:pStyle w:val="Prrafodelista"/>
        <w:autoSpaceDE w:val="0"/>
        <w:autoSpaceDN w:val="0"/>
        <w:adjustRightInd w:val="0"/>
        <w:spacing w:before="240"/>
        <w:ind w:left="0"/>
        <w:rPr>
          <w:lang w:val="es-MX"/>
        </w:rPr>
      </w:pPr>
      <w:r w:rsidRPr="00176A27">
        <w:rPr>
          <w:lang w:val="es-MX"/>
        </w:rPr>
        <w:t xml:space="preserve">Desde abril </w:t>
      </w:r>
      <w:r w:rsidR="009B7A0A">
        <w:rPr>
          <w:lang w:val="es-MX"/>
        </w:rPr>
        <w:t>de 2020</w:t>
      </w:r>
      <w:r w:rsidR="00E912AA">
        <w:rPr>
          <w:lang w:val="es-MX"/>
        </w:rPr>
        <w:t xml:space="preserve"> </w:t>
      </w:r>
      <w:r w:rsidRPr="00176A27">
        <w:rPr>
          <w:lang w:val="es-MX"/>
        </w:rPr>
        <w:t xml:space="preserve">y aún en </w:t>
      </w:r>
      <w:r w:rsidR="007C2F98">
        <w:rPr>
          <w:lang w:val="es-MX"/>
        </w:rPr>
        <w:t>l</w:t>
      </w:r>
      <w:r w:rsidRPr="00176A27">
        <w:rPr>
          <w:lang w:val="es-MX"/>
        </w:rPr>
        <w:t xml:space="preserve">a primera quincena de </w:t>
      </w:r>
      <w:r w:rsidR="0039290C">
        <w:rPr>
          <w:lang w:val="es-MX"/>
        </w:rPr>
        <w:t xml:space="preserve">septiembre </w:t>
      </w:r>
      <w:r w:rsidR="00E912AA">
        <w:rPr>
          <w:lang w:val="es-MX"/>
        </w:rPr>
        <w:t xml:space="preserve">de </w:t>
      </w:r>
      <w:r w:rsidR="00185457">
        <w:rPr>
          <w:lang w:val="es-MX"/>
        </w:rPr>
        <w:t>2021</w:t>
      </w:r>
      <w:r w:rsidRPr="00176A27">
        <w:rPr>
          <w:lang w:val="es-MX"/>
        </w:rPr>
        <w:t xml:space="preserve">, </w:t>
      </w:r>
      <w:r w:rsidR="00413162" w:rsidRPr="00413162">
        <w:rPr>
          <w:lang w:val="es-MX"/>
        </w:rPr>
        <w:t>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w:t>
      </w:r>
      <w:r w:rsidR="00C40F06">
        <w:rPr>
          <w:lang w:val="es-MX"/>
        </w:rPr>
        <w:t xml:space="preserve"> ha </w:t>
      </w:r>
      <w:r w:rsidR="00413162" w:rsidRPr="00413162">
        <w:rPr>
          <w:lang w:val="es-MX"/>
        </w:rPr>
        <w:t>ocurr</w:t>
      </w:r>
      <w:r w:rsidR="00C40F06">
        <w:rPr>
          <w:lang w:val="es-MX"/>
        </w:rPr>
        <w:t>ido</w:t>
      </w:r>
      <w:r w:rsidR="00413162" w:rsidRPr="00413162">
        <w:rPr>
          <w:lang w:val="es-MX"/>
        </w:rPr>
        <w:t xml:space="preserve"> durante este periodo de contingencia porque: </w:t>
      </w:r>
      <w:r w:rsidR="00C40F06">
        <w:rPr>
          <w:lang w:val="es-MX"/>
        </w:rPr>
        <w:t xml:space="preserve">realizan </w:t>
      </w:r>
      <w:r w:rsidR="00413162" w:rsidRPr="00413162">
        <w:rPr>
          <w:lang w:val="es-MX"/>
        </w:rPr>
        <w:t xml:space="preserve">actividades económicas no esenciales, por otras medidas sanitarias o por voluntad del </w:t>
      </w:r>
      <w:r w:rsidR="0095718C">
        <w:rPr>
          <w:lang w:val="es-MX"/>
        </w:rPr>
        <w:t xml:space="preserve">dueño del </w:t>
      </w:r>
      <w:r w:rsidR="00413162" w:rsidRPr="00413162">
        <w:rPr>
          <w:lang w:val="es-MX"/>
        </w:rPr>
        <w:t xml:space="preserve">negocio. La falta de precios se distribuyó entre todos los genéricos y estadísticamente sólo afectó a aquellos que representan el </w:t>
      </w:r>
      <w:r w:rsidR="00413162" w:rsidRPr="003F0AEA">
        <w:rPr>
          <w:lang w:val="es-MX"/>
        </w:rPr>
        <w:t>0.</w:t>
      </w:r>
      <w:r w:rsidR="00F1727E">
        <w:rPr>
          <w:lang w:val="es-MX"/>
        </w:rPr>
        <w:t>0</w:t>
      </w:r>
      <w:r w:rsidR="0095718C">
        <w:rPr>
          <w:lang w:val="es-MX"/>
        </w:rPr>
        <w:t>4</w:t>
      </w:r>
      <w:r w:rsidR="00413162" w:rsidRPr="003F0AEA">
        <w:rPr>
          <w:lang w:val="es-MX"/>
        </w:rPr>
        <w:t>%</w:t>
      </w:r>
      <w:r w:rsidR="00413162" w:rsidRPr="00413162">
        <w:rPr>
          <w:lang w:val="es-MX"/>
        </w:rPr>
        <w:t xml:space="preserve"> del ponderador del gasto total de la canasta nacional. Estas medidas </w:t>
      </w:r>
      <w:r w:rsidR="00C40F06">
        <w:rPr>
          <w:lang w:val="es-MX"/>
        </w:rPr>
        <w:t xml:space="preserve">se </w:t>
      </w:r>
      <w:r w:rsidR="00413162" w:rsidRPr="00413162">
        <w:rPr>
          <w:lang w:val="es-MX"/>
        </w:rPr>
        <w:t>apega</w:t>
      </w:r>
      <w:r w:rsidR="00C40F06">
        <w:rPr>
          <w:lang w:val="es-MX"/>
        </w:rPr>
        <w:t>n</w:t>
      </w:r>
      <w:r w:rsidR="00413162" w:rsidRPr="00413162">
        <w:rPr>
          <w:lang w:val="es-MX"/>
        </w:rPr>
        <w:t xml:space="preserve"> a las recomendaciones que han </w:t>
      </w:r>
      <w:r w:rsidR="00C40F06">
        <w:rPr>
          <w:lang w:val="es-MX"/>
        </w:rPr>
        <w:t xml:space="preserve">hecho </w:t>
      </w:r>
      <w:r w:rsidR="00413162" w:rsidRPr="00413162">
        <w:rPr>
          <w:lang w:val="es-MX"/>
        </w:rPr>
        <w:t xml:space="preserve">los organismos internacionales debido a esta contingencia. </w:t>
      </w:r>
    </w:p>
    <w:p w14:paraId="5F955728" w14:textId="30120F92" w:rsidR="006A3411" w:rsidRPr="00672E8B" w:rsidRDefault="006A3411" w:rsidP="00BC2821">
      <w:pPr>
        <w:widowControl w:val="0"/>
        <w:autoSpaceDE w:val="0"/>
        <w:autoSpaceDN w:val="0"/>
        <w:adjustRightInd w:val="0"/>
        <w:spacing w:before="480"/>
        <w:rPr>
          <w:i/>
          <w:lang w:val="es-MX"/>
        </w:rPr>
      </w:pPr>
      <w:r w:rsidRPr="00672E8B">
        <w:rPr>
          <w:b/>
          <w:i/>
        </w:rPr>
        <w:t xml:space="preserve">Nota metodológica </w:t>
      </w:r>
    </w:p>
    <w:p w14:paraId="7F3D705F" w14:textId="4C8EEAEE" w:rsidR="006A3411" w:rsidRPr="00A16DEB" w:rsidRDefault="006A3411" w:rsidP="008F75CD">
      <w:pPr>
        <w:pStyle w:val="Prrafodelista"/>
        <w:autoSpaceDE w:val="0"/>
        <w:autoSpaceDN w:val="0"/>
        <w:adjustRightInd w:val="0"/>
        <w:spacing w:before="240"/>
        <w:ind w:left="0"/>
        <w:rPr>
          <w:lang w:val="es-MX"/>
        </w:rPr>
      </w:pPr>
      <w:r w:rsidRPr="00A16DEB">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w:t>
      </w:r>
      <w:r w:rsidR="00C40F06">
        <w:rPr>
          <w:lang w:val="es-MX"/>
        </w:rPr>
        <w:t>. E</w:t>
      </w:r>
      <w:r w:rsidRPr="00A16DEB">
        <w:rPr>
          <w:lang w:val="es-MX"/>
        </w:rPr>
        <w:t>l INPC es un indicador trascendente y de interés general para la sociedad en su conjunto. La tasa de crecimiento del INPC de un periodo a otro permite medir el fenómeno económico conocido como inflación.</w:t>
      </w:r>
    </w:p>
    <w:p w14:paraId="730CDA5B" w14:textId="79DF88F7" w:rsidR="006A3411" w:rsidRPr="00A16DEB" w:rsidRDefault="006A3411" w:rsidP="00840C84">
      <w:pPr>
        <w:pStyle w:val="Texto"/>
        <w:keepNext/>
        <w:keepLines/>
        <w:widowControl w:val="0"/>
        <w:autoSpaceDE w:val="0"/>
        <w:autoSpaceDN w:val="0"/>
        <w:adjustRightInd w:val="0"/>
        <w:spacing w:before="240" w:after="0" w:line="240" w:lineRule="auto"/>
        <w:ind w:firstLine="0"/>
        <w:rPr>
          <w:sz w:val="24"/>
          <w:szCs w:val="24"/>
          <w:lang w:val="es-MX"/>
        </w:rPr>
      </w:pPr>
      <w:r w:rsidRPr="00A16DEB">
        <w:rPr>
          <w:sz w:val="24"/>
          <w:szCs w:val="24"/>
          <w:lang w:val="es-MX"/>
        </w:rPr>
        <w:lastRenderedPageBreak/>
        <w:t>Las características metodológicas del INPC son:</w:t>
      </w:r>
    </w:p>
    <w:p w14:paraId="4F21B9FD" w14:textId="77777777" w:rsidR="006A3411" w:rsidRPr="008F75CD" w:rsidRDefault="006A3411" w:rsidP="00840C84">
      <w:pPr>
        <w:pStyle w:val="Texto"/>
        <w:keepNext/>
        <w:keepLines/>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Periodo de referencia</w:t>
      </w:r>
    </w:p>
    <w:p w14:paraId="5BE8EC29" w14:textId="724E122F" w:rsidR="006A3411" w:rsidRPr="00A16DEB" w:rsidRDefault="006A3411" w:rsidP="00840C84">
      <w:pPr>
        <w:pStyle w:val="Texto"/>
        <w:keepNext/>
        <w:keepLines/>
        <w:widowControl w:val="0"/>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w:t>
      </w:r>
    </w:p>
    <w:p w14:paraId="11B8C527" w14:textId="121B6DCB" w:rsidR="006A3411" w:rsidRPr="008F75CD" w:rsidRDefault="006A3411" w:rsidP="006438BE">
      <w:pPr>
        <w:pStyle w:val="Texto"/>
        <w:widowControl w:val="0"/>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1546306A" w:rsidR="006A3411" w:rsidRPr="00A16DEB" w:rsidRDefault="006A3411" w:rsidP="006438BE">
      <w:pPr>
        <w:pStyle w:val="Texto"/>
        <w:widowControl w:val="0"/>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alrededor de 120 mil productos y servicios específicos, agrupados en 299 genéricos</w:t>
      </w:r>
      <w:r w:rsidRPr="00A16DEB">
        <w:rPr>
          <w:rStyle w:val="Refdenotaalpie"/>
          <w:sz w:val="24"/>
          <w:szCs w:val="24"/>
          <w:lang w:val="es-MX"/>
        </w:rPr>
        <w:footnoteReference w:id="4"/>
      </w:r>
      <w:r w:rsidRPr="00A16DEB">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5B9B4DAA"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considerar un </w:t>
      </w:r>
      <w:r w:rsidR="00106A20">
        <w:rPr>
          <w:color w:val="000000"/>
          <w:sz w:val="24"/>
          <w:szCs w:val="24"/>
          <w:lang w:val="es-MX"/>
        </w:rPr>
        <w:t>g</w:t>
      </w:r>
      <w:r w:rsidRPr="00A16DEB">
        <w:rPr>
          <w:color w:val="000000"/>
          <w:sz w:val="24"/>
          <w:szCs w:val="24"/>
          <w:lang w:val="es-MX"/>
        </w:rPr>
        <w:t>enérico en la canasta de bienes y servicios del INPC su ponderación debe ser igual o mayor a 0.01</w:t>
      </w:r>
      <w:r w:rsidR="001D6ED5">
        <w:rPr>
          <w:color w:val="000000"/>
          <w:sz w:val="24"/>
          <w:szCs w:val="24"/>
          <w:lang w:val="es-MX"/>
        </w:rPr>
        <w:t xml:space="preserve"> por ciento</w:t>
      </w:r>
      <w:r w:rsidRPr="00A16DEB">
        <w:rPr>
          <w:color w:val="000000"/>
          <w:sz w:val="24"/>
          <w:szCs w:val="24"/>
          <w:lang w:val="es-MX"/>
        </w:rPr>
        <w:t xml:space="preserve">. </w:t>
      </w:r>
      <w:r w:rsidRPr="00A16DEB">
        <w:rPr>
          <w:color w:val="000000" w:themeColor="text1"/>
          <w:sz w:val="24"/>
          <w:szCs w:val="24"/>
          <w:lang w:val="es-ES_tradnl"/>
        </w:rPr>
        <w:t xml:space="preserve">La estructura de las ponderaciones se construyó con información de la Engasto 2012 y 2013 y la </w:t>
      </w:r>
      <w:r w:rsidR="00106A20" w:rsidRPr="001A3615">
        <w:rPr>
          <w:color w:val="000000" w:themeColor="text1"/>
          <w:sz w:val="24"/>
          <w:szCs w:val="24"/>
          <w:lang w:val="es-ES_tradnl"/>
        </w:rPr>
        <w:t>Encuesta Nacional de Ingresos y Gastos de los Hogares</w:t>
      </w:r>
      <w:r w:rsidR="00106A20" w:rsidRPr="00A16DEB">
        <w:rPr>
          <w:color w:val="000000" w:themeColor="text1"/>
          <w:sz w:val="24"/>
          <w:szCs w:val="24"/>
          <w:lang w:val="es-ES_tradnl"/>
        </w:rPr>
        <w:t xml:space="preserve"> </w:t>
      </w:r>
      <w:r w:rsidR="00106A20">
        <w:rPr>
          <w:color w:val="000000" w:themeColor="text1"/>
          <w:sz w:val="24"/>
          <w:szCs w:val="24"/>
          <w:lang w:val="es-ES_tradnl"/>
        </w:rPr>
        <w:t>(</w:t>
      </w:r>
      <w:r w:rsidRPr="00A16DEB">
        <w:rPr>
          <w:color w:val="000000" w:themeColor="text1"/>
          <w:sz w:val="24"/>
          <w:szCs w:val="24"/>
          <w:lang w:val="es-ES_tradnl"/>
        </w:rPr>
        <w:t>ENIGH</w:t>
      </w:r>
      <w:r w:rsidR="00106A20">
        <w:rPr>
          <w:color w:val="000000" w:themeColor="text1"/>
          <w:sz w:val="24"/>
          <w:szCs w:val="24"/>
          <w:lang w:val="es-ES_tradnl"/>
        </w:rPr>
        <w:t>)</w:t>
      </w:r>
      <w:r w:rsidRPr="00A16DEB">
        <w:rPr>
          <w:color w:val="000000" w:themeColor="text1"/>
          <w:sz w:val="24"/>
          <w:szCs w:val="24"/>
          <w:lang w:val="es-ES_tradnl"/>
        </w:rPr>
        <w:t xml:space="preserve"> 2014. El alcance de los ponderadores es de los hogares a nivel nacional.</w:t>
      </w:r>
    </w:p>
    <w:p w14:paraId="5A1B5679" w14:textId="77777777" w:rsidR="006A3411" w:rsidRPr="008F75CD" w:rsidRDefault="006A3411" w:rsidP="00384701">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316AE24A" w:rsidR="006A3411" w:rsidRPr="00A16DEB" w:rsidRDefault="006A3411" w:rsidP="00384701">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Para el INPC 2018 fueron seleccionados a través de un </w:t>
      </w:r>
      <w:r w:rsidRPr="00A16DEB">
        <w:rPr>
          <w:sz w:val="24"/>
          <w:szCs w:val="24"/>
          <w:lang w:val="es-ES_tradnl"/>
        </w:rPr>
        <w:t xml:space="preserve">esquema de muestreo probabilístico, en el caso de 248 genéricos, y un muestreo no probabilístico para los 51 genéricos restantes. </w:t>
      </w:r>
      <w:r w:rsidRPr="00A16DEB">
        <w:rPr>
          <w:color w:val="000000"/>
          <w:sz w:val="24"/>
          <w:szCs w:val="24"/>
        </w:rPr>
        <w:t>En este último caso se consideran los genéricos cuyas tarifas son autorizadas o reguladas por el gobierno, s</w:t>
      </w:r>
      <w:r w:rsidR="00106A20">
        <w:rPr>
          <w:color w:val="000000"/>
          <w:sz w:val="24"/>
          <w:szCs w:val="24"/>
        </w:rPr>
        <w:t>ó</w:t>
      </w:r>
      <w:r w:rsidRPr="00A16DEB">
        <w:rPr>
          <w:color w:val="000000"/>
          <w:sz w:val="24"/>
          <w:szCs w:val="24"/>
        </w:rPr>
        <w:t>lo existe uno o pocos oferentes de los servicios, no se cuenta con un marco de muestreo u otros genéricos cuyo precio es 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25A852FA"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w:t>
      </w:r>
      <w:r w:rsidR="00106A20">
        <w:rPr>
          <w:sz w:val="24"/>
          <w:szCs w:val="24"/>
          <w:lang w:val="es-ES_tradnl"/>
        </w:rPr>
        <w:t>e</w:t>
      </w:r>
      <w:r w:rsidRPr="00A16DEB">
        <w:rPr>
          <w:sz w:val="24"/>
          <w:szCs w:val="24"/>
          <w:lang w:val="es-ES_tradnl"/>
        </w:rPr>
        <w:t xml:space="preserve">ntidades </w:t>
      </w:r>
      <w:r w:rsidR="00106A20">
        <w:rPr>
          <w:sz w:val="24"/>
          <w:szCs w:val="24"/>
          <w:lang w:val="es-ES_tradnl"/>
        </w:rPr>
        <w:t>f</w:t>
      </w:r>
      <w:r w:rsidRPr="00A16DEB">
        <w:rPr>
          <w:sz w:val="24"/>
          <w:szCs w:val="24"/>
          <w:lang w:val="es-ES_tradnl"/>
        </w:rPr>
        <w:t>ederativas del país. Se cotizan en promedio 159</w:t>
      </w:r>
      <w:r w:rsidR="00106A20">
        <w:rPr>
          <w:sz w:val="24"/>
          <w:szCs w:val="24"/>
          <w:lang w:val="es-ES_tradnl"/>
        </w:rPr>
        <w:t>,</w:t>
      </w:r>
      <w:r w:rsidRPr="00A16DEB">
        <w:rPr>
          <w:sz w:val="24"/>
          <w:szCs w:val="24"/>
          <w:lang w:val="es-ES_tradnl"/>
        </w:rPr>
        <w:t xml:space="preserve">500 precios </w:t>
      </w:r>
      <w:r w:rsidR="00106A20">
        <w:rPr>
          <w:sz w:val="24"/>
          <w:szCs w:val="24"/>
          <w:lang w:val="es-ES_tradnl"/>
        </w:rPr>
        <w:t xml:space="preserve">cada </w:t>
      </w:r>
      <w:r w:rsidRPr="00A16DEB">
        <w:rPr>
          <w:sz w:val="24"/>
          <w:szCs w:val="24"/>
          <w:lang w:val="es-ES_tradnl"/>
        </w:rPr>
        <w:t>quincena de los productos 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veces </w:t>
      </w:r>
      <w:r w:rsidRPr="00A16DEB">
        <w:rPr>
          <w:sz w:val="24"/>
          <w:szCs w:val="24"/>
          <w:lang w:val="es-ES_tradnl"/>
        </w:rPr>
        <w:lastRenderedPageBreak/>
        <w:t>durante la quincena que se reporta</w:t>
      </w:r>
      <w:r w:rsidR="00106A20">
        <w:rPr>
          <w:sz w:val="24"/>
          <w:szCs w:val="24"/>
          <w:lang w:val="es-ES_tradnl"/>
        </w:rPr>
        <w:t>,</w:t>
      </w:r>
      <w:r w:rsidRPr="00A16DEB">
        <w:rPr>
          <w:sz w:val="24"/>
          <w:szCs w:val="24"/>
          <w:lang w:val="es-ES_tradnl"/>
        </w:rPr>
        <w:t xml:space="preserve"> para el resto de los productos se obtienen 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2C5DAF68"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w:t>
      </w:r>
      <w:r w:rsidR="00106A20">
        <w:rPr>
          <w:sz w:val="24"/>
          <w:szCs w:val="24"/>
          <w:lang w:val="es-MX"/>
        </w:rPr>
        <w:t>El</w:t>
      </w:r>
      <w:r w:rsidRPr="00A16DEB">
        <w:rPr>
          <w:sz w:val="24"/>
          <w:szCs w:val="24"/>
          <w:lang w:val="es-MX"/>
        </w:rPr>
        <w:t xml:space="preserve"> c</w:t>
      </w:r>
      <w:r w:rsidR="00106A20">
        <w:rPr>
          <w:sz w:val="24"/>
          <w:szCs w:val="24"/>
          <w:lang w:val="es-MX"/>
        </w:rPr>
        <w:t>á</w:t>
      </w:r>
      <w:r w:rsidRPr="00A16DEB">
        <w:rPr>
          <w:sz w:val="24"/>
          <w:szCs w:val="24"/>
          <w:lang w:val="es-MX"/>
        </w:rPr>
        <w:t>lcul</w:t>
      </w:r>
      <w:r w:rsidR="00106A20">
        <w:rPr>
          <w:sz w:val="24"/>
          <w:szCs w:val="24"/>
          <w:lang w:val="es-MX"/>
        </w:rPr>
        <w:t>o se realiza</w:t>
      </w:r>
      <w:r w:rsidRPr="00A16DEB">
        <w:rPr>
          <w:sz w:val="24"/>
          <w:szCs w:val="24"/>
          <w:lang w:val="es-MX"/>
        </w:rPr>
        <w:t xml:space="preserve"> </w:t>
      </w:r>
      <w:r w:rsidRPr="00A16DEB">
        <w:rPr>
          <w:sz w:val="24"/>
          <w:szCs w:val="24"/>
          <w:lang w:val="es-ES_tradnl"/>
        </w:rPr>
        <w:t>en dos etapas</w:t>
      </w:r>
      <w:r w:rsidR="00106A20">
        <w:rPr>
          <w:sz w:val="24"/>
          <w:szCs w:val="24"/>
          <w:lang w:val="es-ES_tradnl"/>
        </w:rPr>
        <w:t>, e</w:t>
      </w:r>
      <w:r w:rsidRPr="00A16DEB">
        <w:rPr>
          <w:sz w:val="24"/>
          <w:szCs w:val="24"/>
          <w:lang w:val="es-ES_tradnl"/>
        </w:rPr>
        <w:t>n la primera se calculan los índices elementales por genérico y área geográfica</w:t>
      </w:r>
      <w:r w:rsidR="00106A20">
        <w:rPr>
          <w:sz w:val="24"/>
          <w:szCs w:val="24"/>
          <w:lang w:val="es-ES_tradnl"/>
        </w:rPr>
        <w:t>,</w:t>
      </w:r>
      <w:r w:rsidRPr="00A16DEB">
        <w:rPr>
          <w:sz w:val="24"/>
          <w:szCs w:val="24"/>
          <w:lang w:val="es-ES_tradnl"/>
        </w:rPr>
        <w:t xml:space="preserve"> mediante un Índice de Jevons</w:t>
      </w:r>
      <w:r w:rsidR="00106A20">
        <w:rPr>
          <w:sz w:val="24"/>
          <w:szCs w:val="24"/>
          <w:lang w:val="es-ES_tradnl"/>
        </w:rPr>
        <w:t xml:space="preserve"> y e</w:t>
      </w:r>
      <w:r w:rsidRPr="00A16DEB">
        <w:rPr>
          <w:sz w:val="24"/>
          <w:szCs w:val="24"/>
          <w:lang w:val="es-ES_tradnl"/>
        </w:rPr>
        <w:t>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5D487365" w14:textId="13135361" w:rsidR="006A3411" w:rsidRPr="00636E0F" w:rsidRDefault="006A3411" w:rsidP="00CB13CD">
      <w:pPr>
        <w:widowControl w:val="0"/>
        <w:autoSpaceDE w:val="0"/>
        <w:autoSpaceDN w:val="0"/>
        <w:adjustRightInd w:val="0"/>
        <w:spacing w:before="360"/>
        <w:rPr>
          <w:b/>
          <w:i/>
        </w:rPr>
      </w:pPr>
      <w:r w:rsidRPr="00636E0F">
        <w:rPr>
          <w:b/>
          <w:i/>
        </w:rPr>
        <w:t>Herramientas de análisis</w:t>
      </w:r>
    </w:p>
    <w:p w14:paraId="24F2B945" w14:textId="35A669E0"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8F75CD" w:rsidRPr="00636E0F">
        <w:rPr>
          <w:sz w:val="24"/>
          <w:szCs w:val="24"/>
        </w:rPr>
        <w:t xml:space="preserve">: </w:t>
      </w:r>
      <w:hyperlink r:id="rId30" w:anchor="Herramientas" w:history="1">
        <w:r w:rsidRPr="00636E0F">
          <w:rPr>
            <w:rStyle w:val="Hipervnculo"/>
            <w:sz w:val="24"/>
            <w:szCs w:val="24"/>
          </w:rPr>
          <w:t>https://www.inegi.org.mx/programas/inpc/2018/default.html#Herramientas</w:t>
        </w:r>
      </w:hyperlink>
    </w:p>
    <w:p w14:paraId="1A47079E" w14:textId="7703751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 xml:space="preserve">Permite calcular la </w:t>
      </w:r>
      <w:r w:rsidR="00106A20">
        <w:rPr>
          <w:sz w:val="24"/>
          <w:szCs w:val="24"/>
        </w:rPr>
        <w:t>t</w:t>
      </w:r>
      <w:r w:rsidRPr="00636E0F">
        <w:rPr>
          <w:sz w:val="24"/>
          <w:szCs w:val="24"/>
        </w:rPr>
        <w:t xml:space="preserve">asa de </w:t>
      </w:r>
      <w:r w:rsidR="00106A20">
        <w:rPr>
          <w:sz w:val="24"/>
          <w:szCs w:val="24"/>
        </w:rPr>
        <w:t>i</w:t>
      </w:r>
      <w:r w:rsidRPr="00636E0F">
        <w:rPr>
          <w:sz w:val="24"/>
          <w:szCs w:val="24"/>
        </w:rPr>
        <w:t>nflación de un Índice de Precios, en un intervalo de tiempo. Calcula dos tipos de tasas de inflación porcentuales: la implícita entre cualquiera de dos fechas, y la tasa de inflación porcentual promedio en un período.</w:t>
      </w:r>
    </w:p>
    <w:p w14:paraId="245D349C" w14:textId="71B502F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4A93CA01"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Mapa de precios</w:t>
      </w:r>
      <w:r w:rsidR="00F93FB2" w:rsidRPr="00636E0F">
        <w:rPr>
          <w:bCs/>
          <w:i/>
          <w:iCs/>
          <w:sz w:val="24"/>
          <w:szCs w:val="24"/>
          <w:lang w:val="es-ES_tradnl"/>
        </w:rPr>
        <w:t xml:space="preserve">. </w:t>
      </w:r>
      <w:r w:rsidR="00270EC6" w:rsidRPr="00270EC6">
        <w:rPr>
          <w:bCs/>
          <w:iCs/>
          <w:sz w:val="24"/>
          <w:szCs w:val="24"/>
          <w:lang w:val="es-ES_tradnl"/>
        </w:rPr>
        <w:t xml:space="preserve">Es una </w:t>
      </w:r>
      <w:r w:rsidR="00270EC6" w:rsidRPr="00270EC6">
        <w:rPr>
          <w:sz w:val="24"/>
          <w:szCs w:val="24"/>
        </w:rPr>
        <w:t>presentación</w:t>
      </w:r>
      <w:r w:rsidRPr="00636E0F">
        <w:rPr>
          <w:sz w:val="24"/>
          <w:szCs w:val="24"/>
        </w:rPr>
        <w:t xml:space="preserve"> en forma dinámica </w:t>
      </w:r>
      <w:r w:rsidR="00270EC6">
        <w:rPr>
          <w:sz w:val="24"/>
          <w:szCs w:val="24"/>
        </w:rPr>
        <w:t xml:space="preserve">de </w:t>
      </w:r>
      <w:r w:rsidRPr="00636E0F">
        <w:rPr>
          <w:sz w:val="24"/>
          <w:szCs w:val="24"/>
        </w:rPr>
        <w:t>las variaciones anualizadas de los precios por ciudad, entidad y región, así como la participación o peso que tienen estos en el INPC.</w:t>
      </w:r>
    </w:p>
    <w:p w14:paraId="1F4877ED" w14:textId="04715DAE"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Permite consultar y exportar el precio promedio mensual de cada producto específico</w:t>
      </w:r>
      <w:r w:rsidR="00270EC6">
        <w:rPr>
          <w:sz w:val="24"/>
          <w:szCs w:val="24"/>
        </w:rPr>
        <w:t xml:space="preserve"> </w:t>
      </w:r>
      <w:r w:rsidRPr="00636E0F">
        <w:rPr>
          <w:sz w:val="24"/>
          <w:szCs w:val="24"/>
        </w:rPr>
        <w:t>utilizado para el cálculo del INPC.</w:t>
      </w:r>
    </w:p>
    <w:p w14:paraId="322994E9" w14:textId="77777777"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C54660" w14:textId="61391B9C" w:rsidR="00636E0F" w:rsidRPr="00F93FB2" w:rsidRDefault="00636E0F" w:rsidP="00CB13CD">
      <w:pPr>
        <w:pStyle w:val="Texto"/>
        <w:keepNext/>
        <w:keepLines/>
        <w:autoSpaceDE w:val="0"/>
        <w:autoSpaceDN w:val="0"/>
        <w:adjustRightInd w:val="0"/>
        <w:spacing w:before="240" w:after="0" w:line="240" w:lineRule="auto"/>
        <w:ind w:firstLine="0"/>
        <w:rPr>
          <w:sz w:val="24"/>
          <w:szCs w:val="24"/>
        </w:rPr>
      </w:pPr>
      <w:r w:rsidRPr="00A16DEB">
        <w:rPr>
          <w:sz w:val="24"/>
          <w:szCs w:val="24"/>
          <w:lang w:val="es-ES_tradnl"/>
        </w:rPr>
        <w:lastRenderedPageBreak/>
        <w:t xml:space="preserve">Para mayor detalle del diseño conceptual y metodológico del INPC </w:t>
      </w:r>
      <w:r w:rsidR="00270EC6">
        <w:rPr>
          <w:sz w:val="24"/>
          <w:szCs w:val="24"/>
          <w:lang w:val="es-ES_tradnl"/>
        </w:rPr>
        <w:t xml:space="preserve">puede </w:t>
      </w:r>
      <w:r w:rsidRPr="00A16DEB">
        <w:rPr>
          <w:sz w:val="24"/>
          <w:szCs w:val="24"/>
          <w:lang w:val="es-ES_tradnl"/>
        </w:rPr>
        <w:t>consultar la página del INEGI</w:t>
      </w:r>
      <w:r w:rsidR="00270EC6">
        <w:rPr>
          <w:sz w:val="24"/>
          <w:szCs w:val="24"/>
          <w:lang w:val="es-ES_tradnl"/>
        </w:rPr>
        <w:t xml:space="preserve"> en internet</w:t>
      </w:r>
      <w:r w:rsidRPr="00A16DEB">
        <w:rPr>
          <w:sz w:val="24"/>
          <w:szCs w:val="24"/>
          <w:lang w:val="es-ES_tradnl"/>
        </w:rPr>
        <w:t>:</w:t>
      </w:r>
      <w:r w:rsidRPr="00A16DEB">
        <w:rPr>
          <w:sz w:val="24"/>
          <w:szCs w:val="24"/>
        </w:rPr>
        <w:t xml:space="preserve"> </w:t>
      </w:r>
      <w:hyperlink r:id="rId31"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el apartado Documentación. En </w:t>
      </w:r>
      <w:r w:rsidR="00270EC6">
        <w:rPr>
          <w:sz w:val="24"/>
          <w:szCs w:val="24"/>
        </w:rPr>
        <w:t>el mismo enlace</w:t>
      </w:r>
      <w:r w:rsidRPr="00A16DEB">
        <w:rPr>
          <w:sz w:val="24"/>
          <w:szCs w:val="24"/>
        </w:rPr>
        <w:t xml:space="preserve"> se pueden consultar los tabulados de resultados del índice (por agregados geográficos, clasificadores…), series históricas, precios promedio, y las herramientas de análisis del indicador.</w:t>
      </w:r>
    </w:p>
    <w:bookmarkEnd w:id="2"/>
    <w:p w14:paraId="3A872C33" w14:textId="431466A9" w:rsidR="006A3411" w:rsidRPr="00A71198" w:rsidRDefault="00EC1E5C" w:rsidP="00CB13CD">
      <w:pPr>
        <w:pStyle w:val="Texto"/>
        <w:keepNext/>
        <w:keepLines/>
        <w:autoSpaceDE w:val="0"/>
        <w:autoSpaceDN w:val="0"/>
        <w:adjustRightInd w:val="0"/>
        <w:spacing w:before="240" w:after="0" w:line="240" w:lineRule="auto"/>
        <w:ind w:firstLine="0"/>
        <w:jc w:val="center"/>
        <w:rPr>
          <w:sz w:val="24"/>
          <w:szCs w:val="24"/>
        </w:rPr>
      </w:pPr>
      <w:r>
        <w:rPr>
          <w:noProof/>
        </w:rPr>
        <w:drawing>
          <wp:inline distT="0" distB="0" distL="0" distR="0" wp14:anchorId="00B34115" wp14:editId="759DA294">
            <wp:extent cx="3513600" cy="1638000"/>
            <wp:effectExtent l="0" t="0" r="0" b="635"/>
            <wp:docPr id="3" name="Imagen 3"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 xmlns:a="http://schemas.openxmlformats.org/drawingml/2006/main">
              <a:graphicData uri="http://schemas.openxmlformats.org/drawingml/2006/picture">
                <pic:pic xmlns:pic="http://schemas.openxmlformats.org/drawingml/2006/picture">
                  <pic:nvPicPr>
                    <pic:cNvPr id="2" name="Imagen 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sectPr w:rsidR="006A3411" w:rsidRPr="00A71198" w:rsidSect="00B940B6">
      <w:headerReference w:type="default" r:id="rId32"/>
      <w:footerReference w:type="default" r:id="rId3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6A961" w14:textId="77777777" w:rsidR="000B424D" w:rsidRDefault="000B424D">
      <w:r>
        <w:separator/>
      </w:r>
    </w:p>
  </w:endnote>
  <w:endnote w:type="continuationSeparator" w:id="0">
    <w:p w14:paraId="4EB478F0" w14:textId="77777777" w:rsidR="000B424D" w:rsidRDefault="000B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D5A3" w14:textId="77777777" w:rsidR="00F17927" w:rsidRPr="00BB245B" w:rsidRDefault="00F17927" w:rsidP="00614EF2">
    <w:pPr>
      <w:pStyle w:val="Piedepgina"/>
      <w:contextualSpacing/>
      <w:jc w:val="center"/>
      <w:rPr>
        <w:color w:val="002060"/>
        <w:sz w:val="18"/>
        <w:szCs w:val="18"/>
      </w:rPr>
    </w:pPr>
    <w:r w:rsidRPr="00BB245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17A" w14:textId="77777777" w:rsidR="003B5757" w:rsidRPr="008009BF" w:rsidRDefault="003B5757" w:rsidP="003076C4">
    <w:pPr>
      <w:pStyle w:val="Piedepgina"/>
      <w:jc w:val="center"/>
      <w:rPr>
        <w:b/>
        <w:color w:val="002060"/>
        <w:sz w:val="20"/>
        <w:szCs w:val="20"/>
        <w:lang w:val="es-MX"/>
      </w:rPr>
    </w:pPr>
    <w:r w:rsidRPr="008009B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B9A7C" w14:textId="77777777" w:rsidR="000B424D" w:rsidRDefault="000B424D">
      <w:r>
        <w:separator/>
      </w:r>
    </w:p>
  </w:footnote>
  <w:footnote w:type="continuationSeparator" w:id="0">
    <w:p w14:paraId="4EF37E19" w14:textId="77777777" w:rsidR="000B424D" w:rsidRDefault="000B424D">
      <w:r>
        <w:continuationSeparator/>
      </w:r>
    </w:p>
  </w:footnote>
  <w:footnote w:id="1">
    <w:p w14:paraId="0FA92EC1" w14:textId="77777777" w:rsidR="00F17927" w:rsidRDefault="00F17927" w:rsidP="00F17927">
      <w:pPr>
        <w:pStyle w:val="Textonotapie"/>
        <w:ind w:left="170" w:right="283" w:hanging="170"/>
        <w:rPr>
          <w:color w:val="000000" w:themeColor="text1"/>
          <w:sz w:val="16"/>
          <w:szCs w:val="16"/>
        </w:rPr>
      </w:pPr>
      <w:r w:rsidRPr="00866182">
        <w:rPr>
          <w:rStyle w:val="Refdenotaalpie"/>
          <w:color w:val="000000" w:themeColor="text1"/>
          <w:sz w:val="18"/>
          <w:szCs w:val="16"/>
        </w:rPr>
        <w:footnoteRef/>
      </w:r>
      <w:r w:rsidRPr="00866182">
        <w:rPr>
          <w:color w:val="000000" w:themeColor="text1"/>
          <w:sz w:val="16"/>
          <w:szCs w:val="16"/>
        </w:rPr>
        <w:tab/>
      </w:r>
      <w:r w:rsidRPr="0039290C">
        <w:rPr>
          <w:color w:val="000000" w:themeColor="text1"/>
          <w:sz w:val="16"/>
          <w:szCs w:val="16"/>
        </w:rPr>
        <w:t>La inflación subyacente se obtiene al eliminar del cálculo del INPC los bienes y servicios cuyos precios son más volátiles, o bien que su proceso de determinación no responde a condiciones de mercado. Así, los grupos que se excluyen en el indicador subyacente son los siguientes: agropecuarios y, energéticos y tarifas autorizadas por distintos órdenes de gobierno.</w:t>
      </w:r>
    </w:p>
    <w:p w14:paraId="68735B95" w14:textId="77777777" w:rsidR="00F17927" w:rsidRDefault="00F17927" w:rsidP="00F17927">
      <w:pPr>
        <w:pStyle w:val="Textonotapie"/>
        <w:ind w:left="170" w:right="283" w:hanging="170"/>
        <w:rPr>
          <w:sz w:val="16"/>
          <w:szCs w:val="16"/>
        </w:rPr>
      </w:pPr>
    </w:p>
    <w:p w14:paraId="2C8D492F" w14:textId="77777777" w:rsidR="00F17927" w:rsidRPr="0039290C" w:rsidRDefault="00F17927" w:rsidP="00F17927">
      <w:pPr>
        <w:pStyle w:val="Textonotapie"/>
        <w:ind w:left="170" w:hanging="170"/>
        <w:rPr>
          <w:sz w:val="16"/>
          <w:szCs w:val="16"/>
        </w:rPr>
      </w:pPr>
    </w:p>
  </w:footnote>
  <w:footnote w:id="2">
    <w:p w14:paraId="4BFEBC5E" w14:textId="101735AC" w:rsidR="0039290C" w:rsidRPr="00CA39BA" w:rsidRDefault="0039290C" w:rsidP="0039290C">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w:t>
      </w:r>
      <w:r w:rsidR="005F57AB">
        <w:rPr>
          <w:sz w:val="16"/>
          <w:szCs w:val="16"/>
        </w:rPr>
        <w:t>á</w:t>
      </w:r>
      <w:r>
        <w:rPr>
          <w:sz w:val="16"/>
          <w:szCs w:val="16"/>
        </w:rPr>
        <w:t>gina 26. OIT, FMI, OCDE, Eurostat, UNECE, Banco Mundial.</w:t>
      </w:r>
    </w:p>
  </w:footnote>
  <w:footnote w:id="3">
    <w:p w14:paraId="068D4A4D" w14:textId="77777777" w:rsidR="0039290C" w:rsidRPr="009C5908" w:rsidRDefault="0039290C" w:rsidP="0039290C">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16D3FA1A" w14:textId="4BACDD5C" w:rsidR="006A3411" w:rsidRPr="006301B8" w:rsidRDefault="006A3411" w:rsidP="00DD1B57">
      <w:pPr>
        <w:pStyle w:val="Textonotapie"/>
        <w:ind w:left="142" w:hanging="142"/>
      </w:pPr>
      <w:r w:rsidRPr="003E6B73">
        <w:rPr>
          <w:rStyle w:val="Refdenotaalpie"/>
          <w:sz w:val="18"/>
          <w:szCs w:val="18"/>
        </w:rPr>
        <w:footnoteRef/>
      </w:r>
      <w:r w:rsidR="008F75CD" w:rsidRPr="003E6B73">
        <w:rPr>
          <w:sz w:val="16"/>
          <w:szCs w:val="16"/>
        </w:rPr>
        <w:tab/>
      </w:r>
      <w:r w:rsidRPr="006301B8">
        <w:rPr>
          <w:sz w:val="16"/>
          <w:szCs w:val="16"/>
        </w:rPr>
        <w:t xml:space="preserve">Producto </w:t>
      </w:r>
      <w:r w:rsidR="00106A20">
        <w:rPr>
          <w:sz w:val="16"/>
          <w:szCs w:val="16"/>
        </w:rPr>
        <w:t>g</w:t>
      </w:r>
      <w:r w:rsidRPr="006301B8">
        <w:rPr>
          <w:sz w:val="16"/>
          <w:szCs w:val="16"/>
        </w:rPr>
        <w:t xml:space="preserve">enérico. </w:t>
      </w:r>
      <w:r w:rsidRPr="006301B8">
        <w:rPr>
          <w:color w:val="000000"/>
          <w:sz w:val="16"/>
          <w:szCs w:val="16"/>
        </w:rPr>
        <w:t>Conjunto de bienes y servicios de la canasta del INPC que poseen alto gr</w:t>
      </w:r>
      <w:r w:rsidR="00DD1B57">
        <w:rPr>
          <w:color w:val="000000"/>
          <w:sz w:val="16"/>
          <w:szCs w:val="16"/>
        </w:rPr>
        <w:t xml:space="preserve">ado de homogeneidad; se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52B0" w14:textId="27816137" w:rsidR="00F17927" w:rsidRPr="00265B8C" w:rsidRDefault="00F17927" w:rsidP="00215715">
    <w:pPr>
      <w:pStyle w:val="Encabezado"/>
      <w:framePr w:w="5608" w:hSpace="141" w:wrap="auto" w:vAnchor="text" w:hAnchor="page" w:x="5485" w:y="31"/>
      <w:ind w:left="567" w:hanging="11"/>
      <w:jc w:val="right"/>
      <w:rPr>
        <w:b/>
        <w:color w:val="002060"/>
      </w:rPr>
    </w:pPr>
    <w:r w:rsidRPr="00265B8C">
      <w:rPr>
        <w:b/>
        <w:color w:val="002060"/>
      </w:rPr>
      <w:t xml:space="preserve">COMUNICADO DE PRENSA NÚM. </w:t>
    </w:r>
    <w:r w:rsidR="00215715">
      <w:rPr>
        <w:b/>
        <w:color w:val="002060"/>
      </w:rPr>
      <w:t>534</w:t>
    </w:r>
    <w:r w:rsidRPr="00265B8C">
      <w:rPr>
        <w:b/>
        <w:color w:val="002060"/>
      </w:rPr>
      <w:t>/</w:t>
    </w:r>
    <w:r>
      <w:rPr>
        <w:b/>
        <w:color w:val="002060"/>
      </w:rPr>
      <w:t>21</w:t>
    </w:r>
  </w:p>
  <w:p w14:paraId="2299EFC6" w14:textId="77777777" w:rsidR="00F17927" w:rsidRPr="00265B8C" w:rsidRDefault="00F17927" w:rsidP="00215715">
    <w:pPr>
      <w:pStyle w:val="Encabezado"/>
      <w:framePr w:w="5608" w:hSpace="141" w:wrap="auto" w:vAnchor="text" w:hAnchor="page" w:x="5485" w:y="31"/>
      <w:ind w:left="567" w:hanging="11"/>
      <w:jc w:val="right"/>
      <w:rPr>
        <w:b/>
        <w:color w:val="002060"/>
        <w:lang w:val="pt-BR"/>
      </w:rPr>
    </w:pPr>
    <w:r>
      <w:rPr>
        <w:b/>
        <w:color w:val="002060"/>
        <w:lang w:val="pt-BR"/>
      </w:rPr>
      <w:t xml:space="preserve">23 </w:t>
    </w:r>
    <w:r w:rsidRPr="00265B8C">
      <w:rPr>
        <w:b/>
        <w:color w:val="002060"/>
        <w:lang w:val="pt-BR"/>
      </w:rPr>
      <w:t>D</w:t>
    </w:r>
    <w:r>
      <w:rPr>
        <w:b/>
        <w:color w:val="002060"/>
        <w:lang w:val="pt-BR"/>
      </w:rPr>
      <w:t>E SEPTIEMBRE D</w:t>
    </w:r>
    <w:r w:rsidRPr="00265B8C">
      <w:rPr>
        <w:b/>
        <w:color w:val="002060"/>
        <w:lang w:val="pt-BR"/>
      </w:rPr>
      <w:t>E 20</w:t>
    </w:r>
    <w:r>
      <w:rPr>
        <w:b/>
        <w:color w:val="002060"/>
        <w:lang w:val="pt-BR"/>
      </w:rPr>
      <w:t>21</w:t>
    </w:r>
  </w:p>
  <w:p w14:paraId="06903D80" w14:textId="77777777" w:rsidR="00F17927" w:rsidRPr="00265B8C" w:rsidRDefault="00F17927" w:rsidP="00215715">
    <w:pPr>
      <w:pStyle w:val="Encabezado"/>
      <w:framePr w:w="5608" w:hSpace="141" w:wrap="auto" w:vAnchor="text" w:hAnchor="page" w:x="548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6693FE50" w14:textId="77777777" w:rsidR="00F17927" w:rsidRDefault="00F17927" w:rsidP="00497B35">
    <w:pPr>
      <w:pStyle w:val="Encabezado"/>
      <w:ind w:left="142"/>
    </w:pPr>
    <w:r>
      <w:rPr>
        <w:noProof/>
      </w:rPr>
      <w:drawing>
        <wp:inline distT="0" distB="0" distL="0" distR="0" wp14:anchorId="5BADAD83" wp14:editId="167FF331">
          <wp:extent cx="789553" cy="8201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893" cy="8474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9622" w14:textId="2B6C4023" w:rsidR="00BC75C4" w:rsidRDefault="00B940B6" w:rsidP="00F17927">
    <w:pPr>
      <w:pStyle w:val="Encabezado"/>
      <w:tabs>
        <w:tab w:val="clear" w:pos="4320"/>
        <w:tab w:val="clear" w:pos="8640"/>
      </w:tabs>
      <w:jc w:val="center"/>
    </w:pPr>
    <w:r>
      <w:rPr>
        <w:noProof/>
        <w:lang w:val="es-MX" w:eastAsia="es-MX"/>
      </w:rPr>
      <w:drawing>
        <wp:inline distT="0" distB="0" distL="0" distR="0" wp14:anchorId="5A6F9BE6" wp14:editId="06BC9E73">
          <wp:extent cx="928799" cy="964800"/>
          <wp:effectExtent l="0" t="0" r="5080" b="6985"/>
          <wp:docPr id="2" name="Imagen 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2"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3"/>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7"/>
  </w:num>
  <w:num w:numId="13">
    <w:abstractNumId w:val="29"/>
  </w:num>
  <w:num w:numId="14">
    <w:abstractNumId w:val="17"/>
  </w:num>
  <w:num w:numId="15">
    <w:abstractNumId w:val="14"/>
  </w:num>
  <w:num w:numId="16">
    <w:abstractNumId w:val="22"/>
  </w:num>
  <w:num w:numId="17">
    <w:abstractNumId w:val="16"/>
  </w:num>
  <w:num w:numId="18">
    <w:abstractNumId w:val="21"/>
  </w:num>
  <w:num w:numId="19">
    <w:abstractNumId w:val="9"/>
  </w:num>
  <w:num w:numId="20">
    <w:abstractNumId w:val="0"/>
  </w:num>
  <w:num w:numId="21">
    <w:abstractNumId w:val="15"/>
  </w:num>
  <w:num w:numId="22">
    <w:abstractNumId w:val="4"/>
  </w:num>
  <w:num w:numId="23">
    <w:abstractNumId w:val="19"/>
  </w:num>
  <w:num w:numId="24">
    <w:abstractNumId w:val="18"/>
  </w:num>
  <w:num w:numId="25">
    <w:abstractNumId w:val="23"/>
  </w:num>
  <w:num w:numId="26">
    <w:abstractNumId w:val="26"/>
  </w:num>
  <w:num w:numId="27">
    <w:abstractNumId w:val="12"/>
  </w:num>
  <w:num w:numId="28">
    <w:abstractNumId w:val="11"/>
  </w:num>
  <w:num w:numId="29">
    <w:abstractNumId w:val="2"/>
  </w:num>
  <w:num w:numId="30">
    <w:abstractNumId w:val="6"/>
  </w:num>
  <w:num w:numId="31">
    <w:abstractNumId w:val="20"/>
  </w:num>
  <w:num w:numId="32">
    <w:abstractNumId w:val="24"/>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B70"/>
    <w:rsid w:val="00003C25"/>
    <w:rsid w:val="00003C68"/>
    <w:rsid w:val="00004291"/>
    <w:rsid w:val="000042CB"/>
    <w:rsid w:val="0000458A"/>
    <w:rsid w:val="000050C6"/>
    <w:rsid w:val="0000594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BA2"/>
    <w:rsid w:val="00014FBD"/>
    <w:rsid w:val="00015137"/>
    <w:rsid w:val="00015302"/>
    <w:rsid w:val="00016590"/>
    <w:rsid w:val="00016B4E"/>
    <w:rsid w:val="00016D3A"/>
    <w:rsid w:val="0001718D"/>
    <w:rsid w:val="000176AC"/>
    <w:rsid w:val="00017DF3"/>
    <w:rsid w:val="00021432"/>
    <w:rsid w:val="00021492"/>
    <w:rsid w:val="000216A3"/>
    <w:rsid w:val="000228C4"/>
    <w:rsid w:val="00022C2F"/>
    <w:rsid w:val="00022CA3"/>
    <w:rsid w:val="000260EE"/>
    <w:rsid w:val="00026698"/>
    <w:rsid w:val="00026B3C"/>
    <w:rsid w:val="00026B52"/>
    <w:rsid w:val="00026F8D"/>
    <w:rsid w:val="00027D1F"/>
    <w:rsid w:val="00027EBA"/>
    <w:rsid w:val="00030480"/>
    <w:rsid w:val="0003065F"/>
    <w:rsid w:val="000308BA"/>
    <w:rsid w:val="00030D10"/>
    <w:rsid w:val="00031231"/>
    <w:rsid w:val="000314D3"/>
    <w:rsid w:val="00031BCF"/>
    <w:rsid w:val="00031CEA"/>
    <w:rsid w:val="000320C6"/>
    <w:rsid w:val="00032714"/>
    <w:rsid w:val="00032891"/>
    <w:rsid w:val="00032B16"/>
    <w:rsid w:val="00033603"/>
    <w:rsid w:val="00033A14"/>
    <w:rsid w:val="0003447A"/>
    <w:rsid w:val="00034BC3"/>
    <w:rsid w:val="000353F3"/>
    <w:rsid w:val="00035600"/>
    <w:rsid w:val="000357CC"/>
    <w:rsid w:val="00035B2D"/>
    <w:rsid w:val="00035DA7"/>
    <w:rsid w:val="00036196"/>
    <w:rsid w:val="00036599"/>
    <w:rsid w:val="00036D72"/>
    <w:rsid w:val="00037089"/>
    <w:rsid w:val="00037177"/>
    <w:rsid w:val="00037CC4"/>
    <w:rsid w:val="0004066E"/>
    <w:rsid w:val="00040F75"/>
    <w:rsid w:val="00041FF7"/>
    <w:rsid w:val="0004225C"/>
    <w:rsid w:val="00042A47"/>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6782D"/>
    <w:rsid w:val="0007012A"/>
    <w:rsid w:val="0007017F"/>
    <w:rsid w:val="00070431"/>
    <w:rsid w:val="000707FF"/>
    <w:rsid w:val="00070864"/>
    <w:rsid w:val="0007145A"/>
    <w:rsid w:val="00071F0D"/>
    <w:rsid w:val="00071F33"/>
    <w:rsid w:val="000725AC"/>
    <w:rsid w:val="00072B18"/>
    <w:rsid w:val="000730F3"/>
    <w:rsid w:val="00073491"/>
    <w:rsid w:val="000739D2"/>
    <w:rsid w:val="00073E58"/>
    <w:rsid w:val="00073EF4"/>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6EDE"/>
    <w:rsid w:val="0008756B"/>
    <w:rsid w:val="00087DB7"/>
    <w:rsid w:val="0009025D"/>
    <w:rsid w:val="00090B52"/>
    <w:rsid w:val="00090B9C"/>
    <w:rsid w:val="00090D7B"/>
    <w:rsid w:val="00091474"/>
    <w:rsid w:val="000915F7"/>
    <w:rsid w:val="00091EEF"/>
    <w:rsid w:val="00092764"/>
    <w:rsid w:val="0009292F"/>
    <w:rsid w:val="00092F4C"/>
    <w:rsid w:val="0009421A"/>
    <w:rsid w:val="00094496"/>
    <w:rsid w:val="000950E7"/>
    <w:rsid w:val="00095360"/>
    <w:rsid w:val="000955AA"/>
    <w:rsid w:val="000957BC"/>
    <w:rsid w:val="00095A6A"/>
    <w:rsid w:val="00095BAC"/>
    <w:rsid w:val="00096737"/>
    <w:rsid w:val="00097C0A"/>
    <w:rsid w:val="000A0344"/>
    <w:rsid w:val="000A0823"/>
    <w:rsid w:val="000A1F9D"/>
    <w:rsid w:val="000A21D6"/>
    <w:rsid w:val="000A260D"/>
    <w:rsid w:val="000A2F4F"/>
    <w:rsid w:val="000A31EF"/>
    <w:rsid w:val="000A3354"/>
    <w:rsid w:val="000A3733"/>
    <w:rsid w:val="000A43B0"/>
    <w:rsid w:val="000A4D4C"/>
    <w:rsid w:val="000A4FEA"/>
    <w:rsid w:val="000A53E6"/>
    <w:rsid w:val="000A5727"/>
    <w:rsid w:val="000A574B"/>
    <w:rsid w:val="000A5B04"/>
    <w:rsid w:val="000A5E2A"/>
    <w:rsid w:val="000A643B"/>
    <w:rsid w:val="000A682B"/>
    <w:rsid w:val="000A707A"/>
    <w:rsid w:val="000A78BA"/>
    <w:rsid w:val="000B0710"/>
    <w:rsid w:val="000B0E46"/>
    <w:rsid w:val="000B1C11"/>
    <w:rsid w:val="000B1D13"/>
    <w:rsid w:val="000B29B8"/>
    <w:rsid w:val="000B2A27"/>
    <w:rsid w:val="000B424D"/>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4F00"/>
    <w:rsid w:val="000D5000"/>
    <w:rsid w:val="000D5176"/>
    <w:rsid w:val="000D5EDB"/>
    <w:rsid w:val="000D6C0F"/>
    <w:rsid w:val="000D6F1E"/>
    <w:rsid w:val="000D7A95"/>
    <w:rsid w:val="000D7BBD"/>
    <w:rsid w:val="000E039A"/>
    <w:rsid w:val="000E03C0"/>
    <w:rsid w:val="000E0654"/>
    <w:rsid w:val="000E19B3"/>
    <w:rsid w:val="000E28E2"/>
    <w:rsid w:val="000E2970"/>
    <w:rsid w:val="000E2B40"/>
    <w:rsid w:val="000E35A3"/>
    <w:rsid w:val="000E369A"/>
    <w:rsid w:val="000E3CC1"/>
    <w:rsid w:val="000E5331"/>
    <w:rsid w:val="000E535E"/>
    <w:rsid w:val="000E5526"/>
    <w:rsid w:val="000E59FC"/>
    <w:rsid w:val="000E5D6B"/>
    <w:rsid w:val="000E5FE0"/>
    <w:rsid w:val="000E62DF"/>
    <w:rsid w:val="000E6D5D"/>
    <w:rsid w:val="000F04CC"/>
    <w:rsid w:val="000F05D5"/>
    <w:rsid w:val="000F1DEB"/>
    <w:rsid w:val="000F1F7A"/>
    <w:rsid w:val="000F3491"/>
    <w:rsid w:val="000F3986"/>
    <w:rsid w:val="000F3DE6"/>
    <w:rsid w:val="000F44E7"/>
    <w:rsid w:val="000F49F1"/>
    <w:rsid w:val="000F4C41"/>
    <w:rsid w:val="000F4FA7"/>
    <w:rsid w:val="000F536A"/>
    <w:rsid w:val="000F541D"/>
    <w:rsid w:val="000F5AD1"/>
    <w:rsid w:val="000F5C8B"/>
    <w:rsid w:val="000F69FA"/>
    <w:rsid w:val="000F7577"/>
    <w:rsid w:val="000F7974"/>
    <w:rsid w:val="000F7ECD"/>
    <w:rsid w:val="000F7F0E"/>
    <w:rsid w:val="000F7FB5"/>
    <w:rsid w:val="00100317"/>
    <w:rsid w:val="001004C1"/>
    <w:rsid w:val="001004EE"/>
    <w:rsid w:val="001011EC"/>
    <w:rsid w:val="001017C1"/>
    <w:rsid w:val="00101A86"/>
    <w:rsid w:val="00101E92"/>
    <w:rsid w:val="00101F40"/>
    <w:rsid w:val="00102C79"/>
    <w:rsid w:val="00103847"/>
    <w:rsid w:val="00103913"/>
    <w:rsid w:val="00105234"/>
    <w:rsid w:val="001057E1"/>
    <w:rsid w:val="00105E2B"/>
    <w:rsid w:val="0010619C"/>
    <w:rsid w:val="0010664D"/>
    <w:rsid w:val="00106A20"/>
    <w:rsid w:val="00107B62"/>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5F66"/>
    <w:rsid w:val="00116647"/>
    <w:rsid w:val="00116F84"/>
    <w:rsid w:val="00117D7A"/>
    <w:rsid w:val="00120112"/>
    <w:rsid w:val="001201B0"/>
    <w:rsid w:val="00120EA1"/>
    <w:rsid w:val="00121789"/>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2798A"/>
    <w:rsid w:val="001301E6"/>
    <w:rsid w:val="001304F2"/>
    <w:rsid w:val="00130C4C"/>
    <w:rsid w:val="001313EB"/>
    <w:rsid w:val="00131E80"/>
    <w:rsid w:val="0013222E"/>
    <w:rsid w:val="001328D2"/>
    <w:rsid w:val="00134904"/>
    <w:rsid w:val="001349AB"/>
    <w:rsid w:val="00134F4E"/>
    <w:rsid w:val="00134FB0"/>
    <w:rsid w:val="001350AC"/>
    <w:rsid w:val="001352EC"/>
    <w:rsid w:val="0013543B"/>
    <w:rsid w:val="00135A2E"/>
    <w:rsid w:val="00135E0B"/>
    <w:rsid w:val="001361A8"/>
    <w:rsid w:val="001365A5"/>
    <w:rsid w:val="001368CC"/>
    <w:rsid w:val="00136AB1"/>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2AC"/>
    <w:rsid w:val="0015755C"/>
    <w:rsid w:val="001600C9"/>
    <w:rsid w:val="00160308"/>
    <w:rsid w:val="001604E1"/>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27"/>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46A"/>
    <w:rsid w:val="00182CBE"/>
    <w:rsid w:val="00182EBE"/>
    <w:rsid w:val="001831B3"/>
    <w:rsid w:val="001845FA"/>
    <w:rsid w:val="0018521A"/>
    <w:rsid w:val="0018522B"/>
    <w:rsid w:val="00185425"/>
    <w:rsid w:val="00185457"/>
    <w:rsid w:val="001854A8"/>
    <w:rsid w:val="00185D40"/>
    <w:rsid w:val="00186C17"/>
    <w:rsid w:val="00187284"/>
    <w:rsid w:val="0018787A"/>
    <w:rsid w:val="00187A73"/>
    <w:rsid w:val="00190180"/>
    <w:rsid w:val="001908C1"/>
    <w:rsid w:val="00190A43"/>
    <w:rsid w:val="00190D0B"/>
    <w:rsid w:val="001912FB"/>
    <w:rsid w:val="00191608"/>
    <w:rsid w:val="00191664"/>
    <w:rsid w:val="00192065"/>
    <w:rsid w:val="00194085"/>
    <w:rsid w:val="001941AA"/>
    <w:rsid w:val="00194F73"/>
    <w:rsid w:val="00195EC2"/>
    <w:rsid w:val="00195F99"/>
    <w:rsid w:val="00197041"/>
    <w:rsid w:val="001A016C"/>
    <w:rsid w:val="001A0422"/>
    <w:rsid w:val="001A0BEE"/>
    <w:rsid w:val="001A102F"/>
    <w:rsid w:val="001A1A27"/>
    <w:rsid w:val="001A1ED0"/>
    <w:rsid w:val="001A1FAC"/>
    <w:rsid w:val="001A1FC1"/>
    <w:rsid w:val="001A27EE"/>
    <w:rsid w:val="001A35A6"/>
    <w:rsid w:val="001A368A"/>
    <w:rsid w:val="001A3963"/>
    <w:rsid w:val="001A3BD3"/>
    <w:rsid w:val="001A41DF"/>
    <w:rsid w:val="001A43F5"/>
    <w:rsid w:val="001A4E0E"/>
    <w:rsid w:val="001A4E8C"/>
    <w:rsid w:val="001A4EF7"/>
    <w:rsid w:val="001A4F6E"/>
    <w:rsid w:val="001A5A21"/>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087"/>
    <w:rsid w:val="001B74F4"/>
    <w:rsid w:val="001B75DC"/>
    <w:rsid w:val="001B7B83"/>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2FC"/>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6ED5"/>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6C3"/>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0DA"/>
    <w:rsid w:val="001F65A4"/>
    <w:rsid w:val="001F65E0"/>
    <w:rsid w:val="001F6EE3"/>
    <w:rsid w:val="001F7362"/>
    <w:rsid w:val="001F7AE9"/>
    <w:rsid w:val="001F7CFD"/>
    <w:rsid w:val="002011D5"/>
    <w:rsid w:val="00201C2D"/>
    <w:rsid w:val="00203367"/>
    <w:rsid w:val="00204438"/>
    <w:rsid w:val="00204A44"/>
    <w:rsid w:val="00204F6E"/>
    <w:rsid w:val="00206147"/>
    <w:rsid w:val="002064F3"/>
    <w:rsid w:val="002069A8"/>
    <w:rsid w:val="00206B2B"/>
    <w:rsid w:val="00206C70"/>
    <w:rsid w:val="00206EE7"/>
    <w:rsid w:val="0020789A"/>
    <w:rsid w:val="00207C83"/>
    <w:rsid w:val="00210869"/>
    <w:rsid w:val="002116AD"/>
    <w:rsid w:val="00211999"/>
    <w:rsid w:val="002120A6"/>
    <w:rsid w:val="002122B8"/>
    <w:rsid w:val="002123A4"/>
    <w:rsid w:val="002126CD"/>
    <w:rsid w:val="00212A54"/>
    <w:rsid w:val="00213773"/>
    <w:rsid w:val="00213B0E"/>
    <w:rsid w:val="00213CBC"/>
    <w:rsid w:val="002141FB"/>
    <w:rsid w:val="002146CA"/>
    <w:rsid w:val="002147D6"/>
    <w:rsid w:val="00214A2A"/>
    <w:rsid w:val="00214BEB"/>
    <w:rsid w:val="002154C2"/>
    <w:rsid w:val="00215715"/>
    <w:rsid w:val="0021575B"/>
    <w:rsid w:val="00215783"/>
    <w:rsid w:val="0021669B"/>
    <w:rsid w:val="002166C7"/>
    <w:rsid w:val="00216876"/>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3DB"/>
    <w:rsid w:val="002276A4"/>
    <w:rsid w:val="00227843"/>
    <w:rsid w:val="00227A99"/>
    <w:rsid w:val="00227C8B"/>
    <w:rsid w:val="00230A44"/>
    <w:rsid w:val="00230A52"/>
    <w:rsid w:val="00230FA5"/>
    <w:rsid w:val="00231131"/>
    <w:rsid w:val="0023170E"/>
    <w:rsid w:val="00231839"/>
    <w:rsid w:val="00232371"/>
    <w:rsid w:val="0023262B"/>
    <w:rsid w:val="00232A4E"/>
    <w:rsid w:val="00233A7D"/>
    <w:rsid w:val="0023476D"/>
    <w:rsid w:val="0023482B"/>
    <w:rsid w:val="0023482C"/>
    <w:rsid w:val="00234AA4"/>
    <w:rsid w:val="00234C7F"/>
    <w:rsid w:val="00234E62"/>
    <w:rsid w:val="00234F8F"/>
    <w:rsid w:val="0023658F"/>
    <w:rsid w:val="00236872"/>
    <w:rsid w:val="00236890"/>
    <w:rsid w:val="002368C0"/>
    <w:rsid w:val="00236AA1"/>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B97"/>
    <w:rsid w:val="002544CB"/>
    <w:rsid w:val="00254724"/>
    <w:rsid w:val="00255BAA"/>
    <w:rsid w:val="00255D8E"/>
    <w:rsid w:val="00256584"/>
    <w:rsid w:val="00256C48"/>
    <w:rsid w:val="00256ED6"/>
    <w:rsid w:val="00256EF8"/>
    <w:rsid w:val="002570D5"/>
    <w:rsid w:val="00257177"/>
    <w:rsid w:val="00257305"/>
    <w:rsid w:val="00257730"/>
    <w:rsid w:val="00257803"/>
    <w:rsid w:val="00257B74"/>
    <w:rsid w:val="00257CD8"/>
    <w:rsid w:val="002610D8"/>
    <w:rsid w:val="00261A6C"/>
    <w:rsid w:val="002629E2"/>
    <w:rsid w:val="00262BA8"/>
    <w:rsid w:val="00262BC8"/>
    <w:rsid w:val="002636D4"/>
    <w:rsid w:val="002641D9"/>
    <w:rsid w:val="002643C5"/>
    <w:rsid w:val="00264917"/>
    <w:rsid w:val="00264D97"/>
    <w:rsid w:val="002651EC"/>
    <w:rsid w:val="00265DC2"/>
    <w:rsid w:val="0026638C"/>
    <w:rsid w:val="00266F00"/>
    <w:rsid w:val="002670EF"/>
    <w:rsid w:val="002671A2"/>
    <w:rsid w:val="00267A38"/>
    <w:rsid w:val="00267EE2"/>
    <w:rsid w:val="00267F5F"/>
    <w:rsid w:val="002702F4"/>
    <w:rsid w:val="00270965"/>
    <w:rsid w:val="00270A01"/>
    <w:rsid w:val="00270EC6"/>
    <w:rsid w:val="00271E5D"/>
    <w:rsid w:val="00272082"/>
    <w:rsid w:val="00272C8F"/>
    <w:rsid w:val="002731BB"/>
    <w:rsid w:val="0027349D"/>
    <w:rsid w:val="00273516"/>
    <w:rsid w:val="00273985"/>
    <w:rsid w:val="00273B82"/>
    <w:rsid w:val="00273E7A"/>
    <w:rsid w:val="00274372"/>
    <w:rsid w:val="0027475A"/>
    <w:rsid w:val="00274E9A"/>
    <w:rsid w:val="00274F5F"/>
    <w:rsid w:val="00275F56"/>
    <w:rsid w:val="002765B7"/>
    <w:rsid w:val="00276EAA"/>
    <w:rsid w:val="00277713"/>
    <w:rsid w:val="00277DBC"/>
    <w:rsid w:val="00277F64"/>
    <w:rsid w:val="00280550"/>
    <w:rsid w:val="00281063"/>
    <w:rsid w:val="00281676"/>
    <w:rsid w:val="00281C41"/>
    <w:rsid w:val="00281E32"/>
    <w:rsid w:val="002823B9"/>
    <w:rsid w:val="00282479"/>
    <w:rsid w:val="0028276E"/>
    <w:rsid w:val="002827F3"/>
    <w:rsid w:val="002829BD"/>
    <w:rsid w:val="00282B3E"/>
    <w:rsid w:val="00282C1F"/>
    <w:rsid w:val="00282C6C"/>
    <w:rsid w:val="00283B7F"/>
    <w:rsid w:val="0028468D"/>
    <w:rsid w:val="0028470C"/>
    <w:rsid w:val="00284B5F"/>
    <w:rsid w:val="0028560C"/>
    <w:rsid w:val="0028596B"/>
    <w:rsid w:val="00285FB9"/>
    <w:rsid w:val="00286219"/>
    <w:rsid w:val="00286A03"/>
    <w:rsid w:val="00287514"/>
    <w:rsid w:val="0028791B"/>
    <w:rsid w:val="00287E44"/>
    <w:rsid w:val="00287F79"/>
    <w:rsid w:val="002900A9"/>
    <w:rsid w:val="00290C43"/>
    <w:rsid w:val="00290C90"/>
    <w:rsid w:val="00291260"/>
    <w:rsid w:val="002916DB"/>
    <w:rsid w:val="0029190A"/>
    <w:rsid w:val="00292220"/>
    <w:rsid w:val="00293271"/>
    <w:rsid w:val="00293422"/>
    <w:rsid w:val="00293587"/>
    <w:rsid w:val="00293896"/>
    <w:rsid w:val="00293C63"/>
    <w:rsid w:val="00293ED1"/>
    <w:rsid w:val="00294214"/>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32F"/>
    <w:rsid w:val="002A46FA"/>
    <w:rsid w:val="002A5227"/>
    <w:rsid w:val="002A53C5"/>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40A5"/>
    <w:rsid w:val="002D47E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5CA7"/>
    <w:rsid w:val="002E6377"/>
    <w:rsid w:val="002E64C3"/>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626"/>
    <w:rsid w:val="002F2799"/>
    <w:rsid w:val="002F3C64"/>
    <w:rsid w:val="002F4431"/>
    <w:rsid w:val="002F4687"/>
    <w:rsid w:val="002F47E7"/>
    <w:rsid w:val="002F510D"/>
    <w:rsid w:val="002F5F61"/>
    <w:rsid w:val="00300081"/>
    <w:rsid w:val="0030023E"/>
    <w:rsid w:val="0030059B"/>
    <w:rsid w:val="00300812"/>
    <w:rsid w:val="0030094D"/>
    <w:rsid w:val="00300D44"/>
    <w:rsid w:val="00300FC5"/>
    <w:rsid w:val="00301277"/>
    <w:rsid w:val="00301837"/>
    <w:rsid w:val="003019CD"/>
    <w:rsid w:val="0030341B"/>
    <w:rsid w:val="003034D2"/>
    <w:rsid w:val="0030373E"/>
    <w:rsid w:val="00303A1B"/>
    <w:rsid w:val="003045BE"/>
    <w:rsid w:val="00304E8C"/>
    <w:rsid w:val="00305204"/>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24C8"/>
    <w:rsid w:val="00313367"/>
    <w:rsid w:val="0031354F"/>
    <w:rsid w:val="00314614"/>
    <w:rsid w:val="00314739"/>
    <w:rsid w:val="00314773"/>
    <w:rsid w:val="003149C2"/>
    <w:rsid w:val="00314F8A"/>
    <w:rsid w:val="003151F3"/>
    <w:rsid w:val="003152FA"/>
    <w:rsid w:val="003154DB"/>
    <w:rsid w:val="00316198"/>
    <w:rsid w:val="00316779"/>
    <w:rsid w:val="00316C5F"/>
    <w:rsid w:val="00316C7C"/>
    <w:rsid w:val="00317AB7"/>
    <w:rsid w:val="00317DA5"/>
    <w:rsid w:val="003201D0"/>
    <w:rsid w:val="003205E0"/>
    <w:rsid w:val="00321386"/>
    <w:rsid w:val="00321788"/>
    <w:rsid w:val="00321848"/>
    <w:rsid w:val="00321AF7"/>
    <w:rsid w:val="00321CB3"/>
    <w:rsid w:val="00322341"/>
    <w:rsid w:val="0032345B"/>
    <w:rsid w:val="003235FE"/>
    <w:rsid w:val="00324FF5"/>
    <w:rsid w:val="003256A0"/>
    <w:rsid w:val="003265DE"/>
    <w:rsid w:val="00326A08"/>
    <w:rsid w:val="003273D2"/>
    <w:rsid w:val="003275D6"/>
    <w:rsid w:val="0032761B"/>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3CCF"/>
    <w:rsid w:val="0034438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4CA"/>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3BC1"/>
    <w:rsid w:val="003840B4"/>
    <w:rsid w:val="00384187"/>
    <w:rsid w:val="0038458A"/>
    <w:rsid w:val="00384701"/>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90C"/>
    <w:rsid w:val="00393231"/>
    <w:rsid w:val="0039372B"/>
    <w:rsid w:val="0039383D"/>
    <w:rsid w:val="0039433B"/>
    <w:rsid w:val="003946B9"/>
    <w:rsid w:val="00394917"/>
    <w:rsid w:val="00394FE8"/>
    <w:rsid w:val="00395069"/>
    <w:rsid w:val="003955AD"/>
    <w:rsid w:val="00395A0A"/>
    <w:rsid w:val="00396943"/>
    <w:rsid w:val="00396C46"/>
    <w:rsid w:val="00397BC5"/>
    <w:rsid w:val="00397BF1"/>
    <w:rsid w:val="003A0756"/>
    <w:rsid w:val="003A0A67"/>
    <w:rsid w:val="003A1273"/>
    <w:rsid w:val="003A1596"/>
    <w:rsid w:val="003A1C56"/>
    <w:rsid w:val="003A1FEA"/>
    <w:rsid w:val="003A2E86"/>
    <w:rsid w:val="003A344A"/>
    <w:rsid w:val="003A3622"/>
    <w:rsid w:val="003A36D4"/>
    <w:rsid w:val="003A4139"/>
    <w:rsid w:val="003A4409"/>
    <w:rsid w:val="003A495B"/>
    <w:rsid w:val="003A4B2F"/>
    <w:rsid w:val="003A4C4A"/>
    <w:rsid w:val="003A4F9E"/>
    <w:rsid w:val="003A5033"/>
    <w:rsid w:val="003A53AA"/>
    <w:rsid w:val="003A5A21"/>
    <w:rsid w:val="003A5AFD"/>
    <w:rsid w:val="003A5EEB"/>
    <w:rsid w:val="003A5F81"/>
    <w:rsid w:val="003A701E"/>
    <w:rsid w:val="003A7161"/>
    <w:rsid w:val="003A7200"/>
    <w:rsid w:val="003A75C6"/>
    <w:rsid w:val="003A79FF"/>
    <w:rsid w:val="003A7DFF"/>
    <w:rsid w:val="003A7E72"/>
    <w:rsid w:val="003B00E9"/>
    <w:rsid w:val="003B02DF"/>
    <w:rsid w:val="003B0A8B"/>
    <w:rsid w:val="003B1083"/>
    <w:rsid w:val="003B12DB"/>
    <w:rsid w:val="003B1346"/>
    <w:rsid w:val="003B1C5D"/>
    <w:rsid w:val="003B1EAD"/>
    <w:rsid w:val="003B1F1C"/>
    <w:rsid w:val="003B23A8"/>
    <w:rsid w:val="003B24DD"/>
    <w:rsid w:val="003B2BCD"/>
    <w:rsid w:val="003B3822"/>
    <w:rsid w:val="003B3BAD"/>
    <w:rsid w:val="003B3F02"/>
    <w:rsid w:val="003B3F64"/>
    <w:rsid w:val="003B4312"/>
    <w:rsid w:val="003B4644"/>
    <w:rsid w:val="003B4B26"/>
    <w:rsid w:val="003B4E29"/>
    <w:rsid w:val="003B5306"/>
    <w:rsid w:val="003B5757"/>
    <w:rsid w:val="003B5E92"/>
    <w:rsid w:val="003B5F7C"/>
    <w:rsid w:val="003B6179"/>
    <w:rsid w:val="003B69D0"/>
    <w:rsid w:val="003B7B4D"/>
    <w:rsid w:val="003C0125"/>
    <w:rsid w:val="003C03F7"/>
    <w:rsid w:val="003C05CD"/>
    <w:rsid w:val="003C0FE5"/>
    <w:rsid w:val="003C14B6"/>
    <w:rsid w:val="003C1CAF"/>
    <w:rsid w:val="003C22D4"/>
    <w:rsid w:val="003C29AF"/>
    <w:rsid w:val="003C3BC5"/>
    <w:rsid w:val="003C3F73"/>
    <w:rsid w:val="003C40A2"/>
    <w:rsid w:val="003C5519"/>
    <w:rsid w:val="003C5A97"/>
    <w:rsid w:val="003C616B"/>
    <w:rsid w:val="003C681D"/>
    <w:rsid w:val="003C6BED"/>
    <w:rsid w:val="003C7965"/>
    <w:rsid w:val="003C7B7E"/>
    <w:rsid w:val="003C7D06"/>
    <w:rsid w:val="003C7EF7"/>
    <w:rsid w:val="003D0E1F"/>
    <w:rsid w:val="003D1182"/>
    <w:rsid w:val="003D1AE0"/>
    <w:rsid w:val="003D22DA"/>
    <w:rsid w:val="003D2A32"/>
    <w:rsid w:val="003D358C"/>
    <w:rsid w:val="003D3779"/>
    <w:rsid w:val="003D4254"/>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20CB"/>
    <w:rsid w:val="003E21E9"/>
    <w:rsid w:val="003E4979"/>
    <w:rsid w:val="003E4B79"/>
    <w:rsid w:val="003E4B85"/>
    <w:rsid w:val="003E581F"/>
    <w:rsid w:val="003E5F16"/>
    <w:rsid w:val="003E634D"/>
    <w:rsid w:val="003E64BB"/>
    <w:rsid w:val="003E6AC1"/>
    <w:rsid w:val="003E6B73"/>
    <w:rsid w:val="003E7EEA"/>
    <w:rsid w:val="003F01E7"/>
    <w:rsid w:val="003F0AEA"/>
    <w:rsid w:val="003F18CF"/>
    <w:rsid w:val="003F2BFE"/>
    <w:rsid w:val="003F3A44"/>
    <w:rsid w:val="003F5732"/>
    <w:rsid w:val="003F5F0A"/>
    <w:rsid w:val="003F6DF4"/>
    <w:rsid w:val="003F7022"/>
    <w:rsid w:val="003F7263"/>
    <w:rsid w:val="003F7D77"/>
    <w:rsid w:val="00400626"/>
    <w:rsid w:val="00400A5E"/>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162"/>
    <w:rsid w:val="004133CD"/>
    <w:rsid w:val="00413549"/>
    <w:rsid w:val="00413FCD"/>
    <w:rsid w:val="00414538"/>
    <w:rsid w:val="00414647"/>
    <w:rsid w:val="0041479C"/>
    <w:rsid w:val="00414F9A"/>
    <w:rsid w:val="00415EF5"/>
    <w:rsid w:val="00416787"/>
    <w:rsid w:val="00417F13"/>
    <w:rsid w:val="004203CA"/>
    <w:rsid w:val="004208D7"/>
    <w:rsid w:val="00420CA2"/>
    <w:rsid w:val="00421878"/>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1DC7"/>
    <w:rsid w:val="004325BF"/>
    <w:rsid w:val="004328E4"/>
    <w:rsid w:val="00432937"/>
    <w:rsid w:val="00433460"/>
    <w:rsid w:val="00433550"/>
    <w:rsid w:val="00433D87"/>
    <w:rsid w:val="00433E32"/>
    <w:rsid w:val="00433ECE"/>
    <w:rsid w:val="004347A7"/>
    <w:rsid w:val="00434800"/>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BDB"/>
    <w:rsid w:val="00447EAD"/>
    <w:rsid w:val="0045006F"/>
    <w:rsid w:val="004504A7"/>
    <w:rsid w:val="00450899"/>
    <w:rsid w:val="004508B7"/>
    <w:rsid w:val="00450FE9"/>
    <w:rsid w:val="00451A7B"/>
    <w:rsid w:val="004522A6"/>
    <w:rsid w:val="00452870"/>
    <w:rsid w:val="004529D7"/>
    <w:rsid w:val="00452A11"/>
    <w:rsid w:val="00453BF4"/>
    <w:rsid w:val="00454571"/>
    <w:rsid w:val="0045592A"/>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5B7"/>
    <w:rsid w:val="0046365B"/>
    <w:rsid w:val="00463750"/>
    <w:rsid w:val="00464027"/>
    <w:rsid w:val="004641CB"/>
    <w:rsid w:val="0046443B"/>
    <w:rsid w:val="004647D8"/>
    <w:rsid w:val="00464BC7"/>
    <w:rsid w:val="004651B8"/>
    <w:rsid w:val="00465580"/>
    <w:rsid w:val="00465972"/>
    <w:rsid w:val="00465E7E"/>
    <w:rsid w:val="00466BB5"/>
    <w:rsid w:val="004672E8"/>
    <w:rsid w:val="0046758F"/>
    <w:rsid w:val="004677E9"/>
    <w:rsid w:val="00470535"/>
    <w:rsid w:val="00471183"/>
    <w:rsid w:val="0047123C"/>
    <w:rsid w:val="004714F6"/>
    <w:rsid w:val="00471E38"/>
    <w:rsid w:val="0047289C"/>
    <w:rsid w:val="00472E22"/>
    <w:rsid w:val="00472F67"/>
    <w:rsid w:val="00473625"/>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898"/>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EBB"/>
    <w:rsid w:val="00493435"/>
    <w:rsid w:val="004937CB"/>
    <w:rsid w:val="00494B28"/>
    <w:rsid w:val="00495CF9"/>
    <w:rsid w:val="00495FFF"/>
    <w:rsid w:val="00496A9F"/>
    <w:rsid w:val="00497270"/>
    <w:rsid w:val="00497358"/>
    <w:rsid w:val="00497B35"/>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41"/>
    <w:rsid w:val="004A718C"/>
    <w:rsid w:val="004A7DBE"/>
    <w:rsid w:val="004A7F94"/>
    <w:rsid w:val="004B0209"/>
    <w:rsid w:val="004B08AC"/>
    <w:rsid w:val="004B0B18"/>
    <w:rsid w:val="004B0D88"/>
    <w:rsid w:val="004B0E03"/>
    <w:rsid w:val="004B1574"/>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6C7A"/>
    <w:rsid w:val="004E74D3"/>
    <w:rsid w:val="004E7615"/>
    <w:rsid w:val="004E7CD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CDC"/>
    <w:rsid w:val="00501EBE"/>
    <w:rsid w:val="00503551"/>
    <w:rsid w:val="00503963"/>
    <w:rsid w:val="00503F38"/>
    <w:rsid w:val="005043FC"/>
    <w:rsid w:val="00504A55"/>
    <w:rsid w:val="00505A1E"/>
    <w:rsid w:val="00505F08"/>
    <w:rsid w:val="0050671D"/>
    <w:rsid w:val="0050672C"/>
    <w:rsid w:val="00506C4C"/>
    <w:rsid w:val="0050700E"/>
    <w:rsid w:val="00507366"/>
    <w:rsid w:val="005079D7"/>
    <w:rsid w:val="00507B2A"/>
    <w:rsid w:val="00507D3E"/>
    <w:rsid w:val="00510A22"/>
    <w:rsid w:val="00510D8A"/>
    <w:rsid w:val="00511EBC"/>
    <w:rsid w:val="005125D5"/>
    <w:rsid w:val="00512D51"/>
    <w:rsid w:val="00512E95"/>
    <w:rsid w:val="00514674"/>
    <w:rsid w:val="0051477F"/>
    <w:rsid w:val="00514C46"/>
    <w:rsid w:val="005151C3"/>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3833"/>
    <w:rsid w:val="005448B9"/>
    <w:rsid w:val="00545136"/>
    <w:rsid w:val="005452C1"/>
    <w:rsid w:val="00545B42"/>
    <w:rsid w:val="0054612B"/>
    <w:rsid w:val="00546773"/>
    <w:rsid w:val="00547753"/>
    <w:rsid w:val="005479F5"/>
    <w:rsid w:val="00547D90"/>
    <w:rsid w:val="005501E4"/>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2AA"/>
    <w:rsid w:val="00564321"/>
    <w:rsid w:val="00564775"/>
    <w:rsid w:val="00566C28"/>
    <w:rsid w:val="00566EBC"/>
    <w:rsid w:val="00567500"/>
    <w:rsid w:val="0056753D"/>
    <w:rsid w:val="00567811"/>
    <w:rsid w:val="00567CDA"/>
    <w:rsid w:val="00567DEE"/>
    <w:rsid w:val="00570163"/>
    <w:rsid w:val="005701B3"/>
    <w:rsid w:val="005702BD"/>
    <w:rsid w:val="005704B1"/>
    <w:rsid w:val="00572749"/>
    <w:rsid w:val="005739F4"/>
    <w:rsid w:val="00573A7F"/>
    <w:rsid w:val="00573EE1"/>
    <w:rsid w:val="0057406C"/>
    <w:rsid w:val="00575051"/>
    <w:rsid w:val="005758E3"/>
    <w:rsid w:val="00576069"/>
    <w:rsid w:val="00576D35"/>
    <w:rsid w:val="005777C8"/>
    <w:rsid w:val="00577AD5"/>
    <w:rsid w:val="00577F23"/>
    <w:rsid w:val="00580414"/>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6B7C"/>
    <w:rsid w:val="00586F8F"/>
    <w:rsid w:val="005874CD"/>
    <w:rsid w:val="00587515"/>
    <w:rsid w:val="00587597"/>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4E4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60BA"/>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47AD"/>
    <w:rsid w:val="005B5926"/>
    <w:rsid w:val="005B5A74"/>
    <w:rsid w:val="005B5DBE"/>
    <w:rsid w:val="005B66DA"/>
    <w:rsid w:val="005B6927"/>
    <w:rsid w:val="005B698D"/>
    <w:rsid w:val="005B6B33"/>
    <w:rsid w:val="005B6B72"/>
    <w:rsid w:val="005B6BFD"/>
    <w:rsid w:val="005B7331"/>
    <w:rsid w:val="005B75B6"/>
    <w:rsid w:val="005B789E"/>
    <w:rsid w:val="005B7F6E"/>
    <w:rsid w:val="005C043D"/>
    <w:rsid w:val="005C12AC"/>
    <w:rsid w:val="005C1C90"/>
    <w:rsid w:val="005C1CEF"/>
    <w:rsid w:val="005C25B4"/>
    <w:rsid w:val="005C3964"/>
    <w:rsid w:val="005C428A"/>
    <w:rsid w:val="005C4330"/>
    <w:rsid w:val="005C4787"/>
    <w:rsid w:val="005C499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90E"/>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56"/>
    <w:rsid w:val="005F3D8C"/>
    <w:rsid w:val="005F54B4"/>
    <w:rsid w:val="005F5576"/>
    <w:rsid w:val="005F57AB"/>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E7"/>
    <w:rsid w:val="00606FAA"/>
    <w:rsid w:val="00607C10"/>
    <w:rsid w:val="006103B7"/>
    <w:rsid w:val="00611BA6"/>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5F3"/>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692A"/>
    <w:rsid w:val="0062768B"/>
    <w:rsid w:val="00627A49"/>
    <w:rsid w:val="00627D60"/>
    <w:rsid w:val="00627E30"/>
    <w:rsid w:val="00630169"/>
    <w:rsid w:val="006303FC"/>
    <w:rsid w:val="006309D1"/>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38BE"/>
    <w:rsid w:val="006443B2"/>
    <w:rsid w:val="00645210"/>
    <w:rsid w:val="0064522C"/>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84"/>
    <w:rsid w:val="00654AF4"/>
    <w:rsid w:val="00654CB8"/>
    <w:rsid w:val="0065561D"/>
    <w:rsid w:val="006559AA"/>
    <w:rsid w:val="00655F61"/>
    <w:rsid w:val="006562F3"/>
    <w:rsid w:val="006565D3"/>
    <w:rsid w:val="00656F36"/>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14F"/>
    <w:rsid w:val="0066398B"/>
    <w:rsid w:val="00663F53"/>
    <w:rsid w:val="0066486A"/>
    <w:rsid w:val="00664D5F"/>
    <w:rsid w:val="0066527F"/>
    <w:rsid w:val="006655BB"/>
    <w:rsid w:val="00666754"/>
    <w:rsid w:val="0066685A"/>
    <w:rsid w:val="00666AEA"/>
    <w:rsid w:val="00666D37"/>
    <w:rsid w:val="0066706E"/>
    <w:rsid w:val="0066754C"/>
    <w:rsid w:val="00667D71"/>
    <w:rsid w:val="00667FB2"/>
    <w:rsid w:val="00670D2E"/>
    <w:rsid w:val="006715AD"/>
    <w:rsid w:val="0067269F"/>
    <w:rsid w:val="006726CB"/>
    <w:rsid w:val="0067272F"/>
    <w:rsid w:val="00672E8B"/>
    <w:rsid w:val="00672FC9"/>
    <w:rsid w:val="00673881"/>
    <w:rsid w:val="00673BA4"/>
    <w:rsid w:val="00674C5D"/>
    <w:rsid w:val="00674ED8"/>
    <w:rsid w:val="00675793"/>
    <w:rsid w:val="006759A7"/>
    <w:rsid w:val="00675C5E"/>
    <w:rsid w:val="00676F0B"/>
    <w:rsid w:val="006773D1"/>
    <w:rsid w:val="006801BB"/>
    <w:rsid w:val="006802E3"/>
    <w:rsid w:val="00680CC6"/>
    <w:rsid w:val="0068122E"/>
    <w:rsid w:val="0068241B"/>
    <w:rsid w:val="00683889"/>
    <w:rsid w:val="006838CA"/>
    <w:rsid w:val="006842A2"/>
    <w:rsid w:val="006848BB"/>
    <w:rsid w:val="00684A44"/>
    <w:rsid w:val="00685075"/>
    <w:rsid w:val="00685339"/>
    <w:rsid w:val="00685597"/>
    <w:rsid w:val="006859F4"/>
    <w:rsid w:val="00686338"/>
    <w:rsid w:val="0068731C"/>
    <w:rsid w:val="006904AD"/>
    <w:rsid w:val="006905D5"/>
    <w:rsid w:val="006905F1"/>
    <w:rsid w:val="006912E6"/>
    <w:rsid w:val="006914E9"/>
    <w:rsid w:val="00691815"/>
    <w:rsid w:val="00691E51"/>
    <w:rsid w:val="006920CA"/>
    <w:rsid w:val="006927F0"/>
    <w:rsid w:val="00692C4E"/>
    <w:rsid w:val="006936DB"/>
    <w:rsid w:val="00693801"/>
    <w:rsid w:val="006944B8"/>
    <w:rsid w:val="00694706"/>
    <w:rsid w:val="00694C99"/>
    <w:rsid w:val="00694DF8"/>
    <w:rsid w:val="006956E0"/>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6290"/>
    <w:rsid w:val="006A6BAB"/>
    <w:rsid w:val="006A6C28"/>
    <w:rsid w:val="006A777A"/>
    <w:rsid w:val="006A7AE9"/>
    <w:rsid w:val="006A7C9D"/>
    <w:rsid w:val="006B0264"/>
    <w:rsid w:val="006B0BF0"/>
    <w:rsid w:val="006B1E59"/>
    <w:rsid w:val="006B2995"/>
    <w:rsid w:val="006B2F13"/>
    <w:rsid w:val="006B3335"/>
    <w:rsid w:val="006B3EFD"/>
    <w:rsid w:val="006B40C8"/>
    <w:rsid w:val="006B472A"/>
    <w:rsid w:val="006B549F"/>
    <w:rsid w:val="006B54EB"/>
    <w:rsid w:val="006B65CB"/>
    <w:rsid w:val="006B765D"/>
    <w:rsid w:val="006C0867"/>
    <w:rsid w:val="006C12F3"/>
    <w:rsid w:val="006C215A"/>
    <w:rsid w:val="006C24C7"/>
    <w:rsid w:val="006C273C"/>
    <w:rsid w:val="006C2FF1"/>
    <w:rsid w:val="006C374A"/>
    <w:rsid w:val="006C3A0F"/>
    <w:rsid w:val="006C3B9C"/>
    <w:rsid w:val="006C479E"/>
    <w:rsid w:val="006C54EE"/>
    <w:rsid w:val="006C57FE"/>
    <w:rsid w:val="006C5AB5"/>
    <w:rsid w:val="006C6E36"/>
    <w:rsid w:val="006C705E"/>
    <w:rsid w:val="006C7216"/>
    <w:rsid w:val="006C7266"/>
    <w:rsid w:val="006D045E"/>
    <w:rsid w:val="006D05F4"/>
    <w:rsid w:val="006D0B6D"/>
    <w:rsid w:val="006D1549"/>
    <w:rsid w:val="006D16EC"/>
    <w:rsid w:val="006D1A5F"/>
    <w:rsid w:val="006D1F0A"/>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60"/>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253F"/>
    <w:rsid w:val="006F301F"/>
    <w:rsid w:val="006F5682"/>
    <w:rsid w:val="006F572D"/>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4894"/>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17763"/>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02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97C"/>
    <w:rsid w:val="00733F0C"/>
    <w:rsid w:val="00734051"/>
    <w:rsid w:val="007341BF"/>
    <w:rsid w:val="00734519"/>
    <w:rsid w:val="0073458B"/>
    <w:rsid w:val="00734B84"/>
    <w:rsid w:val="00735D2A"/>
    <w:rsid w:val="00735EBF"/>
    <w:rsid w:val="007365ED"/>
    <w:rsid w:val="00736709"/>
    <w:rsid w:val="00736927"/>
    <w:rsid w:val="0073779C"/>
    <w:rsid w:val="00737A4B"/>
    <w:rsid w:val="00740008"/>
    <w:rsid w:val="007408EF"/>
    <w:rsid w:val="00741355"/>
    <w:rsid w:val="00741C56"/>
    <w:rsid w:val="00741C83"/>
    <w:rsid w:val="00741E9A"/>
    <w:rsid w:val="00742891"/>
    <w:rsid w:val="00742C3D"/>
    <w:rsid w:val="00742DAD"/>
    <w:rsid w:val="00743455"/>
    <w:rsid w:val="007435B8"/>
    <w:rsid w:val="007444AE"/>
    <w:rsid w:val="007447C6"/>
    <w:rsid w:val="007449FE"/>
    <w:rsid w:val="00744CEC"/>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B6F"/>
    <w:rsid w:val="00756A17"/>
    <w:rsid w:val="00756B41"/>
    <w:rsid w:val="00757624"/>
    <w:rsid w:val="007576EC"/>
    <w:rsid w:val="00757957"/>
    <w:rsid w:val="00760978"/>
    <w:rsid w:val="007609FD"/>
    <w:rsid w:val="00760D42"/>
    <w:rsid w:val="00761C5E"/>
    <w:rsid w:val="00761E24"/>
    <w:rsid w:val="0076236A"/>
    <w:rsid w:val="007623B0"/>
    <w:rsid w:val="00762A7D"/>
    <w:rsid w:val="00763020"/>
    <w:rsid w:val="0076392A"/>
    <w:rsid w:val="00763B9E"/>
    <w:rsid w:val="00764588"/>
    <w:rsid w:val="007648FE"/>
    <w:rsid w:val="00764B39"/>
    <w:rsid w:val="00764B90"/>
    <w:rsid w:val="007664EA"/>
    <w:rsid w:val="007667C4"/>
    <w:rsid w:val="007670FC"/>
    <w:rsid w:val="00767282"/>
    <w:rsid w:val="007678B9"/>
    <w:rsid w:val="00767DDD"/>
    <w:rsid w:val="00767F7F"/>
    <w:rsid w:val="007703EA"/>
    <w:rsid w:val="00770875"/>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A38"/>
    <w:rsid w:val="00785C2A"/>
    <w:rsid w:val="007862A9"/>
    <w:rsid w:val="0078668F"/>
    <w:rsid w:val="007867F3"/>
    <w:rsid w:val="00786815"/>
    <w:rsid w:val="0078700E"/>
    <w:rsid w:val="00787339"/>
    <w:rsid w:val="00787B59"/>
    <w:rsid w:val="00787F86"/>
    <w:rsid w:val="007900A9"/>
    <w:rsid w:val="00790C1F"/>
    <w:rsid w:val="007910C3"/>
    <w:rsid w:val="00791110"/>
    <w:rsid w:val="0079124F"/>
    <w:rsid w:val="00791250"/>
    <w:rsid w:val="0079150D"/>
    <w:rsid w:val="00791DE1"/>
    <w:rsid w:val="00792A1D"/>
    <w:rsid w:val="00793181"/>
    <w:rsid w:val="0079319C"/>
    <w:rsid w:val="007936BD"/>
    <w:rsid w:val="007936C1"/>
    <w:rsid w:val="00793D0B"/>
    <w:rsid w:val="00793D45"/>
    <w:rsid w:val="00795E20"/>
    <w:rsid w:val="00796787"/>
    <w:rsid w:val="007975BD"/>
    <w:rsid w:val="007979AB"/>
    <w:rsid w:val="00797B7E"/>
    <w:rsid w:val="007A05A2"/>
    <w:rsid w:val="007A10D6"/>
    <w:rsid w:val="007A12EE"/>
    <w:rsid w:val="007A138C"/>
    <w:rsid w:val="007A1834"/>
    <w:rsid w:val="007A1856"/>
    <w:rsid w:val="007A1E52"/>
    <w:rsid w:val="007A2A4D"/>
    <w:rsid w:val="007A2A5A"/>
    <w:rsid w:val="007A31B2"/>
    <w:rsid w:val="007A3629"/>
    <w:rsid w:val="007A385C"/>
    <w:rsid w:val="007A38F5"/>
    <w:rsid w:val="007A3D24"/>
    <w:rsid w:val="007A4860"/>
    <w:rsid w:val="007A4CAF"/>
    <w:rsid w:val="007A4F7B"/>
    <w:rsid w:val="007A61E4"/>
    <w:rsid w:val="007A6668"/>
    <w:rsid w:val="007A704A"/>
    <w:rsid w:val="007A7242"/>
    <w:rsid w:val="007B0222"/>
    <w:rsid w:val="007B036E"/>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2F9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258"/>
    <w:rsid w:val="007D143D"/>
    <w:rsid w:val="007D240D"/>
    <w:rsid w:val="007D25B9"/>
    <w:rsid w:val="007D29AD"/>
    <w:rsid w:val="007D2BD3"/>
    <w:rsid w:val="007D2BE8"/>
    <w:rsid w:val="007D3066"/>
    <w:rsid w:val="007D36F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61B7"/>
    <w:rsid w:val="007E64FF"/>
    <w:rsid w:val="007E6A29"/>
    <w:rsid w:val="007E6F62"/>
    <w:rsid w:val="007E6FEA"/>
    <w:rsid w:val="007E7C7B"/>
    <w:rsid w:val="007E7E0F"/>
    <w:rsid w:val="007E7F8F"/>
    <w:rsid w:val="007F015E"/>
    <w:rsid w:val="007F1160"/>
    <w:rsid w:val="007F19B9"/>
    <w:rsid w:val="007F21B0"/>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E6C"/>
    <w:rsid w:val="007F7FB3"/>
    <w:rsid w:val="0080026A"/>
    <w:rsid w:val="00800340"/>
    <w:rsid w:val="00800953"/>
    <w:rsid w:val="008009BF"/>
    <w:rsid w:val="00801255"/>
    <w:rsid w:val="0080197B"/>
    <w:rsid w:val="00801C1F"/>
    <w:rsid w:val="00801C4F"/>
    <w:rsid w:val="008021D3"/>
    <w:rsid w:val="00802849"/>
    <w:rsid w:val="00802971"/>
    <w:rsid w:val="008038E3"/>
    <w:rsid w:val="008038F6"/>
    <w:rsid w:val="008040C5"/>
    <w:rsid w:val="00804558"/>
    <w:rsid w:val="00804712"/>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10"/>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36F42"/>
    <w:rsid w:val="00840C84"/>
    <w:rsid w:val="00840EAF"/>
    <w:rsid w:val="008416BF"/>
    <w:rsid w:val="008416FD"/>
    <w:rsid w:val="0084188F"/>
    <w:rsid w:val="00841946"/>
    <w:rsid w:val="00842611"/>
    <w:rsid w:val="00842659"/>
    <w:rsid w:val="0084293A"/>
    <w:rsid w:val="0084354C"/>
    <w:rsid w:val="0084375D"/>
    <w:rsid w:val="0084416F"/>
    <w:rsid w:val="00844462"/>
    <w:rsid w:val="008449FE"/>
    <w:rsid w:val="00844D8D"/>
    <w:rsid w:val="00845515"/>
    <w:rsid w:val="00845520"/>
    <w:rsid w:val="008459B7"/>
    <w:rsid w:val="00845FC4"/>
    <w:rsid w:val="008461B0"/>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2142"/>
    <w:rsid w:val="0085278F"/>
    <w:rsid w:val="008528CF"/>
    <w:rsid w:val="00852A3A"/>
    <w:rsid w:val="00853510"/>
    <w:rsid w:val="00853E5B"/>
    <w:rsid w:val="00854123"/>
    <w:rsid w:val="0085429D"/>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7EC"/>
    <w:rsid w:val="00861DA4"/>
    <w:rsid w:val="00861EC4"/>
    <w:rsid w:val="00862330"/>
    <w:rsid w:val="0086254A"/>
    <w:rsid w:val="0086264B"/>
    <w:rsid w:val="008626E9"/>
    <w:rsid w:val="008626EB"/>
    <w:rsid w:val="00862EFD"/>
    <w:rsid w:val="008638FB"/>
    <w:rsid w:val="0086444C"/>
    <w:rsid w:val="008644B1"/>
    <w:rsid w:val="00864768"/>
    <w:rsid w:val="008658AB"/>
    <w:rsid w:val="00865B18"/>
    <w:rsid w:val="00865DAD"/>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282A"/>
    <w:rsid w:val="00873147"/>
    <w:rsid w:val="0087357A"/>
    <w:rsid w:val="00873664"/>
    <w:rsid w:val="00873C1E"/>
    <w:rsid w:val="00873CD6"/>
    <w:rsid w:val="00873DE6"/>
    <w:rsid w:val="00873FBF"/>
    <w:rsid w:val="00874178"/>
    <w:rsid w:val="00874272"/>
    <w:rsid w:val="008743DF"/>
    <w:rsid w:val="00874C66"/>
    <w:rsid w:val="00874F67"/>
    <w:rsid w:val="00875CC0"/>
    <w:rsid w:val="00875F4F"/>
    <w:rsid w:val="008762D8"/>
    <w:rsid w:val="008772D9"/>
    <w:rsid w:val="00877B29"/>
    <w:rsid w:val="008808B9"/>
    <w:rsid w:val="00880B30"/>
    <w:rsid w:val="00880B6E"/>
    <w:rsid w:val="00880F1D"/>
    <w:rsid w:val="0088172A"/>
    <w:rsid w:val="00881F90"/>
    <w:rsid w:val="008851C4"/>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51C"/>
    <w:rsid w:val="0089363C"/>
    <w:rsid w:val="00893657"/>
    <w:rsid w:val="00893671"/>
    <w:rsid w:val="008941FB"/>
    <w:rsid w:val="008943D1"/>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A8"/>
    <w:rsid w:val="008A23D3"/>
    <w:rsid w:val="008A2545"/>
    <w:rsid w:val="008A2636"/>
    <w:rsid w:val="008A2B22"/>
    <w:rsid w:val="008A35DB"/>
    <w:rsid w:val="008A3AF9"/>
    <w:rsid w:val="008A3FBE"/>
    <w:rsid w:val="008A4013"/>
    <w:rsid w:val="008A46A0"/>
    <w:rsid w:val="008A493B"/>
    <w:rsid w:val="008A4C9C"/>
    <w:rsid w:val="008A6041"/>
    <w:rsid w:val="008A60F8"/>
    <w:rsid w:val="008A69FE"/>
    <w:rsid w:val="008A6EC7"/>
    <w:rsid w:val="008A6F36"/>
    <w:rsid w:val="008A7286"/>
    <w:rsid w:val="008A7346"/>
    <w:rsid w:val="008A7B50"/>
    <w:rsid w:val="008B00E5"/>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4FB7"/>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8EA"/>
    <w:rsid w:val="008C0EAD"/>
    <w:rsid w:val="008C1442"/>
    <w:rsid w:val="008C1693"/>
    <w:rsid w:val="008C19D9"/>
    <w:rsid w:val="008C1A5E"/>
    <w:rsid w:val="008C1A81"/>
    <w:rsid w:val="008C29FE"/>
    <w:rsid w:val="008C2F99"/>
    <w:rsid w:val="008C32CA"/>
    <w:rsid w:val="008C3967"/>
    <w:rsid w:val="008C431E"/>
    <w:rsid w:val="008C54BD"/>
    <w:rsid w:val="008C54C4"/>
    <w:rsid w:val="008C6056"/>
    <w:rsid w:val="008C6628"/>
    <w:rsid w:val="008C6717"/>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0A9"/>
    <w:rsid w:val="008D6A6E"/>
    <w:rsid w:val="008D781F"/>
    <w:rsid w:val="008D7DBE"/>
    <w:rsid w:val="008E02B7"/>
    <w:rsid w:val="008E20BE"/>
    <w:rsid w:val="008E241B"/>
    <w:rsid w:val="008E27A1"/>
    <w:rsid w:val="008E29EC"/>
    <w:rsid w:val="008E2AC1"/>
    <w:rsid w:val="008E3096"/>
    <w:rsid w:val="008E330C"/>
    <w:rsid w:val="008E332F"/>
    <w:rsid w:val="008E35FC"/>
    <w:rsid w:val="008E4114"/>
    <w:rsid w:val="008E45EA"/>
    <w:rsid w:val="008E4A1A"/>
    <w:rsid w:val="008E5E01"/>
    <w:rsid w:val="008E6093"/>
    <w:rsid w:val="008E659F"/>
    <w:rsid w:val="008E681C"/>
    <w:rsid w:val="008E687D"/>
    <w:rsid w:val="008E69A3"/>
    <w:rsid w:val="008E7CC9"/>
    <w:rsid w:val="008F02A1"/>
    <w:rsid w:val="008F0E69"/>
    <w:rsid w:val="008F1212"/>
    <w:rsid w:val="008F12FF"/>
    <w:rsid w:val="008F1E55"/>
    <w:rsid w:val="008F2840"/>
    <w:rsid w:val="008F2B5F"/>
    <w:rsid w:val="008F2B79"/>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4C"/>
    <w:rsid w:val="009011F9"/>
    <w:rsid w:val="00901244"/>
    <w:rsid w:val="00901979"/>
    <w:rsid w:val="00902357"/>
    <w:rsid w:val="0090242A"/>
    <w:rsid w:val="0090289A"/>
    <w:rsid w:val="00902A3A"/>
    <w:rsid w:val="00902C85"/>
    <w:rsid w:val="009030F7"/>
    <w:rsid w:val="009034D9"/>
    <w:rsid w:val="00903D45"/>
    <w:rsid w:val="0090426B"/>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0F8"/>
    <w:rsid w:val="00920EC8"/>
    <w:rsid w:val="00921102"/>
    <w:rsid w:val="00921305"/>
    <w:rsid w:val="00921497"/>
    <w:rsid w:val="00921783"/>
    <w:rsid w:val="009217D9"/>
    <w:rsid w:val="00921AC8"/>
    <w:rsid w:val="0092206F"/>
    <w:rsid w:val="00922482"/>
    <w:rsid w:val="00922A2B"/>
    <w:rsid w:val="009249E3"/>
    <w:rsid w:val="00924A6C"/>
    <w:rsid w:val="00924AED"/>
    <w:rsid w:val="00924ED4"/>
    <w:rsid w:val="00924F63"/>
    <w:rsid w:val="00926543"/>
    <w:rsid w:val="00926A6A"/>
    <w:rsid w:val="009271AB"/>
    <w:rsid w:val="00927281"/>
    <w:rsid w:val="009273B8"/>
    <w:rsid w:val="00927A20"/>
    <w:rsid w:val="00930298"/>
    <w:rsid w:val="009302A6"/>
    <w:rsid w:val="00930D15"/>
    <w:rsid w:val="00931325"/>
    <w:rsid w:val="009319DC"/>
    <w:rsid w:val="00931AAD"/>
    <w:rsid w:val="00931E6D"/>
    <w:rsid w:val="0093286C"/>
    <w:rsid w:val="00932B97"/>
    <w:rsid w:val="00932D04"/>
    <w:rsid w:val="00932E9E"/>
    <w:rsid w:val="009333C0"/>
    <w:rsid w:val="00933B8A"/>
    <w:rsid w:val="00934141"/>
    <w:rsid w:val="009341AA"/>
    <w:rsid w:val="0093429A"/>
    <w:rsid w:val="0093518A"/>
    <w:rsid w:val="009352D3"/>
    <w:rsid w:val="009355BB"/>
    <w:rsid w:val="00935789"/>
    <w:rsid w:val="009359C5"/>
    <w:rsid w:val="00935CFA"/>
    <w:rsid w:val="00936075"/>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237"/>
    <w:rsid w:val="0095267E"/>
    <w:rsid w:val="00952EBB"/>
    <w:rsid w:val="00952F24"/>
    <w:rsid w:val="00952FD9"/>
    <w:rsid w:val="0095370E"/>
    <w:rsid w:val="00953B5D"/>
    <w:rsid w:val="00953D3D"/>
    <w:rsid w:val="00953F68"/>
    <w:rsid w:val="009543D8"/>
    <w:rsid w:val="009545D6"/>
    <w:rsid w:val="00954608"/>
    <w:rsid w:val="00954F67"/>
    <w:rsid w:val="0095581C"/>
    <w:rsid w:val="00955AA9"/>
    <w:rsid w:val="00955AB2"/>
    <w:rsid w:val="00955E60"/>
    <w:rsid w:val="00955EC8"/>
    <w:rsid w:val="009567F5"/>
    <w:rsid w:val="0095699A"/>
    <w:rsid w:val="00956B34"/>
    <w:rsid w:val="0095702D"/>
    <w:rsid w:val="0095718C"/>
    <w:rsid w:val="009571A6"/>
    <w:rsid w:val="0095752A"/>
    <w:rsid w:val="009577C1"/>
    <w:rsid w:val="009602BA"/>
    <w:rsid w:val="009615D7"/>
    <w:rsid w:val="009624CE"/>
    <w:rsid w:val="00962D17"/>
    <w:rsid w:val="00963D17"/>
    <w:rsid w:val="00963D45"/>
    <w:rsid w:val="009640B5"/>
    <w:rsid w:val="00964459"/>
    <w:rsid w:val="009657D5"/>
    <w:rsid w:val="00965F9F"/>
    <w:rsid w:val="00966141"/>
    <w:rsid w:val="0096620D"/>
    <w:rsid w:val="009662EC"/>
    <w:rsid w:val="00966611"/>
    <w:rsid w:val="0096661F"/>
    <w:rsid w:val="00966833"/>
    <w:rsid w:val="009669CC"/>
    <w:rsid w:val="00966C18"/>
    <w:rsid w:val="00967517"/>
    <w:rsid w:val="009675EB"/>
    <w:rsid w:val="00967655"/>
    <w:rsid w:val="009706DC"/>
    <w:rsid w:val="00970E13"/>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C22"/>
    <w:rsid w:val="00980DF0"/>
    <w:rsid w:val="00980F3F"/>
    <w:rsid w:val="00981D1C"/>
    <w:rsid w:val="00982214"/>
    <w:rsid w:val="009823D4"/>
    <w:rsid w:val="00982474"/>
    <w:rsid w:val="00982E9C"/>
    <w:rsid w:val="00983285"/>
    <w:rsid w:val="0098350A"/>
    <w:rsid w:val="00983F25"/>
    <w:rsid w:val="00984672"/>
    <w:rsid w:val="00984F97"/>
    <w:rsid w:val="0098569D"/>
    <w:rsid w:val="00985A09"/>
    <w:rsid w:val="00986277"/>
    <w:rsid w:val="009866A3"/>
    <w:rsid w:val="0098693D"/>
    <w:rsid w:val="00986B79"/>
    <w:rsid w:val="00986D0D"/>
    <w:rsid w:val="009871C7"/>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4AA6"/>
    <w:rsid w:val="009A54D4"/>
    <w:rsid w:val="009A5501"/>
    <w:rsid w:val="009A5AE0"/>
    <w:rsid w:val="009A5C6C"/>
    <w:rsid w:val="009A6621"/>
    <w:rsid w:val="009A6AEA"/>
    <w:rsid w:val="009A6CC5"/>
    <w:rsid w:val="009A7AD0"/>
    <w:rsid w:val="009B1F3A"/>
    <w:rsid w:val="009B21AC"/>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B7A0A"/>
    <w:rsid w:val="009C0448"/>
    <w:rsid w:val="009C0615"/>
    <w:rsid w:val="009C0CF8"/>
    <w:rsid w:val="009C0ED7"/>
    <w:rsid w:val="009C125A"/>
    <w:rsid w:val="009C1EB2"/>
    <w:rsid w:val="009C2675"/>
    <w:rsid w:val="009C2839"/>
    <w:rsid w:val="009C2DC4"/>
    <w:rsid w:val="009C3042"/>
    <w:rsid w:val="009C32C2"/>
    <w:rsid w:val="009C386A"/>
    <w:rsid w:val="009C3E76"/>
    <w:rsid w:val="009C3E9C"/>
    <w:rsid w:val="009C3EF2"/>
    <w:rsid w:val="009C4A32"/>
    <w:rsid w:val="009C5908"/>
    <w:rsid w:val="009C599C"/>
    <w:rsid w:val="009C63AB"/>
    <w:rsid w:val="009C69D0"/>
    <w:rsid w:val="009C69F4"/>
    <w:rsid w:val="009C6AAC"/>
    <w:rsid w:val="009C7163"/>
    <w:rsid w:val="009C77A3"/>
    <w:rsid w:val="009D1082"/>
    <w:rsid w:val="009D10B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4E15"/>
    <w:rsid w:val="009D5106"/>
    <w:rsid w:val="009D5D42"/>
    <w:rsid w:val="009D66B9"/>
    <w:rsid w:val="009D6B77"/>
    <w:rsid w:val="009D6CE1"/>
    <w:rsid w:val="009E0AB5"/>
    <w:rsid w:val="009E12E3"/>
    <w:rsid w:val="009E14B2"/>
    <w:rsid w:val="009E1D15"/>
    <w:rsid w:val="009E1DFA"/>
    <w:rsid w:val="009E23ED"/>
    <w:rsid w:val="009E26BC"/>
    <w:rsid w:val="009E322C"/>
    <w:rsid w:val="009E3352"/>
    <w:rsid w:val="009E3479"/>
    <w:rsid w:val="009E387D"/>
    <w:rsid w:val="009E453D"/>
    <w:rsid w:val="009E5013"/>
    <w:rsid w:val="009E526A"/>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910"/>
    <w:rsid w:val="00A16B57"/>
    <w:rsid w:val="00A171BF"/>
    <w:rsid w:val="00A20207"/>
    <w:rsid w:val="00A20224"/>
    <w:rsid w:val="00A21424"/>
    <w:rsid w:val="00A21997"/>
    <w:rsid w:val="00A21E67"/>
    <w:rsid w:val="00A220FF"/>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CE5"/>
    <w:rsid w:val="00A31D00"/>
    <w:rsid w:val="00A32051"/>
    <w:rsid w:val="00A32AE0"/>
    <w:rsid w:val="00A32B77"/>
    <w:rsid w:val="00A32BB4"/>
    <w:rsid w:val="00A3367C"/>
    <w:rsid w:val="00A33BE0"/>
    <w:rsid w:val="00A33CCF"/>
    <w:rsid w:val="00A35D65"/>
    <w:rsid w:val="00A362D0"/>
    <w:rsid w:val="00A36CF6"/>
    <w:rsid w:val="00A36EC5"/>
    <w:rsid w:val="00A37DDD"/>
    <w:rsid w:val="00A37EDA"/>
    <w:rsid w:val="00A4035D"/>
    <w:rsid w:val="00A40648"/>
    <w:rsid w:val="00A413A3"/>
    <w:rsid w:val="00A43248"/>
    <w:rsid w:val="00A43270"/>
    <w:rsid w:val="00A44C3B"/>
    <w:rsid w:val="00A4539E"/>
    <w:rsid w:val="00A46080"/>
    <w:rsid w:val="00A461CB"/>
    <w:rsid w:val="00A46252"/>
    <w:rsid w:val="00A46C6C"/>
    <w:rsid w:val="00A46EB1"/>
    <w:rsid w:val="00A47961"/>
    <w:rsid w:val="00A47A54"/>
    <w:rsid w:val="00A47C59"/>
    <w:rsid w:val="00A50FEC"/>
    <w:rsid w:val="00A5183F"/>
    <w:rsid w:val="00A51FC3"/>
    <w:rsid w:val="00A532FC"/>
    <w:rsid w:val="00A53624"/>
    <w:rsid w:val="00A54F72"/>
    <w:rsid w:val="00A565B6"/>
    <w:rsid w:val="00A567E2"/>
    <w:rsid w:val="00A56806"/>
    <w:rsid w:val="00A57008"/>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11B7"/>
    <w:rsid w:val="00A8153C"/>
    <w:rsid w:val="00A8226A"/>
    <w:rsid w:val="00A82941"/>
    <w:rsid w:val="00A834D6"/>
    <w:rsid w:val="00A83DBC"/>
    <w:rsid w:val="00A84178"/>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5A2"/>
    <w:rsid w:val="00A92954"/>
    <w:rsid w:val="00A92C54"/>
    <w:rsid w:val="00A92DB9"/>
    <w:rsid w:val="00A93738"/>
    <w:rsid w:val="00A937B4"/>
    <w:rsid w:val="00A94084"/>
    <w:rsid w:val="00A9446E"/>
    <w:rsid w:val="00A94AD0"/>
    <w:rsid w:val="00A953A8"/>
    <w:rsid w:val="00A96852"/>
    <w:rsid w:val="00A96C21"/>
    <w:rsid w:val="00A9791D"/>
    <w:rsid w:val="00A97B20"/>
    <w:rsid w:val="00A97D4A"/>
    <w:rsid w:val="00A97DB8"/>
    <w:rsid w:val="00AA0209"/>
    <w:rsid w:val="00AA03A6"/>
    <w:rsid w:val="00AA0923"/>
    <w:rsid w:val="00AA1128"/>
    <w:rsid w:val="00AA1A7C"/>
    <w:rsid w:val="00AA1ADA"/>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A6C0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894"/>
    <w:rsid w:val="00AC1D3B"/>
    <w:rsid w:val="00AC1D7C"/>
    <w:rsid w:val="00AC226A"/>
    <w:rsid w:val="00AC246C"/>
    <w:rsid w:val="00AC26BF"/>
    <w:rsid w:val="00AC2FB2"/>
    <w:rsid w:val="00AC32FB"/>
    <w:rsid w:val="00AC34C0"/>
    <w:rsid w:val="00AC3ADE"/>
    <w:rsid w:val="00AC3F58"/>
    <w:rsid w:val="00AC4C92"/>
    <w:rsid w:val="00AC4E28"/>
    <w:rsid w:val="00AC4E71"/>
    <w:rsid w:val="00AC4F7E"/>
    <w:rsid w:val="00AC55D4"/>
    <w:rsid w:val="00AC5700"/>
    <w:rsid w:val="00AC5A64"/>
    <w:rsid w:val="00AC7042"/>
    <w:rsid w:val="00AC752F"/>
    <w:rsid w:val="00AC7B8D"/>
    <w:rsid w:val="00AC7E49"/>
    <w:rsid w:val="00AD099F"/>
    <w:rsid w:val="00AD16B8"/>
    <w:rsid w:val="00AD1C10"/>
    <w:rsid w:val="00AD2565"/>
    <w:rsid w:val="00AD2E7B"/>
    <w:rsid w:val="00AD2F8F"/>
    <w:rsid w:val="00AD3685"/>
    <w:rsid w:val="00AD3798"/>
    <w:rsid w:val="00AD3F4F"/>
    <w:rsid w:val="00AD403C"/>
    <w:rsid w:val="00AD4153"/>
    <w:rsid w:val="00AD4838"/>
    <w:rsid w:val="00AD5420"/>
    <w:rsid w:val="00AD55ED"/>
    <w:rsid w:val="00AD56CF"/>
    <w:rsid w:val="00AD5DDB"/>
    <w:rsid w:val="00AD5E3E"/>
    <w:rsid w:val="00AD60B8"/>
    <w:rsid w:val="00AD60EF"/>
    <w:rsid w:val="00AD612C"/>
    <w:rsid w:val="00AD734C"/>
    <w:rsid w:val="00AD7922"/>
    <w:rsid w:val="00AE0413"/>
    <w:rsid w:val="00AE05BF"/>
    <w:rsid w:val="00AE07D2"/>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7D5"/>
    <w:rsid w:val="00AF381B"/>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56F"/>
    <w:rsid w:val="00B02F0C"/>
    <w:rsid w:val="00B03776"/>
    <w:rsid w:val="00B03ED8"/>
    <w:rsid w:val="00B0401D"/>
    <w:rsid w:val="00B042D2"/>
    <w:rsid w:val="00B04E8D"/>
    <w:rsid w:val="00B04F50"/>
    <w:rsid w:val="00B0542F"/>
    <w:rsid w:val="00B05A05"/>
    <w:rsid w:val="00B06495"/>
    <w:rsid w:val="00B064F1"/>
    <w:rsid w:val="00B06ACE"/>
    <w:rsid w:val="00B06DA3"/>
    <w:rsid w:val="00B071D5"/>
    <w:rsid w:val="00B109DF"/>
    <w:rsid w:val="00B10E7D"/>
    <w:rsid w:val="00B10EEF"/>
    <w:rsid w:val="00B10EF0"/>
    <w:rsid w:val="00B118E1"/>
    <w:rsid w:val="00B11A39"/>
    <w:rsid w:val="00B11A5F"/>
    <w:rsid w:val="00B11A9A"/>
    <w:rsid w:val="00B120CF"/>
    <w:rsid w:val="00B1210E"/>
    <w:rsid w:val="00B1243E"/>
    <w:rsid w:val="00B129BD"/>
    <w:rsid w:val="00B12BDA"/>
    <w:rsid w:val="00B131F4"/>
    <w:rsid w:val="00B1367A"/>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188"/>
    <w:rsid w:val="00B3091E"/>
    <w:rsid w:val="00B31602"/>
    <w:rsid w:val="00B319FE"/>
    <w:rsid w:val="00B3232C"/>
    <w:rsid w:val="00B331B8"/>
    <w:rsid w:val="00B33786"/>
    <w:rsid w:val="00B337A4"/>
    <w:rsid w:val="00B34725"/>
    <w:rsid w:val="00B355F0"/>
    <w:rsid w:val="00B3578C"/>
    <w:rsid w:val="00B35AA1"/>
    <w:rsid w:val="00B369C4"/>
    <w:rsid w:val="00B36D9E"/>
    <w:rsid w:val="00B37019"/>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BD8"/>
    <w:rsid w:val="00B54C55"/>
    <w:rsid w:val="00B5596C"/>
    <w:rsid w:val="00B569B2"/>
    <w:rsid w:val="00B56FBD"/>
    <w:rsid w:val="00B5715A"/>
    <w:rsid w:val="00B57327"/>
    <w:rsid w:val="00B57F2F"/>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1F90"/>
    <w:rsid w:val="00B72438"/>
    <w:rsid w:val="00B727DF"/>
    <w:rsid w:val="00B72CF9"/>
    <w:rsid w:val="00B72EE9"/>
    <w:rsid w:val="00B73637"/>
    <w:rsid w:val="00B73D34"/>
    <w:rsid w:val="00B742C1"/>
    <w:rsid w:val="00B74720"/>
    <w:rsid w:val="00B74AA2"/>
    <w:rsid w:val="00B74C99"/>
    <w:rsid w:val="00B75032"/>
    <w:rsid w:val="00B750D5"/>
    <w:rsid w:val="00B7591C"/>
    <w:rsid w:val="00B75D1D"/>
    <w:rsid w:val="00B75E98"/>
    <w:rsid w:val="00B75F68"/>
    <w:rsid w:val="00B76A3F"/>
    <w:rsid w:val="00B76A7D"/>
    <w:rsid w:val="00B76CE1"/>
    <w:rsid w:val="00B76DEB"/>
    <w:rsid w:val="00B776D5"/>
    <w:rsid w:val="00B77B7E"/>
    <w:rsid w:val="00B805D0"/>
    <w:rsid w:val="00B80744"/>
    <w:rsid w:val="00B80979"/>
    <w:rsid w:val="00B81382"/>
    <w:rsid w:val="00B818AA"/>
    <w:rsid w:val="00B81B66"/>
    <w:rsid w:val="00B81BC2"/>
    <w:rsid w:val="00B81C2F"/>
    <w:rsid w:val="00B81C75"/>
    <w:rsid w:val="00B81D8F"/>
    <w:rsid w:val="00B81EEF"/>
    <w:rsid w:val="00B81F26"/>
    <w:rsid w:val="00B821DC"/>
    <w:rsid w:val="00B82628"/>
    <w:rsid w:val="00B82EBA"/>
    <w:rsid w:val="00B8344D"/>
    <w:rsid w:val="00B83CC3"/>
    <w:rsid w:val="00B840BB"/>
    <w:rsid w:val="00B84C9F"/>
    <w:rsid w:val="00B84EB7"/>
    <w:rsid w:val="00B8525F"/>
    <w:rsid w:val="00B856E9"/>
    <w:rsid w:val="00B85774"/>
    <w:rsid w:val="00B85893"/>
    <w:rsid w:val="00B85BDF"/>
    <w:rsid w:val="00B86429"/>
    <w:rsid w:val="00B8648F"/>
    <w:rsid w:val="00B866C7"/>
    <w:rsid w:val="00B86EFB"/>
    <w:rsid w:val="00B87563"/>
    <w:rsid w:val="00B87EBC"/>
    <w:rsid w:val="00B87FF0"/>
    <w:rsid w:val="00B903AE"/>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97B8F"/>
    <w:rsid w:val="00BA078B"/>
    <w:rsid w:val="00BA0FE9"/>
    <w:rsid w:val="00BA103F"/>
    <w:rsid w:val="00BA139F"/>
    <w:rsid w:val="00BA16BA"/>
    <w:rsid w:val="00BA1A0B"/>
    <w:rsid w:val="00BA1E85"/>
    <w:rsid w:val="00BA359B"/>
    <w:rsid w:val="00BA3A93"/>
    <w:rsid w:val="00BA4732"/>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318A"/>
    <w:rsid w:val="00BB4973"/>
    <w:rsid w:val="00BB4A6F"/>
    <w:rsid w:val="00BB56B1"/>
    <w:rsid w:val="00BB5759"/>
    <w:rsid w:val="00BB5A30"/>
    <w:rsid w:val="00BB5B98"/>
    <w:rsid w:val="00BB7BAC"/>
    <w:rsid w:val="00BB7F7D"/>
    <w:rsid w:val="00BC009A"/>
    <w:rsid w:val="00BC057A"/>
    <w:rsid w:val="00BC08D8"/>
    <w:rsid w:val="00BC08FC"/>
    <w:rsid w:val="00BC13CC"/>
    <w:rsid w:val="00BC202D"/>
    <w:rsid w:val="00BC213B"/>
    <w:rsid w:val="00BC2821"/>
    <w:rsid w:val="00BC2964"/>
    <w:rsid w:val="00BC3112"/>
    <w:rsid w:val="00BC3776"/>
    <w:rsid w:val="00BC39C4"/>
    <w:rsid w:val="00BC3D8E"/>
    <w:rsid w:val="00BC3E7F"/>
    <w:rsid w:val="00BC41B5"/>
    <w:rsid w:val="00BC4C63"/>
    <w:rsid w:val="00BC53C2"/>
    <w:rsid w:val="00BC54D1"/>
    <w:rsid w:val="00BC6308"/>
    <w:rsid w:val="00BC63B9"/>
    <w:rsid w:val="00BC63FE"/>
    <w:rsid w:val="00BC666D"/>
    <w:rsid w:val="00BC67A4"/>
    <w:rsid w:val="00BC6B4D"/>
    <w:rsid w:val="00BC6C4F"/>
    <w:rsid w:val="00BC75C4"/>
    <w:rsid w:val="00BC76AA"/>
    <w:rsid w:val="00BD1290"/>
    <w:rsid w:val="00BD1A5A"/>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66A5"/>
    <w:rsid w:val="00BE71DF"/>
    <w:rsid w:val="00BE770F"/>
    <w:rsid w:val="00BE778C"/>
    <w:rsid w:val="00BE7FE3"/>
    <w:rsid w:val="00BF01D4"/>
    <w:rsid w:val="00BF0463"/>
    <w:rsid w:val="00BF0CFC"/>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75A"/>
    <w:rsid w:val="00C14AD2"/>
    <w:rsid w:val="00C14CA5"/>
    <w:rsid w:val="00C15BE1"/>
    <w:rsid w:val="00C160D9"/>
    <w:rsid w:val="00C16B32"/>
    <w:rsid w:val="00C16FF1"/>
    <w:rsid w:val="00C17089"/>
    <w:rsid w:val="00C1715B"/>
    <w:rsid w:val="00C1757F"/>
    <w:rsid w:val="00C17B74"/>
    <w:rsid w:val="00C17BCC"/>
    <w:rsid w:val="00C20001"/>
    <w:rsid w:val="00C20358"/>
    <w:rsid w:val="00C20A09"/>
    <w:rsid w:val="00C20AEB"/>
    <w:rsid w:val="00C20F22"/>
    <w:rsid w:val="00C21FF8"/>
    <w:rsid w:val="00C220F2"/>
    <w:rsid w:val="00C223A0"/>
    <w:rsid w:val="00C23BBD"/>
    <w:rsid w:val="00C2455C"/>
    <w:rsid w:val="00C24638"/>
    <w:rsid w:val="00C26495"/>
    <w:rsid w:val="00C26B77"/>
    <w:rsid w:val="00C273ED"/>
    <w:rsid w:val="00C27447"/>
    <w:rsid w:val="00C27891"/>
    <w:rsid w:val="00C27D45"/>
    <w:rsid w:val="00C300F5"/>
    <w:rsid w:val="00C30AED"/>
    <w:rsid w:val="00C30BEE"/>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B6C"/>
    <w:rsid w:val="00C36FFE"/>
    <w:rsid w:val="00C40A83"/>
    <w:rsid w:val="00C40D37"/>
    <w:rsid w:val="00C40F06"/>
    <w:rsid w:val="00C40FA8"/>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B25"/>
    <w:rsid w:val="00C47CD2"/>
    <w:rsid w:val="00C47D56"/>
    <w:rsid w:val="00C510DE"/>
    <w:rsid w:val="00C53085"/>
    <w:rsid w:val="00C536E4"/>
    <w:rsid w:val="00C538AE"/>
    <w:rsid w:val="00C53C32"/>
    <w:rsid w:val="00C53E7A"/>
    <w:rsid w:val="00C54492"/>
    <w:rsid w:val="00C544B6"/>
    <w:rsid w:val="00C54601"/>
    <w:rsid w:val="00C54E26"/>
    <w:rsid w:val="00C55D06"/>
    <w:rsid w:val="00C56A84"/>
    <w:rsid w:val="00C573C7"/>
    <w:rsid w:val="00C575E8"/>
    <w:rsid w:val="00C5777E"/>
    <w:rsid w:val="00C57A9A"/>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14F2"/>
    <w:rsid w:val="00C71A56"/>
    <w:rsid w:val="00C72FA0"/>
    <w:rsid w:val="00C730CC"/>
    <w:rsid w:val="00C740DE"/>
    <w:rsid w:val="00C7532A"/>
    <w:rsid w:val="00C75721"/>
    <w:rsid w:val="00C760A6"/>
    <w:rsid w:val="00C762B7"/>
    <w:rsid w:val="00C763D3"/>
    <w:rsid w:val="00C76825"/>
    <w:rsid w:val="00C77C4B"/>
    <w:rsid w:val="00C77D50"/>
    <w:rsid w:val="00C77F77"/>
    <w:rsid w:val="00C80DC6"/>
    <w:rsid w:val="00C815E4"/>
    <w:rsid w:val="00C8290C"/>
    <w:rsid w:val="00C8512B"/>
    <w:rsid w:val="00C8565C"/>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20C"/>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A8A"/>
    <w:rsid w:val="00CB138C"/>
    <w:rsid w:val="00CB13CD"/>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2BDD"/>
    <w:rsid w:val="00CC30D6"/>
    <w:rsid w:val="00CC326E"/>
    <w:rsid w:val="00CC378A"/>
    <w:rsid w:val="00CC38EE"/>
    <w:rsid w:val="00CC4867"/>
    <w:rsid w:val="00CC566D"/>
    <w:rsid w:val="00CC5CA4"/>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2E49"/>
    <w:rsid w:val="00CE3037"/>
    <w:rsid w:val="00CE32AD"/>
    <w:rsid w:val="00CE3361"/>
    <w:rsid w:val="00CE3F49"/>
    <w:rsid w:val="00CE4946"/>
    <w:rsid w:val="00CE49B0"/>
    <w:rsid w:val="00CE4EA8"/>
    <w:rsid w:val="00CE5261"/>
    <w:rsid w:val="00CE584B"/>
    <w:rsid w:val="00CE5874"/>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0D5"/>
    <w:rsid w:val="00CF72BD"/>
    <w:rsid w:val="00CF767E"/>
    <w:rsid w:val="00CF78C0"/>
    <w:rsid w:val="00CF793A"/>
    <w:rsid w:val="00D00C54"/>
    <w:rsid w:val="00D015A8"/>
    <w:rsid w:val="00D024F9"/>
    <w:rsid w:val="00D027F9"/>
    <w:rsid w:val="00D032AA"/>
    <w:rsid w:val="00D03A3E"/>
    <w:rsid w:val="00D03B1A"/>
    <w:rsid w:val="00D03D46"/>
    <w:rsid w:val="00D03E97"/>
    <w:rsid w:val="00D040BB"/>
    <w:rsid w:val="00D056E9"/>
    <w:rsid w:val="00D05CB6"/>
    <w:rsid w:val="00D06325"/>
    <w:rsid w:val="00D07684"/>
    <w:rsid w:val="00D076A6"/>
    <w:rsid w:val="00D0789A"/>
    <w:rsid w:val="00D07F59"/>
    <w:rsid w:val="00D1026B"/>
    <w:rsid w:val="00D104B2"/>
    <w:rsid w:val="00D10986"/>
    <w:rsid w:val="00D1188C"/>
    <w:rsid w:val="00D11BB2"/>
    <w:rsid w:val="00D123F2"/>
    <w:rsid w:val="00D12D14"/>
    <w:rsid w:val="00D12F1F"/>
    <w:rsid w:val="00D13207"/>
    <w:rsid w:val="00D13358"/>
    <w:rsid w:val="00D1342C"/>
    <w:rsid w:val="00D1421E"/>
    <w:rsid w:val="00D142DE"/>
    <w:rsid w:val="00D142FA"/>
    <w:rsid w:val="00D14873"/>
    <w:rsid w:val="00D14C06"/>
    <w:rsid w:val="00D14DAF"/>
    <w:rsid w:val="00D1564A"/>
    <w:rsid w:val="00D156E5"/>
    <w:rsid w:val="00D15AF0"/>
    <w:rsid w:val="00D15D3B"/>
    <w:rsid w:val="00D16747"/>
    <w:rsid w:val="00D175C7"/>
    <w:rsid w:val="00D17E09"/>
    <w:rsid w:val="00D20886"/>
    <w:rsid w:val="00D2104F"/>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3A0"/>
    <w:rsid w:val="00D33977"/>
    <w:rsid w:val="00D34097"/>
    <w:rsid w:val="00D34174"/>
    <w:rsid w:val="00D3544C"/>
    <w:rsid w:val="00D361A1"/>
    <w:rsid w:val="00D3719F"/>
    <w:rsid w:val="00D371C8"/>
    <w:rsid w:val="00D373B0"/>
    <w:rsid w:val="00D4061B"/>
    <w:rsid w:val="00D41CAE"/>
    <w:rsid w:val="00D431DA"/>
    <w:rsid w:val="00D43450"/>
    <w:rsid w:val="00D43D75"/>
    <w:rsid w:val="00D43F48"/>
    <w:rsid w:val="00D43F90"/>
    <w:rsid w:val="00D44156"/>
    <w:rsid w:val="00D44198"/>
    <w:rsid w:val="00D4427C"/>
    <w:rsid w:val="00D445B3"/>
    <w:rsid w:val="00D44AD0"/>
    <w:rsid w:val="00D453B5"/>
    <w:rsid w:val="00D45977"/>
    <w:rsid w:val="00D46DBF"/>
    <w:rsid w:val="00D46F26"/>
    <w:rsid w:val="00D473E9"/>
    <w:rsid w:val="00D47591"/>
    <w:rsid w:val="00D50F4A"/>
    <w:rsid w:val="00D51089"/>
    <w:rsid w:val="00D51095"/>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AC2"/>
    <w:rsid w:val="00D72CAE"/>
    <w:rsid w:val="00D73F28"/>
    <w:rsid w:val="00D74605"/>
    <w:rsid w:val="00D74660"/>
    <w:rsid w:val="00D74797"/>
    <w:rsid w:val="00D74968"/>
    <w:rsid w:val="00D749D2"/>
    <w:rsid w:val="00D74D9B"/>
    <w:rsid w:val="00D750A2"/>
    <w:rsid w:val="00D75650"/>
    <w:rsid w:val="00D756E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2D27"/>
    <w:rsid w:val="00D83CCC"/>
    <w:rsid w:val="00D843D6"/>
    <w:rsid w:val="00D85237"/>
    <w:rsid w:val="00D85475"/>
    <w:rsid w:val="00D85566"/>
    <w:rsid w:val="00D85A2F"/>
    <w:rsid w:val="00D85A69"/>
    <w:rsid w:val="00D85FF7"/>
    <w:rsid w:val="00D86605"/>
    <w:rsid w:val="00D87BDC"/>
    <w:rsid w:val="00D87CC9"/>
    <w:rsid w:val="00D9065E"/>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8BB"/>
    <w:rsid w:val="00DA3CF1"/>
    <w:rsid w:val="00DA4B0E"/>
    <w:rsid w:val="00DA50E4"/>
    <w:rsid w:val="00DA5BEB"/>
    <w:rsid w:val="00DA6BFD"/>
    <w:rsid w:val="00DA7261"/>
    <w:rsid w:val="00DA7645"/>
    <w:rsid w:val="00DA7E15"/>
    <w:rsid w:val="00DA7EE0"/>
    <w:rsid w:val="00DA7FC8"/>
    <w:rsid w:val="00DB02FF"/>
    <w:rsid w:val="00DB10BD"/>
    <w:rsid w:val="00DB1433"/>
    <w:rsid w:val="00DB197C"/>
    <w:rsid w:val="00DB1AAF"/>
    <w:rsid w:val="00DB1F14"/>
    <w:rsid w:val="00DB26B5"/>
    <w:rsid w:val="00DB31ED"/>
    <w:rsid w:val="00DB3AA0"/>
    <w:rsid w:val="00DB3C49"/>
    <w:rsid w:val="00DB41B9"/>
    <w:rsid w:val="00DB42C2"/>
    <w:rsid w:val="00DB444B"/>
    <w:rsid w:val="00DB4459"/>
    <w:rsid w:val="00DB4628"/>
    <w:rsid w:val="00DB4714"/>
    <w:rsid w:val="00DB4788"/>
    <w:rsid w:val="00DB4D04"/>
    <w:rsid w:val="00DB510A"/>
    <w:rsid w:val="00DB5178"/>
    <w:rsid w:val="00DB5386"/>
    <w:rsid w:val="00DB5ABE"/>
    <w:rsid w:val="00DB5E7F"/>
    <w:rsid w:val="00DB6292"/>
    <w:rsid w:val="00DB632B"/>
    <w:rsid w:val="00DB67E7"/>
    <w:rsid w:val="00DB68BB"/>
    <w:rsid w:val="00DB6F55"/>
    <w:rsid w:val="00DB7F10"/>
    <w:rsid w:val="00DC1524"/>
    <w:rsid w:val="00DC1889"/>
    <w:rsid w:val="00DC1CA3"/>
    <w:rsid w:val="00DC2A33"/>
    <w:rsid w:val="00DC3214"/>
    <w:rsid w:val="00DC3537"/>
    <w:rsid w:val="00DC3579"/>
    <w:rsid w:val="00DC3A57"/>
    <w:rsid w:val="00DC3E0F"/>
    <w:rsid w:val="00DC41D8"/>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8F"/>
    <w:rsid w:val="00DD16FB"/>
    <w:rsid w:val="00DD1B57"/>
    <w:rsid w:val="00DD232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B6A"/>
    <w:rsid w:val="00DE730F"/>
    <w:rsid w:val="00DE731D"/>
    <w:rsid w:val="00DE7A1D"/>
    <w:rsid w:val="00DE7CAB"/>
    <w:rsid w:val="00DF0A8D"/>
    <w:rsid w:val="00DF0E97"/>
    <w:rsid w:val="00DF0E9F"/>
    <w:rsid w:val="00DF11F0"/>
    <w:rsid w:val="00DF1956"/>
    <w:rsid w:val="00DF19A5"/>
    <w:rsid w:val="00DF1AD2"/>
    <w:rsid w:val="00DF1D62"/>
    <w:rsid w:val="00DF2170"/>
    <w:rsid w:val="00DF2912"/>
    <w:rsid w:val="00DF2D89"/>
    <w:rsid w:val="00DF2FC2"/>
    <w:rsid w:val="00DF3D62"/>
    <w:rsid w:val="00DF572E"/>
    <w:rsid w:val="00DF596A"/>
    <w:rsid w:val="00DF6DA6"/>
    <w:rsid w:val="00DF708D"/>
    <w:rsid w:val="00DF751C"/>
    <w:rsid w:val="00DF7EB3"/>
    <w:rsid w:val="00DF7EB8"/>
    <w:rsid w:val="00E0029F"/>
    <w:rsid w:val="00E0031E"/>
    <w:rsid w:val="00E006E6"/>
    <w:rsid w:val="00E00FD5"/>
    <w:rsid w:val="00E01956"/>
    <w:rsid w:val="00E01ED2"/>
    <w:rsid w:val="00E02047"/>
    <w:rsid w:val="00E023E5"/>
    <w:rsid w:val="00E02837"/>
    <w:rsid w:val="00E0443C"/>
    <w:rsid w:val="00E0482D"/>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5A59"/>
    <w:rsid w:val="00E16682"/>
    <w:rsid w:val="00E1678A"/>
    <w:rsid w:val="00E16BCC"/>
    <w:rsid w:val="00E17549"/>
    <w:rsid w:val="00E17BAE"/>
    <w:rsid w:val="00E17E85"/>
    <w:rsid w:val="00E17E99"/>
    <w:rsid w:val="00E2002A"/>
    <w:rsid w:val="00E2055A"/>
    <w:rsid w:val="00E20D7C"/>
    <w:rsid w:val="00E21F2D"/>
    <w:rsid w:val="00E22A26"/>
    <w:rsid w:val="00E22DD9"/>
    <w:rsid w:val="00E2336E"/>
    <w:rsid w:val="00E23655"/>
    <w:rsid w:val="00E23AB9"/>
    <w:rsid w:val="00E23AC4"/>
    <w:rsid w:val="00E23ED2"/>
    <w:rsid w:val="00E2427B"/>
    <w:rsid w:val="00E2456D"/>
    <w:rsid w:val="00E256F7"/>
    <w:rsid w:val="00E25995"/>
    <w:rsid w:val="00E25D57"/>
    <w:rsid w:val="00E26257"/>
    <w:rsid w:val="00E264AD"/>
    <w:rsid w:val="00E26A60"/>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511DA"/>
    <w:rsid w:val="00E51392"/>
    <w:rsid w:val="00E515B1"/>
    <w:rsid w:val="00E51662"/>
    <w:rsid w:val="00E5269A"/>
    <w:rsid w:val="00E535D1"/>
    <w:rsid w:val="00E536FC"/>
    <w:rsid w:val="00E53AA6"/>
    <w:rsid w:val="00E53C6C"/>
    <w:rsid w:val="00E53CB2"/>
    <w:rsid w:val="00E53D6A"/>
    <w:rsid w:val="00E54898"/>
    <w:rsid w:val="00E548F2"/>
    <w:rsid w:val="00E55558"/>
    <w:rsid w:val="00E55BB8"/>
    <w:rsid w:val="00E56344"/>
    <w:rsid w:val="00E57E87"/>
    <w:rsid w:val="00E60DE1"/>
    <w:rsid w:val="00E61076"/>
    <w:rsid w:val="00E61812"/>
    <w:rsid w:val="00E61A15"/>
    <w:rsid w:val="00E61C1E"/>
    <w:rsid w:val="00E62CF0"/>
    <w:rsid w:val="00E62E5D"/>
    <w:rsid w:val="00E63096"/>
    <w:rsid w:val="00E6446D"/>
    <w:rsid w:val="00E65073"/>
    <w:rsid w:val="00E65E8C"/>
    <w:rsid w:val="00E66098"/>
    <w:rsid w:val="00E66800"/>
    <w:rsid w:val="00E66D78"/>
    <w:rsid w:val="00E673C1"/>
    <w:rsid w:val="00E67C5C"/>
    <w:rsid w:val="00E67E55"/>
    <w:rsid w:val="00E70504"/>
    <w:rsid w:val="00E71198"/>
    <w:rsid w:val="00E71E4F"/>
    <w:rsid w:val="00E72486"/>
    <w:rsid w:val="00E724EF"/>
    <w:rsid w:val="00E7250A"/>
    <w:rsid w:val="00E7264E"/>
    <w:rsid w:val="00E72651"/>
    <w:rsid w:val="00E7364E"/>
    <w:rsid w:val="00E73957"/>
    <w:rsid w:val="00E73C90"/>
    <w:rsid w:val="00E73D3A"/>
    <w:rsid w:val="00E7412C"/>
    <w:rsid w:val="00E743A1"/>
    <w:rsid w:val="00E74513"/>
    <w:rsid w:val="00E74BC5"/>
    <w:rsid w:val="00E74F05"/>
    <w:rsid w:val="00E7518B"/>
    <w:rsid w:val="00E755A5"/>
    <w:rsid w:val="00E757B9"/>
    <w:rsid w:val="00E7593F"/>
    <w:rsid w:val="00E76497"/>
    <w:rsid w:val="00E76C33"/>
    <w:rsid w:val="00E8011B"/>
    <w:rsid w:val="00E801FE"/>
    <w:rsid w:val="00E80768"/>
    <w:rsid w:val="00E80C67"/>
    <w:rsid w:val="00E80E1E"/>
    <w:rsid w:val="00E82135"/>
    <w:rsid w:val="00E82862"/>
    <w:rsid w:val="00E82CA0"/>
    <w:rsid w:val="00E82E17"/>
    <w:rsid w:val="00E84324"/>
    <w:rsid w:val="00E84AD4"/>
    <w:rsid w:val="00E84D20"/>
    <w:rsid w:val="00E8534F"/>
    <w:rsid w:val="00E854EA"/>
    <w:rsid w:val="00E85EC9"/>
    <w:rsid w:val="00E860EE"/>
    <w:rsid w:val="00E86456"/>
    <w:rsid w:val="00E86BAE"/>
    <w:rsid w:val="00E876A3"/>
    <w:rsid w:val="00E87894"/>
    <w:rsid w:val="00E87DC5"/>
    <w:rsid w:val="00E903A5"/>
    <w:rsid w:val="00E90400"/>
    <w:rsid w:val="00E90A19"/>
    <w:rsid w:val="00E912AA"/>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0ADD"/>
    <w:rsid w:val="00EA1514"/>
    <w:rsid w:val="00EA16E1"/>
    <w:rsid w:val="00EA170C"/>
    <w:rsid w:val="00EA1767"/>
    <w:rsid w:val="00EA1F8E"/>
    <w:rsid w:val="00EA2360"/>
    <w:rsid w:val="00EA272B"/>
    <w:rsid w:val="00EA27C6"/>
    <w:rsid w:val="00EA2F5D"/>
    <w:rsid w:val="00EA301E"/>
    <w:rsid w:val="00EA34AC"/>
    <w:rsid w:val="00EA3BA1"/>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00A"/>
    <w:rsid w:val="00EB42B4"/>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1E5C"/>
    <w:rsid w:val="00EC20D7"/>
    <w:rsid w:val="00EC226A"/>
    <w:rsid w:val="00EC229B"/>
    <w:rsid w:val="00EC25B6"/>
    <w:rsid w:val="00EC28DD"/>
    <w:rsid w:val="00EC2B80"/>
    <w:rsid w:val="00EC2EE6"/>
    <w:rsid w:val="00EC3012"/>
    <w:rsid w:val="00EC3713"/>
    <w:rsid w:val="00EC37A0"/>
    <w:rsid w:val="00EC3FA5"/>
    <w:rsid w:val="00EC44B6"/>
    <w:rsid w:val="00EC552D"/>
    <w:rsid w:val="00EC5B93"/>
    <w:rsid w:val="00EC64A1"/>
    <w:rsid w:val="00EC6506"/>
    <w:rsid w:val="00EC774B"/>
    <w:rsid w:val="00ED1009"/>
    <w:rsid w:val="00ED13EB"/>
    <w:rsid w:val="00ED1462"/>
    <w:rsid w:val="00ED14A1"/>
    <w:rsid w:val="00ED17FA"/>
    <w:rsid w:val="00ED1856"/>
    <w:rsid w:val="00ED24B6"/>
    <w:rsid w:val="00ED25D2"/>
    <w:rsid w:val="00ED35A5"/>
    <w:rsid w:val="00ED35C0"/>
    <w:rsid w:val="00ED3F38"/>
    <w:rsid w:val="00ED4124"/>
    <w:rsid w:val="00ED462A"/>
    <w:rsid w:val="00ED5030"/>
    <w:rsid w:val="00ED5424"/>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CF8"/>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7569"/>
    <w:rsid w:val="00EF77B3"/>
    <w:rsid w:val="00F003AA"/>
    <w:rsid w:val="00F00922"/>
    <w:rsid w:val="00F0102C"/>
    <w:rsid w:val="00F0106B"/>
    <w:rsid w:val="00F0134D"/>
    <w:rsid w:val="00F0137B"/>
    <w:rsid w:val="00F0139C"/>
    <w:rsid w:val="00F020E1"/>
    <w:rsid w:val="00F0221D"/>
    <w:rsid w:val="00F02DE5"/>
    <w:rsid w:val="00F0324F"/>
    <w:rsid w:val="00F03AA2"/>
    <w:rsid w:val="00F043F9"/>
    <w:rsid w:val="00F04E02"/>
    <w:rsid w:val="00F05558"/>
    <w:rsid w:val="00F0595E"/>
    <w:rsid w:val="00F05A7B"/>
    <w:rsid w:val="00F06293"/>
    <w:rsid w:val="00F06454"/>
    <w:rsid w:val="00F06AA4"/>
    <w:rsid w:val="00F06CB2"/>
    <w:rsid w:val="00F06CE3"/>
    <w:rsid w:val="00F06E72"/>
    <w:rsid w:val="00F07C8A"/>
    <w:rsid w:val="00F07D8B"/>
    <w:rsid w:val="00F07FA5"/>
    <w:rsid w:val="00F104D0"/>
    <w:rsid w:val="00F10840"/>
    <w:rsid w:val="00F10F23"/>
    <w:rsid w:val="00F116E1"/>
    <w:rsid w:val="00F11E4F"/>
    <w:rsid w:val="00F11F00"/>
    <w:rsid w:val="00F1272B"/>
    <w:rsid w:val="00F13033"/>
    <w:rsid w:val="00F13232"/>
    <w:rsid w:val="00F132E7"/>
    <w:rsid w:val="00F13A85"/>
    <w:rsid w:val="00F13C6A"/>
    <w:rsid w:val="00F13C93"/>
    <w:rsid w:val="00F14182"/>
    <w:rsid w:val="00F14212"/>
    <w:rsid w:val="00F14A1F"/>
    <w:rsid w:val="00F14BE6"/>
    <w:rsid w:val="00F14C11"/>
    <w:rsid w:val="00F14D95"/>
    <w:rsid w:val="00F15A01"/>
    <w:rsid w:val="00F15D2C"/>
    <w:rsid w:val="00F16582"/>
    <w:rsid w:val="00F169B8"/>
    <w:rsid w:val="00F16B9D"/>
    <w:rsid w:val="00F16CE1"/>
    <w:rsid w:val="00F17125"/>
    <w:rsid w:val="00F171DD"/>
    <w:rsid w:val="00F1727E"/>
    <w:rsid w:val="00F17927"/>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EA7"/>
    <w:rsid w:val="00F36F16"/>
    <w:rsid w:val="00F37507"/>
    <w:rsid w:val="00F40042"/>
    <w:rsid w:val="00F415F2"/>
    <w:rsid w:val="00F42037"/>
    <w:rsid w:val="00F423F6"/>
    <w:rsid w:val="00F42415"/>
    <w:rsid w:val="00F424D3"/>
    <w:rsid w:val="00F4284C"/>
    <w:rsid w:val="00F43E81"/>
    <w:rsid w:val="00F443B0"/>
    <w:rsid w:val="00F444E7"/>
    <w:rsid w:val="00F447EA"/>
    <w:rsid w:val="00F44943"/>
    <w:rsid w:val="00F45159"/>
    <w:rsid w:val="00F453DF"/>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1D86"/>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04DC"/>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87F91"/>
    <w:rsid w:val="00F9034D"/>
    <w:rsid w:val="00F90624"/>
    <w:rsid w:val="00F907AF"/>
    <w:rsid w:val="00F90E09"/>
    <w:rsid w:val="00F91633"/>
    <w:rsid w:val="00F91CBC"/>
    <w:rsid w:val="00F91E36"/>
    <w:rsid w:val="00F922ED"/>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4B0"/>
    <w:rsid w:val="00FA0577"/>
    <w:rsid w:val="00FA086C"/>
    <w:rsid w:val="00FA0870"/>
    <w:rsid w:val="00FA0FFB"/>
    <w:rsid w:val="00FA1441"/>
    <w:rsid w:val="00FA203F"/>
    <w:rsid w:val="00FA25F4"/>
    <w:rsid w:val="00FA38A1"/>
    <w:rsid w:val="00FA3C01"/>
    <w:rsid w:val="00FA3F41"/>
    <w:rsid w:val="00FA4181"/>
    <w:rsid w:val="00FA4A3B"/>
    <w:rsid w:val="00FA62C1"/>
    <w:rsid w:val="00FA63DE"/>
    <w:rsid w:val="00FA6B17"/>
    <w:rsid w:val="00FA71CD"/>
    <w:rsid w:val="00FA7860"/>
    <w:rsid w:val="00FB0060"/>
    <w:rsid w:val="00FB012F"/>
    <w:rsid w:val="00FB07C5"/>
    <w:rsid w:val="00FB0A08"/>
    <w:rsid w:val="00FB0AD3"/>
    <w:rsid w:val="00FB0D58"/>
    <w:rsid w:val="00FB1081"/>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401"/>
    <w:rsid w:val="00FC48D8"/>
    <w:rsid w:val="00FC4B62"/>
    <w:rsid w:val="00FC4BA2"/>
    <w:rsid w:val="00FC503B"/>
    <w:rsid w:val="00FC5301"/>
    <w:rsid w:val="00FC588B"/>
    <w:rsid w:val="00FC5B26"/>
    <w:rsid w:val="00FC5F5C"/>
    <w:rsid w:val="00FC6028"/>
    <w:rsid w:val="00FC635D"/>
    <w:rsid w:val="00FC66B8"/>
    <w:rsid w:val="00FC6947"/>
    <w:rsid w:val="00FC6E6C"/>
    <w:rsid w:val="00FC6E74"/>
    <w:rsid w:val="00FC7029"/>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399"/>
    <w:rsid w:val="00FD764D"/>
    <w:rsid w:val="00FD7B35"/>
    <w:rsid w:val="00FD7C6C"/>
    <w:rsid w:val="00FD7CB4"/>
    <w:rsid w:val="00FD7CDC"/>
    <w:rsid w:val="00FD7F20"/>
    <w:rsid w:val="00FE01A6"/>
    <w:rsid w:val="00FE02F8"/>
    <w:rsid w:val="00FE0BA6"/>
    <w:rsid w:val="00FE1445"/>
    <w:rsid w:val="00FE153E"/>
    <w:rsid w:val="00FE1769"/>
    <w:rsid w:val="00FE18EF"/>
    <w:rsid w:val="00FE1CE2"/>
    <w:rsid w:val="00FE1DFC"/>
    <w:rsid w:val="00FE21B5"/>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2265"/>
    <w:rsid w:val="00FF2DD8"/>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character" w:customStyle="1" w:styleId="PiedepginaCar">
    <w:name w:val="Pie de página Car"/>
    <w:basedOn w:val="Fuentedeprrafopredeter"/>
    <w:link w:val="Piedepgina"/>
    <w:uiPriority w:val="99"/>
    <w:rsid w:val="00F17927"/>
    <w:rPr>
      <w:rFonts w:ascii="Arial" w:hAnsi="Arial" w:cs="Arial"/>
      <w:sz w:val="24"/>
      <w:szCs w:val="24"/>
      <w:lang w:val="es-ES_tradnl" w:eastAsia="es-ES"/>
    </w:rPr>
  </w:style>
  <w:style w:type="paragraph" w:customStyle="1" w:styleId="p01">
    <w:name w:val="p01"/>
    <w:basedOn w:val="Normal"/>
    <w:next w:val="p0"/>
    <w:rsid w:val="00F17927"/>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 base 2q jul 2018'!$M$393</c:f>
              <c:strCache>
                <c:ptCount val="1"/>
                <c:pt idx="0">
                  <c:v>INPC</c:v>
                </c:pt>
              </c:strCache>
            </c:strRef>
          </c:tx>
          <c:spPr>
            <a:solidFill>
              <a:srgbClr val="77933C"/>
            </a:solidFill>
          </c:spPr>
          <c:invertIfNegative val="0"/>
          <c:dLbls>
            <c:dLbl>
              <c:idx val="0"/>
              <c:layout>
                <c:manualLayout>
                  <c:x val="-1.1495958855703706E-17"/>
                  <c:y val="-4.3857285946187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2B-4A8C-8C76-A68590F8393D}"/>
                </c:ext>
              </c:extLst>
            </c:dLbl>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2B-4A8C-8C76-A68590F8393D}"/>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2B-4A8C-8C76-A68590F8393D}"/>
                </c:ext>
              </c:extLst>
            </c:dLbl>
            <c:dLbl>
              <c:idx val="7"/>
              <c:layout>
                <c:manualLayout>
                  <c:x val="-9.2041528531834202E-17"/>
                  <c:y val="4.28240252897802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2B-4A8C-8C76-A68590F8393D}"/>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2B-4A8C-8C76-A68590F8393D}"/>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2B-4A8C-8C76-A68590F8393D}"/>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2018'!$Q$403:$Z$403</c:f>
              <c:numCache>
                <c:formatCode>0.00</c:formatCode>
                <c:ptCount val="10"/>
                <c:pt idx="0">
                  <c:v>0.24951614739478761</c:v>
                </c:pt>
                <c:pt idx="1">
                  <c:v>0.34</c:v>
                </c:pt>
                <c:pt idx="2">
                  <c:v>0.32</c:v>
                </c:pt>
                <c:pt idx="3">
                  <c:v>0.32</c:v>
                </c:pt>
                <c:pt idx="4">
                  <c:v>0.53792676499377023</c:v>
                </c:pt>
                <c:pt idx="5">
                  <c:v>0.34</c:v>
                </c:pt>
                <c:pt idx="6">
                  <c:v>0.22257330511420748</c:v>
                </c:pt>
                <c:pt idx="7">
                  <c:v>0.17358264944983232</c:v>
                </c:pt>
                <c:pt idx="8">
                  <c:v>0.16302938234095551</c:v>
                </c:pt>
                <c:pt idx="9">
                  <c:v>0.42016438163907899</c:v>
                </c:pt>
              </c:numCache>
            </c:numRef>
          </c:val>
          <c:extLst>
            <c:ext xmlns:c16="http://schemas.microsoft.com/office/drawing/2014/chart" uri="{C3380CC4-5D6E-409C-BE32-E72D297353CC}">
              <c16:uniqueId val="{00000006-8B2B-4A8C-8C76-A68590F8393D}"/>
            </c:ext>
          </c:extLst>
        </c:ser>
        <c:dLbls>
          <c:showLegendKey val="0"/>
          <c:showVal val="0"/>
          <c:showCatName val="0"/>
          <c:showSerName val="0"/>
          <c:showPercent val="0"/>
          <c:showBubbleSize val="0"/>
        </c:dLbls>
        <c:gapWidth val="50"/>
        <c:axId val="792968752"/>
        <c:axId val="792967968"/>
      </c:barChart>
      <c:catAx>
        <c:axId val="792968752"/>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792967968"/>
        <c:crosses val="autoZero"/>
        <c:auto val="1"/>
        <c:lblAlgn val="ctr"/>
        <c:lblOffset val="100"/>
        <c:noMultiLvlLbl val="0"/>
      </c:catAx>
      <c:valAx>
        <c:axId val="792967968"/>
        <c:scaling>
          <c:orientation val="minMax"/>
          <c:max val="0.60000000000000009"/>
          <c:min val="0"/>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792968752"/>
        <c:crosses val="autoZero"/>
        <c:crossBetween val="between"/>
        <c:majorUnit val="0.1"/>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2018'!$M$408</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92-4E6E-A1CE-E4DEB641B6E4}"/>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2018'!$Q$418:$Z$418</c:f>
              <c:numCache>
                <c:formatCode>0.00</c:formatCode>
                <c:ptCount val="10"/>
                <c:pt idx="0">
                  <c:v>0.11850372688944426</c:v>
                </c:pt>
                <c:pt idx="1">
                  <c:v>0.30163837907290042</c:v>
                </c:pt>
                <c:pt idx="2">
                  <c:v>0.239091728829332</c:v>
                </c:pt>
                <c:pt idx="3">
                  <c:v>0.27135548087237976</c:v>
                </c:pt>
                <c:pt idx="4">
                  <c:v>0.361792929652624</c:v>
                </c:pt>
                <c:pt idx="5">
                  <c:v>0.27745286015230786</c:v>
                </c:pt>
                <c:pt idx="6">
                  <c:v>0.19</c:v>
                </c:pt>
                <c:pt idx="7">
                  <c:v>0.19</c:v>
                </c:pt>
                <c:pt idx="8">
                  <c:v>0.16509776754793937</c:v>
                </c:pt>
                <c:pt idx="9">
                  <c:v>0.30778456844016677</c:v>
                </c:pt>
              </c:numCache>
            </c:numRef>
          </c:val>
          <c:extLst>
            <c:ext xmlns:c16="http://schemas.microsoft.com/office/drawing/2014/chart" uri="{C3380CC4-5D6E-409C-BE32-E72D297353CC}">
              <c16:uniqueId val="{00000001-D692-4E6E-A1CE-E4DEB641B6E4}"/>
            </c:ext>
          </c:extLst>
        </c:ser>
        <c:ser>
          <c:idx val="2"/>
          <c:order val="1"/>
          <c:tx>
            <c:strRef>
              <c:f>'Datos base 2q jul 2018'!$M$423</c:f>
              <c:strCache>
                <c:ptCount val="1"/>
                <c:pt idx="0">
                  <c:v>No Subyacente</c:v>
                </c:pt>
              </c:strCache>
            </c:strRef>
          </c:tx>
          <c:spPr>
            <a:pattFill prst="dkUpDiag">
              <a:fgClr>
                <a:srgbClr val="66FF33"/>
              </a:fgClr>
              <a:bgClr>
                <a:srgbClr val="ABC674"/>
              </a:bgClr>
            </a:pattFill>
            <a:ln w="6350">
              <a:solidFill>
                <a:srgbClr val="77933C"/>
              </a:solidFill>
            </a:ln>
          </c:spPr>
          <c:invertIfNegative val="0"/>
          <c:dLbls>
            <c:dLbl>
              <c:idx val="1"/>
              <c:layout>
                <c:manualLayout>
                  <c:x val="-4.6373687203616358E-17"/>
                  <c:y val="4.5371207931601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92-4E6E-A1CE-E4DEB641B6E4}"/>
                </c:ext>
              </c:extLst>
            </c:dLbl>
            <c:dLbl>
              <c:idx val="2"/>
              <c:layout>
                <c:manualLayout>
                  <c:x val="1.9809994419524574E-6"/>
                  <c:y val="8.963451526401099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92-4E6E-A1CE-E4DEB641B6E4}"/>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92-4E6E-A1CE-E4DEB641B6E4}"/>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92-4E6E-A1CE-E4DEB641B6E4}"/>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92-4E6E-A1CE-E4DEB641B6E4}"/>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92-4E6E-A1CE-E4DEB641B6E4}"/>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2018'!$Q$394:$Z$394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2018'!$Q$433:$Z$433</c:f>
              <c:numCache>
                <c:formatCode>0.00</c:formatCode>
                <c:ptCount val="10"/>
                <c:pt idx="0">
                  <c:v>0.68468863973990279</c:v>
                </c:pt>
                <c:pt idx="1">
                  <c:v>0.45627377644243033</c:v>
                </c:pt>
                <c:pt idx="2">
                  <c:v>0.59838226704141673</c:v>
                </c:pt>
                <c:pt idx="3">
                  <c:v>0.47633111758964208</c:v>
                </c:pt>
                <c:pt idx="4">
                  <c:v>1.1048489222439573</c:v>
                </c:pt>
                <c:pt idx="5">
                  <c:v>0.53115454362137982</c:v>
                </c:pt>
                <c:pt idx="6">
                  <c:v>0.32514415379024081</c:v>
                </c:pt>
                <c:pt idx="7">
                  <c:v>0.130632299323442</c:v>
                </c:pt>
                <c:pt idx="8">
                  <c:v>0.15412699574500927</c:v>
                </c:pt>
                <c:pt idx="9">
                  <c:v>0.75843205604976027</c:v>
                </c:pt>
              </c:numCache>
            </c:numRef>
          </c:val>
          <c:extLst>
            <c:ext xmlns:c16="http://schemas.microsoft.com/office/drawing/2014/chart" uri="{C3380CC4-5D6E-409C-BE32-E72D297353CC}">
              <c16:uniqueId val="{00000008-D692-4E6E-A1CE-E4DEB641B6E4}"/>
            </c:ext>
          </c:extLst>
        </c:ser>
        <c:dLbls>
          <c:showLegendKey val="0"/>
          <c:showVal val="0"/>
          <c:showCatName val="0"/>
          <c:showSerName val="0"/>
          <c:showPercent val="0"/>
          <c:showBubbleSize val="0"/>
        </c:dLbls>
        <c:gapWidth val="40"/>
        <c:overlap val="-10"/>
        <c:axId val="792958168"/>
        <c:axId val="792964048"/>
      </c:barChart>
      <c:catAx>
        <c:axId val="792958168"/>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792964048"/>
        <c:crosses val="autoZero"/>
        <c:auto val="1"/>
        <c:lblAlgn val="ctr"/>
        <c:lblOffset val="100"/>
        <c:noMultiLvlLbl val="0"/>
      </c:catAx>
      <c:valAx>
        <c:axId val="792964048"/>
        <c:scaling>
          <c:orientation val="minMax"/>
          <c:max val="1.2"/>
          <c:min val="0"/>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792958168"/>
        <c:crosses val="autoZero"/>
        <c:crossBetween val="between"/>
        <c:majorUnit val="0.4"/>
        <c:minorUnit val="0.2"/>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1524184932638E-4"/>
                  <c:y val="-4.24147260719857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A7-499C-99A8-BE8D20EB4FDE}"/>
                </c:ext>
              </c:extLst>
            </c:dLbl>
            <c:spPr>
              <a:noFill/>
              <a:ln>
                <a:noFill/>
              </a:ln>
              <a:effectLst/>
            </c:spPr>
            <c:txPr>
              <a:bodyPr wrap="square" lIns="38100" tIns="19050" rIns="38100" bIns="19050" anchor="ctr">
                <a:spAutoFit/>
              </a:bodyPr>
              <a:lstStyle/>
              <a:p>
                <a:pPr>
                  <a:defRPr sz="700" b="1">
                    <a:solidFill>
                      <a:srgbClr val="4F6228"/>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2018'!$A$165:$B$381</c:f>
              <c:multiLvlStrCache>
                <c:ptCount val="217"/>
                <c:lvl>
                  <c:pt idx="0">
                    <c:v>1qSep</c:v>
                  </c:pt>
                  <c:pt idx="1">
                    <c:v>2qSep</c:v>
                  </c:pt>
                  <c:pt idx="2">
                    <c:v>1qOct</c:v>
                  </c:pt>
                  <c:pt idx="3">
                    <c:v>2qOct</c:v>
                  </c:pt>
                  <c:pt idx="4">
                    <c:v>1qNov</c:v>
                  </c:pt>
                  <c:pt idx="5">
                    <c:v>2qNov</c:v>
                  </c:pt>
                  <c:pt idx="6">
                    <c:v>1qDic</c:v>
                  </c:pt>
                  <c:pt idx="7">
                    <c:v>2qDic</c:v>
                  </c:pt>
                  <c:pt idx="8">
                    <c:v>1qEne</c:v>
                  </c:pt>
                  <c:pt idx="9">
                    <c:v>2qEne</c:v>
                  </c:pt>
                  <c:pt idx="10">
                    <c:v>1qFeb</c:v>
                  </c:pt>
                  <c:pt idx="11">
                    <c:v>2qFeb</c:v>
                  </c:pt>
                  <c:pt idx="12">
                    <c:v>1qMar</c:v>
                  </c:pt>
                  <c:pt idx="13">
                    <c:v>2qMar</c:v>
                  </c:pt>
                  <c:pt idx="14">
                    <c:v>1qAbr</c:v>
                  </c:pt>
                  <c:pt idx="15">
                    <c:v>2qAbr</c:v>
                  </c:pt>
                  <c:pt idx="16">
                    <c:v>1qMay</c:v>
                  </c:pt>
                  <c:pt idx="17">
                    <c:v>2qMay</c:v>
                  </c:pt>
                  <c:pt idx="18">
                    <c:v>1qJun</c:v>
                  </c:pt>
                  <c:pt idx="19">
                    <c:v>2qJun</c:v>
                  </c:pt>
                  <c:pt idx="20">
                    <c:v>1qJul</c:v>
                  </c:pt>
                  <c:pt idx="21">
                    <c:v>2qJul</c:v>
                  </c:pt>
                  <c:pt idx="22">
                    <c:v>1qAgo</c:v>
                  </c:pt>
                  <c:pt idx="23">
                    <c:v>2qAgo</c:v>
                  </c:pt>
                  <c:pt idx="24">
                    <c:v>1qSep</c:v>
                  </c:pt>
                  <c:pt idx="25">
                    <c:v>2qSep</c:v>
                  </c:pt>
                  <c:pt idx="26">
                    <c:v>1qOct</c:v>
                  </c:pt>
                  <c:pt idx="27">
                    <c:v>2qOct</c:v>
                  </c:pt>
                  <c:pt idx="28">
                    <c:v>1qNov</c:v>
                  </c:pt>
                  <c:pt idx="29">
                    <c:v>2qNov</c:v>
                  </c:pt>
                  <c:pt idx="30">
                    <c:v>1qDic</c:v>
                  </c:pt>
                  <c:pt idx="31">
                    <c:v>2qDic</c:v>
                  </c:pt>
                  <c:pt idx="32">
                    <c:v>1qEne</c:v>
                  </c:pt>
                  <c:pt idx="33">
                    <c:v>2qEne</c:v>
                  </c:pt>
                  <c:pt idx="34">
                    <c:v>1qFeb</c:v>
                  </c:pt>
                  <c:pt idx="35">
                    <c:v>2qFeb</c:v>
                  </c:pt>
                  <c:pt idx="36">
                    <c:v>1qMar</c:v>
                  </c:pt>
                  <c:pt idx="37">
                    <c:v>2qMar</c:v>
                  </c:pt>
                  <c:pt idx="38">
                    <c:v>1qAbr</c:v>
                  </c:pt>
                  <c:pt idx="39">
                    <c:v>2qAbr</c:v>
                  </c:pt>
                  <c:pt idx="40">
                    <c:v>1qMay</c:v>
                  </c:pt>
                  <c:pt idx="41">
                    <c:v>2qMay</c:v>
                  </c:pt>
                  <c:pt idx="42">
                    <c:v>1qJun</c:v>
                  </c:pt>
                  <c:pt idx="43">
                    <c:v>2qJun</c:v>
                  </c:pt>
                  <c:pt idx="44">
                    <c:v>1qJul</c:v>
                  </c:pt>
                  <c:pt idx="45">
                    <c:v>2qJul</c:v>
                  </c:pt>
                  <c:pt idx="46">
                    <c:v>1qAgo</c:v>
                  </c:pt>
                  <c:pt idx="47">
                    <c:v>2qAgo</c:v>
                  </c:pt>
                  <c:pt idx="48">
                    <c:v>1qSep</c:v>
                  </c:pt>
                  <c:pt idx="49">
                    <c:v>2qSep</c:v>
                  </c:pt>
                  <c:pt idx="50">
                    <c:v>1qOct</c:v>
                  </c:pt>
                  <c:pt idx="51">
                    <c:v>2qOct</c:v>
                  </c:pt>
                  <c:pt idx="52">
                    <c:v>1qNov</c:v>
                  </c:pt>
                  <c:pt idx="53">
                    <c:v>2qNov</c:v>
                  </c:pt>
                  <c:pt idx="54">
                    <c:v>1qDic</c:v>
                  </c:pt>
                  <c:pt idx="55">
                    <c:v>2qDic</c:v>
                  </c:pt>
                  <c:pt idx="56">
                    <c:v>1qEne</c:v>
                  </c:pt>
                  <c:pt idx="57">
                    <c:v>2qEne</c:v>
                  </c:pt>
                  <c:pt idx="58">
                    <c:v>1qFeb</c:v>
                  </c:pt>
                  <c:pt idx="59">
                    <c:v>2qFeb</c:v>
                  </c:pt>
                  <c:pt idx="60">
                    <c:v>1qMar</c:v>
                  </c:pt>
                  <c:pt idx="61">
                    <c:v>2qMar</c:v>
                  </c:pt>
                  <c:pt idx="62">
                    <c:v>1qAbr</c:v>
                  </c:pt>
                  <c:pt idx="63">
                    <c:v>2qAbr</c:v>
                  </c:pt>
                  <c:pt idx="64">
                    <c:v>1qMay</c:v>
                  </c:pt>
                  <c:pt idx="65">
                    <c:v>2qMay</c:v>
                  </c:pt>
                  <c:pt idx="66">
                    <c:v>1qJun</c:v>
                  </c:pt>
                  <c:pt idx="67">
                    <c:v>2qJun</c:v>
                  </c:pt>
                  <c:pt idx="68">
                    <c:v>1qJul</c:v>
                  </c:pt>
                  <c:pt idx="69">
                    <c:v>2qJul</c:v>
                  </c:pt>
                  <c:pt idx="70">
                    <c:v>1qAgo</c:v>
                  </c:pt>
                  <c:pt idx="71">
                    <c:v>2qAgo</c:v>
                  </c:pt>
                  <c:pt idx="72">
                    <c:v>1qSep</c:v>
                  </c:pt>
                  <c:pt idx="73">
                    <c:v>2qSep</c:v>
                  </c:pt>
                  <c:pt idx="74">
                    <c:v>1qOct</c:v>
                  </c:pt>
                  <c:pt idx="75">
                    <c:v>2qOct</c:v>
                  </c:pt>
                  <c:pt idx="76">
                    <c:v>1qNov</c:v>
                  </c:pt>
                  <c:pt idx="77">
                    <c:v>2qNov</c:v>
                  </c:pt>
                  <c:pt idx="78">
                    <c:v>1qDic</c:v>
                  </c:pt>
                  <c:pt idx="79">
                    <c:v>2qDic</c:v>
                  </c:pt>
                  <c:pt idx="80">
                    <c:v>1qEne</c:v>
                  </c:pt>
                  <c:pt idx="81">
                    <c:v>2qEne</c:v>
                  </c:pt>
                  <c:pt idx="82">
                    <c:v>1qFeb</c:v>
                  </c:pt>
                  <c:pt idx="83">
                    <c:v>2qFeb</c:v>
                  </c:pt>
                  <c:pt idx="84">
                    <c:v>1qMar</c:v>
                  </c:pt>
                  <c:pt idx="85">
                    <c:v>2qMar</c:v>
                  </c:pt>
                  <c:pt idx="86">
                    <c:v>1qAbr</c:v>
                  </c:pt>
                  <c:pt idx="87">
                    <c:v>2qAbr</c:v>
                  </c:pt>
                  <c:pt idx="88">
                    <c:v>1qMay</c:v>
                  </c:pt>
                  <c:pt idx="89">
                    <c:v>2qMay</c:v>
                  </c:pt>
                  <c:pt idx="90">
                    <c:v>1qJun</c:v>
                  </c:pt>
                  <c:pt idx="91">
                    <c:v>2qJun</c:v>
                  </c:pt>
                  <c:pt idx="92">
                    <c:v>1qJul</c:v>
                  </c:pt>
                  <c:pt idx="93">
                    <c:v>2qJul</c:v>
                  </c:pt>
                  <c:pt idx="94">
                    <c:v>1qAgo</c:v>
                  </c:pt>
                  <c:pt idx="95">
                    <c:v>2qAgo</c:v>
                  </c:pt>
                  <c:pt idx="96">
                    <c:v>1qSep</c:v>
                  </c:pt>
                  <c:pt idx="97">
                    <c:v>2qSep</c:v>
                  </c:pt>
                  <c:pt idx="98">
                    <c:v>1qOct</c:v>
                  </c:pt>
                  <c:pt idx="99">
                    <c:v>2qOct</c:v>
                  </c:pt>
                  <c:pt idx="100">
                    <c:v>1qNov</c:v>
                  </c:pt>
                  <c:pt idx="101">
                    <c:v>2qNov</c:v>
                  </c:pt>
                  <c:pt idx="102">
                    <c:v>1qDic</c:v>
                  </c:pt>
                  <c:pt idx="103">
                    <c:v>2qDic</c:v>
                  </c:pt>
                  <c:pt idx="104">
                    <c:v>1qEne</c:v>
                  </c:pt>
                  <c:pt idx="105">
                    <c:v>2qEne</c:v>
                  </c:pt>
                  <c:pt idx="106">
                    <c:v>1qFeb</c:v>
                  </c:pt>
                  <c:pt idx="107">
                    <c:v>2qFeb</c:v>
                  </c:pt>
                  <c:pt idx="108">
                    <c:v>1qMar</c:v>
                  </c:pt>
                  <c:pt idx="109">
                    <c:v>2qMar</c:v>
                  </c:pt>
                  <c:pt idx="110">
                    <c:v>1qAbr</c:v>
                  </c:pt>
                  <c:pt idx="111">
                    <c:v>2qAbr</c:v>
                  </c:pt>
                  <c:pt idx="112">
                    <c:v>1qMay</c:v>
                  </c:pt>
                  <c:pt idx="113">
                    <c:v>2qMay</c:v>
                  </c:pt>
                  <c:pt idx="114">
                    <c:v>1qJun</c:v>
                  </c:pt>
                  <c:pt idx="115">
                    <c:v>2qJun</c:v>
                  </c:pt>
                  <c:pt idx="116">
                    <c:v>1qJul</c:v>
                  </c:pt>
                  <c:pt idx="117">
                    <c:v>2qJul</c:v>
                  </c:pt>
                  <c:pt idx="118">
                    <c:v>1qAgo</c:v>
                  </c:pt>
                  <c:pt idx="119">
                    <c:v>2qAgo</c:v>
                  </c:pt>
                  <c:pt idx="120">
                    <c:v>1qSep</c:v>
                  </c:pt>
                  <c:pt idx="121">
                    <c:v>2qSep</c:v>
                  </c:pt>
                  <c:pt idx="122">
                    <c:v>1qOct</c:v>
                  </c:pt>
                  <c:pt idx="123">
                    <c:v>2qOct</c:v>
                  </c:pt>
                  <c:pt idx="124">
                    <c:v>1qNov</c:v>
                  </c:pt>
                  <c:pt idx="125">
                    <c:v>2qNov</c:v>
                  </c:pt>
                  <c:pt idx="126">
                    <c:v>1qDic</c:v>
                  </c:pt>
                  <c:pt idx="127">
                    <c:v>2qDic</c:v>
                  </c:pt>
                  <c:pt idx="128">
                    <c:v>1qEne</c:v>
                  </c:pt>
                  <c:pt idx="129">
                    <c:v>2qEne</c:v>
                  </c:pt>
                  <c:pt idx="130">
                    <c:v>1qFeb</c:v>
                  </c:pt>
                  <c:pt idx="131">
                    <c:v>2qFeb</c:v>
                  </c:pt>
                  <c:pt idx="132">
                    <c:v>1qMar</c:v>
                  </c:pt>
                  <c:pt idx="133">
                    <c:v>2qMar</c:v>
                  </c:pt>
                  <c:pt idx="134">
                    <c:v>1qAbr</c:v>
                  </c:pt>
                  <c:pt idx="135">
                    <c:v>2qAbr</c:v>
                  </c:pt>
                  <c:pt idx="136">
                    <c:v>1qMay</c:v>
                  </c:pt>
                  <c:pt idx="137">
                    <c:v>2qMay</c:v>
                  </c:pt>
                  <c:pt idx="138">
                    <c:v>1qJun</c:v>
                  </c:pt>
                  <c:pt idx="139">
                    <c:v>2qJun</c:v>
                  </c:pt>
                  <c:pt idx="140">
                    <c:v>1qJul</c:v>
                  </c:pt>
                  <c:pt idx="141">
                    <c:v>2qJul</c:v>
                  </c:pt>
                  <c:pt idx="142">
                    <c:v>1qAgo</c:v>
                  </c:pt>
                  <c:pt idx="143">
                    <c:v>2qAgo</c:v>
                  </c:pt>
                  <c:pt idx="144">
                    <c:v>1qSep</c:v>
                  </c:pt>
                  <c:pt idx="145">
                    <c:v>2qSep</c:v>
                  </c:pt>
                  <c:pt idx="146">
                    <c:v>1qOct</c:v>
                  </c:pt>
                  <c:pt idx="147">
                    <c:v>2qOct</c:v>
                  </c:pt>
                  <c:pt idx="148">
                    <c:v>1qNov</c:v>
                  </c:pt>
                  <c:pt idx="149">
                    <c:v>2qNov</c:v>
                  </c:pt>
                  <c:pt idx="150">
                    <c:v>1qDic</c:v>
                  </c:pt>
                  <c:pt idx="151">
                    <c:v>2qDic</c:v>
                  </c:pt>
                  <c:pt idx="152">
                    <c:v>1qEne</c:v>
                  </c:pt>
                  <c:pt idx="153">
                    <c:v>2qEne</c:v>
                  </c:pt>
                  <c:pt idx="154">
                    <c:v>1qFeb</c:v>
                  </c:pt>
                  <c:pt idx="155">
                    <c:v>2qFeb</c:v>
                  </c:pt>
                  <c:pt idx="156">
                    <c:v>1qMar</c:v>
                  </c:pt>
                  <c:pt idx="157">
                    <c:v>2qMar</c:v>
                  </c:pt>
                  <c:pt idx="158">
                    <c:v>1qAbr</c:v>
                  </c:pt>
                  <c:pt idx="159">
                    <c:v>2qAbr</c:v>
                  </c:pt>
                  <c:pt idx="160">
                    <c:v>1qMay</c:v>
                  </c:pt>
                  <c:pt idx="161">
                    <c:v>2qMay</c:v>
                  </c:pt>
                  <c:pt idx="162">
                    <c:v>1qJun</c:v>
                  </c:pt>
                  <c:pt idx="163">
                    <c:v>2qJun</c:v>
                  </c:pt>
                  <c:pt idx="164">
                    <c:v>1qJul</c:v>
                  </c:pt>
                  <c:pt idx="165">
                    <c:v>2qJul</c:v>
                  </c:pt>
                  <c:pt idx="166">
                    <c:v>1qAgo</c:v>
                  </c:pt>
                  <c:pt idx="167">
                    <c:v>2qAgo</c:v>
                  </c:pt>
                  <c:pt idx="168">
                    <c:v>1qSep</c:v>
                  </c:pt>
                  <c:pt idx="169">
                    <c:v>2qSep</c:v>
                  </c:pt>
                  <c:pt idx="170">
                    <c:v>1qOct</c:v>
                  </c:pt>
                  <c:pt idx="171">
                    <c:v>2qOct</c:v>
                  </c:pt>
                  <c:pt idx="172">
                    <c:v>1qNov</c:v>
                  </c:pt>
                  <c:pt idx="173">
                    <c:v>2qNov</c:v>
                  </c:pt>
                  <c:pt idx="174">
                    <c:v>1qDic</c:v>
                  </c:pt>
                  <c:pt idx="175">
                    <c:v>2qDic</c:v>
                  </c:pt>
                  <c:pt idx="176">
                    <c:v>1qEne</c:v>
                  </c:pt>
                  <c:pt idx="177">
                    <c:v>2qEne</c:v>
                  </c:pt>
                  <c:pt idx="178">
                    <c:v>1qFeb</c:v>
                  </c:pt>
                  <c:pt idx="179">
                    <c:v>2qFeb</c:v>
                  </c:pt>
                  <c:pt idx="180">
                    <c:v>1qMar</c:v>
                  </c:pt>
                  <c:pt idx="181">
                    <c:v>2qMar</c:v>
                  </c:pt>
                  <c:pt idx="182">
                    <c:v>1qAbr</c:v>
                  </c:pt>
                  <c:pt idx="183">
                    <c:v>2qAbr</c:v>
                  </c:pt>
                  <c:pt idx="184">
                    <c:v>1qMay</c:v>
                  </c:pt>
                  <c:pt idx="185">
                    <c:v>2qMay</c:v>
                  </c:pt>
                  <c:pt idx="186">
                    <c:v>1qJun</c:v>
                  </c:pt>
                  <c:pt idx="187">
                    <c:v>2qJun</c:v>
                  </c:pt>
                  <c:pt idx="188">
                    <c:v>1qJul</c:v>
                  </c:pt>
                  <c:pt idx="189">
                    <c:v>2qJul</c:v>
                  </c:pt>
                  <c:pt idx="190">
                    <c:v>1qAgo</c:v>
                  </c:pt>
                  <c:pt idx="191">
                    <c:v>2qAgo</c:v>
                  </c:pt>
                  <c:pt idx="192">
                    <c:v>1qSep</c:v>
                  </c:pt>
                  <c:pt idx="193">
                    <c:v>2qSep</c:v>
                  </c:pt>
                  <c:pt idx="194">
                    <c:v>1qOct</c:v>
                  </c:pt>
                  <c:pt idx="195">
                    <c:v>2qOct</c:v>
                  </c:pt>
                  <c:pt idx="196">
                    <c:v>1qNov</c:v>
                  </c:pt>
                  <c:pt idx="197">
                    <c:v>2qNov</c:v>
                  </c:pt>
                  <c:pt idx="198">
                    <c:v>1qDic</c:v>
                  </c:pt>
                  <c:pt idx="199">
                    <c:v>2qDic</c:v>
                  </c:pt>
                  <c:pt idx="200">
                    <c:v>1qEne</c:v>
                  </c:pt>
                  <c:pt idx="201">
                    <c:v>2qEne</c:v>
                  </c:pt>
                  <c:pt idx="202">
                    <c:v>1qFeb</c:v>
                  </c:pt>
                  <c:pt idx="203">
                    <c:v>2qFeb</c:v>
                  </c:pt>
                  <c:pt idx="204">
                    <c:v>1qMar</c:v>
                  </c:pt>
                  <c:pt idx="205">
                    <c:v>2qMar</c:v>
                  </c:pt>
                  <c:pt idx="206">
                    <c:v>1qAbr</c:v>
                  </c:pt>
                  <c:pt idx="207">
                    <c:v>2qAbr</c:v>
                  </c:pt>
                  <c:pt idx="208">
                    <c:v>1qMay</c:v>
                  </c:pt>
                  <c:pt idx="209">
                    <c:v>2qMay</c:v>
                  </c:pt>
                  <c:pt idx="210">
                    <c:v>1qJun</c:v>
                  </c:pt>
                  <c:pt idx="211">
                    <c:v>2qJun</c:v>
                  </c:pt>
                  <c:pt idx="212">
                    <c:v>1qJul</c:v>
                  </c:pt>
                  <c:pt idx="213">
                    <c:v>2qJul</c:v>
                  </c:pt>
                  <c:pt idx="214">
                    <c:v>1qAgo</c:v>
                  </c:pt>
                  <c:pt idx="215">
                    <c:v>2qAgo</c:v>
                  </c:pt>
                  <c:pt idx="216">
                    <c:v>1qSep</c:v>
                  </c:pt>
                </c:lvl>
                <c:lvl>
                  <c:pt idx="0">
                    <c:v>2012</c:v>
                  </c:pt>
                  <c:pt idx="1">
                    <c:v>2012</c:v>
                  </c:pt>
                  <c:pt idx="2">
                    <c:v>2012</c:v>
                  </c:pt>
                  <c:pt idx="3">
                    <c:v>2012</c:v>
                  </c:pt>
                  <c:pt idx="4">
                    <c:v>2012</c:v>
                  </c:pt>
                  <c:pt idx="5">
                    <c:v>2012</c:v>
                  </c:pt>
                  <c:pt idx="6">
                    <c:v>2012</c:v>
                  </c:pt>
                  <c:pt idx="7">
                    <c:v>2012</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2014</c:v>
                  </c:pt>
                  <c:pt idx="55">
                    <c:v>2014</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2015</c:v>
                  </c:pt>
                  <c:pt idx="79">
                    <c:v>2015</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2016</c:v>
                  </c:pt>
                  <c:pt idx="103">
                    <c:v>2016</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2017</c:v>
                  </c:pt>
                  <c:pt idx="127">
                    <c:v>2017</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2018</c:v>
                  </c:pt>
                  <c:pt idx="151">
                    <c:v>2018</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2019</c:v>
                  </c:pt>
                  <c:pt idx="175">
                    <c:v>2019</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2020</c:v>
                  </c:pt>
                  <c:pt idx="199">
                    <c:v>2020</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2018'!$D$165:$D$381</c:f>
              <c:numCache>
                <c:formatCode>0.00</c:formatCode>
                <c:ptCount val="217"/>
                <c:pt idx="0">
                  <c:v>4.7296694583477903</c:v>
                </c:pt>
                <c:pt idx="1">
                  <c:v>4.8148735117573711</c:v>
                </c:pt>
                <c:pt idx="2">
                  <c:v>4.6447522569085571</c:v>
                </c:pt>
                <c:pt idx="3">
                  <c:v>4.5454545454545627</c:v>
                </c:pt>
                <c:pt idx="4">
                  <c:v>4.361637855430601</c:v>
                </c:pt>
                <c:pt idx="5">
                  <c:v>3.9973927932134794</c:v>
                </c:pt>
                <c:pt idx="6">
                  <c:v>3.7575499457952515</c:v>
                </c:pt>
                <c:pt idx="7">
                  <c:v>3.3799017246362757</c:v>
                </c:pt>
                <c:pt idx="8">
                  <c:v>3.2107184018440211</c:v>
                </c:pt>
                <c:pt idx="9">
                  <c:v>3.2973345588235308</c:v>
                </c:pt>
                <c:pt idx="10">
                  <c:v>3.4720627631075369</c:v>
                </c:pt>
                <c:pt idx="11">
                  <c:v>3.634501440591146</c:v>
                </c:pt>
                <c:pt idx="12">
                  <c:v>4.1245299987562261</c:v>
                </c:pt>
                <c:pt idx="13">
                  <c:v>4.3809159575485159</c:v>
                </c:pt>
                <c:pt idx="14">
                  <c:v>4.7199339439675789</c:v>
                </c:pt>
                <c:pt idx="15">
                  <c:v>4.5800136144428123</c:v>
                </c:pt>
                <c:pt idx="16">
                  <c:v>4.7185534136778191</c:v>
                </c:pt>
                <c:pt idx="17">
                  <c:v>4.5444492523679036</c:v>
                </c:pt>
                <c:pt idx="18">
                  <c:v>4.2438079158912814</c:v>
                </c:pt>
                <c:pt idx="19">
                  <c:v>3.9316811788345425</c:v>
                </c:pt>
                <c:pt idx="20">
                  <c:v>3.528503483706158</c:v>
                </c:pt>
                <c:pt idx="21">
                  <c:v>3.4158326270581392</c:v>
                </c:pt>
                <c:pt idx="22">
                  <c:v>3.5443254655077352</c:v>
                </c:pt>
                <c:pt idx="23">
                  <c:v>3.3689423551288482</c:v>
                </c:pt>
                <c:pt idx="24">
                  <c:v>3.4599259939242977</c:v>
                </c:pt>
                <c:pt idx="25">
                  <c:v>3.3217097118664887</c:v>
                </c:pt>
                <c:pt idx="26">
                  <c:v>3.2720259654734472</c:v>
                </c:pt>
                <c:pt idx="27">
                  <c:v>3.4472049689440953</c:v>
                </c:pt>
                <c:pt idx="28">
                  <c:v>3.5108031896020431</c:v>
                </c:pt>
                <c:pt idx="29">
                  <c:v>3.7268126584409909</c:v>
                </c:pt>
                <c:pt idx="30">
                  <c:v>3.8602906879116397</c:v>
                </c:pt>
                <c:pt idx="31">
                  <c:v>4.0886130216779497</c:v>
                </c:pt>
                <c:pt idx="32">
                  <c:v>4.6313614918623145</c:v>
                </c:pt>
                <c:pt idx="33">
                  <c:v>4.335817298780249</c:v>
                </c:pt>
                <c:pt idx="34">
                  <c:v>4.2117818934987694</c:v>
                </c:pt>
                <c:pt idx="35">
                  <c:v>4.2551815864336904</c:v>
                </c:pt>
                <c:pt idx="36">
                  <c:v>3.8940752719788327</c:v>
                </c:pt>
                <c:pt idx="37">
                  <c:v>3.6227237753270081</c:v>
                </c:pt>
                <c:pt idx="38">
                  <c:v>3.5270926927661179</c:v>
                </c:pt>
                <c:pt idx="39">
                  <c:v>3.4672436238288107</c:v>
                </c:pt>
                <c:pt idx="40">
                  <c:v>3.4433905851832236</c:v>
                </c:pt>
                <c:pt idx="41">
                  <c:v>3.5779656184177719</c:v>
                </c:pt>
                <c:pt idx="42">
                  <c:v>3.7103156344897048</c:v>
                </c:pt>
                <c:pt idx="43">
                  <c:v>3.7958368241283909</c:v>
                </c:pt>
                <c:pt idx="44">
                  <c:v>4.001141605059888</c:v>
                </c:pt>
                <c:pt idx="45">
                  <c:v>4.144643547763315</c:v>
                </c:pt>
                <c:pt idx="46">
                  <c:v>4.0704989851305564</c:v>
                </c:pt>
                <c:pt idx="47">
                  <c:v>4.2283511541462131</c:v>
                </c:pt>
                <c:pt idx="48">
                  <c:v>4.2141177977187114</c:v>
                </c:pt>
                <c:pt idx="49">
                  <c:v>4.2200962189254909</c:v>
                </c:pt>
                <c:pt idx="50">
                  <c:v>4.319823636048949</c:v>
                </c:pt>
                <c:pt idx="51">
                  <c:v>4.275720276921116</c:v>
                </c:pt>
                <c:pt idx="52">
                  <c:v>4.1584730014974358</c:v>
                </c:pt>
                <c:pt idx="53">
                  <c:v>4.1791044776119204</c:v>
                </c:pt>
                <c:pt idx="54">
                  <c:v>4.191068156504886</c:v>
                </c:pt>
                <c:pt idx="55">
                  <c:v>3.9718852128754896</c:v>
                </c:pt>
                <c:pt idx="56">
                  <c:v>3.0807541800071165</c:v>
                </c:pt>
                <c:pt idx="57">
                  <c:v>3.0496579905836412</c:v>
                </c:pt>
                <c:pt idx="58">
                  <c:v>3.0353847245883201</c:v>
                </c:pt>
                <c:pt idx="59">
                  <c:v>2.9652270210409597</c:v>
                </c:pt>
                <c:pt idx="60">
                  <c:v>2.9724949146546393</c:v>
                </c:pt>
                <c:pt idx="61">
                  <c:v>3.3015990877509354</c:v>
                </c:pt>
                <c:pt idx="62">
                  <c:v>3.0270021343110427</c:v>
                </c:pt>
                <c:pt idx="63">
                  <c:v>3.0976430976431031</c:v>
                </c:pt>
                <c:pt idx="64">
                  <c:v>2.9303475507808314</c:v>
                </c:pt>
                <c:pt idx="65">
                  <c:v>2.8212163998188555</c:v>
                </c:pt>
                <c:pt idx="66">
                  <c:v>2.8739507728345943</c:v>
                </c:pt>
                <c:pt idx="67">
                  <c:v>2.8667222508027153</c:v>
                </c:pt>
                <c:pt idx="68">
                  <c:v>2.760146948169786</c:v>
                </c:pt>
                <c:pt idx="69">
                  <c:v>2.7188569306536725</c:v>
                </c:pt>
                <c:pt idx="70">
                  <c:v>2.6431212658741687</c:v>
                </c:pt>
                <c:pt idx="71">
                  <c:v>2.5325372924041352</c:v>
                </c:pt>
                <c:pt idx="72">
                  <c:v>2.5287457210567879</c:v>
                </c:pt>
                <c:pt idx="73">
                  <c:v>2.509039210868119</c:v>
                </c:pt>
                <c:pt idx="74">
                  <c:v>2.4730384665763943</c:v>
                </c:pt>
                <c:pt idx="75">
                  <c:v>2.4872844019088571</c:v>
                </c:pt>
                <c:pt idx="76">
                  <c:v>2.2672948349326192</c:v>
                </c:pt>
                <c:pt idx="77">
                  <c:v>2.1624148408487054</c:v>
                </c:pt>
                <c:pt idx="78">
                  <c:v>2.0026207348402476</c:v>
                </c:pt>
                <c:pt idx="79">
                  <c:v>2.2571283402657554</c:v>
                </c:pt>
                <c:pt idx="80">
                  <c:v>2.4761871893981242</c:v>
                </c:pt>
                <c:pt idx="81">
                  <c:v>2.7507909278208404</c:v>
                </c:pt>
                <c:pt idx="82">
                  <c:v>2.9356297093649055</c:v>
                </c:pt>
                <c:pt idx="83">
                  <c:v>2.7989537264889646</c:v>
                </c:pt>
                <c:pt idx="84">
                  <c:v>2.7131949394920647</c:v>
                </c:pt>
                <c:pt idx="85">
                  <c:v>2.4892608375691108</c:v>
                </c:pt>
                <c:pt idx="86">
                  <c:v>2.5985301070185352</c:v>
                </c:pt>
                <c:pt idx="87">
                  <c:v>2.4846161779366516</c:v>
                </c:pt>
                <c:pt idx="88">
                  <c:v>2.5324220876282051</c:v>
                </c:pt>
                <c:pt idx="89">
                  <c:v>2.6608975023318471</c:v>
                </c:pt>
                <c:pt idx="90">
                  <c:v>2.5487101198022941</c:v>
                </c:pt>
                <c:pt idx="91">
                  <c:v>2.528152861848342</c:v>
                </c:pt>
                <c:pt idx="92">
                  <c:v>2.7161599889734105</c:v>
                </c:pt>
                <c:pt idx="93">
                  <c:v>2.5935235078416721</c:v>
                </c:pt>
                <c:pt idx="94">
                  <c:v>2.7968841352271587</c:v>
                </c:pt>
                <c:pt idx="95">
                  <c:v>2.6580669540871518</c:v>
                </c:pt>
                <c:pt idx="96">
                  <c:v>2.8807218498257776</c:v>
                </c:pt>
                <c:pt idx="97">
                  <c:v>3.057179792306961</c:v>
                </c:pt>
                <c:pt idx="98">
                  <c:v>3.0891288230632474</c:v>
                </c:pt>
                <c:pt idx="99">
                  <c:v>3.0372678209646473</c:v>
                </c:pt>
                <c:pt idx="100">
                  <c:v>3.2942093050827412</c:v>
                </c:pt>
                <c:pt idx="101">
                  <c:v>3.3156240202682721</c:v>
                </c:pt>
                <c:pt idx="102">
                  <c:v>3.4786724250133023</c:v>
                </c:pt>
                <c:pt idx="103">
                  <c:v>3.2440080173822237</c:v>
                </c:pt>
                <c:pt idx="104">
                  <c:v>4.777981713169539</c:v>
                </c:pt>
                <c:pt idx="105">
                  <c:v>4.6587915499102257</c:v>
                </c:pt>
                <c:pt idx="106">
                  <c:v>4.7091204176217527</c:v>
                </c:pt>
                <c:pt idx="107">
                  <c:v>5.0202971332914927</c:v>
                </c:pt>
                <c:pt idx="108">
                  <c:v>5.2872313738607115</c:v>
                </c:pt>
                <c:pt idx="109">
                  <c:v>5.417839042840094</c:v>
                </c:pt>
                <c:pt idx="110">
                  <c:v>5.6234186229661951</c:v>
                </c:pt>
                <c:pt idx="111">
                  <c:v>6.0102140934363444</c:v>
                </c:pt>
                <c:pt idx="112">
                  <c:v>6.165838038257343</c:v>
                </c:pt>
                <c:pt idx="113">
                  <c:v>6.163087095878649</c:v>
                </c:pt>
                <c:pt idx="114">
                  <c:v>6.299623200107658</c:v>
                </c:pt>
                <c:pt idx="115">
                  <c:v>6.3268464164970579</c:v>
                </c:pt>
                <c:pt idx="116">
                  <c:v>6.2824985742561026</c:v>
                </c:pt>
                <c:pt idx="117">
                  <c:v>6.5938399322073762</c:v>
                </c:pt>
                <c:pt idx="118">
                  <c:v>6.5882687498431682</c:v>
                </c:pt>
                <c:pt idx="119">
                  <c:v>6.7378882818970585</c:v>
                </c:pt>
                <c:pt idx="120">
                  <c:v>6.5287578218612659</c:v>
                </c:pt>
                <c:pt idx="121">
                  <c:v>6.1664091445280791</c:v>
                </c:pt>
                <c:pt idx="122">
                  <c:v>6.2989782759646946</c:v>
                </c:pt>
                <c:pt idx="123">
                  <c:v>6.44321805654236</c:v>
                </c:pt>
                <c:pt idx="124">
                  <c:v>6.5947399488423954</c:v>
                </c:pt>
                <c:pt idx="125">
                  <c:v>6.67350118920693</c:v>
                </c:pt>
                <c:pt idx="126">
                  <c:v>6.694054901704555</c:v>
                </c:pt>
                <c:pt idx="127">
                  <c:v>6.8510693834934884</c:v>
                </c:pt>
                <c:pt idx="128">
                  <c:v>5.5090840424591905</c:v>
                </c:pt>
                <c:pt idx="129">
                  <c:v>5.5824989779313308</c:v>
                </c:pt>
                <c:pt idx="130">
                  <c:v>5.4472967250705189</c:v>
                </c:pt>
                <c:pt idx="131">
                  <c:v>5.2322013500912563</c:v>
                </c:pt>
                <c:pt idx="132">
                  <c:v>5.1734133886095535</c:v>
                </c:pt>
                <c:pt idx="133">
                  <c:v>4.8978298748613769</c:v>
                </c:pt>
                <c:pt idx="134">
                  <c:v>4.6926310779725515</c:v>
                </c:pt>
                <c:pt idx="135">
                  <c:v>4.4101128039615771</c:v>
                </c:pt>
                <c:pt idx="136">
                  <c:v>4.4591902339130147</c:v>
                </c:pt>
                <c:pt idx="137">
                  <c:v>4.5540631562264844</c:v>
                </c:pt>
                <c:pt idx="138">
                  <c:v>4.5361036823698937</c:v>
                </c:pt>
                <c:pt idx="139">
                  <c:v>4.7584019489199445</c:v>
                </c:pt>
                <c:pt idx="140">
                  <c:v>4.848217033465648</c:v>
                </c:pt>
                <c:pt idx="141">
                  <c:v>4.7746485524927875</c:v>
                </c:pt>
                <c:pt idx="142">
                  <c:v>4.8106327469043819</c:v>
                </c:pt>
                <c:pt idx="143">
                  <c:v>4.9991362129370582</c:v>
                </c:pt>
                <c:pt idx="144">
                  <c:v>4.875270500382749</c:v>
                </c:pt>
                <c:pt idx="145">
                  <c:v>5.1659896244943289</c:v>
                </c:pt>
                <c:pt idx="146">
                  <c:v>4.9352188627597346</c:v>
                </c:pt>
                <c:pt idx="147">
                  <c:v>4.8739609906784294</c:v>
                </c:pt>
                <c:pt idx="148">
                  <c:v>4.5607966774342428</c:v>
                </c:pt>
                <c:pt idx="149">
                  <c:v>4.8719965556213225</c:v>
                </c:pt>
                <c:pt idx="150">
                  <c:v>5.0045431705618117</c:v>
                </c:pt>
                <c:pt idx="151">
                  <c:v>4.6580435901155077</c:v>
                </c:pt>
                <c:pt idx="152">
                  <c:v>4.5239157686302747</c:v>
                </c:pt>
                <c:pt idx="153">
                  <c:v>4.2087945881513358</c:v>
                </c:pt>
                <c:pt idx="154">
                  <c:v>3.8917269000841048</c:v>
                </c:pt>
                <c:pt idx="155">
                  <c:v>3.9890243717717704</c:v>
                </c:pt>
                <c:pt idx="156">
                  <c:v>3.9499307543024047</c:v>
                </c:pt>
                <c:pt idx="157">
                  <c:v>4.0592034671257489</c:v>
                </c:pt>
                <c:pt idx="158">
                  <c:v>4.3839885442395508</c:v>
                </c:pt>
                <c:pt idx="159">
                  <c:v>4.4431349885217726</c:v>
                </c:pt>
                <c:pt idx="160">
                  <c:v>4.4323088028570456</c:v>
                </c:pt>
                <c:pt idx="161">
                  <c:v>4.1312712555516722</c:v>
                </c:pt>
                <c:pt idx="162">
                  <c:v>4.0008340965341755</c:v>
                </c:pt>
                <c:pt idx="163">
                  <c:v>3.8935918758730175</c:v>
                </c:pt>
                <c:pt idx="164">
                  <c:v>3.8420065175997649</c:v>
                </c:pt>
                <c:pt idx="165">
                  <c:v>3.7200000000000135</c:v>
                </c:pt>
                <c:pt idx="166">
                  <c:v>3.2877231097336064</c:v>
                </c:pt>
                <c:pt idx="167">
                  <c:v>3.0365358054868268</c:v>
                </c:pt>
                <c:pt idx="168">
                  <c:v>2.9861696326773419</c:v>
                </c:pt>
                <c:pt idx="169">
                  <c:v>3.0078241061701556</c:v>
                </c:pt>
                <c:pt idx="170">
                  <c:v>3.0067474253245492</c:v>
                </c:pt>
                <c:pt idx="171">
                  <c:v>3.032243446393919</c:v>
                </c:pt>
                <c:pt idx="172">
                  <c:v>3.1008890455488989</c:v>
                </c:pt>
                <c:pt idx="173">
                  <c:v>2.8495310959960203</c:v>
                </c:pt>
                <c:pt idx="174">
                  <c:v>2.6336985317664396</c:v>
                </c:pt>
                <c:pt idx="175">
                  <c:v>3.0225648594065553</c:v>
                </c:pt>
                <c:pt idx="176">
                  <c:v>3.1841326802773886</c:v>
                </c:pt>
                <c:pt idx="177">
                  <c:v>3.2915664520133503</c:v>
                </c:pt>
                <c:pt idx="178">
                  <c:v>3.5210515586016711</c:v>
                </c:pt>
                <c:pt idx="179">
                  <c:v>3.8691226369364999</c:v>
                </c:pt>
                <c:pt idx="180">
                  <c:v>3.7122274331576643</c:v>
                </c:pt>
                <c:pt idx="181">
                  <c:v>2.7864434936302875</c:v>
                </c:pt>
                <c:pt idx="182">
                  <c:v>2.0811393126636419</c:v>
                </c:pt>
                <c:pt idx="183">
                  <c:v>2.2131669917537335</c:v>
                </c:pt>
                <c:pt idx="184">
                  <c:v>2.8251815980629558</c:v>
                </c:pt>
                <c:pt idx="185">
                  <c:v>2.850333281661765</c:v>
                </c:pt>
                <c:pt idx="186">
                  <c:v>3.167837248728516</c:v>
                </c:pt>
                <c:pt idx="187">
                  <c:v>3.4999467946175451</c:v>
                </c:pt>
                <c:pt idx="188">
                  <c:v>3.5859687035714969</c:v>
                </c:pt>
                <c:pt idx="189">
                  <c:v>3.6608175858079419</c:v>
                </c:pt>
                <c:pt idx="190">
                  <c:v>3.9896952972733115</c:v>
                </c:pt>
                <c:pt idx="191">
                  <c:v>4.1071583555937012</c:v>
                </c:pt>
                <c:pt idx="192">
                  <c:v>4.0961906870625935</c:v>
                </c:pt>
                <c:pt idx="193">
                  <c:v>3.9324276250636871</c:v>
                </c:pt>
                <c:pt idx="194">
                  <c:v>4.0854242482283132</c:v>
                </c:pt>
                <c:pt idx="195">
                  <c:v>4.0875060954038176</c:v>
                </c:pt>
                <c:pt idx="196">
                  <c:v>3.4292823293668411</c:v>
                </c:pt>
                <c:pt idx="197">
                  <c:v>3.2336113404116031</c:v>
                </c:pt>
                <c:pt idx="198">
                  <c:v>3.2194623828749194</c:v>
                </c:pt>
                <c:pt idx="199">
                  <c:v>3.0809104189246419</c:v>
                </c:pt>
                <c:pt idx="200">
                  <c:v>3.3349625897657642</c:v>
                </c:pt>
                <c:pt idx="201">
                  <c:v>3.7350008450228103</c:v>
                </c:pt>
                <c:pt idx="202">
                  <c:v>3.8448553959263365</c:v>
                </c:pt>
                <c:pt idx="203">
                  <c:v>3.6755303758598368</c:v>
                </c:pt>
                <c:pt idx="204">
                  <c:v>4.115464225110486</c:v>
                </c:pt>
                <c:pt idx="205">
                  <c:v>5.2235440040593089</c:v>
                </c:pt>
                <c:pt idx="206">
                  <c:v>6.0546117079172834</c:v>
                </c:pt>
                <c:pt idx="207">
                  <c:v>6.1159710544712569</c:v>
                </c:pt>
                <c:pt idx="208">
                  <c:v>5.7965281113717033</c:v>
                </c:pt>
                <c:pt idx="209">
                  <c:v>5.9901279225305624</c:v>
                </c:pt>
                <c:pt idx="210">
                  <c:v>6.0171839053476699</c:v>
                </c:pt>
                <c:pt idx="211">
                  <c:v>5.7397351179071183</c:v>
                </c:pt>
                <c:pt idx="212">
                  <c:v>5.7520187015115836</c:v>
                </c:pt>
                <c:pt idx="213">
                  <c:v>5.8604685770622345</c:v>
                </c:pt>
                <c:pt idx="214">
                  <c:v>5.5828237935737643</c:v>
                </c:pt>
                <c:pt idx="215">
                  <c:v>5.6013561080440155</c:v>
                </c:pt>
                <c:pt idx="216">
                  <c:v>5.8724521880664318</c:v>
                </c:pt>
              </c:numCache>
            </c:numRef>
          </c:val>
          <c:smooth val="0"/>
          <c:extLst>
            <c:ext xmlns:c16="http://schemas.microsoft.com/office/drawing/2014/chart" uri="{C3380CC4-5D6E-409C-BE32-E72D297353CC}">
              <c16:uniqueId val="{00000001-0AA7-499C-99A8-BE8D20EB4FDE}"/>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1524184932638E-4"/>
                  <c:y val="-3.37597695456351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A7-499C-99A8-BE8D20EB4FDE}"/>
                </c:ext>
              </c:extLst>
            </c:dLbl>
            <c:spPr>
              <a:noFill/>
              <a:ln>
                <a:noFill/>
              </a:ln>
              <a:effectLst/>
            </c:spPr>
            <c:txPr>
              <a:bodyPr wrap="square" lIns="38100" tIns="19050" rIns="38100" bIns="19050" anchor="ctr">
                <a:spAutoFit/>
              </a:bodyPr>
              <a:lstStyle/>
              <a:p>
                <a:pPr>
                  <a:defRPr sz="700" b="1">
                    <a:solidFill>
                      <a:srgbClr val="33CC33"/>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2018'!$A$165:$B$381</c:f>
              <c:multiLvlStrCache>
                <c:ptCount val="217"/>
                <c:lvl>
                  <c:pt idx="0">
                    <c:v>1qSep</c:v>
                  </c:pt>
                  <c:pt idx="1">
                    <c:v>2qSep</c:v>
                  </c:pt>
                  <c:pt idx="2">
                    <c:v>1qOct</c:v>
                  </c:pt>
                  <c:pt idx="3">
                    <c:v>2qOct</c:v>
                  </c:pt>
                  <c:pt idx="4">
                    <c:v>1qNov</c:v>
                  </c:pt>
                  <c:pt idx="5">
                    <c:v>2qNov</c:v>
                  </c:pt>
                  <c:pt idx="6">
                    <c:v>1qDic</c:v>
                  </c:pt>
                  <c:pt idx="7">
                    <c:v>2qDic</c:v>
                  </c:pt>
                  <c:pt idx="8">
                    <c:v>1qEne</c:v>
                  </c:pt>
                  <c:pt idx="9">
                    <c:v>2qEne</c:v>
                  </c:pt>
                  <c:pt idx="10">
                    <c:v>1qFeb</c:v>
                  </c:pt>
                  <c:pt idx="11">
                    <c:v>2qFeb</c:v>
                  </c:pt>
                  <c:pt idx="12">
                    <c:v>1qMar</c:v>
                  </c:pt>
                  <c:pt idx="13">
                    <c:v>2qMar</c:v>
                  </c:pt>
                  <c:pt idx="14">
                    <c:v>1qAbr</c:v>
                  </c:pt>
                  <c:pt idx="15">
                    <c:v>2qAbr</c:v>
                  </c:pt>
                  <c:pt idx="16">
                    <c:v>1qMay</c:v>
                  </c:pt>
                  <c:pt idx="17">
                    <c:v>2qMay</c:v>
                  </c:pt>
                  <c:pt idx="18">
                    <c:v>1qJun</c:v>
                  </c:pt>
                  <c:pt idx="19">
                    <c:v>2qJun</c:v>
                  </c:pt>
                  <c:pt idx="20">
                    <c:v>1qJul</c:v>
                  </c:pt>
                  <c:pt idx="21">
                    <c:v>2qJul</c:v>
                  </c:pt>
                  <c:pt idx="22">
                    <c:v>1qAgo</c:v>
                  </c:pt>
                  <c:pt idx="23">
                    <c:v>2qAgo</c:v>
                  </c:pt>
                  <c:pt idx="24">
                    <c:v>1qSep</c:v>
                  </c:pt>
                  <c:pt idx="25">
                    <c:v>2qSep</c:v>
                  </c:pt>
                  <c:pt idx="26">
                    <c:v>1qOct</c:v>
                  </c:pt>
                  <c:pt idx="27">
                    <c:v>2qOct</c:v>
                  </c:pt>
                  <c:pt idx="28">
                    <c:v>1qNov</c:v>
                  </c:pt>
                  <c:pt idx="29">
                    <c:v>2qNov</c:v>
                  </c:pt>
                  <c:pt idx="30">
                    <c:v>1qDic</c:v>
                  </c:pt>
                  <c:pt idx="31">
                    <c:v>2qDic</c:v>
                  </c:pt>
                  <c:pt idx="32">
                    <c:v>1qEne</c:v>
                  </c:pt>
                  <c:pt idx="33">
                    <c:v>2qEne</c:v>
                  </c:pt>
                  <c:pt idx="34">
                    <c:v>1qFeb</c:v>
                  </c:pt>
                  <c:pt idx="35">
                    <c:v>2qFeb</c:v>
                  </c:pt>
                  <c:pt idx="36">
                    <c:v>1qMar</c:v>
                  </c:pt>
                  <c:pt idx="37">
                    <c:v>2qMar</c:v>
                  </c:pt>
                  <c:pt idx="38">
                    <c:v>1qAbr</c:v>
                  </c:pt>
                  <c:pt idx="39">
                    <c:v>2qAbr</c:v>
                  </c:pt>
                  <c:pt idx="40">
                    <c:v>1qMay</c:v>
                  </c:pt>
                  <c:pt idx="41">
                    <c:v>2qMay</c:v>
                  </c:pt>
                  <c:pt idx="42">
                    <c:v>1qJun</c:v>
                  </c:pt>
                  <c:pt idx="43">
                    <c:v>2qJun</c:v>
                  </c:pt>
                  <c:pt idx="44">
                    <c:v>1qJul</c:v>
                  </c:pt>
                  <c:pt idx="45">
                    <c:v>2qJul</c:v>
                  </c:pt>
                  <c:pt idx="46">
                    <c:v>1qAgo</c:v>
                  </c:pt>
                  <c:pt idx="47">
                    <c:v>2qAgo</c:v>
                  </c:pt>
                  <c:pt idx="48">
                    <c:v>1qSep</c:v>
                  </c:pt>
                  <c:pt idx="49">
                    <c:v>2qSep</c:v>
                  </c:pt>
                  <c:pt idx="50">
                    <c:v>1qOct</c:v>
                  </c:pt>
                  <c:pt idx="51">
                    <c:v>2qOct</c:v>
                  </c:pt>
                  <c:pt idx="52">
                    <c:v>1qNov</c:v>
                  </c:pt>
                  <c:pt idx="53">
                    <c:v>2qNov</c:v>
                  </c:pt>
                  <c:pt idx="54">
                    <c:v>1qDic</c:v>
                  </c:pt>
                  <c:pt idx="55">
                    <c:v>2qDic</c:v>
                  </c:pt>
                  <c:pt idx="56">
                    <c:v>1qEne</c:v>
                  </c:pt>
                  <c:pt idx="57">
                    <c:v>2qEne</c:v>
                  </c:pt>
                  <c:pt idx="58">
                    <c:v>1qFeb</c:v>
                  </c:pt>
                  <c:pt idx="59">
                    <c:v>2qFeb</c:v>
                  </c:pt>
                  <c:pt idx="60">
                    <c:v>1qMar</c:v>
                  </c:pt>
                  <c:pt idx="61">
                    <c:v>2qMar</c:v>
                  </c:pt>
                  <c:pt idx="62">
                    <c:v>1qAbr</c:v>
                  </c:pt>
                  <c:pt idx="63">
                    <c:v>2qAbr</c:v>
                  </c:pt>
                  <c:pt idx="64">
                    <c:v>1qMay</c:v>
                  </c:pt>
                  <c:pt idx="65">
                    <c:v>2qMay</c:v>
                  </c:pt>
                  <c:pt idx="66">
                    <c:v>1qJun</c:v>
                  </c:pt>
                  <c:pt idx="67">
                    <c:v>2qJun</c:v>
                  </c:pt>
                  <c:pt idx="68">
                    <c:v>1qJul</c:v>
                  </c:pt>
                  <c:pt idx="69">
                    <c:v>2qJul</c:v>
                  </c:pt>
                  <c:pt idx="70">
                    <c:v>1qAgo</c:v>
                  </c:pt>
                  <c:pt idx="71">
                    <c:v>2qAgo</c:v>
                  </c:pt>
                  <c:pt idx="72">
                    <c:v>1qSep</c:v>
                  </c:pt>
                  <c:pt idx="73">
                    <c:v>2qSep</c:v>
                  </c:pt>
                  <c:pt idx="74">
                    <c:v>1qOct</c:v>
                  </c:pt>
                  <c:pt idx="75">
                    <c:v>2qOct</c:v>
                  </c:pt>
                  <c:pt idx="76">
                    <c:v>1qNov</c:v>
                  </c:pt>
                  <c:pt idx="77">
                    <c:v>2qNov</c:v>
                  </c:pt>
                  <c:pt idx="78">
                    <c:v>1qDic</c:v>
                  </c:pt>
                  <c:pt idx="79">
                    <c:v>2qDic</c:v>
                  </c:pt>
                  <c:pt idx="80">
                    <c:v>1qEne</c:v>
                  </c:pt>
                  <c:pt idx="81">
                    <c:v>2qEne</c:v>
                  </c:pt>
                  <c:pt idx="82">
                    <c:v>1qFeb</c:v>
                  </c:pt>
                  <c:pt idx="83">
                    <c:v>2qFeb</c:v>
                  </c:pt>
                  <c:pt idx="84">
                    <c:v>1qMar</c:v>
                  </c:pt>
                  <c:pt idx="85">
                    <c:v>2qMar</c:v>
                  </c:pt>
                  <c:pt idx="86">
                    <c:v>1qAbr</c:v>
                  </c:pt>
                  <c:pt idx="87">
                    <c:v>2qAbr</c:v>
                  </c:pt>
                  <c:pt idx="88">
                    <c:v>1qMay</c:v>
                  </c:pt>
                  <c:pt idx="89">
                    <c:v>2qMay</c:v>
                  </c:pt>
                  <c:pt idx="90">
                    <c:v>1qJun</c:v>
                  </c:pt>
                  <c:pt idx="91">
                    <c:v>2qJun</c:v>
                  </c:pt>
                  <c:pt idx="92">
                    <c:v>1qJul</c:v>
                  </c:pt>
                  <c:pt idx="93">
                    <c:v>2qJul</c:v>
                  </c:pt>
                  <c:pt idx="94">
                    <c:v>1qAgo</c:v>
                  </c:pt>
                  <c:pt idx="95">
                    <c:v>2qAgo</c:v>
                  </c:pt>
                  <c:pt idx="96">
                    <c:v>1qSep</c:v>
                  </c:pt>
                  <c:pt idx="97">
                    <c:v>2qSep</c:v>
                  </c:pt>
                  <c:pt idx="98">
                    <c:v>1qOct</c:v>
                  </c:pt>
                  <c:pt idx="99">
                    <c:v>2qOct</c:v>
                  </c:pt>
                  <c:pt idx="100">
                    <c:v>1qNov</c:v>
                  </c:pt>
                  <c:pt idx="101">
                    <c:v>2qNov</c:v>
                  </c:pt>
                  <c:pt idx="102">
                    <c:v>1qDic</c:v>
                  </c:pt>
                  <c:pt idx="103">
                    <c:v>2qDic</c:v>
                  </c:pt>
                  <c:pt idx="104">
                    <c:v>1qEne</c:v>
                  </c:pt>
                  <c:pt idx="105">
                    <c:v>2qEne</c:v>
                  </c:pt>
                  <c:pt idx="106">
                    <c:v>1qFeb</c:v>
                  </c:pt>
                  <c:pt idx="107">
                    <c:v>2qFeb</c:v>
                  </c:pt>
                  <c:pt idx="108">
                    <c:v>1qMar</c:v>
                  </c:pt>
                  <c:pt idx="109">
                    <c:v>2qMar</c:v>
                  </c:pt>
                  <c:pt idx="110">
                    <c:v>1qAbr</c:v>
                  </c:pt>
                  <c:pt idx="111">
                    <c:v>2qAbr</c:v>
                  </c:pt>
                  <c:pt idx="112">
                    <c:v>1qMay</c:v>
                  </c:pt>
                  <c:pt idx="113">
                    <c:v>2qMay</c:v>
                  </c:pt>
                  <c:pt idx="114">
                    <c:v>1qJun</c:v>
                  </c:pt>
                  <c:pt idx="115">
                    <c:v>2qJun</c:v>
                  </c:pt>
                  <c:pt idx="116">
                    <c:v>1qJul</c:v>
                  </c:pt>
                  <c:pt idx="117">
                    <c:v>2qJul</c:v>
                  </c:pt>
                  <c:pt idx="118">
                    <c:v>1qAgo</c:v>
                  </c:pt>
                  <c:pt idx="119">
                    <c:v>2qAgo</c:v>
                  </c:pt>
                  <c:pt idx="120">
                    <c:v>1qSep</c:v>
                  </c:pt>
                  <c:pt idx="121">
                    <c:v>2qSep</c:v>
                  </c:pt>
                  <c:pt idx="122">
                    <c:v>1qOct</c:v>
                  </c:pt>
                  <c:pt idx="123">
                    <c:v>2qOct</c:v>
                  </c:pt>
                  <c:pt idx="124">
                    <c:v>1qNov</c:v>
                  </c:pt>
                  <c:pt idx="125">
                    <c:v>2qNov</c:v>
                  </c:pt>
                  <c:pt idx="126">
                    <c:v>1qDic</c:v>
                  </c:pt>
                  <c:pt idx="127">
                    <c:v>2qDic</c:v>
                  </c:pt>
                  <c:pt idx="128">
                    <c:v>1qEne</c:v>
                  </c:pt>
                  <c:pt idx="129">
                    <c:v>2qEne</c:v>
                  </c:pt>
                  <c:pt idx="130">
                    <c:v>1qFeb</c:v>
                  </c:pt>
                  <c:pt idx="131">
                    <c:v>2qFeb</c:v>
                  </c:pt>
                  <c:pt idx="132">
                    <c:v>1qMar</c:v>
                  </c:pt>
                  <c:pt idx="133">
                    <c:v>2qMar</c:v>
                  </c:pt>
                  <c:pt idx="134">
                    <c:v>1qAbr</c:v>
                  </c:pt>
                  <c:pt idx="135">
                    <c:v>2qAbr</c:v>
                  </c:pt>
                  <c:pt idx="136">
                    <c:v>1qMay</c:v>
                  </c:pt>
                  <c:pt idx="137">
                    <c:v>2qMay</c:v>
                  </c:pt>
                  <c:pt idx="138">
                    <c:v>1qJun</c:v>
                  </c:pt>
                  <c:pt idx="139">
                    <c:v>2qJun</c:v>
                  </c:pt>
                  <c:pt idx="140">
                    <c:v>1qJul</c:v>
                  </c:pt>
                  <c:pt idx="141">
                    <c:v>2qJul</c:v>
                  </c:pt>
                  <c:pt idx="142">
                    <c:v>1qAgo</c:v>
                  </c:pt>
                  <c:pt idx="143">
                    <c:v>2qAgo</c:v>
                  </c:pt>
                  <c:pt idx="144">
                    <c:v>1qSep</c:v>
                  </c:pt>
                  <c:pt idx="145">
                    <c:v>2qSep</c:v>
                  </c:pt>
                  <c:pt idx="146">
                    <c:v>1qOct</c:v>
                  </c:pt>
                  <c:pt idx="147">
                    <c:v>2qOct</c:v>
                  </c:pt>
                  <c:pt idx="148">
                    <c:v>1qNov</c:v>
                  </c:pt>
                  <c:pt idx="149">
                    <c:v>2qNov</c:v>
                  </c:pt>
                  <c:pt idx="150">
                    <c:v>1qDic</c:v>
                  </c:pt>
                  <c:pt idx="151">
                    <c:v>2qDic</c:v>
                  </c:pt>
                  <c:pt idx="152">
                    <c:v>1qEne</c:v>
                  </c:pt>
                  <c:pt idx="153">
                    <c:v>2qEne</c:v>
                  </c:pt>
                  <c:pt idx="154">
                    <c:v>1qFeb</c:v>
                  </c:pt>
                  <c:pt idx="155">
                    <c:v>2qFeb</c:v>
                  </c:pt>
                  <c:pt idx="156">
                    <c:v>1qMar</c:v>
                  </c:pt>
                  <c:pt idx="157">
                    <c:v>2qMar</c:v>
                  </c:pt>
                  <c:pt idx="158">
                    <c:v>1qAbr</c:v>
                  </c:pt>
                  <c:pt idx="159">
                    <c:v>2qAbr</c:v>
                  </c:pt>
                  <c:pt idx="160">
                    <c:v>1qMay</c:v>
                  </c:pt>
                  <c:pt idx="161">
                    <c:v>2qMay</c:v>
                  </c:pt>
                  <c:pt idx="162">
                    <c:v>1qJun</c:v>
                  </c:pt>
                  <c:pt idx="163">
                    <c:v>2qJun</c:v>
                  </c:pt>
                  <c:pt idx="164">
                    <c:v>1qJul</c:v>
                  </c:pt>
                  <c:pt idx="165">
                    <c:v>2qJul</c:v>
                  </c:pt>
                  <c:pt idx="166">
                    <c:v>1qAgo</c:v>
                  </c:pt>
                  <c:pt idx="167">
                    <c:v>2qAgo</c:v>
                  </c:pt>
                  <c:pt idx="168">
                    <c:v>1qSep</c:v>
                  </c:pt>
                  <c:pt idx="169">
                    <c:v>2qSep</c:v>
                  </c:pt>
                  <c:pt idx="170">
                    <c:v>1qOct</c:v>
                  </c:pt>
                  <c:pt idx="171">
                    <c:v>2qOct</c:v>
                  </c:pt>
                  <c:pt idx="172">
                    <c:v>1qNov</c:v>
                  </c:pt>
                  <c:pt idx="173">
                    <c:v>2qNov</c:v>
                  </c:pt>
                  <c:pt idx="174">
                    <c:v>1qDic</c:v>
                  </c:pt>
                  <c:pt idx="175">
                    <c:v>2qDic</c:v>
                  </c:pt>
                  <c:pt idx="176">
                    <c:v>1qEne</c:v>
                  </c:pt>
                  <c:pt idx="177">
                    <c:v>2qEne</c:v>
                  </c:pt>
                  <c:pt idx="178">
                    <c:v>1qFeb</c:v>
                  </c:pt>
                  <c:pt idx="179">
                    <c:v>2qFeb</c:v>
                  </c:pt>
                  <c:pt idx="180">
                    <c:v>1qMar</c:v>
                  </c:pt>
                  <c:pt idx="181">
                    <c:v>2qMar</c:v>
                  </c:pt>
                  <c:pt idx="182">
                    <c:v>1qAbr</c:v>
                  </c:pt>
                  <c:pt idx="183">
                    <c:v>2qAbr</c:v>
                  </c:pt>
                  <c:pt idx="184">
                    <c:v>1qMay</c:v>
                  </c:pt>
                  <c:pt idx="185">
                    <c:v>2qMay</c:v>
                  </c:pt>
                  <c:pt idx="186">
                    <c:v>1qJun</c:v>
                  </c:pt>
                  <c:pt idx="187">
                    <c:v>2qJun</c:v>
                  </c:pt>
                  <c:pt idx="188">
                    <c:v>1qJul</c:v>
                  </c:pt>
                  <c:pt idx="189">
                    <c:v>2qJul</c:v>
                  </c:pt>
                  <c:pt idx="190">
                    <c:v>1qAgo</c:v>
                  </c:pt>
                  <c:pt idx="191">
                    <c:v>2qAgo</c:v>
                  </c:pt>
                  <c:pt idx="192">
                    <c:v>1qSep</c:v>
                  </c:pt>
                  <c:pt idx="193">
                    <c:v>2qSep</c:v>
                  </c:pt>
                  <c:pt idx="194">
                    <c:v>1qOct</c:v>
                  </c:pt>
                  <c:pt idx="195">
                    <c:v>2qOct</c:v>
                  </c:pt>
                  <c:pt idx="196">
                    <c:v>1qNov</c:v>
                  </c:pt>
                  <c:pt idx="197">
                    <c:v>2qNov</c:v>
                  </c:pt>
                  <c:pt idx="198">
                    <c:v>1qDic</c:v>
                  </c:pt>
                  <c:pt idx="199">
                    <c:v>2qDic</c:v>
                  </c:pt>
                  <c:pt idx="200">
                    <c:v>1qEne</c:v>
                  </c:pt>
                  <c:pt idx="201">
                    <c:v>2qEne</c:v>
                  </c:pt>
                  <c:pt idx="202">
                    <c:v>1qFeb</c:v>
                  </c:pt>
                  <c:pt idx="203">
                    <c:v>2qFeb</c:v>
                  </c:pt>
                  <c:pt idx="204">
                    <c:v>1qMar</c:v>
                  </c:pt>
                  <c:pt idx="205">
                    <c:v>2qMar</c:v>
                  </c:pt>
                  <c:pt idx="206">
                    <c:v>1qAbr</c:v>
                  </c:pt>
                  <c:pt idx="207">
                    <c:v>2qAbr</c:v>
                  </c:pt>
                  <c:pt idx="208">
                    <c:v>1qMay</c:v>
                  </c:pt>
                  <c:pt idx="209">
                    <c:v>2qMay</c:v>
                  </c:pt>
                  <c:pt idx="210">
                    <c:v>1qJun</c:v>
                  </c:pt>
                  <c:pt idx="211">
                    <c:v>2qJun</c:v>
                  </c:pt>
                  <c:pt idx="212">
                    <c:v>1qJul</c:v>
                  </c:pt>
                  <c:pt idx="213">
                    <c:v>2qJul</c:v>
                  </c:pt>
                  <c:pt idx="214">
                    <c:v>1qAgo</c:v>
                  </c:pt>
                  <c:pt idx="215">
                    <c:v>2qAgo</c:v>
                  </c:pt>
                  <c:pt idx="216">
                    <c:v>1qSep</c:v>
                  </c:pt>
                </c:lvl>
                <c:lvl>
                  <c:pt idx="0">
                    <c:v>2012</c:v>
                  </c:pt>
                  <c:pt idx="1">
                    <c:v>2012</c:v>
                  </c:pt>
                  <c:pt idx="2">
                    <c:v>2012</c:v>
                  </c:pt>
                  <c:pt idx="3">
                    <c:v>2012</c:v>
                  </c:pt>
                  <c:pt idx="4">
                    <c:v>2012</c:v>
                  </c:pt>
                  <c:pt idx="5">
                    <c:v>2012</c:v>
                  </c:pt>
                  <c:pt idx="6">
                    <c:v>2012</c:v>
                  </c:pt>
                  <c:pt idx="7">
                    <c:v>2012</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2014</c:v>
                  </c:pt>
                  <c:pt idx="55">
                    <c:v>2014</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2015</c:v>
                  </c:pt>
                  <c:pt idx="79">
                    <c:v>2015</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2016</c:v>
                  </c:pt>
                  <c:pt idx="103">
                    <c:v>2016</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2017</c:v>
                  </c:pt>
                  <c:pt idx="127">
                    <c:v>2017</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2018</c:v>
                  </c:pt>
                  <c:pt idx="151">
                    <c:v>2018</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2019</c:v>
                  </c:pt>
                  <c:pt idx="175">
                    <c:v>2019</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2020</c:v>
                  </c:pt>
                  <c:pt idx="199">
                    <c:v>2020</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2018'!$G$165:$G$381</c:f>
              <c:numCache>
                <c:formatCode>0.00</c:formatCode>
                <c:ptCount val="217"/>
                <c:pt idx="0">
                  <c:v>3.5989553948191961</c:v>
                </c:pt>
                <c:pt idx="1">
                  <c:v>3.6175749418751248</c:v>
                </c:pt>
                <c:pt idx="2">
                  <c:v>3.5804788237867169</c:v>
                </c:pt>
                <c:pt idx="3">
                  <c:v>3.5710434435480733</c:v>
                </c:pt>
                <c:pt idx="4">
                  <c:v>3.497724814484096</c:v>
                </c:pt>
                <c:pt idx="5">
                  <c:v>3.0944012280048958</c:v>
                </c:pt>
                <c:pt idx="6">
                  <c:v>3.0040571360508883</c:v>
                </c:pt>
                <c:pt idx="7">
                  <c:v>2.7964321989406584</c:v>
                </c:pt>
                <c:pt idx="8">
                  <c:v>2.7763497027195498</c:v>
                </c:pt>
                <c:pt idx="9">
                  <c:v>2.9751754935712431</c:v>
                </c:pt>
                <c:pt idx="10">
                  <c:v>2.9575503875276712</c:v>
                </c:pt>
                <c:pt idx="11">
                  <c:v>2.9657092040579758</c:v>
                </c:pt>
                <c:pt idx="12">
                  <c:v>3.0602036721268644</c:v>
                </c:pt>
                <c:pt idx="13">
                  <c:v>2.9791164494705962</c:v>
                </c:pt>
                <c:pt idx="14">
                  <c:v>3.0026041070565621</c:v>
                </c:pt>
                <c:pt idx="15">
                  <c:v>2.8915458173883479</c:v>
                </c:pt>
                <c:pt idx="16">
                  <c:v>2.8909365438263444</c:v>
                </c:pt>
                <c:pt idx="17">
                  <c:v>2.8631679529443979</c:v>
                </c:pt>
                <c:pt idx="18">
                  <c:v>2.8307350923769405</c:v>
                </c:pt>
                <c:pt idx="19">
                  <c:v>2.7437282572557016</c:v>
                </c:pt>
                <c:pt idx="20">
                  <c:v>2.5697096747123833</c:v>
                </c:pt>
                <c:pt idx="21">
                  <c:v>2.4360903054217125</c:v>
                </c:pt>
                <c:pt idx="22">
                  <c:v>2.3835805910849777</c:v>
                </c:pt>
                <c:pt idx="23">
                  <c:v>2.3480634242683229</c:v>
                </c:pt>
                <c:pt idx="24">
                  <c:v>2.535276339954553</c:v>
                </c:pt>
                <c:pt idx="25">
                  <c:v>2.4965785009156081</c:v>
                </c:pt>
                <c:pt idx="26">
                  <c:v>2.4640712164855678</c:v>
                </c:pt>
                <c:pt idx="27">
                  <c:v>2.4948139964390839</c:v>
                </c:pt>
                <c:pt idx="28">
                  <c:v>2.4265245867401597</c:v>
                </c:pt>
                <c:pt idx="29">
                  <c:v>2.7038703266946786</c:v>
                </c:pt>
                <c:pt idx="30">
                  <c:v>2.751128068649233</c:v>
                </c:pt>
                <c:pt idx="31">
                  <c:v>2.8026579468947426</c:v>
                </c:pt>
                <c:pt idx="32">
                  <c:v>3.3301766974286218</c:v>
                </c:pt>
                <c:pt idx="33">
                  <c:v>3.1002666825252425</c:v>
                </c:pt>
                <c:pt idx="34">
                  <c:v>2.9720512722063508</c:v>
                </c:pt>
                <c:pt idx="35">
                  <c:v>2.9911409949387719</c:v>
                </c:pt>
                <c:pt idx="36">
                  <c:v>2.8393403954390637</c:v>
                </c:pt>
                <c:pt idx="37">
                  <c:v>2.9470966063651716</c:v>
                </c:pt>
                <c:pt idx="38">
                  <c:v>3.1650623331299617</c:v>
                </c:pt>
                <c:pt idx="39">
                  <c:v>3.0552508730965879</c:v>
                </c:pt>
                <c:pt idx="40">
                  <c:v>2.965790301060844</c:v>
                </c:pt>
                <c:pt idx="41">
                  <c:v>3.0412359691456019</c:v>
                </c:pt>
                <c:pt idx="42">
                  <c:v>3.0875416706861825</c:v>
                </c:pt>
                <c:pt idx="43">
                  <c:v>3.0926368076054618</c:v>
                </c:pt>
                <c:pt idx="44">
                  <c:v>3.2008508707259615</c:v>
                </c:pt>
                <c:pt idx="45">
                  <c:v>3.296727917181848</c:v>
                </c:pt>
                <c:pt idx="46">
                  <c:v>3.3403363995215916</c:v>
                </c:pt>
                <c:pt idx="47">
                  <c:v>3.4088159517772554</c:v>
                </c:pt>
                <c:pt idx="48">
                  <c:v>3.3443317105628387</c:v>
                </c:pt>
                <c:pt idx="49">
                  <c:v>3.3410517831071793</c:v>
                </c:pt>
                <c:pt idx="50">
                  <c:v>3.320114326066006</c:v>
                </c:pt>
                <c:pt idx="51">
                  <c:v>3.3125587217442973</c:v>
                </c:pt>
                <c:pt idx="52">
                  <c:v>3.3269143797989815</c:v>
                </c:pt>
                <c:pt idx="53">
                  <c:v>3.3597016646049473</c:v>
                </c:pt>
                <c:pt idx="54">
                  <c:v>3.2613173618448141</c:v>
                </c:pt>
                <c:pt idx="55">
                  <c:v>3.2283311008381563</c:v>
                </c:pt>
                <c:pt idx="56">
                  <c:v>2.4257619293549975</c:v>
                </c:pt>
                <c:pt idx="57">
                  <c:v>2.2512483178846994</c:v>
                </c:pt>
                <c:pt idx="58">
                  <c:v>2.4154760560769155</c:v>
                </c:pt>
                <c:pt idx="59">
                  <c:v>2.3803601042870661</c:v>
                </c:pt>
                <c:pt idx="60">
                  <c:v>2.4210809690652884</c:v>
                </c:pt>
                <c:pt idx="61">
                  <c:v>2.4716727562373664</c:v>
                </c:pt>
                <c:pt idx="62">
                  <c:v>2.22959038644635</c:v>
                </c:pt>
                <c:pt idx="63">
                  <c:v>2.3867779230047406</c:v>
                </c:pt>
                <c:pt idx="64">
                  <c:v>2.3645039102051868</c:v>
                </c:pt>
                <c:pt idx="65">
                  <c:v>2.2967267698564018</c:v>
                </c:pt>
                <c:pt idx="66">
                  <c:v>2.3068088582791066</c:v>
                </c:pt>
                <c:pt idx="67">
                  <c:v>2.3470897521408207</c:v>
                </c:pt>
                <c:pt idx="68">
                  <c:v>2.3048831870518853</c:v>
                </c:pt>
                <c:pt idx="69">
                  <c:v>2.3176027185983523</c:v>
                </c:pt>
                <c:pt idx="70">
                  <c:v>2.2916919550657333</c:v>
                </c:pt>
                <c:pt idx="71">
                  <c:v>2.3072511966621598</c:v>
                </c:pt>
                <c:pt idx="72">
                  <c:v>2.3401806229756428</c:v>
                </c:pt>
                <c:pt idx="73">
                  <c:v>2.4176421285037821</c:v>
                </c:pt>
                <c:pt idx="74">
                  <c:v>2.4587510846686191</c:v>
                </c:pt>
                <c:pt idx="75">
                  <c:v>2.4726079923024322</c:v>
                </c:pt>
                <c:pt idx="76">
                  <c:v>2.3463360125931945</c:v>
                </c:pt>
                <c:pt idx="77">
                  <c:v>2.3268213688759705</c:v>
                </c:pt>
                <c:pt idx="78">
                  <c:v>2.390553712314857</c:v>
                </c:pt>
                <c:pt idx="79">
                  <c:v>2.4333480158938574</c:v>
                </c:pt>
                <c:pt idx="80">
                  <c:v>2.6075350521938248</c:v>
                </c:pt>
                <c:pt idx="81">
                  <c:v>2.6792848558866034</c:v>
                </c:pt>
                <c:pt idx="82">
                  <c:v>2.6247721940712854</c:v>
                </c:pt>
                <c:pt idx="83">
                  <c:v>2.6999719049183106</c:v>
                </c:pt>
                <c:pt idx="84">
                  <c:v>2.8570717271853301</c:v>
                </c:pt>
                <c:pt idx="85">
                  <c:v>2.6643976864392171</c:v>
                </c:pt>
                <c:pt idx="86">
                  <c:v>2.7889505267186077</c:v>
                </c:pt>
                <c:pt idx="87">
                  <c:v>2.8653494472590446</c:v>
                </c:pt>
                <c:pt idx="88">
                  <c:v>2.9155541341971842</c:v>
                </c:pt>
                <c:pt idx="89">
                  <c:v>2.9400204454453038</c:v>
                </c:pt>
                <c:pt idx="90">
                  <c:v>2.9780685524937418</c:v>
                </c:pt>
                <c:pt idx="91">
                  <c:v>2.970805194310711</c:v>
                </c:pt>
                <c:pt idx="92">
                  <c:v>2.9869000821721321</c:v>
                </c:pt>
                <c:pt idx="93">
                  <c:v>2.958184265532811</c:v>
                </c:pt>
                <c:pt idx="94">
                  <c:v>2.9678902064447099</c:v>
                </c:pt>
                <c:pt idx="95">
                  <c:v>2.9539547347381339</c:v>
                </c:pt>
                <c:pt idx="96">
                  <c:v>3.0468116923746806</c:v>
                </c:pt>
                <c:pt idx="97">
                  <c:v>3.0912825950724891</c:v>
                </c:pt>
                <c:pt idx="98">
                  <c:v>3.1012509952726064</c:v>
                </c:pt>
                <c:pt idx="99">
                  <c:v>3.0947616902772506</c:v>
                </c:pt>
                <c:pt idx="100">
                  <c:v>3.3319998055344984</c:v>
                </c:pt>
                <c:pt idx="101">
                  <c:v>3.2541169825970431</c:v>
                </c:pt>
                <c:pt idx="102">
                  <c:v>3.4556844443457231</c:v>
                </c:pt>
                <c:pt idx="103">
                  <c:v>3.4190637781387228</c:v>
                </c:pt>
                <c:pt idx="104">
                  <c:v>3.7171121119421828</c:v>
                </c:pt>
                <c:pt idx="105">
                  <c:v>3.9541963785562761</c:v>
                </c:pt>
                <c:pt idx="106">
                  <c:v>4.1997330552909586</c:v>
                </c:pt>
                <c:pt idx="107">
                  <c:v>4.311207443014049</c:v>
                </c:pt>
                <c:pt idx="108">
                  <c:v>4.3234288151573121</c:v>
                </c:pt>
                <c:pt idx="109">
                  <c:v>4.6332592126084799</c:v>
                </c:pt>
                <c:pt idx="110">
                  <c:v>4.755660342374016</c:v>
                </c:pt>
                <c:pt idx="111">
                  <c:v>4.6790514324428747</c:v>
                </c:pt>
                <c:pt idx="112">
                  <c:v>4.7509278569842373</c:v>
                </c:pt>
                <c:pt idx="113">
                  <c:v>4.8121947523125428</c:v>
                </c:pt>
                <c:pt idx="114">
                  <c:v>4.8209395856761645</c:v>
                </c:pt>
                <c:pt idx="115">
                  <c:v>4.8467381815305748</c:v>
                </c:pt>
                <c:pt idx="116">
                  <c:v>4.9207056044795072</c:v>
                </c:pt>
                <c:pt idx="117">
                  <c:v>4.9503227740202931</c:v>
                </c:pt>
                <c:pt idx="118">
                  <c:v>5.0213060833167322</c:v>
                </c:pt>
                <c:pt idx="119">
                  <c:v>4.9846248601918619</c:v>
                </c:pt>
                <c:pt idx="120">
                  <c:v>4.896399946121428</c:v>
                </c:pt>
                <c:pt idx="121">
                  <c:v>4.7040384762837748</c:v>
                </c:pt>
                <c:pt idx="122">
                  <c:v>4.7478938244134978</c:v>
                </c:pt>
                <c:pt idx="123">
                  <c:v>4.7956917969896518</c:v>
                </c:pt>
                <c:pt idx="124">
                  <c:v>4.8450991871710318</c:v>
                </c:pt>
                <c:pt idx="125">
                  <c:v>4.9491574797445885</c:v>
                </c:pt>
                <c:pt idx="126">
                  <c:v>4.9048497326154274</c:v>
                </c:pt>
                <c:pt idx="127">
                  <c:v>4.8327261818475638</c:v>
                </c:pt>
                <c:pt idx="128">
                  <c:v>4.626351793496065</c:v>
                </c:pt>
                <c:pt idx="129">
                  <c:v>4.4960621553256628</c:v>
                </c:pt>
                <c:pt idx="130">
                  <c:v>4.3243267051739158</c:v>
                </c:pt>
                <c:pt idx="131">
                  <c:v>4.225113200069833</c:v>
                </c:pt>
                <c:pt idx="132">
                  <c:v>4.1452320212772849</c:v>
                </c:pt>
                <c:pt idx="133">
                  <c:v>3.9008573614003428</c:v>
                </c:pt>
                <c:pt idx="134">
                  <c:v>3.7001331444606622</c:v>
                </c:pt>
                <c:pt idx="135">
                  <c:v>3.7189879850623115</c:v>
                </c:pt>
                <c:pt idx="136">
                  <c:v>3.6940324860046641</c:v>
                </c:pt>
                <c:pt idx="137">
                  <c:v>3.6872847615328928</c:v>
                </c:pt>
                <c:pt idx="138">
                  <c:v>3.5926706669103226</c:v>
                </c:pt>
                <c:pt idx="139">
                  <c:v>3.6378912164257176</c:v>
                </c:pt>
                <c:pt idx="140">
                  <c:v>3.6414532163026938</c:v>
                </c:pt>
                <c:pt idx="141">
                  <c:v>3.6283822763214917</c:v>
                </c:pt>
                <c:pt idx="142">
                  <c:v>3.60422766425244</c:v>
                </c:pt>
                <c:pt idx="143">
                  <c:v>3.6492836648371476</c:v>
                </c:pt>
                <c:pt idx="144">
                  <c:v>3.5583711462958476</c:v>
                </c:pt>
                <c:pt idx="145">
                  <c:v>3.7816822032604827</c:v>
                </c:pt>
                <c:pt idx="146">
                  <c:v>3.7416397848555354</c:v>
                </c:pt>
                <c:pt idx="147">
                  <c:v>3.7169746286009109</c:v>
                </c:pt>
                <c:pt idx="148">
                  <c:v>3.6257828133946166</c:v>
                </c:pt>
                <c:pt idx="149">
                  <c:v>3.6406529749812364</c:v>
                </c:pt>
                <c:pt idx="150">
                  <c:v>3.6377886379533457</c:v>
                </c:pt>
                <c:pt idx="151">
                  <c:v>3.7284330721464332</c:v>
                </c:pt>
                <c:pt idx="152">
                  <c:v>3.6380265636959224</c:v>
                </c:pt>
                <c:pt idx="153">
                  <c:v>3.5537579923622067</c:v>
                </c:pt>
                <c:pt idx="154">
                  <c:v>3.509918365929515</c:v>
                </c:pt>
                <c:pt idx="155">
                  <c:v>3.564393581591327</c:v>
                </c:pt>
                <c:pt idx="156">
                  <c:v>3.5059473833730292</c:v>
                </c:pt>
                <c:pt idx="157">
                  <c:v>3.598281490808529</c:v>
                </c:pt>
                <c:pt idx="158">
                  <c:v>3.9357101255393165</c:v>
                </c:pt>
                <c:pt idx="159">
                  <c:v>3.806631755056848</c:v>
                </c:pt>
                <c:pt idx="160">
                  <c:v>3.7691795637214343</c:v>
                </c:pt>
                <c:pt idx="161">
                  <c:v>3.7794944538024566</c:v>
                </c:pt>
                <c:pt idx="162">
                  <c:v>3.8676322662943812</c:v>
                </c:pt>
                <c:pt idx="163">
                  <c:v>3.8307340537165544</c:v>
                </c:pt>
                <c:pt idx="164">
                  <c:v>3.8083742254525612</c:v>
                </c:pt>
                <c:pt idx="165">
                  <c:v>3.8340000000000032</c:v>
                </c:pt>
                <c:pt idx="166">
                  <c:v>3.7689600905269542</c:v>
                </c:pt>
                <c:pt idx="167">
                  <c:v>3.7839724729466879</c:v>
                </c:pt>
                <c:pt idx="168">
                  <c:v>3.7817928425663299</c:v>
                </c:pt>
                <c:pt idx="169">
                  <c:v>3.7183882347095838</c:v>
                </c:pt>
                <c:pt idx="170">
                  <c:v>3.6764049402311283</c:v>
                </c:pt>
                <c:pt idx="171">
                  <c:v>3.6914813493479151</c:v>
                </c:pt>
                <c:pt idx="172">
                  <c:v>3.6567393003036597</c:v>
                </c:pt>
                <c:pt idx="173">
                  <c:v>3.6491658343140236</c:v>
                </c:pt>
                <c:pt idx="174">
                  <c:v>3.5895062336281049</c:v>
                </c:pt>
                <c:pt idx="175">
                  <c:v>3.5997205247050266</c:v>
                </c:pt>
                <c:pt idx="176">
                  <c:v>3.7255904505319482</c:v>
                </c:pt>
                <c:pt idx="177">
                  <c:v>3.7263910158244067</c:v>
                </c:pt>
                <c:pt idx="178">
                  <c:v>3.6855710480965023</c:v>
                </c:pt>
                <c:pt idx="179">
                  <c:v>3.6268569194683473</c:v>
                </c:pt>
                <c:pt idx="180">
                  <c:v>3.6028213808376321</c:v>
                </c:pt>
                <c:pt idx="181">
                  <c:v>3.6045163615817035</c:v>
                </c:pt>
                <c:pt idx="182">
                  <c:v>3.4020338456761374</c:v>
                </c:pt>
                <c:pt idx="183">
                  <c:v>3.6057109025438834</c:v>
                </c:pt>
                <c:pt idx="184">
                  <c:v>3.7614545454545505</c:v>
                </c:pt>
                <c:pt idx="185">
                  <c:v>3.5250013876223387</c:v>
                </c:pt>
                <c:pt idx="186">
                  <c:v>3.659738605186095</c:v>
                </c:pt>
                <c:pt idx="187">
                  <c:v>3.7594346533181571</c:v>
                </c:pt>
                <c:pt idx="188">
                  <c:v>3.8425489491590819</c:v>
                </c:pt>
                <c:pt idx="189">
                  <c:v>3.858184029893867</c:v>
                </c:pt>
                <c:pt idx="190">
                  <c:v>3.9284069886773598</c:v>
                </c:pt>
                <c:pt idx="191">
                  <c:v>4.0085810875560952</c:v>
                </c:pt>
                <c:pt idx="192">
                  <c:v>3.985434789552432</c:v>
                </c:pt>
                <c:pt idx="193">
                  <c:v>3.9869639891930237</c:v>
                </c:pt>
                <c:pt idx="194">
                  <c:v>4.0038638007482525</c:v>
                </c:pt>
                <c:pt idx="195">
                  <c:v>3.9551742982615523</c:v>
                </c:pt>
                <c:pt idx="196">
                  <c:v>3.6806887946334848</c:v>
                </c:pt>
                <c:pt idx="197">
                  <c:v>3.6441282754343662</c:v>
                </c:pt>
                <c:pt idx="198">
                  <c:v>3.8063059449952892</c:v>
                </c:pt>
                <c:pt idx="199">
                  <c:v>3.8009539755122201</c:v>
                </c:pt>
                <c:pt idx="200">
                  <c:v>3.8343803459062813</c:v>
                </c:pt>
                <c:pt idx="201">
                  <c:v>3.8403499970661676</c:v>
                </c:pt>
                <c:pt idx="202">
                  <c:v>3.8433110627809506</c:v>
                </c:pt>
                <c:pt idx="203">
                  <c:v>3.8941881578029052</c:v>
                </c:pt>
                <c:pt idx="204">
                  <c:v>4.0915417712531523</c:v>
                </c:pt>
                <c:pt idx="205">
                  <c:v>4.1541554811046559</c:v>
                </c:pt>
                <c:pt idx="206">
                  <c:v>4.1336789805934631</c:v>
                </c:pt>
                <c:pt idx="207">
                  <c:v>4.1303004832031229</c:v>
                </c:pt>
                <c:pt idx="208">
                  <c:v>4.2210262645321626</c:v>
                </c:pt>
                <c:pt idx="209">
                  <c:v>4.514189759892246</c:v>
                </c:pt>
                <c:pt idx="210">
                  <c:v>4.5762652187977055</c:v>
                </c:pt>
                <c:pt idx="211">
                  <c:v>4.5804625467541191</c:v>
                </c:pt>
                <c:pt idx="212">
                  <c:v>4.6418025650333057</c:v>
                </c:pt>
                <c:pt idx="213">
                  <c:v>4.6799779264850656</c:v>
                </c:pt>
                <c:pt idx="214">
                  <c:v>4.7840050996555545</c:v>
                </c:pt>
                <c:pt idx="215">
                  <c:v>4.7682683239604051</c:v>
                </c:pt>
                <c:pt idx="216">
                  <c:v>4.9175124157183596</c:v>
                </c:pt>
              </c:numCache>
            </c:numRef>
          </c:val>
          <c:smooth val="0"/>
          <c:extLst>
            <c:ext xmlns:c16="http://schemas.microsoft.com/office/drawing/2014/chart" uri="{C3380CC4-5D6E-409C-BE32-E72D297353CC}">
              <c16:uniqueId val="{00000003-0AA7-499C-99A8-BE8D20EB4FDE}"/>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401865942994364E-4"/>
                  <c:y val="1.36847576561181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A7-499C-99A8-BE8D20EB4FDE}"/>
                </c:ext>
              </c:extLst>
            </c:dLbl>
            <c:spPr>
              <a:noFill/>
              <a:ln>
                <a:noFill/>
              </a:ln>
              <a:effectLst/>
            </c:spPr>
            <c:txPr>
              <a:bodyPr wrap="square" lIns="38100" tIns="19050" rIns="38100" bIns="19050" anchor="ctr">
                <a:spAutoFit/>
              </a:bodyPr>
              <a:lstStyle/>
              <a:p>
                <a:pPr>
                  <a:defRPr sz="700" b="1">
                    <a:solidFill>
                      <a:srgbClr val="604A7A"/>
                    </a:solidFill>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2018'!$A$165:$B$381</c:f>
              <c:multiLvlStrCache>
                <c:ptCount val="217"/>
                <c:lvl>
                  <c:pt idx="0">
                    <c:v>1qSep</c:v>
                  </c:pt>
                  <c:pt idx="1">
                    <c:v>2qSep</c:v>
                  </c:pt>
                  <c:pt idx="2">
                    <c:v>1qOct</c:v>
                  </c:pt>
                  <c:pt idx="3">
                    <c:v>2qOct</c:v>
                  </c:pt>
                  <c:pt idx="4">
                    <c:v>1qNov</c:v>
                  </c:pt>
                  <c:pt idx="5">
                    <c:v>2qNov</c:v>
                  </c:pt>
                  <c:pt idx="6">
                    <c:v>1qDic</c:v>
                  </c:pt>
                  <c:pt idx="7">
                    <c:v>2qDic</c:v>
                  </c:pt>
                  <c:pt idx="8">
                    <c:v>1qEne</c:v>
                  </c:pt>
                  <c:pt idx="9">
                    <c:v>2qEne</c:v>
                  </c:pt>
                  <c:pt idx="10">
                    <c:v>1qFeb</c:v>
                  </c:pt>
                  <c:pt idx="11">
                    <c:v>2qFeb</c:v>
                  </c:pt>
                  <c:pt idx="12">
                    <c:v>1qMar</c:v>
                  </c:pt>
                  <c:pt idx="13">
                    <c:v>2qMar</c:v>
                  </c:pt>
                  <c:pt idx="14">
                    <c:v>1qAbr</c:v>
                  </c:pt>
                  <c:pt idx="15">
                    <c:v>2qAbr</c:v>
                  </c:pt>
                  <c:pt idx="16">
                    <c:v>1qMay</c:v>
                  </c:pt>
                  <c:pt idx="17">
                    <c:v>2qMay</c:v>
                  </c:pt>
                  <c:pt idx="18">
                    <c:v>1qJun</c:v>
                  </c:pt>
                  <c:pt idx="19">
                    <c:v>2qJun</c:v>
                  </c:pt>
                  <c:pt idx="20">
                    <c:v>1qJul</c:v>
                  </c:pt>
                  <c:pt idx="21">
                    <c:v>2qJul</c:v>
                  </c:pt>
                  <c:pt idx="22">
                    <c:v>1qAgo</c:v>
                  </c:pt>
                  <c:pt idx="23">
                    <c:v>2qAgo</c:v>
                  </c:pt>
                  <c:pt idx="24">
                    <c:v>1qSep</c:v>
                  </c:pt>
                  <c:pt idx="25">
                    <c:v>2qSep</c:v>
                  </c:pt>
                  <c:pt idx="26">
                    <c:v>1qOct</c:v>
                  </c:pt>
                  <c:pt idx="27">
                    <c:v>2qOct</c:v>
                  </c:pt>
                  <c:pt idx="28">
                    <c:v>1qNov</c:v>
                  </c:pt>
                  <c:pt idx="29">
                    <c:v>2qNov</c:v>
                  </c:pt>
                  <c:pt idx="30">
                    <c:v>1qDic</c:v>
                  </c:pt>
                  <c:pt idx="31">
                    <c:v>2qDic</c:v>
                  </c:pt>
                  <c:pt idx="32">
                    <c:v>1qEne</c:v>
                  </c:pt>
                  <c:pt idx="33">
                    <c:v>2qEne</c:v>
                  </c:pt>
                  <c:pt idx="34">
                    <c:v>1qFeb</c:v>
                  </c:pt>
                  <c:pt idx="35">
                    <c:v>2qFeb</c:v>
                  </c:pt>
                  <c:pt idx="36">
                    <c:v>1qMar</c:v>
                  </c:pt>
                  <c:pt idx="37">
                    <c:v>2qMar</c:v>
                  </c:pt>
                  <c:pt idx="38">
                    <c:v>1qAbr</c:v>
                  </c:pt>
                  <c:pt idx="39">
                    <c:v>2qAbr</c:v>
                  </c:pt>
                  <c:pt idx="40">
                    <c:v>1qMay</c:v>
                  </c:pt>
                  <c:pt idx="41">
                    <c:v>2qMay</c:v>
                  </c:pt>
                  <c:pt idx="42">
                    <c:v>1qJun</c:v>
                  </c:pt>
                  <c:pt idx="43">
                    <c:v>2qJun</c:v>
                  </c:pt>
                  <c:pt idx="44">
                    <c:v>1qJul</c:v>
                  </c:pt>
                  <c:pt idx="45">
                    <c:v>2qJul</c:v>
                  </c:pt>
                  <c:pt idx="46">
                    <c:v>1qAgo</c:v>
                  </c:pt>
                  <c:pt idx="47">
                    <c:v>2qAgo</c:v>
                  </c:pt>
                  <c:pt idx="48">
                    <c:v>1qSep</c:v>
                  </c:pt>
                  <c:pt idx="49">
                    <c:v>2qSep</c:v>
                  </c:pt>
                  <c:pt idx="50">
                    <c:v>1qOct</c:v>
                  </c:pt>
                  <c:pt idx="51">
                    <c:v>2qOct</c:v>
                  </c:pt>
                  <c:pt idx="52">
                    <c:v>1qNov</c:v>
                  </c:pt>
                  <c:pt idx="53">
                    <c:v>2qNov</c:v>
                  </c:pt>
                  <c:pt idx="54">
                    <c:v>1qDic</c:v>
                  </c:pt>
                  <c:pt idx="55">
                    <c:v>2qDic</c:v>
                  </c:pt>
                  <c:pt idx="56">
                    <c:v>1qEne</c:v>
                  </c:pt>
                  <c:pt idx="57">
                    <c:v>2qEne</c:v>
                  </c:pt>
                  <c:pt idx="58">
                    <c:v>1qFeb</c:v>
                  </c:pt>
                  <c:pt idx="59">
                    <c:v>2qFeb</c:v>
                  </c:pt>
                  <c:pt idx="60">
                    <c:v>1qMar</c:v>
                  </c:pt>
                  <c:pt idx="61">
                    <c:v>2qMar</c:v>
                  </c:pt>
                  <c:pt idx="62">
                    <c:v>1qAbr</c:v>
                  </c:pt>
                  <c:pt idx="63">
                    <c:v>2qAbr</c:v>
                  </c:pt>
                  <c:pt idx="64">
                    <c:v>1qMay</c:v>
                  </c:pt>
                  <c:pt idx="65">
                    <c:v>2qMay</c:v>
                  </c:pt>
                  <c:pt idx="66">
                    <c:v>1qJun</c:v>
                  </c:pt>
                  <c:pt idx="67">
                    <c:v>2qJun</c:v>
                  </c:pt>
                  <c:pt idx="68">
                    <c:v>1qJul</c:v>
                  </c:pt>
                  <c:pt idx="69">
                    <c:v>2qJul</c:v>
                  </c:pt>
                  <c:pt idx="70">
                    <c:v>1qAgo</c:v>
                  </c:pt>
                  <c:pt idx="71">
                    <c:v>2qAgo</c:v>
                  </c:pt>
                  <c:pt idx="72">
                    <c:v>1qSep</c:v>
                  </c:pt>
                  <c:pt idx="73">
                    <c:v>2qSep</c:v>
                  </c:pt>
                  <c:pt idx="74">
                    <c:v>1qOct</c:v>
                  </c:pt>
                  <c:pt idx="75">
                    <c:v>2qOct</c:v>
                  </c:pt>
                  <c:pt idx="76">
                    <c:v>1qNov</c:v>
                  </c:pt>
                  <c:pt idx="77">
                    <c:v>2qNov</c:v>
                  </c:pt>
                  <c:pt idx="78">
                    <c:v>1qDic</c:v>
                  </c:pt>
                  <c:pt idx="79">
                    <c:v>2qDic</c:v>
                  </c:pt>
                  <c:pt idx="80">
                    <c:v>1qEne</c:v>
                  </c:pt>
                  <c:pt idx="81">
                    <c:v>2qEne</c:v>
                  </c:pt>
                  <c:pt idx="82">
                    <c:v>1qFeb</c:v>
                  </c:pt>
                  <c:pt idx="83">
                    <c:v>2qFeb</c:v>
                  </c:pt>
                  <c:pt idx="84">
                    <c:v>1qMar</c:v>
                  </c:pt>
                  <c:pt idx="85">
                    <c:v>2qMar</c:v>
                  </c:pt>
                  <c:pt idx="86">
                    <c:v>1qAbr</c:v>
                  </c:pt>
                  <c:pt idx="87">
                    <c:v>2qAbr</c:v>
                  </c:pt>
                  <c:pt idx="88">
                    <c:v>1qMay</c:v>
                  </c:pt>
                  <c:pt idx="89">
                    <c:v>2qMay</c:v>
                  </c:pt>
                  <c:pt idx="90">
                    <c:v>1qJun</c:v>
                  </c:pt>
                  <c:pt idx="91">
                    <c:v>2qJun</c:v>
                  </c:pt>
                  <c:pt idx="92">
                    <c:v>1qJul</c:v>
                  </c:pt>
                  <c:pt idx="93">
                    <c:v>2qJul</c:v>
                  </c:pt>
                  <c:pt idx="94">
                    <c:v>1qAgo</c:v>
                  </c:pt>
                  <c:pt idx="95">
                    <c:v>2qAgo</c:v>
                  </c:pt>
                  <c:pt idx="96">
                    <c:v>1qSep</c:v>
                  </c:pt>
                  <c:pt idx="97">
                    <c:v>2qSep</c:v>
                  </c:pt>
                  <c:pt idx="98">
                    <c:v>1qOct</c:v>
                  </c:pt>
                  <c:pt idx="99">
                    <c:v>2qOct</c:v>
                  </c:pt>
                  <c:pt idx="100">
                    <c:v>1qNov</c:v>
                  </c:pt>
                  <c:pt idx="101">
                    <c:v>2qNov</c:v>
                  </c:pt>
                  <c:pt idx="102">
                    <c:v>1qDic</c:v>
                  </c:pt>
                  <c:pt idx="103">
                    <c:v>2qDic</c:v>
                  </c:pt>
                  <c:pt idx="104">
                    <c:v>1qEne</c:v>
                  </c:pt>
                  <c:pt idx="105">
                    <c:v>2qEne</c:v>
                  </c:pt>
                  <c:pt idx="106">
                    <c:v>1qFeb</c:v>
                  </c:pt>
                  <c:pt idx="107">
                    <c:v>2qFeb</c:v>
                  </c:pt>
                  <c:pt idx="108">
                    <c:v>1qMar</c:v>
                  </c:pt>
                  <c:pt idx="109">
                    <c:v>2qMar</c:v>
                  </c:pt>
                  <c:pt idx="110">
                    <c:v>1qAbr</c:v>
                  </c:pt>
                  <c:pt idx="111">
                    <c:v>2qAbr</c:v>
                  </c:pt>
                  <c:pt idx="112">
                    <c:v>1qMay</c:v>
                  </c:pt>
                  <c:pt idx="113">
                    <c:v>2qMay</c:v>
                  </c:pt>
                  <c:pt idx="114">
                    <c:v>1qJun</c:v>
                  </c:pt>
                  <c:pt idx="115">
                    <c:v>2qJun</c:v>
                  </c:pt>
                  <c:pt idx="116">
                    <c:v>1qJul</c:v>
                  </c:pt>
                  <c:pt idx="117">
                    <c:v>2qJul</c:v>
                  </c:pt>
                  <c:pt idx="118">
                    <c:v>1qAgo</c:v>
                  </c:pt>
                  <c:pt idx="119">
                    <c:v>2qAgo</c:v>
                  </c:pt>
                  <c:pt idx="120">
                    <c:v>1qSep</c:v>
                  </c:pt>
                  <c:pt idx="121">
                    <c:v>2qSep</c:v>
                  </c:pt>
                  <c:pt idx="122">
                    <c:v>1qOct</c:v>
                  </c:pt>
                  <c:pt idx="123">
                    <c:v>2qOct</c:v>
                  </c:pt>
                  <c:pt idx="124">
                    <c:v>1qNov</c:v>
                  </c:pt>
                  <c:pt idx="125">
                    <c:v>2qNov</c:v>
                  </c:pt>
                  <c:pt idx="126">
                    <c:v>1qDic</c:v>
                  </c:pt>
                  <c:pt idx="127">
                    <c:v>2qDic</c:v>
                  </c:pt>
                  <c:pt idx="128">
                    <c:v>1qEne</c:v>
                  </c:pt>
                  <c:pt idx="129">
                    <c:v>2qEne</c:v>
                  </c:pt>
                  <c:pt idx="130">
                    <c:v>1qFeb</c:v>
                  </c:pt>
                  <c:pt idx="131">
                    <c:v>2qFeb</c:v>
                  </c:pt>
                  <c:pt idx="132">
                    <c:v>1qMar</c:v>
                  </c:pt>
                  <c:pt idx="133">
                    <c:v>2qMar</c:v>
                  </c:pt>
                  <c:pt idx="134">
                    <c:v>1qAbr</c:v>
                  </c:pt>
                  <c:pt idx="135">
                    <c:v>2qAbr</c:v>
                  </c:pt>
                  <c:pt idx="136">
                    <c:v>1qMay</c:v>
                  </c:pt>
                  <c:pt idx="137">
                    <c:v>2qMay</c:v>
                  </c:pt>
                  <c:pt idx="138">
                    <c:v>1qJun</c:v>
                  </c:pt>
                  <c:pt idx="139">
                    <c:v>2qJun</c:v>
                  </c:pt>
                  <c:pt idx="140">
                    <c:v>1qJul</c:v>
                  </c:pt>
                  <c:pt idx="141">
                    <c:v>2qJul</c:v>
                  </c:pt>
                  <c:pt idx="142">
                    <c:v>1qAgo</c:v>
                  </c:pt>
                  <c:pt idx="143">
                    <c:v>2qAgo</c:v>
                  </c:pt>
                  <c:pt idx="144">
                    <c:v>1qSep</c:v>
                  </c:pt>
                  <c:pt idx="145">
                    <c:v>2qSep</c:v>
                  </c:pt>
                  <c:pt idx="146">
                    <c:v>1qOct</c:v>
                  </c:pt>
                  <c:pt idx="147">
                    <c:v>2qOct</c:v>
                  </c:pt>
                  <c:pt idx="148">
                    <c:v>1qNov</c:v>
                  </c:pt>
                  <c:pt idx="149">
                    <c:v>2qNov</c:v>
                  </c:pt>
                  <c:pt idx="150">
                    <c:v>1qDic</c:v>
                  </c:pt>
                  <c:pt idx="151">
                    <c:v>2qDic</c:v>
                  </c:pt>
                  <c:pt idx="152">
                    <c:v>1qEne</c:v>
                  </c:pt>
                  <c:pt idx="153">
                    <c:v>2qEne</c:v>
                  </c:pt>
                  <c:pt idx="154">
                    <c:v>1qFeb</c:v>
                  </c:pt>
                  <c:pt idx="155">
                    <c:v>2qFeb</c:v>
                  </c:pt>
                  <c:pt idx="156">
                    <c:v>1qMar</c:v>
                  </c:pt>
                  <c:pt idx="157">
                    <c:v>2qMar</c:v>
                  </c:pt>
                  <c:pt idx="158">
                    <c:v>1qAbr</c:v>
                  </c:pt>
                  <c:pt idx="159">
                    <c:v>2qAbr</c:v>
                  </c:pt>
                  <c:pt idx="160">
                    <c:v>1qMay</c:v>
                  </c:pt>
                  <c:pt idx="161">
                    <c:v>2qMay</c:v>
                  </c:pt>
                  <c:pt idx="162">
                    <c:v>1qJun</c:v>
                  </c:pt>
                  <c:pt idx="163">
                    <c:v>2qJun</c:v>
                  </c:pt>
                  <c:pt idx="164">
                    <c:v>1qJul</c:v>
                  </c:pt>
                  <c:pt idx="165">
                    <c:v>2qJul</c:v>
                  </c:pt>
                  <c:pt idx="166">
                    <c:v>1qAgo</c:v>
                  </c:pt>
                  <c:pt idx="167">
                    <c:v>2qAgo</c:v>
                  </c:pt>
                  <c:pt idx="168">
                    <c:v>1qSep</c:v>
                  </c:pt>
                  <c:pt idx="169">
                    <c:v>2qSep</c:v>
                  </c:pt>
                  <c:pt idx="170">
                    <c:v>1qOct</c:v>
                  </c:pt>
                  <c:pt idx="171">
                    <c:v>2qOct</c:v>
                  </c:pt>
                  <c:pt idx="172">
                    <c:v>1qNov</c:v>
                  </c:pt>
                  <c:pt idx="173">
                    <c:v>2qNov</c:v>
                  </c:pt>
                  <c:pt idx="174">
                    <c:v>1qDic</c:v>
                  </c:pt>
                  <c:pt idx="175">
                    <c:v>2qDic</c:v>
                  </c:pt>
                  <c:pt idx="176">
                    <c:v>1qEne</c:v>
                  </c:pt>
                  <c:pt idx="177">
                    <c:v>2qEne</c:v>
                  </c:pt>
                  <c:pt idx="178">
                    <c:v>1qFeb</c:v>
                  </c:pt>
                  <c:pt idx="179">
                    <c:v>2qFeb</c:v>
                  </c:pt>
                  <c:pt idx="180">
                    <c:v>1qMar</c:v>
                  </c:pt>
                  <c:pt idx="181">
                    <c:v>2qMar</c:v>
                  </c:pt>
                  <c:pt idx="182">
                    <c:v>1qAbr</c:v>
                  </c:pt>
                  <c:pt idx="183">
                    <c:v>2qAbr</c:v>
                  </c:pt>
                  <c:pt idx="184">
                    <c:v>1qMay</c:v>
                  </c:pt>
                  <c:pt idx="185">
                    <c:v>2qMay</c:v>
                  </c:pt>
                  <c:pt idx="186">
                    <c:v>1qJun</c:v>
                  </c:pt>
                  <c:pt idx="187">
                    <c:v>2qJun</c:v>
                  </c:pt>
                  <c:pt idx="188">
                    <c:v>1qJul</c:v>
                  </c:pt>
                  <c:pt idx="189">
                    <c:v>2qJul</c:v>
                  </c:pt>
                  <c:pt idx="190">
                    <c:v>1qAgo</c:v>
                  </c:pt>
                  <c:pt idx="191">
                    <c:v>2qAgo</c:v>
                  </c:pt>
                  <c:pt idx="192">
                    <c:v>1qSep</c:v>
                  </c:pt>
                  <c:pt idx="193">
                    <c:v>2qSep</c:v>
                  </c:pt>
                  <c:pt idx="194">
                    <c:v>1qOct</c:v>
                  </c:pt>
                  <c:pt idx="195">
                    <c:v>2qOct</c:v>
                  </c:pt>
                  <c:pt idx="196">
                    <c:v>1qNov</c:v>
                  </c:pt>
                  <c:pt idx="197">
                    <c:v>2qNov</c:v>
                  </c:pt>
                  <c:pt idx="198">
                    <c:v>1qDic</c:v>
                  </c:pt>
                  <c:pt idx="199">
                    <c:v>2qDic</c:v>
                  </c:pt>
                  <c:pt idx="200">
                    <c:v>1qEne</c:v>
                  </c:pt>
                  <c:pt idx="201">
                    <c:v>2qEne</c:v>
                  </c:pt>
                  <c:pt idx="202">
                    <c:v>1qFeb</c:v>
                  </c:pt>
                  <c:pt idx="203">
                    <c:v>2qFeb</c:v>
                  </c:pt>
                  <c:pt idx="204">
                    <c:v>1qMar</c:v>
                  </c:pt>
                  <c:pt idx="205">
                    <c:v>2qMar</c:v>
                  </c:pt>
                  <c:pt idx="206">
                    <c:v>1qAbr</c:v>
                  </c:pt>
                  <c:pt idx="207">
                    <c:v>2qAbr</c:v>
                  </c:pt>
                  <c:pt idx="208">
                    <c:v>1qMay</c:v>
                  </c:pt>
                  <c:pt idx="209">
                    <c:v>2qMay</c:v>
                  </c:pt>
                  <c:pt idx="210">
                    <c:v>1qJun</c:v>
                  </c:pt>
                  <c:pt idx="211">
                    <c:v>2qJun</c:v>
                  </c:pt>
                  <c:pt idx="212">
                    <c:v>1qJul</c:v>
                  </c:pt>
                  <c:pt idx="213">
                    <c:v>2qJul</c:v>
                  </c:pt>
                  <c:pt idx="214">
                    <c:v>1qAgo</c:v>
                  </c:pt>
                  <c:pt idx="215">
                    <c:v>2qAgo</c:v>
                  </c:pt>
                  <c:pt idx="216">
                    <c:v>1qSep</c:v>
                  </c:pt>
                </c:lvl>
                <c:lvl>
                  <c:pt idx="0">
                    <c:v>2012</c:v>
                  </c:pt>
                  <c:pt idx="1">
                    <c:v>2012</c:v>
                  </c:pt>
                  <c:pt idx="2">
                    <c:v>2012</c:v>
                  </c:pt>
                  <c:pt idx="3">
                    <c:v>2012</c:v>
                  </c:pt>
                  <c:pt idx="4">
                    <c:v>2012</c:v>
                  </c:pt>
                  <c:pt idx="5">
                    <c:v>2012</c:v>
                  </c:pt>
                  <c:pt idx="6">
                    <c:v>2012</c:v>
                  </c:pt>
                  <c:pt idx="7">
                    <c:v>2012</c:v>
                  </c:pt>
                  <c:pt idx="8">
                    <c:v>2013</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2013</c:v>
                  </c:pt>
                  <c:pt idx="22">
                    <c:v>2013</c:v>
                  </c:pt>
                  <c:pt idx="23">
                    <c:v>2013</c:v>
                  </c:pt>
                  <c:pt idx="24">
                    <c:v>2013</c:v>
                  </c:pt>
                  <c:pt idx="25">
                    <c:v>2013</c:v>
                  </c:pt>
                  <c:pt idx="26">
                    <c:v>2013</c:v>
                  </c:pt>
                  <c:pt idx="27">
                    <c:v>2013</c:v>
                  </c:pt>
                  <c:pt idx="28">
                    <c:v>2013</c:v>
                  </c:pt>
                  <c:pt idx="29">
                    <c:v>2013</c:v>
                  </c:pt>
                  <c:pt idx="30">
                    <c:v>2013</c:v>
                  </c:pt>
                  <c:pt idx="31">
                    <c:v>2013</c:v>
                  </c:pt>
                  <c:pt idx="32">
                    <c:v>2014</c:v>
                  </c:pt>
                  <c:pt idx="33">
                    <c:v>2014</c:v>
                  </c:pt>
                  <c:pt idx="34">
                    <c:v>2014</c:v>
                  </c:pt>
                  <c:pt idx="35">
                    <c:v>2014</c:v>
                  </c:pt>
                  <c:pt idx="36">
                    <c:v>2014</c:v>
                  </c:pt>
                  <c:pt idx="37">
                    <c:v>2014</c:v>
                  </c:pt>
                  <c:pt idx="38">
                    <c:v>2014</c:v>
                  </c:pt>
                  <c:pt idx="39">
                    <c:v>2014</c:v>
                  </c:pt>
                  <c:pt idx="40">
                    <c:v>2014</c:v>
                  </c:pt>
                  <c:pt idx="41">
                    <c:v>2014</c:v>
                  </c:pt>
                  <c:pt idx="42">
                    <c:v>2014</c:v>
                  </c:pt>
                  <c:pt idx="43">
                    <c:v>2014</c:v>
                  </c:pt>
                  <c:pt idx="44">
                    <c:v>2014</c:v>
                  </c:pt>
                  <c:pt idx="45">
                    <c:v>2014</c:v>
                  </c:pt>
                  <c:pt idx="46">
                    <c:v>2014</c:v>
                  </c:pt>
                  <c:pt idx="47">
                    <c:v>2014</c:v>
                  </c:pt>
                  <c:pt idx="48">
                    <c:v>2014</c:v>
                  </c:pt>
                  <c:pt idx="49">
                    <c:v>2014</c:v>
                  </c:pt>
                  <c:pt idx="50">
                    <c:v>2014</c:v>
                  </c:pt>
                  <c:pt idx="51">
                    <c:v>2014</c:v>
                  </c:pt>
                  <c:pt idx="52">
                    <c:v>2014</c:v>
                  </c:pt>
                  <c:pt idx="53">
                    <c:v>2014</c:v>
                  </c:pt>
                  <c:pt idx="54">
                    <c:v>2014</c:v>
                  </c:pt>
                  <c:pt idx="55">
                    <c:v>2014</c:v>
                  </c:pt>
                  <c:pt idx="56">
                    <c:v>2015</c:v>
                  </c:pt>
                  <c:pt idx="57">
                    <c:v>2015</c:v>
                  </c:pt>
                  <c:pt idx="58">
                    <c:v>2015</c:v>
                  </c:pt>
                  <c:pt idx="59">
                    <c:v>2015</c:v>
                  </c:pt>
                  <c:pt idx="60">
                    <c:v>2015</c:v>
                  </c:pt>
                  <c:pt idx="61">
                    <c:v>2015</c:v>
                  </c:pt>
                  <c:pt idx="62">
                    <c:v>2015</c:v>
                  </c:pt>
                  <c:pt idx="63">
                    <c:v>2015</c:v>
                  </c:pt>
                  <c:pt idx="64">
                    <c:v>2015</c:v>
                  </c:pt>
                  <c:pt idx="65">
                    <c:v>2015</c:v>
                  </c:pt>
                  <c:pt idx="66">
                    <c:v>2015</c:v>
                  </c:pt>
                  <c:pt idx="67">
                    <c:v>2015</c:v>
                  </c:pt>
                  <c:pt idx="68">
                    <c:v>2015</c:v>
                  </c:pt>
                  <c:pt idx="69">
                    <c:v>2015</c:v>
                  </c:pt>
                  <c:pt idx="70">
                    <c:v>2015</c:v>
                  </c:pt>
                  <c:pt idx="71">
                    <c:v>2015</c:v>
                  </c:pt>
                  <c:pt idx="72">
                    <c:v>2015</c:v>
                  </c:pt>
                  <c:pt idx="73">
                    <c:v>2015</c:v>
                  </c:pt>
                  <c:pt idx="74">
                    <c:v>2015</c:v>
                  </c:pt>
                  <c:pt idx="75">
                    <c:v>2015</c:v>
                  </c:pt>
                  <c:pt idx="76">
                    <c:v>2015</c:v>
                  </c:pt>
                  <c:pt idx="77">
                    <c:v>2015</c:v>
                  </c:pt>
                  <c:pt idx="78">
                    <c:v>2015</c:v>
                  </c:pt>
                  <c:pt idx="79">
                    <c:v>2015</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2016</c:v>
                  </c:pt>
                  <c:pt idx="103">
                    <c:v>2016</c:v>
                  </c:pt>
                  <c:pt idx="104">
                    <c:v>2017</c:v>
                  </c:pt>
                  <c:pt idx="105">
                    <c:v>2017</c:v>
                  </c:pt>
                  <c:pt idx="106">
                    <c:v>2017</c:v>
                  </c:pt>
                  <c:pt idx="107">
                    <c:v>2017</c:v>
                  </c:pt>
                  <c:pt idx="108">
                    <c:v>2017</c:v>
                  </c:pt>
                  <c:pt idx="109">
                    <c:v>2017</c:v>
                  </c:pt>
                  <c:pt idx="110">
                    <c:v>2017</c:v>
                  </c:pt>
                  <c:pt idx="111">
                    <c:v>2017</c:v>
                  </c:pt>
                  <c:pt idx="112">
                    <c:v>2017</c:v>
                  </c:pt>
                  <c:pt idx="113">
                    <c:v>2017</c:v>
                  </c:pt>
                  <c:pt idx="114">
                    <c:v>2017</c:v>
                  </c:pt>
                  <c:pt idx="115">
                    <c:v>2017</c:v>
                  </c:pt>
                  <c:pt idx="116">
                    <c:v>2017</c:v>
                  </c:pt>
                  <c:pt idx="117">
                    <c:v>2017</c:v>
                  </c:pt>
                  <c:pt idx="118">
                    <c:v>2017</c:v>
                  </c:pt>
                  <c:pt idx="119">
                    <c:v>2017</c:v>
                  </c:pt>
                  <c:pt idx="120">
                    <c:v>2017</c:v>
                  </c:pt>
                  <c:pt idx="121">
                    <c:v>2017</c:v>
                  </c:pt>
                  <c:pt idx="122">
                    <c:v>2017</c:v>
                  </c:pt>
                  <c:pt idx="123">
                    <c:v>2017</c:v>
                  </c:pt>
                  <c:pt idx="124">
                    <c:v>2017</c:v>
                  </c:pt>
                  <c:pt idx="125">
                    <c:v>2017</c:v>
                  </c:pt>
                  <c:pt idx="126">
                    <c:v>2017</c:v>
                  </c:pt>
                  <c:pt idx="127">
                    <c:v>2017</c:v>
                  </c:pt>
                  <c:pt idx="128">
                    <c:v>2018</c:v>
                  </c:pt>
                  <c:pt idx="129">
                    <c:v>2018</c:v>
                  </c:pt>
                  <c:pt idx="130">
                    <c:v>2018</c:v>
                  </c:pt>
                  <c:pt idx="131">
                    <c:v>2018</c:v>
                  </c:pt>
                  <c:pt idx="132">
                    <c:v>2018</c:v>
                  </c:pt>
                  <c:pt idx="133">
                    <c:v>2018</c:v>
                  </c:pt>
                  <c:pt idx="134">
                    <c:v>2018</c:v>
                  </c:pt>
                  <c:pt idx="135">
                    <c:v>2018</c:v>
                  </c:pt>
                  <c:pt idx="136">
                    <c:v>2018</c:v>
                  </c:pt>
                  <c:pt idx="137">
                    <c:v>2018</c:v>
                  </c:pt>
                  <c:pt idx="138">
                    <c:v>2018</c:v>
                  </c:pt>
                  <c:pt idx="139">
                    <c:v>2018</c:v>
                  </c:pt>
                  <c:pt idx="140">
                    <c:v>2018</c:v>
                  </c:pt>
                  <c:pt idx="141">
                    <c:v>2018</c:v>
                  </c:pt>
                  <c:pt idx="142">
                    <c:v>2018</c:v>
                  </c:pt>
                  <c:pt idx="143">
                    <c:v>2018</c:v>
                  </c:pt>
                  <c:pt idx="144">
                    <c:v>2018</c:v>
                  </c:pt>
                  <c:pt idx="145">
                    <c:v>2018</c:v>
                  </c:pt>
                  <c:pt idx="146">
                    <c:v>2018</c:v>
                  </c:pt>
                  <c:pt idx="147">
                    <c:v>2018</c:v>
                  </c:pt>
                  <c:pt idx="148">
                    <c:v>2018</c:v>
                  </c:pt>
                  <c:pt idx="149">
                    <c:v>2018</c:v>
                  </c:pt>
                  <c:pt idx="150">
                    <c:v>2018</c:v>
                  </c:pt>
                  <c:pt idx="151">
                    <c:v>2018</c:v>
                  </c:pt>
                  <c:pt idx="152">
                    <c:v>2019</c:v>
                  </c:pt>
                  <c:pt idx="153">
                    <c:v>2019</c:v>
                  </c:pt>
                  <c:pt idx="154">
                    <c:v>2019</c:v>
                  </c:pt>
                  <c:pt idx="155">
                    <c:v>2019</c:v>
                  </c:pt>
                  <c:pt idx="156">
                    <c:v>2019</c:v>
                  </c:pt>
                  <c:pt idx="157">
                    <c:v>2019</c:v>
                  </c:pt>
                  <c:pt idx="158">
                    <c:v>2019</c:v>
                  </c:pt>
                  <c:pt idx="159">
                    <c:v>2019</c:v>
                  </c:pt>
                  <c:pt idx="160">
                    <c:v>2019</c:v>
                  </c:pt>
                  <c:pt idx="161">
                    <c:v>2019</c:v>
                  </c:pt>
                  <c:pt idx="162">
                    <c:v>2019</c:v>
                  </c:pt>
                  <c:pt idx="163">
                    <c:v>2019</c:v>
                  </c:pt>
                  <c:pt idx="164">
                    <c:v>2019</c:v>
                  </c:pt>
                  <c:pt idx="165">
                    <c:v>2019</c:v>
                  </c:pt>
                  <c:pt idx="166">
                    <c:v>2019</c:v>
                  </c:pt>
                  <c:pt idx="167">
                    <c:v>2019</c:v>
                  </c:pt>
                  <c:pt idx="168">
                    <c:v>2019</c:v>
                  </c:pt>
                  <c:pt idx="169">
                    <c:v>2019</c:v>
                  </c:pt>
                  <c:pt idx="170">
                    <c:v>2019</c:v>
                  </c:pt>
                  <c:pt idx="171">
                    <c:v>2019</c:v>
                  </c:pt>
                  <c:pt idx="172">
                    <c:v>2019</c:v>
                  </c:pt>
                  <c:pt idx="173">
                    <c:v>2019</c:v>
                  </c:pt>
                  <c:pt idx="174">
                    <c:v>2019</c:v>
                  </c:pt>
                  <c:pt idx="175">
                    <c:v>2019</c:v>
                  </c:pt>
                  <c:pt idx="176">
                    <c:v>2020</c:v>
                  </c:pt>
                  <c:pt idx="177">
                    <c:v>2020</c:v>
                  </c:pt>
                  <c:pt idx="178">
                    <c:v>2020</c:v>
                  </c:pt>
                  <c:pt idx="179">
                    <c:v>2020</c:v>
                  </c:pt>
                  <c:pt idx="180">
                    <c:v>2020</c:v>
                  </c:pt>
                  <c:pt idx="181">
                    <c:v>2020</c:v>
                  </c:pt>
                  <c:pt idx="182">
                    <c:v>2020</c:v>
                  </c:pt>
                  <c:pt idx="183">
                    <c:v>2020</c:v>
                  </c:pt>
                  <c:pt idx="184">
                    <c:v>2020</c:v>
                  </c:pt>
                  <c:pt idx="185">
                    <c:v>2020</c:v>
                  </c:pt>
                  <c:pt idx="186">
                    <c:v>2020</c:v>
                  </c:pt>
                  <c:pt idx="187">
                    <c:v>2020</c:v>
                  </c:pt>
                  <c:pt idx="188">
                    <c:v>2020</c:v>
                  </c:pt>
                  <c:pt idx="189">
                    <c:v>2020</c:v>
                  </c:pt>
                  <c:pt idx="190">
                    <c:v>2020</c:v>
                  </c:pt>
                  <c:pt idx="191">
                    <c:v>2020</c:v>
                  </c:pt>
                  <c:pt idx="192">
                    <c:v>2020</c:v>
                  </c:pt>
                  <c:pt idx="193">
                    <c:v>2020</c:v>
                  </c:pt>
                  <c:pt idx="194">
                    <c:v>2020</c:v>
                  </c:pt>
                  <c:pt idx="195">
                    <c:v>2020</c:v>
                  </c:pt>
                  <c:pt idx="196">
                    <c:v>2020</c:v>
                  </c:pt>
                  <c:pt idx="197">
                    <c:v>2020</c:v>
                  </c:pt>
                  <c:pt idx="198">
                    <c:v>2020</c:v>
                  </c:pt>
                  <c:pt idx="199">
                    <c:v>2020</c:v>
                  </c:pt>
                  <c:pt idx="200">
                    <c:v>2021</c:v>
                  </c:pt>
                  <c:pt idx="201">
                    <c:v>2021</c:v>
                  </c:pt>
                  <c:pt idx="202">
                    <c:v>2021</c:v>
                  </c:pt>
                  <c:pt idx="203">
                    <c:v>2021</c:v>
                  </c:pt>
                  <c:pt idx="204">
                    <c:v>2021</c:v>
                  </c:pt>
                  <c:pt idx="205">
                    <c:v>2021</c:v>
                  </c:pt>
                  <c:pt idx="206">
                    <c:v>2021</c:v>
                  </c:pt>
                  <c:pt idx="207">
                    <c:v>2021</c:v>
                  </c:pt>
                  <c:pt idx="208">
                    <c:v>2021</c:v>
                  </c:pt>
                  <c:pt idx="209">
                    <c:v>2021</c:v>
                  </c:pt>
                  <c:pt idx="210">
                    <c:v>2021</c:v>
                  </c:pt>
                  <c:pt idx="211">
                    <c:v>2021</c:v>
                  </c:pt>
                  <c:pt idx="212">
                    <c:v>2021</c:v>
                  </c:pt>
                  <c:pt idx="213">
                    <c:v>2021</c:v>
                  </c:pt>
                  <c:pt idx="214">
                    <c:v>2021</c:v>
                  </c:pt>
                  <c:pt idx="215">
                    <c:v>2021</c:v>
                  </c:pt>
                  <c:pt idx="216">
                    <c:v>2021</c:v>
                  </c:pt>
                </c:lvl>
              </c:multiLvlStrCache>
            </c:multiLvlStrRef>
          </c:cat>
          <c:val>
            <c:numRef>
              <c:f>'Datos base 2q jul 2018'!$J$165:$J$381</c:f>
              <c:numCache>
                <c:formatCode>0.00</c:formatCode>
                <c:ptCount val="217"/>
                <c:pt idx="0">
                  <c:v>8.6566494869844988</c:v>
                </c:pt>
                <c:pt idx="1">
                  <c:v>8.9689564639889685</c:v>
                </c:pt>
                <c:pt idx="2">
                  <c:v>8.2727964085251564</c:v>
                </c:pt>
                <c:pt idx="3">
                  <c:v>7.870155377424946</c:v>
                </c:pt>
                <c:pt idx="4">
                  <c:v>7.2170220161045044</c:v>
                </c:pt>
                <c:pt idx="5">
                  <c:v>6.9706637062358769</c:v>
                </c:pt>
                <c:pt idx="6">
                  <c:v>6.2218573451948833</c:v>
                </c:pt>
                <c:pt idx="7">
                  <c:v>5.2682157801897365</c:v>
                </c:pt>
                <c:pt idx="8">
                  <c:v>4.608977501040858</c:v>
                </c:pt>
                <c:pt idx="9">
                  <c:v>4.3355668355780272</c:v>
                </c:pt>
                <c:pt idx="10">
                  <c:v>5.1382253293632401</c:v>
                </c:pt>
                <c:pt idx="11">
                  <c:v>5.8118619831810516</c:v>
                </c:pt>
                <c:pt idx="12">
                  <c:v>7.6078959792507632</c:v>
                </c:pt>
                <c:pt idx="13">
                  <c:v>8.974829046550866</c:v>
                </c:pt>
                <c:pt idx="14">
                  <c:v>10.4402917934479</c:v>
                </c:pt>
                <c:pt idx="15">
                  <c:v>10.201009942024438</c:v>
                </c:pt>
                <c:pt idx="16">
                  <c:v>10.907369408610769</c:v>
                </c:pt>
                <c:pt idx="17">
                  <c:v>10.207435473414865</c:v>
                </c:pt>
                <c:pt idx="18">
                  <c:v>8.9461357031676076</c:v>
                </c:pt>
                <c:pt idx="19">
                  <c:v>7.8336181790615926</c:v>
                </c:pt>
                <c:pt idx="20">
                  <c:v>6.6244275978413096</c:v>
                </c:pt>
                <c:pt idx="21">
                  <c:v>6.5849956521731121</c:v>
                </c:pt>
                <c:pt idx="22">
                  <c:v>7.3449762834321159</c:v>
                </c:pt>
                <c:pt idx="23">
                  <c:v>6.6779523560491665</c:v>
                </c:pt>
                <c:pt idx="24">
                  <c:v>6.4359410807156525</c:v>
                </c:pt>
                <c:pt idx="25">
                  <c:v>5.9553218744046132</c:v>
                </c:pt>
                <c:pt idx="26">
                  <c:v>5.8530958727509432</c:v>
                </c:pt>
                <c:pt idx="27">
                  <c:v>6.5128075430433015</c:v>
                </c:pt>
                <c:pt idx="28">
                  <c:v>7.0118965034908376</c:v>
                </c:pt>
                <c:pt idx="29">
                  <c:v>7.0221263361673998</c:v>
                </c:pt>
                <c:pt idx="30">
                  <c:v>7.4370205211353877</c:v>
                </c:pt>
                <c:pt idx="31">
                  <c:v>8.2465287880433564</c:v>
                </c:pt>
                <c:pt idx="32">
                  <c:v>8.8367983932548242</c:v>
                </c:pt>
                <c:pt idx="33">
                  <c:v>8.3284321874428038</c:v>
                </c:pt>
                <c:pt idx="34">
                  <c:v>8.2233548225420758</c:v>
                </c:pt>
                <c:pt idx="35">
                  <c:v>8.3413815433276302</c:v>
                </c:pt>
                <c:pt idx="36">
                  <c:v>7.2884436711685847</c:v>
                </c:pt>
                <c:pt idx="37">
                  <c:v>5.7915782414892245</c:v>
                </c:pt>
                <c:pt idx="38">
                  <c:v>4.6968785523998315</c:v>
                </c:pt>
                <c:pt idx="39">
                  <c:v>4.798318686234242</c:v>
                </c:pt>
                <c:pt idx="40">
                  <c:v>5.020625205263511</c:v>
                </c:pt>
                <c:pt idx="41">
                  <c:v>5.3523730112123085</c:v>
                </c:pt>
                <c:pt idx="42">
                  <c:v>5.781514877854991</c:v>
                </c:pt>
                <c:pt idx="43">
                  <c:v>6.1425421142468783</c:v>
                </c:pt>
                <c:pt idx="44">
                  <c:v>6.6760329205397984</c:v>
                </c:pt>
                <c:pt idx="45">
                  <c:v>6.9782029697425152</c:v>
                </c:pt>
                <c:pt idx="46">
                  <c:v>6.4950635503201806</c:v>
                </c:pt>
                <c:pt idx="47">
                  <c:v>6.9409184628710738</c:v>
                </c:pt>
                <c:pt idx="48">
                  <c:v>7.0922003284502013</c:v>
                </c:pt>
                <c:pt idx="49">
                  <c:v>7.1317297538828734</c:v>
                </c:pt>
                <c:pt idx="50">
                  <c:v>7.5886496453235548</c:v>
                </c:pt>
                <c:pt idx="51">
                  <c:v>7.4237251066789662</c:v>
                </c:pt>
                <c:pt idx="52">
                  <c:v>6.7872551782769337</c:v>
                </c:pt>
                <c:pt idx="53">
                  <c:v>6.7653961950898802</c:v>
                </c:pt>
                <c:pt idx="54">
                  <c:v>7.1142206408702933</c:v>
                </c:pt>
                <c:pt idx="55">
                  <c:v>6.2883677473259407</c:v>
                </c:pt>
                <c:pt idx="56">
                  <c:v>5.1238236673489137</c:v>
                </c:pt>
                <c:pt idx="57">
                  <c:v>5.553502053315559</c:v>
                </c:pt>
                <c:pt idx="58">
                  <c:v>4.9759722534293189</c:v>
                </c:pt>
                <c:pt idx="59">
                  <c:v>4.7923307780056659</c:v>
                </c:pt>
                <c:pt idx="60">
                  <c:v>4.6877848019337964</c:v>
                </c:pt>
                <c:pt idx="61">
                  <c:v>5.8982881785546351</c:v>
                </c:pt>
                <c:pt idx="62">
                  <c:v>5.5662086749607775</c:v>
                </c:pt>
                <c:pt idx="63">
                  <c:v>5.3604930577271457</c:v>
                </c:pt>
                <c:pt idx="64">
                  <c:v>4.7646302304178798</c:v>
                </c:pt>
                <c:pt idx="65">
                  <c:v>4.5218429460487961</c:v>
                </c:pt>
                <c:pt idx="66">
                  <c:v>4.7150900692212332</c:v>
                </c:pt>
                <c:pt idx="67">
                  <c:v>4.5522452292606204</c:v>
                </c:pt>
                <c:pt idx="68">
                  <c:v>4.2340596225878899</c:v>
                </c:pt>
                <c:pt idx="69">
                  <c:v>4.0145974849363251</c:v>
                </c:pt>
                <c:pt idx="70">
                  <c:v>3.7730940060574425</c:v>
                </c:pt>
                <c:pt idx="71">
                  <c:v>3.253707279534702</c:v>
                </c:pt>
                <c:pt idx="72">
                  <c:v>3.1284345527310906</c:v>
                </c:pt>
                <c:pt idx="73">
                  <c:v>2.799376312718608</c:v>
                </c:pt>
                <c:pt idx="74">
                  <c:v>2.5182673831467639</c:v>
                </c:pt>
                <c:pt idx="75">
                  <c:v>2.5316811331532789</c:v>
                </c:pt>
                <c:pt idx="76">
                  <c:v>2.0256458057087765</c:v>
                </c:pt>
                <c:pt idx="77">
                  <c:v>1.6607444895850163</c:v>
                </c:pt>
                <c:pt idx="78">
                  <c:v>0.82695210466758939</c:v>
                </c:pt>
                <c:pt idx="79">
                  <c:v>1.724262703140605</c:v>
                </c:pt>
                <c:pt idx="80">
                  <c:v>2.076840265880878</c:v>
                </c:pt>
                <c:pt idx="81">
                  <c:v>2.9670720466403915</c:v>
                </c:pt>
                <c:pt idx="82">
                  <c:v>3.8869802894417953</c:v>
                </c:pt>
                <c:pt idx="83">
                  <c:v>3.1013903780819594</c:v>
                </c:pt>
                <c:pt idx="84">
                  <c:v>2.2772829941737354</c:v>
                </c:pt>
                <c:pt idx="85">
                  <c:v>1.9572208365234951</c:v>
                </c:pt>
                <c:pt idx="86">
                  <c:v>2.0115736658447148</c:v>
                </c:pt>
                <c:pt idx="87">
                  <c:v>1.3069599469632531</c:v>
                </c:pt>
                <c:pt idx="88">
                  <c:v>1.3202540826712859</c:v>
                </c:pt>
                <c:pt idx="89">
                  <c:v>1.7754334846294024</c:v>
                </c:pt>
                <c:pt idx="90">
                  <c:v>1.1875054186072642</c:v>
                </c:pt>
                <c:pt idx="91">
                  <c:v>1.1236102759206998</c:v>
                </c:pt>
                <c:pt idx="92">
                  <c:v>1.8570672629971363</c:v>
                </c:pt>
                <c:pt idx="93">
                  <c:v>1.435473434493211</c:v>
                </c:pt>
                <c:pt idx="94">
                  <c:v>2.2551891944160936</c:v>
                </c:pt>
                <c:pt idx="95">
                  <c:v>1.7205237390155139</c:v>
                </c:pt>
                <c:pt idx="96">
                  <c:v>2.3568244434462002</c:v>
                </c:pt>
                <c:pt idx="97">
                  <c:v>2.9494501849673669</c:v>
                </c:pt>
                <c:pt idx="98">
                  <c:v>3.0509461123777619</c:v>
                </c:pt>
                <c:pt idx="99">
                  <c:v>2.8557463161235983</c:v>
                </c:pt>
                <c:pt idx="100">
                  <c:v>3.1799022420404248</c:v>
                </c:pt>
                <c:pt idx="101">
                  <c:v>3.5033422442723645</c:v>
                </c:pt>
                <c:pt idx="102">
                  <c:v>3.5487290477032336</c:v>
                </c:pt>
                <c:pt idx="103">
                  <c:v>2.7088446842934264</c:v>
                </c:pt>
                <c:pt idx="104">
                  <c:v>8.0155759671578775</c:v>
                </c:pt>
                <c:pt idx="105">
                  <c:v>6.7889227299709018</c:v>
                </c:pt>
                <c:pt idx="106">
                  <c:v>6.2468428455855101</c:v>
                </c:pt>
                <c:pt idx="107">
                  <c:v>7.1735536812742309</c:v>
                </c:pt>
                <c:pt idx="108">
                  <c:v>8.2400694123811249</c:v>
                </c:pt>
                <c:pt idx="109">
                  <c:v>7.8091062118025887</c:v>
                </c:pt>
                <c:pt idx="110">
                  <c:v>8.3192674122531542</c:v>
                </c:pt>
                <c:pt idx="111">
                  <c:v>10.188536743829049</c:v>
                </c:pt>
                <c:pt idx="112">
                  <c:v>10.713444255762218</c:v>
                </c:pt>
                <c:pt idx="113">
                  <c:v>10.494054509718536</c:v>
                </c:pt>
                <c:pt idx="114">
                  <c:v>11.068084455061635</c:v>
                </c:pt>
                <c:pt idx="115">
                  <c:v>11.116193236681299</c:v>
                </c:pt>
                <c:pt idx="116">
                  <c:v>10.654814832773308</c:v>
                </c:pt>
                <c:pt idx="117">
                  <c:v>11.890453651150397</c:v>
                </c:pt>
                <c:pt idx="118">
                  <c:v>11.59946520094484</c:v>
                </c:pt>
                <c:pt idx="119">
                  <c:v>12.370504117360422</c:v>
                </c:pt>
                <c:pt idx="120">
                  <c:v>11.732885573617841</c:v>
                </c:pt>
                <c:pt idx="121">
                  <c:v>10.826978305481262</c:v>
                </c:pt>
                <c:pt idx="122">
                  <c:v>11.175643401945399</c:v>
                </c:pt>
                <c:pt idx="123">
                  <c:v>11.627961590016657</c:v>
                </c:pt>
                <c:pt idx="124">
                  <c:v>11.979095541609256</c:v>
                </c:pt>
                <c:pt idx="125">
                  <c:v>11.966928586012539</c:v>
                </c:pt>
                <c:pt idx="126">
                  <c:v>12.19819985820498</c:v>
                </c:pt>
                <c:pt idx="127">
                  <c:v>13.042548535754021</c:v>
                </c:pt>
                <c:pt idx="128">
                  <c:v>8.0957142470216468</c:v>
                </c:pt>
                <c:pt idx="129">
                  <c:v>8.784029546271972</c:v>
                </c:pt>
                <c:pt idx="130">
                  <c:v>8.7699585650103895</c:v>
                </c:pt>
                <c:pt idx="131">
                  <c:v>8.2133204175087577</c:v>
                </c:pt>
                <c:pt idx="132">
                  <c:v>8.2109095942744847</c:v>
                </c:pt>
                <c:pt idx="133">
                  <c:v>7.8437064030363404</c:v>
                </c:pt>
                <c:pt idx="134">
                  <c:v>7.674493162831669</c:v>
                </c:pt>
                <c:pt idx="135">
                  <c:v>6.4732617723916475</c:v>
                </c:pt>
                <c:pt idx="136">
                  <c:v>6.7861034921774976</c:v>
                </c:pt>
                <c:pt idx="137">
                  <c:v>7.1894470826787513</c:v>
                </c:pt>
                <c:pt idx="138">
                  <c:v>7.4080464156303885</c:v>
                </c:pt>
                <c:pt idx="139">
                  <c:v>8.1759578507468582</c:v>
                </c:pt>
                <c:pt idx="140">
                  <c:v>8.5244469707804758</c:v>
                </c:pt>
                <c:pt idx="141">
                  <c:v>8.2396443389400353</c:v>
                </c:pt>
                <c:pt idx="142">
                  <c:v>8.4778777874222051</c:v>
                </c:pt>
                <c:pt idx="143">
                  <c:v>9.1250834094069031</c:v>
                </c:pt>
                <c:pt idx="144">
                  <c:v>8.9014621740238677</c:v>
                </c:pt>
                <c:pt idx="145">
                  <c:v>9.4001712302329175</c:v>
                </c:pt>
                <c:pt idx="146">
                  <c:v>8.5833746080847018</c:v>
                </c:pt>
                <c:pt idx="147">
                  <c:v>8.4149503244663659</c:v>
                </c:pt>
                <c:pt idx="148">
                  <c:v>7.4587754195543852</c:v>
                </c:pt>
                <c:pt idx="149">
                  <c:v>8.6855000983297579</c:v>
                </c:pt>
                <c:pt idx="150">
                  <c:v>9.2345283540430856</c:v>
                </c:pt>
                <c:pt idx="151">
                  <c:v>7.5711178493052351</c:v>
                </c:pt>
                <c:pt idx="152">
                  <c:v>7.3124385579132483</c:v>
                </c:pt>
                <c:pt idx="153">
                  <c:v>6.3061753519809374</c:v>
                </c:pt>
                <c:pt idx="154">
                  <c:v>5.1471540749467239</c:v>
                </c:pt>
                <c:pt idx="155">
                  <c:v>5.3588076577166346</c:v>
                </c:pt>
                <c:pt idx="156">
                  <c:v>5.3893710249035962</c:v>
                </c:pt>
                <c:pt idx="157">
                  <c:v>5.5437019338347788</c:v>
                </c:pt>
                <c:pt idx="158">
                  <c:v>5.7707492934085547</c:v>
                </c:pt>
                <c:pt idx="159">
                  <c:v>6.3945344975361236</c:v>
                </c:pt>
                <c:pt idx="160">
                  <c:v>6.4150072664465689</c:v>
                </c:pt>
                <c:pt idx="161">
                  <c:v>5.1485634676002903</c:v>
                </c:pt>
                <c:pt idx="162">
                  <c:v>4.3393156770757928</c:v>
                </c:pt>
                <c:pt idx="163">
                  <c:v>4.037491372769324</c:v>
                </c:pt>
                <c:pt idx="164">
                  <c:v>3.920254162049539</c:v>
                </c:pt>
                <c:pt idx="165">
                  <c:v>3.3700000000000041</c:v>
                </c:pt>
                <c:pt idx="166">
                  <c:v>1.8069870764384564</c:v>
                </c:pt>
                <c:pt idx="167">
                  <c:v>0.76325379907859547</c:v>
                </c:pt>
                <c:pt idx="168">
                  <c:v>0.56789253123408745</c:v>
                </c:pt>
                <c:pt idx="169">
                  <c:v>0.84506489941570395</c:v>
                </c:pt>
                <c:pt idx="170">
                  <c:v>0.98524078276217042</c:v>
                </c:pt>
                <c:pt idx="171">
                  <c:v>1.0409411036297576</c:v>
                </c:pt>
                <c:pt idx="172">
                  <c:v>1.4517936155263074</c:v>
                </c:pt>
                <c:pt idx="173">
                  <c:v>0.50817105300167975</c:v>
                </c:pt>
                <c:pt idx="174">
                  <c:v>-0.15228473531241721</c:v>
                </c:pt>
                <c:pt idx="175">
                  <c:v>1.3325873082482418</c:v>
                </c:pt>
                <c:pt idx="176">
                  <c:v>1.6008786217551949</c:v>
                </c:pt>
                <c:pt idx="177">
                  <c:v>2.012004712129996</c:v>
                </c:pt>
                <c:pt idx="178">
                  <c:v>3.0312774872081154</c:v>
                </c:pt>
                <c:pt idx="179">
                  <c:v>4.5964072536017415</c:v>
                </c:pt>
                <c:pt idx="180">
                  <c:v>4.0373138543215932</c:v>
                </c:pt>
                <c:pt idx="181">
                  <c:v>0.34719281903632798</c:v>
                </c:pt>
                <c:pt idx="182">
                  <c:v>-1.930833261820982</c:v>
                </c:pt>
                <c:pt idx="183">
                  <c:v>-1.9980466772494827</c:v>
                </c:pt>
                <c:pt idx="184">
                  <c:v>-5.7393011472736191E-2</c:v>
                </c:pt>
                <c:pt idx="185">
                  <c:v>0.76048900522543172</c:v>
                </c:pt>
                <c:pt idx="186">
                  <c:v>1.6331513149342729</c:v>
                </c:pt>
                <c:pt idx="187">
                  <c:v>2.6874230090821523</c:v>
                </c:pt>
                <c:pt idx="188">
                  <c:v>2.787655826092013</c:v>
                </c:pt>
                <c:pt idx="189">
                  <c:v>3.0465607132630317</c:v>
                </c:pt>
                <c:pt idx="190">
                  <c:v>4.1843838910259485</c:v>
                </c:pt>
                <c:pt idx="191">
                  <c:v>4.4180932242781061</c:v>
                </c:pt>
                <c:pt idx="192">
                  <c:v>4.4425939324519019</c:v>
                </c:pt>
                <c:pt idx="193">
                  <c:v>3.7586638561818293</c:v>
                </c:pt>
                <c:pt idx="194">
                  <c:v>4.3403733451765829</c:v>
                </c:pt>
                <c:pt idx="195">
                  <c:v>4.4997493100608947</c:v>
                </c:pt>
                <c:pt idx="196">
                  <c:v>2.6666806586988949</c:v>
                </c:pt>
                <c:pt idx="197">
                  <c:v>1.993183644063844</c:v>
                </c:pt>
                <c:pt idx="198">
                  <c:v>1.4456611454584429</c:v>
                </c:pt>
                <c:pt idx="199">
                  <c:v>0.92548698474195523</c:v>
                </c:pt>
                <c:pt idx="200">
                  <c:v>1.8426776370681801</c:v>
                </c:pt>
                <c:pt idx="201">
                  <c:v>3.4184266440289588</c:v>
                </c:pt>
                <c:pt idx="202">
                  <c:v>3.848367960362034</c:v>
                </c:pt>
                <c:pt idx="203">
                  <c:v>3.0274489023441742</c:v>
                </c:pt>
                <c:pt idx="204">
                  <c:v>4.186290297042242</c:v>
                </c:pt>
                <c:pt idx="205">
                  <c:v>8.5179516897327598</c:v>
                </c:pt>
                <c:pt idx="206">
                  <c:v>12.205980881655186</c:v>
                </c:pt>
                <c:pt idx="207">
                  <c:v>12.467228886585106</c:v>
                </c:pt>
                <c:pt idx="208">
                  <c:v>10.829272756103951</c:v>
                </c:pt>
                <c:pt idx="209">
                  <c:v>10.69282858164269</c:v>
                </c:pt>
                <c:pt idx="210">
                  <c:v>10.606168428546892</c:v>
                </c:pt>
                <c:pt idx="211">
                  <c:v>9.3954493360536961</c:v>
                </c:pt>
                <c:pt idx="212">
                  <c:v>9.2354738674274106</c:v>
                </c:pt>
                <c:pt idx="213">
                  <c:v>9.5520500935988384</c:v>
                </c:pt>
                <c:pt idx="214">
                  <c:v>8.0754583330724294</c:v>
                </c:pt>
                <c:pt idx="215">
                  <c:v>8.2037242236645724</c:v>
                </c:pt>
                <c:pt idx="216">
                  <c:v>8.8565985490027401</c:v>
                </c:pt>
              </c:numCache>
            </c:numRef>
          </c:val>
          <c:smooth val="0"/>
          <c:extLst>
            <c:ext xmlns:c16="http://schemas.microsoft.com/office/drawing/2014/chart" uri="{C3380CC4-5D6E-409C-BE32-E72D297353CC}">
              <c16:uniqueId val="{00000005-0AA7-499C-99A8-BE8D20EB4FDE}"/>
            </c:ext>
          </c:extLst>
        </c:ser>
        <c:dLbls>
          <c:showLegendKey val="0"/>
          <c:showVal val="0"/>
          <c:showCatName val="0"/>
          <c:showSerName val="0"/>
          <c:showPercent val="0"/>
          <c:showBubbleSize val="0"/>
        </c:dLbls>
        <c:smooth val="0"/>
        <c:axId val="792960912"/>
        <c:axId val="792957384"/>
      </c:lineChart>
      <c:catAx>
        <c:axId val="792960912"/>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92957384"/>
        <c:crosses val="autoZero"/>
        <c:auto val="0"/>
        <c:lblAlgn val="ctr"/>
        <c:lblOffset val="100"/>
        <c:tickLblSkip val="24"/>
        <c:tickMarkSkip val="24"/>
        <c:noMultiLvlLbl val="1"/>
      </c:catAx>
      <c:valAx>
        <c:axId val="792957384"/>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92960912"/>
        <c:crossesAt val="1"/>
        <c:crossBetween val="midCat"/>
        <c:majorUnit val="3"/>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C3098-B04C-4A20-99DC-9678B230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16</TotalTime>
  <Pages>12</Pages>
  <Words>2381</Words>
  <Characters>13096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PRECIOS CONSUMIDOR SUBYACENTE</cp:keywords>
  <cp:lastModifiedBy>GUILLEN MEDINA MOISES</cp:lastModifiedBy>
  <cp:revision>27</cp:revision>
  <cp:lastPrinted>2021-09-22T22:35:00Z</cp:lastPrinted>
  <dcterms:created xsi:type="dcterms:W3CDTF">2021-09-21T21:27:00Z</dcterms:created>
  <dcterms:modified xsi:type="dcterms:W3CDTF">2021-09-22T22:35:00Z</dcterms:modified>
  <cp:category>INDICES DE PRECIOS</cp:category>
  <cp:version>1</cp:version>
</cp:coreProperties>
</file>