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88ECB" w14:textId="77777777" w:rsidR="00B723E8" w:rsidRDefault="00B723E8" w:rsidP="00B723E8">
      <w:pPr>
        <w:tabs>
          <w:tab w:val="left" w:pos="8789"/>
        </w:tabs>
        <w:ind w:left="284" w:right="51"/>
        <w:jc w:val="center"/>
      </w:pPr>
      <w:bookmarkStart w:id="0" w:name="_Hlk12021772"/>
      <w:bookmarkEnd w:id="0"/>
      <w:r>
        <w:rPr>
          <w:noProof/>
          <w:sz w:val="20"/>
          <w:lang w:val="es-MX" w:eastAsia="es-MX"/>
        </w:rPr>
        <mc:AlternateContent>
          <mc:Choice Requires="wps">
            <w:drawing>
              <wp:anchor distT="45720" distB="45720" distL="114300" distR="114300" simplePos="0" relativeHeight="251659264" behindDoc="0" locked="0" layoutInCell="1" allowOverlap="1" wp14:anchorId="4159392F" wp14:editId="16F3A4A1">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CE83050" w14:textId="77777777" w:rsidR="00B723E8" w:rsidRPr="00265B8C" w:rsidRDefault="00B723E8" w:rsidP="00B723E8">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diciembre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9392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CE83050" w14:textId="77777777" w:rsidR="00B723E8" w:rsidRPr="00265B8C" w:rsidRDefault="00B723E8" w:rsidP="00B723E8">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diciembre </w:t>
                      </w:r>
                    </w:p>
                  </w:txbxContent>
                </v:textbox>
                <w10:wrap type="square"/>
              </v:shape>
            </w:pict>
          </mc:Fallback>
        </mc:AlternateContent>
      </w:r>
    </w:p>
    <w:p w14:paraId="27CABFCA" w14:textId="77777777" w:rsidR="00B723E8" w:rsidRDefault="00B723E8" w:rsidP="00B723E8">
      <w:pPr>
        <w:tabs>
          <w:tab w:val="left" w:pos="8789"/>
        </w:tabs>
        <w:ind w:left="284" w:right="51"/>
        <w:jc w:val="center"/>
      </w:pPr>
    </w:p>
    <w:p w14:paraId="282C6B25" w14:textId="77777777" w:rsidR="00B723E8" w:rsidRDefault="00B723E8" w:rsidP="00B723E8">
      <w:pPr>
        <w:pStyle w:val="Profesin"/>
      </w:pPr>
    </w:p>
    <w:p w14:paraId="4B173E36" w14:textId="485F7B6E" w:rsidR="00B723E8" w:rsidRPr="00F21D57" w:rsidRDefault="00B723E8" w:rsidP="00B723E8">
      <w:pPr>
        <w:pStyle w:val="Profesin"/>
        <w:spacing w:before="100" w:beforeAutospacing="1"/>
        <w:rPr>
          <w:sz w:val="24"/>
        </w:rPr>
      </w:pPr>
      <w:bookmarkStart w:id="1" w:name="_GoBack"/>
      <w:bookmarkEnd w:id="1"/>
      <w:r w:rsidRPr="00F21D57">
        <w:rPr>
          <w:sz w:val="24"/>
        </w:rPr>
        <w:t>ÍNDICE NACIONAL DE PRECIOS AL CONSUMIDOR</w:t>
      </w:r>
    </w:p>
    <w:p w14:paraId="55BA7A4D" w14:textId="77777777" w:rsidR="00B723E8" w:rsidRPr="00F21D57" w:rsidRDefault="00B723E8" w:rsidP="00B723E8">
      <w:pPr>
        <w:pStyle w:val="Profesin"/>
        <w:rPr>
          <w:caps w:val="0"/>
          <w:sz w:val="24"/>
          <w:szCs w:val="24"/>
        </w:rPr>
      </w:pPr>
      <w:r w:rsidRPr="00F21D57">
        <w:rPr>
          <w:caps w:val="0"/>
          <w:sz w:val="24"/>
          <w:szCs w:val="24"/>
        </w:rPr>
        <w:t>Primera quincena de noviembre de 2021</w:t>
      </w:r>
    </w:p>
    <w:p w14:paraId="6DF2D042" w14:textId="77777777" w:rsidR="00B723E8" w:rsidRPr="002B432A" w:rsidRDefault="00B723E8" w:rsidP="00B723E8">
      <w:pPr>
        <w:spacing w:before="360"/>
        <w:ind w:right="-1"/>
        <w:rPr>
          <w:spacing w:val="6"/>
        </w:rPr>
      </w:pPr>
      <w:r w:rsidRPr="002B432A">
        <w:rPr>
          <w:spacing w:val="6"/>
        </w:rPr>
        <w:t>El Instituto Nacional de Estadística y Geografía (INEGI) informa que en la primera quincena de noviembre de 2021 el Índice Nacional de Precios al Consumidor (INPC) registró un crecimiento de 0.69 por ciento respecto a la quincena inmediata anterior. Con este resultado la inflación anual se ubicó en 7.05 por ciento. En el mismo periodo de 2020 las variaciones correspondientes fueron de 0.04 por ciento quincenal y de 3.43 por ciento anual.</w:t>
      </w:r>
    </w:p>
    <w:p w14:paraId="172C7096" w14:textId="77777777" w:rsidR="00B723E8" w:rsidRPr="002B432A" w:rsidRDefault="00B723E8" w:rsidP="00B723E8">
      <w:pPr>
        <w:spacing w:before="360"/>
        <w:ind w:right="-1"/>
        <w:rPr>
          <w:spacing w:val="6"/>
        </w:rPr>
      </w:pPr>
      <w:r w:rsidRPr="002B432A">
        <w:rPr>
          <w:spacing w:val="6"/>
        </w:rPr>
        <w:t>El índice de precios subyacente</w:t>
      </w:r>
      <w:r w:rsidRPr="002B432A">
        <w:rPr>
          <w:vertAlign w:val="superscript"/>
        </w:rPr>
        <w:footnoteReference w:id="1"/>
      </w:r>
      <w:r w:rsidRPr="002B432A">
        <w:rPr>
          <w:spacing w:val="6"/>
        </w:rPr>
        <w:t xml:space="preserve"> tuvo un incremento de 0.15 por ciento quincenal y de 5.53 por ciento anual; por su parte, el índice de precios no subyacente ascendió 2.29 por ciento quincenal y 11.68 por ciento anual.</w:t>
      </w:r>
    </w:p>
    <w:p w14:paraId="1EE7E0AB" w14:textId="77777777" w:rsidR="00B723E8" w:rsidRPr="002B432A" w:rsidRDefault="00B723E8" w:rsidP="00B723E8">
      <w:pPr>
        <w:spacing w:before="360"/>
        <w:ind w:right="-1"/>
        <w:rPr>
          <w:spacing w:val="6"/>
        </w:rPr>
      </w:pPr>
      <w:r w:rsidRPr="002B432A">
        <w:rPr>
          <w:spacing w:val="6"/>
        </w:rPr>
        <w:t>Al interior del índice de precios subyacente, a tasa quincenal, los precios de las mercancías aumentaron 0.07 por ciento y los de los servicios 0.25 por ciento.</w:t>
      </w:r>
    </w:p>
    <w:p w14:paraId="40A2C01C" w14:textId="2962CFA5" w:rsidR="00B723E8" w:rsidRDefault="00B723E8" w:rsidP="00B723E8">
      <w:pPr>
        <w:spacing w:before="360"/>
        <w:ind w:right="-1"/>
        <w:rPr>
          <w:spacing w:val="6"/>
        </w:rPr>
      </w:pPr>
      <w:r w:rsidRPr="002B432A">
        <w:rPr>
          <w:spacing w:val="6"/>
        </w:rPr>
        <w:t>Dentro del índice de precios no subyacente, los precios de los productos agropecuarios subieron 2.17 por ciento quincenal y los de los energéticos y tarifas autorizadas por el gobierno lo hicieron en 2.38 por ciento, en mayor medida como resultado de la conclusión del subsidio al programa de tarifas eléctricas de verano que se aplicó en 11 ciudades del país.</w:t>
      </w:r>
    </w:p>
    <w:p w14:paraId="3EB0D0A8" w14:textId="2C6B9898" w:rsidR="00B01E43" w:rsidRDefault="00B01E43">
      <w:pPr>
        <w:jc w:val="left"/>
        <w:rPr>
          <w:spacing w:val="6"/>
        </w:rPr>
      </w:pPr>
      <w:r>
        <w:rPr>
          <w:spacing w:val="6"/>
        </w:rPr>
        <w:br w:type="page"/>
      </w:r>
    </w:p>
    <w:p w14:paraId="36C9B924" w14:textId="77777777" w:rsidR="00B723E8" w:rsidRDefault="00B723E8" w:rsidP="00B723E8">
      <w:pPr>
        <w:pStyle w:val="Prrafodelista"/>
        <w:keepNext/>
        <w:keepLines/>
        <w:widowControl w:val="0"/>
        <w:spacing w:before="360"/>
        <w:ind w:left="0"/>
        <w:jc w:val="center"/>
        <w:rPr>
          <w:b/>
          <w:bCs/>
          <w:smallCaps/>
          <w:color w:val="000000" w:themeColor="text1"/>
          <w:spacing w:val="1"/>
          <w:sz w:val="22"/>
          <w:szCs w:val="22"/>
        </w:rPr>
      </w:pPr>
    </w:p>
    <w:p w14:paraId="204198BF" w14:textId="77777777" w:rsidR="00B723E8" w:rsidRPr="00A71198" w:rsidRDefault="00B723E8" w:rsidP="00B723E8">
      <w:pPr>
        <w:pStyle w:val="Prrafodelista"/>
        <w:keepNext/>
        <w:keepLines/>
        <w:widowControl w:val="0"/>
        <w:spacing w:before="360"/>
        <w:ind w:left="0"/>
        <w:jc w:val="center"/>
        <w:rPr>
          <w:b/>
          <w:smallCaps/>
        </w:rPr>
      </w:pPr>
      <w:r>
        <w:rPr>
          <w:b/>
          <w:smallCaps/>
        </w:rPr>
        <w:t>INPC Y SUS COMPONENTES</w:t>
      </w:r>
    </w:p>
    <w:p w14:paraId="0F8D9774" w14:textId="77777777" w:rsidR="00B723E8" w:rsidRPr="00D954BD" w:rsidRDefault="00B723E8" w:rsidP="00B723E8">
      <w:pPr>
        <w:keepNext/>
        <w:keepLines/>
        <w:widowControl w:val="0"/>
        <w:jc w:val="center"/>
        <w:rPr>
          <w:sz w:val="18"/>
          <w:szCs w:val="20"/>
        </w:rPr>
      </w:pPr>
      <w:r>
        <w:rPr>
          <w:sz w:val="18"/>
          <w:szCs w:val="20"/>
        </w:rPr>
        <w:t>P</w:t>
      </w:r>
      <w:r w:rsidRPr="00D954BD">
        <w:rPr>
          <w:sz w:val="18"/>
          <w:szCs w:val="20"/>
        </w:rPr>
        <w:t xml:space="preserve">rimera quincena de noviembre de los años que se indican </w:t>
      </w:r>
    </w:p>
    <w:p w14:paraId="45F7FC3B" w14:textId="77777777" w:rsidR="00B723E8" w:rsidRPr="00A71198" w:rsidRDefault="00B723E8" w:rsidP="00B723E8">
      <w:pPr>
        <w:keepNext/>
        <w:keepLines/>
        <w:widowControl w:val="0"/>
        <w:jc w:val="center"/>
        <w:rPr>
          <w:b/>
        </w:rPr>
      </w:pPr>
      <w:r w:rsidRPr="009E255E">
        <w:rPr>
          <w:noProof/>
        </w:rPr>
        <w:drawing>
          <wp:inline distT="0" distB="0" distL="0" distR="0" wp14:anchorId="1BFF8530" wp14:editId="34A54DF7">
            <wp:extent cx="5972810" cy="25174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7494"/>
                    </a:xfrm>
                    <a:prstGeom prst="rect">
                      <a:avLst/>
                    </a:prstGeom>
                    <a:noFill/>
                    <a:ln>
                      <a:noFill/>
                    </a:ln>
                  </pic:spPr>
                </pic:pic>
              </a:graphicData>
            </a:graphic>
          </wp:inline>
        </w:drawing>
      </w:r>
    </w:p>
    <w:p w14:paraId="55943B06" w14:textId="77777777" w:rsidR="00B723E8" w:rsidRPr="00A71198" w:rsidRDefault="00B723E8" w:rsidP="00B723E8">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32A93BFC" w14:textId="77777777" w:rsidR="00B723E8" w:rsidRPr="00A71198" w:rsidRDefault="00B723E8" w:rsidP="00B723E8">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216EEE1E" w14:textId="77777777" w:rsidR="00B723E8" w:rsidRPr="00A71198" w:rsidRDefault="00B723E8" w:rsidP="00B723E8">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37B1B7E3" w14:textId="77777777" w:rsidR="00B723E8" w:rsidRPr="00A71198" w:rsidRDefault="00B723E8" w:rsidP="00B723E8">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37E841C7" w14:textId="77777777" w:rsidR="00B723E8" w:rsidRDefault="00B723E8" w:rsidP="00B723E8">
      <w:pPr>
        <w:autoSpaceDE w:val="0"/>
        <w:autoSpaceDN w:val="0"/>
        <w:adjustRightInd w:val="0"/>
        <w:ind w:left="283" w:right="113" w:hanging="170"/>
        <w:rPr>
          <w:color w:val="006600"/>
          <w:sz w:val="16"/>
          <w:szCs w:val="16"/>
        </w:rPr>
      </w:pPr>
    </w:p>
    <w:p w14:paraId="64303F9D" w14:textId="77777777" w:rsidR="00B723E8" w:rsidRPr="00A71198" w:rsidRDefault="00B723E8" w:rsidP="00B723E8">
      <w:pPr>
        <w:autoSpaceDE w:val="0"/>
        <w:autoSpaceDN w:val="0"/>
        <w:adjustRightInd w:val="0"/>
        <w:ind w:left="283" w:right="113" w:hanging="170"/>
        <w:rPr>
          <w:color w:val="006600"/>
          <w:sz w:val="16"/>
          <w:szCs w:val="16"/>
        </w:rPr>
      </w:pPr>
    </w:p>
    <w:p w14:paraId="2A055F73" w14:textId="77777777" w:rsidR="00B723E8" w:rsidRDefault="00B723E8" w:rsidP="00B723E8">
      <w:pPr>
        <w:pStyle w:val="p01"/>
        <w:keepLines w:val="0"/>
        <w:tabs>
          <w:tab w:val="left" w:pos="3261"/>
        </w:tabs>
        <w:spacing w:before="0"/>
        <w:ind w:left="1418"/>
        <w:jc w:val="right"/>
        <w:outlineLvl w:val="0"/>
        <w:rPr>
          <w:rFonts w:ascii="Arial" w:hAnsi="Arial" w:cs="Arial"/>
          <w:b/>
          <w:color w:val="000000"/>
          <w:szCs w:val="24"/>
        </w:rPr>
      </w:pPr>
    </w:p>
    <w:p w14:paraId="2B2B8A75" w14:textId="77777777" w:rsidR="00B723E8" w:rsidRDefault="00B723E8" w:rsidP="00B723E8">
      <w:pPr>
        <w:widowControl w:val="0"/>
        <w:autoSpaceDE w:val="0"/>
        <w:autoSpaceDN w:val="0"/>
        <w:adjustRightInd w:val="0"/>
        <w:spacing w:before="480"/>
        <w:rPr>
          <w:b/>
          <w:i/>
        </w:rPr>
      </w:pPr>
      <w:r w:rsidRPr="00E45F62">
        <w:rPr>
          <w:b/>
          <w:i/>
        </w:rPr>
        <w:t xml:space="preserve">Nota </w:t>
      </w:r>
      <w:r>
        <w:rPr>
          <w:b/>
          <w:i/>
        </w:rPr>
        <w:t>al usuario</w:t>
      </w:r>
    </w:p>
    <w:p w14:paraId="406B6F83" w14:textId="77777777" w:rsidR="00B723E8" w:rsidRPr="00695B57" w:rsidRDefault="00B723E8" w:rsidP="00B723E8">
      <w:pPr>
        <w:pStyle w:val="Prrafodelista"/>
        <w:autoSpaceDE w:val="0"/>
        <w:autoSpaceDN w:val="0"/>
        <w:adjustRightInd w:val="0"/>
        <w:spacing w:before="240"/>
        <w:ind w:left="0"/>
        <w:rPr>
          <w:lang w:val="es-MX"/>
        </w:rPr>
      </w:pPr>
      <w:r w:rsidRPr="00695B57">
        <w:rPr>
          <w:lang w:val="es-MX"/>
        </w:rPr>
        <w:t xml:space="preserve">Como </w:t>
      </w:r>
      <w:r>
        <w:rPr>
          <w:lang w:val="es-MX"/>
        </w:rPr>
        <w:t xml:space="preserve">ya se ha </w:t>
      </w:r>
      <w:r w:rsidRPr="00695B57">
        <w:rPr>
          <w:lang w:val="es-MX"/>
        </w:rPr>
        <w:t>inform</w:t>
      </w:r>
      <w:r>
        <w:rPr>
          <w:lang w:val="es-MX"/>
        </w:rPr>
        <w:t>ado</w:t>
      </w:r>
      <w:r w:rsidRPr="00695B57">
        <w:rPr>
          <w:lang w:val="es-MX"/>
        </w:rPr>
        <w:t xml:space="preserve">, dadas las medidas adoptadas por el INEGI ante el estado de emergencia sanitaria originada por el COVID-19, a partir del mes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Índice Nacional de Precios al Consumidor (INPC) seguirá utilizando medios electrónicos como el </w:t>
      </w:r>
      <w:r>
        <w:rPr>
          <w:lang w:val="es-MX"/>
        </w:rPr>
        <w:t>i</w:t>
      </w:r>
      <w:r w:rsidRPr="00695B57">
        <w:rPr>
          <w:lang w:val="es-MX"/>
        </w:rPr>
        <w:t>nternet, correo electrónico, teléfono y otras tecnologías de la información para obtener sus cotizaciones</w:t>
      </w:r>
      <w:r w:rsidRPr="00FA04B0">
        <w:rPr>
          <w:lang w:val="es-MX"/>
        </w:rPr>
        <w:t>,</w:t>
      </w:r>
      <w:r w:rsidRPr="00FA04B0">
        <w:t xml:space="preserve"> </w:t>
      </w:r>
      <w:r>
        <w:t>hasta que</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r w:rsidRPr="00533979">
        <w:rPr>
          <w:b/>
          <w:bCs/>
          <w:noProof/>
          <w:sz w:val="22"/>
          <w:szCs w:val="22"/>
        </w:rPr>
        <w:t xml:space="preserve"> </w:t>
      </w:r>
    </w:p>
    <w:p w14:paraId="107E0147" w14:textId="3E5BB951" w:rsidR="00F21D57" w:rsidRDefault="00F21D57">
      <w:pPr>
        <w:jc w:val="left"/>
        <w:rPr>
          <w:lang w:val="es-MX"/>
        </w:rPr>
      </w:pPr>
      <w:r>
        <w:rPr>
          <w:lang w:val="es-MX"/>
        </w:rPr>
        <w:br w:type="page"/>
      </w:r>
    </w:p>
    <w:p w14:paraId="5FE11BC9" w14:textId="77777777" w:rsidR="00B723E8" w:rsidRDefault="00B723E8" w:rsidP="00B723E8">
      <w:pPr>
        <w:pStyle w:val="Prrafodelista"/>
        <w:autoSpaceDE w:val="0"/>
        <w:autoSpaceDN w:val="0"/>
        <w:adjustRightInd w:val="0"/>
        <w:spacing w:before="240"/>
        <w:ind w:left="0"/>
        <w:rPr>
          <w:lang w:val="es-MX"/>
        </w:rPr>
      </w:pPr>
    </w:p>
    <w:p w14:paraId="4D03AA61" w14:textId="77777777" w:rsidR="00B723E8" w:rsidRPr="008B4FB7" w:rsidRDefault="00B723E8" w:rsidP="00B723E8">
      <w:pPr>
        <w:pStyle w:val="Prrafodelista"/>
        <w:autoSpaceDE w:val="0"/>
        <w:autoSpaceDN w:val="0"/>
        <w:adjustRightInd w:val="0"/>
        <w:spacing w:before="240"/>
        <w:ind w:left="0"/>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noviembre de 2021</w:t>
      </w:r>
      <w:r w:rsidRPr="00176A27">
        <w:rPr>
          <w:lang w:val="es-MX"/>
        </w:rPr>
        <w:t xml:space="preserve">, </w:t>
      </w:r>
      <w:r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Pr>
          <w:lang w:val="es-MX"/>
        </w:rPr>
        <w:t xml:space="preserve"> ha </w:t>
      </w:r>
      <w:r w:rsidRPr="00413162">
        <w:rPr>
          <w:lang w:val="es-MX"/>
        </w:rPr>
        <w:t>ocurr</w:t>
      </w:r>
      <w:r>
        <w:rPr>
          <w:lang w:val="es-MX"/>
        </w:rPr>
        <w:t>ido</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dueño del </w:t>
      </w:r>
      <w:r w:rsidRPr="00413162">
        <w:rPr>
          <w:lang w:val="es-MX"/>
        </w:rPr>
        <w:t xml:space="preserve">negocio. La falta de precios se distribuyó entre todos los genéricos y estadísticamente sólo afectó a aquellos que representan el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se </w:t>
      </w:r>
      <w:r w:rsidRPr="00413162">
        <w:rPr>
          <w:lang w:val="es-MX"/>
        </w:rPr>
        <w:t>apega</w:t>
      </w:r>
      <w:r>
        <w:rPr>
          <w:lang w:val="es-MX"/>
        </w:rPr>
        <w:t>n</w:t>
      </w:r>
      <w:r w:rsidRPr="00413162">
        <w:rPr>
          <w:lang w:val="es-MX"/>
        </w:rPr>
        <w:t xml:space="preserve"> a las recomendaciones que han </w:t>
      </w:r>
      <w:r>
        <w:rPr>
          <w:lang w:val="es-MX"/>
        </w:rPr>
        <w:t xml:space="preserve">hecho </w:t>
      </w:r>
      <w:r w:rsidRPr="00413162">
        <w:rPr>
          <w:lang w:val="es-MX"/>
        </w:rPr>
        <w:t xml:space="preserve">los organismos internacionales debido a esta contingencia. </w:t>
      </w:r>
    </w:p>
    <w:p w14:paraId="20AC1DD0" w14:textId="77777777" w:rsidR="00B723E8" w:rsidRPr="00A71198" w:rsidRDefault="00B723E8" w:rsidP="00B723E8">
      <w:pPr>
        <w:pStyle w:val="Texto"/>
        <w:keepNext/>
        <w:keepLines/>
        <w:autoSpaceDE w:val="0"/>
        <w:autoSpaceDN w:val="0"/>
        <w:adjustRightInd w:val="0"/>
        <w:spacing w:before="480" w:after="0" w:line="240" w:lineRule="auto"/>
        <w:ind w:firstLine="0"/>
        <w:jc w:val="right"/>
        <w:rPr>
          <w:sz w:val="24"/>
          <w:szCs w:val="24"/>
        </w:rPr>
      </w:pPr>
      <w:r>
        <w:rPr>
          <w:noProof/>
        </w:rPr>
        <w:drawing>
          <wp:inline distT="0" distB="0" distL="0" distR="0" wp14:anchorId="44ACDA2B" wp14:editId="363A6A81">
            <wp:extent cx="3513600" cy="1638000"/>
            <wp:effectExtent l="0" t="0" r="0" b="635"/>
            <wp:docPr id="7" name="Imagen 7"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p w14:paraId="06006E7C" w14:textId="77777777" w:rsidR="00B723E8" w:rsidRDefault="00B723E8" w:rsidP="00B723E8">
      <w:pPr>
        <w:pStyle w:val="Prrafodelista"/>
        <w:autoSpaceDE w:val="0"/>
        <w:autoSpaceDN w:val="0"/>
        <w:adjustRightInd w:val="0"/>
        <w:ind w:left="-142" w:right="113"/>
        <w:rPr>
          <w:lang w:val="es-MX"/>
        </w:rPr>
      </w:pPr>
    </w:p>
    <w:p w14:paraId="599B4E2E" w14:textId="77777777" w:rsidR="00B723E8" w:rsidRPr="008B4FB7" w:rsidRDefault="00B723E8" w:rsidP="00B723E8">
      <w:pPr>
        <w:pStyle w:val="Prrafodelista"/>
        <w:autoSpaceDE w:val="0"/>
        <w:autoSpaceDN w:val="0"/>
        <w:adjustRightInd w:val="0"/>
        <w:ind w:left="-142" w:right="113"/>
        <w:rPr>
          <w:lang w:val="es-MX"/>
        </w:rPr>
      </w:pPr>
    </w:p>
    <w:p w14:paraId="36133153" w14:textId="77777777" w:rsidR="00B723E8" w:rsidRDefault="00B723E8" w:rsidP="00B723E8">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Pr>
          <w:rFonts w:ascii="Arial" w:hAnsi="Arial" w:cs="Arial"/>
          <w:b/>
          <w:color w:val="000000"/>
          <w:szCs w:val="24"/>
        </w:rPr>
        <w:tab/>
      </w:r>
    </w:p>
    <w:p w14:paraId="1958053C" w14:textId="77777777" w:rsidR="00B723E8" w:rsidRDefault="00B723E8" w:rsidP="00B723E8">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60CD9E98" w14:textId="77777777" w:rsidR="00B723E8" w:rsidRDefault="00B723E8" w:rsidP="00B723E8">
      <w:pPr>
        <w:pStyle w:val="NormalWeb"/>
        <w:spacing w:before="0" w:beforeAutospacing="0" w:after="0" w:afterAutospacing="0"/>
        <w:ind w:left="-426" w:right="-518"/>
        <w:contextualSpacing/>
        <w:jc w:val="center"/>
        <w:rPr>
          <w:rFonts w:ascii="Arial" w:hAnsi="Arial" w:cs="Arial"/>
          <w:sz w:val="20"/>
          <w:szCs w:val="20"/>
        </w:rPr>
      </w:pPr>
    </w:p>
    <w:p w14:paraId="4B4A1837" w14:textId="77777777" w:rsidR="00B723E8" w:rsidRDefault="00B723E8" w:rsidP="00B723E8">
      <w:pPr>
        <w:pStyle w:val="NormalWeb"/>
        <w:spacing w:before="0" w:beforeAutospacing="0" w:after="0" w:afterAutospacing="0"/>
        <w:ind w:left="-426" w:right="-518"/>
        <w:contextualSpacing/>
        <w:jc w:val="center"/>
        <w:rPr>
          <w:rFonts w:ascii="Arial" w:hAnsi="Arial" w:cs="Arial"/>
          <w:sz w:val="20"/>
          <w:szCs w:val="20"/>
        </w:rPr>
      </w:pPr>
    </w:p>
    <w:p w14:paraId="748FDE81" w14:textId="77777777" w:rsidR="00B723E8" w:rsidRDefault="00B723E8" w:rsidP="00B723E8">
      <w:pPr>
        <w:pStyle w:val="NormalWeb"/>
        <w:spacing w:before="0" w:beforeAutospacing="0" w:after="0" w:afterAutospacing="0"/>
        <w:ind w:left="-426" w:right="-518"/>
        <w:contextualSpacing/>
        <w:jc w:val="center"/>
        <w:rPr>
          <w:rFonts w:ascii="Arial" w:hAnsi="Arial" w:cs="Arial"/>
          <w:sz w:val="20"/>
          <w:szCs w:val="20"/>
        </w:rPr>
      </w:pPr>
    </w:p>
    <w:p w14:paraId="4E57E39D" w14:textId="77777777" w:rsidR="00B723E8" w:rsidRDefault="00B723E8" w:rsidP="00B723E8">
      <w:pPr>
        <w:pStyle w:val="NormalWeb"/>
        <w:spacing w:before="0" w:beforeAutospacing="0" w:after="0" w:afterAutospacing="0"/>
        <w:ind w:left="-426" w:right="-518"/>
        <w:contextualSpacing/>
        <w:jc w:val="center"/>
        <w:rPr>
          <w:rFonts w:ascii="Arial" w:hAnsi="Arial" w:cs="Arial"/>
          <w:sz w:val="20"/>
          <w:szCs w:val="20"/>
        </w:rPr>
      </w:pPr>
    </w:p>
    <w:p w14:paraId="1CC3D57B" w14:textId="77777777" w:rsidR="00B723E8" w:rsidRDefault="00B723E8" w:rsidP="00B723E8">
      <w:pPr>
        <w:pStyle w:val="NormalWeb"/>
        <w:spacing w:after="0" w:afterAutospacing="0"/>
        <w:ind w:left="-426" w:right="-518"/>
        <w:contextualSpacing/>
        <w:jc w:val="center"/>
        <w:rPr>
          <w:rFonts w:ascii="Arial" w:hAnsi="Arial" w:cs="Arial"/>
          <w:sz w:val="20"/>
          <w:szCs w:val="20"/>
        </w:rPr>
      </w:pPr>
    </w:p>
    <w:p w14:paraId="1FE18230" w14:textId="77777777" w:rsidR="00B723E8" w:rsidRDefault="00B723E8" w:rsidP="00B723E8">
      <w:pPr>
        <w:pStyle w:val="NormalWeb"/>
        <w:spacing w:before="120" w:beforeAutospacing="0" w:after="0" w:afterAutospacing="0"/>
        <w:ind w:left="-426" w:right="-518"/>
        <w:contextualSpacing/>
        <w:jc w:val="center"/>
        <w:rPr>
          <w:rFonts w:ascii="Arial" w:hAnsi="Arial" w:cs="Arial"/>
          <w:sz w:val="20"/>
          <w:szCs w:val="20"/>
        </w:rPr>
      </w:pPr>
    </w:p>
    <w:p w14:paraId="294C2F40" w14:textId="77777777" w:rsidR="00B723E8" w:rsidRDefault="00B723E8" w:rsidP="00B723E8">
      <w:pPr>
        <w:pStyle w:val="NormalWeb"/>
        <w:spacing w:before="120" w:beforeAutospacing="0" w:after="0" w:afterAutospacing="0"/>
        <w:ind w:left="-426" w:right="-518"/>
        <w:contextualSpacing/>
        <w:jc w:val="center"/>
        <w:rPr>
          <w:rFonts w:ascii="Arial" w:hAnsi="Arial" w:cs="Arial"/>
          <w:sz w:val="20"/>
          <w:szCs w:val="20"/>
        </w:rPr>
      </w:pPr>
    </w:p>
    <w:p w14:paraId="6ABD6C7C" w14:textId="77777777" w:rsidR="00B723E8" w:rsidRDefault="00B723E8" w:rsidP="00B723E8">
      <w:pPr>
        <w:pStyle w:val="NormalWeb"/>
        <w:spacing w:before="0" w:beforeAutospacing="0" w:after="0" w:afterAutospacing="0"/>
        <w:ind w:left="-426" w:right="-518"/>
        <w:contextualSpacing/>
        <w:jc w:val="center"/>
        <w:rPr>
          <w:rFonts w:ascii="Arial" w:hAnsi="Arial" w:cs="Arial"/>
          <w:sz w:val="20"/>
          <w:szCs w:val="20"/>
        </w:rPr>
      </w:pPr>
    </w:p>
    <w:p w14:paraId="7FF7C0C3" w14:textId="77777777" w:rsidR="00B723E8" w:rsidRDefault="00B723E8" w:rsidP="00B723E8">
      <w:pPr>
        <w:pStyle w:val="NormalWeb"/>
        <w:spacing w:before="0" w:beforeAutospacing="0" w:after="0" w:afterAutospacing="0"/>
        <w:ind w:left="-426" w:right="-518"/>
        <w:contextualSpacing/>
        <w:jc w:val="center"/>
        <w:rPr>
          <w:rFonts w:ascii="Arial" w:hAnsi="Arial" w:cs="Arial"/>
          <w:sz w:val="20"/>
          <w:szCs w:val="20"/>
        </w:rPr>
      </w:pPr>
    </w:p>
    <w:p w14:paraId="5EAAF25F" w14:textId="77777777" w:rsidR="00B723E8" w:rsidRPr="003D7879" w:rsidRDefault="00B723E8" w:rsidP="00B723E8">
      <w:pPr>
        <w:pStyle w:val="NormalWeb"/>
        <w:spacing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Para consultas de medios y periodistas, contactar a: </w:t>
      </w:r>
      <w:hyperlink r:id="rId10" w:history="1">
        <w:r w:rsidRPr="003D7879">
          <w:rPr>
            <w:rStyle w:val="Hipervnculo"/>
            <w:rFonts w:ascii="Arial" w:hAnsi="Arial" w:cs="Arial"/>
            <w:sz w:val="22"/>
            <w:szCs w:val="22"/>
          </w:rPr>
          <w:t>comunicacionsocial@inegi.org.mx</w:t>
        </w:r>
      </w:hyperlink>
      <w:r w:rsidRPr="003D7879">
        <w:rPr>
          <w:rFonts w:ascii="Arial" w:hAnsi="Arial" w:cs="Arial"/>
          <w:sz w:val="22"/>
          <w:szCs w:val="22"/>
        </w:rPr>
        <w:t xml:space="preserve"> </w:t>
      </w:r>
    </w:p>
    <w:p w14:paraId="5F211854" w14:textId="77777777" w:rsidR="00B723E8" w:rsidRPr="003D7879" w:rsidRDefault="00B723E8" w:rsidP="00B723E8">
      <w:pPr>
        <w:pStyle w:val="NormalWeb"/>
        <w:spacing w:before="0" w:beforeAutospacing="0"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o llamar al teléfono (55) 52-78-10-00, </w:t>
      </w:r>
      <w:proofErr w:type="spellStart"/>
      <w:r w:rsidRPr="003D7879">
        <w:rPr>
          <w:rFonts w:ascii="Arial" w:hAnsi="Arial" w:cs="Arial"/>
          <w:sz w:val="22"/>
          <w:szCs w:val="22"/>
        </w:rPr>
        <w:t>exts</w:t>
      </w:r>
      <w:proofErr w:type="spellEnd"/>
      <w:r w:rsidRPr="003D7879">
        <w:rPr>
          <w:rFonts w:ascii="Arial" w:hAnsi="Arial" w:cs="Arial"/>
          <w:sz w:val="22"/>
          <w:szCs w:val="22"/>
        </w:rPr>
        <w:t>. 1134, 1260 y 1241.</w:t>
      </w:r>
    </w:p>
    <w:p w14:paraId="13AF24FC" w14:textId="77777777" w:rsidR="00B723E8" w:rsidRPr="003D7879" w:rsidRDefault="00B723E8" w:rsidP="00B723E8">
      <w:pPr>
        <w:ind w:left="-426" w:right="-518"/>
        <w:contextualSpacing/>
        <w:jc w:val="center"/>
        <w:rPr>
          <w:sz w:val="22"/>
          <w:szCs w:val="22"/>
        </w:rPr>
      </w:pPr>
    </w:p>
    <w:p w14:paraId="412AA28D" w14:textId="77777777" w:rsidR="00B723E8" w:rsidRPr="003D7879" w:rsidRDefault="00B723E8" w:rsidP="00B723E8">
      <w:pPr>
        <w:ind w:left="-426" w:right="-518"/>
        <w:contextualSpacing/>
        <w:jc w:val="center"/>
        <w:rPr>
          <w:sz w:val="22"/>
          <w:szCs w:val="22"/>
        </w:rPr>
      </w:pPr>
      <w:r w:rsidRPr="003D7879">
        <w:rPr>
          <w:sz w:val="22"/>
          <w:szCs w:val="22"/>
        </w:rPr>
        <w:t xml:space="preserve">Dirección de Atención a Medios / Dirección General Adjunta de Comunicación </w:t>
      </w:r>
    </w:p>
    <w:p w14:paraId="1BAACE3F" w14:textId="77777777" w:rsidR="00B723E8" w:rsidRPr="00B70710" w:rsidRDefault="00B723E8" w:rsidP="00B723E8">
      <w:pPr>
        <w:ind w:left="-426" w:right="-518"/>
        <w:contextualSpacing/>
        <w:jc w:val="center"/>
        <w:rPr>
          <w:sz w:val="22"/>
          <w:szCs w:val="22"/>
        </w:rPr>
      </w:pPr>
    </w:p>
    <w:p w14:paraId="02B70442" w14:textId="77777777" w:rsidR="00B723E8" w:rsidRDefault="00B723E8" w:rsidP="00B723E8">
      <w:pPr>
        <w:ind w:left="-425" w:right="-516"/>
        <w:contextualSpacing/>
        <w:jc w:val="center"/>
      </w:pPr>
      <w:r w:rsidRPr="008F0992">
        <w:rPr>
          <w:noProof/>
          <w:sz w:val="20"/>
          <w:lang w:val="es-MX" w:eastAsia="es-MX"/>
        </w:rPr>
        <w:drawing>
          <wp:inline distT="0" distB="0" distL="0" distR="0" wp14:anchorId="7A14AA41" wp14:editId="05D48630">
            <wp:extent cx="318472" cy="322419"/>
            <wp:effectExtent l="0" t="0" r="5715" b="1905"/>
            <wp:docPr id="10" name="Imagen 10"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452C9B9B" wp14:editId="5B5A5DAD">
            <wp:extent cx="327704" cy="325467"/>
            <wp:effectExtent l="0" t="0" r="0" b="0"/>
            <wp:docPr id="11" name="Imagen 11"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34C8A3EB" wp14:editId="104541B2">
            <wp:extent cx="321276" cy="324093"/>
            <wp:effectExtent l="0" t="0" r="3175" b="0"/>
            <wp:docPr id="12" name="Imagen 12"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4BF5FC8A" wp14:editId="36E620C9">
            <wp:extent cx="321276" cy="326574"/>
            <wp:effectExtent l="0" t="0" r="3175" b="0"/>
            <wp:docPr id="13" name="Imagen 13"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35849304" wp14:editId="3A08CBAF">
            <wp:extent cx="2323070" cy="319707"/>
            <wp:effectExtent l="0" t="0" r="1270" b="4445"/>
            <wp:docPr id="14" name="Imagen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422B0263" w14:textId="77777777" w:rsidR="00B723E8" w:rsidRPr="00157C43" w:rsidRDefault="00B723E8" w:rsidP="00B723E8">
      <w:pPr>
        <w:pStyle w:val="bullet"/>
        <w:tabs>
          <w:tab w:val="left" w:pos="8789"/>
        </w:tabs>
        <w:spacing w:before="0"/>
        <w:ind w:left="0" w:right="51" w:firstLine="0"/>
        <w:jc w:val="center"/>
        <w:rPr>
          <w:rFonts w:cs="Arial"/>
          <w:szCs w:val="24"/>
        </w:rPr>
        <w:sectPr w:rsidR="00B723E8" w:rsidRPr="00157C43" w:rsidSect="004B348B">
          <w:headerReference w:type="default" r:id="rId21"/>
          <w:footerReference w:type="default" r:id="rId22"/>
          <w:pgSz w:w="12240" w:h="15840" w:code="1"/>
          <w:pgMar w:top="1" w:right="1183" w:bottom="0" w:left="1560" w:header="510" w:footer="510" w:gutter="0"/>
          <w:cols w:space="720"/>
          <w:docGrid w:linePitch="272"/>
        </w:sectPr>
      </w:pPr>
      <w:r>
        <w:rPr>
          <w:rFonts w:cs="Arial"/>
          <w:szCs w:val="24"/>
        </w:rPr>
        <w:tab/>
      </w:r>
    </w:p>
    <w:p w14:paraId="07076278" w14:textId="57F6C9C6" w:rsidR="00B723E8" w:rsidRPr="00247948" w:rsidRDefault="00B723E8" w:rsidP="00B723E8">
      <w:pPr>
        <w:pStyle w:val="Profesin"/>
        <w:tabs>
          <w:tab w:val="left" w:pos="8647"/>
        </w:tabs>
        <w:contextualSpacing/>
        <w:rPr>
          <w:sz w:val="24"/>
        </w:rPr>
      </w:pPr>
      <w:r w:rsidRPr="00247948">
        <w:rPr>
          <w:sz w:val="24"/>
        </w:rPr>
        <w:lastRenderedPageBreak/>
        <w:t>NOTA TÉCNICA</w:t>
      </w:r>
    </w:p>
    <w:p w14:paraId="31A79EB3" w14:textId="77777777" w:rsidR="00B723E8" w:rsidRPr="00B723E8" w:rsidRDefault="00B723E8" w:rsidP="00B723E8">
      <w:pPr>
        <w:pStyle w:val="Profesin"/>
        <w:tabs>
          <w:tab w:val="left" w:pos="8647"/>
        </w:tabs>
        <w:contextualSpacing/>
        <w:rPr>
          <w:sz w:val="16"/>
          <w:szCs w:val="16"/>
        </w:rPr>
      </w:pPr>
    </w:p>
    <w:p w14:paraId="27445CEE" w14:textId="77777777" w:rsidR="00DF2D89" w:rsidRPr="00247948" w:rsidRDefault="00DF2D89" w:rsidP="00D74605">
      <w:pPr>
        <w:pStyle w:val="Profesin"/>
        <w:rPr>
          <w:sz w:val="24"/>
          <w:szCs w:val="24"/>
        </w:rPr>
      </w:pPr>
      <w:r w:rsidRPr="00247948">
        <w:rPr>
          <w:sz w:val="24"/>
          <w:szCs w:val="24"/>
        </w:rPr>
        <w:t>ÍNDICE NACIONAL DE PRECIOS AL CONSUMIDOR</w:t>
      </w:r>
    </w:p>
    <w:p w14:paraId="04ADCCF0" w14:textId="176EAD50" w:rsidR="00DF2D89" w:rsidRPr="00247948" w:rsidRDefault="00DF2D89" w:rsidP="00DF2D89">
      <w:pPr>
        <w:pStyle w:val="Profesin"/>
        <w:rPr>
          <w:caps w:val="0"/>
          <w:sz w:val="24"/>
          <w:szCs w:val="24"/>
        </w:rPr>
      </w:pPr>
      <w:r w:rsidRPr="00247948">
        <w:rPr>
          <w:caps w:val="0"/>
          <w:sz w:val="24"/>
          <w:szCs w:val="24"/>
        </w:rPr>
        <w:t xml:space="preserve">Primera quincena de </w:t>
      </w:r>
      <w:r w:rsidR="00C70F10" w:rsidRPr="00247948">
        <w:rPr>
          <w:caps w:val="0"/>
          <w:sz w:val="24"/>
          <w:szCs w:val="24"/>
        </w:rPr>
        <w:t xml:space="preserve">noviembre </w:t>
      </w:r>
      <w:r w:rsidRPr="00247948">
        <w:rPr>
          <w:caps w:val="0"/>
          <w:sz w:val="24"/>
          <w:szCs w:val="24"/>
        </w:rPr>
        <w:t>de 202</w:t>
      </w:r>
      <w:r w:rsidR="00A40648" w:rsidRPr="00247948">
        <w:rPr>
          <w:caps w:val="0"/>
          <w:sz w:val="24"/>
          <w:szCs w:val="24"/>
        </w:rPr>
        <w:t>1</w:t>
      </w:r>
    </w:p>
    <w:p w14:paraId="1C7810F6" w14:textId="3C872F62" w:rsidR="00D00C54" w:rsidRDefault="00D00C54">
      <w:pPr>
        <w:jc w:val="left"/>
        <w:rPr>
          <w:b/>
          <w:i/>
          <w:color w:val="000000" w:themeColor="text1"/>
        </w:rPr>
      </w:pPr>
    </w:p>
    <w:p w14:paraId="75F4DC1C" w14:textId="4988B441" w:rsidR="005E1990" w:rsidRPr="00B940B6" w:rsidRDefault="005E1990" w:rsidP="00BD1A5A">
      <w:pPr>
        <w:keepNext/>
        <w:keepLines/>
        <w:widowControl w:val="0"/>
        <w:spacing w:before="36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64942D48" w14:textId="39864185" w:rsidR="00C70F10" w:rsidRDefault="00C70F10" w:rsidP="00D954BD">
      <w:pPr>
        <w:keepNext/>
        <w:keepLines/>
        <w:autoSpaceDE w:val="0"/>
        <w:autoSpaceDN w:val="0"/>
        <w:adjustRightInd w:val="0"/>
        <w:spacing w:before="360"/>
      </w:pPr>
      <w:bookmarkStart w:id="2" w:name="_Hlk33002076"/>
      <w:r w:rsidRPr="00A71198">
        <w:t>En la primer</w:t>
      </w:r>
      <w:r>
        <w:t xml:space="preserve">a quincena de noviembre de </w:t>
      </w:r>
      <w:r w:rsidRPr="00A71198">
        <w:t>20</w:t>
      </w:r>
      <w:r>
        <w:t>21</w:t>
      </w:r>
      <w:r w:rsidRPr="00A71198">
        <w:t xml:space="preserve"> el Índice Nacional de Precios al Consumidor</w:t>
      </w:r>
      <w:r>
        <w:t xml:space="preserve"> (INPC)</w:t>
      </w:r>
      <w:r w:rsidRPr="00A71198">
        <w:t xml:space="preserve"> </w:t>
      </w:r>
      <w:r>
        <w:t>registró una inflación quincenal de 0.69</w:t>
      </w:r>
      <w:r w:rsidRPr="00A71198">
        <w:t xml:space="preserve"> por ciento</w:t>
      </w:r>
      <w:r>
        <w:t>. En el mismo periodo</w:t>
      </w:r>
      <w:r w:rsidR="00D954BD">
        <w:t xml:space="preserve"> </w:t>
      </w:r>
      <w:r>
        <w:t>de</w:t>
      </w:r>
      <w:r w:rsidR="00D954BD">
        <w:t xml:space="preserve"> </w:t>
      </w:r>
      <w:r>
        <w:t xml:space="preserve">2020 la </w:t>
      </w:r>
      <w:r w:rsidR="00D954BD">
        <w:t>inflación</w:t>
      </w:r>
      <w:r>
        <w:t xml:space="preserve"> fue de 0.04 por ciento.</w:t>
      </w:r>
    </w:p>
    <w:p w14:paraId="3A65A325" w14:textId="77777777" w:rsidR="00D954BD" w:rsidRPr="00F1727E" w:rsidRDefault="00D954BD" w:rsidP="00D954BD">
      <w:pPr>
        <w:pStyle w:val="n01"/>
        <w:keepNext/>
        <w:spacing w:before="360"/>
        <w:ind w:left="0" w:firstLine="0"/>
        <w:jc w:val="center"/>
        <w:rPr>
          <w:rFonts w:ascii="Arial" w:hAnsi="Arial"/>
          <w:b/>
          <w:bCs/>
          <w:color w:val="000000" w:themeColor="text1"/>
          <w:sz w:val="22"/>
        </w:rPr>
      </w:pPr>
      <w:r w:rsidRPr="00F1727E">
        <w:rPr>
          <w:rFonts w:ascii="Arial" w:hAnsi="Arial"/>
          <w:b/>
          <w:bCs/>
          <w:color w:val="000000" w:themeColor="text1"/>
          <w:sz w:val="22"/>
        </w:rPr>
        <w:t>ÍNDICE NACIONAL DE PRECIOS AL CONSUMIDOR</w:t>
      </w:r>
    </w:p>
    <w:p w14:paraId="28814F04" w14:textId="4D3989E2" w:rsidR="00D954BD" w:rsidRPr="00E81C6E" w:rsidRDefault="00D954BD" w:rsidP="00D954BD">
      <w:pPr>
        <w:keepNext/>
        <w:keepLines/>
        <w:widowControl w:val="0"/>
        <w:autoSpaceDE w:val="0"/>
        <w:autoSpaceDN w:val="0"/>
        <w:adjustRightInd w:val="0"/>
        <w:spacing w:before="3" w:line="225" w:lineRule="exact"/>
        <w:jc w:val="center"/>
        <w:rPr>
          <w:sz w:val="18"/>
          <w:szCs w:val="18"/>
        </w:rPr>
      </w:pPr>
      <w:r w:rsidRPr="00E81C6E">
        <w:rPr>
          <w:sz w:val="18"/>
          <w:szCs w:val="18"/>
        </w:rPr>
        <w:t>Variación porcentual quincenal</w:t>
      </w:r>
      <w:r>
        <w:rPr>
          <w:sz w:val="18"/>
          <w:szCs w:val="18"/>
        </w:rPr>
        <w:t>,</w:t>
      </w:r>
      <w:r w:rsidRPr="00E81C6E">
        <w:rPr>
          <w:sz w:val="18"/>
          <w:szCs w:val="18"/>
        </w:rPr>
        <w:t xml:space="preserve"> durante la primera quincena de </w:t>
      </w:r>
      <w:r>
        <w:rPr>
          <w:sz w:val="18"/>
          <w:szCs w:val="18"/>
        </w:rPr>
        <w:t xml:space="preserve">noviembre </w:t>
      </w:r>
      <w:r w:rsidRPr="00E81C6E">
        <w:rPr>
          <w:sz w:val="18"/>
          <w:szCs w:val="18"/>
        </w:rPr>
        <w:t>de los años que se indican</w:t>
      </w:r>
    </w:p>
    <w:p w14:paraId="3FCF9A26" w14:textId="2FE5BCC5" w:rsidR="00C70F10" w:rsidRPr="00A71198" w:rsidRDefault="0029627F" w:rsidP="00D954BD">
      <w:pPr>
        <w:autoSpaceDE w:val="0"/>
        <w:autoSpaceDN w:val="0"/>
        <w:adjustRightInd w:val="0"/>
        <w:jc w:val="center"/>
        <w:rPr>
          <w:noProof/>
        </w:rPr>
      </w:pPr>
      <w:r>
        <w:rPr>
          <w:noProof/>
        </w:rPr>
        <w:drawing>
          <wp:inline distT="0" distB="0" distL="0" distR="0" wp14:anchorId="1B87AD0E" wp14:editId="0625996C">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FF1E76" w14:textId="3A8FDEFF" w:rsidR="00C70F10" w:rsidRPr="00A71198" w:rsidRDefault="00C70F10" w:rsidP="00D954BD">
      <w:pPr>
        <w:autoSpaceDE w:val="0"/>
        <w:autoSpaceDN w:val="0"/>
        <w:adjustRightInd w:val="0"/>
        <w:spacing w:before="360"/>
      </w:pPr>
      <w:r w:rsidRPr="002E2B24">
        <w:t xml:space="preserve">En el siguiente cuadro se presentan las variaciones e incidencias durante </w:t>
      </w:r>
      <w:r>
        <w:t xml:space="preserve">la primera quincena de noviembre </w:t>
      </w:r>
      <w:r w:rsidRPr="002E2B24">
        <w:t>de</w:t>
      </w:r>
      <w:r w:rsidR="00D954BD">
        <w:t xml:space="preserve"> este año</w:t>
      </w:r>
      <w:r w:rsidRPr="002E2B24">
        <w:t xml:space="preserve"> en el INPC, así como en los subíndices que lo integran.</w:t>
      </w:r>
    </w:p>
    <w:p w14:paraId="0140565C" w14:textId="77777777" w:rsidR="00C70F10" w:rsidRPr="00A71198" w:rsidRDefault="00C70F10" w:rsidP="00C70F10">
      <w:pPr>
        <w:pStyle w:val="Prrafodelista"/>
        <w:keepNext/>
        <w:keepLines/>
        <w:widowControl w:val="0"/>
        <w:spacing w:before="360"/>
        <w:ind w:left="0"/>
        <w:jc w:val="center"/>
        <w:rPr>
          <w:b/>
          <w:smallCaps/>
        </w:rPr>
      </w:pPr>
      <w:r>
        <w:rPr>
          <w:b/>
          <w:smallCaps/>
        </w:rPr>
        <w:lastRenderedPageBreak/>
        <w:t>INPC Y SUS COMPONENTES</w:t>
      </w:r>
    </w:p>
    <w:p w14:paraId="1C3DB176" w14:textId="1053BF18" w:rsidR="00C70F10" w:rsidRPr="00D954BD" w:rsidRDefault="00D954BD" w:rsidP="00C70F10">
      <w:pPr>
        <w:keepNext/>
        <w:keepLines/>
        <w:widowControl w:val="0"/>
        <w:jc w:val="center"/>
        <w:rPr>
          <w:sz w:val="18"/>
          <w:szCs w:val="20"/>
        </w:rPr>
      </w:pPr>
      <w:r>
        <w:rPr>
          <w:sz w:val="18"/>
          <w:szCs w:val="20"/>
        </w:rPr>
        <w:t>P</w:t>
      </w:r>
      <w:r w:rsidR="00C70F10" w:rsidRPr="00D954BD">
        <w:rPr>
          <w:sz w:val="18"/>
          <w:szCs w:val="20"/>
        </w:rPr>
        <w:t xml:space="preserve">rimera quincena de noviembre de los años que se indican </w:t>
      </w:r>
    </w:p>
    <w:p w14:paraId="05CDAB87" w14:textId="7C08533C" w:rsidR="00C70F10" w:rsidRPr="00A71198" w:rsidRDefault="009E255E" w:rsidP="00C70F10">
      <w:pPr>
        <w:keepNext/>
        <w:keepLines/>
        <w:widowControl w:val="0"/>
        <w:jc w:val="center"/>
        <w:rPr>
          <w:b/>
        </w:rPr>
      </w:pPr>
      <w:r w:rsidRPr="009E255E">
        <w:rPr>
          <w:noProof/>
        </w:rPr>
        <w:drawing>
          <wp:inline distT="0" distB="0" distL="0" distR="0" wp14:anchorId="0FA87FD4" wp14:editId="3DF8ED17">
            <wp:extent cx="5972810" cy="251749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7494"/>
                    </a:xfrm>
                    <a:prstGeom prst="rect">
                      <a:avLst/>
                    </a:prstGeom>
                    <a:noFill/>
                    <a:ln>
                      <a:noFill/>
                    </a:ln>
                  </pic:spPr>
                </pic:pic>
              </a:graphicData>
            </a:graphic>
          </wp:inline>
        </w:drawing>
      </w:r>
    </w:p>
    <w:p w14:paraId="6F5106E1" w14:textId="77777777" w:rsidR="00D954BD" w:rsidRPr="00A71198" w:rsidRDefault="00D954BD" w:rsidP="00D954BD">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1281D2D6" w14:textId="77777777" w:rsidR="00D954BD" w:rsidRPr="00A71198" w:rsidRDefault="00D954BD" w:rsidP="00D954BD">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19822134" w14:textId="77777777" w:rsidR="00D954BD" w:rsidRPr="00A71198" w:rsidRDefault="00D954BD" w:rsidP="00D954BD">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304089FB" w14:textId="77777777" w:rsidR="00D954BD" w:rsidRPr="00A71198" w:rsidRDefault="00D954BD" w:rsidP="00D954BD">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540284EE" w14:textId="77777777" w:rsidR="00C70F10" w:rsidRPr="00A71198" w:rsidRDefault="00C70F10" w:rsidP="00D954BD">
      <w:pPr>
        <w:pStyle w:val="n01"/>
        <w:keepLines w:val="0"/>
        <w:spacing w:before="720"/>
        <w:ind w:left="0" w:firstLine="0"/>
        <w:rPr>
          <w:rFonts w:ascii="Arial" w:hAnsi="Arial"/>
          <w:b/>
          <w:i/>
          <w:color w:val="auto"/>
        </w:rPr>
      </w:pPr>
      <w:r>
        <w:rPr>
          <w:rFonts w:ascii="Arial" w:hAnsi="Arial"/>
          <w:b/>
          <w:i/>
          <w:color w:val="auto"/>
        </w:rPr>
        <w:t>Inflación por componentes</w:t>
      </w:r>
    </w:p>
    <w:p w14:paraId="7FB27E71" w14:textId="579A32E7" w:rsidR="00C70F10" w:rsidRPr="00A71198" w:rsidRDefault="00C70F10" w:rsidP="00C70F10">
      <w:pPr>
        <w:autoSpaceDE w:val="0"/>
        <w:autoSpaceDN w:val="0"/>
        <w:adjustRightInd w:val="0"/>
        <w:spacing w:before="240"/>
      </w:pPr>
      <w:r w:rsidRPr="00A71198">
        <w:t xml:space="preserve">La variación en la primera quincena de </w:t>
      </w:r>
      <w:r>
        <w:t>noviembre</w:t>
      </w:r>
      <w:r w:rsidRPr="00A71198">
        <w:t xml:space="preserve"> </w:t>
      </w:r>
      <w:r w:rsidR="00D954BD">
        <w:t xml:space="preserve">de 2021 </w:t>
      </w:r>
      <w:r w:rsidRPr="00A71198">
        <w:t xml:space="preserve">de los índices subyacente y no subyacente fue de </w:t>
      </w:r>
      <w:r w:rsidR="00EA0E67">
        <w:t xml:space="preserve">un </w:t>
      </w:r>
      <w:r w:rsidR="00D954BD">
        <w:t xml:space="preserve">incremento de </w:t>
      </w:r>
      <w:r w:rsidRPr="00A71198">
        <w:t>0.</w:t>
      </w:r>
      <w:r>
        <w:t>15</w:t>
      </w:r>
      <w:r w:rsidRPr="00A71198">
        <w:t xml:space="preserve"> y </w:t>
      </w:r>
      <w:r w:rsidR="00D954BD">
        <w:t xml:space="preserve">de </w:t>
      </w:r>
      <w:r>
        <w:t>2.29</w:t>
      </w:r>
      <w:r w:rsidRPr="00A71198">
        <w:t xml:space="preserve"> por ciento</w:t>
      </w:r>
      <w:r w:rsidR="00D954BD">
        <w:t>,</w:t>
      </w:r>
      <w:r>
        <w:t xml:space="preserve"> </w:t>
      </w:r>
      <w:r w:rsidRPr="00A71198">
        <w:t>respectivamente</w:t>
      </w:r>
      <w:r>
        <w:t xml:space="preserve">. Los </w:t>
      </w:r>
      <w:r w:rsidRPr="00A71198">
        <w:t xml:space="preserve">datos </w:t>
      </w:r>
      <w:r w:rsidR="00D954BD">
        <w:t xml:space="preserve">comparables para </w:t>
      </w:r>
      <w:r w:rsidRPr="00A71198">
        <w:t>el mismo periodo de 20</w:t>
      </w:r>
      <w:r>
        <w:t>20</w:t>
      </w:r>
      <w:r w:rsidRPr="00A71198">
        <w:t xml:space="preserve"> </w:t>
      </w:r>
      <w:r>
        <w:t>fueron</w:t>
      </w:r>
      <w:r w:rsidRPr="00A71198">
        <w:t xml:space="preserve"> </w:t>
      </w:r>
      <w:r w:rsidR="00D954BD">
        <w:t xml:space="preserve">de </w:t>
      </w:r>
      <w:r>
        <w:t>(-)</w:t>
      </w:r>
      <w:r w:rsidRPr="00A71198">
        <w:t>0.</w:t>
      </w:r>
      <w:r>
        <w:t>11</w:t>
      </w:r>
      <w:r w:rsidRPr="00A71198">
        <w:t xml:space="preserve"> y </w:t>
      </w:r>
      <w:r w:rsidR="00D954BD">
        <w:t xml:space="preserve">de </w:t>
      </w:r>
      <w:r>
        <w:t>0.51 por ciento.</w:t>
      </w:r>
    </w:p>
    <w:p w14:paraId="5BD260DD" w14:textId="77777777" w:rsidR="00D954BD" w:rsidRPr="00F1727E" w:rsidRDefault="00D954BD" w:rsidP="00D954BD">
      <w:pPr>
        <w:keepNext/>
        <w:keepLines/>
        <w:spacing w:before="240"/>
        <w:jc w:val="center"/>
        <w:rPr>
          <w:b/>
          <w:bCs/>
          <w:color w:val="000000" w:themeColor="text1"/>
          <w:spacing w:val="1"/>
          <w:sz w:val="22"/>
          <w:szCs w:val="22"/>
        </w:rPr>
      </w:pPr>
      <w:r w:rsidRPr="00F1727E">
        <w:rPr>
          <w:b/>
          <w:bCs/>
          <w:color w:val="000000" w:themeColor="text1"/>
          <w:spacing w:val="1"/>
          <w:sz w:val="22"/>
          <w:szCs w:val="22"/>
        </w:rPr>
        <w:lastRenderedPageBreak/>
        <w:t>ÍNDICES DE PRECIOS SUBYACENTE Y NO SUBYACENTE</w:t>
      </w:r>
    </w:p>
    <w:p w14:paraId="148E6DCF" w14:textId="616B9E09" w:rsidR="00C70F10" w:rsidRPr="00D954BD" w:rsidRDefault="00C70F10" w:rsidP="00D954BD">
      <w:pPr>
        <w:keepNext/>
        <w:keepLines/>
        <w:widowControl w:val="0"/>
        <w:autoSpaceDE w:val="0"/>
        <w:autoSpaceDN w:val="0"/>
        <w:adjustRightInd w:val="0"/>
        <w:jc w:val="center"/>
        <w:rPr>
          <w:sz w:val="18"/>
          <w:szCs w:val="18"/>
        </w:rPr>
      </w:pPr>
      <w:r w:rsidRPr="00D954BD">
        <w:rPr>
          <w:sz w:val="18"/>
          <w:szCs w:val="18"/>
        </w:rPr>
        <w:t xml:space="preserve">Variación porcentual </w:t>
      </w:r>
      <w:r w:rsidR="00EA0E67">
        <w:rPr>
          <w:sz w:val="18"/>
          <w:szCs w:val="18"/>
        </w:rPr>
        <w:t xml:space="preserve">quincenal, </w:t>
      </w:r>
      <w:r w:rsidRPr="00D954BD">
        <w:rPr>
          <w:sz w:val="18"/>
          <w:szCs w:val="18"/>
        </w:rPr>
        <w:t>en la primera quincena de noviembre de los años que se indican</w:t>
      </w:r>
    </w:p>
    <w:p w14:paraId="37175CC4" w14:textId="1C233CC2" w:rsidR="00C70F10" w:rsidRPr="00244745" w:rsidRDefault="00244745" w:rsidP="00C70F10">
      <w:pPr>
        <w:pStyle w:val="n01"/>
        <w:keepLines w:val="0"/>
        <w:spacing w:before="0"/>
        <w:ind w:left="0" w:firstLine="0"/>
        <w:jc w:val="center"/>
        <w:rPr>
          <w:rFonts w:ascii="Arial" w:hAnsi="Arial"/>
          <w:noProof/>
          <w:color w:val="auto"/>
        </w:rPr>
      </w:pPr>
      <w:r>
        <w:rPr>
          <w:noProof/>
        </w:rPr>
        <w:drawing>
          <wp:inline distT="0" distB="0" distL="0" distR="0" wp14:anchorId="0EDEA6C9" wp14:editId="3C59A820">
            <wp:extent cx="5040000" cy="2880000"/>
            <wp:effectExtent l="0" t="0" r="27305" b="34925"/>
            <wp:docPr id="5" name="Gráfico 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1C54495" w14:textId="77777777" w:rsidR="00C70F10" w:rsidRDefault="00C70F10" w:rsidP="00D954BD">
      <w:pPr>
        <w:autoSpaceDE w:val="0"/>
        <w:autoSpaceDN w:val="0"/>
        <w:adjustRightInd w:val="0"/>
        <w:spacing w:before="360"/>
      </w:pPr>
      <w:r>
        <w:t>A continuación,</w:t>
      </w:r>
      <w:r w:rsidRPr="00C31BEB">
        <w:t xml:space="preserve"> se muestra la serie histórica de la inflación por componentes en variaciones anuales.</w:t>
      </w:r>
    </w:p>
    <w:p w14:paraId="21D2035F" w14:textId="77777777" w:rsidR="00C70F10" w:rsidRPr="00D954BD" w:rsidRDefault="00C70F10" w:rsidP="00D954BD">
      <w:pPr>
        <w:pStyle w:val="n01"/>
        <w:keepNext/>
        <w:widowControl w:val="0"/>
        <w:spacing w:before="360"/>
        <w:ind w:left="0" w:firstLine="0"/>
        <w:jc w:val="center"/>
        <w:rPr>
          <w:rFonts w:ascii="Arial" w:hAnsi="Arial"/>
          <w:b/>
          <w:bCs/>
          <w:smallCaps/>
          <w:color w:val="000000" w:themeColor="text1"/>
          <w:sz w:val="22"/>
          <w:szCs w:val="22"/>
        </w:rPr>
      </w:pPr>
      <w:r w:rsidRPr="00D954BD">
        <w:rPr>
          <w:rFonts w:ascii="Arial" w:hAnsi="Arial"/>
          <w:b/>
          <w:bCs/>
          <w:smallCaps/>
          <w:color w:val="000000" w:themeColor="text1"/>
          <w:sz w:val="22"/>
          <w:szCs w:val="22"/>
        </w:rPr>
        <w:t xml:space="preserve">INPC Y SUS COMPONENTES </w:t>
      </w:r>
    </w:p>
    <w:p w14:paraId="10D82590" w14:textId="078725BF" w:rsidR="00C70F10" w:rsidRPr="00D954BD" w:rsidRDefault="00C70F10" w:rsidP="00D954BD">
      <w:pPr>
        <w:keepNext/>
        <w:keepLines/>
        <w:widowControl w:val="0"/>
        <w:autoSpaceDE w:val="0"/>
        <w:autoSpaceDN w:val="0"/>
        <w:adjustRightInd w:val="0"/>
        <w:jc w:val="center"/>
        <w:rPr>
          <w:sz w:val="18"/>
          <w:szCs w:val="18"/>
        </w:rPr>
      </w:pPr>
      <w:r w:rsidRPr="00D954BD">
        <w:rPr>
          <w:sz w:val="18"/>
          <w:szCs w:val="18"/>
        </w:rPr>
        <w:t>Variación porcentual anual</w:t>
      </w:r>
      <w:r w:rsidR="000F202E">
        <w:rPr>
          <w:sz w:val="18"/>
          <w:szCs w:val="18"/>
        </w:rPr>
        <w:t>,</w:t>
      </w:r>
      <w:r w:rsidR="000F202E" w:rsidRPr="009C6667">
        <w:rPr>
          <w:sz w:val="18"/>
          <w:szCs w:val="18"/>
        </w:rPr>
        <w:t xml:space="preserve"> </w:t>
      </w:r>
      <w:r w:rsidR="000F202E">
        <w:rPr>
          <w:sz w:val="18"/>
          <w:szCs w:val="18"/>
        </w:rPr>
        <w:t xml:space="preserve">por </w:t>
      </w:r>
      <w:r w:rsidR="000F202E" w:rsidRPr="009C6667">
        <w:rPr>
          <w:sz w:val="18"/>
          <w:szCs w:val="18"/>
        </w:rPr>
        <w:t xml:space="preserve">quincena de </w:t>
      </w:r>
      <w:r w:rsidR="000F202E">
        <w:rPr>
          <w:sz w:val="18"/>
          <w:szCs w:val="18"/>
        </w:rPr>
        <w:t>los años que se indican</w:t>
      </w:r>
    </w:p>
    <w:p w14:paraId="4F25B4D1" w14:textId="1E76A5D7" w:rsidR="00C70F10" w:rsidRPr="00A71198" w:rsidRDefault="00244745" w:rsidP="00C70F10">
      <w:pPr>
        <w:widowControl w:val="0"/>
        <w:autoSpaceDE w:val="0"/>
        <w:autoSpaceDN w:val="0"/>
        <w:adjustRightInd w:val="0"/>
        <w:jc w:val="center"/>
        <w:rPr>
          <w:noProof/>
        </w:rPr>
      </w:pPr>
      <w:r>
        <w:rPr>
          <w:noProof/>
        </w:rPr>
        <w:drawing>
          <wp:inline distT="0" distB="0" distL="0" distR="0" wp14:anchorId="48C4EFB0" wp14:editId="5D638E1E">
            <wp:extent cx="5040000" cy="2880000"/>
            <wp:effectExtent l="0" t="0" r="27305" b="15875"/>
            <wp:docPr id="8" name="Gráfico 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7C290D" w14:textId="2B978A44" w:rsidR="00C70F10" w:rsidRPr="00550ACA" w:rsidRDefault="001F59C6" w:rsidP="00D954BD">
      <w:pPr>
        <w:keepNext/>
        <w:keepLines/>
        <w:autoSpaceDE w:val="0"/>
        <w:autoSpaceDN w:val="0"/>
        <w:adjustRightInd w:val="0"/>
        <w:spacing w:before="240"/>
      </w:pPr>
      <w:r>
        <w:lastRenderedPageBreak/>
        <w:t>Ahora se</w:t>
      </w:r>
      <w:r w:rsidRPr="00550ACA">
        <w:t xml:space="preserve"> presenta</w:t>
      </w:r>
      <w:r>
        <w:t>n</w:t>
      </w:r>
      <w:r w:rsidRPr="00550ACA">
        <w:t xml:space="preserve"> los principales </w:t>
      </w:r>
      <w:r w:rsidR="00C70F10" w:rsidRPr="00550ACA">
        <w:t>productos genéricos cuyas variaciones de precios al alza y a la baja destacaron por su incidencia sobre la inflación general.</w:t>
      </w:r>
    </w:p>
    <w:p w14:paraId="22529446" w14:textId="77777777" w:rsidR="002F238B" w:rsidRPr="00F1727E" w:rsidRDefault="002F238B" w:rsidP="002F238B">
      <w:pPr>
        <w:keepNext/>
        <w:keepLines/>
        <w:widowControl w:val="0"/>
        <w:tabs>
          <w:tab w:val="left" w:pos="1220"/>
        </w:tabs>
        <w:autoSpaceDE w:val="0"/>
        <w:autoSpaceDN w:val="0"/>
        <w:adjustRightInd w:val="0"/>
        <w:spacing w:before="240"/>
        <w:jc w:val="center"/>
        <w:rPr>
          <w:b/>
          <w:bCs/>
          <w:color w:val="000000" w:themeColor="text1"/>
          <w:spacing w:val="1"/>
          <w:sz w:val="22"/>
          <w:szCs w:val="22"/>
        </w:rPr>
      </w:pPr>
      <w:r w:rsidRPr="00F1727E">
        <w:rPr>
          <w:b/>
          <w:bCs/>
          <w:color w:val="000000" w:themeColor="text1"/>
          <w:spacing w:val="1"/>
          <w:sz w:val="22"/>
          <w:szCs w:val="22"/>
        </w:rPr>
        <w:t>ÍNDICE NACIONAL DE PRECIOS AL CONSUMIDOR</w:t>
      </w:r>
    </w:p>
    <w:p w14:paraId="550EFB80" w14:textId="77777777" w:rsidR="002F238B" w:rsidRPr="00F1727E" w:rsidRDefault="002F238B" w:rsidP="002F238B">
      <w:pPr>
        <w:widowControl w:val="0"/>
        <w:tabs>
          <w:tab w:val="left" w:pos="1220"/>
        </w:tabs>
        <w:autoSpaceDE w:val="0"/>
        <w:autoSpaceDN w:val="0"/>
        <w:adjustRightInd w:val="0"/>
        <w:jc w:val="center"/>
        <w:rPr>
          <w:b/>
          <w:bCs/>
          <w:color w:val="000000" w:themeColor="text1"/>
          <w:spacing w:val="1"/>
          <w:sz w:val="22"/>
        </w:rPr>
      </w:pPr>
      <w:r w:rsidRPr="00F1727E">
        <w:rPr>
          <w:b/>
          <w:bCs/>
          <w:color w:val="000000" w:themeColor="text1"/>
          <w:spacing w:val="1"/>
          <w:sz w:val="22"/>
        </w:rPr>
        <w:t>GENÉRICOS CON MAYOR Y MENOR INCIDENCIA</w:t>
      </w:r>
    </w:p>
    <w:p w14:paraId="7B618CB1" w14:textId="77777777" w:rsidR="00C70F10" w:rsidRPr="002F238B" w:rsidRDefault="00C70F10" w:rsidP="002F238B">
      <w:pPr>
        <w:keepNext/>
        <w:keepLines/>
        <w:widowControl w:val="0"/>
        <w:autoSpaceDE w:val="0"/>
        <w:autoSpaceDN w:val="0"/>
        <w:adjustRightInd w:val="0"/>
        <w:jc w:val="center"/>
        <w:rPr>
          <w:color w:val="000000"/>
          <w:position w:val="-1"/>
          <w:sz w:val="18"/>
          <w:szCs w:val="20"/>
        </w:rPr>
      </w:pPr>
      <w:r w:rsidRPr="002F238B">
        <w:rPr>
          <w:color w:val="000000"/>
          <w:position w:val="-1"/>
          <w:sz w:val="18"/>
          <w:szCs w:val="20"/>
        </w:rPr>
        <w:t>Primera quincena de noviembre de 2021</w:t>
      </w:r>
    </w:p>
    <w:p w14:paraId="685F6413" w14:textId="180A9091" w:rsidR="00C70F10" w:rsidRPr="00A71198" w:rsidRDefault="000F202E" w:rsidP="00C70F10">
      <w:pPr>
        <w:autoSpaceDE w:val="0"/>
        <w:autoSpaceDN w:val="0"/>
        <w:adjustRightInd w:val="0"/>
        <w:jc w:val="center"/>
      </w:pPr>
      <w:r w:rsidRPr="000F202E">
        <w:rPr>
          <w:noProof/>
        </w:rPr>
        <w:drawing>
          <wp:inline distT="0" distB="0" distL="0" distR="0" wp14:anchorId="553E0DC7" wp14:editId="5319FB60">
            <wp:extent cx="5972810" cy="1903467"/>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903467"/>
                    </a:xfrm>
                    <a:prstGeom prst="rect">
                      <a:avLst/>
                    </a:prstGeom>
                    <a:noFill/>
                    <a:ln>
                      <a:noFill/>
                    </a:ln>
                  </pic:spPr>
                </pic:pic>
              </a:graphicData>
            </a:graphic>
          </wp:inline>
        </w:drawing>
      </w:r>
    </w:p>
    <w:p w14:paraId="4377D0DD" w14:textId="32514EC1" w:rsidR="00C70F10" w:rsidRPr="002F238B" w:rsidRDefault="00C70F10" w:rsidP="002F238B">
      <w:pPr>
        <w:autoSpaceDE w:val="0"/>
        <w:autoSpaceDN w:val="0"/>
        <w:adjustRightInd w:val="0"/>
        <w:spacing w:line="276" w:lineRule="auto"/>
        <w:ind w:left="283" w:right="113" w:hanging="170"/>
        <w:rPr>
          <w:color w:val="006600"/>
          <w:sz w:val="16"/>
          <w:szCs w:val="16"/>
        </w:rPr>
      </w:pPr>
      <w:r w:rsidRPr="002F238B">
        <w:rPr>
          <w:color w:val="006600"/>
          <w:sz w:val="18"/>
          <w:szCs w:val="16"/>
          <w:vertAlign w:val="superscript"/>
        </w:rPr>
        <w:t>1/</w:t>
      </w:r>
      <w:r w:rsidR="002F238B">
        <w:rPr>
          <w:color w:val="006600"/>
          <w:sz w:val="18"/>
          <w:szCs w:val="16"/>
          <w:vertAlign w:val="superscript"/>
        </w:rPr>
        <w:tab/>
      </w:r>
      <w:r w:rsidRPr="002F238B">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6AA74BC3" w14:textId="193CDB97" w:rsidR="00C70F10" w:rsidRPr="002F238B" w:rsidRDefault="00C70F10" w:rsidP="002F238B">
      <w:pPr>
        <w:autoSpaceDE w:val="0"/>
        <w:autoSpaceDN w:val="0"/>
        <w:adjustRightInd w:val="0"/>
        <w:spacing w:line="276" w:lineRule="auto"/>
        <w:ind w:left="283" w:right="113" w:hanging="170"/>
        <w:rPr>
          <w:color w:val="006600"/>
          <w:sz w:val="16"/>
          <w:szCs w:val="16"/>
        </w:rPr>
      </w:pPr>
      <w:r w:rsidRPr="002F238B">
        <w:rPr>
          <w:color w:val="006600"/>
          <w:sz w:val="18"/>
          <w:szCs w:val="16"/>
          <w:vertAlign w:val="superscript"/>
        </w:rPr>
        <w:t>2/</w:t>
      </w:r>
      <w:r w:rsidR="002F238B">
        <w:rPr>
          <w:color w:val="006600"/>
          <w:sz w:val="18"/>
          <w:szCs w:val="16"/>
          <w:vertAlign w:val="superscript"/>
        </w:rPr>
        <w:tab/>
      </w:r>
      <w:r w:rsidRPr="002F238B">
        <w:rPr>
          <w:color w:val="006600"/>
          <w:sz w:val="16"/>
          <w:szCs w:val="16"/>
        </w:rPr>
        <w:t>El programa de tarifas eléctricas de temporada cálida terminó su periodo de vigencia durante noviembre en las siguientes ciudades: Mexicali, Cd. Juárez, Culiacán, Chihuahua, Hermosillo, Matamoros, Colima, La Paz, Huatabampo, Jiménez y Esperanza.</w:t>
      </w:r>
    </w:p>
    <w:p w14:paraId="0F5ABBA4" w14:textId="75DFCCF5" w:rsidR="00C70F10" w:rsidRPr="00A71198" w:rsidRDefault="00C70F10" w:rsidP="002F238B">
      <w:pPr>
        <w:keepNext/>
        <w:keepLines/>
        <w:autoSpaceDE w:val="0"/>
        <w:autoSpaceDN w:val="0"/>
        <w:adjustRightInd w:val="0"/>
        <w:spacing w:before="360"/>
      </w:pPr>
      <w:r>
        <w:t>En los siguientes cuadros se muestran las entidades federativas y ciudades con la mayor y</w:t>
      </w:r>
      <w:r w:rsidR="002F238B">
        <w:t xml:space="preserve"> </w:t>
      </w:r>
      <w:r>
        <w:t>menor variación de precios en la primera quincena de noviembre de 2021.</w:t>
      </w:r>
    </w:p>
    <w:p w14:paraId="0FD7041B" w14:textId="77777777" w:rsidR="00C70F10" w:rsidRPr="002F238B" w:rsidRDefault="00C70F10" w:rsidP="002F238B">
      <w:pPr>
        <w:keepNext/>
        <w:keepLines/>
        <w:widowControl w:val="0"/>
        <w:tabs>
          <w:tab w:val="left" w:pos="1220"/>
        </w:tabs>
        <w:autoSpaceDE w:val="0"/>
        <w:autoSpaceDN w:val="0"/>
        <w:adjustRightInd w:val="0"/>
        <w:spacing w:before="360"/>
        <w:jc w:val="center"/>
        <w:rPr>
          <w:b/>
          <w:bCs/>
          <w:smallCaps/>
          <w:color w:val="000000" w:themeColor="text1"/>
          <w:spacing w:val="1"/>
          <w:sz w:val="22"/>
          <w:szCs w:val="22"/>
        </w:rPr>
      </w:pPr>
      <w:r w:rsidRPr="002F238B">
        <w:rPr>
          <w:b/>
          <w:bCs/>
          <w:smallCaps/>
          <w:color w:val="000000" w:themeColor="text1"/>
          <w:spacing w:val="1"/>
          <w:sz w:val="22"/>
          <w:szCs w:val="22"/>
        </w:rPr>
        <w:t>ÍNDICE NACIONAL DE PRECIOS AL CONSUMIDOR</w:t>
      </w:r>
    </w:p>
    <w:p w14:paraId="46C537EE" w14:textId="77777777" w:rsidR="00C70F10" w:rsidRPr="002F238B" w:rsidRDefault="00C70F10" w:rsidP="00C70F10">
      <w:pPr>
        <w:widowControl w:val="0"/>
        <w:tabs>
          <w:tab w:val="left" w:pos="1220"/>
        </w:tabs>
        <w:autoSpaceDE w:val="0"/>
        <w:autoSpaceDN w:val="0"/>
        <w:adjustRightInd w:val="0"/>
        <w:jc w:val="center"/>
        <w:rPr>
          <w:b/>
          <w:bCs/>
          <w:smallCaps/>
          <w:color w:val="000000" w:themeColor="text1"/>
          <w:spacing w:val="1"/>
          <w:sz w:val="22"/>
          <w:szCs w:val="22"/>
        </w:rPr>
      </w:pPr>
      <w:r w:rsidRPr="002F238B">
        <w:rPr>
          <w:b/>
          <w:bCs/>
          <w:smallCaps/>
          <w:color w:val="000000" w:themeColor="text1"/>
          <w:spacing w:val="1"/>
          <w:sz w:val="22"/>
          <w:szCs w:val="22"/>
        </w:rPr>
        <w:t>ENTIDADES FEDERATIVAS CON MAYOR Y MENOR VARIACIÓN *</w:t>
      </w:r>
    </w:p>
    <w:p w14:paraId="16FF812D" w14:textId="77777777" w:rsidR="00C70F10" w:rsidRPr="002F238B" w:rsidRDefault="00C70F10" w:rsidP="002F238B">
      <w:pPr>
        <w:keepNext/>
        <w:keepLines/>
        <w:widowControl w:val="0"/>
        <w:tabs>
          <w:tab w:val="left" w:pos="1220"/>
        </w:tabs>
        <w:autoSpaceDE w:val="0"/>
        <w:autoSpaceDN w:val="0"/>
        <w:adjustRightInd w:val="0"/>
        <w:jc w:val="center"/>
        <w:rPr>
          <w:bCs/>
          <w:color w:val="000000" w:themeColor="text1"/>
          <w:spacing w:val="1"/>
          <w:sz w:val="18"/>
          <w:szCs w:val="20"/>
        </w:rPr>
      </w:pPr>
      <w:r w:rsidRPr="002F238B">
        <w:rPr>
          <w:bCs/>
          <w:color w:val="000000" w:themeColor="text1"/>
          <w:spacing w:val="1"/>
          <w:sz w:val="18"/>
          <w:szCs w:val="20"/>
        </w:rPr>
        <w:t>Primera quincena de noviembre de 2021</w:t>
      </w:r>
    </w:p>
    <w:p w14:paraId="630B5B69" w14:textId="04F74C28" w:rsidR="00C70F10" w:rsidRPr="00A71198" w:rsidRDefault="009E255E" w:rsidP="00C70F10">
      <w:pPr>
        <w:autoSpaceDE w:val="0"/>
        <w:autoSpaceDN w:val="0"/>
        <w:adjustRightInd w:val="0"/>
        <w:rPr>
          <w:color w:val="006600"/>
        </w:rPr>
      </w:pPr>
      <w:r w:rsidRPr="009E255E">
        <w:rPr>
          <w:noProof/>
        </w:rPr>
        <w:drawing>
          <wp:inline distT="0" distB="0" distL="0" distR="0" wp14:anchorId="248EF462" wp14:editId="4125FFDA">
            <wp:extent cx="5972810" cy="113008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30084"/>
                    </a:xfrm>
                    <a:prstGeom prst="rect">
                      <a:avLst/>
                    </a:prstGeom>
                    <a:noFill/>
                    <a:ln>
                      <a:noFill/>
                    </a:ln>
                  </pic:spPr>
                </pic:pic>
              </a:graphicData>
            </a:graphic>
          </wp:inline>
        </w:drawing>
      </w:r>
    </w:p>
    <w:p w14:paraId="5666E36F" w14:textId="77777777" w:rsidR="002F238B" w:rsidRPr="0093518A" w:rsidRDefault="002F238B" w:rsidP="002F238B">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73E242FA" w14:textId="77777777" w:rsidR="002F238B" w:rsidRDefault="002F238B">
      <w:pPr>
        <w:jc w:val="left"/>
        <w:rPr>
          <w:b/>
          <w:bCs/>
          <w:smallCaps/>
          <w:color w:val="000000" w:themeColor="text1"/>
          <w:spacing w:val="1"/>
          <w:sz w:val="22"/>
          <w:szCs w:val="22"/>
        </w:rPr>
      </w:pPr>
      <w:r>
        <w:rPr>
          <w:b/>
          <w:bCs/>
          <w:smallCaps/>
          <w:color w:val="000000" w:themeColor="text1"/>
          <w:spacing w:val="1"/>
          <w:sz w:val="22"/>
          <w:szCs w:val="22"/>
        </w:rPr>
        <w:br w:type="page"/>
      </w:r>
    </w:p>
    <w:p w14:paraId="4C98EA0D" w14:textId="11653D02" w:rsidR="00C70F10" w:rsidRPr="002F238B" w:rsidRDefault="00C70F10" w:rsidP="002F238B">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2F238B">
        <w:rPr>
          <w:b/>
          <w:bCs/>
          <w:smallCaps/>
          <w:color w:val="000000" w:themeColor="text1"/>
          <w:spacing w:val="1"/>
          <w:sz w:val="22"/>
          <w:szCs w:val="22"/>
        </w:rPr>
        <w:lastRenderedPageBreak/>
        <w:t>ÍNDICE NACIONAL DE PRECIOS AL CONSUMIDOR</w:t>
      </w:r>
    </w:p>
    <w:p w14:paraId="2157E006" w14:textId="77777777" w:rsidR="00C70F10" w:rsidRPr="002F238B" w:rsidRDefault="00C70F10" w:rsidP="00C70F10">
      <w:pPr>
        <w:widowControl w:val="0"/>
        <w:tabs>
          <w:tab w:val="left" w:pos="1220"/>
        </w:tabs>
        <w:autoSpaceDE w:val="0"/>
        <w:autoSpaceDN w:val="0"/>
        <w:adjustRightInd w:val="0"/>
        <w:jc w:val="center"/>
        <w:rPr>
          <w:b/>
          <w:bCs/>
          <w:smallCaps/>
          <w:color w:val="000000" w:themeColor="text1"/>
          <w:spacing w:val="1"/>
          <w:sz w:val="22"/>
          <w:szCs w:val="22"/>
        </w:rPr>
      </w:pPr>
      <w:r w:rsidRPr="002F238B">
        <w:rPr>
          <w:b/>
          <w:bCs/>
          <w:smallCaps/>
          <w:color w:val="000000" w:themeColor="text1"/>
          <w:spacing w:val="1"/>
          <w:sz w:val="22"/>
          <w:szCs w:val="22"/>
        </w:rPr>
        <w:t>CIUDADES CON MAYOR Y MENOR VARIACIÓN *</w:t>
      </w:r>
    </w:p>
    <w:p w14:paraId="4339FDDA" w14:textId="567CC40F" w:rsidR="00C70F10" w:rsidRPr="002F238B" w:rsidRDefault="00C70F10" w:rsidP="002F238B">
      <w:pPr>
        <w:keepNext/>
        <w:keepLines/>
        <w:widowControl w:val="0"/>
        <w:tabs>
          <w:tab w:val="left" w:pos="1220"/>
        </w:tabs>
        <w:autoSpaceDE w:val="0"/>
        <w:autoSpaceDN w:val="0"/>
        <w:adjustRightInd w:val="0"/>
        <w:jc w:val="center"/>
        <w:rPr>
          <w:bCs/>
          <w:color w:val="000000" w:themeColor="text1"/>
          <w:spacing w:val="1"/>
          <w:sz w:val="18"/>
          <w:szCs w:val="20"/>
        </w:rPr>
      </w:pPr>
      <w:r w:rsidRPr="002F238B">
        <w:rPr>
          <w:bCs/>
          <w:color w:val="000000" w:themeColor="text1"/>
          <w:spacing w:val="1"/>
          <w:sz w:val="18"/>
          <w:szCs w:val="20"/>
        </w:rPr>
        <w:t xml:space="preserve">Primera quincena de noviembre </w:t>
      </w:r>
      <w:r w:rsidR="001F59C6">
        <w:rPr>
          <w:bCs/>
          <w:color w:val="000000" w:themeColor="text1"/>
          <w:spacing w:val="1"/>
          <w:sz w:val="18"/>
          <w:szCs w:val="20"/>
        </w:rPr>
        <w:t xml:space="preserve">de </w:t>
      </w:r>
      <w:r w:rsidRPr="002F238B">
        <w:rPr>
          <w:bCs/>
          <w:color w:val="000000" w:themeColor="text1"/>
          <w:spacing w:val="1"/>
          <w:sz w:val="18"/>
          <w:szCs w:val="20"/>
        </w:rPr>
        <w:t>2021</w:t>
      </w:r>
    </w:p>
    <w:p w14:paraId="22CC6C77" w14:textId="2264B8FD" w:rsidR="00C70F10" w:rsidRPr="00A71198" w:rsidRDefault="009E255E" w:rsidP="00C70F10">
      <w:pPr>
        <w:widowControl w:val="0"/>
        <w:tabs>
          <w:tab w:val="left" w:pos="1220"/>
        </w:tabs>
        <w:autoSpaceDE w:val="0"/>
        <w:autoSpaceDN w:val="0"/>
        <w:adjustRightInd w:val="0"/>
        <w:jc w:val="center"/>
        <w:rPr>
          <w:bCs/>
          <w:color w:val="000000" w:themeColor="text1"/>
          <w:spacing w:val="1"/>
        </w:rPr>
      </w:pPr>
      <w:r w:rsidRPr="009E255E">
        <w:rPr>
          <w:noProof/>
        </w:rPr>
        <w:drawing>
          <wp:inline distT="0" distB="0" distL="0" distR="0" wp14:anchorId="5E27B47A" wp14:editId="42C10BF4">
            <wp:extent cx="5972810" cy="190976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9765"/>
                    </a:xfrm>
                    <a:prstGeom prst="rect">
                      <a:avLst/>
                    </a:prstGeom>
                    <a:noFill/>
                    <a:ln>
                      <a:noFill/>
                    </a:ln>
                  </pic:spPr>
                </pic:pic>
              </a:graphicData>
            </a:graphic>
          </wp:inline>
        </w:drawing>
      </w:r>
    </w:p>
    <w:p w14:paraId="3B3C953E" w14:textId="77777777" w:rsidR="002F238B" w:rsidRPr="0093518A" w:rsidRDefault="002F238B" w:rsidP="002F238B">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5FDF46EC" w14:textId="5B8F36AC" w:rsidR="00C70F10" w:rsidRDefault="00C70F10" w:rsidP="00C70F10">
      <w:pPr>
        <w:widowControl w:val="0"/>
        <w:autoSpaceDE w:val="0"/>
        <w:autoSpaceDN w:val="0"/>
        <w:adjustRightInd w:val="0"/>
        <w:spacing w:before="240"/>
      </w:pPr>
      <w:r w:rsidRPr="005D3641">
        <w:t>A continuación se muestran las variaciones de precios del INPC duran</w:t>
      </w:r>
      <w:r>
        <w:t>te la primera quincena de noviembre</w:t>
      </w:r>
      <w:r w:rsidRPr="005D3641">
        <w:t xml:space="preserve"> de 2021, en función </w:t>
      </w:r>
      <w:r w:rsidR="001F59C6">
        <w:t>de</w:t>
      </w:r>
      <w:r w:rsidRPr="005D3641">
        <w:t xml:space="preserve"> la Clasificación del Consumo Individual por Finalidades (CCIF), utilizada internacionalmente para los índices de</w:t>
      </w:r>
      <w:r>
        <w:t xml:space="preserve"> precios al </w:t>
      </w:r>
      <w:r w:rsidRPr="00A71198">
        <w:t>consumidor</w:t>
      </w:r>
      <w:r w:rsidRPr="002F238B">
        <w:rPr>
          <w:vertAlign w:val="superscript"/>
        </w:rPr>
        <w:footnoteReference w:id="2"/>
      </w:r>
      <w:r w:rsidRPr="00A71198">
        <w:t>:</w:t>
      </w:r>
    </w:p>
    <w:p w14:paraId="02117E09" w14:textId="77777777" w:rsidR="002F238B" w:rsidRPr="005F57AB" w:rsidRDefault="002F238B" w:rsidP="002F238B">
      <w:pPr>
        <w:pStyle w:val="n01"/>
        <w:keepNext/>
        <w:autoSpaceDE w:val="0"/>
        <w:autoSpaceDN w:val="0"/>
        <w:adjustRightInd w:val="0"/>
        <w:spacing w:before="360"/>
        <w:ind w:left="0" w:firstLine="0"/>
        <w:jc w:val="center"/>
        <w:rPr>
          <w:rFonts w:ascii="Arial" w:hAnsi="Arial"/>
          <w:b/>
          <w:bCs/>
          <w:color w:val="000000" w:themeColor="text1"/>
          <w:spacing w:val="1"/>
          <w:sz w:val="22"/>
          <w:szCs w:val="22"/>
        </w:rPr>
      </w:pPr>
      <w:r w:rsidRPr="005F57AB">
        <w:rPr>
          <w:rFonts w:ascii="Arial" w:hAnsi="Arial"/>
          <w:b/>
          <w:bCs/>
          <w:color w:val="000000" w:themeColor="text1"/>
          <w:spacing w:val="1"/>
          <w:sz w:val="22"/>
          <w:szCs w:val="22"/>
        </w:rPr>
        <w:t>ÍNDICE NACIONAL DE PRECIOS AL CONSUMIDOR</w:t>
      </w:r>
    </w:p>
    <w:p w14:paraId="741CD8E3" w14:textId="77777777" w:rsidR="002F238B" w:rsidRPr="005F57AB" w:rsidRDefault="002F238B" w:rsidP="002F238B">
      <w:pPr>
        <w:keepNext/>
        <w:keepLines/>
        <w:tabs>
          <w:tab w:val="left" w:pos="1220"/>
        </w:tabs>
        <w:autoSpaceDE w:val="0"/>
        <w:autoSpaceDN w:val="0"/>
        <w:adjustRightInd w:val="0"/>
        <w:jc w:val="center"/>
        <w:rPr>
          <w:b/>
          <w:bCs/>
          <w:color w:val="000000" w:themeColor="text1"/>
          <w:spacing w:val="1"/>
          <w:sz w:val="22"/>
          <w:szCs w:val="22"/>
        </w:rPr>
      </w:pPr>
      <w:r w:rsidRPr="005F57AB">
        <w:rPr>
          <w:b/>
          <w:bCs/>
          <w:color w:val="000000" w:themeColor="text1"/>
          <w:spacing w:val="1"/>
          <w:sz w:val="22"/>
          <w:szCs w:val="22"/>
        </w:rPr>
        <w:t>CLASIFICACIÓN DEL CONSUMO INDIVIDUAL POR FINALIDADES</w:t>
      </w:r>
    </w:p>
    <w:p w14:paraId="64E7A454" w14:textId="77777777" w:rsidR="00C70F10" w:rsidRPr="002F238B" w:rsidRDefault="00C70F10" w:rsidP="00C70F10">
      <w:pPr>
        <w:keepNext/>
        <w:keepLines/>
        <w:tabs>
          <w:tab w:val="left" w:pos="1220"/>
        </w:tabs>
        <w:autoSpaceDE w:val="0"/>
        <w:autoSpaceDN w:val="0"/>
        <w:adjustRightInd w:val="0"/>
        <w:jc w:val="center"/>
        <w:rPr>
          <w:bCs/>
          <w:color w:val="000000"/>
          <w:spacing w:val="1"/>
          <w:sz w:val="18"/>
          <w:szCs w:val="20"/>
        </w:rPr>
      </w:pPr>
      <w:r w:rsidRPr="002F238B">
        <w:rPr>
          <w:bCs/>
          <w:color w:val="000000"/>
          <w:spacing w:val="1"/>
          <w:sz w:val="18"/>
          <w:szCs w:val="20"/>
        </w:rPr>
        <w:t>Variación porcentual</w:t>
      </w:r>
    </w:p>
    <w:p w14:paraId="25981943" w14:textId="54482489" w:rsidR="00C70F10" w:rsidRPr="00A71198" w:rsidRDefault="009E255E" w:rsidP="00C70F10">
      <w:pPr>
        <w:pStyle w:val="Prrafodelista"/>
        <w:keepNext/>
        <w:keepLines/>
        <w:autoSpaceDE w:val="0"/>
        <w:autoSpaceDN w:val="0"/>
        <w:adjustRightInd w:val="0"/>
        <w:ind w:hanging="708"/>
        <w:jc w:val="center"/>
      </w:pPr>
      <w:r w:rsidRPr="009E255E">
        <w:rPr>
          <w:noProof/>
        </w:rPr>
        <w:drawing>
          <wp:inline distT="0" distB="0" distL="0" distR="0" wp14:anchorId="5DFDEE6D" wp14:editId="78AD2EE8">
            <wp:extent cx="5972810" cy="2545158"/>
            <wp:effectExtent l="0" t="0" r="889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5158"/>
                    </a:xfrm>
                    <a:prstGeom prst="rect">
                      <a:avLst/>
                    </a:prstGeom>
                    <a:noFill/>
                    <a:ln>
                      <a:noFill/>
                    </a:ln>
                  </pic:spPr>
                </pic:pic>
              </a:graphicData>
            </a:graphic>
          </wp:inline>
        </w:drawing>
      </w:r>
    </w:p>
    <w:p w14:paraId="70439836" w14:textId="77777777" w:rsidR="002F238B" w:rsidRPr="00321AF7" w:rsidRDefault="002F238B" w:rsidP="002F238B">
      <w:pPr>
        <w:autoSpaceDE w:val="0"/>
        <w:autoSpaceDN w:val="0"/>
        <w:adjustRightInd w:val="0"/>
        <w:ind w:left="283" w:right="113" w:hanging="170"/>
        <w:rPr>
          <w:color w:val="006600"/>
          <w:sz w:val="16"/>
          <w:szCs w:val="16"/>
        </w:rPr>
      </w:pPr>
      <w:r w:rsidRPr="00321AF7">
        <w:rPr>
          <w:color w:val="006600"/>
          <w:sz w:val="18"/>
          <w:szCs w:val="16"/>
          <w:vertAlign w:val="superscript"/>
        </w:rPr>
        <w:t>1/</w:t>
      </w:r>
      <w:r w:rsidRPr="00321AF7">
        <w:rPr>
          <w:color w:val="006600"/>
          <w:sz w:val="18"/>
          <w:szCs w:val="16"/>
          <w:vertAlign w:val="superscript"/>
        </w:rPr>
        <w:tab/>
      </w:r>
      <w:r w:rsidRPr="00321AF7">
        <w:rPr>
          <w:color w:val="006600"/>
          <w:sz w:val="16"/>
          <w:szCs w:val="16"/>
        </w:rPr>
        <w:t>Incluye productos y servicios de cuidado personal, relojes, maletas, seguro de automóvil, servicios funerarios y profesionales, entre otros.</w:t>
      </w:r>
    </w:p>
    <w:p w14:paraId="755B31F0" w14:textId="160AA8DF" w:rsidR="00C70F10" w:rsidRDefault="00C70F10" w:rsidP="00C70F10">
      <w:pPr>
        <w:autoSpaceDE w:val="0"/>
        <w:autoSpaceDN w:val="0"/>
        <w:adjustRightInd w:val="0"/>
        <w:rPr>
          <w:color w:val="000000" w:themeColor="text1"/>
        </w:rPr>
      </w:pPr>
      <w:r>
        <w:rPr>
          <w:color w:val="000000" w:themeColor="text1"/>
        </w:rPr>
        <w:lastRenderedPageBreak/>
        <w:t xml:space="preserve">Finalmente, en la primera quincena de noviembre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2F238B">
        <w:rPr>
          <w:color w:val="000000" w:themeColor="text1"/>
          <w:vertAlign w:val="superscript"/>
        </w:rPr>
        <w:footnoteReference w:id="3"/>
      </w:r>
      <w:r w:rsidRPr="00AF5DD6">
        <w:rPr>
          <w:color w:val="000000" w:themeColor="text1"/>
        </w:rPr>
        <w:t xml:space="preserve"> </w:t>
      </w:r>
      <w:r>
        <w:rPr>
          <w:color w:val="000000" w:themeColor="text1"/>
        </w:rPr>
        <w:t>tuvo un incremento quincenal de</w:t>
      </w:r>
      <w:r w:rsidRPr="00AF5DD6">
        <w:rPr>
          <w:color w:val="000000" w:themeColor="text1"/>
        </w:rPr>
        <w:t xml:space="preserve"> </w:t>
      </w:r>
      <w:r>
        <w:rPr>
          <w:color w:val="000000" w:themeColor="text1"/>
        </w:rPr>
        <w:t>0.76</w:t>
      </w:r>
      <w:r w:rsidRPr="00AF5DD6">
        <w:rPr>
          <w:color w:val="000000" w:themeColor="text1"/>
        </w:rPr>
        <w:t xml:space="preserve"> por ciento</w:t>
      </w:r>
      <w:r>
        <w:rPr>
          <w:color w:val="000000" w:themeColor="text1"/>
        </w:rPr>
        <w:t xml:space="preserve"> y </w:t>
      </w:r>
      <w:r w:rsidR="002F238B">
        <w:rPr>
          <w:color w:val="000000" w:themeColor="text1"/>
        </w:rPr>
        <w:t xml:space="preserve">de </w:t>
      </w:r>
      <w:r>
        <w:rPr>
          <w:color w:val="000000" w:themeColor="text1"/>
        </w:rPr>
        <w:t>7.94 por ciento anual</w:t>
      </w:r>
      <w:r w:rsidR="002003DF">
        <w:rPr>
          <w:color w:val="000000" w:themeColor="text1"/>
        </w:rPr>
        <w:t>;</w:t>
      </w:r>
      <w:r>
        <w:rPr>
          <w:color w:val="000000" w:themeColor="text1"/>
        </w:rPr>
        <w:t xml:space="preserve"> en </w:t>
      </w:r>
      <w:r w:rsidRPr="00AF5DD6">
        <w:rPr>
          <w:color w:val="000000" w:themeColor="text1"/>
        </w:rPr>
        <w:t xml:space="preserve">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las c</w:t>
      </w:r>
      <w:r>
        <w:rPr>
          <w:color w:val="000000" w:themeColor="text1"/>
        </w:rPr>
        <w:t>ifras correspondientes fueron</w:t>
      </w:r>
      <w:r w:rsidRPr="00AF5DD6">
        <w:rPr>
          <w:color w:val="000000" w:themeColor="text1"/>
        </w:rPr>
        <w:t xml:space="preserve"> </w:t>
      </w:r>
      <w:r w:rsidR="002F238B">
        <w:rPr>
          <w:color w:val="000000" w:themeColor="text1"/>
        </w:rPr>
        <w:t xml:space="preserve">de </w:t>
      </w:r>
      <w:r>
        <w:rPr>
          <w:color w:val="000000" w:themeColor="text1"/>
        </w:rPr>
        <w:t>0.11</w:t>
      </w:r>
      <w:r w:rsidRPr="00AF5DD6">
        <w:rPr>
          <w:color w:val="000000" w:themeColor="text1"/>
        </w:rPr>
        <w:t xml:space="preserve"> y</w:t>
      </w:r>
      <w:r w:rsidR="002F238B">
        <w:rPr>
          <w:color w:val="000000" w:themeColor="text1"/>
        </w:rPr>
        <w:t xml:space="preserve"> de</w:t>
      </w:r>
      <w:r w:rsidRPr="00AF5DD6">
        <w:rPr>
          <w:color w:val="000000" w:themeColor="text1"/>
        </w:rPr>
        <w:t xml:space="preserve"> </w:t>
      </w:r>
      <w:r w:rsidR="002F238B">
        <w:rPr>
          <w:color w:val="000000" w:themeColor="text1"/>
        </w:rPr>
        <w:br/>
      </w:r>
      <w:r>
        <w:rPr>
          <w:color w:val="000000" w:themeColor="text1"/>
        </w:rPr>
        <w:t xml:space="preserve">3.61 por ciento. </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078EF4EA"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ya se ha </w:t>
      </w:r>
      <w:r w:rsidRPr="00695B57">
        <w:rPr>
          <w:lang w:val="es-MX"/>
        </w:rPr>
        <w:t>inform</w:t>
      </w:r>
      <w:r w:rsidR="00C40F06">
        <w:rPr>
          <w:lang w:val="es-MX"/>
        </w:rPr>
        <w:t>ado</w:t>
      </w:r>
      <w:r w:rsidRPr="00695B57">
        <w:rPr>
          <w:lang w:val="es-MX"/>
        </w:rPr>
        <w:t xml:space="preserve">, dadas las medidas adoptadas por el INEGI ante el estado de emergencia sanitaria originada por el COVID-19, a partir del mes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Índice Nacional de Precios al Consumidor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1604E1" w:rsidRPr="00FA04B0">
        <w:rPr>
          <w:lang w:val="es-MX"/>
        </w:rPr>
        <w:t>,</w:t>
      </w:r>
      <w:r w:rsidR="001604E1" w:rsidRPr="00FA04B0">
        <w:t xml:space="preserve"> </w:t>
      </w:r>
      <w:r w:rsidR="00C40F06">
        <w:t>hasta que</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C40F06">
        <w:rPr>
          <w:lang w:val="es-MX"/>
        </w:rPr>
        <w:t>d</w:t>
      </w:r>
      <w:r w:rsidRPr="00FA04B0">
        <w:rPr>
          <w:lang w:val="es-MX"/>
        </w:rPr>
        <w:t>ifusión</w:t>
      </w:r>
      <w:r w:rsidRPr="00695B57">
        <w:rPr>
          <w:lang w:val="es-MX"/>
        </w:rPr>
        <w:t xml:space="preserve"> de </w:t>
      </w:r>
      <w:r w:rsidR="00C40F06">
        <w:rPr>
          <w:lang w:val="es-MX"/>
        </w:rPr>
        <w:t>i</w:t>
      </w:r>
      <w:r w:rsidRPr="00695B57">
        <w:rPr>
          <w:lang w:val="es-MX"/>
        </w:rPr>
        <w:t xml:space="preserve">nformación </w:t>
      </w:r>
      <w:r w:rsidR="00C40F06">
        <w:rPr>
          <w:lang w:val="es-MX"/>
        </w:rPr>
        <w:t>e</w:t>
      </w:r>
      <w:r w:rsidRPr="00695B57">
        <w:rPr>
          <w:lang w:val="es-MX"/>
        </w:rPr>
        <w:t xml:space="preserve">stadística y </w:t>
      </w:r>
      <w:r w:rsidR="00C40F06">
        <w:rPr>
          <w:lang w:val="es-MX"/>
        </w:rPr>
        <w:t>g</w:t>
      </w:r>
      <w:r w:rsidRPr="00695B57">
        <w:rPr>
          <w:lang w:val="es-MX"/>
        </w:rPr>
        <w:t>eográfica y de Interés Nacional establecido por el Instituto.</w:t>
      </w:r>
      <w:r w:rsidRPr="00533979">
        <w:rPr>
          <w:b/>
          <w:bCs/>
          <w:noProof/>
          <w:sz w:val="22"/>
          <w:szCs w:val="22"/>
        </w:rPr>
        <w:t xml:space="preserve"> </w:t>
      </w:r>
    </w:p>
    <w:p w14:paraId="5B4B2171" w14:textId="13E3829E"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2F238B">
        <w:rPr>
          <w:lang w:val="es-MX"/>
        </w:rPr>
        <w:t xml:space="preserve">noviembre </w:t>
      </w:r>
      <w:r w:rsidR="00E912AA">
        <w:rPr>
          <w:lang w:val="es-MX"/>
        </w:rPr>
        <w:t xml:space="preserve">de </w:t>
      </w:r>
      <w:r w:rsidR="00185457">
        <w:rPr>
          <w:lang w:val="es-MX"/>
        </w:rPr>
        <w:t>2021</w:t>
      </w:r>
      <w:r w:rsidRPr="00176A27">
        <w:rPr>
          <w:lang w:val="es-MX"/>
        </w:rPr>
        <w:t xml:space="preserve">, </w:t>
      </w:r>
      <w:r w:rsidR="00413162"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sidR="00C40F06">
        <w:rPr>
          <w:lang w:val="es-MX"/>
        </w:rPr>
        <w:t xml:space="preserve"> ha </w:t>
      </w:r>
      <w:r w:rsidR="00413162" w:rsidRPr="00413162">
        <w:rPr>
          <w:lang w:val="es-MX"/>
        </w:rPr>
        <w:t>ocurr</w:t>
      </w:r>
      <w:r w:rsidR="00C40F06">
        <w:rPr>
          <w:lang w:val="es-MX"/>
        </w:rPr>
        <w:t>ido</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95718C">
        <w:rPr>
          <w:lang w:val="es-MX"/>
        </w:rPr>
        <w:t xml:space="preserve">dueño del </w:t>
      </w:r>
      <w:r w:rsidR="00413162" w:rsidRPr="00413162">
        <w:rPr>
          <w:lang w:val="es-MX"/>
        </w:rPr>
        <w:t xml:space="preserve">negocio. La falta de precios se distribuyó entre todos los genéricos y estadísticamente sólo afectó a aquellos que representan el </w:t>
      </w:r>
      <w:r w:rsidR="00413162" w:rsidRPr="003F0AEA">
        <w:rPr>
          <w:lang w:val="es-MX"/>
        </w:rPr>
        <w:t>0.</w:t>
      </w:r>
      <w:r w:rsidR="00F1727E">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C40F06">
        <w:rPr>
          <w:lang w:val="es-MX"/>
        </w:rPr>
        <w:t xml:space="preserve">se </w:t>
      </w:r>
      <w:r w:rsidR="00413162" w:rsidRPr="00413162">
        <w:rPr>
          <w:lang w:val="es-MX"/>
        </w:rPr>
        <w:t>apega</w:t>
      </w:r>
      <w:r w:rsidR="00C40F06">
        <w:rPr>
          <w:lang w:val="es-MX"/>
        </w:rPr>
        <w:t>n</w:t>
      </w:r>
      <w:r w:rsidR="00413162" w:rsidRPr="00413162">
        <w:rPr>
          <w:lang w:val="es-MX"/>
        </w:rPr>
        <w:t xml:space="preserve"> a las recomendaciones que han </w:t>
      </w:r>
      <w:r w:rsidR="00C40F06">
        <w:rPr>
          <w:lang w:val="es-MX"/>
        </w:rPr>
        <w:t xml:space="preserve">hecho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4C8EEAEE"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w:t>
      </w:r>
      <w:r w:rsidR="00C40F06">
        <w:rPr>
          <w:lang w:val="es-MX"/>
        </w:rPr>
        <w:t>. E</w:t>
      </w:r>
      <w:r w:rsidRPr="00A16DEB">
        <w:rPr>
          <w:lang w:val="es-MX"/>
        </w:rPr>
        <w:t>l INPC es un indicador trascendente y de interés general para la sociedad en su conjunto.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77777777"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24E122F"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5B9B4DAA"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enérico en la canasta de bienes y servicios del INPC su ponderación debe ser igual o mayor a 0.01</w:t>
      </w:r>
      <w:r w:rsidR="001D6ED5">
        <w:rPr>
          <w:color w:val="000000"/>
          <w:sz w:val="24"/>
          <w:szCs w:val="24"/>
          <w:lang w:val="es-MX"/>
        </w:rPr>
        <w:t xml:space="preserve"> por ciento</w:t>
      </w:r>
      <w:r w:rsidRPr="00A16DEB">
        <w:rPr>
          <w:color w:val="000000"/>
          <w:sz w:val="24"/>
          <w:szCs w:val="24"/>
          <w:lang w:val="es-MX"/>
        </w:rPr>
        <w:t xml:space="preserve">.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16AE24A"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w:t>
      </w:r>
      <w:r w:rsidR="00106A20">
        <w:rPr>
          <w:color w:val="000000"/>
          <w:sz w:val="24"/>
          <w:szCs w:val="24"/>
        </w:rPr>
        <w:t>ó</w:t>
      </w:r>
      <w:r w:rsidRPr="00A16DEB">
        <w:rPr>
          <w:color w:val="000000"/>
          <w:sz w:val="24"/>
          <w:szCs w:val="24"/>
        </w:rPr>
        <w:t>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25A852FA"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ederativas del país. Se cotizan en promedio 159</w:t>
      </w:r>
      <w:r w:rsidR="00106A20">
        <w:rPr>
          <w:sz w:val="24"/>
          <w:szCs w:val="24"/>
          <w:lang w:val="es-ES_tradnl"/>
        </w:rPr>
        <w:t>,</w:t>
      </w:r>
      <w:r w:rsidRPr="00A16DEB">
        <w:rPr>
          <w:sz w:val="24"/>
          <w:szCs w:val="24"/>
          <w:lang w:val="es-ES_tradnl"/>
        </w:rPr>
        <w:t xml:space="preserve">500 precios </w:t>
      </w:r>
      <w:r w:rsidR="00106A20">
        <w:rPr>
          <w:sz w:val="24"/>
          <w:szCs w:val="24"/>
          <w:lang w:val="es-ES_tradnl"/>
        </w:rPr>
        <w:t xml:space="preserve">cada </w:t>
      </w:r>
      <w:r w:rsidRPr="00A16DEB">
        <w:rPr>
          <w:sz w:val="24"/>
          <w:szCs w:val="24"/>
          <w:lang w:val="es-ES_tradnl"/>
        </w:rPr>
        <w:t>quincena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106A20">
        <w:rPr>
          <w:sz w:val="24"/>
          <w:szCs w:val="24"/>
          <w:lang w:val="es-ES_tradnl"/>
        </w:rPr>
        <w:t>,</w:t>
      </w:r>
      <w:r w:rsidRPr="00A16DEB">
        <w:rPr>
          <w:sz w:val="24"/>
          <w:szCs w:val="24"/>
          <w:lang w:val="es-ES_tradnl"/>
        </w:rPr>
        <w:t xml:space="preserve">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2C5DAF68"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106A20">
        <w:rPr>
          <w:sz w:val="24"/>
          <w:szCs w:val="24"/>
          <w:lang w:val="es-MX"/>
        </w:rPr>
        <w:t>El</w:t>
      </w:r>
      <w:r w:rsidRPr="00A16DEB">
        <w:rPr>
          <w:sz w:val="24"/>
          <w:szCs w:val="24"/>
          <w:lang w:val="es-MX"/>
        </w:rPr>
        <w:t xml:space="preserve"> c</w:t>
      </w:r>
      <w:r w:rsidR="00106A20">
        <w:rPr>
          <w:sz w:val="24"/>
          <w:szCs w:val="24"/>
          <w:lang w:val="es-MX"/>
        </w:rPr>
        <w:t>á</w:t>
      </w:r>
      <w:r w:rsidRPr="00A16DEB">
        <w:rPr>
          <w:sz w:val="24"/>
          <w:szCs w:val="24"/>
          <w:lang w:val="es-MX"/>
        </w:rPr>
        <w:t>lcul</w:t>
      </w:r>
      <w:r w:rsidR="00106A20">
        <w:rPr>
          <w:sz w:val="24"/>
          <w:szCs w:val="24"/>
          <w:lang w:val="es-MX"/>
        </w:rPr>
        <w:t>o se realiza</w:t>
      </w:r>
      <w:r w:rsidRPr="00A16DEB">
        <w:rPr>
          <w:sz w:val="24"/>
          <w:szCs w:val="24"/>
          <w:lang w:val="es-MX"/>
        </w:rPr>
        <w:t xml:space="preserve"> </w:t>
      </w:r>
      <w:r w:rsidRPr="00A16DEB">
        <w:rPr>
          <w:sz w:val="24"/>
          <w:szCs w:val="24"/>
          <w:lang w:val="es-ES_tradnl"/>
        </w:rPr>
        <w:t>en dos etapas</w:t>
      </w:r>
      <w:r w:rsidR="00106A20">
        <w:rPr>
          <w:sz w:val="24"/>
          <w:szCs w:val="24"/>
          <w:lang w:val="es-ES_tradnl"/>
        </w:rPr>
        <w:t>, e</w:t>
      </w:r>
      <w:r w:rsidRPr="00A16DEB">
        <w:rPr>
          <w:sz w:val="24"/>
          <w:szCs w:val="24"/>
          <w:lang w:val="es-ES_tradnl"/>
        </w:rPr>
        <w:t>n la primera se calculan los índices elementales por genérico y área geográfica</w:t>
      </w:r>
      <w:r w:rsidR="00106A20">
        <w:rPr>
          <w:sz w:val="24"/>
          <w:szCs w:val="24"/>
          <w:lang w:val="es-ES_tradnl"/>
        </w:rPr>
        <w:t>,</w:t>
      </w:r>
      <w:r w:rsidRPr="00A16DEB">
        <w:rPr>
          <w:sz w:val="24"/>
          <w:szCs w:val="24"/>
          <w:lang w:val="es-ES_tradnl"/>
        </w:rPr>
        <w:t xml:space="preserve"> mediante un Índice de Jevons</w:t>
      </w:r>
      <w:r w:rsidR="00106A20">
        <w:rPr>
          <w:sz w:val="24"/>
          <w:szCs w:val="24"/>
          <w:lang w:val="es-ES_tradnl"/>
        </w:rPr>
        <w:t xml:space="preserve"> y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0" w:anchor="Herramientas" w:history="1">
        <w:r w:rsidRPr="00636E0F">
          <w:rPr>
            <w:rStyle w:val="Hipervnculo"/>
            <w:sz w:val="24"/>
            <w:szCs w:val="24"/>
          </w:rPr>
          <w:t>https://www.inegi.org.mx/programas/inpc/2018/default.html#Herramientas</w:t>
        </w:r>
      </w:hyperlink>
    </w:p>
    <w:p w14:paraId="1A47079E" w14:textId="7703751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4A93CA01"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270EC6" w:rsidRPr="00270EC6">
        <w:rPr>
          <w:bCs/>
          <w:iCs/>
          <w:sz w:val="24"/>
          <w:szCs w:val="24"/>
          <w:lang w:val="es-ES_tradnl"/>
        </w:rPr>
        <w:t xml:space="preserve">Es una </w:t>
      </w:r>
      <w:r w:rsidR="00270EC6" w:rsidRPr="00270EC6">
        <w:rPr>
          <w:sz w:val="24"/>
          <w:szCs w:val="24"/>
        </w:rPr>
        <w:t>presentación</w:t>
      </w:r>
      <w:r w:rsidRPr="00636E0F">
        <w:rPr>
          <w:sz w:val="24"/>
          <w:szCs w:val="24"/>
        </w:rPr>
        <w:t xml:space="preserve"> en forma dinámica </w:t>
      </w:r>
      <w:r w:rsidR="00270EC6">
        <w:rPr>
          <w:sz w:val="24"/>
          <w:szCs w:val="24"/>
        </w:rPr>
        <w:t xml:space="preserve">de </w:t>
      </w:r>
      <w:r w:rsidRPr="00636E0F">
        <w:rPr>
          <w:sz w:val="24"/>
          <w:szCs w:val="24"/>
        </w:rPr>
        <w:t>las variaciones anualizadas de los precios por ciudad, entidad y región, así como la participación o peso que tienen estos en el INPC.</w:t>
      </w:r>
    </w:p>
    <w:p w14:paraId="1F4877ED" w14:textId="04715DAE"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producto específico</w:t>
      </w:r>
      <w:r w:rsidR="00270EC6">
        <w:rPr>
          <w:sz w:val="24"/>
          <w:szCs w:val="24"/>
        </w:rPr>
        <w:t xml:space="preserve"> </w:t>
      </w:r>
      <w:r w:rsidRPr="00636E0F">
        <w:rPr>
          <w:sz w:val="24"/>
          <w:szCs w:val="24"/>
        </w:rPr>
        <w:t>utilizado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61391B9C"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 xml:space="preserve">Para mayor detalle del diseño conceptual y metodológico del INPC </w:t>
      </w:r>
      <w:r w:rsidR="00270EC6">
        <w:rPr>
          <w:sz w:val="24"/>
          <w:szCs w:val="24"/>
          <w:lang w:val="es-ES_tradnl"/>
        </w:rPr>
        <w:t xml:space="preserve">puede </w:t>
      </w:r>
      <w:r w:rsidRPr="00A16DEB">
        <w:rPr>
          <w:sz w:val="24"/>
          <w:szCs w:val="24"/>
          <w:lang w:val="es-ES_tradnl"/>
        </w:rPr>
        <w:t>consultar la página del INEGI</w:t>
      </w:r>
      <w:r w:rsidR="00270EC6">
        <w:rPr>
          <w:sz w:val="24"/>
          <w:szCs w:val="24"/>
          <w:lang w:val="es-ES_tradnl"/>
        </w:rPr>
        <w:t xml:space="preserve"> en internet</w:t>
      </w:r>
      <w:r w:rsidRPr="00A16DEB">
        <w:rPr>
          <w:sz w:val="24"/>
          <w:szCs w:val="24"/>
          <w:lang w:val="es-ES_tradnl"/>
        </w:rPr>
        <w:t>:</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el apartado Documentación. En </w:t>
      </w:r>
      <w:r w:rsidR="00270EC6">
        <w:rPr>
          <w:sz w:val="24"/>
          <w:szCs w:val="24"/>
        </w:rPr>
        <w:t>el mismo enlace</w:t>
      </w:r>
      <w:r w:rsidRPr="00A16DEB">
        <w:rPr>
          <w:sz w:val="24"/>
          <w:szCs w:val="24"/>
        </w:rPr>
        <w:t xml:space="preserve"> se pueden consultar los tabulados de resultados del índice (por agregados geográficos, clasificadores…), series históricas, precios promedio, y las herramientas de análisis del indicador.</w:t>
      </w:r>
    </w:p>
    <w:bookmarkEnd w:id="2"/>
    <w:p w14:paraId="3A872C33" w14:textId="431466A9" w:rsidR="006A3411" w:rsidRPr="00A71198" w:rsidRDefault="00EC1E5C" w:rsidP="00CB13CD">
      <w:pPr>
        <w:pStyle w:val="Texto"/>
        <w:keepNext/>
        <w:keepLines/>
        <w:autoSpaceDE w:val="0"/>
        <w:autoSpaceDN w:val="0"/>
        <w:adjustRightInd w:val="0"/>
        <w:spacing w:before="240" w:after="0" w:line="240" w:lineRule="auto"/>
        <w:ind w:firstLine="0"/>
        <w:jc w:val="center"/>
        <w:rPr>
          <w:sz w:val="24"/>
          <w:szCs w:val="24"/>
        </w:rPr>
      </w:pPr>
      <w:r>
        <w:rPr>
          <w:noProof/>
        </w:rPr>
        <w:drawing>
          <wp:inline distT="0" distB="0" distL="0" distR="0" wp14:anchorId="00B34115" wp14:editId="759DA294">
            <wp:extent cx="3513600" cy="1638000"/>
            <wp:effectExtent l="0" t="0" r="0" b="635"/>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4DF9" w14:textId="77777777" w:rsidR="0015496E" w:rsidRDefault="0015496E">
      <w:r>
        <w:separator/>
      </w:r>
    </w:p>
  </w:endnote>
  <w:endnote w:type="continuationSeparator" w:id="0">
    <w:p w14:paraId="6C85ADFA" w14:textId="77777777" w:rsidR="0015496E" w:rsidRDefault="0015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831B" w14:textId="77777777" w:rsidR="00B723E8" w:rsidRPr="00BB245B" w:rsidRDefault="00B723E8" w:rsidP="00614EF2">
    <w:pPr>
      <w:pStyle w:val="Piedepgina"/>
      <w:contextualSpacing/>
      <w:jc w:val="center"/>
      <w:rPr>
        <w:color w:val="002060"/>
        <w:sz w:val="18"/>
        <w:szCs w:val="18"/>
      </w:rPr>
    </w:pPr>
    <w:r w:rsidRPr="00BB245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723750" w:rsidRDefault="003B5757" w:rsidP="003076C4">
    <w:pPr>
      <w:pStyle w:val="Piedepgina"/>
      <w:jc w:val="center"/>
      <w:rPr>
        <w:b/>
        <w:color w:val="002060"/>
        <w:sz w:val="20"/>
        <w:szCs w:val="20"/>
        <w:lang w:val="es-MX"/>
      </w:rPr>
    </w:pPr>
    <w:r w:rsidRPr="0072375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6AAE" w14:textId="77777777" w:rsidR="0015496E" w:rsidRDefault="0015496E">
      <w:r>
        <w:separator/>
      </w:r>
    </w:p>
  </w:footnote>
  <w:footnote w:type="continuationSeparator" w:id="0">
    <w:p w14:paraId="39DC40C8" w14:textId="77777777" w:rsidR="0015496E" w:rsidRDefault="0015496E">
      <w:r>
        <w:continuationSeparator/>
      </w:r>
    </w:p>
  </w:footnote>
  <w:footnote w:id="1">
    <w:p w14:paraId="7E7ABA22" w14:textId="77777777" w:rsidR="00B723E8" w:rsidRDefault="00B723E8" w:rsidP="00B723E8">
      <w:pPr>
        <w:pStyle w:val="Textonotapie"/>
        <w:ind w:left="170" w:hanging="170"/>
        <w:rPr>
          <w:color w:val="000000" w:themeColor="text1"/>
          <w:sz w:val="16"/>
          <w:szCs w:val="16"/>
        </w:rPr>
      </w:pPr>
      <w:r w:rsidRPr="00866182">
        <w:rPr>
          <w:rStyle w:val="Refdenotaalpie"/>
          <w:color w:val="000000" w:themeColor="text1"/>
          <w:sz w:val="18"/>
          <w:szCs w:val="16"/>
        </w:rPr>
        <w:footnoteRef/>
      </w:r>
      <w:r w:rsidRPr="00866182">
        <w:rPr>
          <w:color w:val="000000" w:themeColor="text1"/>
          <w:sz w:val="16"/>
          <w:szCs w:val="16"/>
        </w:rPr>
        <w:tab/>
      </w:r>
      <w:r w:rsidRPr="00D954BD">
        <w:rPr>
          <w:color w:val="000000" w:themeColor="text1"/>
          <w:sz w:val="16"/>
          <w:szCs w:val="16"/>
        </w:rPr>
        <w:t>La inflación subyacente se obtiene al eliminar del cálculo del INPC los bienes y servicios cuyos precios son más volátiles, o bien que su proceso de determinación no responde a condiciones de mercado. Así, los grupos que se excluyen en el indicador subyacente son los siguientes: agropecuarios y, energéticos y tarifas autorizadas por distintos órdenes de gobierno.</w:t>
      </w:r>
    </w:p>
    <w:p w14:paraId="4543A815" w14:textId="77777777" w:rsidR="00B723E8" w:rsidRDefault="00B723E8" w:rsidP="00B723E8">
      <w:pPr>
        <w:pStyle w:val="Textonotapie"/>
        <w:ind w:left="170" w:hanging="170"/>
        <w:rPr>
          <w:sz w:val="16"/>
          <w:szCs w:val="16"/>
        </w:rPr>
      </w:pPr>
    </w:p>
    <w:p w14:paraId="4F93FFAD" w14:textId="77777777" w:rsidR="00B723E8" w:rsidRPr="008D30DF" w:rsidRDefault="00B723E8" w:rsidP="00B723E8">
      <w:pPr>
        <w:pStyle w:val="Textonotapie"/>
        <w:ind w:left="170" w:hanging="170"/>
        <w:rPr>
          <w:sz w:val="16"/>
          <w:szCs w:val="16"/>
        </w:rPr>
      </w:pPr>
    </w:p>
  </w:footnote>
  <w:footnote w:id="2">
    <w:p w14:paraId="75E7CBA0" w14:textId="5DECE434" w:rsidR="00C70F10" w:rsidRPr="00CA39BA" w:rsidRDefault="00C70F10" w:rsidP="00C70F10">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página 26. OIT, FMI, OCDE, Eurostat, UNECE, Banco Mundial.</w:t>
      </w:r>
    </w:p>
  </w:footnote>
  <w:footnote w:id="3">
    <w:p w14:paraId="587B9F07" w14:textId="77777777" w:rsidR="00C70F10" w:rsidRPr="009C5908" w:rsidRDefault="00C70F10" w:rsidP="00C70F10">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4BACDD5C"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 xml:space="preserve">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65B6" w14:textId="29026571" w:rsidR="00B723E8" w:rsidRPr="00265B8C" w:rsidRDefault="00B723E8" w:rsidP="00C529AB">
    <w:pPr>
      <w:pStyle w:val="Encabezado"/>
      <w:framePr w:w="5354" w:hSpace="141" w:wrap="auto" w:vAnchor="text" w:hAnchor="page" w:x="5739" w:y="39"/>
      <w:ind w:left="567" w:hanging="11"/>
      <w:jc w:val="right"/>
      <w:rPr>
        <w:b/>
        <w:color w:val="002060"/>
      </w:rPr>
    </w:pPr>
    <w:r w:rsidRPr="00265B8C">
      <w:rPr>
        <w:b/>
        <w:color w:val="002060"/>
      </w:rPr>
      <w:t xml:space="preserve">COMUNICADO DE PRENSA NÚM. </w:t>
    </w:r>
    <w:r w:rsidR="005336AE">
      <w:rPr>
        <w:b/>
        <w:color w:val="002060"/>
      </w:rPr>
      <w:t>690</w:t>
    </w:r>
    <w:r w:rsidRPr="00265B8C">
      <w:rPr>
        <w:b/>
        <w:color w:val="002060"/>
      </w:rPr>
      <w:t>/</w:t>
    </w:r>
    <w:r>
      <w:rPr>
        <w:b/>
        <w:color w:val="002060"/>
      </w:rPr>
      <w:t>21</w:t>
    </w:r>
  </w:p>
  <w:p w14:paraId="387EFD77" w14:textId="77777777" w:rsidR="00B723E8" w:rsidRPr="00265B8C" w:rsidRDefault="00B723E8" w:rsidP="00C529AB">
    <w:pPr>
      <w:pStyle w:val="Encabezado"/>
      <w:framePr w:w="5354" w:hSpace="141" w:wrap="auto" w:vAnchor="text" w:hAnchor="page" w:x="5739" w:y="39"/>
      <w:ind w:left="567" w:hanging="11"/>
      <w:jc w:val="right"/>
      <w:rPr>
        <w:b/>
        <w:color w:val="002060"/>
        <w:lang w:val="pt-BR"/>
      </w:rPr>
    </w:pPr>
    <w:r>
      <w:rPr>
        <w:b/>
        <w:color w:val="002060"/>
        <w:lang w:val="pt-BR"/>
      </w:rPr>
      <w:t xml:space="preserve">24 </w:t>
    </w:r>
    <w:r w:rsidRPr="00265B8C">
      <w:rPr>
        <w:b/>
        <w:color w:val="002060"/>
        <w:lang w:val="pt-BR"/>
      </w:rPr>
      <w:t>D</w:t>
    </w:r>
    <w:r>
      <w:rPr>
        <w:b/>
        <w:color w:val="002060"/>
        <w:lang w:val="pt-BR"/>
      </w:rPr>
      <w:t>E NOVIEMBRE D</w:t>
    </w:r>
    <w:r w:rsidRPr="00265B8C">
      <w:rPr>
        <w:b/>
        <w:color w:val="002060"/>
        <w:lang w:val="pt-BR"/>
      </w:rPr>
      <w:t>E 20</w:t>
    </w:r>
    <w:r>
      <w:rPr>
        <w:b/>
        <w:color w:val="002060"/>
        <w:lang w:val="pt-BR"/>
      </w:rPr>
      <w:t>21</w:t>
    </w:r>
  </w:p>
  <w:p w14:paraId="7ACE8BEE" w14:textId="77777777" w:rsidR="00B723E8" w:rsidRPr="00265B8C" w:rsidRDefault="00B723E8" w:rsidP="00C529AB">
    <w:pPr>
      <w:pStyle w:val="Encabezado"/>
      <w:framePr w:w="5354" w:hSpace="141" w:wrap="auto" w:vAnchor="text" w:hAnchor="page" w:x="5739"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60DB1129" w14:textId="77777777" w:rsidR="00B723E8" w:rsidRDefault="00B723E8" w:rsidP="00BF23AD">
    <w:pPr>
      <w:pStyle w:val="Encabezado"/>
      <w:ind w:left="142"/>
    </w:pPr>
    <w:r>
      <w:rPr>
        <w:noProof/>
      </w:rPr>
      <w:drawing>
        <wp:inline distT="0" distB="0" distL="0" distR="0" wp14:anchorId="63D19ED3" wp14:editId="649F974D">
          <wp:extent cx="798723" cy="829660"/>
          <wp:effectExtent l="0" t="0" r="1905"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387" cy="8573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7AFCB70A" w:rsidR="00BC75C4" w:rsidRDefault="00B940B6" w:rsidP="00B723E8">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7"/>
  </w:num>
  <w:num w:numId="13">
    <w:abstractNumId w:val="29"/>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B70"/>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202E"/>
    <w:rsid w:val="000F3491"/>
    <w:rsid w:val="000F3986"/>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96E"/>
    <w:rsid w:val="00154E90"/>
    <w:rsid w:val="001553D8"/>
    <w:rsid w:val="001557A9"/>
    <w:rsid w:val="00155878"/>
    <w:rsid w:val="0015599D"/>
    <w:rsid w:val="00155A36"/>
    <w:rsid w:val="001569A5"/>
    <w:rsid w:val="001572AC"/>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087"/>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6ED5"/>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59C6"/>
    <w:rsid w:val="001F60DA"/>
    <w:rsid w:val="001F65A4"/>
    <w:rsid w:val="001F65E0"/>
    <w:rsid w:val="001F6EE3"/>
    <w:rsid w:val="001F7362"/>
    <w:rsid w:val="001F7AE9"/>
    <w:rsid w:val="001F7CFD"/>
    <w:rsid w:val="002003DF"/>
    <w:rsid w:val="002011D5"/>
    <w:rsid w:val="00201C2D"/>
    <w:rsid w:val="00203367"/>
    <w:rsid w:val="00204438"/>
    <w:rsid w:val="00204A44"/>
    <w:rsid w:val="00204F6E"/>
    <w:rsid w:val="00206147"/>
    <w:rsid w:val="002064F3"/>
    <w:rsid w:val="002069A8"/>
    <w:rsid w:val="00206B2B"/>
    <w:rsid w:val="00206C70"/>
    <w:rsid w:val="00206EE7"/>
    <w:rsid w:val="0020789A"/>
    <w:rsid w:val="00207C83"/>
    <w:rsid w:val="00210869"/>
    <w:rsid w:val="002116AD"/>
    <w:rsid w:val="00211999"/>
    <w:rsid w:val="002120A6"/>
    <w:rsid w:val="002122B8"/>
    <w:rsid w:val="002123A4"/>
    <w:rsid w:val="002126CD"/>
    <w:rsid w:val="00212A54"/>
    <w:rsid w:val="00213773"/>
    <w:rsid w:val="00213B0E"/>
    <w:rsid w:val="00213CBC"/>
    <w:rsid w:val="002141FB"/>
    <w:rsid w:val="002146CA"/>
    <w:rsid w:val="002147D6"/>
    <w:rsid w:val="00214A2A"/>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AA1"/>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3F11"/>
    <w:rsid w:val="0024405D"/>
    <w:rsid w:val="00244516"/>
    <w:rsid w:val="00244745"/>
    <w:rsid w:val="00244CF8"/>
    <w:rsid w:val="002454F0"/>
    <w:rsid w:val="00245B9E"/>
    <w:rsid w:val="002465AC"/>
    <w:rsid w:val="002465EC"/>
    <w:rsid w:val="00246614"/>
    <w:rsid w:val="00246907"/>
    <w:rsid w:val="00246C0E"/>
    <w:rsid w:val="00246EC9"/>
    <w:rsid w:val="00246FE9"/>
    <w:rsid w:val="00247130"/>
    <w:rsid w:val="0024723E"/>
    <w:rsid w:val="00247760"/>
    <w:rsid w:val="00247948"/>
    <w:rsid w:val="00247D26"/>
    <w:rsid w:val="00247E6F"/>
    <w:rsid w:val="00247FD9"/>
    <w:rsid w:val="0025003A"/>
    <w:rsid w:val="00250260"/>
    <w:rsid w:val="00250FD5"/>
    <w:rsid w:val="00251167"/>
    <w:rsid w:val="002511BA"/>
    <w:rsid w:val="00251A55"/>
    <w:rsid w:val="002526B9"/>
    <w:rsid w:val="00252DD3"/>
    <w:rsid w:val="0025394F"/>
    <w:rsid w:val="002539AA"/>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27F"/>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475"/>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38B"/>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AF7"/>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4CA"/>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290C"/>
    <w:rsid w:val="00393231"/>
    <w:rsid w:val="0039372B"/>
    <w:rsid w:val="0039383D"/>
    <w:rsid w:val="0039433B"/>
    <w:rsid w:val="003946B9"/>
    <w:rsid w:val="00394917"/>
    <w:rsid w:val="00394FE8"/>
    <w:rsid w:val="00395069"/>
    <w:rsid w:val="003955AD"/>
    <w:rsid w:val="00395A0A"/>
    <w:rsid w:val="00396943"/>
    <w:rsid w:val="00396C46"/>
    <w:rsid w:val="00397BC5"/>
    <w:rsid w:val="00397BF1"/>
    <w:rsid w:val="003A0756"/>
    <w:rsid w:val="003A0A67"/>
    <w:rsid w:val="003A0E1D"/>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AFD"/>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D77"/>
    <w:rsid w:val="00400626"/>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5A9"/>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0E03"/>
    <w:rsid w:val="004B1574"/>
    <w:rsid w:val="004B206E"/>
    <w:rsid w:val="004B229E"/>
    <w:rsid w:val="004B271B"/>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2A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6AE"/>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2AA"/>
    <w:rsid w:val="00564321"/>
    <w:rsid w:val="00564775"/>
    <w:rsid w:val="00566C28"/>
    <w:rsid w:val="00566EBC"/>
    <w:rsid w:val="00567500"/>
    <w:rsid w:val="0056753D"/>
    <w:rsid w:val="00567811"/>
    <w:rsid w:val="00567CDA"/>
    <w:rsid w:val="00567DEE"/>
    <w:rsid w:val="00570163"/>
    <w:rsid w:val="005701B3"/>
    <w:rsid w:val="005702BD"/>
    <w:rsid w:val="005704B1"/>
    <w:rsid w:val="005709FC"/>
    <w:rsid w:val="00572749"/>
    <w:rsid w:val="005739F4"/>
    <w:rsid w:val="00573A7F"/>
    <w:rsid w:val="00573EE1"/>
    <w:rsid w:val="0057406C"/>
    <w:rsid w:val="00575051"/>
    <w:rsid w:val="005758E3"/>
    <w:rsid w:val="00576069"/>
    <w:rsid w:val="00576D35"/>
    <w:rsid w:val="005777C8"/>
    <w:rsid w:val="00577AD5"/>
    <w:rsid w:val="00577F23"/>
    <w:rsid w:val="00580414"/>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90E"/>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7AB"/>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0E40"/>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22C"/>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55BB"/>
    <w:rsid w:val="00666754"/>
    <w:rsid w:val="0066685A"/>
    <w:rsid w:val="00666AEA"/>
    <w:rsid w:val="00666D37"/>
    <w:rsid w:val="0066706E"/>
    <w:rsid w:val="0066754C"/>
    <w:rsid w:val="00667D71"/>
    <w:rsid w:val="00667FB2"/>
    <w:rsid w:val="00670D2E"/>
    <w:rsid w:val="006715AD"/>
    <w:rsid w:val="0067269F"/>
    <w:rsid w:val="006726CB"/>
    <w:rsid w:val="0067272F"/>
    <w:rsid w:val="00672E8B"/>
    <w:rsid w:val="00672FC9"/>
    <w:rsid w:val="00673881"/>
    <w:rsid w:val="00673BA4"/>
    <w:rsid w:val="00674C5D"/>
    <w:rsid w:val="00674ED8"/>
    <w:rsid w:val="00675793"/>
    <w:rsid w:val="006759A7"/>
    <w:rsid w:val="00675C5E"/>
    <w:rsid w:val="00676F0B"/>
    <w:rsid w:val="006773D1"/>
    <w:rsid w:val="006801BB"/>
    <w:rsid w:val="006802E3"/>
    <w:rsid w:val="00680CC6"/>
    <w:rsid w:val="0068122E"/>
    <w:rsid w:val="0068241B"/>
    <w:rsid w:val="00683889"/>
    <w:rsid w:val="006838CA"/>
    <w:rsid w:val="006842A2"/>
    <w:rsid w:val="00684465"/>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750"/>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0AB"/>
    <w:rsid w:val="0073397C"/>
    <w:rsid w:val="00733F0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7F3"/>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497"/>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0C77"/>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3CE5"/>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1EC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79C"/>
    <w:rsid w:val="00875CC0"/>
    <w:rsid w:val="00875F4F"/>
    <w:rsid w:val="008762D8"/>
    <w:rsid w:val="008772D9"/>
    <w:rsid w:val="00877B29"/>
    <w:rsid w:val="008808B9"/>
    <w:rsid w:val="00880B30"/>
    <w:rsid w:val="00880B6E"/>
    <w:rsid w:val="00880F1D"/>
    <w:rsid w:val="0088172A"/>
    <w:rsid w:val="00881D54"/>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3D1"/>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717"/>
    <w:rsid w:val="008C69C9"/>
    <w:rsid w:val="008C6E38"/>
    <w:rsid w:val="008C6F75"/>
    <w:rsid w:val="008C7C18"/>
    <w:rsid w:val="008C7CC4"/>
    <w:rsid w:val="008D047D"/>
    <w:rsid w:val="008D0B4C"/>
    <w:rsid w:val="008D14C4"/>
    <w:rsid w:val="008D1964"/>
    <w:rsid w:val="008D221A"/>
    <w:rsid w:val="008D24D6"/>
    <w:rsid w:val="008D24E1"/>
    <w:rsid w:val="008D30DF"/>
    <w:rsid w:val="008D3E6A"/>
    <w:rsid w:val="008D53E2"/>
    <w:rsid w:val="008D5908"/>
    <w:rsid w:val="008D5AF1"/>
    <w:rsid w:val="008D60A9"/>
    <w:rsid w:val="008D6A6E"/>
    <w:rsid w:val="008D781F"/>
    <w:rsid w:val="008D7DBE"/>
    <w:rsid w:val="008E02B7"/>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87D"/>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6C18"/>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11F"/>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1F3A"/>
    <w:rsid w:val="009B21AC"/>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667"/>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55E"/>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B9"/>
    <w:rsid w:val="00A93738"/>
    <w:rsid w:val="00A937B4"/>
    <w:rsid w:val="00A94084"/>
    <w:rsid w:val="00A9446E"/>
    <w:rsid w:val="00A94AD0"/>
    <w:rsid w:val="00A953A8"/>
    <w:rsid w:val="00A96852"/>
    <w:rsid w:val="00A96C21"/>
    <w:rsid w:val="00A9791D"/>
    <w:rsid w:val="00A97B20"/>
    <w:rsid w:val="00A97D4A"/>
    <w:rsid w:val="00A97DB8"/>
    <w:rsid w:val="00AA0209"/>
    <w:rsid w:val="00AA03A6"/>
    <w:rsid w:val="00AA0923"/>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1D7C"/>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6B8"/>
    <w:rsid w:val="00AD1C10"/>
    <w:rsid w:val="00AD2565"/>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B84"/>
    <w:rsid w:val="00AF3F63"/>
    <w:rsid w:val="00AF4345"/>
    <w:rsid w:val="00AF463B"/>
    <w:rsid w:val="00AF4CC5"/>
    <w:rsid w:val="00AF4D6D"/>
    <w:rsid w:val="00AF5319"/>
    <w:rsid w:val="00AF608B"/>
    <w:rsid w:val="00AF6A59"/>
    <w:rsid w:val="00AF75A9"/>
    <w:rsid w:val="00AF7BDD"/>
    <w:rsid w:val="00B00F8C"/>
    <w:rsid w:val="00B00FEC"/>
    <w:rsid w:val="00B01693"/>
    <w:rsid w:val="00B01E43"/>
    <w:rsid w:val="00B0205C"/>
    <w:rsid w:val="00B02145"/>
    <w:rsid w:val="00B0256F"/>
    <w:rsid w:val="00B02F0C"/>
    <w:rsid w:val="00B03776"/>
    <w:rsid w:val="00B03ED8"/>
    <w:rsid w:val="00B0401D"/>
    <w:rsid w:val="00B042D2"/>
    <w:rsid w:val="00B04E8D"/>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3E8"/>
    <w:rsid w:val="00B72438"/>
    <w:rsid w:val="00B727DF"/>
    <w:rsid w:val="00B72CF9"/>
    <w:rsid w:val="00B72EE9"/>
    <w:rsid w:val="00B73637"/>
    <w:rsid w:val="00B73D34"/>
    <w:rsid w:val="00B742C1"/>
    <w:rsid w:val="00B74720"/>
    <w:rsid w:val="00B74AA2"/>
    <w:rsid w:val="00B74C99"/>
    <w:rsid w:val="00B75032"/>
    <w:rsid w:val="00B750D5"/>
    <w:rsid w:val="00B7591C"/>
    <w:rsid w:val="00B75D1D"/>
    <w:rsid w:val="00B75E98"/>
    <w:rsid w:val="00B75F68"/>
    <w:rsid w:val="00B76A3F"/>
    <w:rsid w:val="00B76A7D"/>
    <w:rsid w:val="00B76CE1"/>
    <w:rsid w:val="00B76DEB"/>
    <w:rsid w:val="00B776D5"/>
    <w:rsid w:val="00B77B7E"/>
    <w:rsid w:val="00B805D0"/>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3AE"/>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97B8F"/>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3AD"/>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0BEE"/>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B25"/>
    <w:rsid w:val="00C47CD2"/>
    <w:rsid w:val="00C47D56"/>
    <w:rsid w:val="00C510DE"/>
    <w:rsid w:val="00C529AB"/>
    <w:rsid w:val="00C53085"/>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01"/>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0F10"/>
    <w:rsid w:val="00C714F2"/>
    <w:rsid w:val="00C71A56"/>
    <w:rsid w:val="00C72FA0"/>
    <w:rsid w:val="00C730CC"/>
    <w:rsid w:val="00C73705"/>
    <w:rsid w:val="00C740DE"/>
    <w:rsid w:val="00C7532A"/>
    <w:rsid w:val="00C75721"/>
    <w:rsid w:val="00C760A6"/>
    <w:rsid w:val="00C762B7"/>
    <w:rsid w:val="00C763D3"/>
    <w:rsid w:val="00C76825"/>
    <w:rsid w:val="00C77B63"/>
    <w:rsid w:val="00C77C4B"/>
    <w:rsid w:val="00C77D50"/>
    <w:rsid w:val="00C77F77"/>
    <w:rsid w:val="00C80DC6"/>
    <w:rsid w:val="00C815E4"/>
    <w:rsid w:val="00C8290C"/>
    <w:rsid w:val="00C8512B"/>
    <w:rsid w:val="00C8565C"/>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95E"/>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27C"/>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54BD"/>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7D"/>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2C7"/>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72E"/>
    <w:rsid w:val="00DF596A"/>
    <w:rsid w:val="00DF5F36"/>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5A59"/>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6D47"/>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37BF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1C6E"/>
    <w:rsid w:val="00E82135"/>
    <w:rsid w:val="00E82862"/>
    <w:rsid w:val="00E82CA0"/>
    <w:rsid w:val="00E82E17"/>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0E67"/>
    <w:rsid w:val="00EA1514"/>
    <w:rsid w:val="00EA16E1"/>
    <w:rsid w:val="00EA170C"/>
    <w:rsid w:val="00EA1767"/>
    <w:rsid w:val="00EA1F8E"/>
    <w:rsid w:val="00EA2360"/>
    <w:rsid w:val="00EA272B"/>
    <w:rsid w:val="00EA27C6"/>
    <w:rsid w:val="00EA2F5D"/>
    <w:rsid w:val="00EA301E"/>
    <w:rsid w:val="00EA34AC"/>
    <w:rsid w:val="00EA3BA1"/>
    <w:rsid w:val="00EA41B9"/>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5B6"/>
    <w:rsid w:val="00EC28DD"/>
    <w:rsid w:val="00EC2B80"/>
    <w:rsid w:val="00EC2EE6"/>
    <w:rsid w:val="00EC3012"/>
    <w:rsid w:val="00EC3713"/>
    <w:rsid w:val="00EC37A0"/>
    <w:rsid w:val="00EC3FA5"/>
    <w:rsid w:val="00EC44B6"/>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5030"/>
    <w:rsid w:val="00ED5424"/>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BE6"/>
    <w:rsid w:val="00F14C11"/>
    <w:rsid w:val="00F14D95"/>
    <w:rsid w:val="00F15A01"/>
    <w:rsid w:val="00F15D2C"/>
    <w:rsid w:val="00F16582"/>
    <w:rsid w:val="00F169B8"/>
    <w:rsid w:val="00F16B9D"/>
    <w:rsid w:val="00F16CE1"/>
    <w:rsid w:val="00F17125"/>
    <w:rsid w:val="00F171DD"/>
    <w:rsid w:val="00F1727E"/>
    <w:rsid w:val="00F179EF"/>
    <w:rsid w:val="00F17E02"/>
    <w:rsid w:val="00F17E22"/>
    <w:rsid w:val="00F20017"/>
    <w:rsid w:val="00F20776"/>
    <w:rsid w:val="00F21051"/>
    <w:rsid w:val="00F2106E"/>
    <w:rsid w:val="00F21514"/>
    <w:rsid w:val="00F21AE7"/>
    <w:rsid w:val="00F21B8E"/>
    <w:rsid w:val="00F21CAF"/>
    <w:rsid w:val="00F21D57"/>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6EEA"/>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character" w:customStyle="1" w:styleId="PiedepginaCar">
    <w:name w:val="Pie de página Car"/>
    <w:basedOn w:val="Fuentedeprrafopredeter"/>
    <w:link w:val="Piedepgina"/>
    <w:uiPriority w:val="99"/>
    <w:rsid w:val="00B723E8"/>
    <w:rPr>
      <w:rFonts w:ascii="Arial" w:hAnsi="Arial" w:cs="Arial"/>
      <w:sz w:val="24"/>
      <w:szCs w:val="24"/>
      <w:lang w:val="es-ES_tradnl" w:eastAsia="es-ES"/>
    </w:rPr>
  </w:style>
  <w:style w:type="paragraph" w:customStyle="1" w:styleId="p01">
    <w:name w:val="p01"/>
    <w:basedOn w:val="Normal"/>
    <w:next w:val="p0"/>
    <w:rsid w:val="00B723E8"/>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640780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5212580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B2-456A-AB00-1EC7C538D4AC}"/>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B2-456A-AB00-1EC7C538D4AC}"/>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B2-456A-AB00-1EC7C538D4AC}"/>
                </c:ext>
              </c:extLst>
            </c:dLbl>
            <c:dLbl>
              <c:idx val="7"/>
              <c:layout>
                <c:manualLayout>
                  <c:x val="-9.2041528531834202E-17"/>
                  <c:y val="4.28240252897802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B2-456A-AB00-1EC7C538D4AC}"/>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B2-456A-AB00-1EC7C538D4AC}"/>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B2-456A-AB00-1EC7C538D4AC}"/>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2018'!$Q$405:$Z$405</c:f>
              <c:numCache>
                <c:formatCode>0.00</c:formatCode>
                <c:ptCount val="10"/>
                <c:pt idx="0">
                  <c:v>0.78863165819684833</c:v>
                </c:pt>
                <c:pt idx="1">
                  <c:v>0.85059541679172734</c:v>
                </c:pt>
                <c:pt idx="2">
                  <c:v>0.73719934044650592</c:v>
                </c:pt>
                <c:pt idx="3">
                  <c:v>0.52096634148833454</c:v>
                </c:pt>
                <c:pt idx="4">
                  <c:v>0.77163298689711146</c:v>
                </c:pt>
                <c:pt idx="5">
                  <c:v>0.91508137937457623</c:v>
                </c:pt>
                <c:pt idx="6">
                  <c:v>0.61373868326946834</c:v>
                </c:pt>
                <c:pt idx="7">
                  <c:v>0.68077294501228958</c:v>
                </c:pt>
                <c:pt idx="8">
                  <c:v>4.4092520806159934E-2</c:v>
                </c:pt>
                <c:pt idx="9">
                  <c:v>0.69355075530527222</c:v>
                </c:pt>
              </c:numCache>
            </c:numRef>
          </c:val>
          <c:extLst>
            <c:ext xmlns:c16="http://schemas.microsoft.com/office/drawing/2014/chart" uri="{C3380CC4-5D6E-409C-BE32-E72D297353CC}">
              <c16:uniqueId val="{00000006-7AB2-456A-AB00-1EC7C538D4AC}"/>
            </c:ext>
          </c:extLst>
        </c:ser>
        <c:dLbls>
          <c:showLegendKey val="0"/>
          <c:showVal val="0"/>
          <c:showCatName val="0"/>
          <c:showSerName val="0"/>
          <c:showPercent val="0"/>
          <c:showBubbleSize val="0"/>
        </c:dLbls>
        <c:gapWidth val="50"/>
        <c:axId val="792968752"/>
        <c:axId val="792967968"/>
      </c:barChart>
      <c:catAx>
        <c:axId val="792968752"/>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792967968"/>
        <c:crosses val="autoZero"/>
        <c:auto val="1"/>
        <c:lblAlgn val="ctr"/>
        <c:lblOffset val="100"/>
        <c:noMultiLvlLbl val="0"/>
      </c:catAx>
      <c:valAx>
        <c:axId val="792967968"/>
        <c:scaling>
          <c:orientation val="minMax"/>
          <c:max val="1"/>
          <c:min val="0"/>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792968752"/>
        <c:crosses val="autoZero"/>
        <c:crossBetween val="between"/>
        <c:majorUnit val="0.2"/>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13-4AB1-9E17-6460EDD20548}"/>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2018'!$Q$420:$Z$420</c:f>
              <c:numCache>
                <c:formatCode>0.00</c:formatCode>
                <c:ptCount val="10"/>
                <c:pt idx="0">
                  <c:v>0.17827035866785862</c:v>
                </c:pt>
                <c:pt idx="1">
                  <c:v>0.11152439679226243</c:v>
                </c:pt>
                <c:pt idx="2">
                  <c:v>0.12543525941492104</c:v>
                </c:pt>
                <c:pt idx="3">
                  <c:v>0</c:v>
                </c:pt>
                <c:pt idx="4">
                  <c:v>0.23217687226648964</c:v>
                </c:pt>
                <c:pt idx="5">
                  <c:v>0.27943272970240957</c:v>
                </c:pt>
                <c:pt idx="6">
                  <c:v>0.1912633289729237</c:v>
                </c:pt>
                <c:pt idx="7">
                  <c:v>0.15769403534258433</c:v>
                </c:pt>
                <c:pt idx="8">
                  <c:v>-0.10676451878997974</c:v>
                </c:pt>
                <c:pt idx="9">
                  <c:v>0.15372387349224123</c:v>
                </c:pt>
              </c:numCache>
            </c:numRef>
          </c:val>
          <c:extLst>
            <c:ext xmlns:c16="http://schemas.microsoft.com/office/drawing/2014/chart" uri="{C3380CC4-5D6E-409C-BE32-E72D297353CC}">
              <c16:uniqueId val="{00000001-2913-4AB1-9E17-6460EDD20548}"/>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13-4AB1-9E17-6460EDD20548}"/>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13-4AB1-9E17-6460EDD20548}"/>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13-4AB1-9E17-6460EDD20548}"/>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13-4AB1-9E17-6460EDD20548}"/>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13-4AB1-9E17-6460EDD20548}"/>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13-4AB1-9E17-6460EDD20548}"/>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2018'!$Q$435:$Z$435</c:f>
              <c:numCache>
                <c:formatCode>0.00</c:formatCode>
                <c:ptCount val="10"/>
                <c:pt idx="0">
                  <c:v>2.79</c:v>
                </c:pt>
                <c:pt idx="1">
                  <c:v>3.2672886880232719</c:v>
                </c:pt>
                <c:pt idx="2">
                  <c:v>2.6554450401487699</c:v>
                </c:pt>
                <c:pt idx="3">
                  <c:v>2.1487988877523101</c:v>
                </c:pt>
                <c:pt idx="4">
                  <c:v>2.4707268273249032</c:v>
                </c:pt>
                <c:pt idx="5">
                  <c:v>2.79</c:v>
                </c:pt>
                <c:pt idx="6">
                  <c:v>1.8864638959832858</c:v>
                </c:pt>
                <c:pt idx="7">
                  <c:v>2.3007544712956145</c:v>
                </c:pt>
                <c:pt idx="8">
                  <c:v>0.5062591995834298</c:v>
                </c:pt>
                <c:pt idx="9">
                  <c:v>2.2860864337719589</c:v>
                </c:pt>
              </c:numCache>
            </c:numRef>
          </c:val>
          <c:extLst>
            <c:ext xmlns:c16="http://schemas.microsoft.com/office/drawing/2014/chart" uri="{C3380CC4-5D6E-409C-BE32-E72D297353CC}">
              <c16:uniqueId val="{00000008-2913-4AB1-9E17-6460EDD20548}"/>
            </c:ext>
          </c:extLst>
        </c:ser>
        <c:dLbls>
          <c:showLegendKey val="0"/>
          <c:showVal val="0"/>
          <c:showCatName val="0"/>
          <c:showSerName val="0"/>
          <c:showPercent val="0"/>
          <c:showBubbleSize val="0"/>
        </c:dLbls>
        <c:gapWidth val="40"/>
        <c:overlap val="-10"/>
        <c:axId val="792958168"/>
        <c:axId val="792964048"/>
      </c:barChart>
      <c:catAx>
        <c:axId val="792958168"/>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792964048"/>
        <c:crosses val="autoZero"/>
        <c:auto val="1"/>
        <c:lblAlgn val="ctr"/>
        <c:lblOffset val="100"/>
        <c:noMultiLvlLbl val="0"/>
      </c:catAx>
      <c:valAx>
        <c:axId val="792964048"/>
        <c:scaling>
          <c:orientation val="minMax"/>
          <c:max val="3.5"/>
          <c:min val="-0.5"/>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792958168"/>
        <c:crosses val="autoZero"/>
        <c:crossBetween val="between"/>
        <c:majorUnit val="0.5"/>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88-4AFF-8121-D2084B6C03B9}"/>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2018'!$A$169:$B$385</c:f>
              <c:multiLvlStrCache>
                <c:ptCount val="217"/>
                <c:lvl>
                  <c:pt idx="0">
                    <c:v>1qNov</c:v>
                  </c:pt>
                  <c:pt idx="1">
                    <c:v>2qNov</c:v>
                  </c:pt>
                  <c:pt idx="2">
                    <c:v>1qDic</c:v>
                  </c:pt>
                  <c:pt idx="3">
                    <c:v>2qDic</c:v>
                  </c:pt>
                  <c:pt idx="4">
                    <c:v>1qEne</c:v>
                  </c:pt>
                  <c:pt idx="5">
                    <c:v>2qEne</c:v>
                  </c:pt>
                  <c:pt idx="6">
                    <c:v>1qFeb</c:v>
                  </c:pt>
                  <c:pt idx="7">
                    <c:v>2qFeb</c:v>
                  </c:pt>
                  <c:pt idx="8">
                    <c:v>1qMar</c:v>
                  </c:pt>
                  <c:pt idx="9">
                    <c:v>2qMar</c:v>
                  </c:pt>
                  <c:pt idx="10">
                    <c:v>1qAbr</c:v>
                  </c:pt>
                  <c:pt idx="11">
                    <c:v>2qAbr</c:v>
                  </c:pt>
                  <c:pt idx="12">
                    <c:v>1qMay</c:v>
                  </c:pt>
                  <c:pt idx="13">
                    <c:v>2qMay</c:v>
                  </c:pt>
                  <c:pt idx="14">
                    <c:v>1qJun</c:v>
                  </c:pt>
                  <c:pt idx="15">
                    <c:v>2qJun</c:v>
                  </c:pt>
                  <c:pt idx="16">
                    <c:v>1qJul</c:v>
                  </c:pt>
                  <c:pt idx="17">
                    <c:v>2qJul</c:v>
                  </c:pt>
                  <c:pt idx="18">
                    <c:v>1qAgo</c:v>
                  </c:pt>
                  <c:pt idx="19">
                    <c:v>2qAgo</c:v>
                  </c:pt>
                  <c:pt idx="20">
                    <c:v>1qSep</c:v>
                  </c:pt>
                  <c:pt idx="21">
                    <c:v>2qSep</c:v>
                  </c:pt>
                  <c:pt idx="22">
                    <c:v>1qOct</c:v>
                  </c:pt>
                  <c:pt idx="23">
                    <c:v>2qOct</c:v>
                  </c:pt>
                  <c:pt idx="24">
                    <c:v>1qNov</c:v>
                  </c:pt>
                  <c:pt idx="25">
                    <c:v>2qNov</c:v>
                  </c:pt>
                  <c:pt idx="26">
                    <c:v>1qDic</c:v>
                  </c:pt>
                  <c:pt idx="27">
                    <c:v>2qDic</c:v>
                  </c:pt>
                  <c:pt idx="28">
                    <c:v>1qEne</c:v>
                  </c:pt>
                  <c:pt idx="29">
                    <c:v>2qEne</c:v>
                  </c:pt>
                  <c:pt idx="30">
                    <c:v>1qFeb</c:v>
                  </c:pt>
                  <c:pt idx="31">
                    <c:v>2qFeb</c:v>
                  </c:pt>
                  <c:pt idx="32">
                    <c:v>1qMar</c:v>
                  </c:pt>
                  <c:pt idx="33">
                    <c:v>2qMar</c:v>
                  </c:pt>
                  <c:pt idx="34">
                    <c:v>1qAbr</c:v>
                  </c:pt>
                  <c:pt idx="35">
                    <c:v>2qAbr</c:v>
                  </c:pt>
                  <c:pt idx="36">
                    <c:v>1qMay</c:v>
                  </c:pt>
                  <c:pt idx="37">
                    <c:v>2qMay</c:v>
                  </c:pt>
                  <c:pt idx="38">
                    <c:v>1qJun</c:v>
                  </c:pt>
                  <c:pt idx="39">
                    <c:v>2qJun</c:v>
                  </c:pt>
                  <c:pt idx="40">
                    <c:v>1qJul</c:v>
                  </c:pt>
                  <c:pt idx="41">
                    <c:v>2qJul</c:v>
                  </c:pt>
                  <c:pt idx="42">
                    <c:v>1qAgo</c:v>
                  </c:pt>
                  <c:pt idx="43">
                    <c:v>2qAgo</c:v>
                  </c:pt>
                  <c:pt idx="44">
                    <c:v>1qSep</c:v>
                  </c:pt>
                  <c:pt idx="45">
                    <c:v>2qSep</c:v>
                  </c:pt>
                  <c:pt idx="46">
                    <c:v>1qOct</c:v>
                  </c:pt>
                  <c:pt idx="47">
                    <c:v>2qOct</c:v>
                  </c:pt>
                  <c:pt idx="48">
                    <c:v>1qNov</c:v>
                  </c:pt>
                  <c:pt idx="49">
                    <c:v>2qNov</c:v>
                  </c:pt>
                  <c:pt idx="50">
                    <c:v>1qDic</c:v>
                  </c:pt>
                  <c:pt idx="51">
                    <c:v>2qDic</c:v>
                  </c:pt>
                  <c:pt idx="52">
                    <c:v>1qEne</c:v>
                  </c:pt>
                  <c:pt idx="53">
                    <c:v>2qEne</c:v>
                  </c:pt>
                  <c:pt idx="54">
                    <c:v>1qFeb</c:v>
                  </c:pt>
                  <c:pt idx="55">
                    <c:v>2qFeb</c:v>
                  </c:pt>
                  <c:pt idx="56">
                    <c:v>1qMar</c:v>
                  </c:pt>
                  <c:pt idx="57">
                    <c:v>2qMar</c:v>
                  </c:pt>
                  <c:pt idx="58">
                    <c:v>1qAbr</c:v>
                  </c:pt>
                  <c:pt idx="59">
                    <c:v>2qAbr</c:v>
                  </c:pt>
                  <c:pt idx="60">
                    <c:v>1qMay</c:v>
                  </c:pt>
                  <c:pt idx="61">
                    <c:v>2qMay</c:v>
                  </c:pt>
                  <c:pt idx="62">
                    <c:v>1qJun</c:v>
                  </c:pt>
                  <c:pt idx="63">
                    <c:v>2qJun</c:v>
                  </c:pt>
                  <c:pt idx="64">
                    <c:v>1qJul</c:v>
                  </c:pt>
                  <c:pt idx="65">
                    <c:v>2qJul</c:v>
                  </c:pt>
                  <c:pt idx="66">
                    <c:v>1qAgo</c:v>
                  </c:pt>
                  <c:pt idx="67">
                    <c:v>2qAgo</c:v>
                  </c:pt>
                  <c:pt idx="68">
                    <c:v>1qSep</c:v>
                  </c:pt>
                  <c:pt idx="69">
                    <c:v>2qSep</c:v>
                  </c:pt>
                  <c:pt idx="70">
                    <c:v>1qOct</c:v>
                  </c:pt>
                  <c:pt idx="71">
                    <c:v>2qOct</c:v>
                  </c:pt>
                  <c:pt idx="72">
                    <c:v>1qNov</c:v>
                  </c:pt>
                  <c:pt idx="73">
                    <c:v>2qNov</c:v>
                  </c:pt>
                  <c:pt idx="74">
                    <c:v>1qDic</c:v>
                  </c:pt>
                  <c:pt idx="75">
                    <c:v>2qDic</c:v>
                  </c:pt>
                  <c:pt idx="76">
                    <c:v>1qEne</c:v>
                  </c:pt>
                  <c:pt idx="77">
                    <c:v>2qEne</c:v>
                  </c:pt>
                  <c:pt idx="78">
                    <c:v>1qFeb</c:v>
                  </c:pt>
                  <c:pt idx="79">
                    <c:v>2qFeb</c:v>
                  </c:pt>
                  <c:pt idx="80">
                    <c:v>1qMar</c:v>
                  </c:pt>
                  <c:pt idx="81">
                    <c:v>2qMar</c:v>
                  </c:pt>
                  <c:pt idx="82">
                    <c:v>1qAbr</c:v>
                  </c:pt>
                  <c:pt idx="83">
                    <c:v>2qAbr</c:v>
                  </c:pt>
                  <c:pt idx="84">
                    <c:v>1qMay</c:v>
                  </c:pt>
                  <c:pt idx="85">
                    <c:v>2qMay</c:v>
                  </c:pt>
                  <c:pt idx="86">
                    <c:v>1qJun</c:v>
                  </c:pt>
                  <c:pt idx="87">
                    <c:v>2qJun</c:v>
                  </c:pt>
                  <c:pt idx="88">
                    <c:v>1qJul</c:v>
                  </c:pt>
                  <c:pt idx="89">
                    <c:v>2qJul</c:v>
                  </c:pt>
                  <c:pt idx="90">
                    <c:v>1qAgo</c:v>
                  </c:pt>
                  <c:pt idx="91">
                    <c:v>2qAgo</c:v>
                  </c:pt>
                  <c:pt idx="92">
                    <c:v>1qSep</c:v>
                  </c:pt>
                  <c:pt idx="93">
                    <c:v>2qSep</c:v>
                  </c:pt>
                  <c:pt idx="94">
                    <c:v>1qOct</c:v>
                  </c:pt>
                  <c:pt idx="95">
                    <c:v>2qOct</c:v>
                  </c:pt>
                  <c:pt idx="96">
                    <c:v>1qNov</c:v>
                  </c:pt>
                  <c:pt idx="97">
                    <c:v>2qNov</c:v>
                  </c:pt>
                  <c:pt idx="98">
                    <c:v>1qDic</c:v>
                  </c:pt>
                  <c:pt idx="99">
                    <c:v>2qDic</c:v>
                  </c:pt>
                  <c:pt idx="100">
                    <c:v>1qEne</c:v>
                  </c:pt>
                  <c:pt idx="101">
                    <c:v>2qEne</c:v>
                  </c:pt>
                  <c:pt idx="102">
                    <c:v>1qFeb</c:v>
                  </c:pt>
                  <c:pt idx="103">
                    <c:v>2qFeb</c:v>
                  </c:pt>
                  <c:pt idx="104">
                    <c:v>1qMar</c:v>
                  </c:pt>
                  <c:pt idx="105">
                    <c:v>2qMar</c:v>
                  </c:pt>
                  <c:pt idx="106">
                    <c:v>1qAbr</c:v>
                  </c:pt>
                  <c:pt idx="107">
                    <c:v>2qAbr</c:v>
                  </c:pt>
                  <c:pt idx="108">
                    <c:v>1qMay</c:v>
                  </c:pt>
                  <c:pt idx="109">
                    <c:v>2qMay</c:v>
                  </c:pt>
                  <c:pt idx="110">
                    <c:v>1qJun</c:v>
                  </c:pt>
                  <c:pt idx="111">
                    <c:v>2qJun</c:v>
                  </c:pt>
                  <c:pt idx="112">
                    <c:v>1qJul</c:v>
                  </c:pt>
                  <c:pt idx="113">
                    <c:v>2qJul</c:v>
                  </c:pt>
                  <c:pt idx="114">
                    <c:v>1qAgo</c:v>
                  </c:pt>
                  <c:pt idx="115">
                    <c:v>2qAgo</c:v>
                  </c:pt>
                  <c:pt idx="116">
                    <c:v>1qSep</c:v>
                  </c:pt>
                  <c:pt idx="117">
                    <c:v>2qSep</c:v>
                  </c:pt>
                  <c:pt idx="118">
                    <c:v>1qOct</c:v>
                  </c:pt>
                  <c:pt idx="119">
                    <c:v>2qOct</c:v>
                  </c:pt>
                  <c:pt idx="120">
                    <c:v>1qNov</c:v>
                  </c:pt>
                  <c:pt idx="121">
                    <c:v>2qNov</c:v>
                  </c:pt>
                  <c:pt idx="122">
                    <c:v>1qDic</c:v>
                  </c:pt>
                  <c:pt idx="123">
                    <c:v>2qDic</c:v>
                  </c:pt>
                  <c:pt idx="124">
                    <c:v>1qEne</c:v>
                  </c:pt>
                  <c:pt idx="125">
                    <c:v>2qEne</c:v>
                  </c:pt>
                  <c:pt idx="126">
                    <c:v>1qFeb</c:v>
                  </c:pt>
                  <c:pt idx="127">
                    <c:v>2qFeb</c:v>
                  </c:pt>
                  <c:pt idx="128">
                    <c:v>1qMar</c:v>
                  </c:pt>
                  <c:pt idx="129">
                    <c:v>2qMar</c:v>
                  </c:pt>
                  <c:pt idx="130">
                    <c:v>1qAbr</c:v>
                  </c:pt>
                  <c:pt idx="131">
                    <c:v>2qAbr</c:v>
                  </c:pt>
                  <c:pt idx="132">
                    <c:v>1qMay</c:v>
                  </c:pt>
                  <c:pt idx="133">
                    <c:v>2qMay</c:v>
                  </c:pt>
                  <c:pt idx="134">
                    <c:v>1qJun</c:v>
                  </c:pt>
                  <c:pt idx="135">
                    <c:v>2qJun</c:v>
                  </c:pt>
                  <c:pt idx="136">
                    <c:v>1qJul</c:v>
                  </c:pt>
                  <c:pt idx="137">
                    <c:v>2qJul</c:v>
                  </c:pt>
                  <c:pt idx="138">
                    <c:v>1qAgo</c:v>
                  </c:pt>
                  <c:pt idx="139">
                    <c:v>2qAgo</c:v>
                  </c:pt>
                  <c:pt idx="140">
                    <c:v>1qSep</c:v>
                  </c:pt>
                  <c:pt idx="141">
                    <c:v>2qSep</c:v>
                  </c:pt>
                  <c:pt idx="142">
                    <c:v>1qOct</c:v>
                  </c:pt>
                  <c:pt idx="143">
                    <c:v>2qOct</c:v>
                  </c:pt>
                  <c:pt idx="144">
                    <c:v>1qNov</c:v>
                  </c:pt>
                  <c:pt idx="145">
                    <c:v>2qNov</c:v>
                  </c:pt>
                  <c:pt idx="146">
                    <c:v>1qDic</c:v>
                  </c:pt>
                  <c:pt idx="147">
                    <c:v>2qDic</c:v>
                  </c:pt>
                  <c:pt idx="148">
                    <c:v>1qEne</c:v>
                  </c:pt>
                  <c:pt idx="149">
                    <c:v>2qEne</c:v>
                  </c:pt>
                  <c:pt idx="150">
                    <c:v>1qFeb</c:v>
                  </c:pt>
                  <c:pt idx="151">
                    <c:v>2qFeb</c:v>
                  </c:pt>
                  <c:pt idx="152">
                    <c:v>1qMar</c:v>
                  </c:pt>
                  <c:pt idx="153">
                    <c:v>2qMar</c:v>
                  </c:pt>
                  <c:pt idx="154">
                    <c:v>1qAbr</c:v>
                  </c:pt>
                  <c:pt idx="155">
                    <c:v>2qAbr</c:v>
                  </c:pt>
                  <c:pt idx="156">
                    <c:v>1qMay</c:v>
                  </c:pt>
                  <c:pt idx="157">
                    <c:v>2qMay</c:v>
                  </c:pt>
                  <c:pt idx="158">
                    <c:v>1qJun</c:v>
                  </c:pt>
                  <c:pt idx="159">
                    <c:v>2qJun</c:v>
                  </c:pt>
                  <c:pt idx="160">
                    <c:v>1qJul</c:v>
                  </c:pt>
                  <c:pt idx="161">
                    <c:v>2qJul</c:v>
                  </c:pt>
                  <c:pt idx="162">
                    <c:v>1qAgo</c:v>
                  </c:pt>
                  <c:pt idx="163">
                    <c:v>2qAgo</c:v>
                  </c:pt>
                  <c:pt idx="164">
                    <c:v>1qSep</c:v>
                  </c:pt>
                  <c:pt idx="165">
                    <c:v>2qSep</c:v>
                  </c:pt>
                  <c:pt idx="166">
                    <c:v>1qOct</c:v>
                  </c:pt>
                  <c:pt idx="167">
                    <c:v>2qOct</c:v>
                  </c:pt>
                  <c:pt idx="168">
                    <c:v>1qNov</c:v>
                  </c:pt>
                  <c:pt idx="169">
                    <c:v>2qNov</c:v>
                  </c:pt>
                  <c:pt idx="170">
                    <c:v>1qDic</c:v>
                  </c:pt>
                  <c:pt idx="171">
                    <c:v>2qDic</c:v>
                  </c:pt>
                  <c:pt idx="172">
                    <c:v>1qEne</c:v>
                  </c:pt>
                  <c:pt idx="173">
                    <c:v>2qEne</c:v>
                  </c:pt>
                  <c:pt idx="174">
                    <c:v>1qFeb</c:v>
                  </c:pt>
                  <c:pt idx="175">
                    <c:v>2qFeb</c:v>
                  </c:pt>
                  <c:pt idx="176">
                    <c:v>1qMar</c:v>
                  </c:pt>
                  <c:pt idx="177">
                    <c:v>2qMar</c:v>
                  </c:pt>
                  <c:pt idx="178">
                    <c:v>1qAbr</c:v>
                  </c:pt>
                  <c:pt idx="179">
                    <c:v>2qAbr</c:v>
                  </c:pt>
                  <c:pt idx="180">
                    <c:v>1qMay</c:v>
                  </c:pt>
                  <c:pt idx="181">
                    <c:v>2qMay</c:v>
                  </c:pt>
                  <c:pt idx="182">
                    <c:v>1qJun</c:v>
                  </c:pt>
                  <c:pt idx="183">
                    <c:v>2qJun</c:v>
                  </c:pt>
                  <c:pt idx="184">
                    <c:v>1qJul</c:v>
                  </c:pt>
                  <c:pt idx="185">
                    <c:v>2qJul</c:v>
                  </c:pt>
                  <c:pt idx="186">
                    <c:v>1qAgo</c:v>
                  </c:pt>
                  <c:pt idx="187">
                    <c:v>2qAgo</c:v>
                  </c:pt>
                  <c:pt idx="188">
                    <c:v>1qSep</c:v>
                  </c:pt>
                  <c:pt idx="189">
                    <c:v>2qSep</c:v>
                  </c:pt>
                  <c:pt idx="190">
                    <c:v>1qOct</c:v>
                  </c:pt>
                  <c:pt idx="191">
                    <c:v>2qOct</c:v>
                  </c:pt>
                  <c:pt idx="192">
                    <c:v>1qNov</c:v>
                  </c:pt>
                  <c:pt idx="193">
                    <c:v>2qNov</c:v>
                  </c:pt>
                  <c:pt idx="194">
                    <c:v>1qDic</c:v>
                  </c:pt>
                  <c:pt idx="195">
                    <c:v>2qDic</c:v>
                  </c:pt>
                  <c:pt idx="196">
                    <c:v>1qEne</c:v>
                  </c:pt>
                  <c:pt idx="197">
                    <c:v>2qEne</c:v>
                  </c:pt>
                  <c:pt idx="198">
                    <c:v>1qFeb</c:v>
                  </c:pt>
                  <c:pt idx="199">
                    <c:v>2qFeb</c:v>
                  </c:pt>
                  <c:pt idx="200">
                    <c:v>1qMar</c:v>
                  </c:pt>
                  <c:pt idx="201">
                    <c:v>2qMar</c:v>
                  </c:pt>
                  <c:pt idx="202">
                    <c:v>1qAbr</c:v>
                  </c:pt>
                  <c:pt idx="203">
                    <c:v>2qAbr</c:v>
                  </c:pt>
                  <c:pt idx="204">
                    <c:v>1qMay</c:v>
                  </c:pt>
                  <c:pt idx="205">
                    <c:v>2qMay</c:v>
                  </c:pt>
                  <c:pt idx="206">
                    <c:v>1qJun</c:v>
                  </c:pt>
                  <c:pt idx="207">
                    <c:v>2qJun</c:v>
                  </c:pt>
                  <c:pt idx="208">
                    <c:v>1qJul</c:v>
                  </c:pt>
                  <c:pt idx="209">
                    <c:v>2qJul</c:v>
                  </c:pt>
                  <c:pt idx="210">
                    <c:v>1qAgo</c:v>
                  </c:pt>
                  <c:pt idx="211">
                    <c:v>2qAgo</c:v>
                  </c:pt>
                  <c:pt idx="212">
                    <c:v>1qSep</c:v>
                  </c:pt>
                  <c:pt idx="213">
                    <c:v>2qSep</c:v>
                  </c:pt>
                  <c:pt idx="214">
                    <c:v>1qOct</c:v>
                  </c:pt>
                  <c:pt idx="215">
                    <c:v>2qOct</c:v>
                  </c:pt>
                  <c:pt idx="216">
                    <c:v>1qNov</c:v>
                  </c:pt>
                </c:lvl>
                <c:lvl>
                  <c:pt idx="0">
                    <c:v>2012</c:v>
                  </c:pt>
                  <c:pt idx="1">
                    <c:v>2012</c:v>
                  </c:pt>
                  <c:pt idx="2">
                    <c:v>2012</c:v>
                  </c:pt>
                  <c:pt idx="3">
                    <c:v>2012</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2018'!$D$169:$D$385</c:f>
              <c:numCache>
                <c:formatCode>0.00</c:formatCode>
                <c:ptCount val="217"/>
                <c:pt idx="0">
                  <c:v>4.361637855430601</c:v>
                </c:pt>
                <c:pt idx="1">
                  <c:v>3.9973927932134794</c:v>
                </c:pt>
                <c:pt idx="2">
                  <c:v>3.7575499457952515</c:v>
                </c:pt>
                <c:pt idx="3">
                  <c:v>3.3799017246362757</c:v>
                </c:pt>
                <c:pt idx="4">
                  <c:v>3.2107184018440211</c:v>
                </c:pt>
                <c:pt idx="5">
                  <c:v>3.2973345588235308</c:v>
                </c:pt>
                <c:pt idx="6">
                  <c:v>3.4720627631075369</c:v>
                </c:pt>
                <c:pt idx="7">
                  <c:v>3.634501440591146</c:v>
                </c:pt>
                <c:pt idx="8">
                  <c:v>4.1245299987562261</c:v>
                </c:pt>
                <c:pt idx="9">
                  <c:v>4.3809159575485159</c:v>
                </c:pt>
                <c:pt idx="10">
                  <c:v>4.7199339439675789</c:v>
                </c:pt>
                <c:pt idx="11">
                  <c:v>4.5800136144428123</c:v>
                </c:pt>
                <c:pt idx="12">
                  <c:v>4.7185534136778191</c:v>
                </c:pt>
                <c:pt idx="13">
                  <c:v>4.5444492523679036</c:v>
                </c:pt>
                <c:pt idx="14">
                  <c:v>4.2438079158912814</c:v>
                </c:pt>
                <c:pt idx="15">
                  <c:v>3.9316811788345425</c:v>
                </c:pt>
                <c:pt idx="16">
                  <c:v>3.528503483706158</c:v>
                </c:pt>
                <c:pt idx="17">
                  <c:v>3.4158326270581392</c:v>
                </c:pt>
                <c:pt idx="18">
                  <c:v>3.5443254655077352</c:v>
                </c:pt>
                <c:pt idx="19">
                  <c:v>3.3689423551288482</c:v>
                </c:pt>
                <c:pt idx="20">
                  <c:v>3.4599259939242977</c:v>
                </c:pt>
                <c:pt idx="21">
                  <c:v>3.3217097118664887</c:v>
                </c:pt>
                <c:pt idx="22">
                  <c:v>3.2720259654734472</c:v>
                </c:pt>
                <c:pt idx="23">
                  <c:v>3.4472049689440953</c:v>
                </c:pt>
                <c:pt idx="24">
                  <c:v>3.5108031896020431</c:v>
                </c:pt>
                <c:pt idx="25">
                  <c:v>3.7268126584409909</c:v>
                </c:pt>
                <c:pt idx="26">
                  <c:v>3.8602906879116397</c:v>
                </c:pt>
                <c:pt idx="27">
                  <c:v>4.0886130216779497</c:v>
                </c:pt>
                <c:pt idx="28">
                  <c:v>4.6313614918623145</c:v>
                </c:pt>
                <c:pt idx="29">
                  <c:v>4.335817298780249</c:v>
                </c:pt>
                <c:pt idx="30">
                  <c:v>4.2117818934987694</c:v>
                </c:pt>
                <c:pt idx="31">
                  <c:v>4.2551815864336904</c:v>
                </c:pt>
                <c:pt idx="32">
                  <c:v>3.8940752719788327</c:v>
                </c:pt>
                <c:pt idx="33">
                  <c:v>3.6227237753270081</c:v>
                </c:pt>
                <c:pt idx="34">
                  <c:v>3.5270926927661179</c:v>
                </c:pt>
                <c:pt idx="35">
                  <c:v>3.4672436238288107</c:v>
                </c:pt>
                <c:pt idx="36">
                  <c:v>3.4433905851832236</c:v>
                </c:pt>
                <c:pt idx="37">
                  <c:v>3.5779656184177719</c:v>
                </c:pt>
                <c:pt idx="38">
                  <c:v>3.7103156344897048</c:v>
                </c:pt>
                <c:pt idx="39">
                  <c:v>3.7958368241283909</c:v>
                </c:pt>
                <c:pt idx="40">
                  <c:v>4.001141605059888</c:v>
                </c:pt>
                <c:pt idx="41">
                  <c:v>4.144643547763315</c:v>
                </c:pt>
                <c:pt idx="42">
                  <c:v>4.0704989851305564</c:v>
                </c:pt>
                <c:pt idx="43">
                  <c:v>4.2283511541462131</c:v>
                </c:pt>
                <c:pt idx="44">
                  <c:v>4.2141177977187114</c:v>
                </c:pt>
                <c:pt idx="45">
                  <c:v>4.2200962189254909</c:v>
                </c:pt>
                <c:pt idx="46">
                  <c:v>4.319823636048949</c:v>
                </c:pt>
                <c:pt idx="47">
                  <c:v>4.275720276921116</c:v>
                </c:pt>
                <c:pt idx="48">
                  <c:v>4.1584730014974358</c:v>
                </c:pt>
                <c:pt idx="49">
                  <c:v>4.1791044776119204</c:v>
                </c:pt>
                <c:pt idx="50">
                  <c:v>4.191068156504886</c:v>
                </c:pt>
                <c:pt idx="51">
                  <c:v>3.9718852128754896</c:v>
                </c:pt>
                <c:pt idx="52">
                  <c:v>3.0807541800071165</c:v>
                </c:pt>
                <c:pt idx="53">
                  <c:v>3.0496579905836412</c:v>
                </c:pt>
                <c:pt idx="54">
                  <c:v>3.0353847245883201</c:v>
                </c:pt>
                <c:pt idx="55">
                  <c:v>2.9652270210409597</c:v>
                </c:pt>
                <c:pt idx="56">
                  <c:v>2.9724949146546393</c:v>
                </c:pt>
                <c:pt idx="57">
                  <c:v>3.3015990877509354</c:v>
                </c:pt>
                <c:pt idx="58">
                  <c:v>3.0270021343110427</c:v>
                </c:pt>
                <c:pt idx="59">
                  <c:v>3.0976430976431031</c:v>
                </c:pt>
                <c:pt idx="60">
                  <c:v>2.9303475507808314</c:v>
                </c:pt>
                <c:pt idx="61">
                  <c:v>2.8212163998188555</c:v>
                </c:pt>
                <c:pt idx="62">
                  <c:v>2.8739507728345943</c:v>
                </c:pt>
                <c:pt idx="63">
                  <c:v>2.8667222508027153</c:v>
                </c:pt>
                <c:pt idx="64">
                  <c:v>2.760146948169786</c:v>
                </c:pt>
                <c:pt idx="65">
                  <c:v>2.7188569306536725</c:v>
                </c:pt>
                <c:pt idx="66">
                  <c:v>2.6431212658741687</c:v>
                </c:pt>
                <c:pt idx="67">
                  <c:v>2.5325372924041352</c:v>
                </c:pt>
                <c:pt idx="68">
                  <c:v>2.5287457210567879</c:v>
                </c:pt>
                <c:pt idx="69">
                  <c:v>2.509039210868119</c:v>
                </c:pt>
                <c:pt idx="70">
                  <c:v>2.4730384665763943</c:v>
                </c:pt>
                <c:pt idx="71">
                  <c:v>2.4872844019088571</c:v>
                </c:pt>
                <c:pt idx="72">
                  <c:v>2.2672948349326192</c:v>
                </c:pt>
                <c:pt idx="73">
                  <c:v>2.1624148408487054</c:v>
                </c:pt>
                <c:pt idx="74">
                  <c:v>2.0026207348402476</c:v>
                </c:pt>
                <c:pt idx="75">
                  <c:v>2.2571283402657554</c:v>
                </c:pt>
                <c:pt idx="76">
                  <c:v>2.4761871893981242</c:v>
                </c:pt>
                <c:pt idx="77">
                  <c:v>2.7507909278208404</c:v>
                </c:pt>
                <c:pt idx="78">
                  <c:v>2.9356297093649055</c:v>
                </c:pt>
                <c:pt idx="79">
                  <c:v>2.7989537264889646</c:v>
                </c:pt>
                <c:pt idx="80">
                  <c:v>2.7131949394920647</c:v>
                </c:pt>
                <c:pt idx="81">
                  <c:v>2.4892608375691108</c:v>
                </c:pt>
                <c:pt idx="82">
                  <c:v>2.5985301070185352</c:v>
                </c:pt>
                <c:pt idx="83">
                  <c:v>2.4846161779366516</c:v>
                </c:pt>
                <c:pt idx="84">
                  <c:v>2.5324220876282051</c:v>
                </c:pt>
                <c:pt idx="85">
                  <c:v>2.6608975023318471</c:v>
                </c:pt>
                <c:pt idx="86">
                  <c:v>2.5487101198022941</c:v>
                </c:pt>
                <c:pt idx="87">
                  <c:v>2.528152861848342</c:v>
                </c:pt>
                <c:pt idx="88">
                  <c:v>2.7161599889734105</c:v>
                </c:pt>
                <c:pt idx="89">
                  <c:v>2.5935235078416721</c:v>
                </c:pt>
                <c:pt idx="90">
                  <c:v>2.7968841352271587</c:v>
                </c:pt>
                <c:pt idx="91">
                  <c:v>2.6580669540871518</c:v>
                </c:pt>
                <c:pt idx="92">
                  <c:v>2.8807218498257776</c:v>
                </c:pt>
                <c:pt idx="93">
                  <c:v>3.057179792306961</c:v>
                </c:pt>
                <c:pt idx="94">
                  <c:v>3.0891288230632474</c:v>
                </c:pt>
                <c:pt idx="95">
                  <c:v>3.0372678209646473</c:v>
                </c:pt>
                <c:pt idx="96">
                  <c:v>3.2942093050827412</c:v>
                </c:pt>
                <c:pt idx="97">
                  <c:v>3.3156240202682721</c:v>
                </c:pt>
                <c:pt idx="98">
                  <c:v>3.4786724250133023</c:v>
                </c:pt>
                <c:pt idx="99">
                  <c:v>3.2440080173822237</c:v>
                </c:pt>
                <c:pt idx="100">
                  <c:v>4.777981713169539</c:v>
                </c:pt>
                <c:pt idx="101">
                  <c:v>4.6587915499102257</c:v>
                </c:pt>
                <c:pt idx="102">
                  <c:v>4.7091204176217527</c:v>
                </c:pt>
                <c:pt idx="103">
                  <c:v>5.0202971332914927</c:v>
                </c:pt>
                <c:pt idx="104">
                  <c:v>5.2872313738607115</c:v>
                </c:pt>
                <c:pt idx="105">
                  <c:v>5.417839042840094</c:v>
                </c:pt>
                <c:pt idx="106">
                  <c:v>5.6234186229661951</c:v>
                </c:pt>
                <c:pt idx="107">
                  <c:v>6.0102140934363444</c:v>
                </c:pt>
                <c:pt idx="108">
                  <c:v>6.165838038257343</c:v>
                </c:pt>
                <c:pt idx="109">
                  <c:v>6.163087095878649</c:v>
                </c:pt>
                <c:pt idx="110">
                  <c:v>6.299623200107658</c:v>
                </c:pt>
                <c:pt idx="111">
                  <c:v>6.3268464164970579</c:v>
                </c:pt>
                <c:pt idx="112">
                  <c:v>6.2824985742561026</c:v>
                </c:pt>
                <c:pt idx="113">
                  <c:v>6.5938399322073762</c:v>
                </c:pt>
                <c:pt idx="114">
                  <c:v>6.5882687498431682</c:v>
                </c:pt>
                <c:pt idx="115">
                  <c:v>6.7378882818970585</c:v>
                </c:pt>
                <c:pt idx="116">
                  <c:v>6.5287578218612659</c:v>
                </c:pt>
                <c:pt idx="117">
                  <c:v>6.1664091445280791</c:v>
                </c:pt>
                <c:pt idx="118">
                  <c:v>6.2989782759646946</c:v>
                </c:pt>
                <c:pt idx="119">
                  <c:v>6.44321805654236</c:v>
                </c:pt>
                <c:pt idx="120">
                  <c:v>6.5947399488423954</c:v>
                </c:pt>
                <c:pt idx="121">
                  <c:v>6.67350118920693</c:v>
                </c:pt>
                <c:pt idx="122">
                  <c:v>6.694054901704555</c:v>
                </c:pt>
                <c:pt idx="123">
                  <c:v>6.8510693834934884</c:v>
                </c:pt>
                <c:pt idx="124">
                  <c:v>5.5090840424591905</c:v>
                </c:pt>
                <c:pt idx="125">
                  <c:v>5.5824989779313308</c:v>
                </c:pt>
                <c:pt idx="126">
                  <c:v>5.4472967250705189</c:v>
                </c:pt>
                <c:pt idx="127">
                  <c:v>5.2322013500912563</c:v>
                </c:pt>
                <c:pt idx="128">
                  <c:v>5.1734133886095535</c:v>
                </c:pt>
                <c:pt idx="129">
                  <c:v>4.8978298748613769</c:v>
                </c:pt>
                <c:pt idx="130">
                  <c:v>4.6926310779725515</c:v>
                </c:pt>
                <c:pt idx="131">
                  <c:v>4.4101128039615771</c:v>
                </c:pt>
                <c:pt idx="132">
                  <c:v>4.4591902339130147</c:v>
                </c:pt>
                <c:pt idx="133">
                  <c:v>4.5540631562264844</c:v>
                </c:pt>
                <c:pt idx="134">
                  <c:v>4.5361036823698937</c:v>
                </c:pt>
                <c:pt idx="135">
                  <c:v>4.7584019489199445</c:v>
                </c:pt>
                <c:pt idx="136">
                  <c:v>4.848217033465648</c:v>
                </c:pt>
                <c:pt idx="137">
                  <c:v>4.7746485524927875</c:v>
                </c:pt>
                <c:pt idx="138">
                  <c:v>4.8106327469043819</c:v>
                </c:pt>
                <c:pt idx="139">
                  <c:v>4.9991362129370582</c:v>
                </c:pt>
                <c:pt idx="140">
                  <c:v>4.875270500382749</c:v>
                </c:pt>
                <c:pt idx="141">
                  <c:v>5.1659896244943289</c:v>
                </c:pt>
                <c:pt idx="142">
                  <c:v>4.9352188627597346</c:v>
                </c:pt>
                <c:pt idx="143">
                  <c:v>4.8739609906784294</c:v>
                </c:pt>
                <c:pt idx="144">
                  <c:v>4.5607966774342428</c:v>
                </c:pt>
                <c:pt idx="145">
                  <c:v>4.8719965556213225</c:v>
                </c:pt>
                <c:pt idx="146">
                  <c:v>5.0045431705618117</c:v>
                </c:pt>
                <c:pt idx="147">
                  <c:v>4.6580435901155077</c:v>
                </c:pt>
                <c:pt idx="148">
                  <c:v>4.5239157686302747</c:v>
                </c:pt>
                <c:pt idx="149">
                  <c:v>4.2087945881513358</c:v>
                </c:pt>
                <c:pt idx="150">
                  <c:v>3.8917269000841048</c:v>
                </c:pt>
                <c:pt idx="151">
                  <c:v>3.9890243717717704</c:v>
                </c:pt>
                <c:pt idx="152">
                  <c:v>3.9499307543024047</c:v>
                </c:pt>
                <c:pt idx="153">
                  <c:v>4.0592034671257489</c:v>
                </c:pt>
                <c:pt idx="154">
                  <c:v>4.3839885442395508</c:v>
                </c:pt>
                <c:pt idx="155">
                  <c:v>4.4431349885217726</c:v>
                </c:pt>
                <c:pt idx="156">
                  <c:v>4.4323088028570456</c:v>
                </c:pt>
                <c:pt idx="157">
                  <c:v>4.1312712555516722</c:v>
                </c:pt>
                <c:pt idx="158">
                  <c:v>4.0008340965341755</c:v>
                </c:pt>
                <c:pt idx="159">
                  <c:v>3.8935918758730175</c:v>
                </c:pt>
                <c:pt idx="160">
                  <c:v>3.8420065175997649</c:v>
                </c:pt>
                <c:pt idx="161">
                  <c:v>3.7200000000000135</c:v>
                </c:pt>
                <c:pt idx="162">
                  <c:v>3.2877231097336064</c:v>
                </c:pt>
                <c:pt idx="163">
                  <c:v>3.0365358054868268</c:v>
                </c:pt>
                <c:pt idx="164">
                  <c:v>2.9861696326773419</c:v>
                </c:pt>
                <c:pt idx="165">
                  <c:v>3.0078241061701556</c:v>
                </c:pt>
                <c:pt idx="166">
                  <c:v>3.0067474253245492</c:v>
                </c:pt>
                <c:pt idx="167">
                  <c:v>3.032243446393919</c:v>
                </c:pt>
                <c:pt idx="168">
                  <c:v>3.1008890455488989</c:v>
                </c:pt>
                <c:pt idx="169">
                  <c:v>2.8495310959960203</c:v>
                </c:pt>
                <c:pt idx="170">
                  <c:v>2.6336985317664396</c:v>
                </c:pt>
                <c:pt idx="171">
                  <c:v>3.0225648594065553</c:v>
                </c:pt>
                <c:pt idx="172">
                  <c:v>3.1841326802773886</c:v>
                </c:pt>
                <c:pt idx="173">
                  <c:v>3.2915664520133503</c:v>
                </c:pt>
                <c:pt idx="174">
                  <c:v>3.5210515586016711</c:v>
                </c:pt>
                <c:pt idx="175">
                  <c:v>3.8691226369364999</c:v>
                </c:pt>
                <c:pt idx="176">
                  <c:v>3.7122274331576643</c:v>
                </c:pt>
                <c:pt idx="177">
                  <c:v>2.7864434936302875</c:v>
                </c:pt>
                <c:pt idx="178">
                  <c:v>2.0811393126636419</c:v>
                </c:pt>
                <c:pt idx="179">
                  <c:v>2.2131669917537335</c:v>
                </c:pt>
                <c:pt idx="180">
                  <c:v>2.8251815980629558</c:v>
                </c:pt>
                <c:pt idx="181">
                  <c:v>2.850333281661765</c:v>
                </c:pt>
                <c:pt idx="182">
                  <c:v>3.167837248728516</c:v>
                </c:pt>
                <c:pt idx="183">
                  <c:v>3.4999467946175451</c:v>
                </c:pt>
                <c:pt idx="184">
                  <c:v>3.5859687035714969</c:v>
                </c:pt>
                <c:pt idx="185">
                  <c:v>3.6608175858079419</c:v>
                </c:pt>
                <c:pt idx="186">
                  <c:v>3.9896952972733115</c:v>
                </c:pt>
                <c:pt idx="187">
                  <c:v>4.1071583555937012</c:v>
                </c:pt>
                <c:pt idx="188">
                  <c:v>4.0961906870625935</c:v>
                </c:pt>
                <c:pt idx="189">
                  <c:v>3.9324276250636871</c:v>
                </c:pt>
                <c:pt idx="190">
                  <c:v>4.0854242482283132</c:v>
                </c:pt>
                <c:pt idx="191">
                  <c:v>4.0875060954038176</c:v>
                </c:pt>
                <c:pt idx="192">
                  <c:v>3.4292823293668411</c:v>
                </c:pt>
                <c:pt idx="193">
                  <c:v>3.2336113404116031</c:v>
                </c:pt>
                <c:pt idx="194">
                  <c:v>3.2194623828749194</c:v>
                </c:pt>
                <c:pt idx="195">
                  <c:v>3.0809104189246419</c:v>
                </c:pt>
                <c:pt idx="196">
                  <c:v>3.3349625897657642</c:v>
                </c:pt>
                <c:pt idx="197">
                  <c:v>3.7350008450228103</c:v>
                </c:pt>
                <c:pt idx="198">
                  <c:v>3.8448553959263365</c:v>
                </c:pt>
                <c:pt idx="199">
                  <c:v>3.6755303758598368</c:v>
                </c:pt>
                <c:pt idx="200">
                  <c:v>4.115464225110486</c:v>
                </c:pt>
                <c:pt idx="201">
                  <c:v>5.2235440040593089</c:v>
                </c:pt>
                <c:pt idx="202">
                  <c:v>6.0546117079172834</c:v>
                </c:pt>
                <c:pt idx="203">
                  <c:v>6.1159710544712569</c:v>
                </c:pt>
                <c:pt idx="204">
                  <c:v>5.7965281113717033</c:v>
                </c:pt>
                <c:pt idx="205">
                  <c:v>5.9901279225305624</c:v>
                </c:pt>
                <c:pt idx="206">
                  <c:v>6.0171839053476699</c:v>
                </c:pt>
                <c:pt idx="207">
                  <c:v>5.7397351179071183</c:v>
                </c:pt>
                <c:pt idx="208">
                  <c:v>5.7520187015115836</c:v>
                </c:pt>
                <c:pt idx="209">
                  <c:v>5.8604685770622345</c:v>
                </c:pt>
                <c:pt idx="210">
                  <c:v>5.5828237935737643</c:v>
                </c:pt>
                <c:pt idx="211">
                  <c:v>5.6013561080440155</c:v>
                </c:pt>
                <c:pt idx="212">
                  <c:v>5.8724521880664318</c:v>
                </c:pt>
                <c:pt idx="213">
                  <c:v>6.1269045394414325</c:v>
                </c:pt>
                <c:pt idx="214">
                  <c:v>6.1222236534604235</c:v>
                </c:pt>
                <c:pt idx="215">
                  <c:v>6.3557531553710316</c:v>
                </c:pt>
                <c:pt idx="216">
                  <c:v>7.0461849233311975</c:v>
                </c:pt>
              </c:numCache>
            </c:numRef>
          </c:val>
          <c:smooth val="0"/>
          <c:extLst>
            <c:ext xmlns:c16="http://schemas.microsoft.com/office/drawing/2014/chart" uri="{C3380CC4-5D6E-409C-BE32-E72D297353CC}">
              <c16:uniqueId val="{00000001-9788-4AFF-8121-D2084B6C03B9}"/>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3.37597695456351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88-4AFF-8121-D2084B6C03B9}"/>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2018'!$A$169:$B$385</c:f>
              <c:multiLvlStrCache>
                <c:ptCount val="217"/>
                <c:lvl>
                  <c:pt idx="0">
                    <c:v>1qNov</c:v>
                  </c:pt>
                  <c:pt idx="1">
                    <c:v>2qNov</c:v>
                  </c:pt>
                  <c:pt idx="2">
                    <c:v>1qDic</c:v>
                  </c:pt>
                  <c:pt idx="3">
                    <c:v>2qDic</c:v>
                  </c:pt>
                  <c:pt idx="4">
                    <c:v>1qEne</c:v>
                  </c:pt>
                  <c:pt idx="5">
                    <c:v>2qEne</c:v>
                  </c:pt>
                  <c:pt idx="6">
                    <c:v>1qFeb</c:v>
                  </c:pt>
                  <c:pt idx="7">
                    <c:v>2qFeb</c:v>
                  </c:pt>
                  <c:pt idx="8">
                    <c:v>1qMar</c:v>
                  </c:pt>
                  <c:pt idx="9">
                    <c:v>2qMar</c:v>
                  </c:pt>
                  <c:pt idx="10">
                    <c:v>1qAbr</c:v>
                  </c:pt>
                  <c:pt idx="11">
                    <c:v>2qAbr</c:v>
                  </c:pt>
                  <c:pt idx="12">
                    <c:v>1qMay</c:v>
                  </c:pt>
                  <c:pt idx="13">
                    <c:v>2qMay</c:v>
                  </c:pt>
                  <c:pt idx="14">
                    <c:v>1qJun</c:v>
                  </c:pt>
                  <c:pt idx="15">
                    <c:v>2qJun</c:v>
                  </c:pt>
                  <c:pt idx="16">
                    <c:v>1qJul</c:v>
                  </c:pt>
                  <c:pt idx="17">
                    <c:v>2qJul</c:v>
                  </c:pt>
                  <c:pt idx="18">
                    <c:v>1qAgo</c:v>
                  </c:pt>
                  <c:pt idx="19">
                    <c:v>2qAgo</c:v>
                  </c:pt>
                  <c:pt idx="20">
                    <c:v>1qSep</c:v>
                  </c:pt>
                  <c:pt idx="21">
                    <c:v>2qSep</c:v>
                  </c:pt>
                  <c:pt idx="22">
                    <c:v>1qOct</c:v>
                  </c:pt>
                  <c:pt idx="23">
                    <c:v>2qOct</c:v>
                  </c:pt>
                  <c:pt idx="24">
                    <c:v>1qNov</c:v>
                  </c:pt>
                  <c:pt idx="25">
                    <c:v>2qNov</c:v>
                  </c:pt>
                  <c:pt idx="26">
                    <c:v>1qDic</c:v>
                  </c:pt>
                  <c:pt idx="27">
                    <c:v>2qDic</c:v>
                  </c:pt>
                  <c:pt idx="28">
                    <c:v>1qEne</c:v>
                  </c:pt>
                  <c:pt idx="29">
                    <c:v>2qEne</c:v>
                  </c:pt>
                  <c:pt idx="30">
                    <c:v>1qFeb</c:v>
                  </c:pt>
                  <c:pt idx="31">
                    <c:v>2qFeb</c:v>
                  </c:pt>
                  <c:pt idx="32">
                    <c:v>1qMar</c:v>
                  </c:pt>
                  <c:pt idx="33">
                    <c:v>2qMar</c:v>
                  </c:pt>
                  <c:pt idx="34">
                    <c:v>1qAbr</c:v>
                  </c:pt>
                  <c:pt idx="35">
                    <c:v>2qAbr</c:v>
                  </c:pt>
                  <c:pt idx="36">
                    <c:v>1qMay</c:v>
                  </c:pt>
                  <c:pt idx="37">
                    <c:v>2qMay</c:v>
                  </c:pt>
                  <c:pt idx="38">
                    <c:v>1qJun</c:v>
                  </c:pt>
                  <c:pt idx="39">
                    <c:v>2qJun</c:v>
                  </c:pt>
                  <c:pt idx="40">
                    <c:v>1qJul</c:v>
                  </c:pt>
                  <c:pt idx="41">
                    <c:v>2qJul</c:v>
                  </c:pt>
                  <c:pt idx="42">
                    <c:v>1qAgo</c:v>
                  </c:pt>
                  <c:pt idx="43">
                    <c:v>2qAgo</c:v>
                  </c:pt>
                  <c:pt idx="44">
                    <c:v>1qSep</c:v>
                  </c:pt>
                  <c:pt idx="45">
                    <c:v>2qSep</c:v>
                  </c:pt>
                  <c:pt idx="46">
                    <c:v>1qOct</c:v>
                  </c:pt>
                  <c:pt idx="47">
                    <c:v>2qOct</c:v>
                  </c:pt>
                  <c:pt idx="48">
                    <c:v>1qNov</c:v>
                  </c:pt>
                  <c:pt idx="49">
                    <c:v>2qNov</c:v>
                  </c:pt>
                  <c:pt idx="50">
                    <c:v>1qDic</c:v>
                  </c:pt>
                  <c:pt idx="51">
                    <c:v>2qDic</c:v>
                  </c:pt>
                  <c:pt idx="52">
                    <c:v>1qEne</c:v>
                  </c:pt>
                  <c:pt idx="53">
                    <c:v>2qEne</c:v>
                  </c:pt>
                  <c:pt idx="54">
                    <c:v>1qFeb</c:v>
                  </c:pt>
                  <c:pt idx="55">
                    <c:v>2qFeb</c:v>
                  </c:pt>
                  <c:pt idx="56">
                    <c:v>1qMar</c:v>
                  </c:pt>
                  <c:pt idx="57">
                    <c:v>2qMar</c:v>
                  </c:pt>
                  <c:pt idx="58">
                    <c:v>1qAbr</c:v>
                  </c:pt>
                  <c:pt idx="59">
                    <c:v>2qAbr</c:v>
                  </c:pt>
                  <c:pt idx="60">
                    <c:v>1qMay</c:v>
                  </c:pt>
                  <c:pt idx="61">
                    <c:v>2qMay</c:v>
                  </c:pt>
                  <c:pt idx="62">
                    <c:v>1qJun</c:v>
                  </c:pt>
                  <c:pt idx="63">
                    <c:v>2qJun</c:v>
                  </c:pt>
                  <c:pt idx="64">
                    <c:v>1qJul</c:v>
                  </c:pt>
                  <c:pt idx="65">
                    <c:v>2qJul</c:v>
                  </c:pt>
                  <c:pt idx="66">
                    <c:v>1qAgo</c:v>
                  </c:pt>
                  <c:pt idx="67">
                    <c:v>2qAgo</c:v>
                  </c:pt>
                  <c:pt idx="68">
                    <c:v>1qSep</c:v>
                  </c:pt>
                  <c:pt idx="69">
                    <c:v>2qSep</c:v>
                  </c:pt>
                  <c:pt idx="70">
                    <c:v>1qOct</c:v>
                  </c:pt>
                  <c:pt idx="71">
                    <c:v>2qOct</c:v>
                  </c:pt>
                  <c:pt idx="72">
                    <c:v>1qNov</c:v>
                  </c:pt>
                  <c:pt idx="73">
                    <c:v>2qNov</c:v>
                  </c:pt>
                  <c:pt idx="74">
                    <c:v>1qDic</c:v>
                  </c:pt>
                  <c:pt idx="75">
                    <c:v>2qDic</c:v>
                  </c:pt>
                  <c:pt idx="76">
                    <c:v>1qEne</c:v>
                  </c:pt>
                  <c:pt idx="77">
                    <c:v>2qEne</c:v>
                  </c:pt>
                  <c:pt idx="78">
                    <c:v>1qFeb</c:v>
                  </c:pt>
                  <c:pt idx="79">
                    <c:v>2qFeb</c:v>
                  </c:pt>
                  <c:pt idx="80">
                    <c:v>1qMar</c:v>
                  </c:pt>
                  <c:pt idx="81">
                    <c:v>2qMar</c:v>
                  </c:pt>
                  <c:pt idx="82">
                    <c:v>1qAbr</c:v>
                  </c:pt>
                  <c:pt idx="83">
                    <c:v>2qAbr</c:v>
                  </c:pt>
                  <c:pt idx="84">
                    <c:v>1qMay</c:v>
                  </c:pt>
                  <c:pt idx="85">
                    <c:v>2qMay</c:v>
                  </c:pt>
                  <c:pt idx="86">
                    <c:v>1qJun</c:v>
                  </c:pt>
                  <c:pt idx="87">
                    <c:v>2qJun</c:v>
                  </c:pt>
                  <c:pt idx="88">
                    <c:v>1qJul</c:v>
                  </c:pt>
                  <c:pt idx="89">
                    <c:v>2qJul</c:v>
                  </c:pt>
                  <c:pt idx="90">
                    <c:v>1qAgo</c:v>
                  </c:pt>
                  <c:pt idx="91">
                    <c:v>2qAgo</c:v>
                  </c:pt>
                  <c:pt idx="92">
                    <c:v>1qSep</c:v>
                  </c:pt>
                  <c:pt idx="93">
                    <c:v>2qSep</c:v>
                  </c:pt>
                  <c:pt idx="94">
                    <c:v>1qOct</c:v>
                  </c:pt>
                  <c:pt idx="95">
                    <c:v>2qOct</c:v>
                  </c:pt>
                  <c:pt idx="96">
                    <c:v>1qNov</c:v>
                  </c:pt>
                  <c:pt idx="97">
                    <c:v>2qNov</c:v>
                  </c:pt>
                  <c:pt idx="98">
                    <c:v>1qDic</c:v>
                  </c:pt>
                  <c:pt idx="99">
                    <c:v>2qDic</c:v>
                  </c:pt>
                  <c:pt idx="100">
                    <c:v>1qEne</c:v>
                  </c:pt>
                  <c:pt idx="101">
                    <c:v>2qEne</c:v>
                  </c:pt>
                  <c:pt idx="102">
                    <c:v>1qFeb</c:v>
                  </c:pt>
                  <c:pt idx="103">
                    <c:v>2qFeb</c:v>
                  </c:pt>
                  <c:pt idx="104">
                    <c:v>1qMar</c:v>
                  </c:pt>
                  <c:pt idx="105">
                    <c:v>2qMar</c:v>
                  </c:pt>
                  <c:pt idx="106">
                    <c:v>1qAbr</c:v>
                  </c:pt>
                  <c:pt idx="107">
                    <c:v>2qAbr</c:v>
                  </c:pt>
                  <c:pt idx="108">
                    <c:v>1qMay</c:v>
                  </c:pt>
                  <c:pt idx="109">
                    <c:v>2qMay</c:v>
                  </c:pt>
                  <c:pt idx="110">
                    <c:v>1qJun</c:v>
                  </c:pt>
                  <c:pt idx="111">
                    <c:v>2qJun</c:v>
                  </c:pt>
                  <c:pt idx="112">
                    <c:v>1qJul</c:v>
                  </c:pt>
                  <c:pt idx="113">
                    <c:v>2qJul</c:v>
                  </c:pt>
                  <c:pt idx="114">
                    <c:v>1qAgo</c:v>
                  </c:pt>
                  <c:pt idx="115">
                    <c:v>2qAgo</c:v>
                  </c:pt>
                  <c:pt idx="116">
                    <c:v>1qSep</c:v>
                  </c:pt>
                  <c:pt idx="117">
                    <c:v>2qSep</c:v>
                  </c:pt>
                  <c:pt idx="118">
                    <c:v>1qOct</c:v>
                  </c:pt>
                  <c:pt idx="119">
                    <c:v>2qOct</c:v>
                  </c:pt>
                  <c:pt idx="120">
                    <c:v>1qNov</c:v>
                  </c:pt>
                  <c:pt idx="121">
                    <c:v>2qNov</c:v>
                  </c:pt>
                  <c:pt idx="122">
                    <c:v>1qDic</c:v>
                  </c:pt>
                  <c:pt idx="123">
                    <c:v>2qDic</c:v>
                  </c:pt>
                  <c:pt idx="124">
                    <c:v>1qEne</c:v>
                  </c:pt>
                  <c:pt idx="125">
                    <c:v>2qEne</c:v>
                  </c:pt>
                  <c:pt idx="126">
                    <c:v>1qFeb</c:v>
                  </c:pt>
                  <c:pt idx="127">
                    <c:v>2qFeb</c:v>
                  </c:pt>
                  <c:pt idx="128">
                    <c:v>1qMar</c:v>
                  </c:pt>
                  <c:pt idx="129">
                    <c:v>2qMar</c:v>
                  </c:pt>
                  <c:pt idx="130">
                    <c:v>1qAbr</c:v>
                  </c:pt>
                  <c:pt idx="131">
                    <c:v>2qAbr</c:v>
                  </c:pt>
                  <c:pt idx="132">
                    <c:v>1qMay</c:v>
                  </c:pt>
                  <c:pt idx="133">
                    <c:v>2qMay</c:v>
                  </c:pt>
                  <c:pt idx="134">
                    <c:v>1qJun</c:v>
                  </c:pt>
                  <c:pt idx="135">
                    <c:v>2qJun</c:v>
                  </c:pt>
                  <c:pt idx="136">
                    <c:v>1qJul</c:v>
                  </c:pt>
                  <c:pt idx="137">
                    <c:v>2qJul</c:v>
                  </c:pt>
                  <c:pt idx="138">
                    <c:v>1qAgo</c:v>
                  </c:pt>
                  <c:pt idx="139">
                    <c:v>2qAgo</c:v>
                  </c:pt>
                  <c:pt idx="140">
                    <c:v>1qSep</c:v>
                  </c:pt>
                  <c:pt idx="141">
                    <c:v>2qSep</c:v>
                  </c:pt>
                  <c:pt idx="142">
                    <c:v>1qOct</c:v>
                  </c:pt>
                  <c:pt idx="143">
                    <c:v>2qOct</c:v>
                  </c:pt>
                  <c:pt idx="144">
                    <c:v>1qNov</c:v>
                  </c:pt>
                  <c:pt idx="145">
                    <c:v>2qNov</c:v>
                  </c:pt>
                  <c:pt idx="146">
                    <c:v>1qDic</c:v>
                  </c:pt>
                  <c:pt idx="147">
                    <c:v>2qDic</c:v>
                  </c:pt>
                  <c:pt idx="148">
                    <c:v>1qEne</c:v>
                  </c:pt>
                  <c:pt idx="149">
                    <c:v>2qEne</c:v>
                  </c:pt>
                  <c:pt idx="150">
                    <c:v>1qFeb</c:v>
                  </c:pt>
                  <c:pt idx="151">
                    <c:v>2qFeb</c:v>
                  </c:pt>
                  <c:pt idx="152">
                    <c:v>1qMar</c:v>
                  </c:pt>
                  <c:pt idx="153">
                    <c:v>2qMar</c:v>
                  </c:pt>
                  <c:pt idx="154">
                    <c:v>1qAbr</c:v>
                  </c:pt>
                  <c:pt idx="155">
                    <c:v>2qAbr</c:v>
                  </c:pt>
                  <c:pt idx="156">
                    <c:v>1qMay</c:v>
                  </c:pt>
                  <c:pt idx="157">
                    <c:v>2qMay</c:v>
                  </c:pt>
                  <c:pt idx="158">
                    <c:v>1qJun</c:v>
                  </c:pt>
                  <c:pt idx="159">
                    <c:v>2qJun</c:v>
                  </c:pt>
                  <c:pt idx="160">
                    <c:v>1qJul</c:v>
                  </c:pt>
                  <c:pt idx="161">
                    <c:v>2qJul</c:v>
                  </c:pt>
                  <c:pt idx="162">
                    <c:v>1qAgo</c:v>
                  </c:pt>
                  <c:pt idx="163">
                    <c:v>2qAgo</c:v>
                  </c:pt>
                  <c:pt idx="164">
                    <c:v>1qSep</c:v>
                  </c:pt>
                  <c:pt idx="165">
                    <c:v>2qSep</c:v>
                  </c:pt>
                  <c:pt idx="166">
                    <c:v>1qOct</c:v>
                  </c:pt>
                  <c:pt idx="167">
                    <c:v>2qOct</c:v>
                  </c:pt>
                  <c:pt idx="168">
                    <c:v>1qNov</c:v>
                  </c:pt>
                  <c:pt idx="169">
                    <c:v>2qNov</c:v>
                  </c:pt>
                  <c:pt idx="170">
                    <c:v>1qDic</c:v>
                  </c:pt>
                  <c:pt idx="171">
                    <c:v>2qDic</c:v>
                  </c:pt>
                  <c:pt idx="172">
                    <c:v>1qEne</c:v>
                  </c:pt>
                  <c:pt idx="173">
                    <c:v>2qEne</c:v>
                  </c:pt>
                  <c:pt idx="174">
                    <c:v>1qFeb</c:v>
                  </c:pt>
                  <c:pt idx="175">
                    <c:v>2qFeb</c:v>
                  </c:pt>
                  <c:pt idx="176">
                    <c:v>1qMar</c:v>
                  </c:pt>
                  <c:pt idx="177">
                    <c:v>2qMar</c:v>
                  </c:pt>
                  <c:pt idx="178">
                    <c:v>1qAbr</c:v>
                  </c:pt>
                  <c:pt idx="179">
                    <c:v>2qAbr</c:v>
                  </c:pt>
                  <c:pt idx="180">
                    <c:v>1qMay</c:v>
                  </c:pt>
                  <c:pt idx="181">
                    <c:v>2qMay</c:v>
                  </c:pt>
                  <c:pt idx="182">
                    <c:v>1qJun</c:v>
                  </c:pt>
                  <c:pt idx="183">
                    <c:v>2qJun</c:v>
                  </c:pt>
                  <c:pt idx="184">
                    <c:v>1qJul</c:v>
                  </c:pt>
                  <c:pt idx="185">
                    <c:v>2qJul</c:v>
                  </c:pt>
                  <c:pt idx="186">
                    <c:v>1qAgo</c:v>
                  </c:pt>
                  <c:pt idx="187">
                    <c:v>2qAgo</c:v>
                  </c:pt>
                  <c:pt idx="188">
                    <c:v>1qSep</c:v>
                  </c:pt>
                  <c:pt idx="189">
                    <c:v>2qSep</c:v>
                  </c:pt>
                  <c:pt idx="190">
                    <c:v>1qOct</c:v>
                  </c:pt>
                  <c:pt idx="191">
                    <c:v>2qOct</c:v>
                  </c:pt>
                  <c:pt idx="192">
                    <c:v>1qNov</c:v>
                  </c:pt>
                  <c:pt idx="193">
                    <c:v>2qNov</c:v>
                  </c:pt>
                  <c:pt idx="194">
                    <c:v>1qDic</c:v>
                  </c:pt>
                  <c:pt idx="195">
                    <c:v>2qDic</c:v>
                  </c:pt>
                  <c:pt idx="196">
                    <c:v>1qEne</c:v>
                  </c:pt>
                  <c:pt idx="197">
                    <c:v>2qEne</c:v>
                  </c:pt>
                  <c:pt idx="198">
                    <c:v>1qFeb</c:v>
                  </c:pt>
                  <c:pt idx="199">
                    <c:v>2qFeb</c:v>
                  </c:pt>
                  <c:pt idx="200">
                    <c:v>1qMar</c:v>
                  </c:pt>
                  <c:pt idx="201">
                    <c:v>2qMar</c:v>
                  </c:pt>
                  <c:pt idx="202">
                    <c:v>1qAbr</c:v>
                  </c:pt>
                  <c:pt idx="203">
                    <c:v>2qAbr</c:v>
                  </c:pt>
                  <c:pt idx="204">
                    <c:v>1qMay</c:v>
                  </c:pt>
                  <c:pt idx="205">
                    <c:v>2qMay</c:v>
                  </c:pt>
                  <c:pt idx="206">
                    <c:v>1qJun</c:v>
                  </c:pt>
                  <c:pt idx="207">
                    <c:v>2qJun</c:v>
                  </c:pt>
                  <c:pt idx="208">
                    <c:v>1qJul</c:v>
                  </c:pt>
                  <c:pt idx="209">
                    <c:v>2qJul</c:v>
                  </c:pt>
                  <c:pt idx="210">
                    <c:v>1qAgo</c:v>
                  </c:pt>
                  <c:pt idx="211">
                    <c:v>2qAgo</c:v>
                  </c:pt>
                  <c:pt idx="212">
                    <c:v>1qSep</c:v>
                  </c:pt>
                  <c:pt idx="213">
                    <c:v>2qSep</c:v>
                  </c:pt>
                  <c:pt idx="214">
                    <c:v>1qOct</c:v>
                  </c:pt>
                  <c:pt idx="215">
                    <c:v>2qOct</c:v>
                  </c:pt>
                  <c:pt idx="216">
                    <c:v>1qNov</c:v>
                  </c:pt>
                </c:lvl>
                <c:lvl>
                  <c:pt idx="0">
                    <c:v>2012</c:v>
                  </c:pt>
                  <c:pt idx="1">
                    <c:v>2012</c:v>
                  </c:pt>
                  <c:pt idx="2">
                    <c:v>2012</c:v>
                  </c:pt>
                  <c:pt idx="3">
                    <c:v>2012</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2018'!$G$169:$G$385</c:f>
              <c:numCache>
                <c:formatCode>0.00</c:formatCode>
                <c:ptCount val="217"/>
                <c:pt idx="0">
                  <c:v>3.497724814484096</c:v>
                </c:pt>
                <c:pt idx="1">
                  <c:v>3.0944012280048958</c:v>
                </c:pt>
                <c:pt idx="2">
                  <c:v>3.0040571360508883</c:v>
                </c:pt>
                <c:pt idx="3">
                  <c:v>2.7964321989406584</c:v>
                </c:pt>
                <c:pt idx="4">
                  <c:v>2.7763497027195498</c:v>
                </c:pt>
                <c:pt idx="5">
                  <c:v>2.9751754935712431</c:v>
                </c:pt>
                <c:pt idx="6">
                  <c:v>2.9575503875276712</c:v>
                </c:pt>
                <c:pt idx="7">
                  <c:v>2.9657092040579758</c:v>
                </c:pt>
                <c:pt idx="8">
                  <c:v>3.0602036721268644</c:v>
                </c:pt>
                <c:pt idx="9">
                  <c:v>2.9791164494705962</c:v>
                </c:pt>
                <c:pt idx="10">
                  <c:v>3.0026041070565621</c:v>
                </c:pt>
                <c:pt idx="11">
                  <c:v>2.8915458173883479</c:v>
                </c:pt>
                <c:pt idx="12">
                  <c:v>2.8909365438263444</c:v>
                </c:pt>
                <c:pt idx="13">
                  <c:v>2.8631679529443979</c:v>
                </c:pt>
                <c:pt idx="14">
                  <c:v>2.8307350923769405</c:v>
                </c:pt>
                <c:pt idx="15">
                  <c:v>2.7437282572557016</c:v>
                </c:pt>
                <c:pt idx="16">
                  <c:v>2.5697096747123833</c:v>
                </c:pt>
                <c:pt idx="17">
                  <c:v>2.4360903054217125</c:v>
                </c:pt>
                <c:pt idx="18">
                  <c:v>2.3835805910849777</c:v>
                </c:pt>
                <c:pt idx="19">
                  <c:v>2.3480634242683229</c:v>
                </c:pt>
                <c:pt idx="20">
                  <c:v>2.535276339954553</c:v>
                </c:pt>
                <c:pt idx="21">
                  <c:v>2.4965785009156081</c:v>
                </c:pt>
                <c:pt idx="22">
                  <c:v>2.4640712164855678</c:v>
                </c:pt>
                <c:pt idx="23">
                  <c:v>2.4948139964390839</c:v>
                </c:pt>
                <c:pt idx="24">
                  <c:v>2.4265245867401597</c:v>
                </c:pt>
                <c:pt idx="25">
                  <c:v>2.7038703266946786</c:v>
                </c:pt>
                <c:pt idx="26">
                  <c:v>2.751128068649233</c:v>
                </c:pt>
                <c:pt idx="27">
                  <c:v>2.8026579468947426</c:v>
                </c:pt>
                <c:pt idx="28">
                  <c:v>3.3301766974286218</c:v>
                </c:pt>
                <c:pt idx="29">
                  <c:v>3.1002666825252425</c:v>
                </c:pt>
                <c:pt idx="30">
                  <c:v>2.9720512722063508</c:v>
                </c:pt>
                <c:pt idx="31">
                  <c:v>2.9911409949387719</c:v>
                </c:pt>
                <c:pt idx="32">
                  <c:v>2.8393403954390637</c:v>
                </c:pt>
                <c:pt idx="33">
                  <c:v>2.9470966063651716</c:v>
                </c:pt>
                <c:pt idx="34">
                  <c:v>3.1650623331299617</c:v>
                </c:pt>
                <c:pt idx="35">
                  <c:v>3.0552508730965879</c:v>
                </c:pt>
                <c:pt idx="36">
                  <c:v>2.965790301060844</c:v>
                </c:pt>
                <c:pt idx="37">
                  <c:v>3.0412359691456019</c:v>
                </c:pt>
                <c:pt idx="38">
                  <c:v>3.0875416706861825</c:v>
                </c:pt>
                <c:pt idx="39">
                  <c:v>3.0926368076054618</c:v>
                </c:pt>
                <c:pt idx="40">
                  <c:v>3.2008508707259615</c:v>
                </c:pt>
                <c:pt idx="41">
                  <c:v>3.296727917181848</c:v>
                </c:pt>
                <c:pt idx="42">
                  <c:v>3.3403363995215916</c:v>
                </c:pt>
                <c:pt idx="43">
                  <c:v>3.4088159517772554</c:v>
                </c:pt>
                <c:pt idx="44">
                  <c:v>3.3443317105628387</c:v>
                </c:pt>
                <c:pt idx="45">
                  <c:v>3.3410517831071793</c:v>
                </c:pt>
                <c:pt idx="46">
                  <c:v>3.320114326066006</c:v>
                </c:pt>
                <c:pt idx="47">
                  <c:v>3.3125587217442973</c:v>
                </c:pt>
                <c:pt idx="48">
                  <c:v>3.3269143797989815</c:v>
                </c:pt>
                <c:pt idx="49">
                  <c:v>3.3597016646049473</c:v>
                </c:pt>
                <c:pt idx="50">
                  <c:v>3.2613173618448141</c:v>
                </c:pt>
                <c:pt idx="51">
                  <c:v>3.2283311008381563</c:v>
                </c:pt>
                <c:pt idx="52">
                  <c:v>2.4257619293549975</c:v>
                </c:pt>
                <c:pt idx="53">
                  <c:v>2.2512483178846994</c:v>
                </c:pt>
                <c:pt idx="54">
                  <c:v>2.4154760560769155</c:v>
                </c:pt>
                <c:pt idx="55">
                  <c:v>2.3803601042870661</c:v>
                </c:pt>
                <c:pt idx="56">
                  <c:v>2.4210809690652884</c:v>
                </c:pt>
                <c:pt idx="57">
                  <c:v>2.4716727562373664</c:v>
                </c:pt>
                <c:pt idx="58">
                  <c:v>2.22959038644635</c:v>
                </c:pt>
                <c:pt idx="59">
                  <c:v>2.3867779230047406</c:v>
                </c:pt>
                <c:pt idx="60">
                  <c:v>2.3645039102051868</c:v>
                </c:pt>
                <c:pt idx="61">
                  <c:v>2.2967267698564018</c:v>
                </c:pt>
                <c:pt idx="62">
                  <c:v>2.3068088582791066</c:v>
                </c:pt>
                <c:pt idx="63">
                  <c:v>2.3470897521408207</c:v>
                </c:pt>
                <c:pt idx="64">
                  <c:v>2.3048831870518853</c:v>
                </c:pt>
                <c:pt idx="65">
                  <c:v>2.3176027185983523</c:v>
                </c:pt>
                <c:pt idx="66">
                  <c:v>2.2916919550657333</c:v>
                </c:pt>
                <c:pt idx="67">
                  <c:v>2.3072511966621598</c:v>
                </c:pt>
                <c:pt idx="68">
                  <c:v>2.3401806229756428</c:v>
                </c:pt>
                <c:pt idx="69">
                  <c:v>2.4176421285037821</c:v>
                </c:pt>
                <c:pt idx="70">
                  <c:v>2.4587510846686191</c:v>
                </c:pt>
                <c:pt idx="71">
                  <c:v>2.4726079923024322</c:v>
                </c:pt>
                <c:pt idx="72">
                  <c:v>2.3463360125931945</c:v>
                </c:pt>
                <c:pt idx="73">
                  <c:v>2.3268213688759705</c:v>
                </c:pt>
                <c:pt idx="74">
                  <c:v>2.390553712314857</c:v>
                </c:pt>
                <c:pt idx="75">
                  <c:v>2.4333480158938574</c:v>
                </c:pt>
                <c:pt idx="76">
                  <c:v>2.6075350521938248</c:v>
                </c:pt>
                <c:pt idx="77">
                  <c:v>2.6792848558866034</c:v>
                </c:pt>
                <c:pt idx="78">
                  <c:v>2.6247721940712854</c:v>
                </c:pt>
                <c:pt idx="79">
                  <c:v>2.6999719049183106</c:v>
                </c:pt>
                <c:pt idx="80">
                  <c:v>2.8570717271853301</c:v>
                </c:pt>
                <c:pt idx="81">
                  <c:v>2.6643976864392171</c:v>
                </c:pt>
                <c:pt idx="82">
                  <c:v>2.7889505267186077</c:v>
                </c:pt>
                <c:pt idx="83">
                  <c:v>2.8653494472590446</c:v>
                </c:pt>
                <c:pt idx="84">
                  <c:v>2.9155541341971842</c:v>
                </c:pt>
                <c:pt idx="85">
                  <c:v>2.9400204454453038</c:v>
                </c:pt>
                <c:pt idx="86">
                  <c:v>2.9780685524937418</c:v>
                </c:pt>
                <c:pt idx="87">
                  <c:v>2.970805194310711</c:v>
                </c:pt>
                <c:pt idx="88">
                  <c:v>2.9869000821721321</c:v>
                </c:pt>
                <c:pt idx="89">
                  <c:v>2.958184265532811</c:v>
                </c:pt>
                <c:pt idx="90">
                  <c:v>2.9678902064447099</c:v>
                </c:pt>
                <c:pt idx="91">
                  <c:v>2.9539547347381339</c:v>
                </c:pt>
                <c:pt idx="92">
                  <c:v>3.0468116923746806</c:v>
                </c:pt>
                <c:pt idx="93">
                  <c:v>3.0912825950724891</c:v>
                </c:pt>
                <c:pt idx="94">
                  <c:v>3.1012509952726064</c:v>
                </c:pt>
                <c:pt idx="95">
                  <c:v>3.0947616902772506</c:v>
                </c:pt>
                <c:pt idx="96">
                  <c:v>3.3319998055344984</c:v>
                </c:pt>
                <c:pt idx="97">
                  <c:v>3.2541169825970431</c:v>
                </c:pt>
                <c:pt idx="98">
                  <c:v>3.4556844443457231</c:v>
                </c:pt>
                <c:pt idx="99">
                  <c:v>3.4190637781387228</c:v>
                </c:pt>
                <c:pt idx="100">
                  <c:v>3.7171121119421828</c:v>
                </c:pt>
                <c:pt idx="101">
                  <c:v>3.9541963785562761</c:v>
                </c:pt>
                <c:pt idx="102">
                  <c:v>4.1997330552909586</c:v>
                </c:pt>
                <c:pt idx="103">
                  <c:v>4.311207443014049</c:v>
                </c:pt>
                <c:pt idx="104">
                  <c:v>4.3234288151573121</c:v>
                </c:pt>
                <c:pt idx="105">
                  <c:v>4.6332592126084799</c:v>
                </c:pt>
                <c:pt idx="106">
                  <c:v>4.755660342374016</c:v>
                </c:pt>
                <c:pt idx="107">
                  <c:v>4.6790514324428747</c:v>
                </c:pt>
                <c:pt idx="108">
                  <c:v>4.7509278569842373</c:v>
                </c:pt>
                <c:pt idx="109">
                  <c:v>4.8121947523125428</c:v>
                </c:pt>
                <c:pt idx="110">
                  <c:v>4.8209395856761645</c:v>
                </c:pt>
                <c:pt idx="111">
                  <c:v>4.8467381815305748</c:v>
                </c:pt>
                <c:pt idx="112">
                  <c:v>4.9207056044795072</c:v>
                </c:pt>
                <c:pt idx="113">
                  <c:v>4.9503227740202931</c:v>
                </c:pt>
                <c:pt idx="114">
                  <c:v>5.0213060833167322</c:v>
                </c:pt>
                <c:pt idx="115">
                  <c:v>4.9846248601918619</c:v>
                </c:pt>
                <c:pt idx="116">
                  <c:v>4.896399946121428</c:v>
                </c:pt>
                <c:pt idx="117">
                  <c:v>4.7040384762837748</c:v>
                </c:pt>
                <c:pt idx="118">
                  <c:v>4.7478938244134978</c:v>
                </c:pt>
                <c:pt idx="119">
                  <c:v>4.7956917969896518</c:v>
                </c:pt>
                <c:pt idx="120">
                  <c:v>4.8450991871710318</c:v>
                </c:pt>
                <c:pt idx="121">
                  <c:v>4.9491574797445885</c:v>
                </c:pt>
                <c:pt idx="122">
                  <c:v>4.9048497326154274</c:v>
                </c:pt>
                <c:pt idx="123">
                  <c:v>4.8327261818475638</c:v>
                </c:pt>
                <c:pt idx="124">
                  <c:v>4.626351793496065</c:v>
                </c:pt>
                <c:pt idx="125">
                  <c:v>4.4960621553256628</c:v>
                </c:pt>
                <c:pt idx="126">
                  <c:v>4.3243267051739158</c:v>
                </c:pt>
                <c:pt idx="127">
                  <c:v>4.225113200069833</c:v>
                </c:pt>
                <c:pt idx="128">
                  <c:v>4.1452320212772849</c:v>
                </c:pt>
                <c:pt idx="129">
                  <c:v>3.9008573614003428</c:v>
                </c:pt>
                <c:pt idx="130">
                  <c:v>3.7001331444606622</c:v>
                </c:pt>
                <c:pt idx="131">
                  <c:v>3.7189879850623115</c:v>
                </c:pt>
                <c:pt idx="132">
                  <c:v>3.6940324860046641</c:v>
                </c:pt>
                <c:pt idx="133">
                  <c:v>3.6872847615328928</c:v>
                </c:pt>
                <c:pt idx="134">
                  <c:v>3.5926706669103226</c:v>
                </c:pt>
                <c:pt idx="135">
                  <c:v>3.6378912164257176</c:v>
                </c:pt>
                <c:pt idx="136">
                  <c:v>3.6414532163026938</c:v>
                </c:pt>
                <c:pt idx="137">
                  <c:v>3.6283822763214917</c:v>
                </c:pt>
                <c:pt idx="138">
                  <c:v>3.60422766425244</c:v>
                </c:pt>
                <c:pt idx="139">
                  <c:v>3.6492836648371476</c:v>
                </c:pt>
                <c:pt idx="140">
                  <c:v>3.5583711462958476</c:v>
                </c:pt>
                <c:pt idx="141">
                  <c:v>3.7816822032604827</c:v>
                </c:pt>
                <c:pt idx="142">
                  <c:v>3.7416397848555354</c:v>
                </c:pt>
                <c:pt idx="143">
                  <c:v>3.7169746286009109</c:v>
                </c:pt>
                <c:pt idx="144">
                  <c:v>3.6257828133946166</c:v>
                </c:pt>
                <c:pt idx="145">
                  <c:v>3.6406529749812364</c:v>
                </c:pt>
                <c:pt idx="146">
                  <c:v>3.6377886379533457</c:v>
                </c:pt>
                <c:pt idx="147">
                  <c:v>3.7284330721464332</c:v>
                </c:pt>
                <c:pt idx="148">
                  <c:v>3.6380265636959224</c:v>
                </c:pt>
                <c:pt idx="149">
                  <c:v>3.5537579923622067</c:v>
                </c:pt>
                <c:pt idx="150">
                  <c:v>3.509918365929515</c:v>
                </c:pt>
                <c:pt idx="151">
                  <c:v>3.564393581591327</c:v>
                </c:pt>
                <c:pt idx="152">
                  <c:v>3.5059473833730292</c:v>
                </c:pt>
                <c:pt idx="153">
                  <c:v>3.598281490808529</c:v>
                </c:pt>
                <c:pt idx="154">
                  <c:v>3.9357101255393165</c:v>
                </c:pt>
                <c:pt idx="155">
                  <c:v>3.806631755056848</c:v>
                </c:pt>
                <c:pt idx="156">
                  <c:v>3.7691795637214343</c:v>
                </c:pt>
                <c:pt idx="157">
                  <c:v>3.7794944538024566</c:v>
                </c:pt>
                <c:pt idx="158">
                  <c:v>3.8676322662943812</c:v>
                </c:pt>
                <c:pt idx="159">
                  <c:v>3.8307340537165544</c:v>
                </c:pt>
                <c:pt idx="160">
                  <c:v>3.8083742254525612</c:v>
                </c:pt>
                <c:pt idx="161">
                  <c:v>3.8340000000000032</c:v>
                </c:pt>
                <c:pt idx="162">
                  <c:v>3.7689600905269542</c:v>
                </c:pt>
                <c:pt idx="163">
                  <c:v>3.7839724729466879</c:v>
                </c:pt>
                <c:pt idx="164">
                  <c:v>3.7817928425663299</c:v>
                </c:pt>
                <c:pt idx="165">
                  <c:v>3.7183882347095838</c:v>
                </c:pt>
                <c:pt idx="166">
                  <c:v>3.6764049402311283</c:v>
                </c:pt>
                <c:pt idx="167">
                  <c:v>3.6914813493479151</c:v>
                </c:pt>
                <c:pt idx="168">
                  <c:v>3.6567393003036597</c:v>
                </c:pt>
                <c:pt idx="169">
                  <c:v>3.6491658343140236</c:v>
                </c:pt>
                <c:pt idx="170">
                  <c:v>3.5895062336281049</c:v>
                </c:pt>
                <c:pt idx="171">
                  <c:v>3.5997205247050266</c:v>
                </c:pt>
                <c:pt idx="172">
                  <c:v>3.7255904505319482</c:v>
                </c:pt>
                <c:pt idx="173">
                  <c:v>3.7263910158244067</c:v>
                </c:pt>
                <c:pt idx="174">
                  <c:v>3.6855710480965023</c:v>
                </c:pt>
                <c:pt idx="175">
                  <c:v>3.6268569194683473</c:v>
                </c:pt>
                <c:pt idx="176">
                  <c:v>3.6028213808376321</c:v>
                </c:pt>
                <c:pt idx="177">
                  <c:v>3.6045163615817035</c:v>
                </c:pt>
                <c:pt idx="178">
                  <c:v>3.4020338456761374</c:v>
                </c:pt>
                <c:pt idx="179">
                  <c:v>3.6057109025438834</c:v>
                </c:pt>
                <c:pt idx="180">
                  <c:v>3.7614545454545505</c:v>
                </c:pt>
                <c:pt idx="181">
                  <c:v>3.5250013876223387</c:v>
                </c:pt>
                <c:pt idx="182">
                  <c:v>3.659738605186095</c:v>
                </c:pt>
                <c:pt idx="183">
                  <c:v>3.7594346533181571</c:v>
                </c:pt>
                <c:pt idx="184">
                  <c:v>3.8425489491590819</c:v>
                </c:pt>
                <c:pt idx="185">
                  <c:v>3.858184029893867</c:v>
                </c:pt>
                <c:pt idx="186">
                  <c:v>3.9284069886773598</c:v>
                </c:pt>
                <c:pt idx="187">
                  <c:v>4.0085810875560952</c:v>
                </c:pt>
                <c:pt idx="188">
                  <c:v>3.985434789552432</c:v>
                </c:pt>
                <c:pt idx="189">
                  <c:v>3.9869639891930237</c:v>
                </c:pt>
                <c:pt idx="190">
                  <c:v>4.0038638007482525</c:v>
                </c:pt>
                <c:pt idx="191">
                  <c:v>3.9551742982615523</c:v>
                </c:pt>
                <c:pt idx="192">
                  <c:v>3.6806887946334848</c:v>
                </c:pt>
                <c:pt idx="193">
                  <c:v>3.6441282754343662</c:v>
                </c:pt>
                <c:pt idx="194">
                  <c:v>3.8063059449952892</c:v>
                </c:pt>
                <c:pt idx="195">
                  <c:v>3.8009539755122201</c:v>
                </c:pt>
                <c:pt idx="196">
                  <c:v>3.8343803459062813</c:v>
                </c:pt>
                <c:pt idx="197">
                  <c:v>3.8403499970661676</c:v>
                </c:pt>
                <c:pt idx="198">
                  <c:v>3.8433110627809506</c:v>
                </c:pt>
                <c:pt idx="199">
                  <c:v>3.8941881578029052</c:v>
                </c:pt>
                <c:pt idx="200">
                  <c:v>4.0915417712531523</c:v>
                </c:pt>
                <c:pt idx="201">
                  <c:v>4.1541554811046559</c:v>
                </c:pt>
                <c:pt idx="202">
                  <c:v>4.1336789805934631</c:v>
                </c:pt>
                <c:pt idx="203">
                  <c:v>4.1303004832031229</c:v>
                </c:pt>
                <c:pt idx="204">
                  <c:v>4.2210262645321626</c:v>
                </c:pt>
                <c:pt idx="205">
                  <c:v>4.514189759892246</c:v>
                </c:pt>
                <c:pt idx="206">
                  <c:v>4.5762652187977055</c:v>
                </c:pt>
                <c:pt idx="207">
                  <c:v>4.5804625467541191</c:v>
                </c:pt>
                <c:pt idx="208">
                  <c:v>4.6418025650333057</c:v>
                </c:pt>
                <c:pt idx="209">
                  <c:v>4.6799779264850656</c:v>
                </c:pt>
                <c:pt idx="210">
                  <c:v>4.7840050996555545</c:v>
                </c:pt>
                <c:pt idx="211">
                  <c:v>4.7682683239604051</c:v>
                </c:pt>
                <c:pt idx="212">
                  <c:v>4.9175124157183596</c:v>
                </c:pt>
                <c:pt idx="213">
                  <c:v>4.9305342421115048</c:v>
                </c:pt>
                <c:pt idx="214">
                  <c:v>5.1239683570276924</c:v>
                </c:pt>
                <c:pt idx="215">
                  <c:v>5.2583505912886368</c:v>
                </c:pt>
                <c:pt idx="216">
                  <c:v>5.5328294224899803</c:v>
                </c:pt>
              </c:numCache>
            </c:numRef>
          </c:val>
          <c:smooth val="0"/>
          <c:extLst>
            <c:ext xmlns:c16="http://schemas.microsoft.com/office/drawing/2014/chart" uri="{C3380CC4-5D6E-409C-BE32-E72D297353CC}">
              <c16:uniqueId val="{00000003-9788-4AFF-8121-D2084B6C03B9}"/>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4457638813952E-4"/>
                  <c:y val="-2.13797732877078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88-4AFF-8121-D2084B6C03B9}"/>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2018'!$A$169:$B$385</c:f>
              <c:multiLvlStrCache>
                <c:ptCount val="217"/>
                <c:lvl>
                  <c:pt idx="0">
                    <c:v>1qNov</c:v>
                  </c:pt>
                  <c:pt idx="1">
                    <c:v>2qNov</c:v>
                  </c:pt>
                  <c:pt idx="2">
                    <c:v>1qDic</c:v>
                  </c:pt>
                  <c:pt idx="3">
                    <c:v>2qDic</c:v>
                  </c:pt>
                  <c:pt idx="4">
                    <c:v>1qEne</c:v>
                  </c:pt>
                  <c:pt idx="5">
                    <c:v>2qEne</c:v>
                  </c:pt>
                  <c:pt idx="6">
                    <c:v>1qFeb</c:v>
                  </c:pt>
                  <c:pt idx="7">
                    <c:v>2qFeb</c:v>
                  </c:pt>
                  <c:pt idx="8">
                    <c:v>1qMar</c:v>
                  </c:pt>
                  <c:pt idx="9">
                    <c:v>2qMar</c:v>
                  </c:pt>
                  <c:pt idx="10">
                    <c:v>1qAbr</c:v>
                  </c:pt>
                  <c:pt idx="11">
                    <c:v>2qAbr</c:v>
                  </c:pt>
                  <c:pt idx="12">
                    <c:v>1qMay</c:v>
                  </c:pt>
                  <c:pt idx="13">
                    <c:v>2qMay</c:v>
                  </c:pt>
                  <c:pt idx="14">
                    <c:v>1qJun</c:v>
                  </c:pt>
                  <c:pt idx="15">
                    <c:v>2qJun</c:v>
                  </c:pt>
                  <c:pt idx="16">
                    <c:v>1qJul</c:v>
                  </c:pt>
                  <c:pt idx="17">
                    <c:v>2qJul</c:v>
                  </c:pt>
                  <c:pt idx="18">
                    <c:v>1qAgo</c:v>
                  </c:pt>
                  <c:pt idx="19">
                    <c:v>2qAgo</c:v>
                  </c:pt>
                  <c:pt idx="20">
                    <c:v>1qSep</c:v>
                  </c:pt>
                  <c:pt idx="21">
                    <c:v>2qSep</c:v>
                  </c:pt>
                  <c:pt idx="22">
                    <c:v>1qOct</c:v>
                  </c:pt>
                  <c:pt idx="23">
                    <c:v>2qOct</c:v>
                  </c:pt>
                  <c:pt idx="24">
                    <c:v>1qNov</c:v>
                  </c:pt>
                  <c:pt idx="25">
                    <c:v>2qNov</c:v>
                  </c:pt>
                  <c:pt idx="26">
                    <c:v>1qDic</c:v>
                  </c:pt>
                  <c:pt idx="27">
                    <c:v>2qDic</c:v>
                  </c:pt>
                  <c:pt idx="28">
                    <c:v>1qEne</c:v>
                  </c:pt>
                  <c:pt idx="29">
                    <c:v>2qEne</c:v>
                  </c:pt>
                  <c:pt idx="30">
                    <c:v>1qFeb</c:v>
                  </c:pt>
                  <c:pt idx="31">
                    <c:v>2qFeb</c:v>
                  </c:pt>
                  <c:pt idx="32">
                    <c:v>1qMar</c:v>
                  </c:pt>
                  <c:pt idx="33">
                    <c:v>2qMar</c:v>
                  </c:pt>
                  <c:pt idx="34">
                    <c:v>1qAbr</c:v>
                  </c:pt>
                  <c:pt idx="35">
                    <c:v>2qAbr</c:v>
                  </c:pt>
                  <c:pt idx="36">
                    <c:v>1qMay</c:v>
                  </c:pt>
                  <c:pt idx="37">
                    <c:v>2qMay</c:v>
                  </c:pt>
                  <c:pt idx="38">
                    <c:v>1qJun</c:v>
                  </c:pt>
                  <c:pt idx="39">
                    <c:v>2qJun</c:v>
                  </c:pt>
                  <c:pt idx="40">
                    <c:v>1qJul</c:v>
                  </c:pt>
                  <c:pt idx="41">
                    <c:v>2qJul</c:v>
                  </c:pt>
                  <c:pt idx="42">
                    <c:v>1qAgo</c:v>
                  </c:pt>
                  <c:pt idx="43">
                    <c:v>2qAgo</c:v>
                  </c:pt>
                  <c:pt idx="44">
                    <c:v>1qSep</c:v>
                  </c:pt>
                  <c:pt idx="45">
                    <c:v>2qSep</c:v>
                  </c:pt>
                  <c:pt idx="46">
                    <c:v>1qOct</c:v>
                  </c:pt>
                  <c:pt idx="47">
                    <c:v>2qOct</c:v>
                  </c:pt>
                  <c:pt idx="48">
                    <c:v>1qNov</c:v>
                  </c:pt>
                  <c:pt idx="49">
                    <c:v>2qNov</c:v>
                  </c:pt>
                  <c:pt idx="50">
                    <c:v>1qDic</c:v>
                  </c:pt>
                  <c:pt idx="51">
                    <c:v>2qDic</c:v>
                  </c:pt>
                  <c:pt idx="52">
                    <c:v>1qEne</c:v>
                  </c:pt>
                  <c:pt idx="53">
                    <c:v>2qEne</c:v>
                  </c:pt>
                  <c:pt idx="54">
                    <c:v>1qFeb</c:v>
                  </c:pt>
                  <c:pt idx="55">
                    <c:v>2qFeb</c:v>
                  </c:pt>
                  <c:pt idx="56">
                    <c:v>1qMar</c:v>
                  </c:pt>
                  <c:pt idx="57">
                    <c:v>2qMar</c:v>
                  </c:pt>
                  <c:pt idx="58">
                    <c:v>1qAbr</c:v>
                  </c:pt>
                  <c:pt idx="59">
                    <c:v>2qAbr</c:v>
                  </c:pt>
                  <c:pt idx="60">
                    <c:v>1qMay</c:v>
                  </c:pt>
                  <c:pt idx="61">
                    <c:v>2qMay</c:v>
                  </c:pt>
                  <c:pt idx="62">
                    <c:v>1qJun</c:v>
                  </c:pt>
                  <c:pt idx="63">
                    <c:v>2qJun</c:v>
                  </c:pt>
                  <c:pt idx="64">
                    <c:v>1qJul</c:v>
                  </c:pt>
                  <c:pt idx="65">
                    <c:v>2qJul</c:v>
                  </c:pt>
                  <c:pt idx="66">
                    <c:v>1qAgo</c:v>
                  </c:pt>
                  <c:pt idx="67">
                    <c:v>2qAgo</c:v>
                  </c:pt>
                  <c:pt idx="68">
                    <c:v>1qSep</c:v>
                  </c:pt>
                  <c:pt idx="69">
                    <c:v>2qSep</c:v>
                  </c:pt>
                  <c:pt idx="70">
                    <c:v>1qOct</c:v>
                  </c:pt>
                  <c:pt idx="71">
                    <c:v>2qOct</c:v>
                  </c:pt>
                  <c:pt idx="72">
                    <c:v>1qNov</c:v>
                  </c:pt>
                  <c:pt idx="73">
                    <c:v>2qNov</c:v>
                  </c:pt>
                  <c:pt idx="74">
                    <c:v>1qDic</c:v>
                  </c:pt>
                  <c:pt idx="75">
                    <c:v>2qDic</c:v>
                  </c:pt>
                  <c:pt idx="76">
                    <c:v>1qEne</c:v>
                  </c:pt>
                  <c:pt idx="77">
                    <c:v>2qEne</c:v>
                  </c:pt>
                  <c:pt idx="78">
                    <c:v>1qFeb</c:v>
                  </c:pt>
                  <c:pt idx="79">
                    <c:v>2qFeb</c:v>
                  </c:pt>
                  <c:pt idx="80">
                    <c:v>1qMar</c:v>
                  </c:pt>
                  <c:pt idx="81">
                    <c:v>2qMar</c:v>
                  </c:pt>
                  <c:pt idx="82">
                    <c:v>1qAbr</c:v>
                  </c:pt>
                  <c:pt idx="83">
                    <c:v>2qAbr</c:v>
                  </c:pt>
                  <c:pt idx="84">
                    <c:v>1qMay</c:v>
                  </c:pt>
                  <c:pt idx="85">
                    <c:v>2qMay</c:v>
                  </c:pt>
                  <c:pt idx="86">
                    <c:v>1qJun</c:v>
                  </c:pt>
                  <c:pt idx="87">
                    <c:v>2qJun</c:v>
                  </c:pt>
                  <c:pt idx="88">
                    <c:v>1qJul</c:v>
                  </c:pt>
                  <c:pt idx="89">
                    <c:v>2qJul</c:v>
                  </c:pt>
                  <c:pt idx="90">
                    <c:v>1qAgo</c:v>
                  </c:pt>
                  <c:pt idx="91">
                    <c:v>2qAgo</c:v>
                  </c:pt>
                  <c:pt idx="92">
                    <c:v>1qSep</c:v>
                  </c:pt>
                  <c:pt idx="93">
                    <c:v>2qSep</c:v>
                  </c:pt>
                  <c:pt idx="94">
                    <c:v>1qOct</c:v>
                  </c:pt>
                  <c:pt idx="95">
                    <c:v>2qOct</c:v>
                  </c:pt>
                  <c:pt idx="96">
                    <c:v>1qNov</c:v>
                  </c:pt>
                  <c:pt idx="97">
                    <c:v>2qNov</c:v>
                  </c:pt>
                  <c:pt idx="98">
                    <c:v>1qDic</c:v>
                  </c:pt>
                  <c:pt idx="99">
                    <c:v>2qDic</c:v>
                  </c:pt>
                  <c:pt idx="100">
                    <c:v>1qEne</c:v>
                  </c:pt>
                  <c:pt idx="101">
                    <c:v>2qEne</c:v>
                  </c:pt>
                  <c:pt idx="102">
                    <c:v>1qFeb</c:v>
                  </c:pt>
                  <c:pt idx="103">
                    <c:v>2qFeb</c:v>
                  </c:pt>
                  <c:pt idx="104">
                    <c:v>1qMar</c:v>
                  </c:pt>
                  <c:pt idx="105">
                    <c:v>2qMar</c:v>
                  </c:pt>
                  <c:pt idx="106">
                    <c:v>1qAbr</c:v>
                  </c:pt>
                  <c:pt idx="107">
                    <c:v>2qAbr</c:v>
                  </c:pt>
                  <c:pt idx="108">
                    <c:v>1qMay</c:v>
                  </c:pt>
                  <c:pt idx="109">
                    <c:v>2qMay</c:v>
                  </c:pt>
                  <c:pt idx="110">
                    <c:v>1qJun</c:v>
                  </c:pt>
                  <c:pt idx="111">
                    <c:v>2qJun</c:v>
                  </c:pt>
                  <c:pt idx="112">
                    <c:v>1qJul</c:v>
                  </c:pt>
                  <c:pt idx="113">
                    <c:v>2qJul</c:v>
                  </c:pt>
                  <c:pt idx="114">
                    <c:v>1qAgo</c:v>
                  </c:pt>
                  <c:pt idx="115">
                    <c:v>2qAgo</c:v>
                  </c:pt>
                  <c:pt idx="116">
                    <c:v>1qSep</c:v>
                  </c:pt>
                  <c:pt idx="117">
                    <c:v>2qSep</c:v>
                  </c:pt>
                  <c:pt idx="118">
                    <c:v>1qOct</c:v>
                  </c:pt>
                  <c:pt idx="119">
                    <c:v>2qOct</c:v>
                  </c:pt>
                  <c:pt idx="120">
                    <c:v>1qNov</c:v>
                  </c:pt>
                  <c:pt idx="121">
                    <c:v>2qNov</c:v>
                  </c:pt>
                  <c:pt idx="122">
                    <c:v>1qDic</c:v>
                  </c:pt>
                  <c:pt idx="123">
                    <c:v>2qDic</c:v>
                  </c:pt>
                  <c:pt idx="124">
                    <c:v>1qEne</c:v>
                  </c:pt>
                  <c:pt idx="125">
                    <c:v>2qEne</c:v>
                  </c:pt>
                  <c:pt idx="126">
                    <c:v>1qFeb</c:v>
                  </c:pt>
                  <c:pt idx="127">
                    <c:v>2qFeb</c:v>
                  </c:pt>
                  <c:pt idx="128">
                    <c:v>1qMar</c:v>
                  </c:pt>
                  <c:pt idx="129">
                    <c:v>2qMar</c:v>
                  </c:pt>
                  <c:pt idx="130">
                    <c:v>1qAbr</c:v>
                  </c:pt>
                  <c:pt idx="131">
                    <c:v>2qAbr</c:v>
                  </c:pt>
                  <c:pt idx="132">
                    <c:v>1qMay</c:v>
                  </c:pt>
                  <c:pt idx="133">
                    <c:v>2qMay</c:v>
                  </c:pt>
                  <c:pt idx="134">
                    <c:v>1qJun</c:v>
                  </c:pt>
                  <c:pt idx="135">
                    <c:v>2qJun</c:v>
                  </c:pt>
                  <c:pt idx="136">
                    <c:v>1qJul</c:v>
                  </c:pt>
                  <c:pt idx="137">
                    <c:v>2qJul</c:v>
                  </c:pt>
                  <c:pt idx="138">
                    <c:v>1qAgo</c:v>
                  </c:pt>
                  <c:pt idx="139">
                    <c:v>2qAgo</c:v>
                  </c:pt>
                  <c:pt idx="140">
                    <c:v>1qSep</c:v>
                  </c:pt>
                  <c:pt idx="141">
                    <c:v>2qSep</c:v>
                  </c:pt>
                  <c:pt idx="142">
                    <c:v>1qOct</c:v>
                  </c:pt>
                  <c:pt idx="143">
                    <c:v>2qOct</c:v>
                  </c:pt>
                  <c:pt idx="144">
                    <c:v>1qNov</c:v>
                  </c:pt>
                  <c:pt idx="145">
                    <c:v>2qNov</c:v>
                  </c:pt>
                  <c:pt idx="146">
                    <c:v>1qDic</c:v>
                  </c:pt>
                  <c:pt idx="147">
                    <c:v>2qDic</c:v>
                  </c:pt>
                  <c:pt idx="148">
                    <c:v>1qEne</c:v>
                  </c:pt>
                  <c:pt idx="149">
                    <c:v>2qEne</c:v>
                  </c:pt>
                  <c:pt idx="150">
                    <c:v>1qFeb</c:v>
                  </c:pt>
                  <c:pt idx="151">
                    <c:v>2qFeb</c:v>
                  </c:pt>
                  <c:pt idx="152">
                    <c:v>1qMar</c:v>
                  </c:pt>
                  <c:pt idx="153">
                    <c:v>2qMar</c:v>
                  </c:pt>
                  <c:pt idx="154">
                    <c:v>1qAbr</c:v>
                  </c:pt>
                  <c:pt idx="155">
                    <c:v>2qAbr</c:v>
                  </c:pt>
                  <c:pt idx="156">
                    <c:v>1qMay</c:v>
                  </c:pt>
                  <c:pt idx="157">
                    <c:v>2qMay</c:v>
                  </c:pt>
                  <c:pt idx="158">
                    <c:v>1qJun</c:v>
                  </c:pt>
                  <c:pt idx="159">
                    <c:v>2qJun</c:v>
                  </c:pt>
                  <c:pt idx="160">
                    <c:v>1qJul</c:v>
                  </c:pt>
                  <c:pt idx="161">
                    <c:v>2qJul</c:v>
                  </c:pt>
                  <c:pt idx="162">
                    <c:v>1qAgo</c:v>
                  </c:pt>
                  <c:pt idx="163">
                    <c:v>2qAgo</c:v>
                  </c:pt>
                  <c:pt idx="164">
                    <c:v>1qSep</c:v>
                  </c:pt>
                  <c:pt idx="165">
                    <c:v>2qSep</c:v>
                  </c:pt>
                  <c:pt idx="166">
                    <c:v>1qOct</c:v>
                  </c:pt>
                  <c:pt idx="167">
                    <c:v>2qOct</c:v>
                  </c:pt>
                  <c:pt idx="168">
                    <c:v>1qNov</c:v>
                  </c:pt>
                  <c:pt idx="169">
                    <c:v>2qNov</c:v>
                  </c:pt>
                  <c:pt idx="170">
                    <c:v>1qDic</c:v>
                  </c:pt>
                  <c:pt idx="171">
                    <c:v>2qDic</c:v>
                  </c:pt>
                  <c:pt idx="172">
                    <c:v>1qEne</c:v>
                  </c:pt>
                  <c:pt idx="173">
                    <c:v>2qEne</c:v>
                  </c:pt>
                  <c:pt idx="174">
                    <c:v>1qFeb</c:v>
                  </c:pt>
                  <c:pt idx="175">
                    <c:v>2qFeb</c:v>
                  </c:pt>
                  <c:pt idx="176">
                    <c:v>1qMar</c:v>
                  </c:pt>
                  <c:pt idx="177">
                    <c:v>2qMar</c:v>
                  </c:pt>
                  <c:pt idx="178">
                    <c:v>1qAbr</c:v>
                  </c:pt>
                  <c:pt idx="179">
                    <c:v>2qAbr</c:v>
                  </c:pt>
                  <c:pt idx="180">
                    <c:v>1qMay</c:v>
                  </c:pt>
                  <c:pt idx="181">
                    <c:v>2qMay</c:v>
                  </c:pt>
                  <c:pt idx="182">
                    <c:v>1qJun</c:v>
                  </c:pt>
                  <c:pt idx="183">
                    <c:v>2qJun</c:v>
                  </c:pt>
                  <c:pt idx="184">
                    <c:v>1qJul</c:v>
                  </c:pt>
                  <c:pt idx="185">
                    <c:v>2qJul</c:v>
                  </c:pt>
                  <c:pt idx="186">
                    <c:v>1qAgo</c:v>
                  </c:pt>
                  <c:pt idx="187">
                    <c:v>2qAgo</c:v>
                  </c:pt>
                  <c:pt idx="188">
                    <c:v>1qSep</c:v>
                  </c:pt>
                  <c:pt idx="189">
                    <c:v>2qSep</c:v>
                  </c:pt>
                  <c:pt idx="190">
                    <c:v>1qOct</c:v>
                  </c:pt>
                  <c:pt idx="191">
                    <c:v>2qOct</c:v>
                  </c:pt>
                  <c:pt idx="192">
                    <c:v>1qNov</c:v>
                  </c:pt>
                  <c:pt idx="193">
                    <c:v>2qNov</c:v>
                  </c:pt>
                  <c:pt idx="194">
                    <c:v>1qDic</c:v>
                  </c:pt>
                  <c:pt idx="195">
                    <c:v>2qDic</c:v>
                  </c:pt>
                  <c:pt idx="196">
                    <c:v>1qEne</c:v>
                  </c:pt>
                  <c:pt idx="197">
                    <c:v>2qEne</c:v>
                  </c:pt>
                  <c:pt idx="198">
                    <c:v>1qFeb</c:v>
                  </c:pt>
                  <c:pt idx="199">
                    <c:v>2qFeb</c:v>
                  </c:pt>
                  <c:pt idx="200">
                    <c:v>1qMar</c:v>
                  </c:pt>
                  <c:pt idx="201">
                    <c:v>2qMar</c:v>
                  </c:pt>
                  <c:pt idx="202">
                    <c:v>1qAbr</c:v>
                  </c:pt>
                  <c:pt idx="203">
                    <c:v>2qAbr</c:v>
                  </c:pt>
                  <c:pt idx="204">
                    <c:v>1qMay</c:v>
                  </c:pt>
                  <c:pt idx="205">
                    <c:v>2qMay</c:v>
                  </c:pt>
                  <c:pt idx="206">
                    <c:v>1qJun</c:v>
                  </c:pt>
                  <c:pt idx="207">
                    <c:v>2qJun</c:v>
                  </c:pt>
                  <c:pt idx="208">
                    <c:v>1qJul</c:v>
                  </c:pt>
                  <c:pt idx="209">
                    <c:v>2qJul</c:v>
                  </c:pt>
                  <c:pt idx="210">
                    <c:v>1qAgo</c:v>
                  </c:pt>
                  <c:pt idx="211">
                    <c:v>2qAgo</c:v>
                  </c:pt>
                  <c:pt idx="212">
                    <c:v>1qSep</c:v>
                  </c:pt>
                  <c:pt idx="213">
                    <c:v>2qSep</c:v>
                  </c:pt>
                  <c:pt idx="214">
                    <c:v>1qOct</c:v>
                  </c:pt>
                  <c:pt idx="215">
                    <c:v>2qOct</c:v>
                  </c:pt>
                  <c:pt idx="216">
                    <c:v>1qNov</c:v>
                  </c:pt>
                </c:lvl>
                <c:lvl>
                  <c:pt idx="0">
                    <c:v>2012</c:v>
                  </c:pt>
                  <c:pt idx="1">
                    <c:v>2012</c:v>
                  </c:pt>
                  <c:pt idx="2">
                    <c:v>2012</c:v>
                  </c:pt>
                  <c:pt idx="3">
                    <c:v>2012</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2018'!$J$169:$J$385</c:f>
              <c:numCache>
                <c:formatCode>0.00</c:formatCode>
                <c:ptCount val="217"/>
                <c:pt idx="0">
                  <c:v>7.2170220161045044</c:v>
                </c:pt>
                <c:pt idx="1">
                  <c:v>6.9706637062358769</c:v>
                </c:pt>
                <c:pt idx="2">
                  <c:v>6.2218573451948833</c:v>
                </c:pt>
                <c:pt idx="3">
                  <c:v>5.2682157801897365</c:v>
                </c:pt>
                <c:pt idx="4">
                  <c:v>4.608977501040858</c:v>
                </c:pt>
                <c:pt idx="5">
                  <c:v>4.3355668355780272</c:v>
                </c:pt>
                <c:pt idx="6">
                  <c:v>5.1382253293632401</c:v>
                </c:pt>
                <c:pt idx="7">
                  <c:v>5.8118619831810516</c:v>
                </c:pt>
                <c:pt idx="8">
                  <c:v>7.6078959792507632</c:v>
                </c:pt>
                <c:pt idx="9">
                  <c:v>8.974829046550866</c:v>
                </c:pt>
                <c:pt idx="10">
                  <c:v>10.4402917934479</c:v>
                </c:pt>
                <c:pt idx="11">
                  <c:v>10.201009942024438</c:v>
                </c:pt>
                <c:pt idx="12">
                  <c:v>10.907369408610769</c:v>
                </c:pt>
                <c:pt idx="13">
                  <c:v>10.207435473414865</c:v>
                </c:pt>
                <c:pt idx="14">
                  <c:v>8.9461357031676076</c:v>
                </c:pt>
                <c:pt idx="15">
                  <c:v>7.8336181790615926</c:v>
                </c:pt>
                <c:pt idx="16">
                  <c:v>6.6244275978413096</c:v>
                </c:pt>
                <c:pt idx="17">
                  <c:v>6.5849956521731121</c:v>
                </c:pt>
                <c:pt idx="18">
                  <c:v>7.3449762834321159</c:v>
                </c:pt>
                <c:pt idx="19">
                  <c:v>6.6779523560491665</c:v>
                </c:pt>
                <c:pt idx="20">
                  <c:v>6.4359410807156525</c:v>
                </c:pt>
                <c:pt idx="21">
                  <c:v>5.9553218744046132</c:v>
                </c:pt>
                <c:pt idx="22">
                  <c:v>5.8530958727509432</c:v>
                </c:pt>
                <c:pt idx="23">
                  <c:v>6.5128075430433015</c:v>
                </c:pt>
                <c:pt idx="24">
                  <c:v>7.0118965034908376</c:v>
                </c:pt>
                <c:pt idx="25">
                  <c:v>7.0221263361673998</c:v>
                </c:pt>
                <c:pt idx="26">
                  <c:v>7.4370205211353877</c:v>
                </c:pt>
                <c:pt idx="27">
                  <c:v>8.2465287880433564</c:v>
                </c:pt>
                <c:pt idx="28">
                  <c:v>8.8367983932548242</c:v>
                </c:pt>
                <c:pt idx="29">
                  <c:v>8.3284321874428038</c:v>
                </c:pt>
                <c:pt idx="30">
                  <c:v>8.2233548225420758</c:v>
                </c:pt>
                <c:pt idx="31">
                  <c:v>8.3413815433276302</c:v>
                </c:pt>
                <c:pt idx="32">
                  <c:v>7.2884436711685847</c:v>
                </c:pt>
                <c:pt idx="33">
                  <c:v>5.7915782414892245</c:v>
                </c:pt>
                <c:pt idx="34">
                  <c:v>4.6968785523998315</c:v>
                </c:pt>
                <c:pt idx="35">
                  <c:v>4.798318686234242</c:v>
                </c:pt>
                <c:pt idx="36">
                  <c:v>5.020625205263511</c:v>
                </c:pt>
                <c:pt idx="37">
                  <c:v>5.3523730112123085</c:v>
                </c:pt>
                <c:pt idx="38">
                  <c:v>5.781514877854991</c:v>
                </c:pt>
                <c:pt idx="39">
                  <c:v>6.1425421142468783</c:v>
                </c:pt>
                <c:pt idx="40">
                  <c:v>6.6760329205397984</c:v>
                </c:pt>
                <c:pt idx="41">
                  <c:v>6.9782029697425152</c:v>
                </c:pt>
                <c:pt idx="42">
                  <c:v>6.4950635503201806</c:v>
                </c:pt>
                <c:pt idx="43">
                  <c:v>6.9409184628710738</c:v>
                </c:pt>
                <c:pt idx="44">
                  <c:v>7.0922003284502013</c:v>
                </c:pt>
                <c:pt idx="45">
                  <c:v>7.1317297538828734</c:v>
                </c:pt>
                <c:pt idx="46">
                  <c:v>7.5886496453235548</c:v>
                </c:pt>
                <c:pt idx="47">
                  <c:v>7.4237251066789662</c:v>
                </c:pt>
                <c:pt idx="48">
                  <c:v>6.7872551782769337</c:v>
                </c:pt>
                <c:pt idx="49">
                  <c:v>6.7653961950898802</c:v>
                </c:pt>
                <c:pt idx="50">
                  <c:v>7.1142206408702933</c:v>
                </c:pt>
                <c:pt idx="51">
                  <c:v>6.2883677473259407</c:v>
                </c:pt>
                <c:pt idx="52">
                  <c:v>5.1238236673489137</c:v>
                </c:pt>
                <c:pt idx="53">
                  <c:v>5.553502053315559</c:v>
                </c:pt>
                <c:pt idx="54">
                  <c:v>4.9759722534293189</c:v>
                </c:pt>
                <c:pt idx="55">
                  <c:v>4.7923307780056659</c:v>
                </c:pt>
                <c:pt idx="56">
                  <c:v>4.6877848019337964</c:v>
                </c:pt>
                <c:pt idx="57">
                  <c:v>5.8982881785546351</c:v>
                </c:pt>
                <c:pt idx="58">
                  <c:v>5.5662086749607775</c:v>
                </c:pt>
                <c:pt idx="59">
                  <c:v>5.3604930577271457</c:v>
                </c:pt>
                <c:pt idx="60">
                  <c:v>4.7646302304178798</c:v>
                </c:pt>
                <c:pt idx="61">
                  <c:v>4.5218429460487961</c:v>
                </c:pt>
                <c:pt idx="62">
                  <c:v>4.7150900692212332</c:v>
                </c:pt>
                <c:pt idx="63">
                  <c:v>4.5522452292606204</c:v>
                </c:pt>
                <c:pt idx="64">
                  <c:v>4.2340596225878899</c:v>
                </c:pt>
                <c:pt idx="65">
                  <c:v>4.0145974849363251</c:v>
                </c:pt>
                <c:pt idx="66">
                  <c:v>3.7730940060574425</c:v>
                </c:pt>
                <c:pt idx="67">
                  <c:v>3.253707279534702</c:v>
                </c:pt>
                <c:pt idx="68">
                  <c:v>3.1284345527310906</c:v>
                </c:pt>
                <c:pt idx="69">
                  <c:v>2.799376312718608</c:v>
                </c:pt>
                <c:pt idx="70">
                  <c:v>2.5182673831467639</c:v>
                </c:pt>
                <c:pt idx="71">
                  <c:v>2.5316811331532789</c:v>
                </c:pt>
                <c:pt idx="72">
                  <c:v>2.0256458057087765</c:v>
                </c:pt>
                <c:pt idx="73">
                  <c:v>1.6607444895850163</c:v>
                </c:pt>
                <c:pt idx="74">
                  <c:v>0.82695210466758939</c:v>
                </c:pt>
                <c:pt idx="75">
                  <c:v>1.724262703140605</c:v>
                </c:pt>
                <c:pt idx="76">
                  <c:v>2.076840265880878</c:v>
                </c:pt>
                <c:pt idx="77">
                  <c:v>2.9670720466403915</c:v>
                </c:pt>
                <c:pt idx="78">
                  <c:v>3.8869802894417953</c:v>
                </c:pt>
                <c:pt idx="79">
                  <c:v>3.1013903780819594</c:v>
                </c:pt>
                <c:pt idx="80">
                  <c:v>2.2772829941737354</c:v>
                </c:pt>
                <c:pt idx="81">
                  <c:v>1.9572208365234951</c:v>
                </c:pt>
                <c:pt idx="82">
                  <c:v>2.0115736658447148</c:v>
                </c:pt>
                <c:pt idx="83">
                  <c:v>1.3069599469632531</c:v>
                </c:pt>
                <c:pt idx="84">
                  <c:v>1.3202540826712859</c:v>
                </c:pt>
                <c:pt idx="85">
                  <c:v>1.7754334846294024</c:v>
                </c:pt>
                <c:pt idx="86">
                  <c:v>1.1875054186072642</c:v>
                </c:pt>
                <c:pt idx="87">
                  <c:v>1.1236102759206998</c:v>
                </c:pt>
                <c:pt idx="88">
                  <c:v>1.8570672629971363</c:v>
                </c:pt>
                <c:pt idx="89">
                  <c:v>1.435473434493211</c:v>
                </c:pt>
                <c:pt idx="90">
                  <c:v>2.2551891944160936</c:v>
                </c:pt>
                <c:pt idx="91">
                  <c:v>1.7205237390155139</c:v>
                </c:pt>
                <c:pt idx="92">
                  <c:v>2.3568244434462002</c:v>
                </c:pt>
                <c:pt idx="93">
                  <c:v>2.9494501849673669</c:v>
                </c:pt>
                <c:pt idx="94">
                  <c:v>3.0509461123777619</c:v>
                </c:pt>
                <c:pt idx="95">
                  <c:v>2.8557463161235983</c:v>
                </c:pt>
                <c:pt idx="96">
                  <c:v>3.1799022420404248</c:v>
                </c:pt>
                <c:pt idx="97">
                  <c:v>3.5033422442723645</c:v>
                </c:pt>
                <c:pt idx="98">
                  <c:v>3.5487290477032336</c:v>
                </c:pt>
                <c:pt idx="99">
                  <c:v>2.7088446842934264</c:v>
                </c:pt>
                <c:pt idx="100">
                  <c:v>8.0155759671578775</c:v>
                </c:pt>
                <c:pt idx="101">
                  <c:v>6.7889227299709018</c:v>
                </c:pt>
                <c:pt idx="102">
                  <c:v>6.2468428455855101</c:v>
                </c:pt>
                <c:pt idx="103">
                  <c:v>7.1735536812742309</c:v>
                </c:pt>
                <c:pt idx="104">
                  <c:v>8.2400694123811249</c:v>
                </c:pt>
                <c:pt idx="105">
                  <c:v>7.8091062118025887</c:v>
                </c:pt>
                <c:pt idx="106">
                  <c:v>8.3192674122531542</c:v>
                </c:pt>
                <c:pt idx="107">
                  <c:v>10.188536743829049</c:v>
                </c:pt>
                <c:pt idx="108">
                  <c:v>10.713444255762218</c:v>
                </c:pt>
                <c:pt idx="109">
                  <c:v>10.494054509718536</c:v>
                </c:pt>
                <c:pt idx="110">
                  <c:v>11.068084455061635</c:v>
                </c:pt>
                <c:pt idx="111">
                  <c:v>11.116193236681299</c:v>
                </c:pt>
                <c:pt idx="112">
                  <c:v>10.654814832773308</c:v>
                </c:pt>
                <c:pt idx="113">
                  <c:v>11.890453651150397</c:v>
                </c:pt>
                <c:pt idx="114">
                  <c:v>11.59946520094484</c:v>
                </c:pt>
                <c:pt idx="115">
                  <c:v>12.370504117360422</c:v>
                </c:pt>
                <c:pt idx="116">
                  <c:v>11.732885573617841</c:v>
                </c:pt>
                <c:pt idx="117">
                  <c:v>10.826978305481262</c:v>
                </c:pt>
                <c:pt idx="118">
                  <c:v>11.175643401945399</c:v>
                </c:pt>
                <c:pt idx="119">
                  <c:v>11.627961590016657</c:v>
                </c:pt>
                <c:pt idx="120">
                  <c:v>11.979095541609256</c:v>
                </c:pt>
                <c:pt idx="121">
                  <c:v>11.966928586012539</c:v>
                </c:pt>
                <c:pt idx="122">
                  <c:v>12.19819985820498</c:v>
                </c:pt>
                <c:pt idx="123">
                  <c:v>13.042548535754021</c:v>
                </c:pt>
                <c:pt idx="124">
                  <c:v>8.0957142470216468</c:v>
                </c:pt>
                <c:pt idx="125">
                  <c:v>8.784029546271972</c:v>
                </c:pt>
                <c:pt idx="126">
                  <c:v>8.7699585650103895</c:v>
                </c:pt>
                <c:pt idx="127">
                  <c:v>8.2133204175087577</c:v>
                </c:pt>
                <c:pt idx="128">
                  <c:v>8.2109095942744847</c:v>
                </c:pt>
                <c:pt idx="129">
                  <c:v>7.8437064030363404</c:v>
                </c:pt>
                <c:pt idx="130">
                  <c:v>7.674493162831669</c:v>
                </c:pt>
                <c:pt idx="131">
                  <c:v>6.4732617723916475</c:v>
                </c:pt>
                <c:pt idx="132">
                  <c:v>6.7861034921774976</c:v>
                </c:pt>
                <c:pt idx="133">
                  <c:v>7.1894470826787513</c:v>
                </c:pt>
                <c:pt idx="134">
                  <c:v>7.4080464156303885</c:v>
                </c:pt>
                <c:pt idx="135">
                  <c:v>8.1759578507468582</c:v>
                </c:pt>
                <c:pt idx="136">
                  <c:v>8.5244469707804758</c:v>
                </c:pt>
                <c:pt idx="137">
                  <c:v>8.2396443389400353</c:v>
                </c:pt>
                <c:pt idx="138">
                  <c:v>8.4778777874222051</c:v>
                </c:pt>
                <c:pt idx="139">
                  <c:v>9.1250834094069031</c:v>
                </c:pt>
                <c:pt idx="140">
                  <c:v>8.9014621740238677</c:v>
                </c:pt>
                <c:pt idx="141">
                  <c:v>9.4001712302329175</c:v>
                </c:pt>
                <c:pt idx="142">
                  <c:v>8.5833746080847018</c:v>
                </c:pt>
                <c:pt idx="143">
                  <c:v>8.4149503244663659</c:v>
                </c:pt>
                <c:pt idx="144">
                  <c:v>7.4587754195543852</c:v>
                </c:pt>
                <c:pt idx="145">
                  <c:v>8.6855000983297579</c:v>
                </c:pt>
                <c:pt idx="146">
                  <c:v>9.2345283540430856</c:v>
                </c:pt>
                <c:pt idx="147">
                  <c:v>7.5711178493052351</c:v>
                </c:pt>
                <c:pt idx="148">
                  <c:v>7.3124385579132483</c:v>
                </c:pt>
                <c:pt idx="149">
                  <c:v>6.3061753519809374</c:v>
                </c:pt>
                <c:pt idx="150">
                  <c:v>5.1471540749467239</c:v>
                </c:pt>
                <c:pt idx="151">
                  <c:v>5.3588076577166346</c:v>
                </c:pt>
                <c:pt idx="152">
                  <c:v>5.3893710249035962</c:v>
                </c:pt>
                <c:pt idx="153">
                  <c:v>5.5437019338347788</c:v>
                </c:pt>
                <c:pt idx="154">
                  <c:v>5.7707492934085547</c:v>
                </c:pt>
                <c:pt idx="155">
                  <c:v>6.3945344975361236</c:v>
                </c:pt>
                <c:pt idx="156">
                  <c:v>6.4150072664465689</c:v>
                </c:pt>
                <c:pt idx="157">
                  <c:v>5.1485634676002903</c:v>
                </c:pt>
                <c:pt idx="158">
                  <c:v>4.3393156770757928</c:v>
                </c:pt>
                <c:pt idx="159">
                  <c:v>4.037491372769324</c:v>
                </c:pt>
                <c:pt idx="160">
                  <c:v>3.920254162049539</c:v>
                </c:pt>
                <c:pt idx="161">
                  <c:v>3.3700000000000041</c:v>
                </c:pt>
                <c:pt idx="162">
                  <c:v>1.8069870764384564</c:v>
                </c:pt>
                <c:pt idx="163">
                  <c:v>0.76325379907859547</c:v>
                </c:pt>
                <c:pt idx="164">
                  <c:v>0.56789253123408745</c:v>
                </c:pt>
                <c:pt idx="165">
                  <c:v>0.84506489941570395</c:v>
                </c:pt>
                <c:pt idx="166">
                  <c:v>0.98524078276217042</c:v>
                </c:pt>
                <c:pt idx="167">
                  <c:v>1.0409411036297576</c:v>
                </c:pt>
                <c:pt idx="168">
                  <c:v>1.4517936155263074</c:v>
                </c:pt>
                <c:pt idx="169">
                  <c:v>0.50817105300167975</c:v>
                </c:pt>
                <c:pt idx="170">
                  <c:v>-0.15228473531241721</c:v>
                </c:pt>
                <c:pt idx="171">
                  <c:v>1.3325873082482418</c:v>
                </c:pt>
                <c:pt idx="172">
                  <c:v>1.6008786217551949</c:v>
                </c:pt>
                <c:pt idx="173">
                  <c:v>2.012004712129996</c:v>
                </c:pt>
                <c:pt idx="174">
                  <c:v>3.0312774872081154</c:v>
                </c:pt>
                <c:pt idx="175">
                  <c:v>4.5964072536017415</c:v>
                </c:pt>
                <c:pt idx="176">
                  <c:v>4.0373138543215932</c:v>
                </c:pt>
                <c:pt idx="177">
                  <c:v>0.34719281903632798</c:v>
                </c:pt>
                <c:pt idx="178">
                  <c:v>-1.930833261820982</c:v>
                </c:pt>
                <c:pt idx="179">
                  <c:v>-1.9980466772494827</c:v>
                </c:pt>
                <c:pt idx="180">
                  <c:v>-5.7393011472736191E-2</c:v>
                </c:pt>
                <c:pt idx="181">
                  <c:v>0.76048900522543172</c:v>
                </c:pt>
                <c:pt idx="182">
                  <c:v>1.6331513149342729</c:v>
                </c:pt>
                <c:pt idx="183">
                  <c:v>2.6874230090821523</c:v>
                </c:pt>
                <c:pt idx="184">
                  <c:v>2.787655826092013</c:v>
                </c:pt>
                <c:pt idx="185">
                  <c:v>3.0465607132630317</c:v>
                </c:pt>
                <c:pt idx="186">
                  <c:v>4.1843838910259485</c:v>
                </c:pt>
                <c:pt idx="187">
                  <c:v>4.4180932242781061</c:v>
                </c:pt>
                <c:pt idx="188">
                  <c:v>4.4425939324519019</c:v>
                </c:pt>
                <c:pt idx="189">
                  <c:v>3.7586638561818293</c:v>
                </c:pt>
                <c:pt idx="190">
                  <c:v>4.3403733451765829</c:v>
                </c:pt>
                <c:pt idx="191">
                  <c:v>4.4997493100608947</c:v>
                </c:pt>
                <c:pt idx="192">
                  <c:v>2.6666806586988949</c:v>
                </c:pt>
                <c:pt idx="193">
                  <c:v>1.993183644063844</c:v>
                </c:pt>
                <c:pt idx="194">
                  <c:v>1.4456611454584429</c:v>
                </c:pt>
                <c:pt idx="195">
                  <c:v>0.92548698474195523</c:v>
                </c:pt>
                <c:pt idx="196">
                  <c:v>1.8426776370681801</c:v>
                </c:pt>
                <c:pt idx="197">
                  <c:v>3.4184266440289588</c:v>
                </c:pt>
                <c:pt idx="198">
                  <c:v>3.848367960362034</c:v>
                </c:pt>
                <c:pt idx="199">
                  <c:v>3.0274489023441742</c:v>
                </c:pt>
                <c:pt idx="200">
                  <c:v>4.186290297042242</c:v>
                </c:pt>
                <c:pt idx="201">
                  <c:v>8.5179516897327598</c:v>
                </c:pt>
                <c:pt idx="202">
                  <c:v>12.205980881655186</c:v>
                </c:pt>
                <c:pt idx="203">
                  <c:v>12.467228886585106</c:v>
                </c:pt>
                <c:pt idx="204">
                  <c:v>10.829272756103951</c:v>
                </c:pt>
                <c:pt idx="205">
                  <c:v>10.69282858164269</c:v>
                </c:pt>
                <c:pt idx="206">
                  <c:v>10.606168428546892</c:v>
                </c:pt>
                <c:pt idx="207">
                  <c:v>9.3954493360536961</c:v>
                </c:pt>
                <c:pt idx="208">
                  <c:v>9.2354738674274106</c:v>
                </c:pt>
                <c:pt idx="209">
                  <c:v>9.5520500935988384</c:v>
                </c:pt>
                <c:pt idx="210">
                  <c:v>8.0754583330724294</c:v>
                </c:pt>
                <c:pt idx="211">
                  <c:v>8.2037242236645724</c:v>
                </c:pt>
                <c:pt idx="212">
                  <c:v>8.8565985490027401</c:v>
                </c:pt>
                <c:pt idx="213">
                  <c:v>9.8869828720812016</c:v>
                </c:pt>
                <c:pt idx="214">
                  <c:v>9.2105726524141787</c:v>
                </c:pt>
                <c:pt idx="215">
                  <c:v>9.7342128422913365</c:v>
                </c:pt>
                <c:pt idx="216">
                  <c:v>11.677454408481875</c:v>
                </c:pt>
              </c:numCache>
            </c:numRef>
          </c:val>
          <c:smooth val="0"/>
          <c:extLst>
            <c:ext xmlns:c16="http://schemas.microsoft.com/office/drawing/2014/chart" uri="{C3380CC4-5D6E-409C-BE32-E72D297353CC}">
              <c16:uniqueId val="{00000005-9788-4AFF-8121-D2084B6C03B9}"/>
            </c:ext>
          </c:extLst>
        </c:ser>
        <c:dLbls>
          <c:showLegendKey val="0"/>
          <c:showVal val="0"/>
          <c:showCatName val="0"/>
          <c:showSerName val="0"/>
          <c:showPercent val="0"/>
          <c:showBubbleSize val="0"/>
        </c:dLbls>
        <c:smooth val="0"/>
        <c:axId val="792960912"/>
        <c:axId val="792957384"/>
      </c:lineChart>
      <c:catAx>
        <c:axId val="792960912"/>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57384"/>
        <c:crosses val="autoZero"/>
        <c:auto val="0"/>
        <c:lblAlgn val="ctr"/>
        <c:lblOffset val="100"/>
        <c:tickLblSkip val="24"/>
        <c:tickMarkSkip val="24"/>
        <c:noMultiLvlLbl val="1"/>
      </c:catAx>
      <c:valAx>
        <c:axId val="792957384"/>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60912"/>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22D7-DBF1-4AC5-873D-AFE501D3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17</TotalTime>
  <Pages>12</Pages>
  <Words>2434</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INDICE NACIONAL DE PRECIOS AL CONSUMIDOR</vt:lpstr>
    </vt:vector>
  </TitlesOfParts>
  <Company>INEGI</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31</cp:revision>
  <cp:lastPrinted>2021-01-19T21:18:00Z</cp:lastPrinted>
  <dcterms:created xsi:type="dcterms:W3CDTF">2021-11-22T21:29:00Z</dcterms:created>
  <dcterms:modified xsi:type="dcterms:W3CDTF">2021-11-23T23:48:00Z</dcterms:modified>
  <cp:category>INDICES DE PRECIOS</cp:category>
  <cp:version>1</cp:version>
</cp:coreProperties>
</file>