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D6380" w14:textId="7B408BD0" w:rsidR="00F23558" w:rsidRDefault="00F23558" w:rsidP="00D94381">
      <w:pPr>
        <w:pStyle w:val="Profesin"/>
      </w:pPr>
      <w:r>
        <w:rPr>
          <w:noProof/>
          <w:sz w:val="20"/>
          <w:lang w:val="es-MX" w:eastAsia="es-MX"/>
        </w:rPr>
        <mc:AlternateContent>
          <mc:Choice Requires="wps">
            <w:drawing>
              <wp:anchor distT="45720" distB="45720" distL="114300" distR="114300" simplePos="0" relativeHeight="251659264" behindDoc="0" locked="0" layoutInCell="1" allowOverlap="1" wp14:anchorId="7A5CBBC9" wp14:editId="58956D79">
                <wp:simplePos x="0" y="0"/>
                <wp:positionH relativeFrom="column">
                  <wp:posOffset>3185795</wp:posOffset>
                </wp:positionH>
                <wp:positionV relativeFrom="paragraph">
                  <wp:posOffset>0</wp:posOffset>
                </wp:positionV>
                <wp:extent cx="297942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266700"/>
                        </a:xfrm>
                        <a:prstGeom prst="rect">
                          <a:avLst/>
                        </a:prstGeom>
                        <a:solidFill>
                          <a:srgbClr val="FFFFFF"/>
                        </a:solidFill>
                        <a:ln w="9525">
                          <a:noFill/>
                          <a:miter lim="800000"/>
                          <a:headEnd/>
                          <a:tailEnd/>
                        </a:ln>
                      </wps:spPr>
                      <wps:txbx>
                        <w:txbxContent>
                          <w:p w14:paraId="0B33E7E2" w14:textId="46265A36" w:rsidR="00F23558" w:rsidRPr="00265B8C" w:rsidRDefault="00F23558" w:rsidP="00F2355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w:t>
                            </w:r>
                            <w:r w:rsidR="00E268A4">
                              <w:rPr>
                                <w:b/>
                                <w:color w:val="FFFFFF" w:themeColor="background1"/>
                                <w:shd w:val="clear" w:color="auto" w:fill="365F91" w:themeFill="accent1" w:themeFillShade="BF"/>
                                <w:lang w:val="pt-BR"/>
                              </w:rPr>
                              <w:t xml:space="preserve">9 de </w:t>
                            </w:r>
                            <w:proofErr w:type="spellStart"/>
                            <w:r w:rsidR="00E268A4">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CBBC9" id="_x0000_t202" coordsize="21600,21600" o:spt="202" path="m,l,21600r21600,l21600,xe">
                <v:stroke joinstyle="miter"/>
                <v:path gradientshapeok="t" o:connecttype="rect"/>
              </v:shapetype>
              <v:shape id="Cuadro de texto 217" o:spid="_x0000_s1026" type="#_x0000_t202" style="position:absolute;left:0;text-align:left;margin-left:250.85pt;margin-top:0;width:234.6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" stroked="f">
                <v:textbox>
                  <w:txbxContent>
                    <w:p w14:paraId="0B33E7E2" w14:textId="46265A36" w:rsidR="00F23558" w:rsidRPr="00265B8C" w:rsidRDefault="00F23558" w:rsidP="00F2355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w:t>
                      </w:r>
                      <w:r w:rsidR="00E268A4">
                        <w:rPr>
                          <w:b/>
                          <w:color w:val="FFFFFF" w:themeColor="background1"/>
                          <w:shd w:val="clear" w:color="auto" w:fill="365F91" w:themeFill="accent1" w:themeFillShade="BF"/>
                          <w:lang w:val="pt-BR"/>
                        </w:rPr>
                        <w:t xml:space="preserve">9 de </w:t>
                      </w:r>
                      <w:proofErr w:type="spellStart"/>
                      <w:r w:rsidR="00E268A4">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A4B2A4E" w14:textId="59F3DBB5" w:rsidR="00F23558" w:rsidRDefault="00F23558" w:rsidP="00D94381">
      <w:pPr>
        <w:pStyle w:val="Profesin"/>
      </w:pPr>
      <w:bookmarkStart w:id="0" w:name="_Hlk12021772"/>
      <w:bookmarkEnd w:id="0"/>
    </w:p>
    <w:p w14:paraId="55036B6E" w14:textId="15BEF860" w:rsidR="00B63B5D" w:rsidRPr="0075592F" w:rsidRDefault="00935393" w:rsidP="00D94381">
      <w:pPr>
        <w:pStyle w:val="Profesin"/>
        <w:rPr>
          <w:sz w:val="24"/>
          <w:szCs w:val="24"/>
        </w:rPr>
      </w:pPr>
      <w:r w:rsidRPr="0075592F">
        <w:rPr>
          <w:sz w:val="24"/>
          <w:szCs w:val="24"/>
        </w:rPr>
        <w:t>Í</w:t>
      </w:r>
      <w:r w:rsidR="00B63B5D" w:rsidRPr="0075592F">
        <w:rPr>
          <w:sz w:val="24"/>
          <w:szCs w:val="24"/>
        </w:rPr>
        <w:t>NDICE NACIONAL DE PRECIOS AL CONSUMIDOR</w:t>
      </w:r>
    </w:p>
    <w:p w14:paraId="7F3D4C40" w14:textId="120D8396" w:rsidR="00B63B5D" w:rsidRPr="0075592F" w:rsidRDefault="005E43F8" w:rsidP="00B63B5D">
      <w:pPr>
        <w:pStyle w:val="Profesin"/>
        <w:rPr>
          <w:caps w:val="0"/>
          <w:sz w:val="24"/>
          <w:szCs w:val="24"/>
        </w:rPr>
      </w:pPr>
      <w:r w:rsidRPr="0075592F">
        <w:rPr>
          <w:caps w:val="0"/>
          <w:sz w:val="24"/>
          <w:szCs w:val="24"/>
        </w:rPr>
        <w:t xml:space="preserve">ENERO </w:t>
      </w:r>
      <w:r w:rsidR="003110E0" w:rsidRPr="0075592F">
        <w:rPr>
          <w:caps w:val="0"/>
          <w:sz w:val="24"/>
          <w:szCs w:val="24"/>
        </w:rPr>
        <w:t>DE 20</w:t>
      </w:r>
      <w:r w:rsidR="008F2672" w:rsidRPr="0075592F">
        <w:rPr>
          <w:caps w:val="0"/>
          <w:sz w:val="24"/>
          <w:szCs w:val="24"/>
        </w:rPr>
        <w:t>2</w:t>
      </w:r>
      <w:r w:rsidRPr="0075592F">
        <w:rPr>
          <w:caps w:val="0"/>
          <w:sz w:val="24"/>
          <w:szCs w:val="24"/>
        </w:rPr>
        <w:t>1</w:t>
      </w:r>
    </w:p>
    <w:p w14:paraId="11E6BB5E" w14:textId="663974B6" w:rsidR="005E43F8" w:rsidRPr="00F23558" w:rsidRDefault="005E43F8" w:rsidP="007F3510">
      <w:pPr>
        <w:pStyle w:val="Prrafodelista"/>
        <w:spacing w:before="240"/>
        <w:ind w:left="-284"/>
        <w:rPr>
          <w:bCs/>
          <w:spacing w:val="-2"/>
        </w:rPr>
      </w:pPr>
      <w:r w:rsidRPr="00F23558">
        <w:rPr>
          <w:bCs/>
        </w:rPr>
        <w:t xml:space="preserve">El </w:t>
      </w:r>
      <w:r w:rsidRPr="00F23558">
        <w:rPr>
          <w:bCs/>
          <w:spacing w:val="-2"/>
        </w:rPr>
        <w:t>Instituto Nacional de Estadística y Geografía (INEGI) informa que en el primer mes de 2021 el Índice Nacional de Precios al Consumidor (INPC) registró un</w:t>
      </w:r>
      <w:r w:rsidR="00181BC9" w:rsidRPr="00F23558">
        <w:rPr>
          <w:bCs/>
          <w:spacing w:val="-2"/>
        </w:rPr>
        <w:t xml:space="preserve"> </w:t>
      </w:r>
      <w:r w:rsidRPr="00F23558">
        <w:rPr>
          <w:bCs/>
          <w:spacing w:val="-2"/>
        </w:rPr>
        <w:t>a</w:t>
      </w:r>
      <w:r w:rsidR="00181BC9" w:rsidRPr="00F23558">
        <w:rPr>
          <w:bCs/>
          <w:spacing w:val="-2"/>
        </w:rPr>
        <w:t xml:space="preserve">lza </w:t>
      </w:r>
      <w:r w:rsidRPr="00F23558">
        <w:rPr>
          <w:bCs/>
          <w:spacing w:val="-2"/>
        </w:rPr>
        <w:t xml:space="preserve">de 0.86 por ciento respecto al mes </w:t>
      </w:r>
      <w:r w:rsidR="00181BC9" w:rsidRPr="00F23558">
        <w:rPr>
          <w:bCs/>
          <w:spacing w:val="-2"/>
        </w:rPr>
        <w:t>inmediato</w:t>
      </w:r>
      <w:r w:rsidRPr="00F23558">
        <w:rPr>
          <w:bCs/>
          <w:spacing w:val="-2"/>
        </w:rPr>
        <w:t xml:space="preserve"> anterior, así como una inflación anual de 3.54 por ciento. En </w:t>
      </w:r>
      <w:r w:rsidR="00181BC9" w:rsidRPr="00F23558">
        <w:rPr>
          <w:bCs/>
          <w:spacing w:val="-2"/>
        </w:rPr>
        <w:t>igual</w:t>
      </w:r>
      <w:r w:rsidRPr="00F23558">
        <w:rPr>
          <w:bCs/>
          <w:spacing w:val="-2"/>
        </w:rPr>
        <w:t xml:space="preserve"> mes </w:t>
      </w:r>
      <w:r w:rsidR="00181BC9" w:rsidRPr="00F23558">
        <w:rPr>
          <w:bCs/>
          <w:spacing w:val="-2"/>
        </w:rPr>
        <w:t>de</w:t>
      </w:r>
      <w:r w:rsidRPr="00F23558">
        <w:rPr>
          <w:bCs/>
          <w:spacing w:val="-2"/>
        </w:rPr>
        <w:t xml:space="preserve"> 2020 las variaciones fueron </w:t>
      </w:r>
      <w:r w:rsidR="002C5199" w:rsidRPr="00F23558">
        <w:rPr>
          <w:bCs/>
          <w:spacing w:val="-2"/>
        </w:rPr>
        <w:t xml:space="preserve">de </w:t>
      </w:r>
      <w:r w:rsidRPr="00F23558">
        <w:rPr>
          <w:bCs/>
          <w:spacing w:val="-2"/>
        </w:rPr>
        <w:t xml:space="preserve">0.48 por ciento mensual y </w:t>
      </w:r>
      <w:r w:rsidR="002C5199" w:rsidRPr="00F23558">
        <w:rPr>
          <w:bCs/>
          <w:spacing w:val="-2"/>
        </w:rPr>
        <w:t xml:space="preserve">de </w:t>
      </w:r>
      <w:r w:rsidRPr="00F23558">
        <w:rPr>
          <w:bCs/>
          <w:spacing w:val="-2"/>
        </w:rPr>
        <w:t>3.24 por ciento anual.</w:t>
      </w:r>
    </w:p>
    <w:p w14:paraId="5BAEB9D2" w14:textId="41D019AB" w:rsidR="005E43F8" w:rsidRPr="00F23558" w:rsidRDefault="005E43F8" w:rsidP="007F3510">
      <w:pPr>
        <w:pStyle w:val="Prrafodelista"/>
        <w:spacing w:before="240"/>
        <w:ind w:left="-284"/>
        <w:rPr>
          <w:bCs/>
          <w:spacing w:val="-2"/>
        </w:rPr>
      </w:pPr>
      <w:r w:rsidRPr="00F23558">
        <w:rPr>
          <w:bCs/>
          <w:spacing w:val="-2"/>
        </w:rPr>
        <w:t>El índice de precios subyacente</w:t>
      </w:r>
      <w:r w:rsidRPr="00F23558">
        <w:rPr>
          <w:bCs/>
          <w:spacing w:val="-2"/>
          <w:vertAlign w:val="superscript"/>
        </w:rPr>
        <w:footnoteReference w:id="1"/>
      </w:r>
      <w:r w:rsidRPr="00F23558">
        <w:rPr>
          <w:bCs/>
          <w:spacing w:val="-2"/>
        </w:rPr>
        <w:t xml:space="preserve"> presentó un aumento mensual de 0.36 por ciento y anual de 3.84 por ciento</w:t>
      </w:r>
      <w:r w:rsidR="00AF5CA1" w:rsidRPr="00F23558">
        <w:rPr>
          <w:bCs/>
          <w:spacing w:val="-2"/>
        </w:rPr>
        <w:t>;</w:t>
      </w:r>
      <w:r w:rsidRPr="00F23558">
        <w:rPr>
          <w:bCs/>
          <w:spacing w:val="-2"/>
        </w:rPr>
        <w:t xml:space="preserve"> por su parte</w:t>
      </w:r>
      <w:r w:rsidR="00AF5CA1" w:rsidRPr="00F23558">
        <w:rPr>
          <w:bCs/>
          <w:spacing w:val="-2"/>
        </w:rPr>
        <w:t>,</w:t>
      </w:r>
      <w:r w:rsidRPr="00F23558">
        <w:rPr>
          <w:bCs/>
          <w:spacing w:val="-2"/>
        </w:rPr>
        <w:t xml:space="preserve"> el índice de precios no subyacente avanzó 2.40 por ciento mensual y 2.63 por ciento anual. </w:t>
      </w:r>
    </w:p>
    <w:p w14:paraId="141840C1" w14:textId="1051889C" w:rsidR="005E43F8" w:rsidRPr="00F23558" w:rsidRDefault="005E43F8" w:rsidP="007F3510">
      <w:pPr>
        <w:pStyle w:val="Prrafodelista"/>
        <w:spacing w:before="240"/>
        <w:ind w:left="-284"/>
        <w:rPr>
          <w:bCs/>
          <w:spacing w:val="-2"/>
        </w:rPr>
      </w:pPr>
      <w:r w:rsidRPr="00F23558">
        <w:rPr>
          <w:bCs/>
          <w:spacing w:val="-2"/>
        </w:rPr>
        <w:t xml:space="preserve">Dentro del índice de precios subyacente, los </w:t>
      </w:r>
      <w:r w:rsidR="00AF5CA1" w:rsidRPr="00F23558">
        <w:rPr>
          <w:bCs/>
          <w:spacing w:val="-2"/>
        </w:rPr>
        <w:t xml:space="preserve">precios de </w:t>
      </w:r>
      <w:r w:rsidRPr="00F23558">
        <w:rPr>
          <w:bCs/>
          <w:spacing w:val="-2"/>
        </w:rPr>
        <w:t xml:space="preserve">las mercancías </w:t>
      </w:r>
      <w:r w:rsidR="00AF5CA1" w:rsidRPr="00F23558">
        <w:rPr>
          <w:bCs/>
          <w:spacing w:val="-2"/>
        </w:rPr>
        <w:t xml:space="preserve">se incrementaron </w:t>
      </w:r>
      <w:r w:rsidRPr="00F23558">
        <w:rPr>
          <w:bCs/>
          <w:spacing w:val="-2"/>
        </w:rPr>
        <w:t xml:space="preserve">0.55 por ciento y </w:t>
      </w:r>
      <w:r w:rsidR="00AF5CA1" w:rsidRPr="00F23558">
        <w:rPr>
          <w:bCs/>
          <w:spacing w:val="-2"/>
        </w:rPr>
        <w:t>los de</w:t>
      </w:r>
      <w:r w:rsidRPr="00F23558">
        <w:rPr>
          <w:bCs/>
          <w:spacing w:val="-2"/>
        </w:rPr>
        <w:t xml:space="preserve"> los servicios 0.14 por ciento</w:t>
      </w:r>
      <w:r w:rsidR="00AF5CA1" w:rsidRPr="00F23558">
        <w:rPr>
          <w:bCs/>
          <w:spacing w:val="-2"/>
        </w:rPr>
        <w:t xml:space="preserve"> mensual</w:t>
      </w:r>
      <w:r w:rsidRPr="00F23558">
        <w:rPr>
          <w:bCs/>
          <w:spacing w:val="-2"/>
        </w:rPr>
        <w:t>.</w:t>
      </w:r>
    </w:p>
    <w:p w14:paraId="1D785EC8" w14:textId="545E6B96" w:rsidR="00077FCE" w:rsidRPr="00F23558" w:rsidRDefault="005E43F8" w:rsidP="007F3510">
      <w:pPr>
        <w:pStyle w:val="Prrafodelista"/>
        <w:spacing w:before="240"/>
        <w:ind w:left="-284"/>
        <w:rPr>
          <w:bCs/>
          <w:spacing w:val="-2"/>
        </w:rPr>
      </w:pPr>
      <w:r w:rsidRPr="00F23558">
        <w:rPr>
          <w:bCs/>
          <w:spacing w:val="-2"/>
        </w:rPr>
        <w:t>Al interior</w:t>
      </w:r>
      <w:r w:rsidRPr="00F23558">
        <w:rPr>
          <w:bCs/>
        </w:rPr>
        <w:t xml:space="preserve"> </w:t>
      </w:r>
      <w:r w:rsidRPr="00F23558">
        <w:rPr>
          <w:bCs/>
          <w:spacing w:val="-2"/>
        </w:rPr>
        <w:t xml:space="preserve">del índice de precios no subyacente, los </w:t>
      </w:r>
      <w:r w:rsidR="00AF5CA1" w:rsidRPr="00F23558">
        <w:rPr>
          <w:bCs/>
          <w:spacing w:val="-2"/>
        </w:rPr>
        <w:t xml:space="preserve">precios de los </w:t>
      </w:r>
      <w:r w:rsidRPr="00F23558">
        <w:rPr>
          <w:bCs/>
          <w:spacing w:val="-2"/>
        </w:rPr>
        <w:t xml:space="preserve">productos agropecuarios subieron 0.54 por ciento mensual, al mismo tiempo que los </w:t>
      </w:r>
      <w:r w:rsidR="00AF5CA1" w:rsidRPr="00F23558">
        <w:rPr>
          <w:bCs/>
          <w:spacing w:val="-2"/>
        </w:rPr>
        <w:t xml:space="preserve">de los </w:t>
      </w:r>
      <w:r w:rsidRPr="00F23558">
        <w:rPr>
          <w:bCs/>
          <w:spacing w:val="-2"/>
        </w:rPr>
        <w:t xml:space="preserve">energéticos y tarifas autorizadas por el gobierno </w:t>
      </w:r>
      <w:r w:rsidR="00AF5CA1" w:rsidRPr="00F23558">
        <w:rPr>
          <w:bCs/>
          <w:spacing w:val="-2"/>
        </w:rPr>
        <w:t>fueron mayores</w:t>
      </w:r>
      <w:r w:rsidRPr="00F23558">
        <w:rPr>
          <w:bCs/>
          <w:spacing w:val="-2"/>
        </w:rPr>
        <w:t xml:space="preserve"> en 3.81 por ciento</w:t>
      </w:r>
      <w:r w:rsidR="00AF5CA1" w:rsidRPr="00F23558">
        <w:rPr>
          <w:bCs/>
          <w:spacing w:val="-2"/>
        </w:rPr>
        <w:t>.</w:t>
      </w:r>
    </w:p>
    <w:p w14:paraId="3B9F8583" w14:textId="4BA32527" w:rsidR="00E268A4" w:rsidRDefault="007B01CF" w:rsidP="007F3510">
      <w:pPr>
        <w:pStyle w:val="Prrafodelista"/>
        <w:spacing w:before="240"/>
        <w:ind w:left="-284"/>
        <w:rPr>
          <w:bCs/>
        </w:rPr>
      </w:pPr>
      <w:bookmarkStart w:id="1" w:name="_Hlk52895914"/>
      <w:r w:rsidRPr="00F23558">
        <w:rPr>
          <w:bCs/>
          <w:spacing w:val="-2"/>
        </w:rPr>
        <w:t xml:space="preserve">Como se informó oportunamente, dadas las medidas extraordinarias adoptadas por el INEGI ante el estado de emergencia sanitaria originada por el COVID-19, a partir del mes de abril </w:t>
      </w:r>
      <w:r w:rsidR="00824DE6" w:rsidRPr="00F23558">
        <w:rPr>
          <w:bCs/>
          <w:spacing w:val="-2"/>
        </w:rPr>
        <w:t xml:space="preserve">de 2020 </w:t>
      </w:r>
      <w:r w:rsidRPr="00F23558">
        <w:rPr>
          <w:bCs/>
          <w:spacing w:val="-2"/>
        </w:rPr>
        <w:t>y mientras dure esta emergencia sanitaria, la medición del Índice Nacional de Precios al Consumidor seguirá utilizando medios electrónicos como el Internet, correo electrónico, teléfono y otras tecnologías de la información para obtener sus cotizaciones</w:t>
      </w:r>
      <w:r w:rsidR="00C84B30" w:rsidRPr="00F23558">
        <w:rPr>
          <w:bCs/>
          <w:spacing w:val="-2"/>
        </w:rPr>
        <w:t>, en tanto sea posible retomar la visita directa a los comercios.</w:t>
      </w:r>
      <w:r w:rsidRPr="00F23558">
        <w:rPr>
          <w:bCs/>
          <w:spacing w:val="-2"/>
        </w:rPr>
        <w:t xml:space="preserve"> Los resultados se continuarán dando a conocer de acuerdo con el Calendario de Difusión de Información Estadística y Geográfica y de Interés Nacional establecido por el Instituto</w:t>
      </w:r>
      <w:bookmarkEnd w:id="1"/>
      <w:r w:rsidR="00666ECC" w:rsidRPr="00F23558">
        <w:rPr>
          <w:rStyle w:val="Refdenotaalpie"/>
          <w:bCs/>
        </w:rPr>
        <w:footnoteReference w:id="2"/>
      </w:r>
      <w:r w:rsidRPr="00F23558">
        <w:rPr>
          <w:bCs/>
        </w:rPr>
        <w:t>.</w:t>
      </w:r>
    </w:p>
    <w:p w14:paraId="4CD51705" w14:textId="6B6071C1" w:rsidR="0075592F" w:rsidRDefault="0075592F" w:rsidP="0075592F">
      <w:pPr>
        <w:pStyle w:val="Prrafodelista"/>
        <w:spacing w:before="240"/>
        <w:ind w:left="0"/>
        <w:rPr>
          <w:bCs/>
        </w:rPr>
      </w:pPr>
    </w:p>
    <w:p w14:paraId="6DF8DEF0" w14:textId="7F8D97B1" w:rsidR="0075592F" w:rsidRDefault="0075592F" w:rsidP="0075592F">
      <w:pPr>
        <w:pStyle w:val="Prrafodelista"/>
        <w:spacing w:before="240"/>
        <w:ind w:left="0"/>
        <w:rPr>
          <w:bCs/>
        </w:rPr>
      </w:pPr>
    </w:p>
    <w:p w14:paraId="760160E7" w14:textId="2DEF64A5" w:rsidR="0075592F" w:rsidRDefault="0075592F" w:rsidP="0075592F">
      <w:pPr>
        <w:pStyle w:val="Prrafodelista"/>
        <w:spacing w:before="240"/>
        <w:ind w:left="0"/>
        <w:rPr>
          <w:bCs/>
        </w:rPr>
      </w:pPr>
    </w:p>
    <w:p w14:paraId="53F4E8FA" w14:textId="759AB342" w:rsidR="0075592F" w:rsidRDefault="0075592F" w:rsidP="0075592F">
      <w:pPr>
        <w:pStyle w:val="Prrafodelista"/>
        <w:spacing w:before="240"/>
        <w:ind w:left="0"/>
        <w:rPr>
          <w:bCs/>
        </w:rPr>
      </w:pPr>
    </w:p>
    <w:p w14:paraId="087C2C2B" w14:textId="54722FC5" w:rsidR="00F23558" w:rsidRPr="002239B6" w:rsidRDefault="00F23558" w:rsidP="00F23558">
      <w:pPr>
        <w:keepNext/>
        <w:keepLines/>
        <w:spacing w:before="240"/>
        <w:jc w:val="center"/>
        <w:rPr>
          <w:b/>
          <w:bCs/>
          <w:smallCaps/>
          <w:color w:val="000000" w:themeColor="text1"/>
          <w:sz w:val="22"/>
          <w:szCs w:val="22"/>
        </w:rPr>
      </w:pPr>
      <w:r w:rsidRPr="002239B6">
        <w:rPr>
          <w:b/>
          <w:bCs/>
          <w:smallCaps/>
          <w:color w:val="000000" w:themeColor="text1"/>
          <w:sz w:val="22"/>
          <w:szCs w:val="22"/>
        </w:rPr>
        <w:lastRenderedPageBreak/>
        <w:t xml:space="preserve">INPC, Subyacente </w:t>
      </w:r>
      <w:r>
        <w:rPr>
          <w:b/>
          <w:bCs/>
          <w:smallCaps/>
          <w:color w:val="000000" w:themeColor="text1"/>
          <w:sz w:val="22"/>
          <w:szCs w:val="22"/>
        </w:rPr>
        <w:t>y</w:t>
      </w:r>
      <w:r w:rsidRPr="002239B6">
        <w:rPr>
          <w:b/>
          <w:bCs/>
          <w:smallCaps/>
          <w:color w:val="000000" w:themeColor="text1"/>
          <w:sz w:val="22"/>
          <w:szCs w:val="22"/>
        </w:rPr>
        <w:t xml:space="preserve"> No Subyacente</w:t>
      </w:r>
    </w:p>
    <w:p w14:paraId="1EB73029" w14:textId="77777777" w:rsidR="00F23558" w:rsidRPr="00BF05FD" w:rsidRDefault="00F23558" w:rsidP="00F23558">
      <w:pPr>
        <w:keepNext/>
        <w:keepLines/>
        <w:autoSpaceDE w:val="0"/>
        <w:autoSpaceDN w:val="0"/>
        <w:adjustRightInd w:val="0"/>
        <w:jc w:val="center"/>
        <w:rPr>
          <w:sz w:val="18"/>
          <w:szCs w:val="18"/>
        </w:rPr>
      </w:pPr>
      <w:r w:rsidRPr="00BF05FD">
        <w:rPr>
          <w:sz w:val="18"/>
          <w:szCs w:val="18"/>
        </w:rPr>
        <w:t>Variación porcentual e incidencia durante enero en los años que se indican</w:t>
      </w:r>
    </w:p>
    <w:p w14:paraId="74BF53C2" w14:textId="77777777" w:rsidR="00F23558" w:rsidRPr="00BF05FD" w:rsidRDefault="00F23558" w:rsidP="00F23558">
      <w:pPr>
        <w:keepNext/>
        <w:keepLines/>
        <w:autoSpaceDE w:val="0"/>
        <w:autoSpaceDN w:val="0"/>
        <w:adjustRightInd w:val="0"/>
        <w:jc w:val="center"/>
        <w:rPr>
          <w:noProof/>
        </w:rPr>
      </w:pPr>
      <w:r w:rsidRPr="009163B7">
        <w:rPr>
          <w:noProof/>
        </w:rPr>
        <w:drawing>
          <wp:inline distT="0" distB="0" distL="0" distR="0" wp14:anchorId="2CC07D08" wp14:editId="6F895FF0">
            <wp:extent cx="6120765" cy="2568153"/>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68153"/>
                    </a:xfrm>
                    <a:prstGeom prst="rect">
                      <a:avLst/>
                    </a:prstGeom>
                    <a:noFill/>
                    <a:ln>
                      <a:noFill/>
                    </a:ln>
                  </pic:spPr>
                </pic:pic>
              </a:graphicData>
            </a:graphic>
          </wp:inline>
        </w:drawing>
      </w:r>
    </w:p>
    <w:p w14:paraId="6AFD2286" w14:textId="77777777" w:rsidR="00F23558" w:rsidRPr="00BF05FD" w:rsidRDefault="00F23558" w:rsidP="00F23558">
      <w:pPr>
        <w:keepNext/>
        <w:keepLines/>
        <w:autoSpaceDE w:val="0"/>
        <w:autoSpaceDN w:val="0"/>
        <w:adjustRightInd w:val="0"/>
        <w:ind w:left="283" w:right="113" w:hanging="170"/>
        <w:rPr>
          <w:color w:val="006600"/>
          <w:sz w:val="16"/>
          <w:szCs w:val="16"/>
        </w:rPr>
      </w:pPr>
      <w:r w:rsidRPr="003B2C91">
        <w:rPr>
          <w:color w:val="006600"/>
          <w:sz w:val="18"/>
          <w:szCs w:val="16"/>
          <w:vertAlign w:val="superscript"/>
        </w:rPr>
        <w:t>1/</w:t>
      </w:r>
      <w:r w:rsidRPr="00BF05FD">
        <w:rPr>
          <w:color w:val="006600"/>
          <w:sz w:val="18"/>
          <w:szCs w:val="16"/>
          <w:vertAlign w:val="superscript"/>
        </w:rPr>
        <w:tab/>
      </w:r>
      <w:r w:rsidRPr="00BF05FD">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0C2261FF" w14:textId="77777777" w:rsidR="00F23558" w:rsidRPr="00BF05FD" w:rsidRDefault="00F23558" w:rsidP="00F23558">
      <w:pPr>
        <w:keepNext/>
        <w:keepLines/>
        <w:autoSpaceDE w:val="0"/>
        <w:autoSpaceDN w:val="0"/>
        <w:adjustRightInd w:val="0"/>
        <w:ind w:left="283" w:right="113" w:hanging="170"/>
        <w:rPr>
          <w:color w:val="006600"/>
          <w:sz w:val="16"/>
          <w:szCs w:val="16"/>
        </w:rPr>
      </w:pPr>
      <w:r w:rsidRPr="003B2C91">
        <w:rPr>
          <w:color w:val="006600"/>
          <w:sz w:val="18"/>
          <w:szCs w:val="16"/>
          <w:vertAlign w:val="superscript"/>
        </w:rPr>
        <w:t>2/</w:t>
      </w:r>
      <w:r w:rsidRPr="00BF05FD">
        <w:rPr>
          <w:color w:val="006600"/>
          <w:sz w:val="18"/>
          <w:szCs w:val="16"/>
          <w:vertAlign w:val="superscript"/>
        </w:rPr>
        <w:tab/>
      </w:r>
      <w:r w:rsidRPr="00BF05FD">
        <w:rPr>
          <w:color w:val="006600"/>
          <w:sz w:val="16"/>
          <w:szCs w:val="16"/>
        </w:rPr>
        <w:t>Incluye alimentos procesados, bebidas y tabaco, no incluye productos agropecuarios.</w:t>
      </w:r>
    </w:p>
    <w:p w14:paraId="1E163C18" w14:textId="77777777" w:rsidR="00F23558" w:rsidRPr="00BF05FD" w:rsidRDefault="00F23558" w:rsidP="00F23558">
      <w:pPr>
        <w:keepNext/>
        <w:keepLines/>
        <w:autoSpaceDE w:val="0"/>
        <w:autoSpaceDN w:val="0"/>
        <w:adjustRightInd w:val="0"/>
        <w:ind w:left="283" w:right="113" w:hanging="170"/>
        <w:rPr>
          <w:color w:val="006600"/>
          <w:sz w:val="16"/>
          <w:szCs w:val="16"/>
        </w:rPr>
      </w:pPr>
      <w:r w:rsidRPr="003B2C91">
        <w:rPr>
          <w:color w:val="006600"/>
          <w:sz w:val="18"/>
          <w:szCs w:val="16"/>
          <w:vertAlign w:val="superscript"/>
        </w:rPr>
        <w:t>3/</w:t>
      </w:r>
      <w:r w:rsidRPr="00BF05FD">
        <w:rPr>
          <w:color w:val="006600"/>
          <w:sz w:val="16"/>
          <w:szCs w:val="16"/>
        </w:rPr>
        <w:tab/>
        <w:t>Incluye vivienda propia, renta de vivienda, servicio doméstico y otros servicios para el hogar.</w:t>
      </w:r>
    </w:p>
    <w:p w14:paraId="785CCF61" w14:textId="287FFD02" w:rsidR="0075592F" w:rsidRPr="007F3510" w:rsidRDefault="00F23558" w:rsidP="007F3510">
      <w:pPr>
        <w:keepNext/>
        <w:keepLines/>
        <w:autoSpaceDE w:val="0"/>
        <w:autoSpaceDN w:val="0"/>
        <w:adjustRightInd w:val="0"/>
        <w:ind w:left="283" w:right="11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BF05FD">
        <w:rPr>
          <w:color w:val="006600"/>
          <w:sz w:val="16"/>
          <w:szCs w:val="16"/>
        </w:rPr>
        <w:t>Incluye loncherías, fondas y taquerías, restaurantes y similares, servicio de telefonía móvil, mantenimiento de automóvil, consulta médica, servicios turísticos en paquete, entre otros.</w:t>
      </w:r>
    </w:p>
    <w:p w14:paraId="02B85946" w14:textId="77777777" w:rsidR="00881882" w:rsidRDefault="00881882" w:rsidP="007F3510">
      <w:pPr>
        <w:pStyle w:val="p01"/>
        <w:keepLines w:val="0"/>
        <w:tabs>
          <w:tab w:val="left" w:pos="3261"/>
        </w:tabs>
        <w:spacing w:before="0"/>
        <w:jc w:val="left"/>
        <w:outlineLvl w:val="0"/>
        <w:rPr>
          <w:rFonts w:ascii="Arial" w:hAnsi="Arial" w:cs="Arial"/>
          <w:b/>
          <w:color w:val="000000"/>
          <w:szCs w:val="24"/>
        </w:rPr>
      </w:pPr>
    </w:p>
    <w:p w14:paraId="3AF66424" w14:textId="084CBB41" w:rsidR="00E268A4" w:rsidRDefault="0075592F" w:rsidP="007F3510">
      <w:pPr>
        <w:pStyle w:val="p01"/>
        <w:keepLines w:val="0"/>
        <w:tabs>
          <w:tab w:val="left" w:pos="3261"/>
        </w:tabs>
        <w:spacing w:before="0"/>
        <w:jc w:val="left"/>
        <w:outlineLvl w:val="0"/>
        <w:rPr>
          <w:rFonts w:ascii="Arial" w:hAnsi="Arial" w:cs="Arial"/>
          <w:b/>
          <w:color w:val="000000"/>
          <w:szCs w:val="24"/>
        </w:rPr>
      </w:pPr>
      <w:bookmarkStart w:id="5" w:name="_GoBack"/>
      <w:bookmarkEnd w:id="5"/>
      <w:r>
        <w:rPr>
          <w:noProof/>
          <w:szCs w:val="24"/>
          <w:lang w:val="es-MX" w:eastAsia="es-MX"/>
        </w:rPr>
        <w:drawing>
          <wp:anchor distT="0" distB="0" distL="114300" distR="114300" simplePos="0" relativeHeight="251660288" behindDoc="0" locked="0" layoutInCell="1" allowOverlap="1" wp14:anchorId="2E34EFEC" wp14:editId="56E03AC1">
            <wp:simplePos x="0" y="0"/>
            <wp:positionH relativeFrom="margin">
              <wp:align>right</wp:align>
            </wp:positionH>
            <wp:positionV relativeFrom="paragraph">
              <wp:posOffset>237334</wp:posOffset>
            </wp:positionV>
            <wp:extent cx="3952771" cy="1427018"/>
            <wp:effectExtent l="0" t="0" r="0"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771" cy="1427018"/>
                    </a:xfrm>
                    <a:prstGeom prst="rect">
                      <a:avLst/>
                    </a:prstGeom>
                    <a:noFill/>
                  </pic:spPr>
                </pic:pic>
              </a:graphicData>
            </a:graphic>
          </wp:anchor>
        </w:drawing>
      </w:r>
      <w:r>
        <w:rPr>
          <w:rFonts w:ascii="Arial" w:hAnsi="Arial" w:cs="Arial"/>
          <w:b/>
          <w:color w:val="000000"/>
          <w:szCs w:val="24"/>
        </w:rPr>
        <w:br w:type="textWrapping" w:clear="all"/>
      </w:r>
    </w:p>
    <w:p w14:paraId="196C7DDD" w14:textId="77777777" w:rsidR="00E268A4" w:rsidRDefault="00E268A4" w:rsidP="00E268A4">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Pr>
          <w:rFonts w:ascii="Arial" w:hAnsi="Arial" w:cs="Arial"/>
          <w:b/>
          <w:color w:val="000000"/>
          <w:szCs w:val="24"/>
        </w:rPr>
        <w:tab/>
      </w:r>
    </w:p>
    <w:p w14:paraId="1D962B1D" w14:textId="00B23D46" w:rsidR="00E268A4" w:rsidRDefault="00E268A4" w:rsidP="007F3510">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50E55077" w14:textId="77777777" w:rsidR="00881882" w:rsidRPr="00881882" w:rsidRDefault="00881882" w:rsidP="00881882">
      <w:pPr>
        <w:pStyle w:val="p0"/>
      </w:pPr>
    </w:p>
    <w:p w14:paraId="2500A937" w14:textId="77777777" w:rsidR="00E268A4" w:rsidRDefault="00E268A4" w:rsidP="00E268A4">
      <w:pPr>
        <w:pStyle w:val="NormalWeb"/>
        <w:spacing w:before="0" w:beforeAutospacing="0" w:after="0" w:afterAutospacing="0"/>
        <w:ind w:left="-426" w:right="-518"/>
        <w:contextualSpacing/>
        <w:jc w:val="center"/>
        <w:rPr>
          <w:rFonts w:ascii="Arial" w:hAnsi="Arial" w:cs="Arial"/>
          <w:sz w:val="20"/>
          <w:szCs w:val="20"/>
        </w:rPr>
      </w:pPr>
    </w:p>
    <w:p w14:paraId="2579F04B" w14:textId="77777777" w:rsidR="00E268A4" w:rsidRPr="000177E8" w:rsidRDefault="00E268A4" w:rsidP="00E268A4">
      <w:pPr>
        <w:pStyle w:val="NormalWeb"/>
        <w:spacing w:before="0" w:beforeAutospacing="0" w:after="0" w:afterAutospacing="0"/>
        <w:ind w:left="-426" w:right="-518"/>
        <w:contextualSpacing/>
        <w:jc w:val="center"/>
        <w:rPr>
          <w:rFonts w:ascii="Arial" w:hAnsi="Arial" w:cs="Arial"/>
          <w:sz w:val="22"/>
          <w:szCs w:val="22"/>
        </w:rPr>
      </w:pPr>
      <w:r w:rsidRPr="000177E8">
        <w:rPr>
          <w:rFonts w:ascii="Arial" w:hAnsi="Arial" w:cs="Arial"/>
          <w:sz w:val="22"/>
          <w:szCs w:val="22"/>
        </w:rPr>
        <w:t xml:space="preserve">Para consultas de medios y periodistas, contactar a: </w:t>
      </w:r>
      <w:hyperlink r:id="rId10" w:history="1">
        <w:r w:rsidRPr="000177E8">
          <w:rPr>
            <w:rStyle w:val="Hipervnculo"/>
            <w:rFonts w:ascii="Arial" w:hAnsi="Arial" w:cs="Arial"/>
            <w:sz w:val="22"/>
            <w:szCs w:val="22"/>
          </w:rPr>
          <w:t>comunicacionsocial@inegi.org.mx</w:t>
        </w:r>
      </w:hyperlink>
      <w:r w:rsidRPr="000177E8">
        <w:rPr>
          <w:rFonts w:ascii="Arial" w:hAnsi="Arial" w:cs="Arial"/>
          <w:sz w:val="22"/>
          <w:szCs w:val="22"/>
        </w:rPr>
        <w:t xml:space="preserve"> </w:t>
      </w:r>
    </w:p>
    <w:p w14:paraId="067327D6" w14:textId="11031709" w:rsidR="00E268A4" w:rsidRDefault="00E268A4" w:rsidP="007F3510">
      <w:pPr>
        <w:pStyle w:val="NormalWeb"/>
        <w:spacing w:before="0" w:beforeAutospacing="0" w:after="0" w:afterAutospacing="0"/>
        <w:ind w:left="-426" w:right="-518"/>
        <w:contextualSpacing/>
        <w:jc w:val="center"/>
        <w:rPr>
          <w:rFonts w:ascii="Arial" w:hAnsi="Arial" w:cs="Arial"/>
          <w:sz w:val="22"/>
          <w:szCs w:val="22"/>
        </w:rPr>
      </w:pPr>
      <w:r w:rsidRPr="000177E8">
        <w:rPr>
          <w:rFonts w:ascii="Arial" w:hAnsi="Arial" w:cs="Arial"/>
          <w:sz w:val="22"/>
          <w:szCs w:val="22"/>
        </w:rPr>
        <w:t xml:space="preserve">o llamar al teléfono (55) 52-78-10-00, </w:t>
      </w:r>
      <w:proofErr w:type="spellStart"/>
      <w:r w:rsidRPr="000177E8">
        <w:rPr>
          <w:rFonts w:ascii="Arial" w:hAnsi="Arial" w:cs="Arial"/>
          <w:sz w:val="22"/>
          <w:szCs w:val="22"/>
        </w:rPr>
        <w:t>exts</w:t>
      </w:r>
      <w:proofErr w:type="spellEnd"/>
      <w:r w:rsidRPr="000177E8">
        <w:rPr>
          <w:rFonts w:ascii="Arial" w:hAnsi="Arial" w:cs="Arial"/>
          <w:sz w:val="22"/>
          <w:szCs w:val="22"/>
        </w:rPr>
        <w:t>. 1134, 1260 y 1241.</w:t>
      </w:r>
    </w:p>
    <w:p w14:paraId="3E9778E7" w14:textId="77777777" w:rsidR="00881882" w:rsidRPr="007F3510" w:rsidRDefault="00881882" w:rsidP="007F3510">
      <w:pPr>
        <w:pStyle w:val="NormalWeb"/>
        <w:spacing w:before="0" w:beforeAutospacing="0" w:after="0" w:afterAutospacing="0"/>
        <w:ind w:left="-426" w:right="-518"/>
        <w:contextualSpacing/>
        <w:jc w:val="center"/>
        <w:rPr>
          <w:rFonts w:ascii="Arial" w:hAnsi="Arial" w:cs="Arial"/>
          <w:sz w:val="22"/>
          <w:szCs w:val="22"/>
        </w:rPr>
      </w:pPr>
    </w:p>
    <w:p w14:paraId="2B999F4E" w14:textId="2552C905" w:rsidR="0075592F" w:rsidRDefault="00E268A4" w:rsidP="007F3510">
      <w:pPr>
        <w:ind w:left="-426" w:right="-518"/>
        <w:contextualSpacing/>
        <w:jc w:val="center"/>
        <w:rPr>
          <w:sz w:val="22"/>
          <w:szCs w:val="22"/>
        </w:rPr>
      </w:pPr>
      <w:r w:rsidRPr="000177E8">
        <w:rPr>
          <w:sz w:val="22"/>
          <w:szCs w:val="22"/>
        </w:rPr>
        <w:t xml:space="preserve">Dirección de Atención a Medios / Dirección General </w:t>
      </w:r>
      <w:r w:rsidR="0075592F" w:rsidRPr="000A2798">
        <w:rPr>
          <w:sz w:val="22"/>
          <w:szCs w:val="22"/>
        </w:rPr>
        <w:t>Adjunta de Comunicación</w:t>
      </w:r>
    </w:p>
    <w:p w14:paraId="73F685C7" w14:textId="77777777" w:rsidR="007F3510" w:rsidRPr="007F3510" w:rsidRDefault="007F3510" w:rsidP="007F3510">
      <w:pPr>
        <w:ind w:left="-426" w:right="-518"/>
        <w:contextualSpacing/>
        <w:jc w:val="center"/>
        <w:rPr>
          <w:sz w:val="22"/>
          <w:szCs w:val="22"/>
        </w:rPr>
      </w:pPr>
    </w:p>
    <w:p w14:paraId="60E78389" w14:textId="53770FA3" w:rsidR="00F23558" w:rsidRPr="007F3510" w:rsidRDefault="0075592F" w:rsidP="007F3510">
      <w:pPr>
        <w:ind w:left="-425" w:right="-516"/>
        <w:contextualSpacing/>
        <w:jc w:val="center"/>
        <w:rPr>
          <w:sz w:val="18"/>
          <w:szCs w:val="18"/>
        </w:rPr>
      </w:pPr>
      <w:r w:rsidRPr="00FF1218">
        <w:rPr>
          <w:noProof/>
          <w:lang w:val="es-MX" w:eastAsia="es-MX"/>
        </w:rPr>
        <w:drawing>
          <wp:inline distT="0" distB="0" distL="0" distR="0" wp14:anchorId="4FE1E9F1" wp14:editId="51EF14A1">
            <wp:extent cx="404816" cy="365620"/>
            <wp:effectExtent l="0" t="0" r="0" b="0"/>
            <wp:docPr id="17" name="Imagen 17"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247" cy="368719"/>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C0E7D7" wp14:editId="5E8AE916">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1CE3DC" wp14:editId="795E33DA">
            <wp:extent cx="365760" cy="365760"/>
            <wp:effectExtent l="0" t="0" r="0" b="0"/>
            <wp:docPr id="15" name="Imagen 15"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F83698" wp14:editId="26533D90">
            <wp:extent cx="365760" cy="365760"/>
            <wp:effectExtent l="0" t="0" r="0" b="0"/>
            <wp:docPr id="19" name="Imagen 19"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26D76B5" wp14:editId="1C6FDCD7">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9CABDCE" w14:textId="77777777" w:rsidR="00F23558" w:rsidRDefault="00F23558">
      <w:pPr>
        <w:jc w:val="left"/>
        <w:rPr>
          <w:bCs/>
        </w:rPr>
      </w:pPr>
    </w:p>
    <w:p w14:paraId="46031E67" w14:textId="77777777" w:rsidR="00881882" w:rsidRDefault="00881882">
      <w:pPr>
        <w:jc w:val="left"/>
        <w:rPr>
          <w:bCs/>
        </w:rPr>
      </w:pPr>
    </w:p>
    <w:p w14:paraId="2A43DD8B" w14:textId="51EE8221" w:rsidR="00881882" w:rsidRDefault="00881882">
      <w:pPr>
        <w:jc w:val="left"/>
        <w:rPr>
          <w:bCs/>
        </w:rPr>
        <w:sectPr w:rsidR="00881882" w:rsidSect="0075592F">
          <w:headerReference w:type="default" r:id="rId21"/>
          <w:footerReference w:type="default" r:id="rId22"/>
          <w:pgSz w:w="12242" w:h="15842" w:code="1"/>
          <w:pgMar w:top="1985" w:right="1185" w:bottom="1134" w:left="1418" w:header="567" w:footer="567" w:gutter="0"/>
          <w:paperSrc w:first="7" w:other="7"/>
          <w:pgNumType w:start="1"/>
          <w:cols w:space="720"/>
          <w:docGrid w:linePitch="360"/>
        </w:sectPr>
      </w:pPr>
    </w:p>
    <w:p w14:paraId="3D26EF62" w14:textId="77777777" w:rsidR="00F23558" w:rsidRPr="007F3510" w:rsidRDefault="00F23558" w:rsidP="00F23558">
      <w:pPr>
        <w:pStyle w:val="Profesin"/>
        <w:rPr>
          <w:sz w:val="24"/>
          <w:szCs w:val="24"/>
        </w:rPr>
      </w:pPr>
      <w:r w:rsidRPr="007F3510">
        <w:rPr>
          <w:bCs w:val="0"/>
          <w:sz w:val="24"/>
          <w:szCs w:val="24"/>
        </w:rPr>
        <w:lastRenderedPageBreak/>
        <w:t>NOTA TÉCNICA</w:t>
      </w:r>
      <w:r w:rsidRPr="007F3510">
        <w:rPr>
          <w:sz w:val="24"/>
          <w:szCs w:val="24"/>
        </w:rPr>
        <w:t xml:space="preserve"> </w:t>
      </w:r>
    </w:p>
    <w:p w14:paraId="1DFA86E8" w14:textId="77777777" w:rsidR="00F23558" w:rsidRPr="007F3510" w:rsidRDefault="00F23558" w:rsidP="00F23558">
      <w:pPr>
        <w:pStyle w:val="Profesin"/>
        <w:rPr>
          <w:sz w:val="24"/>
          <w:szCs w:val="24"/>
        </w:rPr>
      </w:pPr>
    </w:p>
    <w:p w14:paraId="35A99DF8" w14:textId="19BA5FD1" w:rsidR="00F23558" w:rsidRPr="007F3510" w:rsidRDefault="00F23558" w:rsidP="00F23558">
      <w:pPr>
        <w:pStyle w:val="Profesin"/>
        <w:rPr>
          <w:sz w:val="24"/>
          <w:szCs w:val="24"/>
        </w:rPr>
      </w:pPr>
      <w:r w:rsidRPr="007F3510">
        <w:rPr>
          <w:sz w:val="24"/>
          <w:szCs w:val="24"/>
        </w:rPr>
        <w:t>ÍNDICE NACIONAL DE PRECIOS AL CONSUMIDOR</w:t>
      </w:r>
    </w:p>
    <w:p w14:paraId="038E2EAE" w14:textId="471E0537" w:rsidR="00F23558" w:rsidRPr="007F3510" w:rsidRDefault="00F23558" w:rsidP="00F23558">
      <w:pPr>
        <w:jc w:val="center"/>
        <w:rPr>
          <w:b/>
          <w:bCs/>
        </w:rPr>
      </w:pPr>
      <w:r w:rsidRPr="007F3510">
        <w:rPr>
          <w:b/>
        </w:rPr>
        <w:t>ENERO DE 2021</w:t>
      </w:r>
    </w:p>
    <w:p w14:paraId="7DF24C6E" w14:textId="1342146C" w:rsidR="00E0429B" w:rsidRPr="00AD3792" w:rsidRDefault="00E0429B" w:rsidP="00A336F9">
      <w:pPr>
        <w:keepNext/>
        <w:keepLines/>
        <w:widowControl w:val="0"/>
        <w:spacing w:before="48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5EBF5085" w14:textId="0DF8C1BC" w:rsidR="005E43F8" w:rsidRPr="00D25428" w:rsidRDefault="002C5199" w:rsidP="005E43F8">
      <w:pPr>
        <w:keepNext/>
        <w:keepLines/>
        <w:widowControl w:val="0"/>
        <w:autoSpaceDE w:val="0"/>
        <w:autoSpaceDN w:val="0"/>
        <w:adjustRightInd w:val="0"/>
        <w:spacing w:before="360"/>
      </w:pPr>
      <w:r>
        <w:rPr>
          <w:color w:val="000000" w:themeColor="text1"/>
        </w:rPr>
        <w:t>Para</w:t>
      </w:r>
      <w:r w:rsidR="005E43F8">
        <w:rPr>
          <w:color w:val="000000" w:themeColor="text1"/>
        </w:rPr>
        <w:t xml:space="preserve"> enero de 2021 el </w:t>
      </w:r>
      <w:r w:rsidR="005E43F8" w:rsidRPr="00D25428">
        <w:rPr>
          <w:color w:val="000000" w:themeColor="text1"/>
        </w:rPr>
        <w:t xml:space="preserve">Índice Nacional de Precios al Consumidor (INPC) </w:t>
      </w:r>
      <w:r w:rsidR="005E43F8">
        <w:rPr>
          <w:color w:val="000000" w:themeColor="text1"/>
        </w:rPr>
        <w:t>aumentó</w:t>
      </w:r>
      <w:r w:rsidR="005E43F8" w:rsidRPr="00D25428">
        <w:rPr>
          <w:color w:val="000000" w:themeColor="text1"/>
        </w:rPr>
        <w:t xml:space="preserve"> </w:t>
      </w:r>
      <w:r w:rsidR="005E43F8">
        <w:rPr>
          <w:color w:val="000000" w:themeColor="text1"/>
        </w:rPr>
        <w:t xml:space="preserve">0.86 </w:t>
      </w:r>
      <w:r w:rsidR="005E43F8" w:rsidRPr="00D25428">
        <w:rPr>
          <w:color w:val="000000" w:themeColor="text1"/>
        </w:rPr>
        <w:t>por ciento</w:t>
      </w:r>
      <w:r w:rsidR="00AF5CA1">
        <w:rPr>
          <w:color w:val="000000" w:themeColor="text1"/>
        </w:rPr>
        <w:t xml:space="preserve"> frente al mes precedente</w:t>
      </w:r>
      <w:r w:rsidR="005E43F8">
        <w:rPr>
          <w:color w:val="000000" w:themeColor="text1"/>
        </w:rPr>
        <w:t>.</w:t>
      </w:r>
      <w:r w:rsidR="005E43F8" w:rsidRPr="00D25428">
        <w:rPr>
          <w:color w:val="000000" w:themeColor="text1"/>
        </w:rPr>
        <w:t xml:space="preserve"> </w:t>
      </w:r>
      <w:r w:rsidR="005E43F8">
        <w:rPr>
          <w:color w:val="000000" w:themeColor="text1"/>
        </w:rPr>
        <w:t xml:space="preserve">En el mismo </w:t>
      </w:r>
      <w:r w:rsidR="00AF5CA1">
        <w:rPr>
          <w:color w:val="000000" w:themeColor="text1"/>
        </w:rPr>
        <w:t xml:space="preserve">mes </w:t>
      </w:r>
      <w:r w:rsidR="005E43F8">
        <w:rPr>
          <w:color w:val="000000" w:themeColor="text1"/>
        </w:rPr>
        <w:t xml:space="preserve">de 2020 </w:t>
      </w:r>
      <w:r w:rsidR="00AF5CA1">
        <w:rPr>
          <w:color w:val="000000" w:themeColor="text1"/>
        </w:rPr>
        <w:t xml:space="preserve">registró un alza </w:t>
      </w:r>
      <w:r w:rsidR="00FB7D67">
        <w:rPr>
          <w:color w:val="000000" w:themeColor="text1"/>
        </w:rPr>
        <w:t xml:space="preserve">mensual </w:t>
      </w:r>
      <w:r w:rsidR="00AF5CA1">
        <w:rPr>
          <w:color w:val="000000" w:themeColor="text1"/>
        </w:rPr>
        <w:t xml:space="preserve">de </w:t>
      </w:r>
      <w:r w:rsidR="005E43F8">
        <w:rPr>
          <w:color w:val="000000" w:themeColor="text1"/>
        </w:rPr>
        <w:t>0.48 por ciento.</w:t>
      </w:r>
    </w:p>
    <w:p w14:paraId="46B85070" w14:textId="77777777" w:rsidR="005E43F8" w:rsidRPr="002239B6" w:rsidRDefault="005E43F8" w:rsidP="005E43F8">
      <w:pPr>
        <w:pStyle w:val="n01"/>
        <w:keepNext/>
        <w:spacing w:before="360"/>
        <w:ind w:left="0" w:firstLine="0"/>
        <w:jc w:val="center"/>
        <w:rPr>
          <w:rFonts w:ascii="Arial" w:hAnsi="Arial"/>
          <w:b/>
          <w:bCs/>
          <w:smallCaps/>
          <w:color w:val="000000" w:themeColor="text1"/>
          <w:sz w:val="22"/>
          <w:szCs w:val="22"/>
        </w:rPr>
      </w:pPr>
      <w:r w:rsidRPr="002239B6">
        <w:rPr>
          <w:rFonts w:ascii="Arial" w:hAnsi="Arial"/>
          <w:b/>
          <w:bCs/>
          <w:smallCaps/>
          <w:color w:val="000000" w:themeColor="text1"/>
          <w:sz w:val="22"/>
          <w:szCs w:val="22"/>
        </w:rPr>
        <w:t xml:space="preserve">Índice Nacional </w:t>
      </w:r>
      <w:r>
        <w:rPr>
          <w:rFonts w:ascii="Arial" w:hAnsi="Arial"/>
          <w:b/>
          <w:bCs/>
          <w:smallCaps/>
          <w:color w:val="000000" w:themeColor="text1"/>
          <w:sz w:val="22"/>
          <w:szCs w:val="22"/>
        </w:rPr>
        <w:t>d</w:t>
      </w:r>
      <w:r w:rsidRPr="002239B6">
        <w:rPr>
          <w:rFonts w:ascii="Arial" w:hAnsi="Arial"/>
          <w:b/>
          <w:bCs/>
          <w:smallCaps/>
          <w:color w:val="000000" w:themeColor="text1"/>
          <w:sz w:val="22"/>
          <w:szCs w:val="22"/>
        </w:rPr>
        <w:t xml:space="preserve">e Precios </w:t>
      </w:r>
      <w:r>
        <w:rPr>
          <w:rFonts w:ascii="Arial" w:hAnsi="Arial"/>
          <w:b/>
          <w:bCs/>
          <w:smallCaps/>
          <w:color w:val="000000" w:themeColor="text1"/>
          <w:sz w:val="22"/>
          <w:szCs w:val="22"/>
        </w:rPr>
        <w:t>a</w:t>
      </w:r>
      <w:r w:rsidRPr="002239B6">
        <w:rPr>
          <w:rFonts w:ascii="Arial" w:hAnsi="Arial"/>
          <w:b/>
          <w:bCs/>
          <w:smallCaps/>
          <w:color w:val="000000" w:themeColor="text1"/>
          <w:sz w:val="22"/>
          <w:szCs w:val="22"/>
        </w:rPr>
        <w:t>l Consumidor</w:t>
      </w:r>
    </w:p>
    <w:p w14:paraId="55FB46C7" w14:textId="392B7987" w:rsidR="005E43F8" w:rsidRPr="005E43F8" w:rsidRDefault="005E43F8" w:rsidP="005E43F8">
      <w:pPr>
        <w:widowControl w:val="0"/>
        <w:autoSpaceDE w:val="0"/>
        <w:autoSpaceDN w:val="0"/>
        <w:adjustRightInd w:val="0"/>
        <w:spacing w:before="3" w:line="225" w:lineRule="exact"/>
        <w:ind w:right="-20"/>
        <w:jc w:val="center"/>
        <w:rPr>
          <w:sz w:val="18"/>
          <w:szCs w:val="22"/>
        </w:rPr>
      </w:pPr>
      <w:r w:rsidRPr="005E43F8">
        <w:rPr>
          <w:sz w:val="18"/>
          <w:szCs w:val="22"/>
        </w:rPr>
        <w:t xml:space="preserve">Variación porcentual </w:t>
      </w:r>
      <w:r>
        <w:rPr>
          <w:sz w:val="18"/>
          <w:szCs w:val="22"/>
        </w:rPr>
        <w:t xml:space="preserve">mensual </w:t>
      </w:r>
      <w:r w:rsidRPr="005E43F8">
        <w:rPr>
          <w:sz w:val="18"/>
          <w:szCs w:val="22"/>
        </w:rPr>
        <w:t>en enero de los años que se indican</w:t>
      </w:r>
    </w:p>
    <w:p w14:paraId="0DEA1DD6" w14:textId="2BA51363" w:rsidR="005E43F8" w:rsidRDefault="00AF5CA1" w:rsidP="005E43F8">
      <w:pPr>
        <w:autoSpaceDE w:val="0"/>
        <w:autoSpaceDN w:val="0"/>
        <w:adjustRightInd w:val="0"/>
        <w:ind w:left="284"/>
        <w:jc w:val="center"/>
        <w:rPr>
          <w:color w:val="000000" w:themeColor="text1"/>
          <w:sz w:val="22"/>
          <w:szCs w:val="22"/>
        </w:rPr>
      </w:pPr>
      <w:r>
        <w:rPr>
          <w:noProof/>
        </w:rPr>
        <w:drawing>
          <wp:inline distT="0" distB="0" distL="0" distR="0" wp14:anchorId="76E57AA1" wp14:editId="2B15A908">
            <wp:extent cx="5040276"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1F7D808" w14:textId="4A142E1D" w:rsidR="005E43F8" w:rsidRPr="00D25428" w:rsidRDefault="005E43F8" w:rsidP="005E43F8">
      <w:pPr>
        <w:autoSpaceDE w:val="0"/>
        <w:autoSpaceDN w:val="0"/>
        <w:adjustRightInd w:val="0"/>
        <w:spacing w:before="360"/>
        <w:rPr>
          <w:color w:val="000000" w:themeColor="text1"/>
        </w:rPr>
      </w:pPr>
      <w:r w:rsidRPr="00D25428">
        <w:rPr>
          <w:color w:val="000000" w:themeColor="text1"/>
        </w:rPr>
        <w:t xml:space="preserve">En el siguiente cuadro se presentan las variaciones e incidencias durante el </w:t>
      </w:r>
      <w:r w:rsidR="00AF5CA1">
        <w:rPr>
          <w:color w:val="000000" w:themeColor="text1"/>
        </w:rPr>
        <w:t xml:space="preserve">primer </w:t>
      </w:r>
      <w:r w:rsidRPr="00D25428">
        <w:rPr>
          <w:color w:val="000000" w:themeColor="text1"/>
        </w:rPr>
        <w:t xml:space="preserve">mes de </w:t>
      </w:r>
      <w:r w:rsidR="00AF5CA1">
        <w:rPr>
          <w:color w:val="000000" w:themeColor="text1"/>
        </w:rPr>
        <w:t xml:space="preserve">este año </w:t>
      </w:r>
      <w:r>
        <w:rPr>
          <w:color w:val="000000" w:themeColor="text1"/>
        </w:rPr>
        <w:t xml:space="preserve">en el INPC, </w:t>
      </w:r>
      <w:r w:rsidRPr="00D25428">
        <w:rPr>
          <w:color w:val="000000" w:themeColor="text1"/>
        </w:rPr>
        <w:t xml:space="preserve">así como </w:t>
      </w:r>
      <w:r>
        <w:rPr>
          <w:color w:val="000000" w:themeColor="text1"/>
        </w:rPr>
        <w:t xml:space="preserve">en </w:t>
      </w:r>
      <w:r w:rsidRPr="00D25428">
        <w:rPr>
          <w:color w:val="000000" w:themeColor="text1"/>
        </w:rPr>
        <w:t xml:space="preserve">los subíndices que </w:t>
      </w:r>
      <w:r>
        <w:rPr>
          <w:color w:val="000000" w:themeColor="text1"/>
        </w:rPr>
        <w:t xml:space="preserve">lo </w:t>
      </w:r>
      <w:r w:rsidRPr="00D25428">
        <w:rPr>
          <w:color w:val="000000" w:themeColor="text1"/>
        </w:rPr>
        <w:t>integran</w:t>
      </w:r>
      <w:r w:rsidRPr="005E43F8">
        <w:rPr>
          <w:color w:val="000000" w:themeColor="text1"/>
        </w:rPr>
        <w:t>.</w:t>
      </w:r>
    </w:p>
    <w:p w14:paraId="280B3643" w14:textId="77777777" w:rsidR="00BF05FD" w:rsidRPr="002239B6" w:rsidRDefault="00BF05FD" w:rsidP="00BF05FD">
      <w:pPr>
        <w:keepNext/>
        <w:keepLines/>
        <w:spacing w:before="240"/>
        <w:jc w:val="center"/>
        <w:rPr>
          <w:b/>
          <w:bCs/>
          <w:smallCaps/>
          <w:color w:val="000000" w:themeColor="text1"/>
          <w:sz w:val="22"/>
          <w:szCs w:val="22"/>
        </w:rPr>
      </w:pPr>
      <w:r w:rsidRPr="002239B6">
        <w:rPr>
          <w:b/>
          <w:bCs/>
          <w:smallCaps/>
          <w:color w:val="000000" w:themeColor="text1"/>
          <w:sz w:val="22"/>
          <w:szCs w:val="22"/>
        </w:rPr>
        <w:lastRenderedPageBreak/>
        <w:t xml:space="preserve">INPC, Subyacente </w:t>
      </w:r>
      <w:r>
        <w:rPr>
          <w:b/>
          <w:bCs/>
          <w:smallCaps/>
          <w:color w:val="000000" w:themeColor="text1"/>
          <w:sz w:val="22"/>
          <w:szCs w:val="22"/>
        </w:rPr>
        <w:t>y</w:t>
      </w:r>
      <w:r w:rsidRPr="002239B6">
        <w:rPr>
          <w:b/>
          <w:bCs/>
          <w:smallCaps/>
          <w:color w:val="000000" w:themeColor="text1"/>
          <w:sz w:val="22"/>
          <w:szCs w:val="22"/>
        </w:rPr>
        <w:t xml:space="preserve"> No Subyacente</w:t>
      </w:r>
    </w:p>
    <w:p w14:paraId="36DEA424" w14:textId="77777777" w:rsidR="005E43F8" w:rsidRPr="00BF05FD" w:rsidRDefault="005E43F8" w:rsidP="00BF05FD">
      <w:pPr>
        <w:keepNext/>
        <w:keepLines/>
        <w:autoSpaceDE w:val="0"/>
        <w:autoSpaceDN w:val="0"/>
        <w:adjustRightInd w:val="0"/>
        <w:jc w:val="center"/>
        <w:rPr>
          <w:sz w:val="18"/>
          <w:szCs w:val="18"/>
        </w:rPr>
      </w:pPr>
      <w:r w:rsidRPr="00BF05FD">
        <w:rPr>
          <w:sz w:val="18"/>
          <w:szCs w:val="18"/>
        </w:rPr>
        <w:t>Variación porcentual e incidencia durante enero en los años que se indican</w:t>
      </w:r>
    </w:p>
    <w:p w14:paraId="762C4FF0" w14:textId="35CDDD3A" w:rsidR="005E43F8" w:rsidRPr="00BF05FD" w:rsidRDefault="009163B7" w:rsidP="00BF05FD">
      <w:pPr>
        <w:keepNext/>
        <w:keepLines/>
        <w:autoSpaceDE w:val="0"/>
        <w:autoSpaceDN w:val="0"/>
        <w:adjustRightInd w:val="0"/>
        <w:jc w:val="center"/>
        <w:rPr>
          <w:noProof/>
        </w:rPr>
      </w:pPr>
      <w:r w:rsidRPr="009163B7">
        <w:rPr>
          <w:noProof/>
        </w:rPr>
        <w:drawing>
          <wp:inline distT="0" distB="0" distL="0" distR="0" wp14:anchorId="57766A90" wp14:editId="07D6C856">
            <wp:extent cx="6120765" cy="2568153"/>
            <wp:effectExtent l="0" t="0" r="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68153"/>
                    </a:xfrm>
                    <a:prstGeom prst="rect">
                      <a:avLst/>
                    </a:prstGeom>
                    <a:noFill/>
                    <a:ln>
                      <a:noFill/>
                    </a:ln>
                  </pic:spPr>
                </pic:pic>
              </a:graphicData>
            </a:graphic>
          </wp:inline>
        </w:drawing>
      </w:r>
    </w:p>
    <w:p w14:paraId="1D0393C4" w14:textId="77777777" w:rsidR="005E43F8" w:rsidRPr="00BF05FD" w:rsidRDefault="005E43F8" w:rsidP="00BF05FD">
      <w:pPr>
        <w:keepNext/>
        <w:keepLines/>
        <w:autoSpaceDE w:val="0"/>
        <w:autoSpaceDN w:val="0"/>
        <w:adjustRightInd w:val="0"/>
        <w:ind w:left="283" w:right="113" w:hanging="170"/>
        <w:rPr>
          <w:color w:val="006600"/>
          <w:sz w:val="16"/>
          <w:szCs w:val="16"/>
        </w:rPr>
      </w:pPr>
      <w:r w:rsidRPr="003B2C91">
        <w:rPr>
          <w:color w:val="006600"/>
          <w:sz w:val="18"/>
          <w:szCs w:val="16"/>
          <w:vertAlign w:val="superscript"/>
        </w:rPr>
        <w:t>1/</w:t>
      </w:r>
      <w:r w:rsidRPr="00BF05FD">
        <w:rPr>
          <w:color w:val="006600"/>
          <w:sz w:val="18"/>
          <w:szCs w:val="16"/>
          <w:vertAlign w:val="superscript"/>
        </w:rPr>
        <w:tab/>
      </w:r>
      <w:r w:rsidRPr="00BF05FD">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2D487722" w14:textId="77777777" w:rsidR="005E43F8" w:rsidRPr="00BF05FD" w:rsidRDefault="005E43F8" w:rsidP="00BF05FD">
      <w:pPr>
        <w:keepNext/>
        <w:keepLines/>
        <w:autoSpaceDE w:val="0"/>
        <w:autoSpaceDN w:val="0"/>
        <w:adjustRightInd w:val="0"/>
        <w:ind w:left="283" w:right="113" w:hanging="170"/>
        <w:rPr>
          <w:color w:val="006600"/>
          <w:sz w:val="16"/>
          <w:szCs w:val="16"/>
        </w:rPr>
      </w:pPr>
      <w:r w:rsidRPr="003B2C91">
        <w:rPr>
          <w:color w:val="006600"/>
          <w:sz w:val="18"/>
          <w:szCs w:val="16"/>
          <w:vertAlign w:val="superscript"/>
        </w:rPr>
        <w:t>2/</w:t>
      </w:r>
      <w:r w:rsidRPr="00BF05FD">
        <w:rPr>
          <w:color w:val="006600"/>
          <w:sz w:val="18"/>
          <w:szCs w:val="16"/>
          <w:vertAlign w:val="superscript"/>
        </w:rPr>
        <w:tab/>
      </w:r>
      <w:r w:rsidRPr="00BF05FD">
        <w:rPr>
          <w:color w:val="006600"/>
          <w:sz w:val="16"/>
          <w:szCs w:val="16"/>
        </w:rPr>
        <w:t>Incluye alimentos procesados, bebidas y tabaco, no incluye productos agropecuarios.</w:t>
      </w:r>
    </w:p>
    <w:p w14:paraId="500F1E47" w14:textId="77777777" w:rsidR="005E43F8" w:rsidRPr="00BF05FD" w:rsidRDefault="005E43F8" w:rsidP="00BF05FD">
      <w:pPr>
        <w:keepNext/>
        <w:keepLines/>
        <w:autoSpaceDE w:val="0"/>
        <w:autoSpaceDN w:val="0"/>
        <w:adjustRightInd w:val="0"/>
        <w:ind w:left="283" w:right="113" w:hanging="170"/>
        <w:rPr>
          <w:color w:val="006600"/>
          <w:sz w:val="16"/>
          <w:szCs w:val="16"/>
        </w:rPr>
      </w:pPr>
      <w:r w:rsidRPr="003B2C91">
        <w:rPr>
          <w:color w:val="006600"/>
          <w:sz w:val="18"/>
          <w:szCs w:val="16"/>
          <w:vertAlign w:val="superscript"/>
        </w:rPr>
        <w:t>3/</w:t>
      </w:r>
      <w:r w:rsidRPr="00BF05FD">
        <w:rPr>
          <w:color w:val="006600"/>
          <w:sz w:val="16"/>
          <w:szCs w:val="16"/>
        </w:rPr>
        <w:tab/>
        <w:t>Incluye vivienda propia, renta de vivienda, servicio doméstico y otros servicios para el hogar.</w:t>
      </w:r>
    </w:p>
    <w:p w14:paraId="6F097C35" w14:textId="4E8CB8E6" w:rsidR="005E43F8" w:rsidRPr="00BF05FD" w:rsidRDefault="005E43F8" w:rsidP="00BF05FD">
      <w:pPr>
        <w:keepNext/>
        <w:keepLines/>
        <w:autoSpaceDE w:val="0"/>
        <w:autoSpaceDN w:val="0"/>
        <w:adjustRightInd w:val="0"/>
        <w:ind w:left="283" w:right="11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BF05FD">
        <w:rPr>
          <w:color w:val="006600"/>
          <w:sz w:val="16"/>
          <w:szCs w:val="16"/>
        </w:rPr>
        <w:t>Incluye loncherías, fondas y taquerías, restaurantes y similares, servicio de telefonía móvil, mantenimiento de automóvil, consulta médica, servicios turísticos en paquete, entre otros.</w:t>
      </w:r>
    </w:p>
    <w:p w14:paraId="7C20F16C" w14:textId="77777777" w:rsidR="005E43F8" w:rsidRPr="007F75D1" w:rsidRDefault="005E43F8" w:rsidP="00BF05FD">
      <w:pPr>
        <w:pStyle w:val="n01"/>
        <w:keepLines w:val="0"/>
        <w:spacing w:before="720"/>
        <w:ind w:left="0" w:firstLine="0"/>
        <w:rPr>
          <w:rFonts w:ascii="Arial" w:hAnsi="Arial"/>
          <w:b/>
          <w:i/>
          <w:color w:val="auto"/>
        </w:rPr>
      </w:pPr>
      <w:r w:rsidRPr="007F75D1">
        <w:rPr>
          <w:rFonts w:ascii="Arial" w:hAnsi="Arial"/>
          <w:b/>
          <w:i/>
          <w:color w:val="auto"/>
        </w:rPr>
        <w:t>Índices Subyacente y No Subyacente</w:t>
      </w:r>
    </w:p>
    <w:p w14:paraId="5E00A317" w14:textId="68D0F618" w:rsidR="005E43F8" w:rsidRPr="00AF5DD6" w:rsidRDefault="005E43F8" w:rsidP="00BF05FD">
      <w:pPr>
        <w:autoSpaceDE w:val="0"/>
        <w:autoSpaceDN w:val="0"/>
        <w:adjustRightInd w:val="0"/>
        <w:spacing w:before="240"/>
        <w:rPr>
          <w:szCs w:val="22"/>
        </w:rPr>
      </w:pPr>
      <w:r w:rsidRPr="00AF5DD6">
        <w:rPr>
          <w:szCs w:val="22"/>
        </w:rPr>
        <w:t xml:space="preserve">La variación mensual </w:t>
      </w:r>
      <w:r w:rsidR="00824DE6">
        <w:rPr>
          <w:szCs w:val="22"/>
        </w:rPr>
        <w:t>durante</w:t>
      </w:r>
      <w:r w:rsidRPr="00AF5DD6">
        <w:rPr>
          <w:szCs w:val="22"/>
        </w:rPr>
        <w:t xml:space="preserve"> </w:t>
      </w:r>
      <w:r>
        <w:rPr>
          <w:szCs w:val="22"/>
        </w:rPr>
        <w:t>enero</w:t>
      </w:r>
      <w:r w:rsidRPr="00AF5DD6">
        <w:rPr>
          <w:szCs w:val="22"/>
        </w:rPr>
        <w:t xml:space="preserve"> </w:t>
      </w:r>
      <w:r>
        <w:rPr>
          <w:szCs w:val="22"/>
        </w:rPr>
        <w:t>de</w:t>
      </w:r>
      <w:r w:rsidR="00824DE6">
        <w:rPr>
          <w:szCs w:val="22"/>
        </w:rPr>
        <w:t>l año en curso</w:t>
      </w:r>
      <w:r>
        <w:rPr>
          <w:szCs w:val="22"/>
        </w:rPr>
        <w:t xml:space="preserve"> </w:t>
      </w:r>
      <w:r w:rsidRPr="00AF5DD6">
        <w:rPr>
          <w:szCs w:val="22"/>
        </w:rPr>
        <w:t>de los índices subyacente y no subyacente fue de</w:t>
      </w:r>
      <w:r>
        <w:rPr>
          <w:szCs w:val="22"/>
        </w:rPr>
        <w:t xml:space="preserve"> </w:t>
      </w:r>
      <w:r w:rsidRPr="00AF5DD6">
        <w:rPr>
          <w:szCs w:val="22"/>
        </w:rPr>
        <w:t>0.</w:t>
      </w:r>
      <w:r>
        <w:rPr>
          <w:szCs w:val="22"/>
        </w:rPr>
        <w:t xml:space="preserve">36 y </w:t>
      </w:r>
      <w:r w:rsidR="00AF5CA1">
        <w:rPr>
          <w:szCs w:val="22"/>
        </w:rPr>
        <w:t xml:space="preserve">de </w:t>
      </w:r>
      <w:r>
        <w:rPr>
          <w:szCs w:val="22"/>
        </w:rPr>
        <w:t xml:space="preserve">2.40 </w:t>
      </w:r>
      <w:r w:rsidRPr="00AF5DD6">
        <w:rPr>
          <w:szCs w:val="22"/>
        </w:rPr>
        <w:t>por ciento</w:t>
      </w:r>
      <w:r w:rsidR="00AF5CA1">
        <w:rPr>
          <w:szCs w:val="22"/>
        </w:rPr>
        <w:t>,</w:t>
      </w:r>
      <w:r w:rsidRPr="00AF5DD6">
        <w:rPr>
          <w:szCs w:val="22"/>
        </w:rPr>
        <w:t xml:space="preserve"> respectivamente</w:t>
      </w:r>
      <w:r w:rsidR="00AF5CA1">
        <w:rPr>
          <w:szCs w:val="22"/>
        </w:rPr>
        <w:t>.</w:t>
      </w:r>
      <w:r w:rsidRPr="00AF5DD6">
        <w:rPr>
          <w:szCs w:val="22"/>
        </w:rPr>
        <w:t xml:space="preserve"> </w:t>
      </w:r>
      <w:r w:rsidR="00AF5CA1">
        <w:rPr>
          <w:szCs w:val="22"/>
        </w:rPr>
        <w:t xml:space="preserve">Los </w:t>
      </w:r>
      <w:r>
        <w:rPr>
          <w:szCs w:val="22"/>
        </w:rPr>
        <w:t>d</w:t>
      </w:r>
      <w:r w:rsidRPr="00AF5DD6">
        <w:rPr>
          <w:szCs w:val="22"/>
        </w:rPr>
        <w:t>atos compara</w:t>
      </w:r>
      <w:r w:rsidR="00AF5CA1">
        <w:rPr>
          <w:szCs w:val="22"/>
        </w:rPr>
        <w:t xml:space="preserve">bles para igual mes de un </w:t>
      </w:r>
      <w:r>
        <w:rPr>
          <w:szCs w:val="22"/>
        </w:rPr>
        <w:t>año</w:t>
      </w:r>
      <w:r w:rsidRPr="00AF5DD6">
        <w:rPr>
          <w:szCs w:val="22"/>
        </w:rPr>
        <w:t xml:space="preserve"> </w:t>
      </w:r>
      <w:r w:rsidR="00AF5CA1">
        <w:rPr>
          <w:szCs w:val="22"/>
        </w:rPr>
        <w:t xml:space="preserve">antes </w:t>
      </w:r>
      <w:r>
        <w:rPr>
          <w:szCs w:val="22"/>
        </w:rPr>
        <w:t>fuer</w:t>
      </w:r>
      <w:r w:rsidRPr="00AF5DD6">
        <w:rPr>
          <w:szCs w:val="22"/>
        </w:rPr>
        <w:t>on</w:t>
      </w:r>
      <w:r>
        <w:rPr>
          <w:szCs w:val="22"/>
        </w:rPr>
        <w:t xml:space="preserve"> </w:t>
      </w:r>
      <w:r w:rsidR="00AF5CA1">
        <w:rPr>
          <w:szCs w:val="22"/>
        </w:rPr>
        <w:t xml:space="preserve">de </w:t>
      </w:r>
      <w:r>
        <w:rPr>
          <w:szCs w:val="22"/>
        </w:rPr>
        <w:t>0</w:t>
      </w:r>
      <w:r w:rsidRPr="00AF5DD6">
        <w:rPr>
          <w:szCs w:val="22"/>
        </w:rPr>
        <w:t>.</w:t>
      </w:r>
      <w:r>
        <w:rPr>
          <w:szCs w:val="22"/>
        </w:rPr>
        <w:t>33</w:t>
      </w:r>
      <w:r w:rsidRPr="00AF5DD6">
        <w:rPr>
          <w:szCs w:val="22"/>
        </w:rPr>
        <w:t xml:space="preserve"> y </w:t>
      </w:r>
      <w:r w:rsidR="00AF5CA1">
        <w:rPr>
          <w:szCs w:val="22"/>
        </w:rPr>
        <w:t xml:space="preserve">de </w:t>
      </w:r>
      <w:r>
        <w:rPr>
          <w:szCs w:val="22"/>
        </w:rPr>
        <w:t>0.96 por ciento.</w:t>
      </w:r>
    </w:p>
    <w:p w14:paraId="6036EF92" w14:textId="77777777" w:rsidR="00BF05FD" w:rsidRPr="005C619F" w:rsidRDefault="00BF05FD" w:rsidP="00BF05FD">
      <w:pPr>
        <w:keepNext/>
        <w:keepLines/>
        <w:spacing w:before="240"/>
        <w:jc w:val="center"/>
        <w:rPr>
          <w:b/>
          <w:bCs/>
          <w:smallCaps/>
          <w:color w:val="000000" w:themeColor="text1"/>
          <w:sz w:val="22"/>
          <w:szCs w:val="22"/>
        </w:rPr>
      </w:pPr>
      <w:r w:rsidRPr="005C619F">
        <w:rPr>
          <w:b/>
          <w:bCs/>
          <w:smallCaps/>
          <w:color w:val="000000" w:themeColor="text1"/>
          <w:sz w:val="22"/>
          <w:szCs w:val="22"/>
        </w:rPr>
        <w:lastRenderedPageBreak/>
        <w:t>Índice</w:t>
      </w:r>
      <w:r>
        <w:rPr>
          <w:b/>
          <w:bCs/>
          <w:smallCaps/>
          <w:color w:val="000000" w:themeColor="text1"/>
          <w:sz w:val="22"/>
          <w:szCs w:val="22"/>
        </w:rPr>
        <w:t>s</w:t>
      </w:r>
      <w:r w:rsidRPr="005C619F">
        <w:rPr>
          <w:b/>
          <w:bCs/>
          <w:smallCaps/>
          <w:color w:val="000000" w:themeColor="text1"/>
          <w:sz w:val="22"/>
          <w:szCs w:val="22"/>
        </w:rPr>
        <w:t xml:space="preserve"> </w:t>
      </w:r>
      <w:r>
        <w:rPr>
          <w:b/>
          <w:bCs/>
          <w:smallCaps/>
          <w:color w:val="000000" w:themeColor="text1"/>
          <w:sz w:val="22"/>
          <w:szCs w:val="22"/>
        </w:rPr>
        <w:t>d</w:t>
      </w:r>
      <w:r w:rsidRPr="005C619F">
        <w:rPr>
          <w:b/>
          <w:bCs/>
          <w:smallCaps/>
          <w:color w:val="000000" w:themeColor="text1"/>
          <w:sz w:val="22"/>
          <w:szCs w:val="22"/>
        </w:rPr>
        <w:t xml:space="preserve">e Precios Subyacente </w:t>
      </w:r>
      <w:r>
        <w:rPr>
          <w:b/>
          <w:bCs/>
          <w:smallCaps/>
          <w:color w:val="000000" w:themeColor="text1"/>
          <w:sz w:val="22"/>
          <w:szCs w:val="22"/>
        </w:rPr>
        <w:t>y</w:t>
      </w:r>
      <w:r w:rsidRPr="005C619F">
        <w:rPr>
          <w:b/>
          <w:bCs/>
          <w:smallCaps/>
          <w:color w:val="000000" w:themeColor="text1"/>
          <w:sz w:val="22"/>
          <w:szCs w:val="22"/>
        </w:rPr>
        <w:t xml:space="preserve"> No Subyacente</w:t>
      </w:r>
    </w:p>
    <w:p w14:paraId="3691A0E9" w14:textId="31B6D255" w:rsidR="00BF05FD" w:rsidRPr="009C187D" w:rsidRDefault="00BF05FD" w:rsidP="00BF05FD">
      <w:pPr>
        <w:keepNext/>
        <w:keepLines/>
        <w:widowControl w:val="0"/>
        <w:autoSpaceDE w:val="0"/>
        <w:autoSpaceDN w:val="0"/>
        <w:adjustRightInd w:val="0"/>
        <w:jc w:val="center"/>
        <w:rPr>
          <w:sz w:val="18"/>
        </w:rPr>
      </w:pPr>
      <w:r w:rsidRPr="009C187D">
        <w:rPr>
          <w:sz w:val="18"/>
        </w:rPr>
        <w:t xml:space="preserve">Variación porcentual </w:t>
      </w:r>
      <w:r>
        <w:rPr>
          <w:sz w:val="18"/>
        </w:rPr>
        <w:t xml:space="preserve">mensual </w:t>
      </w:r>
      <w:r w:rsidRPr="009C187D">
        <w:rPr>
          <w:sz w:val="18"/>
        </w:rPr>
        <w:t xml:space="preserve">en </w:t>
      </w:r>
      <w:r>
        <w:rPr>
          <w:sz w:val="18"/>
        </w:rPr>
        <w:t xml:space="preserve">enero </w:t>
      </w:r>
      <w:r w:rsidRPr="009C187D">
        <w:rPr>
          <w:sz w:val="18"/>
        </w:rPr>
        <w:t>de los años que se indican</w:t>
      </w:r>
    </w:p>
    <w:p w14:paraId="7D76BF62" w14:textId="30E3F9F3" w:rsidR="005E43F8" w:rsidRPr="00BF05FD" w:rsidRDefault="00AF5CA1" w:rsidP="005E43F8">
      <w:pPr>
        <w:pStyle w:val="n01"/>
        <w:keepLines w:val="0"/>
        <w:spacing w:before="0"/>
        <w:ind w:left="0" w:firstLine="0"/>
        <w:jc w:val="center"/>
        <w:rPr>
          <w:noProof/>
        </w:rPr>
      </w:pPr>
      <w:r>
        <w:rPr>
          <w:noProof/>
        </w:rPr>
        <w:drawing>
          <wp:inline distT="0" distB="0" distL="0" distR="0" wp14:anchorId="34F8A4A9" wp14:editId="44C036DC">
            <wp:extent cx="5041872" cy="2880000"/>
            <wp:effectExtent l="0" t="0" r="26035" b="15875"/>
            <wp:docPr id="29" name="Gráfico 2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371033A" w14:textId="16D38FAC" w:rsidR="005E43F8" w:rsidRPr="00D25428" w:rsidRDefault="006E4766" w:rsidP="00BF05FD">
      <w:pPr>
        <w:autoSpaceDE w:val="0"/>
        <w:autoSpaceDN w:val="0"/>
        <w:adjustRightInd w:val="0"/>
        <w:spacing w:before="240"/>
        <w:rPr>
          <w:color w:val="000000" w:themeColor="text1"/>
        </w:rPr>
      </w:pPr>
      <w:r>
        <w:rPr>
          <w:color w:val="000000" w:themeColor="text1"/>
        </w:rPr>
        <w:t>El comportamiento</w:t>
      </w:r>
      <w:r w:rsidR="005E43F8" w:rsidRPr="00D25428">
        <w:rPr>
          <w:color w:val="000000" w:themeColor="text1"/>
        </w:rPr>
        <w:t xml:space="preserve"> anual del INPC </w:t>
      </w:r>
      <w:r w:rsidR="00824DE6">
        <w:rPr>
          <w:color w:val="000000" w:themeColor="text1"/>
        </w:rPr>
        <w:t>durante</w:t>
      </w:r>
      <w:r w:rsidR="005E43F8" w:rsidRPr="00D25428">
        <w:rPr>
          <w:color w:val="000000" w:themeColor="text1"/>
        </w:rPr>
        <w:t xml:space="preserve"> </w:t>
      </w:r>
      <w:r w:rsidR="005E43F8">
        <w:rPr>
          <w:color w:val="000000" w:themeColor="text1"/>
        </w:rPr>
        <w:t>enero d</w:t>
      </w:r>
      <w:r w:rsidR="005E43F8" w:rsidRPr="00D25428">
        <w:rPr>
          <w:color w:val="000000" w:themeColor="text1"/>
        </w:rPr>
        <w:t xml:space="preserve">e </w:t>
      </w:r>
      <w:r>
        <w:rPr>
          <w:color w:val="000000" w:themeColor="text1"/>
        </w:rPr>
        <w:t>este año</w:t>
      </w:r>
      <w:r w:rsidR="005E43F8" w:rsidRPr="00D25428">
        <w:rPr>
          <w:color w:val="000000" w:themeColor="text1"/>
        </w:rPr>
        <w:t xml:space="preserve"> fue de </w:t>
      </w:r>
      <w:r w:rsidR="00824DE6">
        <w:rPr>
          <w:color w:val="000000" w:themeColor="text1"/>
        </w:rPr>
        <w:t xml:space="preserve">un incremento de </w:t>
      </w:r>
      <w:r w:rsidR="005E43F8">
        <w:rPr>
          <w:color w:val="000000" w:themeColor="text1"/>
        </w:rPr>
        <w:t xml:space="preserve">3.54 </w:t>
      </w:r>
      <w:r w:rsidR="005E43F8" w:rsidRPr="00D25428">
        <w:rPr>
          <w:color w:val="000000" w:themeColor="text1"/>
        </w:rPr>
        <w:t>por ciento</w:t>
      </w:r>
      <w:r w:rsidR="0072433F">
        <w:rPr>
          <w:color w:val="000000" w:themeColor="text1"/>
        </w:rPr>
        <w:t>;</w:t>
      </w:r>
      <w:r w:rsidR="005E43F8" w:rsidRPr="00D25428">
        <w:rPr>
          <w:color w:val="000000" w:themeColor="text1"/>
        </w:rPr>
        <w:t xml:space="preserve"> </w:t>
      </w:r>
      <w:r w:rsidR="005E43F8">
        <w:rPr>
          <w:color w:val="000000" w:themeColor="text1"/>
        </w:rPr>
        <w:t>e</w:t>
      </w:r>
      <w:r w:rsidR="005E43F8" w:rsidRPr="00D25428">
        <w:rPr>
          <w:color w:val="000000" w:themeColor="text1"/>
        </w:rPr>
        <w:t xml:space="preserve">n el mismo mes del año anterior fue de </w:t>
      </w:r>
      <w:r w:rsidR="005E43F8">
        <w:rPr>
          <w:color w:val="000000" w:themeColor="text1"/>
        </w:rPr>
        <w:t>3.24</w:t>
      </w:r>
      <w:r w:rsidR="005E43F8" w:rsidRPr="00D25428">
        <w:rPr>
          <w:color w:val="000000" w:themeColor="text1"/>
        </w:rPr>
        <w:t xml:space="preserve"> por ciento</w:t>
      </w:r>
      <w:r w:rsidR="005E43F8">
        <w:rPr>
          <w:color w:val="000000" w:themeColor="text1"/>
        </w:rPr>
        <w:t>.</w:t>
      </w:r>
      <w:r w:rsidR="005E43F8" w:rsidRPr="00D25428">
        <w:rPr>
          <w:color w:val="000000" w:themeColor="text1"/>
        </w:rPr>
        <w:t xml:space="preserve"> </w:t>
      </w:r>
      <w:r w:rsidR="005E43F8">
        <w:rPr>
          <w:color w:val="000000" w:themeColor="text1"/>
        </w:rPr>
        <w:t>A su interior,</w:t>
      </w:r>
      <w:r w:rsidR="005E43F8" w:rsidRPr="00D25428">
        <w:rPr>
          <w:color w:val="000000" w:themeColor="text1"/>
        </w:rPr>
        <w:t xml:space="preserve"> la variación anual de los índices subyacente y no subyacente fue</w:t>
      </w:r>
      <w:r w:rsidR="005E43F8">
        <w:rPr>
          <w:color w:val="000000" w:themeColor="text1"/>
        </w:rPr>
        <w:t xml:space="preserve"> de</w:t>
      </w:r>
      <w:r w:rsidR="005E43F8" w:rsidRPr="00D25428">
        <w:rPr>
          <w:color w:val="000000" w:themeColor="text1"/>
        </w:rPr>
        <w:t xml:space="preserve"> </w:t>
      </w:r>
      <w:r w:rsidR="005E43F8">
        <w:rPr>
          <w:color w:val="000000" w:themeColor="text1"/>
        </w:rPr>
        <w:t>3.84</w:t>
      </w:r>
      <w:r w:rsidR="005E43F8" w:rsidRPr="00D25428">
        <w:rPr>
          <w:color w:val="000000" w:themeColor="text1"/>
        </w:rPr>
        <w:t xml:space="preserve"> y </w:t>
      </w:r>
      <w:r>
        <w:rPr>
          <w:color w:val="000000" w:themeColor="text1"/>
        </w:rPr>
        <w:t xml:space="preserve">de </w:t>
      </w:r>
      <w:r w:rsidR="005E43F8">
        <w:rPr>
          <w:color w:val="000000" w:themeColor="text1"/>
        </w:rPr>
        <w:t>2.63</w:t>
      </w:r>
      <w:r w:rsidR="005E43F8" w:rsidRPr="00D25428">
        <w:rPr>
          <w:color w:val="000000" w:themeColor="text1"/>
        </w:rPr>
        <w:t xml:space="preserve"> por ciento</w:t>
      </w:r>
      <w:r>
        <w:rPr>
          <w:color w:val="000000" w:themeColor="text1"/>
        </w:rPr>
        <w:t>, en ese orden</w:t>
      </w:r>
      <w:r w:rsidR="005E43F8">
        <w:rPr>
          <w:color w:val="000000" w:themeColor="text1"/>
        </w:rPr>
        <w:t>.</w:t>
      </w:r>
      <w:r w:rsidR="005E43F8" w:rsidRPr="00D25428">
        <w:rPr>
          <w:color w:val="000000" w:themeColor="text1"/>
        </w:rPr>
        <w:t xml:space="preserve"> </w:t>
      </w:r>
      <w:r w:rsidR="005E43F8">
        <w:rPr>
          <w:color w:val="000000" w:themeColor="text1"/>
        </w:rPr>
        <w:t>E</w:t>
      </w:r>
      <w:r w:rsidR="005E43F8" w:rsidRPr="00D25428">
        <w:rPr>
          <w:color w:val="000000" w:themeColor="text1"/>
        </w:rPr>
        <w:t xml:space="preserve">n </w:t>
      </w:r>
      <w:r>
        <w:rPr>
          <w:color w:val="000000" w:themeColor="text1"/>
        </w:rPr>
        <w:t xml:space="preserve">enero </w:t>
      </w:r>
      <w:r w:rsidR="005E43F8" w:rsidRPr="00D25428">
        <w:rPr>
          <w:color w:val="000000" w:themeColor="text1"/>
        </w:rPr>
        <w:t>de 20</w:t>
      </w:r>
      <w:r>
        <w:rPr>
          <w:color w:val="000000" w:themeColor="text1"/>
        </w:rPr>
        <w:t>20</w:t>
      </w:r>
      <w:r w:rsidR="005E43F8" w:rsidRPr="00D25428">
        <w:rPr>
          <w:color w:val="000000" w:themeColor="text1"/>
        </w:rPr>
        <w:t xml:space="preserve"> las cifras correspondientes fueron</w:t>
      </w:r>
      <w:r w:rsidR="005E43F8">
        <w:rPr>
          <w:color w:val="000000" w:themeColor="text1"/>
        </w:rPr>
        <w:t xml:space="preserve"> de</w:t>
      </w:r>
      <w:r w:rsidR="005E43F8" w:rsidRPr="00D25428">
        <w:rPr>
          <w:color w:val="000000" w:themeColor="text1"/>
        </w:rPr>
        <w:t xml:space="preserve"> </w:t>
      </w:r>
      <w:r w:rsidR="005E43F8">
        <w:rPr>
          <w:color w:val="000000" w:themeColor="text1"/>
        </w:rPr>
        <w:t>3.73</w:t>
      </w:r>
      <w:r w:rsidR="005E43F8" w:rsidRPr="00D25428">
        <w:rPr>
          <w:color w:val="000000" w:themeColor="text1"/>
        </w:rPr>
        <w:t xml:space="preserve"> y</w:t>
      </w:r>
      <w:r w:rsidR="005E43F8">
        <w:rPr>
          <w:color w:val="000000" w:themeColor="text1"/>
        </w:rPr>
        <w:t xml:space="preserve"> </w:t>
      </w:r>
      <w:r>
        <w:rPr>
          <w:color w:val="000000" w:themeColor="text1"/>
        </w:rPr>
        <w:t xml:space="preserve">de </w:t>
      </w:r>
      <w:r w:rsidR="005E43F8">
        <w:rPr>
          <w:color w:val="000000" w:themeColor="text1"/>
        </w:rPr>
        <w:t>1.81</w:t>
      </w:r>
      <w:r w:rsidR="005E43F8" w:rsidRPr="00D25428">
        <w:rPr>
          <w:color w:val="000000" w:themeColor="text1"/>
        </w:rPr>
        <w:t xml:space="preserve"> por ciento.</w:t>
      </w:r>
    </w:p>
    <w:p w14:paraId="33D651B8" w14:textId="77777777" w:rsidR="00BF05FD" w:rsidRPr="005C619F" w:rsidRDefault="00BF05FD" w:rsidP="00BF05FD">
      <w:pPr>
        <w:pStyle w:val="n01"/>
        <w:keepNext/>
        <w:ind w:left="0" w:firstLine="0"/>
        <w:jc w:val="center"/>
        <w:rPr>
          <w:rFonts w:ascii="Arial" w:hAnsi="Arial"/>
          <w:b/>
          <w:bCs/>
          <w:smallCaps/>
          <w:color w:val="000000" w:themeColor="text1"/>
          <w:sz w:val="22"/>
          <w:szCs w:val="22"/>
        </w:rPr>
      </w:pPr>
      <w:r w:rsidRPr="005C619F">
        <w:rPr>
          <w:rFonts w:ascii="Arial" w:hAnsi="Arial"/>
          <w:b/>
          <w:bCs/>
          <w:smallCaps/>
          <w:color w:val="000000" w:themeColor="text1"/>
          <w:sz w:val="22"/>
          <w:szCs w:val="22"/>
        </w:rPr>
        <w:t xml:space="preserve">INPC, Subyacente </w:t>
      </w:r>
      <w:r>
        <w:rPr>
          <w:rFonts w:ascii="Arial" w:hAnsi="Arial"/>
          <w:b/>
          <w:bCs/>
          <w:smallCaps/>
          <w:color w:val="000000" w:themeColor="text1"/>
          <w:sz w:val="22"/>
          <w:szCs w:val="22"/>
        </w:rPr>
        <w:t>y</w:t>
      </w:r>
      <w:r w:rsidRPr="005C619F">
        <w:rPr>
          <w:rFonts w:ascii="Arial" w:hAnsi="Arial"/>
          <w:b/>
          <w:bCs/>
          <w:smallCaps/>
          <w:color w:val="000000" w:themeColor="text1"/>
          <w:sz w:val="22"/>
          <w:szCs w:val="22"/>
        </w:rPr>
        <w:t xml:space="preserve"> No Subyacente</w:t>
      </w:r>
    </w:p>
    <w:p w14:paraId="6F85443D" w14:textId="77C0E762" w:rsidR="00BF05FD" w:rsidRPr="00467A82" w:rsidRDefault="00BF05FD" w:rsidP="00BF05FD">
      <w:pPr>
        <w:keepNext/>
        <w:keepLines/>
        <w:autoSpaceDE w:val="0"/>
        <w:autoSpaceDN w:val="0"/>
        <w:adjustRightInd w:val="0"/>
        <w:jc w:val="center"/>
        <w:rPr>
          <w:sz w:val="18"/>
        </w:rPr>
      </w:pPr>
      <w:r w:rsidRPr="00467A82">
        <w:rPr>
          <w:sz w:val="18"/>
        </w:rPr>
        <w:t>Variaci</w:t>
      </w:r>
      <w:r>
        <w:rPr>
          <w:sz w:val="18"/>
        </w:rPr>
        <w:t>ón</w:t>
      </w:r>
      <w:r w:rsidRPr="00467A82">
        <w:rPr>
          <w:sz w:val="18"/>
        </w:rPr>
        <w:t xml:space="preserve"> porcentual anual</w:t>
      </w:r>
      <w:r>
        <w:rPr>
          <w:sz w:val="18"/>
        </w:rPr>
        <w:t xml:space="preserve"> a enero de 2021</w:t>
      </w:r>
    </w:p>
    <w:p w14:paraId="1869E53C" w14:textId="0DEE18A1" w:rsidR="005E43F8" w:rsidRDefault="00AF5CA1" w:rsidP="005E43F8">
      <w:pPr>
        <w:pStyle w:val="n01"/>
        <w:spacing w:before="0"/>
        <w:ind w:left="284" w:right="-28" w:firstLine="0"/>
        <w:jc w:val="center"/>
        <w:rPr>
          <w:rFonts w:ascii="Arial" w:hAnsi="Arial"/>
          <w:color w:val="auto"/>
          <w:sz w:val="22"/>
          <w:szCs w:val="22"/>
        </w:rPr>
      </w:pPr>
      <w:r>
        <w:rPr>
          <w:noProof/>
        </w:rPr>
        <w:drawing>
          <wp:inline distT="0" distB="0" distL="0" distR="0" wp14:anchorId="02339290" wp14:editId="39F92CC2">
            <wp:extent cx="5040000" cy="2880000"/>
            <wp:effectExtent l="0" t="0" r="27305" b="34925"/>
            <wp:docPr id="30" name="Gráfico 3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B3B0479" w14:textId="4689B9D6" w:rsidR="005E43F8" w:rsidRDefault="005E43F8" w:rsidP="005E43F8">
      <w:pPr>
        <w:autoSpaceDE w:val="0"/>
        <w:autoSpaceDN w:val="0"/>
        <w:adjustRightInd w:val="0"/>
        <w:spacing w:before="240"/>
      </w:pPr>
      <w:r w:rsidRPr="0004061B">
        <w:lastRenderedPageBreak/>
        <w:t xml:space="preserve">A continuación, se presentan los principales genéricos cuyas variaciones de precios al alza y a la baja destacaron por su incidencia sobre la inflación general. </w:t>
      </w:r>
    </w:p>
    <w:p w14:paraId="0A190367" w14:textId="77777777" w:rsidR="005E43F8" w:rsidRPr="00442560" w:rsidRDefault="005E43F8" w:rsidP="005E43F8">
      <w:pPr>
        <w:widowControl w:val="0"/>
        <w:tabs>
          <w:tab w:val="left" w:pos="1220"/>
        </w:tabs>
        <w:autoSpaceDE w:val="0"/>
        <w:autoSpaceDN w:val="0"/>
        <w:adjustRightInd w:val="0"/>
        <w:spacing w:before="240"/>
        <w:jc w:val="center"/>
        <w:rPr>
          <w:b/>
          <w:bCs/>
          <w:smallCaps/>
          <w:color w:val="000000" w:themeColor="text1"/>
          <w:spacing w:val="1"/>
          <w:sz w:val="22"/>
          <w:szCs w:val="22"/>
        </w:rPr>
      </w:pPr>
      <w:r w:rsidRPr="00442560">
        <w:rPr>
          <w:b/>
          <w:bCs/>
          <w:smallCaps/>
          <w:color w:val="000000" w:themeColor="text1"/>
          <w:spacing w:val="1"/>
          <w:sz w:val="22"/>
          <w:szCs w:val="22"/>
        </w:rPr>
        <w:t>Índice Nacional de Precios al Consumidor</w:t>
      </w:r>
    </w:p>
    <w:p w14:paraId="4BB69A69" w14:textId="77777777" w:rsidR="00BF05FD" w:rsidRPr="007311F0" w:rsidRDefault="00BF05FD" w:rsidP="00BF05FD">
      <w:pPr>
        <w:keepNext/>
        <w:keepLines/>
        <w:widowControl w:val="0"/>
        <w:tabs>
          <w:tab w:val="left" w:pos="1220"/>
        </w:tabs>
        <w:autoSpaceDE w:val="0"/>
        <w:autoSpaceDN w:val="0"/>
        <w:adjustRightInd w:val="0"/>
        <w:jc w:val="center"/>
        <w:rPr>
          <w:b/>
          <w:bCs/>
          <w:smallCaps/>
          <w:color w:val="000000" w:themeColor="text1"/>
          <w:spacing w:val="1"/>
          <w:sz w:val="22"/>
          <w:szCs w:val="22"/>
        </w:rPr>
      </w:pPr>
      <w:r w:rsidRPr="007311F0">
        <w:rPr>
          <w:b/>
          <w:bCs/>
          <w:smallCaps/>
          <w:color w:val="000000" w:themeColor="text1"/>
          <w:spacing w:val="1"/>
          <w:sz w:val="22"/>
          <w:szCs w:val="22"/>
        </w:rPr>
        <w:t>Genéricos con mayor y menor incidencia</w:t>
      </w:r>
    </w:p>
    <w:p w14:paraId="4395B4A1" w14:textId="77777777" w:rsidR="005E43F8" w:rsidRPr="00BF05FD" w:rsidRDefault="005E43F8" w:rsidP="00BF05FD">
      <w:pPr>
        <w:keepNext/>
        <w:keepLines/>
        <w:autoSpaceDE w:val="0"/>
        <w:autoSpaceDN w:val="0"/>
        <w:adjustRightInd w:val="0"/>
        <w:jc w:val="center"/>
        <w:rPr>
          <w:bCs/>
          <w:color w:val="000000" w:themeColor="text1"/>
          <w:spacing w:val="1"/>
          <w:sz w:val="18"/>
          <w:szCs w:val="22"/>
        </w:rPr>
      </w:pPr>
      <w:r w:rsidRPr="00BF05FD">
        <w:rPr>
          <w:bCs/>
          <w:color w:val="000000" w:themeColor="text1"/>
          <w:spacing w:val="1"/>
          <w:sz w:val="18"/>
          <w:szCs w:val="22"/>
        </w:rPr>
        <w:t>Enero de 2021</w:t>
      </w:r>
    </w:p>
    <w:p w14:paraId="613F6A04" w14:textId="2149C1C3" w:rsidR="005E43F8" w:rsidRDefault="009163B7" w:rsidP="005E43F8">
      <w:pPr>
        <w:autoSpaceDE w:val="0"/>
        <w:autoSpaceDN w:val="0"/>
        <w:adjustRightInd w:val="0"/>
        <w:jc w:val="center"/>
        <w:rPr>
          <w:noProof/>
        </w:rPr>
      </w:pPr>
      <w:r w:rsidRPr="009163B7">
        <w:rPr>
          <w:noProof/>
        </w:rPr>
        <w:drawing>
          <wp:inline distT="0" distB="0" distL="0" distR="0" wp14:anchorId="42858023" wp14:editId="26FBB8BF">
            <wp:extent cx="6120765" cy="1750111"/>
            <wp:effectExtent l="0" t="0" r="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1750111"/>
                    </a:xfrm>
                    <a:prstGeom prst="rect">
                      <a:avLst/>
                    </a:prstGeom>
                    <a:noFill/>
                    <a:ln>
                      <a:noFill/>
                    </a:ln>
                  </pic:spPr>
                </pic:pic>
              </a:graphicData>
            </a:graphic>
          </wp:inline>
        </w:drawing>
      </w:r>
    </w:p>
    <w:p w14:paraId="30CE27C6" w14:textId="115BA7B9" w:rsidR="005E43F8" w:rsidRPr="00BF05FD" w:rsidRDefault="005E43F8" w:rsidP="00BF05FD">
      <w:pPr>
        <w:autoSpaceDE w:val="0"/>
        <w:autoSpaceDN w:val="0"/>
        <w:adjustRightInd w:val="0"/>
        <w:ind w:left="283" w:right="113" w:hanging="170"/>
        <w:rPr>
          <w:color w:val="006600"/>
          <w:sz w:val="16"/>
          <w:szCs w:val="16"/>
        </w:rPr>
      </w:pPr>
      <w:r w:rsidRPr="00BF05FD">
        <w:rPr>
          <w:color w:val="006600"/>
          <w:sz w:val="18"/>
          <w:szCs w:val="16"/>
          <w:vertAlign w:val="superscript"/>
        </w:rPr>
        <w:t>1/</w:t>
      </w:r>
      <w:r w:rsidR="00BF05FD">
        <w:rPr>
          <w:color w:val="006600"/>
          <w:sz w:val="18"/>
          <w:szCs w:val="16"/>
          <w:vertAlign w:val="superscript"/>
        </w:rPr>
        <w:tab/>
      </w:r>
      <w:r w:rsidRPr="00BF05FD">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36E93ADC" w14:textId="3137BE06" w:rsidR="005E43F8" w:rsidRDefault="005E43F8" w:rsidP="005E43F8">
      <w:pPr>
        <w:keepNext/>
        <w:keepLines/>
        <w:autoSpaceDE w:val="0"/>
        <w:autoSpaceDN w:val="0"/>
        <w:adjustRightInd w:val="0"/>
        <w:spacing w:before="240"/>
      </w:pPr>
      <w:r>
        <w:t>En los siguientes cuadros se muestra</w:t>
      </w:r>
      <w:r w:rsidR="00824DE6">
        <w:t>n</w:t>
      </w:r>
      <w:r>
        <w:t xml:space="preserve"> las principales ciudades y entidades</w:t>
      </w:r>
      <w:r w:rsidR="00BF05FD">
        <w:t xml:space="preserve"> con la </w:t>
      </w:r>
      <w:r>
        <w:t>mayor y menor variaci</w:t>
      </w:r>
      <w:r w:rsidR="00BF05FD">
        <w:t>ón del INPC</w:t>
      </w:r>
      <w:r>
        <w:t xml:space="preserve"> en el mes de </w:t>
      </w:r>
      <w:r w:rsidR="00BF05FD">
        <w:t>referencia</w:t>
      </w:r>
      <w:r>
        <w:t>.</w:t>
      </w:r>
    </w:p>
    <w:p w14:paraId="52046A36" w14:textId="77777777" w:rsidR="00BF05FD" w:rsidRPr="00BD7D45" w:rsidRDefault="00BF05FD" w:rsidP="00BF05FD">
      <w:pPr>
        <w:keepNext/>
        <w:keepLines/>
        <w:autoSpaceDE w:val="0"/>
        <w:autoSpaceDN w:val="0"/>
        <w:adjustRightInd w:val="0"/>
        <w:spacing w:before="240"/>
        <w:jc w:val="center"/>
        <w:rPr>
          <w:b/>
          <w:bCs/>
          <w:smallCaps/>
          <w:color w:val="000000" w:themeColor="text1"/>
          <w:spacing w:val="1"/>
          <w:sz w:val="22"/>
        </w:rPr>
      </w:pPr>
      <w:r w:rsidRPr="00512118">
        <w:rPr>
          <w:b/>
          <w:bCs/>
          <w:smallCaps/>
          <w:color w:val="000000" w:themeColor="text1"/>
          <w:spacing w:val="1"/>
          <w:sz w:val="22"/>
        </w:rPr>
        <w:t xml:space="preserve">Índice Nacional </w:t>
      </w:r>
      <w:r>
        <w:rPr>
          <w:b/>
          <w:bCs/>
          <w:smallCaps/>
          <w:color w:val="000000" w:themeColor="text1"/>
          <w:spacing w:val="1"/>
          <w:sz w:val="22"/>
        </w:rPr>
        <w:t>d</w:t>
      </w:r>
      <w:r w:rsidRPr="00512118">
        <w:rPr>
          <w:b/>
          <w:bCs/>
          <w:smallCaps/>
          <w:color w:val="000000" w:themeColor="text1"/>
          <w:spacing w:val="1"/>
          <w:sz w:val="22"/>
        </w:rPr>
        <w:t xml:space="preserve">e Precios </w:t>
      </w:r>
      <w:r>
        <w:rPr>
          <w:b/>
          <w:bCs/>
          <w:smallCaps/>
          <w:color w:val="000000" w:themeColor="text1"/>
          <w:spacing w:val="1"/>
          <w:sz w:val="22"/>
        </w:rPr>
        <w:t>a</w:t>
      </w:r>
      <w:r w:rsidRPr="00512118">
        <w:rPr>
          <w:b/>
          <w:bCs/>
          <w:smallCaps/>
          <w:color w:val="000000" w:themeColor="text1"/>
          <w:spacing w:val="1"/>
          <w:sz w:val="22"/>
        </w:rPr>
        <w:t>l Consumidor</w:t>
      </w:r>
    </w:p>
    <w:p w14:paraId="0E6B82E5" w14:textId="77777777" w:rsidR="00BF05FD" w:rsidRPr="00866182" w:rsidRDefault="00BF05FD" w:rsidP="00BF05FD">
      <w:pPr>
        <w:keepNext/>
        <w:keepLines/>
        <w:autoSpaceDE w:val="0"/>
        <w:autoSpaceDN w:val="0"/>
        <w:adjustRightInd w:val="0"/>
        <w:jc w:val="center"/>
        <w:rPr>
          <w:b/>
          <w:bCs/>
          <w:smallCaps/>
          <w:color w:val="000000" w:themeColor="text1"/>
          <w:spacing w:val="1"/>
          <w:sz w:val="22"/>
        </w:rPr>
      </w:pPr>
      <w:r>
        <w:rPr>
          <w:b/>
          <w:bCs/>
          <w:smallCaps/>
          <w:color w:val="000000" w:themeColor="text1"/>
          <w:spacing w:val="1"/>
          <w:sz w:val="22"/>
        </w:rPr>
        <w:t>Ciudades</w:t>
      </w:r>
      <w:r w:rsidRPr="00866182">
        <w:rPr>
          <w:b/>
          <w:bCs/>
          <w:smallCaps/>
          <w:color w:val="000000" w:themeColor="text1"/>
          <w:spacing w:val="1"/>
          <w:sz w:val="22"/>
        </w:rPr>
        <w:t xml:space="preserve"> con mayor y menor variación</w:t>
      </w:r>
      <w:r>
        <w:rPr>
          <w:b/>
          <w:bCs/>
          <w:smallCaps/>
          <w:color w:val="000000" w:themeColor="text1"/>
          <w:spacing w:val="1"/>
          <w:sz w:val="22"/>
        </w:rPr>
        <w:t xml:space="preserve"> *</w:t>
      </w:r>
    </w:p>
    <w:p w14:paraId="668FCC03" w14:textId="59CC046F" w:rsidR="005E43F8" w:rsidRDefault="005E43F8" w:rsidP="005E43F8">
      <w:pPr>
        <w:widowControl w:val="0"/>
        <w:tabs>
          <w:tab w:val="left" w:pos="1220"/>
        </w:tabs>
        <w:autoSpaceDE w:val="0"/>
        <w:autoSpaceDN w:val="0"/>
        <w:adjustRightInd w:val="0"/>
        <w:ind w:left="104"/>
        <w:jc w:val="center"/>
        <w:rPr>
          <w:noProof/>
          <w:lang w:val="es-MX" w:eastAsia="es-MX"/>
        </w:rPr>
      </w:pPr>
      <w:r w:rsidRPr="00BF05FD">
        <w:rPr>
          <w:bCs/>
          <w:color w:val="000000" w:themeColor="text1"/>
          <w:spacing w:val="1"/>
          <w:sz w:val="18"/>
          <w:szCs w:val="22"/>
        </w:rPr>
        <w:t>Enero de 2021</w:t>
      </w:r>
    </w:p>
    <w:p w14:paraId="02D2F6E9" w14:textId="722EC18D" w:rsidR="009163B7" w:rsidRPr="00916CCB" w:rsidRDefault="009163B7" w:rsidP="005E43F8">
      <w:pPr>
        <w:widowControl w:val="0"/>
        <w:tabs>
          <w:tab w:val="left" w:pos="1220"/>
        </w:tabs>
        <w:autoSpaceDE w:val="0"/>
        <w:autoSpaceDN w:val="0"/>
        <w:adjustRightInd w:val="0"/>
        <w:ind w:left="104"/>
        <w:jc w:val="center"/>
        <w:rPr>
          <w:sz w:val="22"/>
          <w:szCs w:val="22"/>
        </w:rPr>
      </w:pPr>
      <w:r w:rsidRPr="009163B7">
        <w:rPr>
          <w:noProof/>
        </w:rPr>
        <w:drawing>
          <wp:inline distT="0" distB="0" distL="0" distR="0" wp14:anchorId="048A60A7" wp14:editId="55E66A09">
            <wp:extent cx="6120765" cy="1956207"/>
            <wp:effectExtent l="0" t="0" r="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1956207"/>
                    </a:xfrm>
                    <a:prstGeom prst="rect">
                      <a:avLst/>
                    </a:prstGeom>
                    <a:noFill/>
                    <a:ln>
                      <a:noFill/>
                    </a:ln>
                  </pic:spPr>
                </pic:pic>
              </a:graphicData>
            </a:graphic>
          </wp:inline>
        </w:drawing>
      </w:r>
    </w:p>
    <w:p w14:paraId="570BEE91" w14:textId="77777777" w:rsidR="00BF05FD" w:rsidRPr="000D632A" w:rsidRDefault="00BF05FD" w:rsidP="000D632A">
      <w:pPr>
        <w:autoSpaceDE w:val="0"/>
        <w:autoSpaceDN w:val="0"/>
        <w:adjustRightInd w:val="0"/>
        <w:ind w:left="283" w:right="113" w:hanging="170"/>
        <w:rPr>
          <w:color w:val="006600"/>
          <w:sz w:val="18"/>
          <w:szCs w:val="16"/>
        </w:rPr>
      </w:pPr>
      <w:r w:rsidRPr="00E45F62">
        <w:rPr>
          <w:color w:val="006600"/>
          <w:sz w:val="18"/>
          <w:szCs w:val="16"/>
        </w:rPr>
        <w:t>*</w:t>
      </w:r>
      <w:r w:rsidRPr="00E45F62">
        <w:rPr>
          <w:color w:val="006600"/>
          <w:sz w:val="18"/>
          <w:szCs w:val="16"/>
        </w:rPr>
        <w:tab/>
      </w:r>
      <w:r w:rsidRPr="000D632A">
        <w:rPr>
          <w:color w:val="006600"/>
          <w:sz w:val="18"/>
          <w:szCs w:val="16"/>
        </w:rPr>
        <w:t>Las desagregaciones del INPC solo tienen valor informativo.</w:t>
      </w:r>
    </w:p>
    <w:p w14:paraId="6EB989CD" w14:textId="77777777" w:rsidR="005E43F8" w:rsidRPr="00866182" w:rsidRDefault="005E43F8" w:rsidP="00BF05FD">
      <w:pPr>
        <w:keepNext/>
        <w:keepLines/>
        <w:widowControl w:val="0"/>
        <w:tabs>
          <w:tab w:val="left" w:pos="1220"/>
        </w:tabs>
        <w:autoSpaceDE w:val="0"/>
        <w:autoSpaceDN w:val="0"/>
        <w:adjustRightInd w:val="0"/>
        <w:spacing w:before="240"/>
        <w:jc w:val="center"/>
        <w:rPr>
          <w:b/>
          <w:bCs/>
          <w:smallCaps/>
          <w:color w:val="000000" w:themeColor="text1"/>
          <w:spacing w:val="1"/>
          <w:sz w:val="22"/>
        </w:rPr>
      </w:pPr>
      <w:r w:rsidRPr="00866182">
        <w:rPr>
          <w:b/>
          <w:bCs/>
          <w:smallCaps/>
          <w:color w:val="000000" w:themeColor="text1"/>
          <w:spacing w:val="1"/>
          <w:sz w:val="22"/>
        </w:rPr>
        <w:lastRenderedPageBreak/>
        <w:t>Índice Nacional de Precios al Consumidor</w:t>
      </w:r>
    </w:p>
    <w:p w14:paraId="5EE87F8C" w14:textId="09C43F7D" w:rsidR="005E43F8" w:rsidRPr="00866182" w:rsidRDefault="00BF05FD" w:rsidP="00BF05FD">
      <w:pPr>
        <w:keepNext/>
        <w:keepLines/>
        <w:widowControl w:val="0"/>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E</w:t>
      </w:r>
      <w:r w:rsidR="005E43F8" w:rsidRPr="00866182">
        <w:rPr>
          <w:b/>
          <w:bCs/>
          <w:smallCaps/>
          <w:color w:val="000000" w:themeColor="text1"/>
          <w:spacing w:val="1"/>
          <w:sz w:val="22"/>
        </w:rPr>
        <w:t>ntidades federativas</w:t>
      </w:r>
      <w:r w:rsidR="005E43F8">
        <w:rPr>
          <w:b/>
          <w:bCs/>
          <w:smallCaps/>
          <w:color w:val="000000" w:themeColor="text1"/>
          <w:spacing w:val="1"/>
          <w:sz w:val="22"/>
        </w:rPr>
        <w:t xml:space="preserve"> </w:t>
      </w:r>
      <w:r w:rsidR="005E43F8" w:rsidRPr="00866182">
        <w:rPr>
          <w:b/>
          <w:bCs/>
          <w:smallCaps/>
          <w:color w:val="000000" w:themeColor="text1"/>
          <w:spacing w:val="1"/>
          <w:sz w:val="22"/>
        </w:rPr>
        <w:t xml:space="preserve">con mayor y menor variación </w:t>
      </w:r>
      <w:r w:rsidR="005E43F8">
        <w:rPr>
          <w:b/>
          <w:bCs/>
          <w:smallCaps/>
          <w:color w:val="000000" w:themeColor="text1"/>
          <w:spacing w:val="1"/>
          <w:sz w:val="22"/>
        </w:rPr>
        <w:t>*</w:t>
      </w:r>
    </w:p>
    <w:p w14:paraId="1872044A" w14:textId="2DF4107C" w:rsidR="005E43F8" w:rsidRDefault="005E43F8" w:rsidP="00BF05FD">
      <w:pPr>
        <w:keepNext/>
        <w:keepLines/>
        <w:widowControl w:val="0"/>
        <w:tabs>
          <w:tab w:val="left" w:pos="1220"/>
        </w:tabs>
        <w:autoSpaceDE w:val="0"/>
        <w:autoSpaceDN w:val="0"/>
        <w:adjustRightInd w:val="0"/>
        <w:jc w:val="center"/>
        <w:rPr>
          <w:noProof/>
        </w:rPr>
      </w:pPr>
      <w:r w:rsidRPr="00BF05FD">
        <w:rPr>
          <w:bCs/>
          <w:color w:val="000000" w:themeColor="text1"/>
          <w:spacing w:val="1"/>
          <w:sz w:val="18"/>
          <w:szCs w:val="22"/>
        </w:rPr>
        <w:t>Enero de 2021</w:t>
      </w:r>
      <w:r w:rsidRPr="00017D7E">
        <w:rPr>
          <w:bCs/>
          <w:color w:val="000000" w:themeColor="text1"/>
          <w:spacing w:val="1"/>
          <w:sz w:val="22"/>
          <w:szCs w:val="22"/>
        </w:rPr>
        <w:t xml:space="preserve"> </w:t>
      </w:r>
    </w:p>
    <w:p w14:paraId="072931B4" w14:textId="71053793" w:rsidR="009163B7" w:rsidRPr="00BF05FD" w:rsidRDefault="009163B7" w:rsidP="00BF05FD">
      <w:pPr>
        <w:keepNext/>
        <w:keepLines/>
        <w:widowControl w:val="0"/>
        <w:tabs>
          <w:tab w:val="left" w:pos="1220"/>
        </w:tabs>
        <w:autoSpaceDE w:val="0"/>
        <w:autoSpaceDN w:val="0"/>
        <w:adjustRightInd w:val="0"/>
        <w:jc w:val="center"/>
        <w:rPr>
          <w:noProof/>
        </w:rPr>
      </w:pPr>
      <w:r w:rsidRPr="009163B7">
        <w:rPr>
          <w:noProof/>
        </w:rPr>
        <w:drawing>
          <wp:inline distT="0" distB="0" distL="0" distR="0" wp14:anchorId="57AFAB65" wp14:editId="3C75A725">
            <wp:extent cx="6120765" cy="1198895"/>
            <wp:effectExtent l="0" t="0" r="0" b="127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1198895"/>
                    </a:xfrm>
                    <a:prstGeom prst="rect">
                      <a:avLst/>
                    </a:prstGeom>
                    <a:noFill/>
                    <a:ln>
                      <a:noFill/>
                    </a:ln>
                  </pic:spPr>
                </pic:pic>
              </a:graphicData>
            </a:graphic>
          </wp:inline>
        </w:drawing>
      </w:r>
    </w:p>
    <w:p w14:paraId="2508A0C2" w14:textId="77777777" w:rsidR="00BF05FD" w:rsidRPr="00D93DC5" w:rsidRDefault="00BF05FD" w:rsidP="00BF05FD">
      <w:pPr>
        <w:keepNext/>
        <w:keepLines/>
        <w:autoSpaceDE w:val="0"/>
        <w:autoSpaceDN w:val="0"/>
        <w:adjustRightInd w:val="0"/>
        <w:ind w:left="283" w:right="113" w:hanging="170"/>
        <w:rPr>
          <w:color w:val="006600"/>
          <w:sz w:val="16"/>
          <w:szCs w:val="14"/>
        </w:rPr>
      </w:pPr>
      <w:r w:rsidRPr="00E45F62">
        <w:rPr>
          <w:color w:val="006600"/>
          <w:sz w:val="18"/>
          <w:szCs w:val="16"/>
        </w:rPr>
        <w:t>*</w:t>
      </w:r>
      <w:r w:rsidRPr="00E45F62">
        <w:rPr>
          <w:color w:val="006600"/>
          <w:sz w:val="18"/>
          <w:szCs w:val="16"/>
        </w:rPr>
        <w:tab/>
      </w:r>
      <w:r w:rsidRPr="00D93DC5">
        <w:rPr>
          <w:color w:val="006600"/>
          <w:sz w:val="16"/>
          <w:szCs w:val="14"/>
        </w:rPr>
        <w:t>Las desagregaciones del INPC solo tienen valor informativo.</w:t>
      </w:r>
    </w:p>
    <w:p w14:paraId="10888C2A" w14:textId="68DBE958" w:rsidR="005E43F8" w:rsidRDefault="005E43F8" w:rsidP="005E43F8">
      <w:pPr>
        <w:widowControl w:val="0"/>
        <w:autoSpaceDE w:val="0"/>
        <w:autoSpaceDN w:val="0"/>
        <w:adjustRightInd w:val="0"/>
        <w:spacing w:before="240"/>
      </w:pPr>
      <w:r>
        <w:t>El comportamiento durante</w:t>
      </w:r>
      <w:r w:rsidRPr="0004061B">
        <w:t xml:space="preserve"> </w:t>
      </w:r>
      <w:r>
        <w:t>enero</w:t>
      </w:r>
      <w:r w:rsidRPr="0004061B">
        <w:t xml:space="preserve"> de 20</w:t>
      </w:r>
      <w:r>
        <w:t>21</w:t>
      </w:r>
      <w:r w:rsidRPr="0004061B">
        <w:t xml:space="preserve"> de los subíndices que integran al INPC según la </w:t>
      </w:r>
      <w:r>
        <w:t>C</w:t>
      </w:r>
      <w:r w:rsidRPr="0004061B">
        <w:t xml:space="preserve">lasificación del </w:t>
      </w:r>
      <w:r>
        <w:t>C</w:t>
      </w:r>
      <w:r w:rsidRPr="0004061B">
        <w:t xml:space="preserve">onsumo </w:t>
      </w:r>
      <w:r>
        <w:t>I</w:t>
      </w:r>
      <w:r w:rsidRPr="0004061B">
        <w:t xml:space="preserve">ndividual por </w:t>
      </w:r>
      <w:r>
        <w:t>F</w:t>
      </w:r>
      <w:r w:rsidRPr="0004061B">
        <w:t>inalidades (CCIF), utilizada internacionalmente para los índices de precios al consumidor</w:t>
      </w:r>
      <w:r w:rsidRPr="0004061B">
        <w:rPr>
          <w:vertAlign w:val="superscript"/>
        </w:rPr>
        <w:footnoteReference w:id="3"/>
      </w:r>
      <w:r w:rsidRPr="0004061B">
        <w:t xml:space="preserve"> se </w:t>
      </w:r>
      <w:r>
        <w:t xml:space="preserve">muestra </w:t>
      </w:r>
      <w:r w:rsidRPr="0004061B">
        <w:t>a continuación:</w:t>
      </w:r>
    </w:p>
    <w:p w14:paraId="02FF5BF7" w14:textId="77777777" w:rsidR="000D632A" w:rsidRPr="00BD7D45" w:rsidRDefault="000D632A" w:rsidP="009163B7">
      <w:pPr>
        <w:keepNext/>
        <w:keepLines/>
        <w:autoSpaceDE w:val="0"/>
        <w:autoSpaceDN w:val="0"/>
        <w:adjustRightInd w:val="0"/>
        <w:spacing w:before="360"/>
        <w:jc w:val="center"/>
        <w:rPr>
          <w:b/>
          <w:bCs/>
          <w:smallCaps/>
          <w:color w:val="000000" w:themeColor="text1"/>
          <w:spacing w:val="1"/>
          <w:sz w:val="22"/>
          <w:szCs w:val="22"/>
        </w:rPr>
      </w:pPr>
      <w:r w:rsidRPr="00BD7D45">
        <w:rPr>
          <w:b/>
          <w:bCs/>
          <w:smallCaps/>
          <w:color w:val="000000" w:themeColor="text1"/>
          <w:spacing w:val="1"/>
          <w:sz w:val="22"/>
          <w:szCs w:val="22"/>
        </w:rPr>
        <w:t xml:space="preserve">Índice Nacional </w:t>
      </w:r>
      <w:r>
        <w:rPr>
          <w:b/>
          <w:bCs/>
          <w:smallCaps/>
          <w:color w:val="000000" w:themeColor="text1"/>
          <w:spacing w:val="1"/>
          <w:sz w:val="22"/>
          <w:szCs w:val="22"/>
        </w:rPr>
        <w:t>d</w:t>
      </w:r>
      <w:r w:rsidRPr="00BD7D45">
        <w:rPr>
          <w:b/>
          <w:bCs/>
          <w:smallCaps/>
          <w:color w:val="000000" w:themeColor="text1"/>
          <w:spacing w:val="1"/>
          <w:sz w:val="22"/>
          <w:szCs w:val="22"/>
        </w:rPr>
        <w:t xml:space="preserve">e Precios </w:t>
      </w:r>
      <w:r>
        <w:rPr>
          <w:b/>
          <w:bCs/>
          <w:smallCaps/>
          <w:color w:val="000000" w:themeColor="text1"/>
          <w:spacing w:val="1"/>
          <w:sz w:val="22"/>
          <w:szCs w:val="22"/>
        </w:rPr>
        <w:t>a</w:t>
      </w:r>
      <w:r w:rsidRPr="00BD7D45">
        <w:rPr>
          <w:b/>
          <w:bCs/>
          <w:smallCaps/>
          <w:color w:val="000000" w:themeColor="text1"/>
          <w:spacing w:val="1"/>
          <w:sz w:val="22"/>
          <w:szCs w:val="22"/>
        </w:rPr>
        <w:t>l Consumidor</w:t>
      </w:r>
    </w:p>
    <w:p w14:paraId="1977B99F" w14:textId="77777777" w:rsidR="000D632A" w:rsidRPr="00BD7D45" w:rsidRDefault="000D632A" w:rsidP="000D632A">
      <w:pPr>
        <w:autoSpaceDE w:val="0"/>
        <w:autoSpaceDN w:val="0"/>
        <w:adjustRightInd w:val="0"/>
        <w:jc w:val="center"/>
        <w:rPr>
          <w:smallCaps/>
          <w:sz w:val="22"/>
          <w:szCs w:val="22"/>
        </w:rPr>
      </w:pPr>
      <w:r>
        <w:rPr>
          <w:b/>
          <w:bCs/>
          <w:smallCaps/>
          <w:color w:val="000000"/>
          <w:spacing w:val="1"/>
          <w:sz w:val="22"/>
          <w:szCs w:val="22"/>
        </w:rPr>
        <w:t>C</w:t>
      </w:r>
      <w:r w:rsidRPr="00BD7D45">
        <w:rPr>
          <w:b/>
          <w:bCs/>
          <w:smallCaps/>
          <w:color w:val="000000"/>
          <w:spacing w:val="1"/>
          <w:sz w:val="22"/>
          <w:szCs w:val="22"/>
        </w:rPr>
        <w:t>lasificación del consumo individual por finalidades</w:t>
      </w:r>
      <w:r w:rsidRPr="00BD7D45">
        <w:rPr>
          <w:smallCaps/>
          <w:sz w:val="22"/>
          <w:szCs w:val="22"/>
        </w:rPr>
        <w:t xml:space="preserve"> </w:t>
      </w:r>
    </w:p>
    <w:p w14:paraId="1A78373F" w14:textId="77777777" w:rsidR="005E43F8" w:rsidRPr="000D632A" w:rsidRDefault="005E43F8" w:rsidP="000D632A">
      <w:pPr>
        <w:keepNext/>
        <w:keepLines/>
        <w:autoSpaceDE w:val="0"/>
        <w:autoSpaceDN w:val="0"/>
        <w:adjustRightInd w:val="0"/>
        <w:jc w:val="center"/>
        <w:rPr>
          <w:sz w:val="18"/>
          <w:szCs w:val="22"/>
        </w:rPr>
      </w:pPr>
      <w:r w:rsidRPr="000D632A">
        <w:rPr>
          <w:sz w:val="18"/>
          <w:szCs w:val="22"/>
        </w:rPr>
        <w:t>Variación porcentual</w:t>
      </w:r>
    </w:p>
    <w:p w14:paraId="10EC31B9" w14:textId="548C897C" w:rsidR="005E43F8" w:rsidRPr="000D632A" w:rsidRDefault="009163B7" w:rsidP="000D632A">
      <w:pPr>
        <w:pStyle w:val="Prrafodelista"/>
        <w:autoSpaceDE w:val="0"/>
        <w:autoSpaceDN w:val="0"/>
        <w:adjustRightInd w:val="0"/>
        <w:ind w:left="0"/>
        <w:jc w:val="center"/>
        <w:rPr>
          <w:noProof/>
        </w:rPr>
      </w:pPr>
      <w:r w:rsidRPr="009163B7">
        <w:rPr>
          <w:noProof/>
        </w:rPr>
        <w:drawing>
          <wp:inline distT="0" distB="0" distL="0" distR="0" wp14:anchorId="49D38392" wp14:editId="0C5CDDA8">
            <wp:extent cx="6120765" cy="2744339"/>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744339"/>
                    </a:xfrm>
                    <a:prstGeom prst="rect">
                      <a:avLst/>
                    </a:prstGeom>
                    <a:noFill/>
                    <a:ln>
                      <a:noFill/>
                    </a:ln>
                  </pic:spPr>
                </pic:pic>
              </a:graphicData>
            </a:graphic>
          </wp:inline>
        </w:drawing>
      </w:r>
    </w:p>
    <w:p w14:paraId="503C44C6" w14:textId="77777777" w:rsidR="005E43F8" w:rsidRPr="00E4402D" w:rsidRDefault="005E43F8" w:rsidP="005E43F8">
      <w:pPr>
        <w:autoSpaceDE w:val="0"/>
        <w:autoSpaceDN w:val="0"/>
        <w:adjustRightInd w:val="0"/>
        <w:ind w:left="283" w:right="113" w:hanging="170"/>
        <w:rPr>
          <w:color w:val="006600"/>
          <w:sz w:val="16"/>
          <w:szCs w:val="16"/>
        </w:rPr>
      </w:pPr>
      <w:r w:rsidRPr="00E4402D">
        <w:rPr>
          <w:color w:val="006600"/>
          <w:sz w:val="18"/>
          <w:szCs w:val="16"/>
          <w:vertAlign w:val="superscript"/>
        </w:rPr>
        <w:t>1/</w:t>
      </w:r>
      <w:r w:rsidRPr="00E4402D">
        <w:rPr>
          <w:color w:val="006600"/>
          <w:sz w:val="16"/>
          <w:szCs w:val="16"/>
          <w:vertAlign w:val="superscript"/>
        </w:rPr>
        <w:tab/>
      </w:r>
      <w:r w:rsidRPr="00E4402D">
        <w:rPr>
          <w:color w:val="006600"/>
          <w:sz w:val="16"/>
          <w:szCs w:val="16"/>
        </w:rPr>
        <w:t>Incluye productos y servicios de cuidado personal, relojes, maletas, seguro de automóvil, servicios funerarios y profesionales, entre otros.</w:t>
      </w:r>
    </w:p>
    <w:p w14:paraId="2711522F" w14:textId="65CC3FC9" w:rsidR="005E43F8" w:rsidRPr="00D25428" w:rsidRDefault="005E43F8" w:rsidP="000D632A">
      <w:pPr>
        <w:keepNext/>
        <w:autoSpaceDE w:val="0"/>
        <w:autoSpaceDN w:val="0"/>
        <w:adjustRightInd w:val="0"/>
        <w:spacing w:before="240"/>
        <w:rPr>
          <w:color w:val="000000" w:themeColor="text1"/>
        </w:rPr>
      </w:pPr>
      <w:bookmarkStart w:id="6" w:name="_Hlk63410103"/>
      <w:r w:rsidRPr="00D25428">
        <w:rPr>
          <w:color w:val="000000" w:themeColor="text1"/>
        </w:rPr>
        <w:lastRenderedPageBreak/>
        <w:t xml:space="preserve">En la segunda quincena de </w:t>
      </w:r>
      <w:r>
        <w:rPr>
          <w:color w:val="000000" w:themeColor="text1"/>
        </w:rPr>
        <w:t xml:space="preserve">enero </w:t>
      </w:r>
      <w:r w:rsidRPr="00D25428">
        <w:rPr>
          <w:color w:val="000000" w:themeColor="text1"/>
        </w:rPr>
        <w:t>de 20</w:t>
      </w:r>
      <w:r>
        <w:rPr>
          <w:color w:val="000000" w:themeColor="text1"/>
        </w:rPr>
        <w:t>21</w:t>
      </w:r>
      <w:r w:rsidRPr="00D25428">
        <w:rPr>
          <w:color w:val="000000" w:themeColor="text1"/>
        </w:rPr>
        <w:t xml:space="preserve"> el INPC </w:t>
      </w:r>
      <w:r>
        <w:rPr>
          <w:color w:val="000000" w:themeColor="text1"/>
        </w:rPr>
        <w:t>tuvo un</w:t>
      </w:r>
      <w:r w:rsidR="006E4766">
        <w:rPr>
          <w:color w:val="000000" w:themeColor="text1"/>
        </w:rPr>
        <w:t xml:space="preserve"> incremento </w:t>
      </w:r>
      <w:r>
        <w:rPr>
          <w:color w:val="000000" w:themeColor="text1"/>
        </w:rPr>
        <w:t>de 0.50 por ciento, como resultado de</w:t>
      </w:r>
      <w:r w:rsidR="006E4766">
        <w:rPr>
          <w:color w:val="000000" w:themeColor="text1"/>
        </w:rPr>
        <w:t xml:space="preserve"> </w:t>
      </w:r>
      <w:r>
        <w:rPr>
          <w:color w:val="000000" w:themeColor="text1"/>
        </w:rPr>
        <w:t>l</w:t>
      </w:r>
      <w:r w:rsidR="006E4766">
        <w:rPr>
          <w:color w:val="000000" w:themeColor="text1"/>
        </w:rPr>
        <w:t>os</w:t>
      </w:r>
      <w:r>
        <w:rPr>
          <w:color w:val="000000" w:themeColor="text1"/>
        </w:rPr>
        <w:t xml:space="preserve"> índice</w:t>
      </w:r>
      <w:r w:rsidR="006E4766">
        <w:rPr>
          <w:color w:val="000000" w:themeColor="text1"/>
        </w:rPr>
        <w:t>s</w:t>
      </w:r>
      <w:r>
        <w:rPr>
          <w:color w:val="000000" w:themeColor="text1"/>
        </w:rPr>
        <w:t xml:space="preserve"> de 110.484 </w:t>
      </w:r>
      <w:r w:rsidR="006E4766">
        <w:rPr>
          <w:color w:val="000000" w:themeColor="text1"/>
        </w:rPr>
        <w:t>y de 109.936 en</w:t>
      </w:r>
      <w:r>
        <w:rPr>
          <w:color w:val="000000" w:themeColor="text1"/>
        </w:rPr>
        <w:t xml:space="preserve"> la quincena inmediata anterior</w:t>
      </w:r>
      <w:r w:rsidRPr="00D25428">
        <w:rPr>
          <w:color w:val="000000" w:themeColor="text1"/>
        </w:rPr>
        <w:t>.</w:t>
      </w:r>
    </w:p>
    <w:p w14:paraId="06362D59" w14:textId="502268D0" w:rsidR="005E43F8" w:rsidRDefault="005E43F8" w:rsidP="000D632A">
      <w:pPr>
        <w:keepNext/>
        <w:autoSpaceDE w:val="0"/>
        <w:autoSpaceDN w:val="0"/>
        <w:adjustRightInd w:val="0"/>
        <w:spacing w:before="240"/>
        <w:rPr>
          <w:color w:val="000000" w:themeColor="text1"/>
        </w:rPr>
      </w:pPr>
      <w:r>
        <w:rPr>
          <w:color w:val="000000" w:themeColor="text1"/>
        </w:rPr>
        <w:t xml:space="preserve">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4"/>
      </w:r>
      <w:r w:rsidRPr="00AF5DD6">
        <w:rPr>
          <w:color w:val="000000" w:themeColor="text1"/>
        </w:rPr>
        <w:t xml:space="preserve"> </w:t>
      </w:r>
      <w:r>
        <w:rPr>
          <w:color w:val="000000" w:themeColor="text1"/>
        </w:rPr>
        <w:t>presentó</w:t>
      </w:r>
      <w:r w:rsidRPr="00AF5DD6">
        <w:rPr>
          <w:color w:val="000000" w:themeColor="text1"/>
        </w:rPr>
        <w:t xml:space="preserve"> un</w:t>
      </w:r>
      <w:r w:rsidR="006E4766">
        <w:rPr>
          <w:color w:val="000000" w:themeColor="text1"/>
        </w:rPr>
        <w:t xml:space="preserve"> </w:t>
      </w:r>
      <w:r>
        <w:rPr>
          <w:color w:val="000000" w:themeColor="text1"/>
        </w:rPr>
        <w:t>a</w:t>
      </w:r>
      <w:r w:rsidR="006E4766">
        <w:rPr>
          <w:color w:val="000000" w:themeColor="text1"/>
        </w:rPr>
        <w:t>umento</w:t>
      </w:r>
      <w:r>
        <w:rPr>
          <w:color w:val="000000" w:themeColor="text1"/>
        </w:rPr>
        <w:t xml:space="preserve"> de</w:t>
      </w:r>
      <w:r w:rsidRPr="00AF5DD6">
        <w:rPr>
          <w:color w:val="000000" w:themeColor="text1"/>
        </w:rPr>
        <w:t xml:space="preserve"> </w:t>
      </w:r>
      <w:r>
        <w:rPr>
          <w:color w:val="000000" w:themeColor="text1"/>
        </w:rPr>
        <w:t>1.17</w:t>
      </w:r>
      <w:r w:rsidRPr="00AF5DD6">
        <w:rPr>
          <w:color w:val="000000" w:themeColor="text1"/>
        </w:rPr>
        <w:t xml:space="preserve"> por ciento</w:t>
      </w:r>
      <w:r>
        <w:rPr>
          <w:color w:val="000000" w:themeColor="text1"/>
        </w:rPr>
        <w:t xml:space="preserve"> mensual y </w:t>
      </w:r>
      <w:r w:rsidR="006E4766">
        <w:rPr>
          <w:color w:val="000000" w:themeColor="text1"/>
        </w:rPr>
        <w:t xml:space="preserve">de </w:t>
      </w:r>
      <w:r>
        <w:rPr>
          <w:color w:val="000000" w:themeColor="text1"/>
        </w:rPr>
        <w:t>4.12 por ciento anual</w:t>
      </w:r>
      <w:r w:rsidR="00C472FB">
        <w:rPr>
          <w:color w:val="000000" w:themeColor="text1"/>
        </w:rPr>
        <w:t>;</w:t>
      </w:r>
      <w:r>
        <w:rPr>
          <w:color w:val="000000" w:themeColor="text1"/>
        </w:rPr>
        <w:t xml:space="preserve"> e</w:t>
      </w:r>
      <w:r w:rsidRPr="00AF5DD6">
        <w:rPr>
          <w:color w:val="000000" w:themeColor="text1"/>
        </w:rPr>
        <w:t>n el mismo mes de 20</w:t>
      </w:r>
      <w:r>
        <w:rPr>
          <w:color w:val="000000" w:themeColor="text1"/>
        </w:rPr>
        <w:t>20</w:t>
      </w:r>
      <w:r w:rsidRPr="00AF5DD6">
        <w:rPr>
          <w:color w:val="000000" w:themeColor="text1"/>
        </w:rPr>
        <w:t xml:space="preserve"> las cifras correspondientes fueron de </w:t>
      </w:r>
      <w:r>
        <w:rPr>
          <w:color w:val="000000" w:themeColor="text1"/>
        </w:rPr>
        <w:t>0.52</w:t>
      </w:r>
      <w:r w:rsidRPr="00AF5DD6">
        <w:rPr>
          <w:color w:val="000000" w:themeColor="text1"/>
        </w:rPr>
        <w:t xml:space="preserve"> y </w:t>
      </w:r>
      <w:r w:rsidR="006E4766">
        <w:rPr>
          <w:color w:val="000000" w:themeColor="text1"/>
        </w:rPr>
        <w:t xml:space="preserve">de </w:t>
      </w:r>
      <w:r>
        <w:rPr>
          <w:color w:val="000000" w:themeColor="text1"/>
        </w:rPr>
        <w:t xml:space="preserve">2.91 por ciento. </w:t>
      </w:r>
    </w:p>
    <w:p w14:paraId="2CE48207" w14:textId="6D811021" w:rsidR="00CB0EC8" w:rsidRPr="0098307F" w:rsidRDefault="00CB0EC8" w:rsidP="00CB0EC8">
      <w:pPr>
        <w:pStyle w:val="Textonotapie"/>
        <w:spacing w:before="240"/>
        <w:rPr>
          <w:sz w:val="24"/>
          <w:szCs w:val="24"/>
          <w:lang w:val="es-MX"/>
        </w:rPr>
      </w:pPr>
      <w:r w:rsidRPr="00CB0EC8">
        <w:rPr>
          <w:b/>
          <w:bCs/>
          <w:color w:val="000000" w:themeColor="text1"/>
          <w:sz w:val="24"/>
          <w:szCs w:val="24"/>
        </w:rPr>
        <w:t>Nota:</w:t>
      </w:r>
      <w:r>
        <w:rPr>
          <w:color w:val="000000" w:themeColor="text1"/>
        </w:rPr>
        <w:t xml:space="preserve">  </w:t>
      </w:r>
      <w:r>
        <w:rPr>
          <w:sz w:val="24"/>
          <w:szCs w:val="24"/>
          <w:lang w:val="es-MX"/>
        </w:rPr>
        <w:t>A</w:t>
      </w:r>
      <w:r w:rsidRPr="00C07D38">
        <w:rPr>
          <w:sz w:val="24"/>
          <w:szCs w:val="24"/>
          <w:lang w:val="es-MX"/>
        </w:rPr>
        <w:t xml:space="preserve"> partir de este mes</w:t>
      </w:r>
      <w:r w:rsidRPr="00CB0EC8">
        <w:rPr>
          <w:sz w:val="24"/>
          <w:szCs w:val="24"/>
          <w:lang w:val="es-MX"/>
        </w:rPr>
        <w:t>, con la difusión de la</w:t>
      </w:r>
      <w:r>
        <w:rPr>
          <w:sz w:val="24"/>
          <w:szCs w:val="24"/>
          <w:lang w:val="es-MX"/>
        </w:rPr>
        <w:t>s</w:t>
      </w:r>
      <w:r w:rsidRPr="00CB0EC8">
        <w:rPr>
          <w:sz w:val="24"/>
          <w:szCs w:val="24"/>
          <w:lang w:val="es-MX"/>
        </w:rPr>
        <w:t xml:space="preserve"> cifras de</w:t>
      </w:r>
      <w:r w:rsidRPr="00C07D38">
        <w:rPr>
          <w:sz w:val="24"/>
          <w:szCs w:val="24"/>
          <w:lang w:val="es-MX"/>
        </w:rPr>
        <w:t xml:space="preserve"> enero de 2021, el índice de la Canasta Básica no será presentado en el </w:t>
      </w:r>
      <w:r>
        <w:rPr>
          <w:sz w:val="24"/>
          <w:szCs w:val="24"/>
          <w:lang w:val="es-MX"/>
        </w:rPr>
        <w:t>comunicado de prensa y en la nota técnica</w:t>
      </w:r>
      <w:r w:rsidR="00C472FB">
        <w:rPr>
          <w:sz w:val="24"/>
          <w:szCs w:val="24"/>
          <w:lang w:val="es-MX"/>
        </w:rPr>
        <w:t>;</w:t>
      </w:r>
      <w:r w:rsidRPr="00C07D38">
        <w:rPr>
          <w:sz w:val="24"/>
          <w:szCs w:val="24"/>
          <w:lang w:val="es-MX"/>
        </w:rPr>
        <w:t xml:space="preserve"> sin embargo</w:t>
      </w:r>
      <w:r>
        <w:rPr>
          <w:sz w:val="24"/>
          <w:szCs w:val="24"/>
          <w:lang w:val="es-MX"/>
        </w:rPr>
        <w:t>,</w:t>
      </w:r>
      <w:r w:rsidRPr="00C07D38">
        <w:rPr>
          <w:sz w:val="24"/>
          <w:szCs w:val="24"/>
          <w:lang w:val="es-MX"/>
        </w:rPr>
        <w:t xml:space="preserve"> la serie actualizada de dicha agrupación de productos del INPC continuará publicándose en el sitio web del INEGI, en la liga: </w:t>
      </w:r>
      <w:hyperlink r:id="rId30" w:anchor="Tabulados" w:history="1">
        <w:r w:rsidRPr="0081179C">
          <w:rPr>
            <w:rStyle w:val="Hipervnculo"/>
            <w:sz w:val="24"/>
            <w:szCs w:val="24"/>
            <w:lang w:val="es-MX"/>
          </w:rPr>
          <w:t>https://inegi.org.mx/programas/inpc/2018/#Tabulados</w:t>
        </w:r>
      </w:hyperlink>
      <w:r>
        <w:rPr>
          <w:sz w:val="24"/>
          <w:szCs w:val="24"/>
          <w:lang w:val="es-MX"/>
        </w:rPr>
        <w:t xml:space="preserve"> </w:t>
      </w:r>
      <w:r w:rsidRPr="00C07D38">
        <w:rPr>
          <w:sz w:val="24"/>
          <w:szCs w:val="24"/>
          <w:lang w:val="es-MX"/>
        </w:rPr>
        <w:t>en la sección Otros tabulados.</w:t>
      </w:r>
    </w:p>
    <w:p w14:paraId="46F94B34" w14:textId="31FEABAF" w:rsidR="00FB6399" w:rsidRDefault="00FB6399" w:rsidP="00FB6399">
      <w:pPr>
        <w:widowControl w:val="0"/>
        <w:autoSpaceDE w:val="0"/>
        <w:autoSpaceDN w:val="0"/>
        <w:adjustRightInd w:val="0"/>
        <w:spacing w:before="480"/>
        <w:rPr>
          <w:b/>
          <w:i/>
        </w:rPr>
      </w:pPr>
      <w:r w:rsidRPr="00E45F62">
        <w:rPr>
          <w:b/>
          <w:i/>
        </w:rPr>
        <w:t xml:space="preserve">Nota </w:t>
      </w:r>
      <w:r>
        <w:rPr>
          <w:b/>
          <w:i/>
        </w:rPr>
        <w:t>al usuario</w:t>
      </w:r>
    </w:p>
    <w:p w14:paraId="120D1FD6" w14:textId="00189BBA" w:rsidR="00CC5A86" w:rsidRPr="00695B57" w:rsidRDefault="00666ECC" w:rsidP="00CC5A86">
      <w:pPr>
        <w:pStyle w:val="Prrafodelista"/>
        <w:autoSpaceDE w:val="0"/>
        <w:autoSpaceDN w:val="0"/>
        <w:adjustRightInd w:val="0"/>
        <w:spacing w:before="240"/>
        <w:ind w:left="0"/>
        <w:rPr>
          <w:lang w:val="es-MX"/>
        </w:rPr>
      </w:pPr>
      <w:r w:rsidRPr="00D34F8F">
        <w:rPr>
          <w:lang w:val="es-MX"/>
        </w:rPr>
        <w:t xml:space="preserve">Como se informó oportunamente, dadas las medidas extraordinarias adoptadas por el INEGI ante el estado de emergencia sanitaria originada por el COVID-19, a partir del mes de abril </w:t>
      </w:r>
      <w:r w:rsidR="005C1586">
        <w:rPr>
          <w:lang w:val="es-MX"/>
        </w:rPr>
        <w:t xml:space="preserve">de 2020 </w:t>
      </w:r>
      <w:r w:rsidRPr="00D34F8F">
        <w:rPr>
          <w:lang w:val="es-MX"/>
        </w:rPr>
        <w:t>y mientras dure esta emergencia sanitaria, la medición del Índice Nacional de Precios al Consumidor (INPC) seguirá utilizando medios electrónicos como el Internet, correo electrónico, teléfono y otras tecnologías de la información para obtener sus cotizaciones</w:t>
      </w:r>
      <w:r w:rsidR="009670A3" w:rsidRPr="00D34F8F">
        <w:rPr>
          <w:lang w:val="es-MX"/>
        </w:rPr>
        <w:t xml:space="preserve"> en tanto sea posible retomar la visita directa a los comercios</w:t>
      </w:r>
      <w:r w:rsidRPr="00D34F8F">
        <w:rPr>
          <w:lang w:val="es-MX"/>
        </w:rPr>
        <w:t>. Los resultados se continuarán dando a conocer de acuerdo con el Calendario de Difusión de Información Estadística y Geográfica y de Interés Nacional establecido por el Instituto.</w:t>
      </w:r>
    </w:p>
    <w:p w14:paraId="626D3CB9" w14:textId="4DD1005C" w:rsidR="0098307F" w:rsidRDefault="00592DBA" w:rsidP="0098307F">
      <w:pPr>
        <w:pStyle w:val="Textonotapie"/>
        <w:spacing w:before="240"/>
        <w:rPr>
          <w:sz w:val="24"/>
          <w:szCs w:val="24"/>
        </w:rPr>
      </w:pPr>
      <w:r w:rsidRPr="0098307F">
        <w:rPr>
          <w:sz w:val="24"/>
          <w:szCs w:val="24"/>
          <w:lang w:val="es-MX"/>
        </w:rPr>
        <w:t xml:space="preserve">Desde el mes de abril </w:t>
      </w:r>
      <w:r w:rsidR="00692A8C">
        <w:rPr>
          <w:sz w:val="24"/>
          <w:szCs w:val="24"/>
          <w:lang w:val="es-MX"/>
        </w:rPr>
        <w:t xml:space="preserve">de 2020 </w:t>
      </w:r>
      <w:r w:rsidRPr="0098307F">
        <w:rPr>
          <w:sz w:val="24"/>
          <w:szCs w:val="24"/>
          <w:lang w:val="es-MX"/>
        </w:rPr>
        <w:t xml:space="preserve">y aún en la segunda quincena de </w:t>
      </w:r>
      <w:r w:rsidR="000D632A">
        <w:rPr>
          <w:sz w:val="24"/>
          <w:szCs w:val="24"/>
          <w:lang w:val="es-MX"/>
        </w:rPr>
        <w:t>enero</w:t>
      </w:r>
      <w:r w:rsidRPr="0098307F">
        <w:rPr>
          <w:sz w:val="24"/>
          <w:szCs w:val="24"/>
          <w:lang w:val="es-MX"/>
        </w:rPr>
        <w:t xml:space="preserve"> de 202</w:t>
      </w:r>
      <w:r w:rsidR="000D632A">
        <w:rPr>
          <w:sz w:val="24"/>
          <w:szCs w:val="24"/>
          <w:lang w:val="es-MX"/>
        </w:rPr>
        <w:t>1</w:t>
      </w:r>
      <w:r w:rsidRPr="0098307F">
        <w:rPr>
          <w:sz w:val="24"/>
          <w:szCs w:val="24"/>
          <w:lang w:val="es-MX"/>
        </w:rPr>
        <w:t xml:space="preserve">, </w:t>
      </w:r>
      <w:r w:rsidR="0098307F" w:rsidRPr="0098307F">
        <w:rPr>
          <w:sz w:val="24"/>
          <w:szCs w:val="24"/>
        </w:rPr>
        <w:t xml:space="preserve">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estadísticamente sólo afectó a aquellos que representan el 0.7% del ponderador del gasto total de la canasta nacional. Estas medidas están apegadas a las recomendaciones que han propuesto los organismos internacionales debido a esta contingencia. </w:t>
      </w:r>
    </w:p>
    <w:p w14:paraId="7865DF2F" w14:textId="77777777" w:rsidR="0068711D" w:rsidRDefault="0068711D">
      <w:pPr>
        <w:jc w:val="left"/>
        <w:rPr>
          <w:b/>
          <w:i/>
        </w:rPr>
      </w:pPr>
      <w:r>
        <w:rPr>
          <w:b/>
          <w:i/>
        </w:rPr>
        <w:br w:type="page"/>
      </w:r>
    </w:p>
    <w:p w14:paraId="7ED08BCA" w14:textId="51EC7C35" w:rsidR="00624F11" w:rsidRPr="00E45F62" w:rsidRDefault="00624F11" w:rsidP="00E45F62">
      <w:pPr>
        <w:widowControl w:val="0"/>
        <w:autoSpaceDE w:val="0"/>
        <w:autoSpaceDN w:val="0"/>
        <w:adjustRightInd w:val="0"/>
        <w:spacing w:before="480"/>
        <w:rPr>
          <w:b/>
          <w:i/>
        </w:rPr>
      </w:pPr>
      <w:r w:rsidRPr="00E45F62">
        <w:rPr>
          <w:b/>
          <w:i/>
        </w:rPr>
        <w:lastRenderedPageBreak/>
        <w:t>Nota metodológica</w:t>
      </w:r>
    </w:p>
    <w:bookmarkEnd w:id="6"/>
    <w:p w14:paraId="218FB959" w14:textId="77777777" w:rsidR="00624F11" w:rsidRPr="00E45F62" w:rsidRDefault="00624F11" w:rsidP="00E45F62">
      <w:pPr>
        <w:pStyle w:val="Prrafodelista"/>
        <w:autoSpaceDE w:val="0"/>
        <w:autoSpaceDN w:val="0"/>
        <w:adjustRightInd w:val="0"/>
        <w:spacing w:before="240"/>
        <w:ind w:left="0"/>
        <w:rPr>
          <w:lang w:val="es-MX"/>
        </w:rPr>
      </w:pPr>
      <w:r w:rsidRPr="00E45F62">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 razón por la cual el INPC es un indicador trascendente y de interés general para la sociedad en su conjunto. La tasa de crecimiento del INPC de un periodo a otro permite medir el fenómeno económico conocido como 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t>Las características metodológicas del INPC son:</w:t>
      </w:r>
    </w:p>
    <w:p w14:paraId="508378EB"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Periodo de referencia</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901955">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7591AFEC" w:rsidR="00624F11" w:rsidRPr="00E45F62" w:rsidRDefault="00624F11" w:rsidP="00901955">
      <w:pPr>
        <w:pStyle w:val="Texto"/>
        <w:keepNext/>
        <w:keepLines/>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alrededor de 120 mil productos y servicios específicos, agrupados en 299 genéricos</w:t>
      </w:r>
      <w:r w:rsidRPr="00E45F62">
        <w:rPr>
          <w:rStyle w:val="Refdenotaalpie"/>
          <w:sz w:val="24"/>
          <w:szCs w:val="24"/>
          <w:lang w:val="es-MX"/>
        </w:rPr>
        <w:footnoteReference w:id="5"/>
      </w:r>
      <w:r w:rsidRPr="00E45F62">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77777777"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Define la participación del gasto de un bien o servicio en la canasta de bienes y servicios representativa del consumo de los hogares del país. La suma del total de ponderaciones de la canasta es igual a 1. Para poder considerar un Genérico en la canasta de bienes y servicios del INPC su ponderación debe ser igual o mayor a 0.01%. La estructura de las ponderaciones se construyó con información de la Engasto 2012 y 2013 y la ENIGH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77777777"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 xml:space="preserve">Los puntos de venta son las unidades económicas o establecimientos donde los investigadores de precios cotizan los precios de los productos específicos de la canasta del INPC. Para el INPC 2018 fueron seleccionados a través de un </w:t>
      </w:r>
      <w:r w:rsidRPr="00E45F62">
        <w:rPr>
          <w:sz w:val="24"/>
          <w:szCs w:val="24"/>
          <w:lang w:val="es-ES_tradnl"/>
        </w:rPr>
        <w:t xml:space="preserve">esquema de muestreo probabilístico, en el caso de 248 genéricos, y un muestreo no probabilístico para los 51 genéricos restantes. </w:t>
      </w:r>
      <w:r w:rsidRPr="00E45F62">
        <w:rPr>
          <w:color w:val="000000"/>
          <w:sz w:val="24"/>
          <w:szCs w:val="24"/>
        </w:rPr>
        <w:t>En este último caso se consideran los genéricos cuyas tarifas son autorizadas o reguladas por el gobierno, solo existe uno o pocos oferentes de los servicios, no se cuenta con un marco de muestreo u otros genéricos cuyo precio es muy semejante, por lo que no es necesario aplicar un muestreo probabilístico.</w:t>
      </w:r>
    </w:p>
    <w:p w14:paraId="3F7C4F95" w14:textId="77777777" w:rsidR="00624F11" w:rsidRPr="00E45F62" w:rsidRDefault="00624F11" w:rsidP="003510C7">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lastRenderedPageBreak/>
        <w:t>Cobertura geográfica de las cotizaciones</w:t>
      </w:r>
    </w:p>
    <w:p w14:paraId="1F05E3AB" w14:textId="22620229" w:rsidR="00624F11" w:rsidRPr="00E45F62" w:rsidRDefault="00624F11" w:rsidP="003510C7">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Entidades Federativas del país. Se cotizan en promedio 159 mil 500 precios quincenalmente de los productos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durante la quincena que se reporta; para el resto de los productos se obtienen por lo menos una vez en dicho periodo.</w:t>
      </w:r>
    </w:p>
    <w:p w14:paraId="3B782BA8" w14:textId="77777777" w:rsidR="00624F11" w:rsidRPr="00E45F62" w:rsidRDefault="00624F11" w:rsidP="00224DEF">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Cálculo del INPC</w:t>
      </w:r>
    </w:p>
    <w:p w14:paraId="0C2FA7BF" w14:textId="77777777" w:rsidR="00624F11" w:rsidRPr="00E45F62" w:rsidRDefault="00624F11" w:rsidP="00224DEF">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77777777"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0C5CCCFC" w14:textId="20CB45FE" w:rsidR="00624F11" w:rsidRPr="00E45F62" w:rsidRDefault="00624F11" w:rsidP="00E45F62">
      <w:pPr>
        <w:widowControl w:val="0"/>
        <w:autoSpaceDE w:val="0"/>
        <w:autoSpaceDN w:val="0"/>
        <w:adjustRightInd w:val="0"/>
        <w:spacing w:before="480"/>
        <w:rPr>
          <w:b/>
          <w:i/>
        </w:rPr>
      </w:pPr>
      <w:r w:rsidRPr="00E45F62">
        <w:rPr>
          <w:b/>
          <w:i/>
        </w:rPr>
        <w:t xml:space="preserve">Herramientas de análisis </w:t>
      </w:r>
    </w:p>
    <w:p w14:paraId="6390F55A" w14:textId="095355E5" w:rsidR="00624F11" w:rsidRPr="00E45F62" w:rsidRDefault="00624F11" w:rsidP="00E45F62">
      <w:pPr>
        <w:pStyle w:val="Texto"/>
        <w:autoSpaceDE w:val="0"/>
        <w:autoSpaceDN w:val="0"/>
        <w:adjustRightInd w:val="0"/>
        <w:spacing w:before="240" w:after="0" w:line="240" w:lineRule="auto"/>
        <w:ind w:firstLine="0"/>
        <w:rPr>
          <w:sz w:val="24"/>
          <w:szCs w:val="24"/>
        </w:rPr>
      </w:pPr>
      <w:r w:rsidRPr="00E45F62">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E45F62">
        <w:rPr>
          <w:sz w:val="24"/>
          <w:szCs w:val="24"/>
        </w:rPr>
        <w:t xml:space="preserve">: </w:t>
      </w:r>
      <w:hyperlink r:id="rId31" w:anchor="Herramientas" w:history="1">
        <w:r w:rsidRPr="00E45F62">
          <w:rPr>
            <w:rStyle w:val="Hipervnculo"/>
            <w:sz w:val="24"/>
            <w:szCs w:val="24"/>
          </w:rPr>
          <w:t>https://www.inegi.org.mx/programas/inpc/2018/default.html#Herramientas</w:t>
        </w:r>
      </w:hyperlink>
    </w:p>
    <w:p w14:paraId="54915E64" w14:textId="33EEE6E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Permite calcular la Tasa de Inflación de un Índice de Precios, en un intervalo de tiempo. Calcula dos tipos de tasas de inflación porcentuales: la implícita entre cualquiera de dos fechas, y la tasa de inflación porcentual promedio en un período.</w:t>
      </w:r>
    </w:p>
    <w:p w14:paraId="1AA38E48" w14:textId="1B836C8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 xml:space="preserve">Muestra la forma en que los consumidores, en promedio, distribuyen su gasto en 8 grupos y 36 subgrupos, así como, las variaciones en los precios de </w:t>
      </w:r>
      <w:proofErr w:type="gramStart"/>
      <w:r w:rsidRPr="00D93DC5">
        <w:rPr>
          <w:sz w:val="24"/>
          <w:szCs w:val="24"/>
        </w:rPr>
        <w:t>los mismo</w:t>
      </w:r>
      <w:r w:rsidRPr="00D93DC5">
        <w:rPr>
          <w:spacing w:val="-6"/>
          <w:sz w:val="24"/>
          <w:szCs w:val="24"/>
        </w:rPr>
        <w:t>s</w:t>
      </w:r>
      <w:proofErr w:type="gramEnd"/>
      <w:r w:rsidRPr="00D93DC5">
        <w:rPr>
          <w:spacing w:val="-6"/>
          <w:sz w:val="24"/>
          <w:szCs w:val="24"/>
        </w:rPr>
        <w:t>.</w:t>
      </w:r>
    </w:p>
    <w:p w14:paraId="50549F02" w14:textId="5B47102C"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Presenta en forma dinámica las variaciones anualizadas de los precios por ciudad, entidad y región, así como la participación o peso que tienen estos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lastRenderedPageBreak/>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77777777"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D3DDC7" w14:textId="154DBE25" w:rsidR="00E45F62" w:rsidRP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t>Para mayor detalle del diseño conceptual y metodológico del INPC consultar la página en Internet del INEGI:</w:t>
      </w:r>
      <w:r w:rsidRPr="00E45F62">
        <w:rPr>
          <w:sz w:val="24"/>
          <w:szCs w:val="24"/>
        </w:rPr>
        <w:t xml:space="preserve"> </w:t>
      </w:r>
      <w:hyperlink r:id="rId32" w:history="1">
        <w:r w:rsidRPr="00E45F62">
          <w:rPr>
            <w:rStyle w:val="Hipervnculo"/>
            <w:sz w:val="24"/>
            <w:szCs w:val="24"/>
          </w:rPr>
          <w:t>https://www.inegi.org.mx/programas/inpc/2018/</w:t>
        </w:r>
      </w:hyperlink>
      <w:r w:rsidRPr="00E45F62">
        <w:rPr>
          <w:rStyle w:val="Hipervnculo"/>
          <w:sz w:val="24"/>
          <w:szCs w:val="24"/>
        </w:rPr>
        <w:t>,</w:t>
      </w:r>
      <w:r w:rsidRPr="00E45F62">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r w:rsidR="004C5CD0">
        <w:rPr>
          <w:sz w:val="24"/>
          <w:szCs w:val="24"/>
        </w:rPr>
        <w:t>.</w:t>
      </w:r>
    </w:p>
    <w:p w14:paraId="0EB26E36" w14:textId="77777777" w:rsidR="00624F11" w:rsidRPr="00A71198" w:rsidRDefault="00624F11" w:rsidP="00A85732">
      <w:pPr>
        <w:pStyle w:val="Texto"/>
        <w:autoSpaceDE w:val="0"/>
        <w:autoSpaceDN w:val="0"/>
        <w:adjustRightInd w:val="0"/>
        <w:spacing w:before="240" w:after="0" w:line="240" w:lineRule="auto"/>
        <w:ind w:firstLine="0"/>
        <w:jc w:val="center"/>
        <w:rPr>
          <w:sz w:val="24"/>
          <w:szCs w:val="24"/>
        </w:rPr>
      </w:pPr>
      <w:r w:rsidRPr="00553D4D">
        <w:rPr>
          <w:rStyle w:val="nfasis"/>
          <w:noProof/>
          <w:lang w:val="es-MX" w:eastAsia="es-MX"/>
        </w:rPr>
        <w:drawing>
          <wp:inline distT="0" distB="0" distL="0" distR="0" wp14:anchorId="0B1276AB" wp14:editId="5E5F2B14">
            <wp:extent cx="4686646" cy="1692000"/>
            <wp:effectExtent l="38100" t="0" r="38100" b="419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624F11" w:rsidRPr="00A71198" w:rsidSect="00F23558">
      <w:headerReference w:type="default" r:id="rId34"/>
      <w:type w:val="continuous"/>
      <w:pgSz w:w="12242" w:h="15842" w:code="1"/>
      <w:pgMar w:top="2268" w:right="1185" w:bottom="1134" w:left="1418" w:header="426"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CD89" w14:textId="77777777" w:rsidR="009C3549" w:rsidRDefault="009C3549">
      <w:r>
        <w:separator/>
      </w:r>
    </w:p>
  </w:endnote>
  <w:endnote w:type="continuationSeparator" w:id="0">
    <w:p w14:paraId="5B3ACBF9" w14:textId="77777777" w:rsidR="009C3549" w:rsidRDefault="009C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Pr="007F3510" w:rsidRDefault="003B5757" w:rsidP="003076C4">
    <w:pPr>
      <w:pStyle w:val="Piedepgina"/>
      <w:jc w:val="center"/>
      <w:rPr>
        <w:b/>
        <w:color w:val="002060"/>
        <w:sz w:val="20"/>
        <w:szCs w:val="20"/>
        <w:lang w:val="es-MX"/>
      </w:rPr>
    </w:pPr>
    <w:r w:rsidRPr="007F351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CDF0" w14:textId="77777777" w:rsidR="009C3549" w:rsidRDefault="009C3549">
      <w:r>
        <w:separator/>
      </w:r>
    </w:p>
  </w:footnote>
  <w:footnote w:type="continuationSeparator" w:id="0">
    <w:p w14:paraId="22456838" w14:textId="77777777" w:rsidR="009C3549" w:rsidRDefault="009C3549">
      <w:r>
        <w:continuationSeparator/>
      </w:r>
    </w:p>
  </w:footnote>
  <w:footnote w:id="1">
    <w:p w14:paraId="32511DD8" w14:textId="18300925" w:rsidR="005E43F8" w:rsidRPr="00D8168F" w:rsidRDefault="005E43F8" w:rsidP="007F3510">
      <w:pPr>
        <w:pStyle w:val="Textonotapie"/>
        <w:spacing w:before="60"/>
        <w:ind w:hanging="284"/>
        <w:rPr>
          <w:sz w:val="16"/>
          <w:szCs w:val="16"/>
          <w:lang w:val="es-MX"/>
        </w:rPr>
      </w:pPr>
      <w:r w:rsidRPr="00D8168F">
        <w:rPr>
          <w:rStyle w:val="Refdenotaalpie"/>
          <w:sz w:val="18"/>
          <w:szCs w:val="16"/>
        </w:rPr>
        <w:footnoteRef/>
      </w:r>
      <w:r w:rsidRPr="00D8168F">
        <w:rPr>
          <w:sz w:val="16"/>
          <w:szCs w:val="16"/>
        </w:rP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r>
        <w:rPr>
          <w:sz w:val="16"/>
          <w:szCs w:val="16"/>
        </w:rPr>
        <w:t xml:space="preserve"> </w:t>
      </w:r>
    </w:p>
  </w:footnote>
  <w:footnote w:id="2">
    <w:p w14:paraId="4823EBEE" w14:textId="45620210" w:rsidR="00666ECC" w:rsidRPr="00666ECC" w:rsidRDefault="00666ECC" w:rsidP="007F3510">
      <w:pPr>
        <w:pStyle w:val="Textonotapie"/>
        <w:spacing w:before="60"/>
        <w:ind w:hanging="284"/>
        <w:rPr>
          <w:sz w:val="16"/>
          <w:lang w:val="es-MX"/>
        </w:rPr>
      </w:pPr>
      <w:r w:rsidRPr="004E5966">
        <w:rPr>
          <w:rStyle w:val="Refdenotaalpie"/>
          <w:sz w:val="18"/>
        </w:rPr>
        <w:footnoteRef/>
      </w:r>
      <w:r>
        <w:tab/>
      </w:r>
      <w:bookmarkStart w:id="2" w:name="_Hlk52895928"/>
      <w:r w:rsidRPr="005E43F8">
        <w:rPr>
          <w:color w:val="000000" w:themeColor="text1"/>
          <w:sz w:val="16"/>
          <w:szCs w:val="16"/>
        </w:rPr>
        <w:t>D</w:t>
      </w:r>
      <w:r w:rsidR="00C2370B" w:rsidRPr="005E43F8">
        <w:rPr>
          <w:color w:val="000000" w:themeColor="text1"/>
          <w:sz w:val="16"/>
          <w:szCs w:val="16"/>
        </w:rPr>
        <w:t>esde</w:t>
      </w:r>
      <w:r w:rsidRPr="00C2370B">
        <w:rPr>
          <w:sz w:val="16"/>
        </w:rPr>
        <w:t xml:space="preserve"> el mes de abril</w:t>
      </w:r>
      <w:r w:rsidR="00C16B91">
        <w:rPr>
          <w:sz w:val="16"/>
        </w:rPr>
        <w:t xml:space="preserve"> </w:t>
      </w:r>
      <w:r w:rsidR="00692A8C">
        <w:rPr>
          <w:sz w:val="16"/>
        </w:rPr>
        <w:t xml:space="preserve">de 2020 </w:t>
      </w:r>
      <w:r w:rsidR="00C16B91">
        <w:rPr>
          <w:sz w:val="16"/>
        </w:rPr>
        <w:t xml:space="preserve">y aún en </w:t>
      </w:r>
      <w:r w:rsidR="008E4E8F">
        <w:rPr>
          <w:sz w:val="16"/>
        </w:rPr>
        <w:t xml:space="preserve">la </w:t>
      </w:r>
      <w:r w:rsidR="000461A9">
        <w:rPr>
          <w:sz w:val="16"/>
        </w:rPr>
        <w:t xml:space="preserve">segunda quincena de </w:t>
      </w:r>
      <w:r w:rsidR="005E43F8">
        <w:rPr>
          <w:sz w:val="16"/>
        </w:rPr>
        <w:t>enero</w:t>
      </w:r>
      <w:r w:rsidR="00E64937">
        <w:rPr>
          <w:sz w:val="16"/>
        </w:rPr>
        <w:t xml:space="preserve"> de 202</w:t>
      </w:r>
      <w:bookmarkStart w:id="3" w:name="_Hlk60727743"/>
      <w:r w:rsidR="005E43F8">
        <w:rPr>
          <w:sz w:val="16"/>
        </w:rPr>
        <w:t>1</w:t>
      </w:r>
      <w:r w:rsidR="00C2370B">
        <w:rPr>
          <w:sz w:val="16"/>
        </w:rPr>
        <w:t xml:space="preserve">, </w:t>
      </w:r>
      <w:r w:rsidRPr="00C2370B">
        <w:rPr>
          <w:sz w:val="16"/>
        </w:rPr>
        <w:t>la recopilación de precios enfrentó el cierre temporal o la limitación de actividades en los establecimientos donde el INEGI cotiza los productos del INPC de manera regular, utilizando para ello</w:t>
      </w:r>
      <w:r w:rsidR="004429EB" w:rsidRPr="00C2370B">
        <w:rPr>
          <w:sz w:val="16"/>
        </w:rPr>
        <w:t xml:space="preserve"> los</w:t>
      </w:r>
      <w:r w:rsidRPr="00C2370B">
        <w:rPr>
          <w:sz w:val="16"/>
        </w:rPr>
        <w:t xml:space="preserve"> medios electrónicos </w:t>
      </w:r>
      <w:r w:rsidR="004429EB" w:rsidRPr="00C2370B">
        <w:rPr>
          <w:sz w:val="16"/>
        </w:rPr>
        <w:t>mencionados</w:t>
      </w:r>
      <w:r w:rsidRPr="00C2370B">
        <w:rPr>
          <w:sz w:val="16"/>
        </w:rPr>
        <w:t xml:space="preserve">. Lo anterior da lugar a un </w:t>
      </w:r>
      <w:r w:rsidR="00C16B91">
        <w:rPr>
          <w:sz w:val="16"/>
        </w:rPr>
        <w:t>grupo</w:t>
      </w:r>
      <w:r w:rsidRPr="00C2370B">
        <w:rPr>
          <w:sz w:val="16"/>
        </w:rPr>
        <w:t xml:space="preserve"> de artículos sin acceso a su precio. El cierre de los establecimientos ocurre durante este periodo de contingencia porque: son actividades económicas no esenciales, por otras medidas sanitarias o por voluntad del propio negocio.</w:t>
      </w:r>
      <w:r w:rsidR="00CA7DAA">
        <w:rPr>
          <w:sz w:val="16"/>
        </w:rPr>
        <w:t xml:space="preserve"> </w:t>
      </w:r>
      <w:r w:rsidR="00C16B91">
        <w:rPr>
          <w:sz w:val="16"/>
        </w:rPr>
        <w:t>L</w:t>
      </w:r>
      <w:r w:rsidRPr="00C2370B">
        <w:rPr>
          <w:sz w:val="16"/>
        </w:rPr>
        <w:t>a falta de precios se distribuyó entre todos los genéricos y estadísticamente s</w:t>
      </w:r>
      <w:r w:rsidR="00BA72CE">
        <w:rPr>
          <w:sz w:val="16"/>
        </w:rPr>
        <w:t>ó</w:t>
      </w:r>
      <w:r w:rsidRPr="00C2370B">
        <w:rPr>
          <w:sz w:val="16"/>
        </w:rPr>
        <w:t xml:space="preserve">lo afectó a aquellos que representan </w:t>
      </w:r>
      <w:r w:rsidRPr="000C199E">
        <w:rPr>
          <w:sz w:val="16"/>
        </w:rPr>
        <w:t xml:space="preserve">el </w:t>
      </w:r>
      <w:bookmarkStart w:id="4" w:name="_Hlk39645181"/>
      <w:r w:rsidR="00D34F8F" w:rsidRPr="00D34F8F">
        <w:rPr>
          <w:sz w:val="16"/>
        </w:rPr>
        <w:t>0.7</w:t>
      </w:r>
      <w:r w:rsidRPr="00D34F8F">
        <w:rPr>
          <w:sz w:val="16"/>
        </w:rPr>
        <w:t>%</w:t>
      </w:r>
      <w:r w:rsidRPr="00C16B91">
        <w:rPr>
          <w:sz w:val="16"/>
        </w:rPr>
        <w:t xml:space="preserve"> del</w:t>
      </w:r>
      <w:r w:rsidRPr="00C2370B">
        <w:rPr>
          <w:sz w:val="16"/>
        </w:rPr>
        <w:t xml:space="preserve"> ponderador de</w:t>
      </w:r>
      <w:r w:rsidR="00023A01" w:rsidRPr="00C2370B">
        <w:rPr>
          <w:sz w:val="16"/>
        </w:rPr>
        <w:t>l</w:t>
      </w:r>
      <w:r w:rsidRPr="00C2370B">
        <w:rPr>
          <w:sz w:val="16"/>
        </w:rPr>
        <w:t xml:space="preserve"> gasto total de la canasta nacional. </w:t>
      </w:r>
      <w:bookmarkEnd w:id="4"/>
      <w:r w:rsidR="00D520D9" w:rsidRPr="00D473E9">
        <w:rPr>
          <w:sz w:val="16"/>
        </w:rPr>
        <w:t>Estas medidas están apegadas a las recomendaciones que han propuesto los organismos internacionales debido a esta contingencia</w:t>
      </w:r>
      <w:r w:rsidR="00D520D9" w:rsidRPr="00FA04B0">
        <w:rPr>
          <w:sz w:val="16"/>
        </w:rPr>
        <w:t>.</w:t>
      </w:r>
      <w:bookmarkEnd w:id="2"/>
      <w:bookmarkEnd w:id="3"/>
    </w:p>
  </w:footnote>
  <w:footnote w:id="3">
    <w:p w14:paraId="2B5F5A3D" w14:textId="77777777" w:rsidR="005E43F8" w:rsidRPr="00CA39BA" w:rsidRDefault="005E43F8" w:rsidP="005E43F8">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p>
  </w:footnote>
  <w:footnote w:id="4">
    <w:p w14:paraId="0415B360" w14:textId="77777777" w:rsidR="005E43F8" w:rsidRPr="009C5908" w:rsidRDefault="005E43F8" w:rsidP="005E43F8">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5">
    <w:p w14:paraId="7AF479F2" w14:textId="395BE7E4"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Genérico. </w:t>
      </w:r>
      <w:r w:rsidRPr="006301B8">
        <w:rPr>
          <w:color w:val="000000"/>
          <w:sz w:val="16"/>
          <w:szCs w:val="16"/>
        </w:rPr>
        <w:t xml:space="preserve">Conjunto de bienes y servicios de la canasta del INPC que poseen alto grado de homogeneidad; se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7FBF" w14:textId="33902C01" w:rsidR="00F23558" w:rsidRPr="00265B8C" w:rsidRDefault="00F23558" w:rsidP="00F23558">
    <w:pPr>
      <w:pStyle w:val="Encabezado"/>
      <w:framePr w:w="5513" w:hSpace="141" w:wrap="auto" w:vAnchor="text" w:hAnchor="page" w:x="5593" w:y="1"/>
      <w:ind w:left="567" w:hanging="11"/>
      <w:jc w:val="right"/>
      <w:rPr>
        <w:b/>
        <w:color w:val="002060"/>
      </w:rPr>
    </w:pPr>
    <w:r w:rsidRPr="00265B8C">
      <w:rPr>
        <w:b/>
        <w:color w:val="002060"/>
      </w:rPr>
      <w:t xml:space="preserve">COMUNICADO DE PRENSA NÚM. </w:t>
    </w:r>
    <w:r w:rsidR="0075592F">
      <w:rPr>
        <w:b/>
        <w:color w:val="002060"/>
      </w:rPr>
      <w:t>110</w:t>
    </w:r>
    <w:r w:rsidRPr="00265B8C">
      <w:rPr>
        <w:b/>
        <w:color w:val="002060"/>
      </w:rPr>
      <w:t>/</w:t>
    </w:r>
    <w:r>
      <w:rPr>
        <w:b/>
        <w:color w:val="002060"/>
      </w:rPr>
      <w:t>21</w:t>
    </w:r>
  </w:p>
  <w:p w14:paraId="398DAF8F" w14:textId="33657C74" w:rsidR="00F23558" w:rsidRPr="00265B8C" w:rsidRDefault="00F23558" w:rsidP="00F23558">
    <w:pPr>
      <w:pStyle w:val="Encabezado"/>
      <w:framePr w:w="5513" w:hSpace="141" w:wrap="auto" w:vAnchor="text" w:hAnchor="page" w:x="5593" w:y="1"/>
      <w:ind w:left="567" w:hanging="11"/>
      <w:jc w:val="right"/>
      <w:rPr>
        <w:b/>
        <w:color w:val="002060"/>
        <w:lang w:val="pt-BR"/>
      </w:rPr>
    </w:pPr>
    <w:r>
      <w:rPr>
        <w:b/>
        <w:color w:val="002060"/>
        <w:lang w:val="pt-BR"/>
      </w:rPr>
      <w:t xml:space="preserve">9 </w:t>
    </w:r>
    <w:r w:rsidRPr="00265B8C">
      <w:rPr>
        <w:b/>
        <w:color w:val="002060"/>
        <w:lang w:val="pt-BR"/>
      </w:rPr>
      <w:t>D</w:t>
    </w:r>
    <w:r>
      <w:rPr>
        <w:b/>
        <w:color w:val="002060"/>
        <w:lang w:val="pt-BR"/>
      </w:rPr>
      <w:t>E FEBRERO D</w:t>
    </w:r>
    <w:r w:rsidRPr="00265B8C">
      <w:rPr>
        <w:b/>
        <w:color w:val="002060"/>
        <w:lang w:val="pt-BR"/>
      </w:rPr>
      <w:t>E 20</w:t>
    </w:r>
    <w:r>
      <w:rPr>
        <w:b/>
        <w:color w:val="002060"/>
        <w:lang w:val="pt-BR"/>
      </w:rPr>
      <w:t>21</w:t>
    </w:r>
  </w:p>
  <w:p w14:paraId="0B94CD61" w14:textId="77777777" w:rsidR="00F23558" w:rsidRPr="00265B8C" w:rsidRDefault="00F23558" w:rsidP="00F23558">
    <w:pPr>
      <w:pStyle w:val="Encabezado"/>
      <w:framePr w:w="5513" w:hSpace="141" w:wrap="auto" w:vAnchor="text" w:hAnchor="page" w:x="5593" w:y="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color w:val="002060"/>
      </w:rPr>
      <w:t>1</w:t>
    </w:r>
    <w:r w:rsidRPr="00265B8C">
      <w:rPr>
        <w:color w:val="002060"/>
      </w:rPr>
      <w:fldChar w:fldCharType="end"/>
    </w:r>
    <w:r w:rsidRPr="00265B8C">
      <w:rPr>
        <w:b/>
        <w:color w:val="002060"/>
        <w:lang w:val="pt-BR"/>
      </w:rPr>
      <w:t>/</w:t>
    </w:r>
    <w:r>
      <w:rPr>
        <w:b/>
        <w:color w:val="002060"/>
        <w:lang w:val="pt-BR"/>
      </w:rPr>
      <w:t>2</w:t>
    </w:r>
  </w:p>
  <w:p w14:paraId="11660772" w14:textId="22BE6731" w:rsidR="003B5757" w:rsidRDefault="00AD3792" w:rsidP="00F76440">
    <w:pPr>
      <w:pStyle w:val="Encabezado"/>
      <w:ind w:hanging="284"/>
    </w:pPr>
    <w:r>
      <w:rPr>
        <w:noProof/>
        <w:lang w:val="es-MX" w:eastAsia="es-MX"/>
      </w:rPr>
      <w:drawing>
        <wp:inline distT="0" distB="0" distL="0" distR="0" wp14:anchorId="5B8D5AF8" wp14:editId="3A8AFB4C">
          <wp:extent cx="809625" cy="841006"/>
          <wp:effectExtent l="0" t="0" r="0" b="0"/>
          <wp:docPr id="13" name="Imagen 1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2990" cy="8445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E885" w14:textId="77777777" w:rsidR="00F23558" w:rsidRDefault="00F23558" w:rsidP="00F23558">
    <w:pPr>
      <w:pStyle w:val="Encabezado"/>
      <w:jc w:val="center"/>
    </w:pPr>
    <w:r>
      <w:rPr>
        <w:noProof/>
        <w:lang w:val="es-MX" w:eastAsia="es-MX"/>
      </w:rPr>
      <w:drawing>
        <wp:inline distT="0" distB="0" distL="0" distR="0" wp14:anchorId="184422E4" wp14:editId="03A61A0C">
          <wp:extent cx="825262" cy="857250"/>
          <wp:effectExtent l="0" t="0" r="0" b="0"/>
          <wp:docPr id="4" name="Imagen 4"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135" cy="860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A533000"/>
    <w:multiLevelType w:val="hybridMultilevel"/>
    <w:tmpl w:val="733E7F5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3"/>
  </w:num>
  <w:num w:numId="6">
    <w:abstractNumId w:val="5"/>
  </w:num>
  <w:num w:numId="7">
    <w:abstractNumId w:val="7"/>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8"/>
  </w:num>
  <w:num w:numId="13">
    <w:abstractNumId w:val="29"/>
  </w:num>
  <w:num w:numId="14">
    <w:abstractNumId w:val="18"/>
  </w:num>
  <w:num w:numId="15">
    <w:abstractNumId w:val="14"/>
  </w:num>
  <w:num w:numId="16">
    <w:abstractNumId w:val="22"/>
  </w:num>
  <w:num w:numId="17">
    <w:abstractNumId w:val="16"/>
  </w:num>
  <w:num w:numId="18">
    <w:abstractNumId w:val="20"/>
  </w:num>
  <w:num w:numId="19">
    <w:abstractNumId w:val="8"/>
  </w:num>
  <w:num w:numId="20">
    <w:abstractNumId w:val="0"/>
  </w:num>
  <w:num w:numId="21">
    <w:abstractNumId w:val="3"/>
  </w:num>
  <w:num w:numId="22">
    <w:abstractNumId w:val="7"/>
  </w:num>
  <w:num w:numId="23">
    <w:abstractNumId w:val="11"/>
  </w:num>
  <w:num w:numId="24">
    <w:abstractNumId w:val="27"/>
  </w:num>
  <w:num w:numId="25">
    <w:abstractNumId w:val="21"/>
  </w:num>
  <w:num w:numId="26">
    <w:abstractNumId w:val="4"/>
  </w:num>
  <w:num w:numId="27">
    <w:abstractNumId w:val="15"/>
  </w:num>
  <w:num w:numId="28">
    <w:abstractNumId w:val="12"/>
  </w:num>
  <w:num w:numId="29">
    <w:abstractNumId w:val="10"/>
  </w:num>
  <w:num w:numId="30">
    <w:abstractNumId w:val="2"/>
  </w:num>
  <w:num w:numId="31">
    <w:abstractNumId w:val="24"/>
  </w:num>
  <w:num w:numId="32">
    <w:abstractNumId w:val="19"/>
  </w:num>
  <w:num w:numId="33">
    <w:abstractNumId w:val="23"/>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0E38"/>
    <w:rsid w:val="00001000"/>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981"/>
    <w:rsid w:val="00007A1A"/>
    <w:rsid w:val="000102E0"/>
    <w:rsid w:val="00010A59"/>
    <w:rsid w:val="000112A7"/>
    <w:rsid w:val="0001151F"/>
    <w:rsid w:val="00011840"/>
    <w:rsid w:val="00011AC0"/>
    <w:rsid w:val="00011BD3"/>
    <w:rsid w:val="00012278"/>
    <w:rsid w:val="000124BB"/>
    <w:rsid w:val="00012A27"/>
    <w:rsid w:val="00012E16"/>
    <w:rsid w:val="0001302A"/>
    <w:rsid w:val="000132A4"/>
    <w:rsid w:val="00013319"/>
    <w:rsid w:val="00013441"/>
    <w:rsid w:val="00013E55"/>
    <w:rsid w:val="00014418"/>
    <w:rsid w:val="0001447E"/>
    <w:rsid w:val="000144ED"/>
    <w:rsid w:val="00014FBD"/>
    <w:rsid w:val="000151C1"/>
    <w:rsid w:val="00015302"/>
    <w:rsid w:val="00016590"/>
    <w:rsid w:val="000165EA"/>
    <w:rsid w:val="00016B4E"/>
    <w:rsid w:val="00016D3A"/>
    <w:rsid w:val="0001718D"/>
    <w:rsid w:val="000176AC"/>
    <w:rsid w:val="00020CF1"/>
    <w:rsid w:val="00021432"/>
    <w:rsid w:val="00021492"/>
    <w:rsid w:val="000216A3"/>
    <w:rsid w:val="000228C4"/>
    <w:rsid w:val="00022CA3"/>
    <w:rsid w:val="00023685"/>
    <w:rsid w:val="00023A01"/>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D72"/>
    <w:rsid w:val="00037089"/>
    <w:rsid w:val="00037177"/>
    <w:rsid w:val="000374FA"/>
    <w:rsid w:val="00037CC4"/>
    <w:rsid w:val="000402AD"/>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1A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F04"/>
    <w:rsid w:val="00052F1E"/>
    <w:rsid w:val="000536D2"/>
    <w:rsid w:val="00053B2C"/>
    <w:rsid w:val="00053EB7"/>
    <w:rsid w:val="00054674"/>
    <w:rsid w:val="00054A4F"/>
    <w:rsid w:val="00055047"/>
    <w:rsid w:val="00055B54"/>
    <w:rsid w:val="00056F51"/>
    <w:rsid w:val="000573F5"/>
    <w:rsid w:val="00057F37"/>
    <w:rsid w:val="000602B0"/>
    <w:rsid w:val="0006056C"/>
    <w:rsid w:val="000621E0"/>
    <w:rsid w:val="0006228A"/>
    <w:rsid w:val="00063614"/>
    <w:rsid w:val="00063838"/>
    <w:rsid w:val="0006433F"/>
    <w:rsid w:val="000646BA"/>
    <w:rsid w:val="00064718"/>
    <w:rsid w:val="00064BBC"/>
    <w:rsid w:val="00064E9D"/>
    <w:rsid w:val="00064FDB"/>
    <w:rsid w:val="00065106"/>
    <w:rsid w:val="000651F1"/>
    <w:rsid w:val="00065358"/>
    <w:rsid w:val="00065708"/>
    <w:rsid w:val="00065A07"/>
    <w:rsid w:val="00065BC1"/>
    <w:rsid w:val="00066394"/>
    <w:rsid w:val="00066638"/>
    <w:rsid w:val="00066EA7"/>
    <w:rsid w:val="00066FA4"/>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C65"/>
    <w:rsid w:val="00076EE9"/>
    <w:rsid w:val="00077C46"/>
    <w:rsid w:val="00077FCE"/>
    <w:rsid w:val="0008027F"/>
    <w:rsid w:val="0008064B"/>
    <w:rsid w:val="0008084D"/>
    <w:rsid w:val="00081034"/>
    <w:rsid w:val="000814ED"/>
    <w:rsid w:val="0008175A"/>
    <w:rsid w:val="0008195B"/>
    <w:rsid w:val="00081E62"/>
    <w:rsid w:val="00082623"/>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2764"/>
    <w:rsid w:val="0009292F"/>
    <w:rsid w:val="00092F4C"/>
    <w:rsid w:val="0009425D"/>
    <w:rsid w:val="00094496"/>
    <w:rsid w:val="000950E7"/>
    <w:rsid w:val="00095360"/>
    <w:rsid w:val="000955AA"/>
    <w:rsid w:val="000957BC"/>
    <w:rsid w:val="00095D92"/>
    <w:rsid w:val="0009618D"/>
    <w:rsid w:val="00096737"/>
    <w:rsid w:val="00097C0A"/>
    <w:rsid w:val="00097CF2"/>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4A6A"/>
    <w:rsid w:val="000B50FB"/>
    <w:rsid w:val="000B515D"/>
    <w:rsid w:val="000B5A74"/>
    <w:rsid w:val="000B5FA3"/>
    <w:rsid w:val="000B6AF6"/>
    <w:rsid w:val="000B6B22"/>
    <w:rsid w:val="000C0403"/>
    <w:rsid w:val="000C1051"/>
    <w:rsid w:val="000C199E"/>
    <w:rsid w:val="000C1F04"/>
    <w:rsid w:val="000C26A5"/>
    <w:rsid w:val="000C2892"/>
    <w:rsid w:val="000C2B3C"/>
    <w:rsid w:val="000C30D7"/>
    <w:rsid w:val="000C3105"/>
    <w:rsid w:val="000C34DD"/>
    <w:rsid w:val="000C37BC"/>
    <w:rsid w:val="000C394B"/>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3CD1"/>
    <w:rsid w:val="000D4773"/>
    <w:rsid w:val="000D4833"/>
    <w:rsid w:val="000D49D2"/>
    <w:rsid w:val="000D4A88"/>
    <w:rsid w:val="000D4BBC"/>
    <w:rsid w:val="000D4D90"/>
    <w:rsid w:val="000D4E26"/>
    <w:rsid w:val="000D5176"/>
    <w:rsid w:val="000D5EDB"/>
    <w:rsid w:val="000D632A"/>
    <w:rsid w:val="000D64C6"/>
    <w:rsid w:val="000D6C0F"/>
    <w:rsid w:val="000D6F1E"/>
    <w:rsid w:val="000D7A95"/>
    <w:rsid w:val="000D7BBD"/>
    <w:rsid w:val="000E03C0"/>
    <w:rsid w:val="000E0654"/>
    <w:rsid w:val="000E19B3"/>
    <w:rsid w:val="000E2970"/>
    <w:rsid w:val="000E2A06"/>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491"/>
    <w:rsid w:val="000F3DE6"/>
    <w:rsid w:val="000F44E7"/>
    <w:rsid w:val="000F49F1"/>
    <w:rsid w:val="000F4C41"/>
    <w:rsid w:val="000F4FA7"/>
    <w:rsid w:val="000F536A"/>
    <w:rsid w:val="000F541D"/>
    <w:rsid w:val="000F5AD1"/>
    <w:rsid w:val="000F630B"/>
    <w:rsid w:val="000F69FA"/>
    <w:rsid w:val="000F7577"/>
    <w:rsid w:val="000F7974"/>
    <w:rsid w:val="000F7ECD"/>
    <w:rsid w:val="000F7FB5"/>
    <w:rsid w:val="00100317"/>
    <w:rsid w:val="00100A8D"/>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348"/>
    <w:rsid w:val="00113404"/>
    <w:rsid w:val="001134B4"/>
    <w:rsid w:val="00113DE8"/>
    <w:rsid w:val="0011424C"/>
    <w:rsid w:val="0011478A"/>
    <w:rsid w:val="00114B56"/>
    <w:rsid w:val="00114B96"/>
    <w:rsid w:val="00114E47"/>
    <w:rsid w:val="001159B7"/>
    <w:rsid w:val="00115A20"/>
    <w:rsid w:val="00115A59"/>
    <w:rsid w:val="00115F12"/>
    <w:rsid w:val="00116647"/>
    <w:rsid w:val="00116F84"/>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8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0961"/>
    <w:rsid w:val="00151492"/>
    <w:rsid w:val="00152838"/>
    <w:rsid w:val="001533B2"/>
    <w:rsid w:val="001534CA"/>
    <w:rsid w:val="0015369A"/>
    <w:rsid w:val="0015386A"/>
    <w:rsid w:val="001540F9"/>
    <w:rsid w:val="0015428B"/>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31"/>
    <w:rsid w:val="00162393"/>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3C6"/>
    <w:rsid w:val="00180887"/>
    <w:rsid w:val="00180A83"/>
    <w:rsid w:val="001813AB"/>
    <w:rsid w:val="00181414"/>
    <w:rsid w:val="001819C6"/>
    <w:rsid w:val="00181B3E"/>
    <w:rsid w:val="00181B78"/>
    <w:rsid w:val="00181BC9"/>
    <w:rsid w:val="0018211C"/>
    <w:rsid w:val="001821F8"/>
    <w:rsid w:val="00182CBE"/>
    <w:rsid w:val="001831B3"/>
    <w:rsid w:val="001845FA"/>
    <w:rsid w:val="0018522B"/>
    <w:rsid w:val="00185355"/>
    <w:rsid w:val="001854A8"/>
    <w:rsid w:val="00185BB9"/>
    <w:rsid w:val="00185D40"/>
    <w:rsid w:val="00186127"/>
    <w:rsid w:val="00186C17"/>
    <w:rsid w:val="00190180"/>
    <w:rsid w:val="00190A43"/>
    <w:rsid w:val="00190D0B"/>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253D"/>
    <w:rsid w:val="001B277C"/>
    <w:rsid w:val="001B2C6A"/>
    <w:rsid w:val="001B2F19"/>
    <w:rsid w:val="001B35ED"/>
    <w:rsid w:val="001B369D"/>
    <w:rsid w:val="001B450E"/>
    <w:rsid w:val="001B46DB"/>
    <w:rsid w:val="001B4F75"/>
    <w:rsid w:val="001B5C28"/>
    <w:rsid w:val="001B5DD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2DB6"/>
    <w:rsid w:val="001C32C6"/>
    <w:rsid w:val="001C3E2D"/>
    <w:rsid w:val="001C41E8"/>
    <w:rsid w:val="001C48C7"/>
    <w:rsid w:val="001C4A9E"/>
    <w:rsid w:val="001C6CAB"/>
    <w:rsid w:val="001C6CC1"/>
    <w:rsid w:val="001C7130"/>
    <w:rsid w:val="001C7E70"/>
    <w:rsid w:val="001C7F09"/>
    <w:rsid w:val="001D0068"/>
    <w:rsid w:val="001D01C6"/>
    <w:rsid w:val="001D092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8EB"/>
    <w:rsid w:val="001E1AC0"/>
    <w:rsid w:val="001E1B8D"/>
    <w:rsid w:val="001E1DBA"/>
    <w:rsid w:val="001E1EF2"/>
    <w:rsid w:val="001E290B"/>
    <w:rsid w:val="001E331C"/>
    <w:rsid w:val="001E385F"/>
    <w:rsid w:val="001E39E4"/>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9D1"/>
    <w:rsid w:val="001F1B69"/>
    <w:rsid w:val="001F1D9A"/>
    <w:rsid w:val="001F2740"/>
    <w:rsid w:val="001F27FA"/>
    <w:rsid w:val="001F2C3A"/>
    <w:rsid w:val="001F3531"/>
    <w:rsid w:val="001F3696"/>
    <w:rsid w:val="001F42FF"/>
    <w:rsid w:val="001F43B8"/>
    <w:rsid w:val="001F44B4"/>
    <w:rsid w:val="001F44D3"/>
    <w:rsid w:val="001F4510"/>
    <w:rsid w:val="001F58D3"/>
    <w:rsid w:val="001F64D8"/>
    <w:rsid w:val="001F65A4"/>
    <w:rsid w:val="001F65E0"/>
    <w:rsid w:val="001F6EE3"/>
    <w:rsid w:val="001F7362"/>
    <w:rsid w:val="001F7AE9"/>
    <w:rsid w:val="001F7CFD"/>
    <w:rsid w:val="002011D5"/>
    <w:rsid w:val="00201805"/>
    <w:rsid w:val="00201C2D"/>
    <w:rsid w:val="00202299"/>
    <w:rsid w:val="00203367"/>
    <w:rsid w:val="00204438"/>
    <w:rsid w:val="00204A44"/>
    <w:rsid w:val="0020608F"/>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75B"/>
    <w:rsid w:val="00215783"/>
    <w:rsid w:val="002160A3"/>
    <w:rsid w:val="0021669B"/>
    <w:rsid w:val="00216876"/>
    <w:rsid w:val="0022018A"/>
    <w:rsid w:val="00220ADA"/>
    <w:rsid w:val="00220B7B"/>
    <w:rsid w:val="00220EAF"/>
    <w:rsid w:val="0022180E"/>
    <w:rsid w:val="00221A42"/>
    <w:rsid w:val="002220BA"/>
    <w:rsid w:val="002227B3"/>
    <w:rsid w:val="00222CE3"/>
    <w:rsid w:val="002235D7"/>
    <w:rsid w:val="002239B6"/>
    <w:rsid w:val="002239C4"/>
    <w:rsid w:val="00224617"/>
    <w:rsid w:val="00224DEF"/>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E40"/>
    <w:rsid w:val="00242F79"/>
    <w:rsid w:val="00242FA8"/>
    <w:rsid w:val="0024310E"/>
    <w:rsid w:val="00243204"/>
    <w:rsid w:val="002438D4"/>
    <w:rsid w:val="00243AC5"/>
    <w:rsid w:val="0024405D"/>
    <w:rsid w:val="00244516"/>
    <w:rsid w:val="00244C88"/>
    <w:rsid w:val="00244CF8"/>
    <w:rsid w:val="002454F0"/>
    <w:rsid w:val="0024588E"/>
    <w:rsid w:val="00245A39"/>
    <w:rsid w:val="00245B9E"/>
    <w:rsid w:val="00245D5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CB"/>
    <w:rsid w:val="00254724"/>
    <w:rsid w:val="0025523F"/>
    <w:rsid w:val="00255D8E"/>
    <w:rsid w:val="00256584"/>
    <w:rsid w:val="00256C48"/>
    <w:rsid w:val="00256EF8"/>
    <w:rsid w:val="002570D5"/>
    <w:rsid w:val="00257177"/>
    <w:rsid w:val="00257730"/>
    <w:rsid w:val="00257803"/>
    <w:rsid w:val="00257935"/>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38C"/>
    <w:rsid w:val="002665A1"/>
    <w:rsid w:val="00266F00"/>
    <w:rsid w:val="002670EF"/>
    <w:rsid w:val="002671A2"/>
    <w:rsid w:val="00267A38"/>
    <w:rsid w:val="00267A56"/>
    <w:rsid w:val="00267F5F"/>
    <w:rsid w:val="002701B4"/>
    <w:rsid w:val="0027086F"/>
    <w:rsid w:val="00270965"/>
    <w:rsid w:val="00271E5D"/>
    <w:rsid w:val="00272082"/>
    <w:rsid w:val="00272AEB"/>
    <w:rsid w:val="0027349D"/>
    <w:rsid w:val="00273516"/>
    <w:rsid w:val="00273985"/>
    <w:rsid w:val="00273B82"/>
    <w:rsid w:val="00273E7A"/>
    <w:rsid w:val="00274372"/>
    <w:rsid w:val="0027475A"/>
    <w:rsid w:val="002753BE"/>
    <w:rsid w:val="00275F56"/>
    <w:rsid w:val="002764C4"/>
    <w:rsid w:val="002765B7"/>
    <w:rsid w:val="002768F3"/>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38"/>
    <w:rsid w:val="002900A9"/>
    <w:rsid w:val="002908CE"/>
    <w:rsid w:val="00290C43"/>
    <w:rsid w:val="00290C90"/>
    <w:rsid w:val="002916DB"/>
    <w:rsid w:val="0029190A"/>
    <w:rsid w:val="0029288A"/>
    <w:rsid w:val="00293271"/>
    <w:rsid w:val="00293587"/>
    <w:rsid w:val="00293896"/>
    <w:rsid w:val="00293ED1"/>
    <w:rsid w:val="0029478C"/>
    <w:rsid w:val="00294A06"/>
    <w:rsid w:val="00294FFB"/>
    <w:rsid w:val="00295038"/>
    <w:rsid w:val="002954FD"/>
    <w:rsid w:val="00296242"/>
    <w:rsid w:val="002964CA"/>
    <w:rsid w:val="00296CE6"/>
    <w:rsid w:val="002973DF"/>
    <w:rsid w:val="00297D6A"/>
    <w:rsid w:val="002A0190"/>
    <w:rsid w:val="002A0983"/>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1F67"/>
    <w:rsid w:val="002B2A55"/>
    <w:rsid w:val="002B2DA9"/>
    <w:rsid w:val="002B30C8"/>
    <w:rsid w:val="002B31FA"/>
    <w:rsid w:val="002B33D5"/>
    <w:rsid w:val="002B3830"/>
    <w:rsid w:val="002B3947"/>
    <w:rsid w:val="002B3A06"/>
    <w:rsid w:val="002B4552"/>
    <w:rsid w:val="002B4C84"/>
    <w:rsid w:val="002B5746"/>
    <w:rsid w:val="002B58A1"/>
    <w:rsid w:val="002B63D3"/>
    <w:rsid w:val="002B6537"/>
    <w:rsid w:val="002B6815"/>
    <w:rsid w:val="002B6AB1"/>
    <w:rsid w:val="002B6E20"/>
    <w:rsid w:val="002B71D1"/>
    <w:rsid w:val="002B7C1D"/>
    <w:rsid w:val="002C0144"/>
    <w:rsid w:val="002C02B8"/>
    <w:rsid w:val="002C0CAC"/>
    <w:rsid w:val="002C1F28"/>
    <w:rsid w:val="002C254B"/>
    <w:rsid w:val="002C25DE"/>
    <w:rsid w:val="002C27E8"/>
    <w:rsid w:val="002C2965"/>
    <w:rsid w:val="002C2ACB"/>
    <w:rsid w:val="002C2F60"/>
    <w:rsid w:val="002C41CB"/>
    <w:rsid w:val="002C5199"/>
    <w:rsid w:val="002C5C58"/>
    <w:rsid w:val="002C6A1A"/>
    <w:rsid w:val="002C6B67"/>
    <w:rsid w:val="002C73EE"/>
    <w:rsid w:val="002C7660"/>
    <w:rsid w:val="002C7718"/>
    <w:rsid w:val="002C77DB"/>
    <w:rsid w:val="002C77F7"/>
    <w:rsid w:val="002C7CD4"/>
    <w:rsid w:val="002D0321"/>
    <w:rsid w:val="002D0E7A"/>
    <w:rsid w:val="002D155B"/>
    <w:rsid w:val="002D1AD3"/>
    <w:rsid w:val="002D3759"/>
    <w:rsid w:val="002D40A5"/>
    <w:rsid w:val="002D48E1"/>
    <w:rsid w:val="002D4ED0"/>
    <w:rsid w:val="002D4FCF"/>
    <w:rsid w:val="002D612D"/>
    <w:rsid w:val="002D61C8"/>
    <w:rsid w:val="002D629E"/>
    <w:rsid w:val="002D6E9A"/>
    <w:rsid w:val="002D726B"/>
    <w:rsid w:val="002D75DB"/>
    <w:rsid w:val="002E0067"/>
    <w:rsid w:val="002E023E"/>
    <w:rsid w:val="002E02D0"/>
    <w:rsid w:val="002E0489"/>
    <w:rsid w:val="002E04C0"/>
    <w:rsid w:val="002E0544"/>
    <w:rsid w:val="002E0C8E"/>
    <w:rsid w:val="002E10D8"/>
    <w:rsid w:val="002E1C5F"/>
    <w:rsid w:val="002E1DF4"/>
    <w:rsid w:val="002E211F"/>
    <w:rsid w:val="002E2C3B"/>
    <w:rsid w:val="002E320C"/>
    <w:rsid w:val="002E3C37"/>
    <w:rsid w:val="002E4005"/>
    <w:rsid w:val="002E4BA7"/>
    <w:rsid w:val="002E4D3D"/>
    <w:rsid w:val="002E5C58"/>
    <w:rsid w:val="002E5CA7"/>
    <w:rsid w:val="002E668B"/>
    <w:rsid w:val="002E7235"/>
    <w:rsid w:val="002E7DEA"/>
    <w:rsid w:val="002F0276"/>
    <w:rsid w:val="002F10E7"/>
    <w:rsid w:val="002F11F9"/>
    <w:rsid w:val="002F1274"/>
    <w:rsid w:val="002F13E0"/>
    <w:rsid w:val="002F16CB"/>
    <w:rsid w:val="002F1742"/>
    <w:rsid w:val="002F1AB0"/>
    <w:rsid w:val="002F1D0E"/>
    <w:rsid w:val="002F3235"/>
    <w:rsid w:val="002F3C64"/>
    <w:rsid w:val="002F4431"/>
    <w:rsid w:val="002F4653"/>
    <w:rsid w:val="002F47E7"/>
    <w:rsid w:val="002F510D"/>
    <w:rsid w:val="002F579D"/>
    <w:rsid w:val="002F57EC"/>
    <w:rsid w:val="002F5AB7"/>
    <w:rsid w:val="002F5F61"/>
    <w:rsid w:val="00300081"/>
    <w:rsid w:val="0030023E"/>
    <w:rsid w:val="0030059B"/>
    <w:rsid w:val="00300FC5"/>
    <w:rsid w:val="00301277"/>
    <w:rsid w:val="00301837"/>
    <w:rsid w:val="003019CD"/>
    <w:rsid w:val="00302552"/>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367"/>
    <w:rsid w:val="0031354F"/>
    <w:rsid w:val="00314392"/>
    <w:rsid w:val="00314614"/>
    <w:rsid w:val="00314739"/>
    <w:rsid w:val="00314773"/>
    <w:rsid w:val="00314F8A"/>
    <w:rsid w:val="003151F3"/>
    <w:rsid w:val="003152FA"/>
    <w:rsid w:val="003154DB"/>
    <w:rsid w:val="00316779"/>
    <w:rsid w:val="00316B8F"/>
    <w:rsid w:val="00317334"/>
    <w:rsid w:val="00317DA5"/>
    <w:rsid w:val="003201D0"/>
    <w:rsid w:val="003205E0"/>
    <w:rsid w:val="00320B8F"/>
    <w:rsid w:val="00320C20"/>
    <w:rsid w:val="00321386"/>
    <w:rsid w:val="00321788"/>
    <w:rsid w:val="00321848"/>
    <w:rsid w:val="00321CB3"/>
    <w:rsid w:val="00322341"/>
    <w:rsid w:val="0032345B"/>
    <w:rsid w:val="003235FE"/>
    <w:rsid w:val="00324FF5"/>
    <w:rsid w:val="003256A0"/>
    <w:rsid w:val="00325893"/>
    <w:rsid w:val="00325DAE"/>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404"/>
    <w:rsid w:val="003327BD"/>
    <w:rsid w:val="003338EB"/>
    <w:rsid w:val="00334446"/>
    <w:rsid w:val="0033444C"/>
    <w:rsid w:val="00334725"/>
    <w:rsid w:val="00334A38"/>
    <w:rsid w:val="00334AE6"/>
    <w:rsid w:val="00334AF1"/>
    <w:rsid w:val="003353D5"/>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620C"/>
    <w:rsid w:val="00346579"/>
    <w:rsid w:val="00346C50"/>
    <w:rsid w:val="003474B3"/>
    <w:rsid w:val="00347A1B"/>
    <w:rsid w:val="00347CA3"/>
    <w:rsid w:val="00347D0C"/>
    <w:rsid w:val="00347F9F"/>
    <w:rsid w:val="00351032"/>
    <w:rsid w:val="003510C7"/>
    <w:rsid w:val="0035149A"/>
    <w:rsid w:val="00351668"/>
    <w:rsid w:val="003522D0"/>
    <w:rsid w:val="00352775"/>
    <w:rsid w:val="00352F14"/>
    <w:rsid w:val="003530B3"/>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8D"/>
    <w:rsid w:val="003863B6"/>
    <w:rsid w:val="00386891"/>
    <w:rsid w:val="00386A21"/>
    <w:rsid w:val="0038735C"/>
    <w:rsid w:val="003874B4"/>
    <w:rsid w:val="00387631"/>
    <w:rsid w:val="00387823"/>
    <w:rsid w:val="00390044"/>
    <w:rsid w:val="003903FB"/>
    <w:rsid w:val="00390644"/>
    <w:rsid w:val="0039066F"/>
    <w:rsid w:val="00390880"/>
    <w:rsid w:val="00390D50"/>
    <w:rsid w:val="00390EAD"/>
    <w:rsid w:val="00390EAF"/>
    <w:rsid w:val="00390F3A"/>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6D4"/>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7B6"/>
    <w:rsid w:val="003B4B26"/>
    <w:rsid w:val="003B4CE4"/>
    <w:rsid w:val="003B4E29"/>
    <w:rsid w:val="003B5306"/>
    <w:rsid w:val="003B5757"/>
    <w:rsid w:val="003B5DE6"/>
    <w:rsid w:val="003B6179"/>
    <w:rsid w:val="003B69D0"/>
    <w:rsid w:val="003B7B4D"/>
    <w:rsid w:val="003C0125"/>
    <w:rsid w:val="003C03F7"/>
    <w:rsid w:val="003C05CD"/>
    <w:rsid w:val="003C0F6E"/>
    <w:rsid w:val="003C0FE5"/>
    <w:rsid w:val="003C1CAF"/>
    <w:rsid w:val="003C22D4"/>
    <w:rsid w:val="003C29AF"/>
    <w:rsid w:val="003C3F73"/>
    <w:rsid w:val="003C40A2"/>
    <w:rsid w:val="003C5519"/>
    <w:rsid w:val="003C5A97"/>
    <w:rsid w:val="003C616B"/>
    <w:rsid w:val="003C6803"/>
    <w:rsid w:val="003C681D"/>
    <w:rsid w:val="003C69A7"/>
    <w:rsid w:val="003C6BED"/>
    <w:rsid w:val="003C7965"/>
    <w:rsid w:val="003C7D06"/>
    <w:rsid w:val="003C7EF7"/>
    <w:rsid w:val="003D0E1F"/>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AC4"/>
    <w:rsid w:val="003E35DB"/>
    <w:rsid w:val="003E3816"/>
    <w:rsid w:val="003E4979"/>
    <w:rsid w:val="003E4B79"/>
    <w:rsid w:val="003E4B85"/>
    <w:rsid w:val="003E555D"/>
    <w:rsid w:val="003E581F"/>
    <w:rsid w:val="003E5F16"/>
    <w:rsid w:val="003E6070"/>
    <w:rsid w:val="003E634D"/>
    <w:rsid w:val="003E64BB"/>
    <w:rsid w:val="003E6AC1"/>
    <w:rsid w:val="003E7EEA"/>
    <w:rsid w:val="003F01E7"/>
    <w:rsid w:val="003F18CF"/>
    <w:rsid w:val="003F1E07"/>
    <w:rsid w:val="003F2BFE"/>
    <w:rsid w:val="003F3A44"/>
    <w:rsid w:val="003F3CDE"/>
    <w:rsid w:val="003F5325"/>
    <w:rsid w:val="003F5AA0"/>
    <w:rsid w:val="003F5F0A"/>
    <w:rsid w:val="003F664F"/>
    <w:rsid w:val="003F6DF4"/>
    <w:rsid w:val="003F7022"/>
    <w:rsid w:val="003F7263"/>
    <w:rsid w:val="003F7D77"/>
    <w:rsid w:val="00400A5E"/>
    <w:rsid w:val="00400F61"/>
    <w:rsid w:val="004015B0"/>
    <w:rsid w:val="004016AD"/>
    <w:rsid w:val="00401A15"/>
    <w:rsid w:val="00401C5B"/>
    <w:rsid w:val="00401DB1"/>
    <w:rsid w:val="004020FB"/>
    <w:rsid w:val="0040230D"/>
    <w:rsid w:val="0040241D"/>
    <w:rsid w:val="004028D0"/>
    <w:rsid w:val="00402940"/>
    <w:rsid w:val="00403226"/>
    <w:rsid w:val="00403827"/>
    <w:rsid w:val="004040E3"/>
    <w:rsid w:val="00404D4D"/>
    <w:rsid w:val="00406AFE"/>
    <w:rsid w:val="00407CDA"/>
    <w:rsid w:val="0041007D"/>
    <w:rsid w:val="004100FD"/>
    <w:rsid w:val="0041029D"/>
    <w:rsid w:val="00410347"/>
    <w:rsid w:val="004104BF"/>
    <w:rsid w:val="0041068A"/>
    <w:rsid w:val="00410DEC"/>
    <w:rsid w:val="0041138F"/>
    <w:rsid w:val="004118D5"/>
    <w:rsid w:val="00412EF3"/>
    <w:rsid w:val="004133CD"/>
    <w:rsid w:val="00413549"/>
    <w:rsid w:val="00414538"/>
    <w:rsid w:val="0041479C"/>
    <w:rsid w:val="0041611F"/>
    <w:rsid w:val="00416787"/>
    <w:rsid w:val="00416893"/>
    <w:rsid w:val="00420226"/>
    <w:rsid w:val="004203CA"/>
    <w:rsid w:val="004208D7"/>
    <w:rsid w:val="00420CA2"/>
    <w:rsid w:val="00421878"/>
    <w:rsid w:val="00421AEE"/>
    <w:rsid w:val="004228EE"/>
    <w:rsid w:val="00422BB1"/>
    <w:rsid w:val="00422C53"/>
    <w:rsid w:val="00422D87"/>
    <w:rsid w:val="0042325A"/>
    <w:rsid w:val="0042336F"/>
    <w:rsid w:val="004234EF"/>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458"/>
    <w:rsid w:val="0043181D"/>
    <w:rsid w:val="00431A01"/>
    <w:rsid w:val="00431A68"/>
    <w:rsid w:val="00432032"/>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29EB"/>
    <w:rsid w:val="00442BE9"/>
    <w:rsid w:val="004437F3"/>
    <w:rsid w:val="00443A3A"/>
    <w:rsid w:val="00443AE0"/>
    <w:rsid w:val="00443D1A"/>
    <w:rsid w:val="004442B1"/>
    <w:rsid w:val="004443FB"/>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3D94"/>
    <w:rsid w:val="00454571"/>
    <w:rsid w:val="00454909"/>
    <w:rsid w:val="00455AFA"/>
    <w:rsid w:val="00456308"/>
    <w:rsid w:val="004566BE"/>
    <w:rsid w:val="0045682E"/>
    <w:rsid w:val="004568B4"/>
    <w:rsid w:val="00457142"/>
    <w:rsid w:val="004573A4"/>
    <w:rsid w:val="00457493"/>
    <w:rsid w:val="00457958"/>
    <w:rsid w:val="0046043D"/>
    <w:rsid w:val="00460EF6"/>
    <w:rsid w:val="004610EB"/>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A82"/>
    <w:rsid w:val="00467EFD"/>
    <w:rsid w:val="00470535"/>
    <w:rsid w:val="00471183"/>
    <w:rsid w:val="0047123C"/>
    <w:rsid w:val="004714F6"/>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827"/>
    <w:rsid w:val="00477B0E"/>
    <w:rsid w:val="00481688"/>
    <w:rsid w:val="004820E0"/>
    <w:rsid w:val="004822CA"/>
    <w:rsid w:val="00483F95"/>
    <w:rsid w:val="00484D20"/>
    <w:rsid w:val="004850C1"/>
    <w:rsid w:val="00486F54"/>
    <w:rsid w:val="004871B4"/>
    <w:rsid w:val="004876DD"/>
    <w:rsid w:val="0049067E"/>
    <w:rsid w:val="0049178A"/>
    <w:rsid w:val="00491C1D"/>
    <w:rsid w:val="00491DF1"/>
    <w:rsid w:val="00492535"/>
    <w:rsid w:val="00493435"/>
    <w:rsid w:val="00493C39"/>
    <w:rsid w:val="0049434C"/>
    <w:rsid w:val="00494B28"/>
    <w:rsid w:val="00495FFF"/>
    <w:rsid w:val="00496591"/>
    <w:rsid w:val="00496A9F"/>
    <w:rsid w:val="00496EB5"/>
    <w:rsid w:val="00497358"/>
    <w:rsid w:val="00497FA5"/>
    <w:rsid w:val="004A03B3"/>
    <w:rsid w:val="004A04D5"/>
    <w:rsid w:val="004A07CC"/>
    <w:rsid w:val="004A0F3D"/>
    <w:rsid w:val="004A1361"/>
    <w:rsid w:val="004A17B1"/>
    <w:rsid w:val="004A1B07"/>
    <w:rsid w:val="004A2E04"/>
    <w:rsid w:val="004A2F65"/>
    <w:rsid w:val="004A3226"/>
    <w:rsid w:val="004A399F"/>
    <w:rsid w:val="004A4096"/>
    <w:rsid w:val="004A4692"/>
    <w:rsid w:val="004A669F"/>
    <w:rsid w:val="004A6842"/>
    <w:rsid w:val="004A718C"/>
    <w:rsid w:val="004A7DBE"/>
    <w:rsid w:val="004A7F94"/>
    <w:rsid w:val="004B08AC"/>
    <w:rsid w:val="004B0D88"/>
    <w:rsid w:val="004B15C9"/>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A12"/>
    <w:rsid w:val="004B7B5D"/>
    <w:rsid w:val="004B7D94"/>
    <w:rsid w:val="004C0FB7"/>
    <w:rsid w:val="004C104B"/>
    <w:rsid w:val="004C164A"/>
    <w:rsid w:val="004C2E14"/>
    <w:rsid w:val="004C2E3A"/>
    <w:rsid w:val="004C2FE3"/>
    <w:rsid w:val="004C305A"/>
    <w:rsid w:val="004C34B9"/>
    <w:rsid w:val="004C35EF"/>
    <w:rsid w:val="004C3BCF"/>
    <w:rsid w:val="004C4829"/>
    <w:rsid w:val="004C48E5"/>
    <w:rsid w:val="004C4D30"/>
    <w:rsid w:val="004C4EAB"/>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8E"/>
    <w:rsid w:val="004E34C7"/>
    <w:rsid w:val="004E356A"/>
    <w:rsid w:val="004E371F"/>
    <w:rsid w:val="004E375D"/>
    <w:rsid w:val="004E3850"/>
    <w:rsid w:val="004E3FC1"/>
    <w:rsid w:val="004E58EA"/>
    <w:rsid w:val="004E5966"/>
    <w:rsid w:val="004E5F65"/>
    <w:rsid w:val="004E6172"/>
    <w:rsid w:val="004E6C7A"/>
    <w:rsid w:val="004E7615"/>
    <w:rsid w:val="004E7CDF"/>
    <w:rsid w:val="004F078C"/>
    <w:rsid w:val="004F1324"/>
    <w:rsid w:val="004F19EB"/>
    <w:rsid w:val="004F1C7D"/>
    <w:rsid w:val="004F1D24"/>
    <w:rsid w:val="004F21D2"/>
    <w:rsid w:val="004F2641"/>
    <w:rsid w:val="004F27F3"/>
    <w:rsid w:val="004F29B9"/>
    <w:rsid w:val="004F2B8E"/>
    <w:rsid w:val="004F2C85"/>
    <w:rsid w:val="004F32BF"/>
    <w:rsid w:val="004F3E6A"/>
    <w:rsid w:val="004F469D"/>
    <w:rsid w:val="004F46BD"/>
    <w:rsid w:val="004F5346"/>
    <w:rsid w:val="004F5C09"/>
    <w:rsid w:val="004F5E4E"/>
    <w:rsid w:val="004F63CC"/>
    <w:rsid w:val="004F6678"/>
    <w:rsid w:val="004F6B28"/>
    <w:rsid w:val="004F6C65"/>
    <w:rsid w:val="004F6D2E"/>
    <w:rsid w:val="004F7667"/>
    <w:rsid w:val="004F7A1A"/>
    <w:rsid w:val="004F7F0F"/>
    <w:rsid w:val="004F7FBC"/>
    <w:rsid w:val="005001AE"/>
    <w:rsid w:val="00500287"/>
    <w:rsid w:val="005007E7"/>
    <w:rsid w:val="005012FC"/>
    <w:rsid w:val="005019BC"/>
    <w:rsid w:val="00501EBE"/>
    <w:rsid w:val="00503551"/>
    <w:rsid w:val="005037BB"/>
    <w:rsid w:val="00503F38"/>
    <w:rsid w:val="005043FC"/>
    <w:rsid w:val="00504855"/>
    <w:rsid w:val="00504A55"/>
    <w:rsid w:val="00505F08"/>
    <w:rsid w:val="0050671D"/>
    <w:rsid w:val="0050672C"/>
    <w:rsid w:val="005068D0"/>
    <w:rsid w:val="00506C4C"/>
    <w:rsid w:val="0050700E"/>
    <w:rsid w:val="005079D7"/>
    <w:rsid w:val="00507B2A"/>
    <w:rsid w:val="00507F8E"/>
    <w:rsid w:val="0051034A"/>
    <w:rsid w:val="00510A22"/>
    <w:rsid w:val="00510D8A"/>
    <w:rsid w:val="005118DF"/>
    <w:rsid w:val="00511A3A"/>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151"/>
    <w:rsid w:val="0052292E"/>
    <w:rsid w:val="005232E0"/>
    <w:rsid w:val="0052373B"/>
    <w:rsid w:val="0052397B"/>
    <w:rsid w:val="00523E00"/>
    <w:rsid w:val="00523E4D"/>
    <w:rsid w:val="0052439F"/>
    <w:rsid w:val="005243EB"/>
    <w:rsid w:val="00524CF5"/>
    <w:rsid w:val="0052560E"/>
    <w:rsid w:val="00525789"/>
    <w:rsid w:val="00525890"/>
    <w:rsid w:val="00526452"/>
    <w:rsid w:val="00526816"/>
    <w:rsid w:val="00526F09"/>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979"/>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7753"/>
    <w:rsid w:val="005479F5"/>
    <w:rsid w:val="00547D90"/>
    <w:rsid w:val="005508EF"/>
    <w:rsid w:val="005510E3"/>
    <w:rsid w:val="0055173F"/>
    <w:rsid w:val="00551AE8"/>
    <w:rsid w:val="00551D57"/>
    <w:rsid w:val="00551DC0"/>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775"/>
    <w:rsid w:val="005647AB"/>
    <w:rsid w:val="00564A82"/>
    <w:rsid w:val="00564F25"/>
    <w:rsid w:val="00566C28"/>
    <w:rsid w:val="00566EBC"/>
    <w:rsid w:val="00567500"/>
    <w:rsid w:val="0056753D"/>
    <w:rsid w:val="0056778B"/>
    <w:rsid w:val="00567811"/>
    <w:rsid w:val="00567938"/>
    <w:rsid w:val="00567CDA"/>
    <w:rsid w:val="00570163"/>
    <w:rsid w:val="005701B3"/>
    <w:rsid w:val="005702BD"/>
    <w:rsid w:val="005704B1"/>
    <w:rsid w:val="0057182E"/>
    <w:rsid w:val="00572749"/>
    <w:rsid w:val="005739F4"/>
    <w:rsid w:val="00573A7F"/>
    <w:rsid w:val="00573EE1"/>
    <w:rsid w:val="0057406C"/>
    <w:rsid w:val="00575051"/>
    <w:rsid w:val="00575295"/>
    <w:rsid w:val="005758E3"/>
    <w:rsid w:val="0057605A"/>
    <w:rsid w:val="00576CB4"/>
    <w:rsid w:val="00576D35"/>
    <w:rsid w:val="005777C8"/>
    <w:rsid w:val="00577AD5"/>
    <w:rsid w:val="00577F23"/>
    <w:rsid w:val="00580A72"/>
    <w:rsid w:val="0058107B"/>
    <w:rsid w:val="0058149F"/>
    <w:rsid w:val="0058161B"/>
    <w:rsid w:val="005817A5"/>
    <w:rsid w:val="00581DF3"/>
    <w:rsid w:val="00582853"/>
    <w:rsid w:val="00582893"/>
    <w:rsid w:val="00582C76"/>
    <w:rsid w:val="00583989"/>
    <w:rsid w:val="00583A87"/>
    <w:rsid w:val="0058403B"/>
    <w:rsid w:val="005842BA"/>
    <w:rsid w:val="005843E6"/>
    <w:rsid w:val="005845FA"/>
    <w:rsid w:val="00584AC0"/>
    <w:rsid w:val="00585544"/>
    <w:rsid w:val="00585C21"/>
    <w:rsid w:val="005874CD"/>
    <w:rsid w:val="00587597"/>
    <w:rsid w:val="00590D18"/>
    <w:rsid w:val="00590EDD"/>
    <w:rsid w:val="00591988"/>
    <w:rsid w:val="005921C8"/>
    <w:rsid w:val="005922A3"/>
    <w:rsid w:val="0059239E"/>
    <w:rsid w:val="005924DB"/>
    <w:rsid w:val="005929E8"/>
    <w:rsid w:val="00592A2E"/>
    <w:rsid w:val="00592DBA"/>
    <w:rsid w:val="00592E30"/>
    <w:rsid w:val="00593155"/>
    <w:rsid w:val="0059353B"/>
    <w:rsid w:val="005938DB"/>
    <w:rsid w:val="00594027"/>
    <w:rsid w:val="005949FB"/>
    <w:rsid w:val="00594BC7"/>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53F3"/>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381E"/>
    <w:rsid w:val="005B41B3"/>
    <w:rsid w:val="005B4289"/>
    <w:rsid w:val="005B57DC"/>
    <w:rsid w:val="005B5926"/>
    <w:rsid w:val="005B5A74"/>
    <w:rsid w:val="005B5DBE"/>
    <w:rsid w:val="005B66DA"/>
    <w:rsid w:val="005B6927"/>
    <w:rsid w:val="005B698D"/>
    <w:rsid w:val="005B6B33"/>
    <w:rsid w:val="005B6B72"/>
    <w:rsid w:val="005B6BFD"/>
    <w:rsid w:val="005B7164"/>
    <w:rsid w:val="005B7331"/>
    <w:rsid w:val="005B75B6"/>
    <w:rsid w:val="005B7F6E"/>
    <w:rsid w:val="005C12AC"/>
    <w:rsid w:val="005C1586"/>
    <w:rsid w:val="005C1C90"/>
    <w:rsid w:val="005C1CEF"/>
    <w:rsid w:val="005C2802"/>
    <w:rsid w:val="005C3964"/>
    <w:rsid w:val="005C428A"/>
    <w:rsid w:val="005C4330"/>
    <w:rsid w:val="005C4544"/>
    <w:rsid w:val="005C4787"/>
    <w:rsid w:val="005C5113"/>
    <w:rsid w:val="005C54B8"/>
    <w:rsid w:val="005C557C"/>
    <w:rsid w:val="005C56B7"/>
    <w:rsid w:val="005C5CDF"/>
    <w:rsid w:val="005C619F"/>
    <w:rsid w:val="005C677E"/>
    <w:rsid w:val="005C6B79"/>
    <w:rsid w:val="005C6CD0"/>
    <w:rsid w:val="005C7072"/>
    <w:rsid w:val="005C740D"/>
    <w:rsid w:val="005C785E"/>
    <w:rsid w:val="005C78D5"/>
    <w:rsid w:val="005D00B6"/>
    <w:rsid w:val="005D101F"/>
    <w:rsid w:val="005D1247"/>
    <w:rsid w:val="005D1D1F"/>
    <w:rsid w:val="005D1D60"/>
    <w:rsid w:val="005D205D"/>
    <w:rsid w:val="005D2B00"/>
    <w:rsid w:val="005D2F54"/>
    <w:rsid w:val="005D33D2"/>
    <w:rsid w:val="005D353D"/>
    <w:rsid w:val="005D3C7C"/>
    <w:rsid w:val="005D3FD5"/>
    <w:rsid w:val="005D593D"/>
    <w:rsid w:val="005D5F0A"/>
    <w:rsid w:val="005D63A5"/>
    <w:rsid w:val="005D69A4"/>
    <w:rsid w:val="005D79B5"/>
    <w:rsid w:val="005D7BDA"/>
    <w:rsid w:val="005E0A1F"/>
    <w:rsid w:val="005E0C7D"/>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EB4"/>
    <w:rsid w:val="005E40C8"/>
    <w:rsid w:val="005E43DF"/>
    <w:rsid w:val="005E43F8"/>
    <w:rsid w:val="005E48DE"/>
    <w:rsid w:val="005E566F"/>
    <w:rsid w:val="005E64AF"/>
    <w:rsid w:val="005E6BE9"/>
    <w:rsid w:val="005E71A5"/>
    <w:rsid w:val="005E777B"/>
    <w:rsid w:val="005E7FA0"/>
    <w:rsid w:val="005F03D5"/>
    <w:rsid w:val="005F0860"/>
    <w:rsid w:val="005F14A7"/>
    <w:rsid w:val="005F1B20"/>
    <w:rsid w:val="005F1E18"/>
    <w:rsid w:val="005F27E0"/>
    <w:rsid w:val="005F29C0"/>
    <w:rsid w:val="005F2A66"/>
    <w:rsid w:val="005F2B32"/>
    <w:rsid w:val="005F2B88"/>
    <w:rsid w:val="005F3176"/>
    <w:rsid w:val="005F345E"/>
    <w:rsid w:val="005F3549"/>
    <w:rsid w:val="005F3D8C"/>
    <w:rsid w:val="005F54B4"/>
    <w:rsid w:val="005F5576"/>
    <w:rsid w:val="005F5A4E"/>
    <w:rsid w:val="005F5A6F"/>
    <w:rsid w:val="005F5C6D"/>
    <w:rsid w:val="005F5E8E"/>
    <w:rsid w:val="005F60E6"/>
    <w:rsid w:val="005F61DD"/>
    <w:rsid w:val="005F61E9"/>
    <w:rsid w:val="005F764A"/>
    <w:rsid w:val="0060008E"/>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648"/>
    <w:rsid w:val="00612D19"/>
    <w:rsid w:val="0061330F"/>
    <w:rsid w:val="00613641"/>
    <w:rsid w:val="00613B4D"/>
    <w:rsid w:val="00614139"/>
    <w:rsid w:val="00614483"/>
    <w:rsid w:val="0061478C"/>
    <w:rsid w:val="0061516E"/>
    <w:rsid w:val="006151BC"/>
    <w:rsid w:val="00615204"/>
    <w:rsid w:val="006154F0"/>
    <w:rsid w:val="00615E77"/>
    <w:rsid w:val="00616128"/>
    <w:rsid w:val="00616221"/>
    <w:rsid w:val="006162A3"/>
    <w:rsid w:val="00616C7D"/>
    <w:rsid w:val="0061735F"/>
    <w:rsid w:val="006205E1"/>
    <w:rsid w:val="006208EE"/>
    <w:rsid w:val="0062091D"/>
    <w:rsid w:val="00620C44"/>
    <w:rsid w:val="0062100E"/>
    <w:rsid w:val="006211A5"/>
    <w:rsid w:val="006219BC"/>
    <w:rsid w:val="00621DD8"/>
    <w:rsid w:val="00622789"/>
    <w:rsid w:val="006233C1"/>
    <w:rsid w:val="00623877"/>
    <w:rsid w:val="00623DB9"/>
    <w:rsid w:val="00624649"/>
    <w:rsid w:val="006249A7"/>
    <w:rsid w:val="006249D1"/>
    <w:rsid w:val="00624D4F"/>
    <w:rsid w:val="00624F11"/>
    <w:rsid w:val="00625713"/>
    <w:rsid w:val="00625B22"/>
    <w:rsid w:val="00625C53"/>
    <w:rsid w:val="00626415"/>
    <w:rsid w:val="006270F2"/>
    <w:rsid w:val="0062768B"/>
    <w:rsid w:val="00627941"/>
    <w:rsid w:val="00627A49"/>
    <w:rsid w:val="00627D60"/>
    <w:rsid w:val="00627E30"/>
    <w:rsid w:val="006303FC"/>
    <w:rsid w:val="006309D1"/>
    <w:rsid w:val="00631716"/>
    <w:rsid w:val="0063179F"/>
    <w:rsid w:val="006317A4"/>
    <w:rsid w:val="00632259"/>
    <w:rsid w:val="00632765"/>
    <w:rsid w:val="00632DD8"/>
    <w:rsid w:val="00633879"/>
    <w:rsid w:val="006338DA"/>
    <w:rsid w:val="0063390C"/>
    <w:rsid w:val="00633A5E"/>
    <w:rsid w:val="00633F74"/>
    <w:rsid w:val="00635AEB"/>
    <w:rsid w:val="006363E4"/>
    <w:rsid w:val="00636EF8"/>
    <w:rsid w:val="00636FEF"/>
    <w:rsid w:val="0063715F"/>
    <w:rsid w:val="0063764D"/>
    <w:rsid w:val="006377DB"/>
    <w:rsid w:val="006405A2"/>
    <w:rsid w:val="00640699"/>
    <w:rsid w:val="0064096C"/>
    <w:rsid w:val="006415EB"/>
    <w:rsid w:val="006417E0"/>
    <w:rsid w:val="006418D2"/>
    <w:rsid w:val="006419D4"/>
    <w:rsid w:val="00641B37"/>
    <w:rsid w:val="00641E1E"/>
    <w:rsid w:val="006420CC"/>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B9B"/>
    <w:rsid w:val="00650C5E"/>
    <w:rsid w:val="00651147"/>
    <w:rsid w:val="0065131D"/>
    <w:rsid w:val="00651DC1"/>
    <w:rsid w:val="00651FD6"/>
    <w:rsid w:val="0065234B"/>
    <w:rsid w:val="0065252C"/>
    <w:rsid w:val="00652C8F"/>
    <w:rsid w:val="00653AC4"/>
    <w:rsid w:val="00653C52"/>
    <w:rsid w:val="006540C1"/>
    <w:rsid w:val="00654642"/>
    <w:rsid w:val="00654AF4"/>
    <w:rsid w:val="00654CB8"/>
    <w:rsid w:val="0065561D"/>
    <w:rsid w:val="00655765"/>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6ECC"/>
    <w:rsid w:val="0066700F"/>
    <w:rsid w:val="00667C61"/>
    <w:rsid w:val="00667FB2"/>
    <w:rsid w:val="00670D2E"/>
    <w:rsid w:val="00670DE4"/>
    <w:rsid w:val="00672502"/>
    <w:rsid w:val="0067269F"/>
    <w:rsid w:val="006726CB"/>
    <w:rsid w:val="0067272F"/>
    <w:rsid w:val="00673BA4"/>
    <w:rsid w:val="00674C5D"/>
    <w:rsid w:val="00674ED8"/>
    <w:rsid w:val="00675793"/>
    <w:rsid w:val="00675C5E"/>
    <w:rsid w:val="00676F0B"/>
    <w:rsid w:val="006773D1"/>
    <w:rsid w:val="006801BB"/>
    <w:rsid w:val="006802E3"/>
    <w:rsid w:val="00680CC6"/>
    <w:rsid w:val="00681010"/>
    <w:rsid w:val="0068241B"/>
    <w:rsid w:val="00683889"/>
    <w:rsid w:val="006842A2"/>
    <w:rsid w:val="006846DB"/>
    <w:rsid w:val="006848BB"/>
    <w:rsid w:val="00685075"/>
    <w:rsid w:val="00685101"/>
    <w:rsid w:val="00685339"/>
    <w:rsid w:val="00685597"/>
    <w:rsid w:val="00686338"/>
    <w:rsid w:val="0068711D"/>
    <w:rsid w:val="0068731C"/>
    <w:rsid w:val="00687F2E"/>
    <w:rsid w:val="006904AD"/>
    <w:rsid w:val="006905F1"/>
    <w:rsid w:val="006912E6"/>
    <w:rsid w:val="006914E9"/>
    <w:rsid w:val="00691815"/>
    <w:rsid w:val="00691E51"/>
    <w:rsid w:val="006920CA"/>
    <w:rsid w:val="006927F0"/>
    <w:rsid w:val="00692A8C"/>
    <w:rsid w:val="00692ACB"/>
    <w:rsid w:val="00692C4E"/>
    <w:rsid w:val="006936DB"/>
    <w:rsid w:val="00693801"/>
    <w:rsid w:val="00693C26"/>
    <w:rsid w:val="006944B8"/>
    <w:rsid w:val="00694706"/>
    <w:rsid w:val="00694BCE"/>
    <w:rsid w:val="00694DF8"/>
    <w:rsid w:val="006956E0"/>
    <w:rsid w:val="00695B57"/>
    <w:rsid w:val="00695D95"/>
    <w:rsid w:val="00695DDA"/>
    <w:rsid w:val="00696136"/>
    <w:rsid w:val="00696243"/>
    <w:rsid w:val="006962E6"/>
    <w:rsid w:val="0069657D"/>
    <w:rsid w:val="00696A8E"/>
    <w:rsid w:val="0069703E"/>
    <w:rsid w:val="00697208"/>
    <w:rsid w:val="00697A32"/>
    <w:rsid w:val="006A06E3"/>
    <w:rsid w:val="006A0B03"/>
    <w:rsid w:val="006A0B52"/>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4B6"/>
    <w:rsid w:val="006A777A"/>
    <w:rsid w:val="006A7AE9"/>
    <w:rsid w:val="006A7C9D"/>
    <w:rsid w:val="006B0264"/>
    <w:rsid w:val="006B1E59"/>
    <w:rsid w:val="006B2995"/>
    <w:rsid w:val="006B2F13"/>
    <w:rsid w:val="006B304E"/>
    <w:rsid w:val="006B3EFD"/>
    <w:rsid w:val="006B40C8"/>
    <w:rsid w:val="006B472A"/>
    <w:rsid w:val="006B4921"/>
    <w:rsid w:val="006B549F"/>
    <w:rsid w:val="006B65CB"/>
    <w:rsid w:val="006B765D"/>
    <w:rsid w:val="006C0867"/>
    <w:rsid w:val="006C098C"/>
    <w:rsid w:val="006C12F3"/>
    <w:rsid w:val="006C1D4C"/>
    <w:rsid w:val="006C215A"/>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99B"/>
    <w:rsid w:val="006D7C9D"/>
    <w:rsid w:val="006D7D85"/>
    <w:rsid w:val="006E045E"/>
    <w:rsid w:val="006E09E9"/>
    <w:rsid w:val="006E0B21"/>
    <w:rsid w:val="006E171B"/>
    <w:rsid w:val="006E2290"/>
    <w:rsid w:val="006E2C6D"/>
    <w:rsid w:val="006E33D2"/>
    <w:rsid w:val="006E374B"/>
    <w:rsid w:val="006E3B50"/>
    <w:rsid w:val="006E44D3"/>
    <w:rsid w:val="006E4705"/>
    <w:rsid w:val="006E470D"/>
    <w:rsid w:val="006E4766"/>
    <w:rsid w:val="006E49DF"/>
    <w:rsid w:val="006E4E81"/>
    <w:rsid w:val="006E58CF"/>
    <w:rsid w:val="006E6241"/>
    <w:rsid w:val="006E645F"/>
    <w:rsid w:val="006E6F3D"/>
    <w:rsid w:val="006F0B4A"/>
    <w:rsid w:val="006F117D"/>
    <w:rsid w:val="006F1195"/>
    <w:rsid w:val="006F13F3"/>
    <w:rsid w:val="006F1DBD"/>
    <w:rsid w:val="006F1E00"/>
    <w:rsid w:val="006F28C3"/>
    <w:rsid w:val="006F301F"/>
    <w:rsid w:val="006F4EDA"/>
    <w:rsid w:val="006F5847"/>
    <w:rsid w:val="006F5B1A"/>
    <w:rsid w:val="006F5F76"/>
    <w:rsid w:val="006F6790"/>
    <w:rsid w:val="00700821"/>
    <w:rsid w:val="00700E98"/>
    <w:rsid w:val="007010A7"/>
    <w:rsid w:val="007011D1"/>
    <w:rsid w:val="007011D8"/>
    <w:rsid w:val="00702723"/>
    <w:rsid w:val="00703026"/>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1485"/>
    <w:rsid w:val="00712020"/>
    <w:rsid w:val="00712026"/>
    <w:rsid w:val="007121C0"/>
    <w:rsid w:val="00712638"/>
    <w:rsid w:val="0071276A"/>
    <w:rsid w:val="00712B22"/>
    <w:rsid w:val="00712D93"/>
    <w:rsid w:val="00713806"/>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206C"/>
    <w:rsid w:val="00722093"/>
    <w:rsid w:val="007223DC"/>
    <w:rsid w:val="0072242A"/>
    <w:rsid w:val="00722BE6"/>
    <w:rsid w:val="00722CD9"/>
    <w:rsid w:val="00722E26"/>
    <w:rsid w:val="00722EF9"/>
    <w:rsid w:val="007232F1"/>
    <w:rsid w:val="00723F60"/>
    <w:rsid w:val="0072433F"/>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C8D"/>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927"/>
    <w:rsid w:val="00737A4B"/>
    <w:rsid w:val="00740008"/>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2F"/>
    <w:rsid w:val="007559CB"/>
    <w:rsid w:val="00755B6F"/>
    <w:rsid w:val="007568DD"/>
    <w:rsid w:val="00756A17"/>
    <w:rsid w:val="00756B41"/>
    <w:rsid w:val="007576EC"/>
    <w:rsid w:val="00757957"/>
    <w:rsid w:val="00760978"/>
    <w:rsid w:val="00760D42"/>
    <w:rsid w:val="007623B0"/>
    <w:rsid w:val="00762A7D"/>
    <w:rsid w:val="00762F6E"/>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FF9"/>
    <w:rsid w:val="00781069"/>
    <w:rsid w:val="0078285C"/>
    <w:rsid w:val="00782B30"/>
    <w:rsid w:val="00782FA6"/>
    <w:rsid w:val="00783A36"/>
    <w:rsid w:val="007845D4"/>
    <w:rsid w:val="00784DF0"/>
    <w:rsid w:val="00785A38"/>
    <w:rsid w:val="00785C2A"/>
    <w:rsid w:val="0078668F"/>
    <w:rsid w:val="0078700E"/>
    <w:rsid w:val="00787339"/>
    <w:rsid w:val="0078755B"/>
    <w:rsid w:val="00787B59"/>
    <w:rsid w:val="00787EB2"/>
    <w:rsid w:val="007900A9"/>
    <w:rsid w:val="00790DC4"/>
    <w:rsid w:val="007910C3"/>
    <w:rsid w:val="00791110"/>
    <w:rsid w:val="00791250"/>
    <w:rsid w:val="0079150D"/>
    <w:rsid w:val="00791DE1"/>
    <w:rsid w:val="00793181"/>
    <w:rsid w:val="007936BD"/>
    <w:rsid w:val="007936C1"/>
    <w:rsid w:val="00793D45"/>
    <w:rsid w:val="00795E20"/>
    <w:rsid w:val="00796787"/>
    <w:rsid w:val="007975BD"/>
    <w:rsid w:val="007978C7"/>
    <w:rsid w:val="00797B7E"/>
    <w:rsid w:val="007A0504"/>
    <w:rsid w:val="007A05A2"/>
    <w:rsid w:val="007A10D6"/>
    <w:rsid w:val="007A12EE"/>
    <w:rsid w:val="007A138C"/>
    <w:rsid w:val="007A1834"/>
    <w:rsid w:val="007A1856"/>
    <w:rsid w:val="007A1C3A"/>
    <w:rsid w:val="007A1E52"/>
    <w:rsid w:val="007A2A4D"/>
    <w:rsid w:val="007A31B2"/>
    <w:rsid w:val="007A3629"/>
    <w:rsid w:val="007A385C"/>
    <w:rsid w:val="007A38F5"/>
    <w:rsid w:val="007A3D24"/>
    <w:rsid w:val="007A4755"/>
    <w:rsid w:val="007A4860"/>
    <w:rsid w:val="007A4CAF"/>
    <w:rsid w:val="007A4F7B"/>
    <w:rsid w:val="007A61E4"/>
    <w:rsid w:val="007A704A"/>
    <w:rsid w:val="007A7242"/>
    <w:rsid w:val="007B01CF"/>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39"/>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388"/>
    <w:rsid w:val="007D25B9"/>
    <w:rsid w:val="007D2BE8"/>
    <w:rsid w:val="007D3066"/>
    <w:rsid w:val="007D421B"/>
    <w:rsid w:val="007D423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34DE"/>
    <w:rsid w:val="007E45CA"/>
    <w:rsid w:val="007E48C0"/>
    <w:rsid w:val="007E5885"/>
    <w:rsid w:val="007E61B7"/>
    <w:rsid w:val="007E64FF"/>
    <w:rsid w:val="007E6F62"/>
    <w:rsid w:val="007E6FEA"/>
    <w:rsid w:val="007E7C7B"/>
    <w:rsid w:val="007E7DA1"/>
    <w:rsid w:val="007E7E0F"/>
    <w:rsid w:val="007E7F8F"/>
    <w:rsid w:val="007F015E"/>
    <w:rsid w:val="007F1160"/>
    <w:rsid w:val="007F194F"/>
    <w:rsid w:val="007F1D9B"/>
    <w:rsid w:val="007F21B0"/>
    <w:rsid w:val="007F26BE"/>
    <w:rsid w:val="007F2DE9"/>
    <w:rsid w:val="007F341B"/>
    <w:rsid w:val="007F3510"/>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0E8B"/>
    <w:rsid w:val="00811336"/>
    <w:rsid w:val="0081165D"/>
    <w:rsid w:val="00811B28"/>
    <w:rsid w:val="00812862"/>
    <w:rsid w:val="00812A7A"/>
    <w:rsid w:val="0081362B"/>
    <w:rsid w:val="008142D0"/>
    <w:rsid w:val="0081450B"/>
    <w:rsid w:val="0081467F"/>
    <w:rsid w:val="0081496A"/>
    <w:rsid w:val="00815339"/>
    <w:rsid w:val="008154F1"/>
    <w:rsid w:val="0081591F"/>
    <w:rsid w:val="00815A7E"/>
    <w:rsid w:val="00815A99"/>
    <w:rsid w:val="00815E5B"/>
    <w:rsid w:val="008160D1"/>
    <w:rsid w:val="008162B3"/>
    <w:rsid w:val="0081640D"/>
    <w:rsid w:val="0081687A"/>
    <w:rsid w:val="008169A1"/>
    <w:rsid w:val="00816B62"/>
    <w:rsid w:val="00816D37"/>
    <w:rsid w:val="00817598"/>
    <w:rsid w:val="00820160"/>
    <w:rsid w:val="008201D5"/>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DE6"/>
    <w:rsid w:val="00824F18"/>
    <w:rsid w:val="008251E7"/>
    <w:rsid w:val="00825417"/>
    <w:rsid w:val="00826181"/>
    <w:rsid w:val="008262BC"/>
    <w:rsid w:val="008266A2"/>
    <w:rsid w:val="008267AE"/>
    <w:rsid w:val="00826970"/>
    <w:rsid w:val="008304AD"/>
    <w:rsid w:val="00830B33"/>
    <w:rsid w:val="0083118A"/>
    <w:rsid w:val="00831784"/>
    <w:rsid w:val="00831CBC"/>
    <w:rsid w:val="00832727"/>
    <w:rsid w:val="00832DD6"/>
    <w:rsid w:val="00833563"/>
    <w:rsid w:val="008337C1"/>
    <w:rsid w:val="00833C32"/>
    <w:rsid w:val="00834F23"/>
    <w:rsid w:val="00835092"/>
    <w:rsid w:val="008353B6"/>
    <w:rsid w:val="00836A67"/>
    <w:rsid w:val="00836CEB"/>
    <w:rsid w:val="0083757A"/>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0A2"/>
    <w:rsid w:val="00872131"/>
    <w:rsid w:val="008723B8"/>
    <w:rsid w:val="008725F5"/>
    <w:rsid w:val="00873147"/>
    <w:rsid w:val="008735C5"/>
    <w:rsid w:val="00873664"/>
    <w:rsid w:val="00873C1E"/>
    <w:rsid w:val="00873CD6"/>
    <w:rsid w:val="00873DE6"/>
    <w:rsid w:val="00873FBF"/>
    <w:rsid w:val="00874178"/>
    <w:rsid w:val="00874272"/>
    <w:rsid w:val="008743DF"/>
    <w:rsid w:val="0087441A"/>
    <w:rsid w:val="00874C66"/>
    <w:rsid w:val="00874F67"/>
    <w:rsid w:val="00875F4F"/>
    <w:rsid w:val="008762D8"/>
    <w:rsid w:val="00876989"/>
    <w:rsid w:val="008772D9"/>
    <w:rsid w:val="00877B29"/>
    <w:rsid w:val="00880143"/>
    <w:rsid w:val="008808B9"/>
    <w:rsid w:val="00880B30"/>
    <w:rsid w:val="00880E1C"/>
    <w:rsid w:val="00880F1D"/>
    <w:rsid w:val="0088172A"/>
    <w:rsid w:val="00881784"/>
    <w:rsid w:val="00881882"/>
    <w:rsid w:val="00881F90"/>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184"/>
    <w:rsid w:val="008875B1"/>
    <w:rsid w:val="008879EA"/>
    <w:rsid w:val="00890139"/>
    <w:rsid w:val="0089160E"/>
    <w:rsid w:val="00891D15"/>
    <w:rsid w:val="008921B1"/>
    <w:rsid w:val="00892687"/>
    <w:rsid w:val="00893386"/>
    <w:rsid w:val="0089363C"/>
    <w:rsid w:val="00893657"/>
    <w:rsid w:val="00893671"/>
    <w:rsid w:val="00893D79"/>
    <w:rsid w:val="00893E3A"/>
    <w:rsid w:val="008940DF"/>
    <w:rsid w:val="008941FB"/>
    <w:rsid w:val="00894565"/>
    <w:rsid w:val="008950D6"/>
    <w:rsid w:val="00895B46"/>
    <w:rsid w:val="00895F47"/>
    <w:rsid w:val="008963AA"/>
    <w:rsid w:val="00896474"/>
    <w:rsid w:val="00896DBC"/>
    <w:rsid w:val="0089778E"/>
    <w:rsid w:val="00897B59"/>
    <w:rsid w:val="00897C6C"/>
    <w:rsid w:val="00897D1A"/>
    <w:rsid w:val="008A0905"/>
    <w:rsid w:val="008A0B02"/>
    <w:rsid w:val="008A0E0D"/>
    <w:rsid w:val="008A10E7"/>
    <w:rsid w:val="008A154A"/>
    <w:rsid w:val="008A155C"/>
    <w:rsid w:val="008A180E"/>
    <w:rsid w:val="008A197C"/>
    <w:rsid w:val="008A2545"/>
    <w:rsid w:val="008A2636"/>
    <w:rsid w:val="008A35DB"/>
    <w:rsid w:val="008A3AF9"/>
    <w:rsid w:val="008A3FBE"/>
    <w:rsid w:val="008A4013"/>
    <w:rsid w:val="008A42FA"/>
    <w:rsid w:val="008A4C9C"/>
    <w:rsid w:val="008A6041"/>
    <w:rsid w:val="008A60F8"/>
    <w:rsid w:val="008A66A8"/>
    <w:rsid w:val="008A69FE"/>
    <w:rsid w:val="008A6EC7"/>
    <w:rsid w:val="008A6F36"/>
    <w:rsid w:val="008A7286"/>
    <w:rsid w:val="008A7B50"/>
    <w:rsid w:val="008B0641"/>
    <w:rsid w:val="008B0EB7"/>
    <w:rsid w:val="008B138E"/>
    <w:rsid w:val="008B168B"/>
    <w:rsid w:val="008B1C78"/>
    <w:rsid w:val="008B1EFD"/>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B76DF"/>
    <w:rsid w:val="008C0EAD"/>
    <w:rsid w:val="008C1442"/>
    <w:rsid w:val="008C1693"/>
    <w:rsid w:val="008C174E"/>
    <w:rsid w:val="008C19D9"/>
    <w:rsid w:val="008C1A5E"/>
    <w:rsid w:val="008C1A81"/>
    <w:rsid w:val="008C2933"/>
    <w:rsid w:val="008C29FE"/>
    <w:rsid w:val="008C32CA"/>
    <w:rsid w:val="008C3967"/>
    <w:rsid w:val="008C431E"/>
    <w:rsid w:val="008C4A36"/>
    <w:rsid w:val="008C54BD"/>
    <w:rsid w:val="008C54C4"/>
    <w:rsid w:val="008C55A5"/>
    <w:rsid w:val="008C6056"/>
    <w:rsid w:val="008C60C4"/>
    <w:rsid w:val="008C6628"/>
    <w:rsid w:val="008C69C9"/>
    <w:rsid w:val="008C6E38"/>
    <w:rsid w:val="008C6F75"/>
    <w:rsid w:val="008C790B"/>
    <w:rsid w:val="008C7C18"/>
    <w:rsid w:val="008C7CC4"/>
    <w:rsid w:val="008D047D"/>
    <w:rsid w:val="008D0B4C"/>
    <w:rsid w:val="008D14C4"/>
    <w:rsid w:val="008D1800"/>
    <w:rsid w:val="008D1964"/>
    <w:rsid w:val="008D221A"/>
    <w:rsid w:val="008D24D6"/>
    <w:rsid w:val="008D24E1"/>
    <w:rsid w:val="008D3E6A"/>
    <w:rsid w:val="008D4A8B"/>
    <w:rsid w:val="008D53E2"/>
    <w:rsid w:val="008D5908"/>
    <w:rsid w:val="008D5AF1"/>
    <w:rsid w:val="008D626C"/>
    <w:rsid w:val="008D6A6E"/>
    <w:rsid w:val="008D781F"/>
    <w:rsid w:val="008D7DBE"/>
    <w:rsid w:val="008E02B7"/>
    <w:rsid w:val="008E20BE"/>
    <w:rsid w:val="008E241B"/>
    <w:rsid w:val="008E3096"/>
    <w:rsid w:val="008E330C"/>
    <w:rsid w:val="008E332F"/>
    <w:rsid w:val="008E3BB5"/>
    <w:rsid w:val="008E4114"/>
    <w:rsid w:val="008E45EA"/>
    <w:rsid w:val="008E4A1A"/>
    <w:rsid w:val="008E4E8F"/>
    <w:rsid w:val="008E5E01"/>
    <w:rsid w:val="008E69A3"/>
    <w:rsid w:val="008E7562"/>
    <w:rsid w:val="008E7CC9"/>
    <w:rsid w:val="008F02A1"/>
    <w:rsid w:val="008F0624"/>
    <w:rsid w:val="008F0E69"/>
    <w:rsid w:val="008F0F3B"/>
    <w:rsid w:val="008F12FF"/>
    <w:rsid w:val="008F2672"/>
    <w:rsid w:val="008F2E53"/>
    <w:rsid w:val="008F3D3E"/>
    <w:rsid w:val="008F3F31"/>
    <w:rsid w:val="008F4655"/>
    <w:rsid w:val="008F4779"/>
    <w:rsid w:val="008F542B"/>
    <w:rsid w:val="008F5670"/>
    <w:rsid w:val="008F599F"/>
    <w:rsid w:val="008F63DF"/>
    <w:rsid w:val="008F6428"/>
    <w:rsid w:val="008F64E5"/>
    <w:rsid w:val="008F677E"/>
    <w:rsid w:val="008F7C28"/>
    <w:rsid w:val="0090034D"/>
    <w:rsid w:val="00900EC7"/>
    <w:rsid w:val="00900FFC"/>
    <w:rsid w:val="009011F9"/>
    <w:rsid w:val="00901244"/>
    <w:rsid w:val="00901775"/>
    <w:rsid w:val="00901955"/>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5E9F"/>
    <w:rsid w:val="0090616A"/>
    <w:rsid w:val="00906527"/>
    <w:rsid w:val="00906BD9"/>
    <w:rsid w:val="00906EA0"/>
    <w:rsid w:val="0090737D"/>
    <w:rsid w:val="009073B1"/>
    <w:rsid w:val="00907F4C"/>
    <w:rsid w:val="0091006A"/>
    <w:rsid w:val="00910B57"/>
    <w:rsid w:val="0091148A"/>
    <w:rsid w:val="00911FD7"/>
    <w:rsid w:val="00912347"/>
    <w:rsid w:val="0091268D"/>
    <w:rsid w:val="009129C1"/>
    <w:rsid w:val="00913B74"/>
    <w:rsid w:val="00913EBB"/>
    <w:rsid w:val="009141BB"/>
    <w:rsid w:val="00914B55"/>
    <w:rsid w:val="00914DC4"/>
    <w:rsid w:val="00915329"/>
    <w:rsid w:val="0091588C"/>
    <w:rsid w:val="00915DB5"/>
    <w:rsid w:val="00915DF4"/>
    <w:rsid w:val="00916068"/>
    <w:rsid w:val="009163B7"/>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523C"/>
    <w:rsid w:val="0092668D"/>
    <w:rsid w:val="009271AB"/>
    <w:rsid w:val="00927281"/>
    <w:rsid w:val="009273B8"/>
    <w:rsid w:val="00927A20"/>
    <w:rsid w:val="00930298"/>
    <w:rsid w:val="009302A6"/>
    <w:rsid w:val="00931325"/>
    <w:rsid w:val="009319DC"/>
    <w:rsid w:val="00931AAD"/>
    <w:rsid w:val="00931E6D"/>
    <w:rsid w:val="00932120"/>
    <w:rsid w:val="00932D04"/>
    <w:rsid w:val="00932E9E"/>
    <w:rsid w:val="00933B8A"/>
    <w:rsid w:val="00933FE3"/>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243B"/>
    <w:rsid w:val="009425EB"/>
    <w:rsid w:val="00942810"/>
    <w:rsid w:val="009428A1"/>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3D1"/>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459"/>
    <w:rsid w:val="009648FE"/>
    <w:rsid w:val="009657D5"/>
    <w:rsid w:val="00965F9F"/>
    <w:rsid w:val="00966141"/>
    <w:rsid w:val="009662EC"/>
    <w:rsid w:val="00966611"/>
    <w:rsid w:val="0096682A"/>
    <w:rsid w:val="009669CC"/>
    <w:rsid w:val="009670A3"/>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DF0"/>
    <w:rsid w:val="00980F3F"/>
    <w:rsid w:val="0098117A"/>
    <w:rsid w:val="00981D1C"/>
    <w:rsid w:val="00982214"/>
    <w:rsid w:val="009823D4"/>
    <w:rsid w:val="00982474"/>
    <w:rsid w:val="0098307F"/>
    <w:rsid w:val="00983285"/>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1BD5"/>
    <w:rsid w:val="00992097"/>
    <w:rsid w:val="00992158"/>
    <w:rsid w:val="00992869"/>
    <w:rsid w:val="00992914"/>
    <w:rsid w:val="00992C47"/>
    <w:rsid w:val="00992C5C"/>
    <w:rsid w:val="00993776"/>
    <w:rsid w:val="00993832"/>
    <w:rsid w:val="009939AA"/>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AEA"/>
    <w:rsid w:val="009A6C33"/>
    <w:rsid w:val="009A6CC5"/>
    <w:rsid w:val="009B1F3A"/>
    <w:rsid w:val="009B2766"/>
    <w:rsid w:val="009B32F0"/>
    <w:rsid w:val="009B3EB4"/>
    <w:rsid w:val="009B3F21"/>
    <w:rsid w:val="009B3FA8"/>
    <w:rsid w:val="009B42BE"/>
    <w:rsid w:val="009B5167"/>
    <w:rsid w:val="009B5973"/>
    <w:rsid w:val="009B5B48"/>
    <w:rsid w:val="009B62E6"/>
    <w:rsid w:val="009B67C4"/>
    <w:rsid w:val="009B6A3F"/>
    <w:rsid w:val="009B6C5A"/>
    <w:rsid w:val="009B71E1"/>
    <w:rsid w:val="009B76C4"/>
    <w:rsid w:val="009B78BB"/>
    <w:rsid w:val="009B78E7"/>
    <w:rsid w:val="009C0448"/>
    <w:rsid w:val="009C0615"/>
    <w:rsid w:val="009C0CF8"/>
    <w:rsid w:val="009C0CF9"/>
    <w:rsid w:val="009C125A"/>
    <w:rsid w:val="009C187D"/>
    <w:rsid w:val="009C1EB2"/>
    <w:rsid w:val="009C24CA"/>
    <w:rsid w:val="009C2675"/>
    <w:rsid w:val="009C2839"/>
    <w:rsid w:val="009C2D9D"/>
    <w:rsid w:val="009C2DC4"/>
    <w:rsid w:val="009C3042"/>
    <w:rsid w:val="009C3549"/>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7FE"/>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620"/>
    <w:rsid w:val="009F0A8F"/>
    <w:rsid w:val="009F231C"/>
    <w:rsid w:val="009F2512"/>
    <w:rsid w:val="009F2B28"/>
    <w:rsid w:val="009F2B87"/>
    <w:rsid w:val="009F2C7D"/>
    <w:rsid w:val="009F3072"/>
    <w:rsid w:val="009F40CE"/>
    <w:rsid w:val="009F4CDA"/>
    <w:rsid w:val="009F59BF"/>
    <w:rsid w:val="009F5F68"/>
    <w:rsid w:val="009F776E"/>
    <w:rsid w:val="00A00F42"/>
    <w:rsid w:val="00A00FDC"/>
    <w:rsid w:val="00A01519"/>
    <w:rsid w:val="00A0195A"/>
    <w:rsid w:val="00A01FCE"/>
    <w:rsid w:val="00A020BD"/>
    <w:rsid w:val="00A02BD4"/>
    <w:rsid w:val="00A02D3C"/>
    <w:rsid w:val="00A030F0"/>
    <w:rsid w:val="00A032EA"/>
    <w:rsid w:val="00A0408F"/>
    <w:rsid w:val="00A04E68"/>
    <w:rsid w:val="00A05975"/>
    <w:rsid w:val="00A05EAA"/>
    <w:rsid w:val="00A0608D"/>
    <w:rsid w:val="00A060BE"/>
    <w:rsid w:val="00A0695E"/>
    <w:rsid w:val="00A072D4"/>
    <w:rsid w:val="00A07D26"/>
    <w:rsid w:val="00A1036E"/>
    <w:rsid w:val="00A104A1"/>
    <w:rsid w:val="00A10BF6"/>
    <w:rsid w:val="00A10D80"/>
    <w:rsid w:val="00A10FC7"/>
    <w:rsid w:val="00A11671"/>
    <w:rsid w:val="00A1187C"/>
    <w:rsid w:val="00A11D6C"/>
    <w:rsid w:val="00A124C5"/>
    <w:rsid w:val="00A12CCC"/>
    <w:rsid w:val="00A12D1A"/>
    <w:rsid w:val="00A12E07"/>
    <w:rsid w:val="00A12F3D"/>
    <w:rsid w:val="00A13378"/>
    <w:rsid w:val="00A13A4E"/>
    <w:rsid w:val="00A15566"/>
    <w:rsid w:val="00A15775"/>
    <w:rsid w:val="00A15AA3"/>
    <w:rsid w:val="00A15B2D"/>
    <w:rsid w:val="00A1616C"/>
    <w:rsid w:val="00A163CD"/>
    <w:rsid w:val="00A16778"/>
    <w:rsid w:val="00A16B57"/>
    <w:rsid w:val="00A20224"/>
    <w:rsid w:val="00A2120A"/>
    <w:rsid w:val="00A21424"/>
    <w:rsid w:val="00A21890"/>
    <w:rsid w:val="00A21997"/>
    <w:rsid w:val="00A22A08"/>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9CD"/>
    <w:rsid w:val="00A31D00"/>
    <w:rsid w:val="00A32051"/>
    <w:rsid w:val="00A32AE0"/>
    <w:rsid w:val="00A32B77"/>
    <w:rsid w:val="00A32BB4"/>
    <w:rsid w:val="00A336F9"/>
    <w:rsid w:val="00A33983"/>
    <w:rsid w:val="00A33CCF"/>
    <w:rsid w:val="00A34BF6"/>
    <w:rsid w:val="00A3578D"/>
    <w:rsid w:val="00A35D65"/>
    <w:rsid w:val="00A3630A"/>
    <w:rsid w:val="00A36CF6"/>
    <w:rsid w:val="00A36EC5"/>
    <w:rsid w:val="00A37EDA"/>
    <w:rsid w:val="00A4035D"/>
    <w:rsid w:val="00A413A3"/>
    <w:rsid w:val="00A42CD1"/>
    <w:rsid w:val="00A43270"/>
    <w:rsid w:val="00A44D93"/>
    <w:rsid w:val="00A4539E"/>
    <w:rsid w:val="00A45DFF"/>
    <w:rsid w:val="00A46080"/>
    <w:rsid w:val="00A461CB"/>
    <w:rsid w:val="00A46C6C"/>
    <w:rsid w:val="00A46EB1"/>
    <w:rsid w:val="00A47A54"/>
    <w:rsid w:val="00A47C59"/>
    <w:rsid w:val="00A50FEC"/>
    <w:rsid w:val="00A51FC3"/>
    <w:rsid w:val="00A532FC"/>
    <w:rsid w:val="00A53624"/>
    <w:rsid w:val="00A539B2"/>
    <w:rsid w:val="00A54F72"/>
    <w:rsid w:val="00A565B6"/>
    <w:rsid w:val="00A567E2"/>
    <w:rsid w:val="00A56806"/>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8BA"/>
    <w:rsid w:val="00A709AE"/>
    <w:rsid w:val="00A70DCB"/>
    <w:rsid w:val="00A70E5B"/>
    <w:rsid w:val="00A71423"/>
    <w:rsid w:val="00A71BA4"/>
    <w:rsid w:val="00A71FD1"/>
    <w:rsid w:val="00A720C2"/>
    <w:rsid w:val="00A7248F"/>
    <w:rsid w:val="00A72733"/>
    <w:rsid w:val="00A72BC8"/>
    <w:rsid w:val="00A72C04"/>
    <w:rsid w:val="00A72FE2"/>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8B7"/>
    <w:rsid w:val="00A92DB9"/>
    <w:rsid w:val="00A936DB"/>
    <w:rsid w:val="00A93738"/>
    <w:rsid w:val="00A93B90"/>
    <w:rsid w:val="00A94084"/>
    <w:rsid w:val="00A9446E"/>
    <w:rsid w:val="00A9579F"/>
    <w:rsid w:val="00A96852"/>
    <w:rsid w:val="00A96C21"/>
    <w:rsid w:val="00A9791D"/>
    <w:rsid w:val="00A97D4A"/>
    <w:rsid w:val="00A97DB8"/>
    <w:rsid w:val="00AA0209"/>
    <w:rsid w:val="00AA03A6"/>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2204"/>
    <w:rsid w:val="00AD2E7B"/>
    <w:rsid w:val="00AD2F8F"/>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23D9"/>
    <w:rsid w:val="00AF23F3"/>
    <w:rsid w:val="00AF290E"/>
    <w:rsid w:val="00AF29FA"/>
    <w:rsid w:val="00AF37D5"/>
    <w:rsid w:val="00AF381B"/>
    <w:rsid w:val="00AF3BD8"/>
    <w:rsid w:val="00AF3F63"/>
    <w:rsid w:val="00AF4345"/>
    <w:rsid w:val="00AF463B"/>
    <w:rsid w:val="00AF4CC5"/>
    <w:rsid w:val="00AF5319"/>
    <w:rsid w:val="00AF5CA1"/>
    <w:rsid w:val="00AF608B"/>
    <w:rsid w:val="00AF6576"/>
    <w:rsid w:val="00AF6A59"/>
    <w:rsid w:val="00AF7BDD"/>
    <w:rsid w:val="00AF7FB9"/>
    <w:rsid w:val="00B00F8C"/>
    <w:rsid w:val="00B00FEC"/>
    <w:rsid w:val="00B02145"/>
    <w:rsid w:val="00B02F0C"/>
    <w:rsid w:val="00B03776"/>
    <w:rsid w:val="00B03ED8"/>
    <w:rsid w:val="00B0401D"/>
    <w:rsid w:val="00B042D2"/>
    <w:rsid w:val="00B043D1"/>
    <w:rsid w:val="00B04E8D"/>
    <w:rsid w:val="00B04F50"/>
    <w:rsid w:val="00B0542F"/>
    <w:rsid w:val="00B05A05"/>
    <w:rsid w:val="00B06488"/>
    <w:rsid w:val="00B06495"/>
    <w:rsid w:val="00B064F1"/>
    <w:rsid w:val="00B06DA3"/>
    <w:rsid w:val="00B104EA"/>
    <w:rsid w:val="00B109DF"/>
    <w:rsid w:val="00B118E1"/>
    <w:rsid w:val="00B11A39"/>
    <w:rsid w:val="00B11A5F"/>
    <w:rsid w:val="00B11A9A"/>
    <w:rsid w:val="00B120CF"/>
    <w:rsid w:val="00B1210E"/>
    <w:rsid w:val="00B1243E"/>
    <w:rsid w:val="00B1268E"/>
    <w:rsid w:val="00B129BD"/>
    <w:rsid w:val="00B12BDA"/>
    <w:rsid w:val="00B13D2B"/>
    <w:rsid w:val="00B13F2E"/>
    <w:rsid w:val="00B14011"/>
    <w:rsid w:val="00B14793"/>
    <w:rsid w:val="00B15001"/>
    <w:rsid w:val="00B15075"/>
    <w:rsid w:val="00B15774"/>
    <w:rsid w:val="00B15DB9"/>
    <w:rsid w:val="00B160C4"/>
    <w:rsid w:val="00B16F5A"/>
    <w:rsid w:val="00B1780E"/>
    <w:rsid w:val="00B200D3"/>
    <w:rsid w:val="00B2060E"/>
    <w:rsid w:val="00B20DCF"/>
    <w:rsid w:val="00B20F8A"/>
    <w:rsid w:val="00B215EB"/>
    <w:rsid w:val="00B22522"/>
    <w:rsid w:val="00B2288A"/>
    <w:rsid w:val="00B24D66"/>
    <w:rsid w:val="00B24FA9"/>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2C6"/>
    <w:rsid w:val="00B3232C"/>
    <w:rsid w:val="00B32F0B"/>
    <w:rsid w:val="00B331B8"/>
    <w:rsid w:val="00B33786"/>
    <w:rsid w:val="00B337A4"/>
    <w:rsid w:val="00B34725"/>
    <w:rsid w:val="00B355F0"/>
    <w:rsid w:val="00B3578C"/>
    <w:rsid w:val="00B35F86"/>
    <w:rsid w:val="00B36D9E"/>
    <w:rsid w:val="00B370D9"/>
    <w:rsid w:val="00B37304"/>
    <w:rsid w:val="00B37311"/>
    <w:rsid w:val="00B373FB"/>
    <w:rsid w:val="00B37975"/>
    <w:rsid w:val="00B4106F"/>
    <w:rsid w:val="00B41BE7"/>
    <w:rsid w:val="00B41C43"/>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010"/>
    <w:rsid w:val="00B4733F"/>
    <w:rsid w:val="00B4758E"/>
    <w:rsid w:val="00B47CBB"/>
    <w:rsid w:val="00B5083E"/>
    <w:rsid w:val="00B50ADB"/>
    <w:rsid w:val="00B51466"/>
    <w:rsid w:val="00B51604"/>
    <w:rsid w:val="00B517EE"/>
    <w:rsid w:val="00B51F64"/>
    <w:rsid w:val="00B52ACF"/>
    <w:rsid w:val="00B53B4E"/>
    <w:rsid w:val="00B53C5F"/>
    <w:rsid w:val="00B54BD8"/>
    <w:rsid w:val="00B54D2A"/>
    <w:rsid w:val="00B5596C"/>
    <w:rsid w:val="00B569B2"/>
    <w:rsid w:val="00B56FBD"/>
    <w:rsid w:val="00B5715A"/>
    <w:rsid w:val="00B57327"/>
    <w:rsid w:val="00B6002D"/>
    <w:rsid w:val="00B6010B"/>
    <w:rsid w:val="00B6107E"/>
    <w:rsid w:val="00B61262"/>
    <w:rsid w:val="00B6210A"/>
    <w:rsid w:val="00B6220A"/>
    <w:rsid w:val="00B62644"/>
    <w:rsid w:val="00B629F3"/>
    <w:rsid w:val="00B63434"/>
    <w:rsid w:val="00B63B5D"/>
    <w:rsid w:val="00B640CF"/>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213"/>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59B"/>
    <w:rsid w:val="00BA0FE9"/>
    <w:rsid w:val="00BA139F"/>
    <w:rsid w:val="00BA1A0B"/>
    <w:rsid w:val="00BA1E85"/>
    <w:rsid w:val="00BA2E8B"/>
    <w:rsid w:val="00BA359B"/>
    <w:rsid w:val="00BA3A93"/>
    <w:rsid w:val="00BA4D05"/>
    <w:rsid w:val="00BA5165"/>
    <w:rsid w:val="00BA5370"/>
    <w:rsid w:val="00BA5599"/>
    <w:rsid w:val="00BA5A40"/>
    <w:rsid w:val="00BA5FD5"/>
    <w:rsid w:val="00BA62AB"/>
    <w:rsid w:val="00BA72CE"/>
    <w:rsid w:val="00BA7B2D"/>
    <w:rsid w:val="00BA7E0B"/>
    <w:rsid w:val="00BB034A"/>
    <w:rsid w:val="00BB0DE3"/>
    <w:rsid w:val="00BB0EA0"/>
    <w:rsid w:val="00BB10CD"/>
    <w:rsid w:val="00BB10F0"/>
    <w:rsid w:val="00BB122E"/>
    <w:rsid w:val="00BB25BB"/>
    <w:rsid w:val="00BB4A6F"/>
    <w:rsid w:val="00BB4EA2"/>
    <w:rsid w:val="00BB56B1"/>
    <w:rsid w:val="00BB5759"/>
    <w:rsid w:val="00BB5A30"/>
    <w:rsid w:val="00BB5B98"/>
    <w:rsid w:val="00BB67AC"/>
    <w:rsid w:val="00BB7BAC"/>
    <w:rsid w:val="00BC08D8"/>
    <w:rsid w:val="00BC08FC"/>
    <w:rsid w:val="00BC202D"/>
    <w:rsid w:val="00BC213B"/>
    <w:rsid w:val="00BC22A2"/>
    <w:rsid w:val="00BC2964"/>
    <w:rsid w:val="00BC2A99"/>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1290"/>
    <w:rsid w:val="00BD1CFB"/>
    <w:rsid w:val="00BD22AA"/>
    <w:rsid w:val="00BD2B8F"/>
    <w:rsid w:val="00BD2DAD"/>
    <w:rsid w:val="00BD3047"/>
    <w:rsid w:val="00BD35B9"/>
    <w:rsid w:val="00BD36EC"/>
    <w:rsid w:val="00BD4A52"/>
    <w:rsid w:val="00BD4B84"/>
    <w:rsid w:val="00BD51CA"/>
    <w:rsid w:val="00BD54F7"/>
    <w:rsid w:val="00BD5CD2"/>
    <w:rsid w:val="00BD605A"/>
    <w:rsid w:val="00BD75B8"/>
    <w:rsid w:val="00BD77DE"/>
    <w:rsid w:val="00BD79C2"/>
    <w:rsid w:val="00BD7D45"/>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05FD"/>
    <w:rsid w:val="00BF0E49"/>
    <w:rsid w:val="00BF12E2"/>
    <w:rsid w:val="00BF1DEA"/>
    <w:rsid w:val="00BF20FB"/>
    <w:rsid w:val="00BF2997"/>
    <w:rsid w:val="00BF4C22"/>
    <w:rsid w:val="00BF4CD1"/>
    <w:rsid w:val="00BF4DD7"/>
    <w:rsid w:val="00BF51E4"/>
    <w:rsid w:val="00BF6043"/>
    <w:rsid w:val="00BF71B9"/>
    <w:rsid w:val="00BF76ED"/>
    <w:rsid w:val="00C00156"/>
    <w:rsid w:val="00C003C3"/>
    <w:rsid w:val="00C006F6"/>
    <w:rsid w:val="00C00838"/>
    <w:rsid w:val="00C008C6"/>
    <w:rsid w:val="00C00A3D"/>
    <w:rsid w:val="00C00BE6"/>
    <w:rsid w:val="00C00F80"/>
    <w:rsid w:val="00C01250"/>
    <w:rsid w:val="00C01619"/>
    <w:rsid w:val="00C03041"/>
    <w:rsid w:val="00C031A2"/>
    <w:rsid w:val="00C03815"/>
    <w:rsid w:val="00C041F4"/>
    <w:rsid w:val="00C04243"/>
    <w:rsid w:val="00C04C59"/>
    <w:rsid w:val="00C0524E"/>
    <w:rsid w:val="00C05428"/>
    <w:rsid w:val="00C058A3"/>
    <w:rsid w:val="00C05E05"/>
    <w:rsid w:val="00C0711F"/>
    <w:rsid w:val="00C077E1"/>
    <w:rsid w:val="00C07D38"/>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B32"/>
    <w:rsid w:val="00C16B91"/>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70B"/>
    <w:rsid w:val="00C23BBD"/>
    <w:rsid w:val="00C2455C"/>
    <w:rsid w:val="00C24638"/>
    <w:rsid w:val="00C24DEB"/>
    <w:rsid w:val="00C261FA"/>
    <w:rsid w:val="00C26430"/>
    <w:rsid w:val="00C26495"/>
    <w:rsid w:val="00C26CFA"/>
    <w:rsid w:val="00C273ED"/>
    <w:rsid w:val="00C27447"/>
    <w:rsid w:val="00C27891"/>
    <w:rsid w:val="00C27D45"/>
    <w:rsid w:val="00C300F5"/>
    <w:rsid w:val="00C30AED"/>
    <w:rsid w:val="00C31073"/>
    <w:rsid w:val="00C314B5"/>
    <w:rsid w:val="00C31C2C"/>
    <w:rsid w:val="00C31D3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2FB"/>
    <w:rsid w:val="00C47987"/>
    <w:rsid w:val="00C47CD2"/>
    <w:rsid w:val="00C47D56"/>
    <w:rsid w:val="00C510DE"/>
    <w:rsid w:val="00C536E4"/>
    <w:rsid w:val="00C538AE"/>
    <w:rsid w:val="00C53A75"/>
    <w:rsid w:val="00C53C32"/>
    <w:rsid w:val="00C53E7A"/>
    <w:rsid w:val="00C54492"/>
    <w:rsid w:val="00C544B6"/>
    <w:rsid w:val="00C54601"/>
    <w:rsid w:val="00C54E26"/>
    <w:rsid w:val="00C55419"/>
    <w:rsid w:val="00C565E0"/>
    <w:rsid w:val="00C56A84"/>
    <w:rsid w:val="00C575E8"/>
    <w:rsid w:val="00C5777E"/>
    <w:rsid w:val="00C57EB0"/>
    <w:rsid w:val="00C60984"/>
    <w:rsid w:val="00C60E33"/>
    <w:rsid w:val="00C6111A"/>
    <w:rsid w:val="00C61801"/>
    <w:rsid w:val="00C618DF"/>
    <w:rsid w:val="00C62C6E"/>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532A"/>
    <w:rsid w:val="00C75721"/>
    <w:rsid w:val="00C760A6"/>
    <w:rsid w:val="00C762B7"/>
    <w:rsid w:val="00C7674F"/>
    <w:rsid w:val="00C76825"/>
    <w:rsid w:val="00C77C4B"/>
    <w:rsid w:val="00C77D50"/>
    <w:rsid w:val="00C80DC6"/>
    <w:rsid w:val="00C815E4"/>
    <w:rsid w:val="00C8290C"/>
    <w:rsid w:val="00C84B30"/>
    <w:rsid w:val="00C8512B"/>
    <w:rsid w:val="00C8575D"/>
    <w:rsid w:val="00C85782"/>
    <w:rsid w:val="00C858C8"/>
    <w:rsid w:val="00C85A79"/>
    <w:rsid w:val="00C86242"/>
    <w:rsid w:val="00C86D64"/>
    <w:rsid w:val="00C87CDD"/>
    <w:rsid w:val="00C909EE"/>
    <w:rsid w:val="00C90E27"/>
    <w:rsid w:val="00C910ED"/>
    <w:rsid w:val="00C914C9"/>
    <w:rsid w:val="00C9156F"/>
    <w:rsid w:val="00C916D2"/>
    <w:rsid w:val="00C918F6"/>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0A96"/>
    <w:rsid w:val="00CA13BF"/>
    <w:rsid w:val="00CA13F7"/>
    <w:rsid w:val="00CA1463"/>
    <w:rsid w:val="00CA14DE"/>
    <w:rsid w:val="00CA2A57"/>
    <w:rsid w:val="00CA2C4B"/>
    <w:rsid w:val="00CA30A9"/>
    <w:rsid w:val="00CA32D9"/>
    <w:rsid w:val="00CA35EC"/>
    <w:rsid w:val="00CA3D36"/>
    <w:rsid w:val="00CA3EC4"/>
    <w:rsid w:val="00CA4249"/>
    <w:rsid w:val="00CA4EF3"/>
    <w:rsid w:val="00CA575F"/>
    <w:rsid w:val="00CA5FB1"/>
    <w:rsid w:val="00CA66B5"/>
    <w:rsid w:val="00CA6F69"/>
    <w:rsid w:val="00CA6F7C"/>
    <w:rsid w:val="00CA7DAA"/>
    <w:rsid w:val="00CB0652"/>
    <w:rsid w:val="00CB0A8A"/>
    <w:rsid w:val="00CB0EC8"/>
    <w:rsid w:val="00CB138C"/>
    <w:rsid w:val="00CB14C7"/>
    <w:rsid w:val="00CB1BD3"/>
    <w:rsid w:val="00CB21EF"/>
    <w:rsid w:val="00CB25D4"/>
    <w:rsid w:val="00CB26B1"/>
    <w:rsid w:val="00CB2714"/>
    <w:rsid w:val="00CB2824"/>
    <w:rsid w:val="00CB2C75"/>
    <w:rsid w:val="00CB2F95"/>
    <w:rsid w:val="00CB30E7"/>
    <w:rsid w:val="00CB3270"/>
    <w:rsid w:val="00CB3426"/>
    <w:rsid w:val="00CB3454"/>
    <w:rsid w:val="00CB4DA4"/>
    <w:rsid w:val="00CB557A"/>
    <w:rsid w:val="00CB5DD1"/>
    <w:rsid w:val="00CB6108"/>
    <w:rsid w:val="00CB644A"/>
    <w:rsid w:val="00CB6807"/>
    <w:rsid w:val="00CB6A21"/>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5A86"/>
    <w:rsid w:val="00CC66D5"/>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4EE"/>
    <w:rsid w:val="00CD5589"/>
    <w:rsid w:val="00CD5CCC"/>
    <w:rsid w:val="00CD6B16"/>
    <w:rsid w:val="00CD6B5E"/>
    <w:rsid w:val="00CD7422"/>
    <w:rsid w:val="00CD7887"/>
    <w:rsid w:val="00CE08E5"/>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4846"/>
    <w:rsid w:val="00D056E9"/>
    <w:rsid w:val="00D05C6C"/>
    <w:rsid w:val="00D05CB6"/>
    <w:rsid w:val="00D06325"/>
    <w:rsid w:val="00D06B3C"/>
    <w:rsid w:val="00D07684"/>
    <w:rsid w:val="00D076A6"/>
    <w:rsid w:val="00D07F59"/>
    <w:rsid w:val="00D104B2"/>
    <w:rsid w:val="00D10986"/>
    <w:rsid w:val="00D109A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6D2A"/>
    <w:rsid w:val="00D175C7"/>
    <w:rsid w:val="00D17619"/>
    <w:rsid w:val="00D17E09"/>
    <w:rsid w:val="00D20886"/>
    <w:rsid w:val="00D21B66"/>
    <w:rsid w:val="00D225A4"/>
    <w:rsid w:val="00D22B9C"/>
    <w:rsid w:val="00D22E00"/>
    <w:rsid w:val="00D251E6"/>
    <w:rsid w:val="00D259B0"/>
    <w:rsid w:val="00D25CCC"/>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F8F"/>
    <w:rsid w:val="00D3544C"/>
    <w:rsid w:val="00D35640"/>
    <w:rsid w:val="00D3719F"/>
    <w:rsid w:val="00D371C8"/>
    <w:rsid w:val="00D4061B"/>
    <w:rsid w:val="00D4083E"/>
    <w:rsid w:val="00D40F15"/>
    <w:rsid w:val="00D411DD"/>
    <w:rsid w:val="00D431DA"/>
    <w:rsid w:val="00D43450"/>
    <w:rsid w:val="00D43D75"/>
    <w:rsid w:val="00D43F48"/>
    <w:rsid w:val="00D43F90"/>
    <w:rsid w:val="00D44156"/>
    <w:rsid w:val="00D44198"/>
    <w:rsid w:val="00D445B3"/>
    <w:rsid w:val="00D44C1D"/>
    <w:rsid w:val="00D453B5"/>
    <w:rsid w:val="00D45977"/>
    <w:rsid w:val="00D46DBF"/>
    <w:rsid w:val="00D46F26"/>
    <w:rsid w:val="00D4709A"/>
    <w:rsid w:val="00D47591"/>
    <w:rsid w:val="00D50F4A"/>
    <w:rsid w:val="00D51089"/>
    <w:rsid w:val="00D520D9"/>
    <w:rsid w:val="00D5228C"/>
    <w:rsid w:val="00D5267F"/>
    <w:rsid w:val="00D52D1F"/>
    <w:rsid w:val="00D52E06"/>
    <w:rsid w:val="00D53292"/>
    <w:rsid w:val="00D53650"/>
    <w:rsid w:val="00D540AD"/>
    <w:rsid w:val="00D54C85"/>
    <w:rsid w:val="00D553C7"/>
    <w:rsid w:val="00D5648F"/>
    <w:rsid w:val="00D5651D"/>
    <w:rsid w:val="00D57B21"/>
    <w:rsid w:val="00D57B9A"/>
    <w:rsid w:val="00D60190"/>
    <w:rsid w:val="00D602D3"/>
    <w:rsid w:val="00D605A5"/>
    <w:rsid w:val="00D606A0"/>
    <w:rsid w:val="00D60A2F"/>
    <w:rsid w:val="00D60DAB"/>
    <w:rsid w:val="00D612AE"/>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316"/>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7BDC"/>
    <w:rsid w:val="00D9096B"/>
    <w:rsid w:val="00D90D1C"/>
    <w:rsid w:val="00D90D5C"/>
    <w:rsid w:val="00D90ED4"/>
    <w:rsid w:val="00D90F48"/>
    <w:rsid w:val="00D90FF0"/>
    <w:rsid w:val="00D91327"/>
    <w:rsid w:val="00D91838"/>
    <w:rsid w:val="00D91E21"/>
    <w:rsid w:val="00D920E8"/>
    <w:rsid w:val="00D92722"/>
    <w:rsid w:val="00D92BF2"/>
    <w:rsid w:val="00D93295"/>
    <w:rsid w:val="00D9335B"/>
    <w:rsid w:val="00D93B6F"/>
    <w:rsid w:val="00D93DAF"/>
    <w:rsid w:val="00D93DC5"/>
    <w:rsid w:val="00D941AE"/>
    <w:rsid w:val="00D94381"/>
    <w:rsid w:val="00D94E5E"/>
    <w:rsid w:val="00D94F2C"/>
    <w:rsid w:val="00D9500C"/>
    <w:rsid w:val="00D96138"/>
    <w:rsid w:val="00D965AB"/>
    <w:rsid w:val="00D969C1"/>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AA3"/>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810"/>
    <w:rsid w:val="00DB3AA0"/>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1524"/>
    <w:rsid w:val="00DC17D7"/>
    <w:rsid w:val="00DC1889"/>
    <w:rsid w:val="00DC1CA3"/>
    <w:rsid w:val="00DC2A33"/>
    <w:rsid w:val="00DC3214"/>
    <w:rsid w:val="00DC3579"/>
    <w:rsid w:val="00DC3E0F"/>
    <w:rsid w:val="00DC43AE"/>
    <w:rsid w:val="00DC466F"/>
    <w:rsid w:val="00DC4841"/>
    <w:rsid w:val="00DC48C4"/>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1C45"/>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FC2"/>
    <w:rsid w:val="00DF3D62"/>
    <w:rsid w:val="00DF40B8"/>
    <w:rsid w:val="00DF48A8"/>
    <w:rsid w:val="00DF572E"/>
    <w:rsid w:val="00DF596A"/>
    <w:rsid w:val="00DF650F"/>
    <w:rsid w:val="00DF6BD1"/>
    <w:rsid w:val="00DF6DA6"/>
    <w:rsid w:val="00DF708D"/>
    <w:rsid w:val="00DF7EB8"/>
    <w:rsid w:val="00E0031E"/>
    <w:rsid w:val="00E00A61"/>
    <w:rsid w:val="00E00FD5"/>
    <w:rsid w:val="00E01956"/>
    <w:rsid w:val="00E02047"/>
    <w:rsid w:val="00E023E5"/>
    <w:rsid w:val="00E02837"/>
    <w:rsid w:val="00E0429B"/>
    <w:rsid w:val="00E0443C"/>
    <w:rsid w:val="00E04B0F"/>
    <w:rsid w:val="00E04B4F"/>
    <w:rsid w:val="00E061BA"/>
    <w:rsid w:val="00E06FD6"/>
    <w:rsid w:val="00E074C1"/>
    <w:rsid w:val="00E07B79"/>
    <w:rsid w:val="00E07CDC"/>
    <w:rsid w:val="00E07E4F"/>
    <w:rsid w:val="00E1006A"/>
    <w:rsid w:val="00E105B9"/>
    <w:rsid w:val="00E1079E"/>
    <w:rsid w:val="00E10F6A"/>
    <w:rsid w:val="00E112FA"/>
    <w:rsid w:val="00E12CED"/>
    <w:rsid w:val="00E133D5"/>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4F8"/>
    <w:rsid w:val="00E256F7"/>
    <w:rsid w:val="00E25995"/>
    <w:rsid w:val="00E25D57"/>
    <w:rsid w:val="00E26257"/>
    <w:rsid w:val="00E264AD"/>
    <w:rsid w:val="00E268A4"/>
    <w:rsid w:val="00E27074"/>
    <w:rsid w:val="00E273AF"/>
    <w:rsid w:val="00E27C73"/>
    <w:rsid w:val="00E27E1C"/>
    <w:rsid w:val="00E300F2"/>
    <w:rsid w:val="00E31966"/>
    <w:rsid w:val="00E3203D"/>
    <w:rsid w:val="00E32AE4"/>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8F7"/>
    <w:rsid w:val="00E43DB5"/>
    <w:rsid w:val="00E43E29"/>
    <w:rsid w:val="00E43EE5"/>
    <w:rsid w:val="00E441A9"/>
    <w:rsid w:val="00E44ACD"/>
    <w:rsid w:val="00E44CB9"/>
    <w:rsid w:val="00E45343"/>
    <w:rsid w:val="00E45B97"/>
    <w:rsid w:val="00E45E26"/>
    <w:rsid w:val="00E45F62"/>
    <w:rsid w:val="00E46852"/>
    <w:rsid w:val="00E46AB1"/>
    <w:rsid w:val="00E4775D"/>
    <w:rsid w:val="00E478A2"/>
    <w:rsid w:val="00E479FF"/>
    <w:rsid w:val="00E47B79"/>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E87"/>
    <w:rsid w:val="00E60DE1"/>
    <w:rsid w:val="00E60EA4"/>
    <w:rsid w:val="00E61076"/>
    <w:rsid w:val="00E61812"/>
    <w:rsid w:val="00E62CF0"/>
    <w:rsid w:val="00E62E5D"/>
    <w:rsid w:val="00E64937"/>
    <w:rsid w:val="00E65073"/>
    <w:rsid w:val="00E65C86"/>
    <w:rsid w:val="00E65E8C"/>
    <w:rsid w:val="00E66800"/>
    <w:rsid w:val="00E66D78"/>
    <w:rsid w:val="00E67196"/>
    <w:rsid w:val="00E673C1"/>
    <w:rsid w:val="00E67C5C"/>
    <w:rsid w:val="00E67E4D"/>
    <w:rsid w:val="00E67E55"/>
    <w:rsid w:val="00E67F88"/>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7D1D"/>
    <w:rsid w:val="00E8011B"/>
    <w:rsid w:val="00E801FE"/>
    <w:rsid w:val="00E80768"/>
    <w:rsid w:val="00E80E1E"/>
    <w:rsid w:val="00E82135"/>
    <w:rsid w:val="00E82532"/>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3832"/>
    <w:rsid w:val="00E94E89"/>
    <w:rsid w:val="00E94F0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7E2"/>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6B07"/>
    <w:rsid w:val="00EC774B"/>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72"/>
    <w:rsid w:val="00EE12E9"/>
    <w:rsid w:val="00EE13A7"/>
    <w:rsid w:val="00EE18F3"/>
    <w:rsid w:val="00EE2972"/>
    <w:rsid w:val="00EE2AD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C88"/>
    <w:rsid w:val="00F020E1"/>
    <w:rsid w:val="00F0221D"/>
    <w:rsid w:val="00F02DE5"/>
    <w:rsid w:val="00F0324F"/>
    <w:rsid w:val="00F03AA2"/>
    <w:rsid w:val="00F03EBA"/>
    <w:rsid w:val="00F043F9"/>
    <w:rsid w:val="00F046C5"/>
    <w:rsid w:val="00F04E02"/>
    <w:rsid w:val="00F05558"/>
    <w:rsid w:val="00F0595E"/>
    <w:rsid w:val="00F05A7B"/>
    <w:rsid w:val="00F05F59"/>
    <w:rsid w:val="00F06454"/>
    <w:rsid w:val="00F06CB2"/>
    <w:rsid w:val="00F06E72"/>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BA6"/>
    <w:rsid w:val="00F21CAF"/>
    <w:rsid w:val="00F223BD"/>
    <w:rsid w:val="00F223EA"/>
    <w:rsid w:val="00F2285E"/>
    <w:rsid w:val="00F22EE2"/>
    <w:rsid w:val="00F232DA"/>
    <w:rsid w:val="00F23558"/>
    <w:rsid w:val="00F23613"/>
    <w:rsid w:val="00F242C5"/>
    <w:rsid w:val="00F24874"/>
    <w:rsid w:val="00F24980"/>
    <w:rsid w:val="00F24B20"/>
    <w:rsid w:val="00F24EF6"/>
    <w:rsid w:val="00F257C8"/>
    <w:rsid w:val="00F25C36"/>
    <w:rsid w:val="00F26145"/>
    <w:rsid w:val="00F26345"/>
    <w:rsid w:val="00F2634C"/>
    <w:rsid w:val="00F26D6D"/>
    <w:rsid w:val="00F27ADF"/>
    <w:rsid w:val="00F27E08"/>
    <w:rsid w:val="00F30616"/>
    <w:rsid w:val="00F30B4A"/>
    <w:rsid w:val="00F30CBB"/>
    <w:rsid w:val="00F319F9"/>
    <w:rsid w:val="00F32AF9"/>
    <w:rsid w:val="00F33B96"/>
    <w:rsid w:val="00F346B1"/>
    <w:rsid w:val="00F3484E"/>
    <w:rsid w:val="00F34E84"/>
    <w:rsid w:val="00F34FB3"/>
    <w:rsid w:val="00F36323"/>
    <w:rsid w:val="00F36F16"/>
    <w:rsid w:val="00F37507"/>
    <w:rsid w:val="00F40042"/>
    <w:rsid w:val="00F415F2"/>
    <w:rsid w:val="00F41A00"/>
    <w:rsid w:val="00F42037"/>
    <w:rsid w:val="00F423F6"/>
    <w:rsid w:val="00F42415"/>
    <w:rsid w:val="00F424D3"/>
    <w:rsid w:val="00F4284C"/>
    <w:rsid w:val="00F43B41"/>
    <w:rsid w:val="00F443B0"/>
    <w:rsid w:val="00F444E7"/>
    <w:rsid w:val="00F447EA"/>
    <w:rsid w:val="00F44943"/>
    <w:rsid w:val="00F453DF"/>
    <w:rsid w:val="00F459D5"/>
    <w:rsid w:val="00F466CA"/>
    <w:rsid w:val="00F4737E"/>
    <w:rsid w:val="00F47D5F"/>
    <w:rsid w:val="00F47E5F"/>
    <w:rsid w:val="00F50623"/>
    <w:rsid w:val="00F508D7"/>
    <w:rsid w:val="00F511EE"/>
    <w:rsid w:val="00F51D28"/>
    <w:rsid w:val="00F51E4D"/>
    <w:rsid w:val="00F5232E"/>
    <w:rsid w:val="00F525A6"/>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70"/>
    <w:rsid w:val="00F60D88"/>
    <w:rsid w:val="00F60DC0"/>
    <w:rsid w:val="00F61248"/>
    <w:rsid w:val="00F61281"/>
    <w:rsid w:val="00F613C3"/>
    <w:rsid w:val="00F626F5"/>
    <w:rsid w:val="00F629DE"/>
    <w:rsid w:val="00F62BCC"/>
    <w:rsid w:val="00F638B4"/>
    <w:rsid w:val="00F6394E"/>
    <w:rsid w:val="00F643C2"/>
    <w:rsid w:val="00F64A0B"/>
    <w:rsid w:val="00F6557B"/>
    <w:rsid w:val="00F666B5"/>
    <w:rsid w:val="00F67275"/>
    <w:rsid w:val="00F67EF9"/>
    <w:rsid w:val="00F70DDB"/>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5B3D"/>
    <w:rsid w:val="00F7609A"/>
    <w:rsid w:val="00F76440"/>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6BE"/>
    <w:rsid w:val="00F8476D"/>
    <w:rsid w:val="00F85501"/>
    <w:rsid w:val="00F856DE"/>
    <w:rsid w:val="00F85851"/>
    <w:rsid w:val="00F86769"/>
    <w:rsid w:val="00F8676D"/>
    <w:rsid w:val="00F86C0F"/>
    <w:rsid w:val="00F86C16"/>
    <w:rsid w:val="00F8798B"/>
    <w:rsid w:val="00F9034D"/>
    <w:rsid w:val="00F90624"/>
    <w:rsid w:val="00F907AF"/>
    <w:rsid w:val="00F90E09"/>
    <w:rsid w:val="00F91CBC"/>
    <w:rsid w:val="00F91E36"/>
    <w:rsid w:val="00F922ED"/>
    <w:rsid w:val="00F93A0A"/>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460"/>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399"/>
    <w:rsid w:val="00FB6720"/>
    <w:rsid w:val="00FB6F0E"/>
    <w:rsid w:val="00FB7D67"/>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88B"/>
    <w:rsid w:val="00FC5B26"/>
    <w:rsid w:val="00FC5F5C"/>
    <w:rsid w:val="00FC6028"/>
    <w:rsid w:val="00FC635D"/>
    <w:rsid w:val="00FC64BB"/>
    <w:rsid w:val="00FC66B8"/>
    <w:rsid w:val="00FC6947"/>
    <w:rsid w:val="00FC6E6C"/>
    <w:rsid w:val="00FC6E74"/>
    <w:rsid w:val="00FC7186"/>
    <w:rsid w:val="00FC742F"/>
    <w:rsid w:val="00FC7959"/>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6754"/>
    <w:rsid w:val="00FD7318"/>
    <w:rsid w:val="00FD7407"/>
    <w:rsid w:val="00FD764D"/>
    <w:rsid w:val="00FD7B35"/>
    <w:rsid w:val="00FD7C6C"/>
    <w:rsid w:val="00FD7CDC"/>
    <w:rsid w:val="00FD7F20"/>
    <w:rsid w:val="00FE01A6"/>
    <w:rsid w:val="00FE02F8"/>
    <w:rsid w:val="00FE0BA6"/>
    <w:rsid w:val="00FE1445"/>
    <w:rsid w:val="00FE153E"/>
    <w:rsid w:val="00FE18EF"/>
    <w:rsid w:val="00FE1CE2"/>
    <w:rsid w:val="00FE1DFC"/>
    <w:rsid w:val="00FE1F56"/>
    <w:rsid w:val="00FE235B"/>
    <w:rsid w:val="00FE27FE"/>
    <w:rsid w:val="00FE2852"/>
    <w:rsid w:val="00FE2F5F"/>
    <w:rsid w:val="00FE2FED"/>
    <w:rsid w:val="00FE393B"/>
    <w:rsid w:val="00FE3D61"/>
    <w:rsid w:val="00FE4456"/>
    <w:rsid w:val="00FE4608"/>
    <w:rsid w:val="00FE4826"/>
    <w:rsid w:val="00FE5DD2"/>
    <w:rsid w:val="00FE5ED4"/>
    <w:rsid w:val="00FE6169"/>
    <w:rsid w:val="00FE66DF"/>
    <w:rsid w:val="00FE6845"/>
    <w:rsid w:val="00FE6AD1"/>
    <w:rsid w:val="00FE6B43"/>
    <w:rsid w:val="00FE713B"/>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customStyle="1" w:styleId="Mencinsinresolver5">
    <w:name w:val="Mención sin resolver5"/>
    <w:basedOn w:val="Fuentedeprrafopredeter"/>
    <w:uiPriority w:val="99"/>
    <w:semiHidden/>
    <w:unhideWhenUsed/>
    <w:rsid w:val="00F133A7"/>
    <w:rPr>
      <w:color w:val="605E5C"/>
      <w:shd w:val="clear" w:color="auto" w:fill="E1DFDD"/>
    </w:rPr>
  </w:style>
  <w:style w:type="character" w:customStyle="1" w:styleId="Mencinsinresolver6">
    <w:name w:val="Mención sin resolver6"/>
    <w:basedOn w:val="Fuentedeprrafopredeter"/>
    <w:uiPriority w:val="99"/>
    <w:semiHidden/>
    <w:unhideWhenUsed/>
    <w:rsid w:val="008B76DF"/>
    <w:rPr>
      <w:color w:val="605E5C"/>
      <w:shd w:val="clear" w:color="auto" w:fill="E1DFDD"/>
    </w:rPr>
  </w:style>
  <w:style w:type="character" w:styleId="Mencinsinresolver">
    <w:name w:val="Unresolved Mention"/>
    <w:basedOn w:val="Fuentedeprrafopredeter"/>
    <w:uiPriority w:val="99"/>
    <w:semiHidden/>
    <w:unhideWhenUsed/>
    <w:rsid w:val="00C07D38"/>
    <w:rPr>
      <w:color w:val="605E5C"/>
      <w:shd w:val="clear" w:color="auto" w:fill="E1DFDD"/>
    </w:rPr>
  </w:style>
  <w:style w:type="paragraph" w:customStyle="1" w:styleId="p01">
    <w:name w:val="p01"/>
    <w:basedOn w:val="Normal"/>
    <w:next w:val="p0"/>
    <w:rsid w:val="00E268A4"/>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29437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593927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4399074">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8242745">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yperlink" Target="https://www.inegi.org.mx/programas/inpc/2018/" TargetMode="Externa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inegi.org.mx/programas/inpc/2018/" TargetMode="Externa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2018'!$Q$202:$Z$202</c:f>
              <c:numCache>
                <c:formatCode>0.00</c:formatCode>
                <c:ptCount val="10"/>
                <c:pt idx="0">
                  <c:v>0.70786375795504064</c:v>
                </c:pt>
                <c:pt idx="1">
                  <c:v>0.40281222609701572</c:v>
                </c:pt>
                <c:pt idx="2">
                  <c:v>0.89410625246622022</c:v>
                </c:pt>
                <c:pt idx="3">
                  <c:v>-9.047122584203704E-2</c:v>
                </c:pt>
                <c:pt idx="4">
                  <c:v>0.38133162352780303</c:v>
                </c:pt>
                <c:pt idx="5">
                  <c:v>1.7001999755132058</c:v>
                </c:pt>
                <c:pt idx="6">
                  <c:v>0.53129276142280801</c:v>
                </c:pt>
                <c:pt idx="7">
                  <c:v>8.5420306736572194E-2</c:v>
                </c:pt>
                <c:pt idx="8">
                  <c:v>0.48426378688617433</c:v>
                </c:pt>
                <c:pt idx="9">
                  <c:v>0.85933138710179158</c:v>
                </c:pt>
              </c:numCache>
            </c:numRef>
          </c:val>
          <c:extLst>
            <c:ext xmlns:c16="http://schemas.microsoft.com/office/drawing/2014/chart" uri="{C3380CC4-5D6E-409C-BE32-E72D297353CC}">
              <c16:uniqueId val="{00000000-01FE-4D24-BAEE-4C6E6CDE3F0C}"/>
            </c:ext>
          </c:extLst>
        </c:ser>
        <c:dLbls>
          <c:dLblPos val="outEnd"/>
          <c:showLegendKey val="0"/>
          <c:showVal val="1"/>
          <c:showCatName val="0"/>
          <c:showSerName val="0"/>
          <c:showPercent val="0"/>
          <c:showBubbleSize val="0"/>
        </c:dLbls>
        <c:gapWidth val="40"/>
        <c:axId val="833571392"/>
        <c:axId val="833574136"/>
      </c:barChart>
      <c:catAx>
        <c:axId val="833571392"/>
        <c:scaling>
          <c:orientation val="minMax"/>
        </c:scaling>
        <c:delete val="0"/>
        <c:axPos val="b"/>
        <c:numFmt formatCode="General" sourceLinked="1"/>
        <c:majorTickMark val="cross"/>
        <c:minorTickMark val="none"/>
        <c:tickLblPos val="low"/>
        <c:spPr>
          <a:noFill/>
          <a:ln w="9525">
            <a:solidFill>
              <a:schemeClr val="tx1"/>
            </a:solidFill>
          </a:ln>
        </c:spPr>
        <c:crossAx val="833574136"/>
        <c:crosses val="autoZero"/>
        <c:auto val="1"/>
        <c:lblAlgn val="ctr"/>
        <c:lblOffset val="100"/>
        <c:noMultiLvlLbl val="0"/>
      </c:catAx>
      <c:valAx>
        <c:axId val="833574136"/>
        <c:scaling>
          <c:orientation val="minMax"/>
          <c:max val="1.8"/>
          <c:min val="-0.30000000000000004"/>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833571392"/>
        <c:crosses val="autoZero"/>
        <c:crossBetween val="between"/>
        <c:majorUnit val="0.30000000000000004"/>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2018'!$M$215</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2018'!$Q$217:$Z$217</c:f>
              <c:numCache>
                <c:formatCode>0.00</c:formatCode>
                <c:ptCount val="10"/>
                <c:pt idx="0">
                  <c:v>0.4480717903116993</c:v>
                </c:pt>
                <c:pt idx="1">
                  <c:v>0.42442127054125312</c:v>
                </c:pt>
                <c:pt idx="2">
                  <c:v>0.85245273992282655</c:v>
                </c:pt>
                <c:pt idx="3">
                  <c:v>-3.2961856346203078E-2</c:v>
                </c:pt>
                <c:pt idx="4">
                  <c:v>0.19297903446433562</c:v>
                </c:pt>
                <c:pt idx="5">
                  <c:v>0.57885547132727755</c:v>
                </c:pt>
                <c:pt idx="6">
                  <c:v>0.28375078234981199</c:v>
                </c:pt>
                <c:pt idx="7">
                  <c:v>0.19916879619303884</c:v>
                </c:pt>
                <c:pt idx="8">
                  <c:v>0.33</c:v>
                </c:pt>
                <c:pt idx="9">
                  <c:v>0.35885276966596269</c:v>
                </c:pt>
              </c:numCache>
            </c:numRef>
          </c:val>
          <c:extLst>
            <c:ext xmlns:c16="http://schemas.microsoft.com/office/drawing/2014/chart" uri="{C3380CC4-5D6E-409C-BE32-E72D297353CC}">
              <c16:uniqueId val="{00000000-69F4-489E-B7BE-4EE1EB0FB39A}"/>
            </c:ext>
          </c:extLst>
        </c:ser>
        <c:ser>
          <c:idx val="2"/>
          <c:order val="1"/>
          <c:tx>
            <c:strRef>
              <c:f>'Datos base 2q jul 2018'!$M$230</c:f>
              <c:strCache>
                <c:ptCount val="1"/>
                <c:pt idx="0">
                  <c:v>No Subyacente</c:v>
                </c:pt>
              </c:strCache>
            </c:strRef>
          </c:tx>
          <c:spPr>
            <a:pattFill prst="pct60">
              <a:fgClr>
                <a:srgbClr val="ABC674"/>
              </a:fgClr>
              <a:bgClr>
                <a:srgbClr val="FFFFFF"/>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2018'!$Q$232:$Z$232</c:f>
              <c:numCache>
                <c:formatCode>0.00</c:formatCode>
                <c:ptCount val="10"/>
                <c:pt idx="0">
                  <c:v>1.5524805171293732</c:v>
                </c:pt>
                <c:pt idx="1">
                  <c:v>0.33</c:v>
                </c:pt>
                <c:pt idx="2">
                  <c:v>1.0210643003625286</c:v>
                </c:pt>
                <c:pt idx="3">
                  <c:v>-0.26726213342299632</c:v>
                </c:pt>
                <c:pt idx="4">
                  <c:v>0.96</c:v>
                </c:pt>
                <c:pt idx="5">
                  <c:v>5.1428372813992596</c:v>
                </c:pt>
                <c:pt idx="6">
                  <c:v>1.2389929517832243</c:v>
                </c:pt>
                <c:pt idx="7">
                  <c:v>-0.24666804785034024</c:v>
                </c:pt>
                <c:pt idx="8">
                  <c:v>0.96</c:v>
                </c:pt>
                <c:pt idx="9">
                  <c:v>2.4036131910730729</c:v>
                </c:pt>
              </c:numCache>
            </c:numRef>
          </c:val>
          <c:extLst>
            <c:ext xmlns:c16="http://schemas.microsoft.com/office/drawing/2014/chart" uri="{C3380CC4-5D6E-409C-BE32-E72D297353CC}">
              <c16:uniqueId val="{00000001-69F4-489E-B7BE-4EE1EB0FB39A}"/>
            </c:ext>
          </c:extLst>
        </c:ser>
        <c:dLbls>
          <c:dLblPos val="outEnd"/>
          <c:showLegendKey val="0"/>
          <c:showVal val="1"/>
          <c:showCatName val="0"/>
          <c:showSerName val="0"/>
          <c:showPercent val="0"/>
          <c:showBubbleSize val="0"/>
        </c:dLbls>
        <c:gapWidth val="40"/>
        <c:overlap val="-10"/>
        <c:axId val="833574528"/>
        <c:axId val="833578840"/>
      </c:barChart>
      <c:catAx>
        <c:axId val="833574528"/>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833578840"/>
        <c:crosses val="autoZero"/>
        <c:auto val="1"/>
        <c:lblAlgn val="ctr"/>
        <c:lblOffset val="100"/>
        <c:noMultiLvlLbl val="0"/>
      </c:catAx>
      <c:valAx>
        <c:axId val="833578840"/>
        <c:scaling>
          <c:orientation val="minMax"/>
          <c:max val="6"/>
          <c:min val="-1"/>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833574528"/>
        <c:crosses val="autoZero"/>
        <c:crossBetween val="between"/>
        <c:majorUnit val="1"/>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2.3319479861481215E-3"/>
                  <c:y val="3.8657140870650519E-3"/>
                </c:manualLayout>
              </c:layout>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E4-4F4D-B4F5-531E079B9A2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2018'!$A$79:$B$187</c:f>
              <c:multiLvlStrCache>
                <c:ptCount val="109"/>
                <c:lvl>
                  <c:pt idx="0">
                    <c:v>Ene</c:v>
                  </c:pt>
                  <c:pt idx="1">
                    <c:v>Feb</c:v>
                  </c:pt>
                  <c:pt idx="2">
                    <c:v>Mar</c:v>
                  </c:pt>
                  <c:pt idx="3">
                    <c:v>Abr</c:v>
                  </c:pt>
                  <c:pt idx="4">
                    <c:v>May</c:v>
                  </c:pt>
                  <c:pt idx="5">
                    <c:v>Jun</c:v>
                  </c:pt>
                  <c:pt idx="6">
                    <c:v>Jul</c:v>
                  </c:pt>
                  <c:pt idx="7">
                    <c:v>Ago</c:v>
                  </c:pt>
                  <c:pt idx="8">
                    <c:v>Sep</c:v>
                  </c:pt>
                  <c:pt idx="9">
                    <c:v>Oct</c:v>
                  </c:pt>
                  <c:pt idx="10">
                    <c:v>Nov</c:v>
                  </c:pt>
                  <c:pt idx="11">
                    <c:v>Dic</c:v>
                  </c:pt>
                  <c:pt idx="12">
                    <c:v>Ene</c:v>
                  </c:pt>
                  <c:pt idx="13">
                    <c:v>Feb</c:v>
                  </c:pt>
                  <c:pt idx="14">
                    <c:v>Mar</c:v>
                  </c:pt>
                  <c:pt idx="15">
                    <c:v>Abr</c:v>
                  </c:pt>
                  <c:pt idx="16">
                    <c:v>May</c:v>
                  </c:pt>
                  <c:pt idx="17">
                    <c:v>Jun</c:v>
                  </c:pt>
                  <c:pt idx="18">
                    <c:v>Jul</c:v>
                  </c:pt>
                  <c:pt idx="19">
                    <c:v>Ago</c:v>
                  </c:pt>
                  <c:pt idx="20">
                    <c:v>Sep</c:v>
                  </c:pt>
                  <c:pt idx="21">
                    <c:v>Oct</c:v>
                  </c:pt>
                  <c:pt idx="22">
                    <c:v>Nov</c:v>
                  </c:pt>
                  <c:pt idx="23">
                    <c:v>Dic</c:v>
                  </c:pt>
                  <c:pt idx="24">
                    <c:v>Ene</c:v>
                  </c:pt>
                  <c:pt idx="25">
                    <c:v>Feb</c:v>
                  </c:pt>
                  <c:pt idx="26">
                    <c:v>Mar</c:v>
                  </c:pt>
                  <c:pt idx="27">
                    <c:v>Abr</c:v>
                  </c:pt>
                  <c:pt idx="28">
                    <c:v>May</c:v>
                  </c:pt>
                  <c:pt idx="29">
                    <c:v>Jun</c:v>
                  </c:pt>
                  <c:pt idx="30">
                    <c:v>Jul</c:v>
                  </c:pt>
                  <c:pt idx="31">
                    <c:v>Ago</c:v>
                  </c:pt>
                  <c:pt idx="32">
                    <c:v>Sep</c:v>
                  </c:pt>
                  <c:pt idx="33">
                    <c:v>Oct</c:v>
                  </c:pt>
                  <c:pt idx="34">
                    <c:v>Nov</c:v>
                  </c:pt>
                  <c:pt idx="35">
                    <c:v>Dic</c:v>
                  </c:pt>
                  <c:pt idx="36">
                    <c:v>Ene</c:v>
                  </c:pt>
                  <c:pt idx="37">
                    <c:v>Feb</c:v>
                  </c:pt>
                  <c:pt idx="38">
                    <c:v>Mar</c:v>
                  </c:pt>
                  <c:pt idx="39">
                    <c:v>Abr</c:v>
                  </c:pt>
                  <c:pt idx="40">
                    <c:v>May</c:v>
                  </c:pt>
                  <c:pt idx="41">
                    <c:v>Jun</c:v>
                  </c:pt>
                  <c:pt idx="42">
                    <c:v>Jul</c:v>
                  </c:pt>
                  <c:pt idx="43">
                    <c:v>Ago</c:v>
                  </c:pt>
                  <c:pt idx="44">
                    <c:v>Sep</c:v>
                  </c:pt>
                  <c:pt idx="45">
                    <c:v>Oct</c:v>
                  </c:pt>
                  <c:pt idx="46">
                    <c:v>Nov</c:v>
                  </c:pt>
                  <c:pt idx="47">
                    <c:v>Dic</c:v>
                  </c:pt>
                  <c:pt idx="48">
                    <c:v>Ene </c:v>
                  </c:pt>
                  <c:pt idx="49">
                    <c:v>Feb</c:v>
                  </c:pt>
                  <c:pt idx="50">
                    <c:v>Mar</c:v>
                  </c:pt>
                  <c:pt idx="51">
                    <c:v>Abr</c:v>
                  </c:pt>
                  <c:pt idx="52">
                    <c:v>May</c:v>
                  </c:pt>
                  <c:pt idx="53">
                    <c:v>Jun</c:v>
                  </c:pt>
                  <c:pt idx="54">
                    <c:v>Jul</c:v>
                  </c:pt>
                  <c:pt idx="55">
                    <c:v>Ago</c:v>
                  </c:pt>
                  <c:pt idx="56">
                    <c:v>Sep</c:v>
                  </c:pt>
                  <c:pt idx="57">
                    <c:v>Oct</c:v>
                  </c:pt>
                  <c:pt idx="58">
                    <c:v>Nov</c:v>
                  </c:pt>
                  <c:pt idx="59">
                    <c:v>Dic</c:v>
                  </c:pt>
                  <c:pt idx="60">
                    <c:v>Ene </c:v>
                  </c:pt>
                  <c:pt idx="61">
                    <c:v>Feb</c:v>
                  </c:pt>
                  <c:pt idx="62">
                    <c:v>Mar</c:v>
                  </c:pt>
                  <c:pt idx="63">
                    <c:v>Abr</c:v>
                  </c:pt>
                  <c:pt idx="64">
                    <c:v>May</c:v>
                  </c:pt>
                  <c:pt idx="65">
                    <c:v>Jun</c:v>
                  </c:pt>
                  <c:pt idx="66">
                    <c:v>Jul</c:v>
                  </c:pt>
                  <c:pt idx="67">
                    <c:v>Ago</c:v>
                  </c:pt>
                  <c:pt idx="68">
                    <c:v>Sep</c:v>
                  </c:pt>
                  <c:pt idx="69">
                    <c:v>Oct</c:v>
                  </c:pt>
                  <c:pt idx="70">
                    <c:v>Nov</c:v>
                  </c:pt>
                  <c:pt idx="71">
                    <c:v>Dic</c:v>
                  </c:pt>
                  <c:pt idx="72">
                    <c:v>Ene </c:v>
                  </c:pt>
                  <c:pt idx="73">
                    <c:v>Feb</c:v>
                  </c:pt>
                  <c:pt idx="74">
                    <c:v>Mar</c:v>
                  </c:pt>
                  <c:pt idx="75">
                    <c:v>Abr</c:v>
                  </c:pt>
                  <c:pt idx="76">
                    <c:v>May</c:v>
                  </c:pt>
                  <c:pt idx="77">
                    <c:v>Jun</c:v>
                  </c:pt>
                  <c:pt idx="78">
                    <c:v>Jul</c:v>
                  </c:pt>
                  <c:pt idx="79">
                    <c:v>Ago</c:v>
                  </c:pt>
                  <c:pt idx="80">
                    <c:v>Sep</c:v>
                  </c:pt>
                  <c:pt idx="81">
                    <c:v>Oct</c:v>
                  </c:pt>
                  <c:pt idx="82">
                    <c:v>Nov</c:v>
                  </c:pt>
                  <c:pt idx="83">
                    <c:v>Dic</c:v>
                  </c:pt>
                  <c:pt idx="84">
                    <c:v>Ene </c:v>
                  </c:pt>
                  <c:pt idx="85">
                    <c:v>Feb</c:v>
                  </c:pt>
                  <c:pt idx="86">
                    <c:v>Mar</c:v>
                  </c:pt>
                  <c:pt idx="87">
                    <c:v>Abr</c:v>
                  </c:pt>
                  <c:pt idx="88">
                    <c:v>May</c:v>
                  </c:pt>
                  <c:pt idx="89">
                    <c:v>Jun</c:v>
                  </c:pt>
                  <c:pt idx="90">
                    <c:v>Jul</c:v>
                  </c:pt>
                  <c:pt idx="91">
                    <c:v>Ago</c:v>
                  </c:pt>
                  <c:pt idx="92">
                    <c:v>Sep</c:v>
                  </c:pt>
                  <c:pt idx="93">
                    <c:v>Oct</c:v>
                  </c:pt>
                  <c:pt idx="94">
                    <c:v>Nov</c:v>
                  </c:pt>
                  <c:pt idx="95">
                    <c:v>Dic</c:v>
                  </c:pt>
                  <c:pt idx="96">
                    <c:v>Ene </c:v>
                  </c:pt>
                  <c:pt idx="97">
                    <c:v>Feb</c:v>
                  </c:pt>
                  <c:pt idx="98">
                    <c:v>Mar</c:v>
                  </c:pt>
                  <c:pt idx="99">
                    <c:v>Abr</c:v>
                  </c:pt>
                  <c:pt idx="100">
                    <c:v>May</c:v>
                  </c:pt>
                  <c:pt idx="101">
                    <c:v>Jun</c:v>
                  </c:pt>
                  <c:pt idx="102">
                    <c:v>Jul</c:v>
                  </c:pt>
                  <c:pt idx="103">
                    <c:v>Ago</c:v>
                  </c:pt>
                  <c:pt idx="104">
                    <c:v>Sep</c:v>
                  </c:pt>
                  <c:pt idx="105">
                    <c:v>Oct</c:v>
                  </c:pt>
                  <c:pt idx="106">
                    <c:v>Nov</c:v>
                  </c:pt>
                  <c:pt idx="107">
                    <c:v>Dic</c:v>
                  </c:pt>
                  <c:pt idx="108">
                    <c:v>Ene </c:v>
                  </c:pt>
                </c:lvl>
                <c:lvl>
                  <c:pt idx="0">
                    <c:v>2012</c:v>
                  </c:pt>
                  <c:pt idx="1">
                    <c:v>2012</c:v>
                  </c:pt>
                  <c:pt idx="2">
                    <c:v>2012</c:v>
                  </c:pt>
                  <c:pt idx="3">
                    <c:v>2012</c:v>
                  </c:pt>
                  <c:pt idx="4">
                    <c:v>2012</c:v>
                  </c:pt>
                  <c:pt idx="5">
                    <c:v>2012</c:v>
                  </c:pt>
                  <c:pt idx="6">
                    <c:v>2012</c:v>
                  </c:pt>
                  <c:pt idx="7">
                    <c:v>2012</c:v>
                  </c:pt>
                  <c:pt idx="8">
                    <c:v>2012</c:v>
                  </c:pt>
                  <c:pt idx="9">
                    <c:v>2012</c:v>
                  </c:pt>
                  <c:pt idx="10">
                    <c:v>2012</c:v>
                  </c:pt>
                  <c:pt idx="11">
                    <c:v>2012</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2015</c:v>
                  </c:pt>
                  <c:pt idx="37">
                    <c:v>2015</c:v>
                  </c:pt>
                  <c:pt idx="38">
                    <c:v>2015</c:v>
                  </c:pt>
                  <c:pt idx="39">
                    <c:v>2015</c:v>
                  </c:pt>
                  <c:pt idx="40">
                    <c:v>2015</c:v>
                  </c:pt>
                  <c:pt idx="41">
                    <c:v>2015</c:v>
                  </c:pt>
                  <c:pt idx="42">
                    <c:v>2015</c:v>
                  </c:pt>
                  <c:pt idx="43">
                    <c:v>2015</c:v>
                  </c:pt>
                  <c:pt idx="44">
                    <c:v>2015</c:v>
                  </c:pt>
                  <c:pt idx="45">
                    <c:v>2015</c:v>
                  </c:pt>
                  <c:pt idx="46">
                    <c:v>2015</c:v>
                  </c:pt>
                  <c:pt idx="47">
                    <c:v>2015</c:v>
                  </c:pt>
                  <c:pt idx="48">
                    <c:v>2016</c:v>
                  </c:pt>
                  <c:pt idx="49">
                    <c:v>2016</c:v>
                  </c:pt>
                  <c:pt idx="50">
                    <c:v>2016</c:v>
                  </c:pt>
                  <c:pt idx="51">
                    <c:v>2016</c:v>
                  </c:pt>
                  <c:pt idx="52">
                    <c:v>2016</c:v>
                  </c:pt>
                  <c:pt idx="53">
                    <c:v>2016</c:v>
                  </c:pt>
                  <c:pt idx="54">
                    <c:v>2016</c:v>
                  </c:pt>
                  <c:pt idx="55">
                    <c:v>2016</c:v>
                  </c:pt>
                  <c:pt idx="56">
                    <c:v>2016</c:v>
                  </c:pt>
                  <c:pt idx="57">
                    <c:v>2016</c:v>
                  </c:pt>
                  <c:pt idx="58">
                    <c:v>2016</c:v>
                  </c:pt>
                  <c:pt idx="59">
                    <c:v>2016</c:v>
                  </c:pt>
                  <c:pt idx="60">
                    <c:v>2017</c:v>
                  </c:pt>
                  <c:pt idx="61">
                    <c:v>2017</c:v>
                  </c:pt>
                  <c:pt idx="62">
                    <c:v>2017</c:v>
                  </c:pt>
                  <c:pt idx="63">
                    <c:v>2017</c:v>
                  </c:pt>
                  <c:pt idx="64">
                    <c:v>2017</c:v>
                  </c:pt>
                  <c:pt idx="65">
                    <c:v>2017</c:v>
                  </c:pt>
                  <c:pt idx="66">
                    <c:v>2017</c:v>
                  </c:pt>
                  <c:pt idx="67">
                    <c:v>2017</c:v>
                  </c:pt>
                  <c:pt idx="68">
                    <c:v>2017</c:v>
                  </c:pt>
                  <c:pt idx="69">
                    <c:v>2017</c:v>
                  </c:pt>
                  <c:pt idx="70">
                    <c:v>2017</c:v>
                  </c:pt>
                  <c:pt idx="71">
                    <c:v>2017</c:v>
                  </c:pt>
                  <c:pt idx="72">
                    <c:v>2018</c:v>
                  </c:pt>
                  <c:pt idx="73">
                    <c:v>2018</c:v>
                  </c:pt>
                  <c:pt idx="74">
                    <c:v>2018</c:v>
                  </c:pt>
                  <c:pt idx="75">
                    <c:v>2018</c:v>
                  </c:pt>
                  <c:pt idx="76">
                    <c:v>2018</c:v>
                  </c:pt>
                  <c:pt idx="77">
                    <c:v>2018</c:v>
                  </c:pt>
                  <c:pt idx="78">
                    <c:v>2018</c:v>
                  </c:pt>
                  <c:pt idx="79">
                    <c:v>2018</c:v>
                  </c:pt>
                  <c:pt idx="80">
                    <c:v>2018</c:v>
                  </c:pt>
                  <c:pt idx="81">
                    <c:v>2018</c:v>
                  </c:pt>
                  <c:pt idx="82">
                    <c:v>2018</c:v>
                  </c:pt>
                  <c:pt idx="83">
                    <c:v>2018</c:v>
                  </c:pt>
                  <c:pt idx="84">
                    <c:v>2019</c:v>
                  </c:pt>
                  <c:pt idx="85">
                    <c:v>2019</c:v>
                  </c:pt>
                  <c:pt idx="86">
                    <c:v>2019</c:v>
                  </c:pt>
                  <c:pt idx="87">
                    <c:v>2019</c:v>
                  </c:pt>
                  <c:pt idx="88">
                    <c:v>2019</c:v>
                  </c:pt>
                  <c:pt idx="89">
                    <c:v>2019</c:v>
                  </c:pt>
                  <c:pt idx="90">
                    <c:v>2019</c:v>
                  </c:pt>
                  <c:pt idx="91">
                    <c:v>2019</c:v>
                  </c:pt>
                  <c:pt idx="92">
                    <c:v>2019</c:v>
                  </c:pt>
                  <c:pt idx="93">
                    <c:v>2019</c:v>
                  </c:pt>
                  <c:pt idx="94">
                    <c:v>2019</c:v>
                  </c:pt>
                  <c:pt idx="95">
                    <c:v>2019</c:v>
                  </c:pt>
                  <c:pt idx="96">
                    <c:v>2020</c:v>
                  </c:pt>
                  <c:pt idx="97">
                    <c:v>2020</c:v>
                  </c:pt>
                  <c:pt idx="98">
                    <c:v>2020</c:v>
                  </c:pt>
                  <c:pt idx="99">
                    <c:v>2020</c:v>
                  </c:pt>
                  <c:pt idx="100">
                    <c:v>2020</c:v>
                  </c:pt>
                  <c:pt idx="101">
                    <c:v>2020</c:v>
                  </c:pt>
                  <c:pt idx="102">
                    <c:v>2020</c:v>
                  </c:pt>
                  <c:pt idx="103">
                    <c:v>2020</c:v>
                  </c:pt>
                  <c:pt idx="104">
                    <c:v>2020</c:v>
                  </c:pt>
                  <c:pt idx="105">
                    <c:v>2020</c:v>
                  </c:pt>
                  <c:pt idx="106">
                    <c:v>2020</c:v>
                  </c:pt>
                  <c:pt idx="107">
                    <c:v>2020</c:v>
                  </c:pt>
                  <c:pt idx="108">
                    <c:v>2021</c:v>
                  </c:pt>
                </c:lvl>
              </c:multiLvlStrCache>
            </c:multiLvlStrRef>
          </c:cat>
          <c:val>
            <c:numRef>
              <c:f>'Datos base 2q jul 2018'!$I$79:$I$187</c:f>
              <c:numCache>
                <c:formatCode>0.00</c:formatCode>
                <c:ptCount val="109"/>
                <c:pt idx="0">
                  <c:v>4.0467733567466455</c:v>
                </c:pt>
                <c:pt idx="1">
                  <c:v>3.8686334539382132</c:v>
                </c:pt>
                <c:pt idx="2">
                  <c:v>3.7292776570731734</c:v>
                </c:pt>
                <c:pt idx="3">
                  <c:v>3.4120786990644083</c:v>
                </c:pt>
                <c:pt idx="4">
                  <c:v>3.8512284349199053</c:v>
                </c:pt>
                <c:pt idx="5">
                  <c:v>4.3352225587509281</c:v>
                </c:pt>
                <c:pt idx="6">
                  <c:v>4.4199719461605227</c:v>
                </c:pt>
                <c:pt idx="7">
                  <c:v>4.5679380214540846</c:v>
                </c:pt>
                <c:pt idx="8">
                  <c:v>4.7717657316674353</c:v>
                </c:pt>
                <c:pt idx="9">
                  <c:v>4.5960947956853309</c:v>
                </c:pt>
                <c:pt idx="10">
                  <c:v>4.1798514220062986</c:v>
                </c:pt>
                <c:pt idx="11">
                  <c:v>3.5682900213421407</c:v>
                </c:pt>
                <c:pt idx="12">
                  <c:v>3.2545740477925587</c:v>
                </c:pt>
                <c:pt idx="13">
                  <c:v>3.5522890828357059</c:v>
                </c:pt>
                <c:pt idx="14">
                  <c:v>4.2522667278778643</c:v>
                </c:pt>
                <c:pt idx="15">
                  <c:v>4.649422420079059</c:v>
                </c:pt>
                <c:pt idx="16">
                  <c:v>4.6314208991424595</c:v>
                </c:pt>
                <c:pt idx="17">
                  <c:v>4.0880262124202291</c:v>
                </c:pt>
                <c:pt idx="18">
                  <c:v>3.4726191837201417</c:v>
                </c:pt>
                <c:pt idx="19">
                  <c:v>3.4565297922662892</c:v>
                </c:pt>
                <c:pt idx="20">
                  <c:v>3.390295338698551</c:v>
                </c:pt>
                <c:pt idx="21">
                  <c:v>3.3591147744594587</c:v>
                </c:pt>
                <c:pt idx="22">
                  <c:v>3.6186915887850466</c:v>
                </c:pt>
                <c:pt idx="23">
                  <c:v>3.974040989873723</c:v>
                </c:pt>
                <c:pt idx="24">
                  <c:v>4.4828098590241172</c:v>
                </c:pt>
                <c:pt idx="25">
                  <c:v>4.2344373798610366</c:v>
                </c:pt>
                <c:pt idx="26">
                  <c:v>3.7586466303370716</c:v>
                </c:pt>
                <c:pt idx="27">
                  <c:v>3.4967086565084369</c:v>
                </c:pt>
                <c:pt idx="28">
                  <c:v>3.5102243563208941</c:v>
                </c:pt>
                <c:pt idx="29">
                  <c:v>3.7525887063371495</c:v>
                </c:pt>
                <c:pt idx="30">
                  <c:v>4.0724065224797199</c:v>
                </c:pt>
                <c:pt idx="31">
                  <c:v>4.1499109421766818</c:v>
                </c:pt>
                <c:pt idx="32">
                  <c:v>4.2175837845748534</c:v>
                </c:pt>
                <c:pt idx="33">
                  <c:v>4.2977569004442557</c:v>
                </c:pt>
                <c:pt idx="34">
                  <c:v>4.1678692546359812</c:v>
                </c:pt>
                <c:pt idx="35">
                  <c:v>4.0813215195322616</c:v>
                </c:pt>
                <c:pt idx="36">
                  <c:v>3.06564152704324</c:v>
                </c:pt>
                <c:pt idx="37">
                  <c:v>3.0002659810266707</c:v>
                </c:pt>
                <c:pt idx="38">
                  <c:v>3.1370745983607202</c:v>
                </c:pt>
                <c:pt idx="39">
                  <c:v>3.0623272624193829</c:v>
                </c:pt>
                <c:pt idx="40">
                  <c:v>2.8766429390279602</c:v>
                </c:pt>
                <c:pt idx="41">
                  <c:v>2.8707794396834565</c:v>
                </c:pt>
                <c:pt idx="42">
                  <c:v>2.7390473494231591</c:v>
                </c:pt>
                <c:pt idx="43">
                  <c:v>2.5873164195419496</c:v>
                </c:pt>
                <c:pt idx="44">
                  <c:v>2.5188916876574323</c:v>
                </c:pt>
                <c:pt idx="45">
                  <c:v>2.479728373294678</c:v>
                </c:pt>
                <c:pt idx="46">
                  <c:v>2.2148528482245649</c:v>
                </c:pt>
                <c:pt idx="47">
                  <c:v>2.1308127762603513</c:v>
                </c:pt>
                <c:pt idx="48">
                  <c:v>2.6131051968884234</c:v>
                </c:pt>
                <c:pt idx="49">
                  <c:v>2.8672508478661238</c:v>
                </c:pt>
                <c:pt idx="50">
                  <c:v>2.6010098845233833</c:v>
                </c:pt>
                <c:pt idx="51">
                  <c:v>2.5415789247496594</c:v>
                </c:pt>
                <c:pt idx="52">
                  <c:v>2.5966621747693539</c:v>
                </c:pt>
                <c:pt idx="53">
                  <c:v>2.5379878921678647</c:v>
                </c:pt>
                <c:pt idx="54">
                  <c:v>2.6548291540369364</c:v>
                </c:pt>
                <c:pt idx="55">
                  <c:v>2.7274367765718939</c:v>
                </c:pt>
                <c:pt idx="56">
                  <c:v>2.9689493104127496</c:v>
                </c:pt>
                <c:pt idx="57">
                  <c:v>3.0636232007495217</c:v>
                </c:pt>
                <c:pt idx="58">
                  <c:v>3.3053510770768644</c:v>
                </c:pt>
                <c:pt idx="59">
                  <c:v>3.3602740188303559</c:v>
                </c:pt>
                <c:pt idx="60">
                  <c:v>4.7182814496066863</c:v>
                </c:pt>
                <c:pt idx="61">
                  <c:v>4.864231622107857</c:v>
                </c:pt>
                <c:pt idx="62">
                  <c:v>5.3525622279225669</c:v>
                </c:pt>
                <c:pt idx="63">
                  <c:v>5.8171698714187592</c:v>
                </c:pt>
                <c:pt idx="64">
                  <c:v>6.1640144817714893</c:v>
                </c:pt>
                <c:pt idx="65">
                  <c:v>6.3136558986047531</c:v>
                </c:pt>
                <c:pt idx="66">
                  <c:v>6.4381642633649552</c:v>
                </c:pt>
                <c:pt idx="67">
                  <c:v>6.6634880005353336</c:v>
                </c:pt>
                <c:pt idx="68">
                  <c:v>6.3478470530525177</c:v>
                </c:pt>
                <c:pt idx="69">
                  <c:v>6.3715322254084645</c:v>
                </c:pt>
                <c:pt idx="70">
                  <c:v>6.6345231359622225</c:v>
                </c:pt>
                <c:pt idx="71">
                  <c:v>6.773048198179799</c:v>
                </c:pt>
                <c:pt idx="72">
                  <c:v>5.5458354066678268</c:v>
                </c:pt>
                <c:pt idx="73">
                  <c:v>5.3392170318709091</c:v>
                </c:pt>
                <c:pt idx="74">
                  <c:v>5.0354120567544696</c:v>
                </c:pt>
                <c:pt idx="75">
                  <c:v>4.5507834159788176</c:v>
                </c:pt>
                <c:pt idx="76">
                  <c:v>4.5062692817092405</c:v>
                </c:pt>
                <c:pt idx="77">
                  <c:v>4.6468577938105033</c:v>
                </c:pt>
                <c:pt idx="78">
                  <c:v>4.8114055136106577</c:v>
                </c:pt>
                <c:pt idx="79">
                  <c:v>4.9045281971250159</c:v>
                </c:pt>
                <c:pt idx="80">
                  <c:v>5.0195736443805039</c:v>
                </c:pt>
                <c:pt idx="81">
                  <c:v>4.9036357279923948</c:v>
                </c:pt>
                <c:pt idx="82">
                  <c:v>4.7165339115991411</c:v>
                </c:pt>
                <c:pt idx="83">
                  <c:v>4.830546199536756</c:v>
                </c:pt>
                <c:pt idx="84">
                  <c:v>4.3656058642820295</c:v>
                </c:pt>
                <c:pt idx="85">
                  <c:v>3.9402756478725154</c:v>
                </c:pt>
                <c:pt idx="86">
                  <c:v>4.0041779576550196</c:v>
                </c:pt>
                <c:pt idx="87">
                  <c:v>4.4134533855607172</c:v>
                </c:pt>
                <c:pt idx="88">
                  <c:v>4.28199324596088</c:v>
                </c:pt>
                <c:pt idx="89">
                  <c:v>3.9471469134122472</c:v>
                </c:pt>
                <c:pt idx="90">
                  <c:v>3.7813381657405332</c:v>
                </c:pt>
                <c:pt idx="91">
                  <c:v>3.1624407913067643</c:v>
                </c:pt>
                <c:pt idx="92">
                  <c:v>2.9975128075547142</c:v>
                </c:pt>
                <c:pt idx="93">
                  <c:v>3.0195189274447864</c:v>
                </c:pt>
                <c:pt idx="94">
                  <c:v>2.9744973265691144</c:v>
                </c:pt>
                <c:pt idx="95">
                  <c:v>2.8285769753445988</c:v>
                </c:pt>
                <c:pt idx="96">
                  <c:v>3.2383520192419635</c:v>
                </c:pt>
                <c:pt idx="97">
                  <c:v>3.6961941811620269</c:v>
                </c:pt>
                <c:pt idx="98">
                  <c:v>3.249062584560658</c:v>
                </c:pt>
                <c:pt idx="99">
                  <c:v>2.1481488636253765</c:v>
                </c:pt>
                <c:pt idx="100">
                  <c:v>2.8372710276752588</c:v>
                </c:pt>
                <c:pt idx="101">
                  <c:v>3.3340109778410065</c:v>
                </c:pt>
                <c:pt idx="102">
                  <c:v>3.6234050556000374</c:v>
                </c:pt>
                <c:pt idx="103">
                  <c:v>4.0484228802932343</c:v>
                </c:pt>
                <c:pt idx="104">
                  <c:v>4.0137769140482282</c:v>
                </c:pt>
                <c:pt idx="105">
                  <c:v>4.0869640106025562</c:v>
                </c:pt>
                <c:pt idx="106">
                  <c:v>3.3318778121618209</c:v>
                </c:pt>
                <c:pt idx="107">
                  <c:v>3.1500745747352177</c:v>
                </c:pt>
                <c:pt idx="108">
                  <c:v>3.5350925812845713</c:v>
                </c:pt>
              </c:numCache>
            </c:numRef>
          </c:val>
          <c:smooth val="0"/>
          <c:extLst>
            <c:ext xmlns:c16="http://schemas.microsoft.com/office/drawing/2014/chart" uri="{C3380CC4-5D6E-409C-BE32-E72D297353CC}">
              <c16:uniqueId val="{00000001-65E4-4F4D-B4F5-531E079B9A27}"/>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2.4647867688589249E-3"/>
                  <c:y val="-1.30294032358991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E4-4F4D-B4F5-531E079B9A27}"/>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2018'!$A$79:$B$187</c:f>
              <c:multiLvlStrCache>
                <c:ptCount val="109"/>
                <c:lvl>
                  <c:pt idx="0">
                    <c:v>Ene</c:v>
                  </c:pt>
                  <c:pt idx="1">
                    <c:v>Feb</c:v>
                  </c:pt>
                  <c:pt idx="2">
                    <c:v>Mar</c:v>
                  </c:pt>
                  <c:pt idx="3">
                    <c:v>Abr</c:v>
                  </c:pt>
                  <c:pt idx="4">
                    <c:v>May</c:v>
                  </c:pt>
                  <c:pt idx="5">
                    <c:v>Jun</c:v>
                  </c:pt>
                  <c:pt idx="6">
                    <c:v>Jul</c:v>
                  </c:pt>
                  <c:pt idx="7">
                    <c:v>Ago</c:v>
                  </c:pt>
                  <c:pt idx="8">
                    <c:v>Sep</c:v>
                  </c:pt>
                  <c:pt idx="9">
                    <c:v>Oct</c:v>
                  </c:pt>
                  <c:pt idx="10">
                    <c:v>Nov</c:v>
                  </c:pt>
                  <c:pt idx="11">
                    <c:v>Dic</c:v>
                  </c:pt>
                  <c:pt idx="12">
                    <c:v>Ene</c:v>
                  </c:pt>
                  <c:pt idx="13">
                    <c:v>Feb</c:v>
                  </c:pt>
                  <c:pt idx="14">
                    <c:v>Mar</c:v>
                  </c:pt>
                  <c:pt idx="15">
                    <c:v>Abr</c:v>
                  </c:pt>
                  <c:pt idx="16">
                    <c:v>May</c:v>
                  </c:pt>
                  <c:pt idx="17">
                    <c:v>Jun</c:v>
                  </c:pt>
                  <c:pt idx="18">
                    <c:v>Jul</c:v>
                  </c:pt>
                  <c:pt idx="19">
                    <c:v>Ago</c:v>
                  </c:pt>
                  <c:pt idx="20">
                    <c:v>Sep</c:v>
                  </c:pt>
                  <c:pt idx="21">
                    <c:v>Oct</c:v>
                  </c:pt>
                  <c:pt idx="22">
                    <c:v>Nov</c:v>
                  </c:pt>
                  <c:pt idx="23">
                    <c:v>Dic</c:v>
                  </c:pt>
                  <c:pt idx="24">
                    <c:v>Ene</c:v>
                  </c:pt>
                  <c:pt idx="25">
                    <c:v>Feb</c:v>
                  </c:pt>
                  <c:pt idx="26">
                    <c:v>Mar</c:v>
                  </c:pt>
                  <c:pt idx="27">
                    <c:v>Abr</c:v>
                  </c:pt>
                  <c:pt idx="28">
                    <c:v>May</c:v>
                  </c:pt>
                  <c:pt idx="29">
                    <c:v>Jun</c:v>
                  </c:pt>
                  <c:pt idx="30">
                    <c:v>Jul</c:v>
                  </c:pt>
                  <c:pt idx="31">
                    <c:v>Ago</c:v>
                  </c:pt>
                  <c:pt idx="32">
                    <c:v>Sep</c:v>
                  </c:pt>
                  <c:pt idx="33">
                    <c:v>Oct</c:v>
                  </c:pt>
                  <c:pt idx="34">
                    <c:v>Nov</c:v>
                  </c:pt>
                  <c:pt idx="35">
                    <c:v>Dic</c:v>
                  </c:pt>
                  <c:pt idx="36">
                    <c:v>Ene</c:v>
                  </c:pt>
                  <c:pt idx="37">
                    <c:v>Feb</c:v>
                  </c:pt>
                  <c:pt idx="38">
                    <c:v>Mar</c:v>
                  </c:pt>
                  <c:pt idx="39">
                    <c:v>Abr</c:v>
                  </c:pt>
                  <c:pt idx="40">
                    <c:v>May</c:v>
                  </c:pt>
                  <c:pt idx="41">
                    <c:v>Jun</c:v>
                  </c:pt>
                  <c:pt idx="42">
                    <c:v>Jul</c:v>
                  </c:pt>
                  <c:pt idx="43">
                    <c:v>Ago</c:v>
                  </c:pt>
                  <c:pt idx="44">
                    <c:v>Sep</c:v>
                  </c:pt>
                  <c:pt idx="45">
                    <c:v>Oct</c:v>
                  </c:pt>
                  <c:pt idx="46">
                    <c:v>Nov</c:v>
                  </c:pt>
                  <c:pt idx="47">
                    <c:v>Dic</c:v>
                  </c:pt>
                  <c:pt idx="48">
                    <c:v>Ene </c:v>
                  </c:pt>
                  <c:pt idx="49">
                    <c:v>Feb</c:v>
                  </c:pt>
                  <c:pt idx="50">
                    <c:v>Mar</c:v>
                  </c:pt>
                  <c:pt idx="51">
                    <c:v>Abr</c:v>
                  </c:pt>
                  <c:pt idx="52">
                    <c:v>May</c:v>
                  </c:pt>
                  <c:pt idx="53">
                    <c:v>Jun</c:v>
                  </c:pt>
                  <c:pt idx="54">
                    <c:v>Jul</c:v>
                  </c:pt>
                  <c:pt idx="55">
                    <c:v>Ago</c:v>
                  </c:pt>
                  <c:pt idx="56">
                    <c:v>Sep</c:v>
                  </c:pt>
                  <c:pt idx="57">
                    <c:v>Oct</c:v>
                  </c:pt>
                  <c:pt idx="58">
                    <c:v>Nov</c:v>
                  </c:pt>
                  <c:pt idx="59">
                    <c:v>Dic</c:v>
                  </c:pt>
                  <c:pt idx="60">
                    <c:v>Ene </c:v>
                  </c:pt>
                  <c:pt idx="61">
                    <c:v>Feb</c:v>
                  </c:pt>
                  <c:pt idx="62">
                    <c:v>Mar</c:v>
                  </c:pt>
                  <c:pt idx="63">
                    <c:v>Abr</c:v>
                  </c:pt>
                  <c:pt idx="64">
                    <c:v>May</c:v>
                  </c:pt>
                  <c:pt idx="65">
                    <c:v>Jun</c:v>
                  </c:pt>
                  <c:pt idx="66">
                    <c:v>Jul</c:v>
                  </c:pt>
                  <c:pt idx="67">
                    <c:v>Ago</c:v>
                  </c:pt>
                  <c:pt idx="68">
                    <c:v>Sep</c:v>
                  </c:pt>
                  <c:pt idx="69">
                    <c:v>Oct</c:v>
                  </c:pt>
                  <c:pt idx="70">
                    <c:v>Nov</c:v>
                  </c:pt>
                  <c:pt idx="71">
                    <c:v>Dic</c:v>
                  </c:pt>
                  <c:pt idx="72">
                    <c:v>Ene </c:v>
                  </c:pt>
                  <c:pt idx="73">
                    <c:v>Feb</c:v>
                  </c:pt>
                  <c:pt idx="74">
                    <c:v>Mar</c:v>
                  </c:pt>
                  <c:pt idx="75">
                    <c:v>Abr</c:v>
                  </c:pt>
                  <c:pt idx="76">
                    <c:v>May</c:v>
                  </c:pt>
                  <c:pt idx="77">
                    <c:v>Jun</c:v>
                  </c:pt>
                  <c:pt idx="78">
                    <c:v>Jul</c:v>
                  </c:pt>
                  <c:pt idx="79">
                    <c:v>Ago</c:v>
                  </c:pt>
                  <c:pt idx="80">
                    <c:v>Sep</c:v>
                  </c:pt>
                  <c:pt idx="81">
                    <c:v>Oct</c:v>
                  </c:pt>
                  <c:pt idx="82">
                    <c:v>Nov</c:v>
                  </c:pt>
                  <c:pt idx="83">
                    <c:v>Dic</c:v>
                  </c:pt>
                  <c:pt idx="84">
                    <c:v>Ene </c:v>
                  </c:pt>
                  <c:pt idx="85">
                    <c:v>Feb</c:v>
                  </c:pt>
                  <c:pt idx="86">
                    <c:v>Mar</c:v>
                  </c:pt>
                  <c:pt idx="87">
                    <c:v>Abr</c:v>
                  </c:pt>
                  <c:pt idx="88">
                    <c:v>May</c:v>
                  </c:pt>
                  <c:pt idx="89">
                    <c:v>Jun</c:v>
                  </c:pt>
                  <c:pt idx="90">
                    <c:v>Jul</c:v>
                  </c:pt>
                  <c:pt idx="91">
                    <c:v>Ago</c:v>
                  </c:pt>
                  <c:pt idx="92">
                    <c:v>Sep</c:v>
                  </c:pt>
                  <c:pt idx="93">
                    <c:v>Oct</c:v>
                  </c:pt>
                  <c:pt idx="94">
                    <c:v>Nov</c:v>
                  </c:pt>
                  <c:pt idx="95">
                    <c:v>Dic</c:v>
                  </c:pt>
                  <c:pt idx="96">
                    <c:v>Ene </c:v>
                  </c:pt>
                  <c:pt idx="97">
                    <c:v>Feb</c:v>
                  </c:pt>
                  <c:pt idx="98">
                    <c:v>Mar</c:v>
                  </c:pt>
                  <c:pt idx="99">
                    <c:v>Abr</c:v>
                  </c:pt>
                  <c:pt idx="100">
                    <c:v>May</c:v>
                  </c:pt>
                  <c:pt idx="101">
                    <c:v>Jun</c:v>
                  </c:pt>
                  <c:pt idx="102">
                    <c:v>Jul</c:v>
                  </c:pt>
                  <c:pt idx="103">
                    <c:v>Ago</c:v>
                  </c:pt>
                  <c:pt idx="104">
                    <c:v>Sep</c:v>
                  </c:pt>
                  <c:pt idx="105">
                    <c:v>Oct</c:v>
                  </c:pt>
                  <c:pt idx="106">
                    <c:v>Nov</c:v>
                  </c:pt>
                  <c:pt idx="107">
                    <c:v>Dic</c:v>
                  </c:pt>
                  <c:pt idx="108">
                    <c:v>Ene </c:v>
                  </c:pt>
                </c:lvl>
                <c:lvl>
                  <c:pt idx="0">
                    <c:v>2012</c:v>
                  </c:pt>
                  <c:pt idx="1">
                    <c:v>2012</c:v>
                  </c:pt>
                  <c:pt idx="2">
                    <c:v>2012</c:v>
                  </c:pt>
                  <c:pt idx="3">
                    <c:v>2012</c:v>
                  </c:pt>
                  <c:pt idx="4">
                    <c:v>2012</c:v>
                  </c:pt>
                  <c:pt idx="5">
                    <c:v>2012</c:v>
                  </c:pt>
                  <c:pt idx="6">
                    <c:v>2012</c:v>
                  </c:pt>
                  <c:pt idx="7">
                    <c:v>2012</c:v>
                  </c:pt>
                  <c:pt idx="8">
                    <c:v>2012</c:v>
                  </c:pt>
                  <c:pt idx="9">
                    <c:v>2012</c:v>
                  </c:pt>
                  <c:pt idx="10">
                    <c:v>2012</c:v>
                  </c:pt>
                  <c:pt idx="11">
                    <c:v>2012</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2015</c:v>
                  </c:pt>
                  <c:pt idx="37">
                    <c:v>2015</c:v>
                  </c:pt>
                  <c:pt idx="38">
                    <c:v>2015</c:v>
                  </c:pt>
                  <c:pt idx="39">
                    <c:v>2015</c:v>
                  </c:pt>
                  <c:pt idx="40">
                    <c:v>2015</c:v>
                  </c:pt>
                  <c:pt idx="41">
                    <c:v>2015</c:v>
                  </c:pt>
                  <c:pt idx="42">
                    <c:v>2015</c:v>
                  </c:pt>
                  <c:pt idx="43">
                    <c:v>2015</c:v>
                  </c:pt>
                  <c:pt idx="44">
                    <c:v>2015</c:v>
                  </c:pt>
                  <c:pt idx="45">
                    <c:v>2015</c:v>
                  </c:pt>
                  <c:pt idx="46">
                    <c:v>2015</c:v>
                  </c:pt>
                  <c:pt idx="47">
                    <c:v>2015</c:v>
                  </c:pt>
                  <c:pt idx="48">
                    <c:v>2016</c:v>
                  </c:pt>
                  <c:pt idx="49">
                    <c:v>2016</c:v>
                  </c:pt>
                  <c:pt idx="50">
                    <c:v>2016</c:v>
                  </c:pt>
                  <c:pt idx="51">
                    <c:v>2016</c:v>
                  </c:pt>
                  <c:pt idx="52">
                    <c:v>2016</c:v>
                  </c:pt>
                  <c:pt idx="53">
                    <c:v>2016</c:v>
                  </c:pt>
                  <c:pt idx="54">
                    <c:v>2016</c:v>
                  </c:pt>
                  <c:pt idx="55">
                    <c:v>2016</c:v>
                  </c:pt>
                  <c:pt idx="56">
                    <c:v>2016</c:v>
                  </c:pt>
                  <c:pt idx="57">
                    <c:v>2016</c:v>
                  </c:pt>
                  <c:pt idx="58">
                    <c:v>2016</c:v>
                  </c:pt>
                  <c:pt idx="59">
                    <c:v>2016</c:v>
                  </c:pt>
                  <c:pt idx="60">
                    <c:v>2017</c:v>
                  </c:pt>
                  <c:pt idx="61">
                    <c:v>2017</c:v>
                  </c:pt>
                  <c:pt idx="62">
                    <c:v>2017</c:v>
                  </c:pt>
                  <c:pt idx="63">
                    <c:v>2017</c:v>
                  </c:pt>
                  <c:pt idx="64">
                    <c:v>2017</c:v>
                  </c:pt>
                  <c:pt idx="65">
                    <c:v>2017</c:v>
                  </c:pt>
                  <c:pt idx="66">
                    <c:v>2017</c:v>
                  </c:pt>
                  <c:pt idx="67">
                    <c:v>2017</c:v>
                  </c:pt>
                  <c:pt idx="68">
                    <c:v>2017</c:v>
                  </c:pt>
                  <c:pt idx="69">
                    <c:v>2017</c:v>
                  </c:pt>
                  <c:pt idx="70">
                    <c:v>2017</c:v>
                  </c:pt>
                  <c:pt idx="71">
                    <c:v>2017</c:v>
                  </c:pt>
                  <c:pt idx="72">
                    <c:v>2018</c:v>
                  </c:pt>
                  <c:pt idx="73">
                    <c:v>2018</c:v>
                  </c:pt>
                  <c:pt idx="74">
                    <c:v>2018</c:v>
                  </c:pt>
                  <c:pt idx="75">
                    <c:v>2018</c:v>
                  </c:pt>
                  <c:pt idx="76">
                    <c:v>2018</c:v>
                  </c:pt>
                  <c:pt idx="77">
                    <c:v>2018</c:v>
                  </c:pt>
                  <c:pt idx="78">
                    <c:v>2018</c:v>
                  </c:pt>
                  <c:pt idx="79">
                    <c:v>2018</c:v>
                  </c:pt>
                  <c:pt idx="80">
                    <c:v>2018</c:v>
                  </c:pt>
                  <c:pt idx="81">
                    <c:v>2018</c:v>
                  </c:pt>
                  <c:pt idx="82">
                    <c:v>2018</c:v>
                  </c:pt>
                  <c:pt idx="83">
                    <c:v>2018</c:v>
                  </c:pt>
                  <c:pt idx="84">
                    <c:v>2019</c:v>
                  </c:pt>
                  <c:pt idx="85">
                    <c:v>2019</c:v>
                  </c:pt>
                  <c:pt idx="86">
                    <c:v>2019</c:v>
                  </c:pt>
                  <c:pt idx="87">
                    <c:v>2019</c:v>
                  </c:pt>
                  <c:pt idx="88">
                    <c:v>2019</c:v>
                  </c:pt>
                  <c:pt idx="89">
                    <c:v>2019</c:v>
                  </c:pt>
                  <c:pt idx="90">
                    <c:v>2019</c:v>
                  </c:pt>
                  <c:pt idx="91">
                    <c:v>2019</c:v>
                  </c:pt>
                  <c:pt idx="92">
                    <c:v>2019</c:v>
                  </c:pt>
                  <c:pt idx="93">
                    <c:v>2019</c:v>
                  </c:pt>
                  <c:pt idx="94">
                    <c:v>2019</c:v>
                  </c:pt>
                  <c:pt idx="95">
                    <c:v>2019</c:v>
                  </c:pt>
                  <c:pt idx="96">
                    <c:v>2020</c:v>
                  </c:pt>
                  <c:pt idx="97">
                    <c:v>2020</c:v>
                  </c:pt>
                  <c:pt idx="98">
                    <c:v>2020</c:v>
                  </c:pt>
                  <c:pt idx="99">
                    <c:v>2020</c:v>
                  </c:pt>
                  <c:pt idx="100">
                    <c:v>2020</c:v>
                  </c:pt>
                  <c:pt idx="101">
                    <c:v>2020</c:v>
                  </c:pt>
                  <c:pt idx="102">
                    <c:v>2020</c:v>
                  </c:pt>
                  <c:pt idx="103">
                    <c:v>2020</c:v>
                  </c:pt>
                  <c:pt idx="104">
                    <c:v>2020</c:v>
                  </c:pt>
                  <c:pt idx="105">
                    <c:v>2020</c:v>
                  </c:pt>
                  <c:pt idx="106">
                    <c:v>2020</c:v>
                  </c:pt>
                  <c:pt idx="107">
                    <c:v>2020</c:v>
                  </c:pt>
                  <c:pt idx="108">
                    <c:v>2021</c:v>
                  </c:pt>
                </c:lvl>
              </c:multiLvlStrCache>
            </c:multiLvlStrRef>
          </c:cat>
          <c:val>
            <c:numRef>
              <c:f>'Datos base 2q jul 2018'!$J$79:$J$187</c:f>
              <c:numCache>
                <c:formatCode>0.00</c:formatCode>
                <c:ptCount val="109"/>
                <c:pt idx="0">
                  <c:v>3.3436930809268399</c:v>
                </c:pt>
                <c:pt idx="1">
                  <c:v>3.3671046021780144</c:v>
                </c:pt>
                <c:pt idx="2">
                  <c:v>3.3113498039227229</c:v>
                </c:pt>
                <c:pt idx="3">
                  <c:v>3.3889839670201529</c:v>
                </c:pt>
                <c:pt idx="4">
                  <c:v>3.4793422084359085</c:v>
                </c:pt>
                <c:pt idx="5">
                  <c:v>3.5024590654229684</c:v>
                </c:pt>
                <c:pt idx="6">
                  <c:v>3.5920821039862001</c:v>
                </c:pt>
                <c:pt idx="7">
                  <c:v>3.7002444070869589</c:v>
                </c:pt>
                <c:pt idx="8">
                  <c:v>3.6082675568587601</c:v>
                </c:pt>
                <c:pt idx="9">
                  <c:v>3.5757597306912232</c:v>
                </c:pt>
                <c:pt idx="10">
                  <c:v>3.2959752573821817</c:v>
                </c:pt>
                <c:pt idx="11">
                  <c:v>2.900125067472791</c:v>
                </c:pt>
                <c:pt idx="12">
                  <c:v>2.8758972112390766</c:v>
                </c:pt>
                <c:pt idx="13">
                  <c:v>2.9616309791473272</c:v>
                </c:pt>
                <c:pt idx="14">
                  <c:v>3.0196390513881881</c:v>
                </c:pt>
                <c:pt idx="15">
                  <c:v>2.9470356969381024</c:v>
                </c:pt>
                <c:pt idx="16">
                  <c:v>2.877045105571669</c:v>
                </c:pt>
                <c:pt idx="17">
                  <c:v>2.7872047408431238</c:v>
                </c:pt>
                <c:pt idx="18">
                  <c:v>2.5028703370876233</c:v>
                </c:pt>
                <c:pt idx="19">
                  <c:v>2.3658177804721046</c:v>
                </c:pt>
                <c:pt idx="20">
                  <c:v>2.515920717630256</c:v>
                </c:pt>
                <c:pt idx="21">
                  <c:v>2.4794464775631813</c:v>
                </c:pt>
                <c:pt idx="22">
                  <c:v>2.5649870805356052</c:v>
                </c:pt>
                <c:pt idx="23">
                  <c:v>2.7768966976377301</c:v>
                </c:pt>
                <c:pt idx="24">
                  <c:v>3.2149549463724112</c:v>
                </c:pt>
                <c:pt idx="25">
                  <c:v>2.9815992803587128</c:v>
                </c:pt>
                <c:pt idx="26">
                  <c:v>2.8932252163082919</c:v>
                </c:pt>
                <c:pt idx="27">
                  <c:v>3.1101473946244109</c:v>
                </c:pt>
                <c:pt idx="28">
                  <c:v>3.0035274507757586</c:v>
                </c:pt>
                <c:pt idx="29">
                  <c:v>3.0900897382228592</c:v>
                </c:pt>
                <c:pt idx="30">
                  <c:v>3.2487794255958073</c:v>
                </c:pt>
                <c:pt idx="31">
                  <c:v>3.3745783859321801</c:v>
                </c:pt>
                <c:pt idx="32">
                  <c:v>3.3426914882561221</c:v>
                </c:pt>
                <c:pt idx="33">
                  <c:v>3.3163350058599472</c:v>
                </c:pt>
                <c:pt idx="34">
                  <c:v>3.3433053168902909</c:v>
                </c:pt>
                <c:pt idx="35">
                  <c:v>3.2448177346399127</c:v>
                </c:pt>
                <c:pt idx="36">
                  <c:v>2.3383998327657349</c:v>
                </c:pt>
                <c:pt idx="37">
                  <c:v>2.3979106641053143</c:v>
                </c:pt>
                <c:pt idx="38">
                  <c:v>2.4463932612693524</c:v>
                </c:pt>
                <c:pt idx="39">
                  <c:v>2.3081554852986721</c:v>
                </c:pt>
                <c:pt idx="40">
                  <c:v>2.3305900684862193</c:v>
                </c:pt>
                <c:pt idx="41">
                  <c:v>2.3269537481242435</c:v>
                </c:pt>
                <c:pt idx="42">
                  <c:v>2.3112445832250934</c:v>
                </c:pt>
                <c:pt idx="43">
                  <c:v>2.2994746549221601</c:v>
                </c:pt>
                <c:pt idx="44">
                  <c:v>2.3789168680112285</c:v>
                </c:pt>
                <c:pt idx="45">
                  <c:v>2.4656820691800654</c:v>
                </c:pt>
                <c:pt idx="46">
                  <c:v>2.3365787531201514</c:v>
                </c:pt>
                <c:pt idx="47">
                  <c:v>2.4119558744003973</c:v>
                </c:pt>
                <c:pt idx="48">
                  <c:v>2.6434226555474014</c:v>
                </c:pt>
                <c:pt idx="49">
                  <c:v>2.6623814836084652</c:v>
                </c:pt>
                <c:pt idx="50">
                  <c:v>2.760648466857702</c:v>
                </c:pt>
                <c:pt idx="51">
                  <c:v>2.827165397588026</c:v>
                </c:pt>
                <c:pt idx="52">
                  <c:v>2.9277923611219818</c:v>
                </c:pt>
                <c:pt idx="53">
                  <c:v>2.9744353574629447</c:v>
                </c:pt>
                <c:pt idx="54">
                  <c:v>2.9725376004903468</c:v>
                </c:pt>
                <c:pt idx="55">
                  <c:v>2.9609191830223178</c:v>
                </c:pt>
                <c:pt idx="56">
                  <c:v>3.0690587086750285</c:v>
                </c:pt>
                <c:pt idx="57">
                  <c:v>3.0980049382589616</c:v>
                </c:pt>
                <c:pt idx="58">
                  <c:v>3.2930623557082486</c:v>
                </c:pt>
                <c:pt idx="59">
                  <c:v>3.4373659982048181</c:v>
                </c:pt>
                <c:pt idx="60">
                  <c:v>3.8357376467426549</c:v>
                </c:pt>
                <c:pt idx="61">
                  <c:v>4.2555046474677471</c:v>
                </c:pt>
                <c:pt idx="62">
                  <c:v>4.4783374612475164</c:v>
                </c:pt>
                <c:pt idx="63">
                  <c:v>4.7173262046135154</c:v>
                </c:pt>
                <c:pt idx="64">
                  <c:v>4.7815776448548775</c:v>
                </c:pt>
                <c:pt idx="65">
                  <c:v>4.8338438131124217</c:v>
                </c:pt>
                <c:pt idx="66">
                  <c:v>4.935516841380946</c:v>
                </c:pt>
                <c:pt idx="67">
                  <c:v>5.0029580594435865</c:v>
                </c:pt>
                <c:pt idx="68">
                  <c:v>4.8001484368885379</c:v>
                </c:pt>
                <c:pt idx="69">
                  <c:v>4.7718024040299234</c:v>
                </c:pt>
                <c:pt idx="70">
                  <c:v>4.8971034253443557</c:v>
                </c:pt>
                <c:pt idx="71">
                  <c:v>4.868778362354127</c:v>
                </c:pt>
                <c:pt idx="72">
                  <c:v>4.5610867697520128</c:v>
                </c:pt>
                <c:pt idx="73">
                  <c:v>4.2746628168778127</c:v>
                </c:pt>
                <c:pt idx="74">
                  <c:v>4.0228686863965315</c:v>
                </c:pt>
                <c:pt idx="75">
                  <c:v>3.7095644217896755</c:v>
                </c:pt>
                <c:pt idx="76">
                  <c:v>3.6906558377127872</c:v>
                </c:pt>
                <c:pt idx="77">
                  <c:v>3.6152923643841275</c:v>
                </c:pt>
                <c:pt idx="78">
                  <c:v>3.6349156535127221</c:v>
                </c:pt>
                <c:pt idx="79">
                  <c:v>3.6268947226102743</c:v>
                </c:pt>
                <c:pt idx="80">
                  <c:v>3.6697723796647042</c:v>
                </c:pt>
                <c:pt idx="81">
                  <c:v>3.7294081492161624</c:v>
                </c:pt>
                <c:pt idx="82">
                  <c:v>3.6336719347377811</c:v>
                </c:pt>
                <c:pt idx="83">
                  <c:v>3.6830818113137154</c:v>
                </c:pt>
                <c:pt idx="84">
                  <c:v>3.5956327388364739</c:v>
                </c:pt>
                <c:pt idx="85">
                  <c:v>3.5373492702235998</c:v>
                </c:pt>
                <c:pt idx="86">
                  <c:v>3.5522683456014059</c:v>
                </c:pt>
                <c:pt idx="87">
                  <c:v>3.8709212669734594</c:v>
                </c:pt>
                <c:pt idx="88">
                  <c:v>3.7745907093303721</c:v>
                </c:pt>
                <c:pt idx="89">
                  <c:v>3.8492317375587115</c:v>
                </c:pt>
                <c:pt idx="90">
                  <c:v>3.8210955621749809</c:v>
                </c:pt>
                <c:pt idx="91">
                  <c:v>3.7767203638696234</c:v>
                </c:pt>
                <c:pt idx="92">
                  <c:v>3.7497990358150046</c:v>
                </c:pt>
                <c:pt idx="93">
                  <c:v>3.6838383356078586</c:v>
                </c:pt>
                <c:pt idx="94">
                  <c:v>3.6529927423974762</c:v>
                </c:pt>
                <c:pt idx="95">
                  <c:v>3.5946407097393385</c:v>
                </c:pt>
                <c:pt idx="96">
                  <c:v>3.725708133157446</c:v>
                </c:pt>
                <c:pt idx="97">
                  <c:v>3.6555222096642526</c:v>
                </c:pt>
                <c:pt idx="98">
                  <c:v>3.6030403255272292</c:v>
                </c:pt>
                <c:pt idx="99">
                  <c:v>3.5040766537671963</c:v>
                </c:pt>
                <c:pt idx="100">
                  <c:v>3.6427379565861173</c:v>
                </c:pt>
                <c:pt idx="101">
                  <c:v>3.7096521911010427</c:v>
                </c:pt>
                <c:pt idx="102">
                  <c:v>3.8504915694710373</c:v>
                </c:pt>
                <c:pt idx="103">
                  <c:v>3.9676929388034798</c:v>
                </c:pt>
                <c:pt idx="104">
                  <c:v>3.9869625653070173</c:v>
                </c:pt>
                <c:pt idx="105">
                  <c:v>3.9790766170676672</c:v>
                </c:pt>
                <c:pt idx="106">
                  <c:v>3.6620739666424873</c:v>
                </c:pt>
                <c:pt idx="107">
                  <c:v>3.8039036813197313</c:v>
                </c:pt>
                <c:pt idx="108">
                  <c:v>3.8379571308144733</c:v>
                </c:pt>
              </c:numCache>
            </c:numRef>
          </c:val>
          <c:smooth val="0"/>
          <c:extLst>
            <c:ext xmlns:c16="http://schemas.microsoft.com/office/drawing/2014/chart" uri="{C3380CC4-5D6E-409C-BE32-E72D297353CC}">
              <c16:uniqueId val="{00000003-65E4-4F4D-B4F5-531E079B9A27}"/>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2.3319479861481215E-3"/>
                  <c:y val="3.8657140870650519E-3"/>
                </c:manualLayout>
              </c:layout>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E4-4F4D-B4F5-531E079B9A2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2018'!$A$79:$B$187</c:f>
              <c:multiLvlStrCache>
                <c:ptCount val="109"/>
                <c:lvl>
                  <c:pt idx="0">
                    <c:v>Ene</c:v>
                  </c:pt>
                  <c:pt idx="1">
                    <c:v>Feb</c:v>
                  </c:pt>
                  <c:pt idx="2">
                    <c:v>Mar</c:v>
                  </c:pt>
                  <c:pt idx="3">
                    <c:v>Abr</c:v>
                  </c:pt>
                  <c:pt idx="4">
                    <c:v>May</c:v>
                  </c:pt>
                  <c:pt idx="5">
                    <c:v>Jun</c:v>
                  </c:pt>
                  <c:pt idx="6">
                    <c:v>Jul</c:v>
                  </c:pt>
                  <c:pt idx="7">
                    <c:v>Ago</c:v>
                  </c:pt>
                  <c:pt idx="8">
                    <c:v>Sep</c:v>
                  </c:pt>
                  <c:pt idx="9">
                    <c:v>Oct</c:v>
                  </c:pt>
                  <c:pt idx="10">
                    <c:v>Nov</c:v>
                  </c:pt>
                  <c:pt idx="11">
                    <c:v>Dic</c:v>
                  </c:pt>
                  <c:pt idx="12">
                    <c:v>Ene</c:v>
                  </c:pt>
                  <c:pt idx="13">
                    <c:v>Feb</c:v>
                  </c:pt>
                  <c:pt idx="14">
                    <c:v>Mar</c:v>
                  </c:pt>
                  <c:pt idx="15">
                    <c:v>Abr</c:v>
                  </c:pt>
                  <c:pt idx="16">
                    <c:v>May</c:v>
                  </c:pt>
                  <c:pt idx="17">
                    <c:v>Jun</c:v>
                  </c:pt>
                  <c:pt idx="18">
                    <c:v>Jul</c:v>
                  </c:pt>
                  <c:pt idx="19">
                    <c:v>Ago</c:v>
                  </c:pt>
                  <c:pt idx="20">
                    <c:v>Sep</c:v>
                  </c:pt>
                  <c:pt idx="21">
                    <c:v>Oct</c:v>
                  </c:pt>
                  <c:pt idx="22">
                    <c:v>Nov</c:v>
                  </c:pt>
                  <c:pt idx="23">
                    <c:v>Dic</c:v>
                  </c:pt>
                  <c:pt idx="24">
                    <c:v>Ene</c:v>
                  </c:pt>
                  <c:pt idx="25">
                    <c:v>Feb</c:v>
                  </c:pt>
                  <c:pt idx="26">
                    <c:v>Mar</c:v>
                  </c:pt>
                  <c:pt idx="27">
                    <c:v>Abr</c:v>
                  </c:pt>
                  <c:pt idx="28">
                    <c:v>May</c:v>
                  </c:pt>
                  <c:pt idx="29">
                    <c:v>Jun</c:v>
                  </c:pt>
                  <c:pt idx="30">
                    <c:v>Jul</c:v>
                  </c:pt>
                  <c:pt idx="31">
                    <c:v>Ago</c:v>
                  </c:pt>
                  <c:pt idx="32">
                    <c:v>Sep</c:v>
                  </c:pt>
                  <c:pt idx="33">
                    <c:v>Oct</c:v>
                  </c:pt>
                  <c:pt idx="34">
                    <c:v>Nov</c:v>
                  </c:pt>
                  <c:pt idx="35">
                    <c:v>Dic</c:v>
                  </c:pt>
                  <c:pt idx="36">
                    <c:v>Ene</c:v>
                  </c:pt>
                  <c:pt idx="37">
                    <c:v>Feb</c:v>
                  </c:pt>
                  <c:pt idx="38">
                    <c:v>Mar</c:v>
                  </c:pt>
                  <c:pt idx="39">
                    <c:v>Abr</c:v>
                  </c:pt>
                  <c:pt idx="40">
                    <c:v>May</c:v>
                  </c:pt>
                  <c:pt idx="41">
                    <c:v>Jun</c:v>
                  </c:pt>
                  <c:pt idx="42">
                    <c:v>Jul</c:v>
                  </c:pt>
                  <c:pt idx="43">
                    <c:v>Ago</c:v>
                  </c:pt>
                  <c:pt idx="44">
                    <c:v>Sep</c:v>
                  </c:pt>
                  <c:pt idx="45">
                    <c:v>Oct</c:v>
                  </c:pt>
                  <c:pt idx="46">
                    <c:v>Nov</c:v>
                  </c:pt>
                  <c:pt idx="47">
                    <c:v>Dic</c:v>
                  </c:pt>
                  <c:pt idx="48">
                    <c:v>Ene </c:v>
                  </c:pt>
                  <c:pt idx="49">
                    <c:v>Feb</c:v>
                  </c:pt>
                  <c:pt idx="50">
                    <c:v>Mar</c:v>
                  </c:pt>
                  <c:pt idx="51">
                    <c:v>Abr</c:v>
                  </c:pt>
                  <c:pt idx="52">
                    <c:v>May</c:v>
                  </c:pt>
                  <c:pt idx="53">
                    <c:v>Jun</c:v>
                  </c:pt>
                  <c:pt idx="54">
                    <c:v>Jul</c:v>
                  </c:pt>
                  <c:pt idx="55">
                    <c:v>Ago</c:v>
                  </c:pt>
                  <c:pt idx="56">
                    <c:v>Sep</c:v>
                  </c:pt>
                  <c:pt idx="57">
                    <c:v>Oct</c:v>
                  </c:pt>
                  <c:pt idx="58">
                    <c:v>Nov</c:v>
                  </c:pt>
                  <c:pt idx="59">
                    <c:v>Dic</c:v>
                  </c:pt>
                  <c:pt idx="60">
                    <c:v>Ene </c:v>
                  </c:pt>
                  <c:pt idx="61">
                    <c:v>Feb</c:v>
                  </c:pt>
                  <c:pt idx="62">
                    <c:v>Mar</c:v>
                  </c:pt>
                  <c:pt idx="63">
                    <c:v>Abr</c:v>
                  </c:pt>
                  <c:pt idx="64">
                    <c:v>May</c:v>
                  </c:pt>
                  <c:pt idx="65">
                    <c:v>Jun</c:v>
                  </c:pt>
                  <c:pt idx="66">
                    <c:v>Jul</c:v>
                  </c:pt>
                  <c:pt idx="67">
                    <c:v>Ago</c:v>
                  </c:pt>
                  <c:pt idx="68">
                    <c:v>Sep</c:v>
                  </c:pt>
                  <c:pt idx="69">
                    <c:v>Oct</c:v>
                  </c:pt>
                  <c:pt idx="70">
                    <c:v>Nov</c:v>
                  </c:pt>
                  <c:pt idx="71">
                    <c:v>Dic</c:v>
                  </c:pt>
                  <c:pt idx="72">
                    <c:v>Ene </c:v>
                  </c:pt>
                  <c:pt idx="73">
                    <c:v>Feb</c:v>
                  </c:pt>
                  <c:pt idx="74">
                    <c:v>Mar</c:v>
                  </c:pt>
                  <c:pt idx="75">
                    <c:v>Abr</c:v>
                  </c:pt>
                  <c:pt idx="76">
                    <c:v>May</c:v>
                  </c:pt>
                  <c:pt idx="77">
                    <c:v>Jun</c:v>
                  </c:pt>
                  <c:pt idx="78">
                    <c:v>Jul</c:v>
                  </c:pt>
                  <c:pt idx="79">
                    <c:v>Ago</c:v>
                  </c:pt>
                  <c:pt idx="80">
                    <c:v>Sep</c:v>
                  </c:pt>
                  <c:pt idx="81">
                    <c:v>Oct</c:v>
                  </c:pt>
                  <c:pt idx="82">
                    <c:v>Nov</c:v>
                  </c:pt>
                  <c:pt idx="83">
                    <c:v>Dic</c:v>
                  </c:pt>
                  <c:pt idx="84">
                    <c:v>Ene </c:v>
                  </c:pt>
                  <c:pt idx="85">
                    <c:v>Feb</c:v>
                  </c:pt>
                  <c:pt idx="86">
                    <c:v>Mar</c:v>
                  </c:pt>
                  <c:pt idx="87">
                    <c:v>Abr</c:v>
                  </c:pt>
                  <c:pt idx="88">
                    <c:v>May</c:v>
                  </c:pt>
                  <c:pt idx="89">
                    <c:v>Jun</c:v>
                  </c:pt>
                  <c:pt idx="90">
                    <c:v>Jul</c:v>
                  </c:pt>
                  <c:pt idx="91">
                    <c:v>Ago</c:v>
                  </c:pt>
                  <c:pt idx="92">
                    <c:v>Sep</c:v>
                  </c:pt>
                  <c:pt idx="93">
                    <c:v>Oct</c:v>
                  </c:pt>
                  <c:pt idx="94">
                    <c:v>Nov</c:v>
                  </c:pt>
                  <c:pt idx="95">
                    <c:v>Dic</c:v>
                  </c:pt>
                  <c:pt idx="96">
                    <c:v>Ene </c:v>
                  </c:pt>
                  <c:pt idx="97">
                    <c:v>Feb</c:v>
                  </c:pt>
                  <c:pt idx="98">
                    <c:v>Mar</c:v>
                  </c:pt>
                  <c:pt idx="99">
                    <c:v>Abr</c:v>
                  </c:pt>
                  <c:pt idx="100">
                    <c:v>May</c:v>
                  </c:pt>
                  <c:pt idx="101">
                    <c:v>Jun</c:v>
                  </c:pt>
                  <c:pt idx="102">
                    <c:v>Jul</c:v>
                  </c:pt>
                  <c:pt idx="103">
                    <c:v>Ago</c:v>
                  </c:pt>
                  <c:pt idx="104">
                    <c:v>Sep</c:v>
                  </c:pt>
                  <c:pt idx="105">
                    <c:v>Oct</c:v>
                  </c:pt>
                  <c:pt idx="106">
                    <c:v>Nov</c:v>
                  </c:pt>
                  <c:pt idx="107">
                    <c:v>Dic</c:v>
                  </c:pt>
                  <c:pt idx="108">
                    <c:v>Ene </c:v>
                  </c:pt>
                </c:lvl>
                <c:lvl>
                  <c:pt idx="0">
                    <c:v>2012</c:v>
                  </c:pt>
                  <c:pt idx="1">
                    <c:v>2012</c:v>
                  </c:pt>
                  <c:pt idx="2">
                    <c:v>2012</c:v>
                  </c:pt>
                  <c:pt idx="3">
                    <c:v>2012</c:v>
                  </c:pt>
                  <c:pt idx="4">
                    <c:v>2012</c:v>
                  </c:pt>
                  <c:pt idx="5">
                    <c:v>2012</c:v>
                  </c:pt>
                  <c:pt idx="6">
                    <c:v>2012</c:v>
                  </c:pt>
                  <c:pt idx="7">
                    <c:v>2012</c:v>
                  </c:pt>
                  <c:pt idx="8">
                    <c:v>2012</c:v>
                  </c:pt>
                  <c:pt idx="9">
                    <c:v>2012</c:v>
                  </c:pt>
                  <c:pt idx="10">
                    <c:v>2012</c:v>
                  </c:pt>
                  <c:pt idx="11">
                    <c:v>2012</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2015</c:v>
                  </c:pt>
                  <c:pt idx="37">
                    <c:v>2015</c:v>
                  </c:pt>
                  <c:pt idx="38">
                    <c:v>2015</c:v>
                  </c:pt>
                  <c:pt idx="39">
                    <c:v>2015</c:v>
                  </c:pt>
                  <c:pt idx="40">
                    <c:v>2015</c:v>
                  </c:pt>
                  <c:pt idx="41">
                    <c:v>2015</c:v>
                  </c:pt>
                  <c:pt idx="42">
                    <c:v>2015</c:v>
                  </c:pt>
                  <c:pt idx="43">
                    <c:v>2015</c:v>
                  </c:pt>
                  <c:pt idx="44">
                    <c:v>2015</c:v>
                  </c:pt>
                  <c:pt idx="45">
                    <c:v>2015</c:v>
                  </c:pt>
                  <c:pt idx="46">
                    <c:v>2015</c:v>
                  </c:pt>
                  <c:pt idx="47">
                    <c:v>2015</c:v>
                  </c:pt>
                  <c:pt idx="48">
                    <c:v>2016</c:v>
                  </c:pt>
                  <c:pt idx="49">
                    <c:v>2016</c:v>
                  </c:pt>
                  <c:pt idx="50">
                    <c:v>2016</c:v>
                  </c:pt>
                  <c:pt idx="51">
                    <c:v>2016</c:v>
                  </c:pt>
                  <c:pt idx="52">
                    <c:v>2016</c:v>
                  </c:pt>
                  <c:pt idx="53">
                    <c:v>2016</c:v>
                  </c:pt>
                  <c:pt idx="54">
                    <c:v>2016</c:v>
                  </c:pt>
                  <c:pt idx="55">
                    <c:v>2016</c:v>
                  </c:pt>
                  <c:pt idx="56">
                    <c:v>2016</c:v>
                  </c:pt>
                  <c:pt idx="57">
                    <c:v>2016</c:v>
                  </c:pt>
                  <c:pt idx="58">
                    <c:v>2016</c:v>
                  </c:pt>
                  <c:pt idx="59">
                    <c:v>2016</c:v>
                  </c:pt>
                  <c:pt idx="60">
                    <c:v>2017</c:v>
                  </c:pt>
                  <c:pt idx="61">
                    <c:v>2017</c:v>
                  </c:pt>
                  <c:pt idx="62">
                    <c:v>2017</c:v>
                  </c:pt>
                  <c:pt idx="63">
                    <c:v>2017</c:v>
                  </c:pt>
                  <c:pt idx="64">
                    <c:v>2017</c:v>
                  </c:pt>
                  <c:pt idx="65">
                    <c:v>2017</c:v>
                  </c:pt>
                  <c:pt idx="66">
                    <c:v>2017</c:v>
                  </c:pt>
                  <c:pt idx="67">
                    <c:v>2017</c:v>
                  </c:pt>
                  <c:pt idx="68">
                    <c:v>2017</c:v>
                  </c:pt>
                  <c:pt idx="69">
                    <c:v>2017</c:v>
                  </c:pt>
                  <c:pt idx="70">
                    <c:v>2017</c:v>
                  </c:pt>
                  <c:pt idx="71">
                    <c:v>2017</c:v>
                  </c:pt>
                  <c:pt idx="72">
                    <c:v>2018</c:v>
                  </c:pt>
                  <c:pt idx="73">
                    <c:v>2018</c:v>
                  </c:pt>
                  <c:pt idx="74">
                    <c:v>2018</c:v>
                  </c:pt>
                  <c:pt idx="75">
                    <c:v>2018</c:v>
                  </c:pt>
                  <c:pt idx="76">
                    <c:v>2018</c:v>
                  </c:pt>
                  <c:pt idx="77">
                    <c:v>2018</c:v>
                  </c:pt>
                  <c:pt idx="78">
                    <c:v>2018</c:v>
                  </c:pt>
                  <c:pt idx="79">
                    <c:v>2018</c:v>
                  </c:pt>
                  <c:pt idx="80">
                    <c:v>2018</c:v>
                  </c:pt>
                  <c:pt idx="81">
                    <c:v>2018</c:v>
                  </c:pt>
                  <c:pt idx="82">
                    <c:v>2018</c:v>
                  </c:pt>
                  <c:pt idx="83">
                    <c:v>2018</c:v>
                  </c:pt>
                  <c:pt idx="84">
                    <c:v>2019</c:v>
                  </c:pt>
                  <c:pt idx="85">
                    <c:v>2019</c:v>
                  </c:pt>
                  <c:pt idx="86">
                    <c:v>2019</c:v>
                  </c:pt>
                  <c:pt idx="87">
                    <c:v>2019</c:v>
                  </c:pt>
                  <c:pt idx="88">
                    <c:v>2019</c:v>
                  </c:pt>
                  <c:pt idx="89">
                    <c:v>2019</c:v>
                  </c:pt>
                  <c:pt idx="90">
                    <c:v>2019</c:v>
                  </c:pt>
                  <c:pt idx="91">
                    <c:v>2019</c:v>
                  </c:pt>
                  <c:pt idx="92">
                    <c:v>2019</c:v>
                  </c:pt>
                  <c:pt idx="93">
                    <c:v>2019</c:v>
                  </c:pt>
                  <c:pt idx="94">
                    <c:v>2019</c:v>
                  </c:pt>
                  <c:pt idx="95">
                    <c:v>2019</c:v>
                  </c:pt>
                  <c:pt idx="96">
                    <c:v>2020</c:v>
                  </c:pt>
                  <c:pt idx="97">
                    <c:v>2020</c:v>
                  </c:pt>
                  <c:pt idx="98">
                    <c:v>2020</c:v>
                  </c:pt>
                  <c:pt idx="99">
                    <c:v>2020</c:v>
                  </c:pt>
                  <c:pt idx="100">
                    <c:v>2020</c:v>
                  </c:pt>
                  <c:pt idx="101">
                    <c:v>2020</c:v>
                  </c:pt>
                  <c:pt idx="102">
                    <c:v>2020</c:v>
                  </c:pt>
                  <c:pt idx="103">
                    <c:v>2020</c:v>
                  </c:pt>
                  <c:pt idx="104">
                    <c:v>2020</c:v>
                  </c:pt>
                  <c:pt idx="105">
                    <c:v>2020</c:v>
                  </c:pt>
                  <c:pt idx="106">
                    <c:v>2020</c:v>
                  </c:pt>
                  <c:pt idx="107">
                    <c:v>2020</c:v>
                  </c:pt>
                  <c:pt idx="108">
                    <c:v>2021</c:v>
                  </c:pt>
                </c:lvl>
              </c:multiLvlStrCache>
            </c:multiLvlStrRef>
          </c:cat>
          <c:val>
            <c:numRef>
              <c:f>'Datos base 2q jul 2018'!$K$79:$K$187</c:f>
              <c:numCache>
                <c:formatCode>0.00</c:formatCode>
                <c:ptCount val="109"/>
                <c:pt idx="0">
                  <c:v>6.3752939517453839</c:v>
                </c:pt>
                <c:pt idx="1">
                  <c:v>5.5308679142962145</c:v>
                </c:pt>
                <c:pt idx="2">
                  <c:v>5.1231830404691898</c:v>
                </c:pt>
                <c:pt idx="3">
                  <c:v>3.4856017350560009</c:v>
                </c:pt>
                <c:pt idx="4">
                  <c:v>5.1488014748264641</c:v>
                </c:pt>
                <c:pt idx="5">
                  <c:v>7.2616639973355168</c:v>
                </c:pt>
                <c:pt idx="6">
                  <c:v>7.2952114289320082</c:v>
                </c:pt>
                <c:pt idx="7">
                  <c:v>7.578300127544976</c:v>
                </c:pt>
                <c:pt idx="8">
                  <c:v>8.8128831721662895</c:v>
                </c:pt>
                <c:pt idx="9">
                  <c:v>8.0714067682061614</c:v>
                </c:pt>
                <c:pt idx="10">
                  <c:v>7.0935808610731188</c:v>
                </c:pt>
                <c:pt idx="11">
                  <c:v>5.7421467047290484</c:v>
                </c:pt>
                <c:pt idx="12">
                  <c:v>4.4719628150791753</c:v>
                </c:pt>
                <c:pt idx="13">
                  <c:v>5.474391917585435</c:v>
                </c:pt>
                <c:pt idx="14">
                  <c:v>8.291168551724736</c:v>
                </c:pt>
                <c:pt idx="15">
                  <c:v>10.3205668093381</c:v>
                </c:pt>
                <c:pt idx="16">
                  <c:v>10.556592713019041</c:v>
                </c:pt>
                <c:pt idx="17">
                  <c:v>8.3879525922339031</c:v>
                </c:pt>
                <c:pt idx="18">
                  <c:v>6.6047027563408358</c:v>
                </c:pt>
                <c:pt idx="19">
                  <c:v>7.0100062040655855</c:v>
                </c:pt>
                <c:pt idx="20">
                  <c:v>6.1951632005662605</c:v>
                </c:pt>
                <c:pt idx="21">
                  <c:v>6.1824504951925601</c:v>
                </c:pt>
                <c:pt idx="22">
                  <c:v>7.017016415926693</c:v>
                </c:pt>
                <c:pt idx="23">
                  <c:v>7.8424026575887362</c:v>
                </c:pt>
                <c:pt idx="24">
                  <c:v>8.582372700473222</c:v>
                </c:pt>
                <c:pt idx="25">
                  <c:v>8.2824424434665769</c:v>
                </c:pt>
                <c:pt idx="26">
                  <c:v>6.5354997126406733</c:v>
                </c:pt>
                <c:pt idx="27">
                  <c:v>4.7475792496286298</c:v>
                </c:pt>
                <c:pt idx="28">
                  <c:v>5.1863578239874082</c:v>
                </c:pt>
                <c:pt idx="29">
                  <c:v>5.9617265692740871</c:v>
                </c:pt>
                <c:pt idx="30">
                  <c:v>6.8271579641693165</c:v>
                </c:pt>
                <c:pt idx="31">
                  <c:v>6.7182708744115081</c:v>
                </c:pt>
                <c:pt idx="32">
                  <c:v>7.1119588300636041</c:v>
                </c:pt>
                <c:pt idx="33">
                  <c:v>7.5060565081171537</c:v>
                </c:pt>
                <c:pt idx="34">
                  <c:v>6.7763144885481852</c:v>
                </c:pt>
                <c:pt idx="35">
                  <c:v>6.6991037192450129</c:v>
                </c:pt>
                <c:pt idx="36">
                  <c:v>5.338364978916446</c:v>
                </c:pt>
                <c:pt idx="37">
                  <c:v>4.8839859296475376</c:v>
                </c:pt>
                <c:pt idx="38">
                  <c:v>5.2924328408390062</c:v>
                </c:pt>
                <c:pt idx="39">
                  <c:v>5.4633403420644067</c:v>
                </c:pt>
                <c:pt idx="40">
                  <c:v>4.6431485542286817</c:v>
                </c:pt>
                <c:pt idx="41">
                  <c:v>4.6336651275337841</c:v>
                </c:pt>
                <c:pt idx="42">
                  <c:v>4.1241442964936512</c:v>
                </c:pt>
                <c:pt idx="43">
                  <c:v>3.5125321367639772</c:v>
                </c:pt>
                <c:pt idx="44">
                  <c:v>2.963926777529815</c:v>
                </c:pt>
                <c:pt idx="45">
                  <c:v>2.5249797574191013</c:v>
                </c:pt>
                <c:pt idx="46">
                  <c:v>1.843026887014072</c:v>
                </c:pt>
                <c:pt idx="47">
                  <c:v>1.2762511606747</c:v>
                </c:pt>
                <c:pt idx="48">
                  <c:v>2.522246807825427</c:v>
                </c:pt>
                <c:pt idx="49">
                  <c:v>3.4938208536903983</c:v>
                </c:pt>
                <c:pt idx="50">
                  <c:v>2.1164916182627671</c:v>
                </c:pt>
                <c:pt idx="51">
                  <c:v>1.6595743619222199</c:v>
                </c:pt>
                <c:pt idx="52">
                  <c:v>1.5477448099930948</c:v>
                </c:pt>
                <c:pt idx="53">
                  <c:v>1.1555817183581019</c:v>
                </c:pt>
                <c:pt idx="54">
                  <c:v>1.6461385320237307</c:v>
                </c:pt>
                <c:pt idx="55">
                  <c:v>1.9876330916648821</c:v>
                </c:pt>
                <c:pt idx="56">
                  <c:v>2.6526253855259565</c:v>
                </c:pt>
                <c:pt idx="57">
                  <c:v>2.9532598018049154</c:v>
                </c:pt>
                <c:pt idx="58">
                  <c:v>3.3414816660668851</c:v>
                </c:pt>
                <c:pt idx="59">
                  <c:v>3.1263239622002197</c:v>
                </c:pt>
                <c:pt idx="60">
                  <c:v>7.399186009491145</c:v>
                </c:pt>
                <c:pt idx="61">
                  <c:v>6.7088696245197807</c:v>
                </c:pt>
                <c:pt idx="62">
                  <c:v>8.0239017559605941</c:v>
                </c:pt>
                <c:pt idx="63">
                  <c:v>9.2498471387532266</c:v>
                </c:pt>
                <c:pt idx="64">
                  <c:v>10.603551237535402</c:v>
                </c:pt>
                <c:pt idx="65">
                  <c:v>11.0921132755296</c:v>
                </c:pt>
                <c:pt idx="66">
                  <c:v>11.271739327633481</c:v>
                </c:pt>
                <c:pt idx="67">
                  <c:v>11.984296254130735</c:v>
                </c:pt>
                <c:pt idx="68">
                  <c:v>11.27940701705263</c:v>
                </c:pt>
                <c:pt idx="69">
                  <c:v>11.401788332337997</c:v>
                </c:pt>
                <c:pt idx="70">
                  <c:v>11.9730078319096</c:v>
                </c:pt>
                <c:pt idx="71">
                  <c:v>12.621131109032941</c:v>
                </c:pt>
                <c:pt idx="72">
                  <c:v>8.4396254977826892</c:v>
                </c:pt>
                <c:pt idx="73">
                  <c:v>8.491229033565558</c:v>
                </c:pt>
                <c:pt idx="74">
                  <c:v>8.0270896801162657</c:v>
                </c:pt>
                <c:pt idx="75">
                  <c:v>7.0713450732142382</c:v>
                </c:pt>
                <c:pt idx="76">
                  <c:v>6.9879395591619682</c:v>
                </c:pt>
                <c:pt idx="77">
                  <c:v>7.7916771163987235</c:v>
                </c:pt>
                <c:pt idx="78">
                  <c:v>8.381461263852346</c:v>
                </c:pt>
                <c:pt idx="79">
                  <c:v>8.8021172100991283</c:v>
                </c:pt>
                <c:pt idx="80">
                  <c:v>9.1504116117487211</c:v>
                </c:pt>
                <c:pt idx="81">
                  <c:v>8.4990813438131205</c:v>
                </c:pt>
                <c:pt idx="82">
                  <c:v>8.0727173955203568</c:v>
                </c:pt>
                <c:pt idx="83">
                  <c:v>8.3985017457426814</c:v>
                </c:pt>
                <c:pt idx="84">
                  <c:v>6.8077764553492903</c:v>
                </c:pt>
                <c:pt idx="85">
                  <c:v>5.2529539129089642</c:v>
                </c:pt>
                <c:pt idx="86">
                  <c:v>5.4665367537646503</c:v>
                </c:pt>
                <c:pt idx="87">
                  <c:v>6.0820526568256206</c:v>
                </c:pt>
                <c:pt idx="88">
                  <c:v>5.7798859220474119</c:v>
                </c:pt>
                <c:pt idx="89">
                  <c:v>4.1879028979615152</c:v>
                </c:pt>
                <c:pt idx="90">
                  <c:v>3.6443895185500175</c:v>
                </c:pt>
                <c:pt idx="91">
                  <c:v>1.2826704768500674</c:v>
                </c:pt>
                <c:pt idx="92">
                  <c:v>0.70609573204361009</c:v>
                </c:pt>
                <c:pt idx="93">
                  <c:v>1.0130453924242833</c:v>
                </c:pt>
                <c:pt idx="94">
                  <c:v>0.97682795762952246</c:v>
                </c:pt>
                <c:pt idx="95">
                  <c:v>0.58876764232136392</c:v>
                </c:pt>
                <c:pt idx="96">
                  <c:v>1.8057923017696931</c:v>
                </c:pt>
                <c:pt idx="97">
                  <c:v>3.8136885018296152</c:v>
                </c:pt>
                <c:pt idx="98">
                  <c:v>2.1913362911220702</c:v>
                </c:pt>
                <c:pt idx="99">
                  <c:v>-1.9643560542747407</c:v>
                </c:pt>
                <c:pt idx="100">
                  <c:v>0.35014034635030278</c:v>
                </c:pt>
                <c:pt idx="101">
                  <c:v>2.1609288294935469</c:v>
                </c:pt>
                <c:pt idx="102">
                  <c:v>2.9170722337170885</c:v>
                </c:pt>
                <c:pt idx="103">
                  <c:v>4.3012488266652937</c:v>
                </c:pt>
                <c:pt idx="104">
                  <c:v>4.1006333362519465</c:v>
                </c:pt>
                <c:pt idx="105">
                  <c:v>4.4203239013913098</c:v>
                </c:pt>
                <c:pt idx="106">
                  <c:v>2.3294058286536634</c:v>
                </c:pt>
                <c:pt idx="107">
                  <c:v>1.1841216685014366</c:v>
                </c:pt>
                <c:pt idx="108">
                  <c:v>2.6306867640994991</c:v>
                </c:pt>
              </c:numCache>
            </c:numRef>
          </c:val>
          <c:smooth val="0"/>
          <c:extLst>
            <c:ext xmlns:c16="http://schemas.microsoft.com/office/drawing/2014/chart" uri="{C3380CC4-5D6E-409C-BE32-E72D297353CC}">
              <c16:uniqueId val="{00000005-65E4-4F4D-B4F5-531E079B9A27}"/>
            </c:ext>
          </c:extLst>
        </c:ser>
        <c:dLbls>
          <c:showLegendKey val="0"/>
          <c:showVal val="0"/>
          <c:showCatName val="0"/>
          <c:showSerName val="0"/>
          <c:showPercent val="0"/>
          <c:showBubbleSize val="0"/>
        </c:dLbls>
        <c:smooth val="0"/>
        <c:axId val="833575312"/>
        <c:axId val="833576096"/>
      </c:lineChart>
      <c:catAx>
        <c:axId val="833575312"/>
        <c:scaling>
          <c:orientation val="minMax"/>
        </c:scaling>
        <c:delete val="0"/>
        <c:axPos val="b"/>
        <c:numFmt formatCode="General" sourceLinked="1"/>
        <c:majorTickMark val="cross"/>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33576096"/>
        <c:crosses val="autoZero"/>
        <c:auto val="0"/>
        <c:lblAlgn val="ctr"/>
        <c:lblOffset val="100"/>
        <c:tickLblSkip val="12"/>
        <c:tickMarkSkip val="12"/>
        <c:noMultiLvlLbl val="1"/>
      </c:catAx>
      <c:valAx>
        <c:axId val="833576096"/>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33575312"/>
        <c:crossesAt val="1"/>
        <c:crossBetween val="midCat"/>
        <c:majorUnit val="3"/>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1CCB9-A3BD-4857-94AF-7965FAC7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11</TotalTime>
  <Pages>11</Pages>
  <Words>2326</Words>
  <Characters>12795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COMUNICADO DE PRENSA. INDICE NACIONAL DE PRECIOS AL CONSUMIDOR</vt:lpstr>
    </vt:vector>
  </TitlesOfParts>
  <Company>INEGI</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INDICE NACIONAL DE PRECIOS AL CONSUMIDOR</dc:title>
  <dc:creator>INEGI</dc:creator>
  <cp:keywords>INDICE DE PRECIOS AL CONSUMIDOR</cp:keywords>
  <cp:lastModifiedBy>COLLAZO GALLEGOS MARCOS DARIO</cp:lastModifiedBy>
  <cp:revision>7</cp:revision>
  <cp:lastPrinted>2020-11-05T17:54:00Z</cp:lastPrinted>
  <dcterms:created xsi:type="dcterms:W3CDTF">2021-02-09T00:13:00Z</dcterms:created>
  <dcterms:modified xsi:type="dcterms:W3CDTF">2021-02-09T02:27:00Z</dcterms:modified>
  <cp:category>ÍNDICES DE PRECIOS</cp:category>
  <cp:version>1</cp:version>
</cp:coreProperties>
</file>