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5CCD3" w14:textId="77777777" w:rsidR="00ED7F21" w:rsidRPr="008B29B4" w:rsidRDefault="00ED7F21" w:rsidP="008452B0">
      <w:pPr>
        <w:pStyle w:val="Default"/>
        <w:tabs>
          <w:tab w:val="left" w:pos="2410"/>
          <w:tab w:val="left" w:pos="3402"/>
          <w:tab w:val="left" w:pos="3686"/>
        </w:tabs>
        <w:spacing w:before="240"/>
        <w:ind w:left="-851" w:right="-232"/>
        <w:jc w:val="center"/>
        <w:rPr>
          <w:rFonts w:eastAsia="Times New Roman"/>
          <w:b/>
          <w:bCs/>
          <w:lang w:val="es-ES_tradnl"/>
        </w:rPr>
      </w:pPr>
    </w:p>
    <w:p w14:paraId="0CEF4A4E" w14:textId="77777777" w:rsidR="00AF3516" w:rsidRDefault="00AF3516" w:rsidP="00AF3516">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29620849" wp14:editId="30E49836">
                <wp:simplePos x="0" y="0"/>
                <wp:positionH relativeFrom="column">
                  <wp:posOffset>2724150</wp:posOffset>
                </wp:positionH>
                <wp:positionV relativeFrom="paragraph">
                  <wp:posOffset>0</wp:posOffset>
                </wp:positionV>
                <wp:extent cx="341820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266700"/>
                        </a:xfrm>
                        <a:prstGeom prst="rect">
                          <a:avLst/>
                        </a:prstGeom>
                        <a:solidFill>
                          <a:srgbClr val="FFFFFF"/>
                        </a:solidFill>
                        <a:ln w="9525">
                          <a:noFill/>
                          <a:miter lim="800000"/>
                          <a:headEnd/>
                          <a:tailEnd/>
                        </a:ln>
                      </wps:spPr>
                      <wps:txbx>
                        <w:txbxContent>
                          <w:p w14:paraId="696373E9" w14:textId="77777777" w:rsidR="00AF3516" w:rsidRPr="00265B8C" w:rsidRDefault="00AF3516" w:rsidP="00AF3516">
                            <w:pPr>
                              <w:jc w:val="right"/>
                              <w:rPr>
                                <w:rFonts w:cs="Arial"/>
                                <w:szCs w:val="24"/>
                              </w:rPr>
                            </w:pPr>
                            <w:r w:rsidRPr="00265B8C">
                              <w:rPr>
                                <w:rFonts w:cs="Arial"/>
                                <w:b/>
                                <w:color w:val="FFFFFF" w:themeColor="background1"/>
                                <w:szCs w:val="24"/>
                                <w:shd w:val="clear" w:color="auto" w:fill="365F91" w:themeFill="accent1" w:themeFillShade="BF"/>
                                <w:lang w:val="pt-BR"/>
                              </w:rPr>
                              <w:t xml:space="preserve">Próxima </w:t>
                            </w:r>
                            <w:proofErr w:type="spellStart"/>
                            <w:r w:rsidRPr="00265B8C">
                              <w:rPr>
                                <w:rFonts w:cs="Arial"/>
                                <w:b/>
                                <w:color w:val="FFFFFF" w:themeColor="background1"/>
                                <w:szCs w:val="24"/>
                                <w:shd w:val="clear" w:color="auto" w:fill="365F91" w:themeFill="accent1" w:themeFillShade="BF"/>
                                <w:lang w:val="pt-BR"/>
                              </w:rPr>
                              <w:t>publicación</w:t>
                            </w:r>
                            <w:proofErr w:type="spellEnd"/>
                            <w:r>
                              <w:rPr>
                                <w:rFonts w:cs="Arial"/>
                                <w:b/>
                                <w:color w:val="FFFFFF" w:themeColor="background1"/>
                                <w:szCs w:val="24"/>
                                <w:shd w:val="clear" w:color="auto" w:fill="365F91" w:themeFill="accent1" w:themeFillShade="BF"/>
                                <w:lang w:val="pt-BR"/>
                              </w:rPr>
                              <w:t xml:space="preserve">:  12 de </w:t>
                            </w:r>
                            <w:proofErr w:type="spellStart"/>
                            <w:r>
                              <w:rPr>
                                <w:rFonts w:cs="Arial"/>
                                <w:b/>
                                <w:color w:val="FFFFFF" w:themeColor="background1"/>
                                <w:szCs w:val="24"/>
                                <w:shd w:val="clear" w:color="auto" w:fill="365F91"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20849" id="_x0000_t202" coordsize="21600,21600" o:spt="202" path="m,l,21600r21600,l21600,xe">
                <v:stroke joinstyle="miter"/>
                <v:path gradientshapeok="t" o:connecttype="rect"/>
              </v:shapetype>
              <v:shape id="Cuadro de texto 217" o:spid="_x0000_s1026" type="#_x0000_t202" style="position:absolute;left:0;text-align:left;margin-left:214.5pt;margin-top:0;width:269.1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" stroked="f">
                <v:textbox>
                  <w:txbxContent>
                    <w:p w14:paraId="696373E9" w14:textId="77777777" w:rsidR="00AF3516" w:rsidRPr="00265B8C" w:rsidRDefault="00AF3516" w:rsidP="00AF3516">
                      <w:pPr>
                        <w:jc w:val="right"/>
                        <w:rPr>
                          <w:rFonts w:cs="Arial"/>
                          <w:szCs w:val="24"/>
                        </w:rPr>
                      </w:pPr>
                      <w:r w:rsidRPr="00265B8C">
                        <w:rPr>
                          <w:rFonts w:cs="Arial"/>
                          <w:b/>
                          <w:color w:val="FFFFFF" w:themeColor="background1"/>
                          <w:szCs w:val="24"/>
                          <w:shd w:val="clear" w:color="auto" w:fill="365F91" w:themeFill="accent1" w:themeFillShade="BF"/>
                          <w:lang w:val="pt-BR"/>
                        </w:rPr>
                        <w:t xml:space="preserve">Próxima </w:t>
                      </w:r>
                      <w:proofErr w:type="spellStart"/>
                      <w:r w:rsidRPr="00265B8C">
                        <w:rPr>
                          <w:rFonts w:cs="Arial"/>
                          <w:b/>
                          <w:color w:val="FFFFFF" w:themeColor="background1"/>
                          <w:szCs w:val="24"/>
                          <w:shd w:val="clear" w:color="auto" w:fill="365F91" w:themeFill="accent1" w:themeFillShade="BF"/>
                          <w:lang w:val="pt-BR"/>
                        </w:rPr>
                        <w:t>publicación</w:t>
                      </w:r>
                      <w:proofErr w:type="spellEnd"/>
                      <w:r>
                        <w:rPr>
                          <w:rFonts w:cs="Arial"/>
                          <w:b/>
                          <w:color w:val="FFFFFF" w:themeColor="background1"/>
                          <w:szCs w:val="24"/>
                          <w:shd w:val="clear" w:color="auto" w:fill="365F91" w:themeFill="accent1" w:themeFillShade="BF"/>
                          <w:lang w:val="pt-BR"/>
                        </w:rPr>
                        <w:t xml:space="preserve">:  12 de </w:t>
                      </w:r>
                      <w:proofErr w:type="spellStart"/>
                      <w:r>
                        <w:rPr>
                          <w:rFonts w:cs="Arial"/>
                          <w:b/>
                          <w:color w:val="FFFFFF" w:themeColor="background1"/>
                          <w:szCs w:val="24"/>
                          <w:shd w:val="clear" w:color="auto" w:fill="365F91" w:themeFill="accent1" w:themeFillShade="BF"/>
                          <w:lang w:val="pt-BR"/>
                        </w:rPr>
                        <w:t>noviembre</w:t>
                      </w:r>
                      <w:proofErr w:type="spellEnd"/>
                    </w:p>
                  </w:txbxContent>
                </v:textbox>
                <w10:wrap type="square"/>
              </v:shape>
            </w:pict>
          </mc:Fallback>
        </mc:AlternateContent>
      </w:r>
    </w:p>
    <w:p w14:paraId="53024E0E" w14:textId="77777777" w:rsidR="00AF3516" w:rsidRDefault="00AF3516" w:rsidP="00AF3516">
      <w:pPr>
        <w:tabs>
          <w:tab w:val="left" w:pos="8789"/>
        </w:tabs>
        <w:ind w:right="51"/>
        <w:jc w:val="center"/>
        <w:rPr>
          <w:b/>
          <w:sz w:val="28"/>
        </w:rPr>
      </w:pPr>
    </w:p>
    <w:p w14:paraId="1A794003" w14:textId="77777777" w:rsidR="00AF3516" w:rsidRPr="007A2199" w:rsidRDefault="00AF3516" w:rsidP="00AF3516">
      <w:pPr>
        <w:pStyle w:val="Default"/>
        <w:tabs>
          <w:tab w:val="left" w:pos="2410"/>
          <w:tab w:val="left" w:pos="3402"/>
          <w:tab w:val="left" w:pos="3686"/>
        </w:tabs>
        <w:ind w:left="-851" w:right="-232"/>
        <w:jc w:val="center"/>
        <w:rPr>
          <w:rFonts w:eastAsia="Times New Roman"/>
          <w:b/>
          <w:bCs/>
          <w:lang w:val="es-ES_tradnl"/>
        </w:rPr>
      </w:pPr>
    </w:p>
    <w:p w14:paraId="38996D29" w14:textId="77777777" w:rsidR="00AF3516" w:rsidRPr="007A2199" w:rsidRDefault="00AF3516" w:rsidP="00AF3516">
      <w:pPr>
        <w:pStyle w:val="Default"/>
        <w:tabs>
          <w:tab w:val="left" w:pos="2410"/>
          <w:tab w:val="left" w:pos="3402"/>
          <w:tab w:val="left" w:pos="3686"/>
        </w:tabs>
        <w:ind w:left="-851" w:right="-232"/>
        <w:jc w:val="center"/>
        <w:rPr>
          <w:rFonts w:eastAsia="Times New Roman"/>
          <w:b/>
          <w:bCs/>
          <w:lang w:val="es-ES_tradnl"/>
        </w:rPr>
      </w:pPr>
      <w:r w:rsidRPr="007A2199">
        <w:rPr>
          <w:rFonts w:eastAsia="Times New Roman"/>
          <w:b/>
          <w:bCs/>
          <w:lang w:val="es-ES_tradnl"/>
        </w:rPr>
        <w:t>INDICADORES TRIMESTRALES DE LA ACTIVIDAD TURÍSTICA</w:t>
      </w:r>
      <w:r w:rsidRPr="007A2199">
        <w:rPr>
          <w:b/>
          <w:color w:val="auto"/>
          <w:vertAlign w:val="superscript"/>
        </w:rPr>
        <w:footnoteReference w:id="1"/>
      </w:r>
      <w:r w:rsidRPr="007A2199">
        <w:rPr>
          <w:rFonts w:eastAsia="Times New Roman"/>
          <w:b/>
          <w:bCs/>
          <w:lang w:val="es-ES_tradnl"/>
        </w:rPr>
        <w:t xml:space="preserve"> </w:t>
      </w:r>
    </w:p>
    <w:p w14:paraId="70FD8EF7" w14:textId="77777777" w:rsidR="00AF3516" w:rsidRPr="007A2199" w:rsidRDefault="00AF3516" w:rsidP="00AF3516">
      <w:pPr>
        <w:pStyle w:val="Default"/>
        <w:tabs>
          <w:tab w:val="left" w:pos="2410"/>
          <w:tab w:val="left" w:pos="3402"/>
          <w:tab w:val="left" w:pos="3686"/>
        </w:tabs>
        <w:ind w:left="-851" w:right="-232"/>
        <w:jc w:val="center"/>
        <w:rPr>
          <w:rFonts w:eastAsia="Times New Roman"/>
          <w:b/>
          <w:bCs/>
          <w:lang w:val="es-ES_tradnl"/>
        </w:rPr>
      </w:pPr>
      <w:r w:rsidRPr="007A2199">
        <w:rPr>
          <w:rFonts w:eastAsia="Times New Roman"/>
          <w:b/>
          <w:bCs/>
          <w:lang w:val="es-ES_tradnl"/>
        </w:rPr>
        <w:t>DURANTE EL PRIMER TRIMESTRE DE 2021</w:t>
      </w:r>
    </w:p>
    <w:p w14:paraId="4A628819" w14:textId="77777777" w:rsidR="00AF3516" w:rsidRPr="007A2199" w:rsidRDefault="00AF3516" w:rsidP="00AF3516">
      <w:pPr>
        <w:pStyle w:val="Default"/>
        <w:jc w:val="center"/>
        <w:rPr>
          <w:rFonts w:eastAsia="Times New Roman"/>
          <w:b/>
          <w:bCs/>
          <w:i/>
          <w:lang w:val="es-ES_tradnl"/>
        </w:rPr>
      </w:pPr>
      <w:r w:rsidRPr="007A2199">
        <w:rPr>
          <w:rFonts w:eastAsia="Times New Roman"/>
          <w:b/>
          <w:bCs/>
          <w:i/>
          <w:lang w:val="es-ES_tradnl"/>
        </w:rPr>
        <w:t>(Cifras desestacionalizadas)</w:t>
      </w:r>
    </w:p>
    <w:p w14:paraId="410C165A" w14:textId="77777777" w:rsidR="00AF3516" w:rsidRPr="005D0EC6" w:rsidRDefault="00AF3516" w:rsidP="00AF3516">
      <w:pPr>
        <w:pStyle w:val="bullet"/>
        <w:widowControl/>
        <w:numPr>
          <w:ilvl w:val="0"/>
          <w:numId w:val="0"/>
        </w:numPr>
        <w:tabs>
          <w:tab w:val="left" w:pos="8364"/>
        </w:tabs>
        <w:spacing w:before="180"/>
        <w:ind w:left="-426" w:right="-547"/>
        <w:rPr>
          <w:b w:val="0"/>
          <w:color w:val="auto"/>
          <w:sz w:val="24"/>
          <w:szCs w:val="24"/>
        </w:rPr>
      </w:pPr>
      <w:r w:rsidRPr="005D0EC6">
        <w:rPr>
          <w:b w:val="0"/>
          <w:snapToGrid/>
          <w:color w:val="auto"/>
          <w:sz w:val="24"/>
          <w:szCs w:val="24"/>
        </w:rPr>
        <w:t xml:space="preserve">El Instituto Nacional de Estadística y Geografía (INEGI) presenta los resultados de los Indicadores Trimestrales de la Actividad Turística (ITAT) para el periodo enero-marzo de 2021. </w:t>
      </w:r>
    </w:p>
    <w:p w14:paraId="07C24A6C" w14:textId="77777777" w:rsidR="00AF3516" w:rsidRPr="005D0EC6" w:rsidRDefault="00AF3516" w:rsidP="00AF3516">
      <w:pPr>
        <w:pStyle w:val="bullet"/>
        <w:widowControl/>
        <w:numPr>
          <w:ilvl w:val="0"/>
          <w:numId w:val="0"/>
        </w:numPr>
        <w:tabs>
          <w:tab w:val="left" w:pos="8364"/>
        </w:tabs>
        <w:spacing w:before="180"/>
        <w:ind w:left="-426" w:right="-547"/>
        <w:rPr>
          <w:b w:val="0"/>
          <w:snapToGrid/>
          <w:color w:val="auto"/>
          <w:sz w:val="24"/>
          <w:szCs w:val="24"/>
        </w:rPr>
      </w:pPr>
      <w:r w:rsidRPr="005D0EC6">
        <w:rPr>
          <w:b w:val="0"/>
          <w:snapToGrid/>
          <w:color w:val="auto"/>
          <w:sz w:val="24"/>
          <w:szCs w:val="24"/>
        </w:rPr>
        <w:t>En el primer trimestre del año en curso, el Indicador Trimestral del PIB Turístico y el del Consumo Turístico Interior registraron una disminución de 1.8% en términos reales, en lo individual, frente al trimestre inmediato anterior con cifras desestacionalizadas</w:t>
      </w:r>
      <w:r w:rsidRPr="005D0EC6">
        <w:rPr>
          <w:b w:val="0"/>
          <w:color w:val="auto"/>
          <w:sz w:val="24"/>
          <w:szCs w:val="24"/>
          <w:vertAlign w:val="superscript"/>
        </w:rPr>
        <w:footnoteReference w:id="2"/>
      </w:r>
      <w:r w:rsidRPr="005D0EC6">
        <w:rPr>
          <w:b w:val="0"/>
          <w:snapToGrid/>
          <w:color w:val="auto"/>
          <w:sz w:val="24"/>
          <w:szCs w:val="24"/>
        </w:rPr>
        <w:t>.</w:t>
      </w:r>
    </w:p>
    <w:p w14:paraId="43ADCEE7" w14:textId="77777777" w:rsidR="00AF3516" w:rsidRPr="002D5B11" w:rsidRDefault="00AF3516" w:rsidP="00AF3516">
      <w:pPr>
        <w:pStyle w:val="Default"/>
        <w:spacing w:before="480"/>
        <w:jc w:val="center"/>
        <w:rPr>
          <w:rFonts w:eastAsia="Times New Roman"/>
          <w:b/>
          <w:smallCaps/>
          <w:snapToGrid w:val="0"/>
          <w:color w:val="auto"/>
          <w:sz w:val="22"/>
          <w:szCs w:val="22"/>
          <w:lang w:val="es-ES_tradnl"/>
        </w:rPr>
      </w:pPr>
      <w:r w:rsidRPr="003F5A16">
        <w:rPr>
          <w:rFonts w:eastAsia="Times New Roman"/>
          <w:b/>
          <w:smallCaps/>
          <w:snapToGrid w:val="0"/>
          <w:color w:val="auto"/>
          <w:sz w:val="22"/>
          <w:szCs w:val="22"/>
          <w:lang w:val="es-ES_tradnl"/>
        </w:rPr>
        <w:t xml:space="preserve">Indicador Trimestral del PIB Turístico </w:t>
      </w:r>
      <w:r w:rsidRPr="003F5A16">
        <w:rPr>
          <w:b/>
          <w:smallCaps/>
          <w:color w:val="auto"/>
          <w:sz w:val="22"/>
          <w:szCs w:val="22"/>
        </w:rPr>
        <w:t>y del Consumo Turístico</w:t>
      </w:r>
      <w:r w:rsidRPr="002D5B11">
        <w:rPr>
          <w:b/>
          <w:smallCaps/>
          <w:color w:val="auto"/>
          <w:sz w:val="22"/>
          <w:szCs w:val="22"/>
        </w:rPr>
        <w:t xml:space="preserve"> </w:t>
      </w:r>
    </w:p>
    <w:p w14:paraId="7DE73A32" w14:textId="77777777" w:rsidR="00AF3516" w:rsidRPr="00D41962" w:rsidRDefault="00AF3516" w:rsidP="00AF3516">
      <w:pPr>
        <w:pStyle w:val="p0"/>
        <w:spacing w:before="0"/>
        <w:jc w:val="center"/>
        <w:rPr>
          <w:b/>
          <w:iCs/>
          <w:smallCaps/>
          <w:color w:val="auto"/>
          <w:sz w:val="22"/>
          <w:szCs w:val="22"/>
          <w:lang w:val="es-MX" w:eastAsia="es-MX"/>
        </w:rPr>
      </w:pPr>
      <w:r w:rsidRPr="002D5B11">
        <w:rPr>
          <w:b/>
          <w:smallCaps/>
          <w:snapToGrid/>
          <w:color w:val="auto"/>
          <w:sz w:val="22"/>
          <w:szCs w:val="22"/>
        </w:rPr>
        <w:t>Interior</w:t>
      </w:r>
      <w:r w:rsidRPr="002D5B11">
        <w:rPr>
          <w:rFonts w:cs="Arial"/>
          <w:b/>
          <w:smallCaps/>
          <w:color w:val="auto"/>
          <w:sz w:val="22"/>
          <w:szCs w:val="22"/>
        </w:rPr>
        <w:t xml:space="preserve"> durante el </w:t>
      </w:r>
      <w:r>
        <w:rPr>
          <w:rFonts w:cs="Arial"/>
          <w:b/>
          <w:smallCaps/>
          <w:color w:val="auto"/>
          <w:sz w:val="22"/>
          <w:szCs w:val="22"/>
        </w:rPr>
        <w:t>primer</w:t>
      </w:r>
      <w:r w:rsidRPr="002D5B11">
        <w:rPr>
          <w:rFonts w:cs="Arial"/>
          <w:b/>
          <w:smallCaps/>
          <w:color w:val="auto"/>
          <w:sz w:val="22"/>
          <w:szCs w:val="22"/>
        </w:rPr>
        <w:t xml:space="preserve"> trimestre de 20</w:t>
      </w:r>
      <w:r>
        <w:rPr>
          <w:rFonts w:cs="Arial"/>
          <w:b/>
          <w:smallCaps/>
          <w:color w:val="auto"/>
          <w:sz w:val="22"/>
          <w:szCs w:val="22"/>
        </w:rPr>
        <w:t>21</w:t>
      </w:r>
      <w:r>
        <w:rPr>
          <w:b/>
          <w:iCs/>
          <w:smallCaps/>
          <w:sz w:val="22"/>
          <w:szCs w:val="22"/>
          <w:lang w:val="es-MX" w:eastAsia="es-MX"/>
        </w:rPr>
        <w:t xml:space="preserve"> </w:t>
      </w:r>
    </w:p>
    <w:p w14:paraId="2AB09EE7" w14:textId="77777777" w:rsidR="00AF3516" w:rsidRDefault="00AF3516" w:rsidP="00AF3516">
      <w:pPr>
        <w:pStyle w:val="p0"/>
        <w:spacing w:before="0"/>
        <w:jc w:val="center"/>
        <w:rPr>
          <w:rFonts w:cs="Arial"/>
          <w:b/>
          <w:smallCaps/>
          <w:color w:val="auto"/>
          <w:sz w:val="22"/>
          <w:szCs w:val="22"/>
        </w:rPr>
      </w:pPr>
      <w:r>
        <w:rPr>
          <w:rFonts w:cs="Arial"/>
          <w:b/>
          <w:smallCaps/>
          <w:color w:val="auto"/>
          <w:sz w:val="22"/>
          <w:szCs w:val="22"/>
        </w:rPr>
        <w:t>Cifras desestacionalizadas por componentes</w:t>
      </w:r>
    </w:p>
    <w:tbl>
      <w:tblPr>
        <w:tblW w:w="0" w:type="auto"/>
        <w:jc w:val="center"/>
        <w:tblLayout w:type="fixed"/>
        <w:tblCellMar>
          <w:left w:w="107" w:type="dxa"/>
          <w:right w:w="107" w:type="dxa"/>
        </w:tblCellMar>
        <w:tblLook w:val="04A0" w:firstRow="1" w:lastRow="0" w:firstColumn="1" w:lastColumn="0" w:noHBand="0" w:noVBand="1"/>
      </w:tblPr>
      <w:tblGrid>
        <w:gridCol w:w="3104"/>
        <w:gridCol w:w="1559"/>
        <w:gridCol w:w="1701"/>
      </w:tblGrid>
      <w:tr w:rsidR="00AF3516" w14:paraId="187F833B" w14:textId="77777777" w:rsidTr="00EA56AB">
        <w:trPr>
          <w:cantSplit/>
          <w:trHeight w:val="20"/>
          <w:jc w:val="center"/>
        </w:trPr>
        <w:tc>
          <w:tcPr>
            <w:tcW w:w="310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54CCDECE" w14:textId="77777777" w:rsidR="00AF3516" w:rsidRDefault="00AF3516" w:rsidP="00EA56AB">
            <w:pPr>
              <w:pStyle w:val="p0"/>
              <w:tabs>
                <w:tab w:val="left" w:pos="546"/>
              </w:tabs>
              <w:spacing w:before="120" w:after="120"/>
              <w:ind w:right="284"/>
              <w:jc w:val="center"/>
              <w:rPr>
                <w:rFonts w:cs="Arial"/>
                <w:color w:val="auto"/>
                <w:sz w:val="18"/>
                <w:lang w:val="es-ES"/>
              </w:rPr>
            </w:pPr>
            <w:r>
              <w:rPr>
                <w:rFonts w:cs="Arial"/>
                <w:color w:val="auto"/>
                <w:sz w:val="18"/>
                <w:lang w:val="es-ES"/>
              </w:rPr>
              <w:t>Concepto</w:t>
            </w:r>
          </w:p>
        </w:tc>
        <w:tc>
          <w:tcPr>
            <w:tcW w:w="1559"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528C6B56" w14:textId="77777777" w:rsidR="00AF3516" w:rsidRDefault="00AF3516" w:rsidP="00EA56AB">
            <w:pPr>
              <w:pStyle w:val="p0"/>
              <w:keepNext/>
              <w:spacing w:before="60"/>
              <w:jc w:val="center"/>
              <w:rPr>
                <w:rFonts w:cs="Arial"/>
                <w:color w:val="auto"/>
                <w:sz w:val="18"/>
                <w:lang w:val="es-ES"/>
              </w:rPr>
            </w:pPr>
            <w:r>
              <w:rPr>
                <w:rFonts w:cs="Arial"/>
                <w:color w:val="auto"/>
                <w:sz w:val="18"/>
                <w:lang w:val="es-ES"/>
              </w:rPr>
              <w:t>Variación % respecto al trimestre previo</w:t>
            </w:r>
          </w:p>
        </w:tc>
        <w:tc>
          <w:tcPr>
            <w:tcW w:w="1701" w:type="dxa"/>
            <w:tcBorders>
              <w:top w:val="double" w:sz="4" w:space="0" w:color="auto"/>
              <w:left w:val="single" w:sz="8" w:space="0" w:color="404040"/>
              <w:bottom w:val="single" w:sz="8" w:space="0" w:color="404040"/>
              <w:right w:val="double" w:sz="4" w:space="0" w:color="auto"/>
            </w:tcBorders>
            <w:shd w:val="clear" w:color="auto" w:fill="C2D69B" w:themeFill="accent3" w:themeFillTint="99"/>
            <w:vAlign w:val="center"/>
            <w:hideMark/>
          </w:tcPr>
          <w:p w14:paraId="6FFEAEA9" w14:textId="77777777" w:rsidR="00AF3516" w:rsidRDefault="00AF3516" w:rsidP="00EA56AB">
            <w:pPr>
              <w:pStyle w:val="p0"/>
              <w:keepNext/>
              <w:spacing w:before="60"/>
              <w:jc w:val="center"/>
              <w:rPr>
                <w:rFonts w:cs="Arial"/>
                <w:color w:val="auto"/>
                <w:sz w:val="18"/>
                <w:lang w:val="es-ES"/>
              </w:rPr>
            </w:pPr>
            <w:r>
              <w:rPr>
                <w:rFonts w:cs="Arial"/>
                <w:color w:val="auto"/>
                <w:sz w:val="18"/>
                <w:lang w:val="es-ES"/>
              </w:rPr>
              <w:t>Variación % respecto a igual trimestre de 2020</w:t>
            </w:r>
          </w:p>
        </w:tc>
      </w:tr>
      <w:tr w:rsidR="00AF3516" w14:paraId="1BA71165" w14:textId="77777777" w:rsidTr="00EA56AB">
        <w:trPr>
          <w:cantSplit/>
          <w:trHeight w:val="20"/>
          <w:jc w:val="center"/>
        </w:trPr>
        <w:tc>
          <w:tcPr>
            <w:tcW w:w="3104" w:type="dxa"/>
            <w:tcBorders>
              <w:top w:val="single" w:sz="8" w:space="0" w:color="404040"/>
              <w:left w:val="double" w:sz="4" w:space="0" w:color="auto"/>
              <w:bottom w:val="nil"/>
              <w:right w:val="single" w:sz="8" w:space="0" w:color="404040"/>
            </w:tcBorders>
            <w:hideMark/>
          </w:tcPr>
          <w:p w14:paraId="6EDA2F65" w14:textId="77777777" w:rsidR="00AF3516" w:rsidRPr="002F10D1" w:rsidRDefault="00AF3516" w:rsidP="00EA56AB">
            <w:pPr>
              <w:pStyle w:val="p0"/>
              <w:spacing w:before="120" w:after="60"/>
              <w:ind w:firstLine="159"/>
              <w:rPr>
                <w:rFonts w:cs="Arial"/>
                <w:b/>
                <w:color w:val="auto"/>
                <w:sz w:val="18"/>
                <w:lang w:val="es-ES"/>
              </w:rPr>
            </w:pPr>
            <w:r>
              <w:rPr>
                <w:rFonts w:cs="Arial"/>
                <w:sz w:val="18"/>
              </w:rPr>
              <w:br w:type="page"/>
            </w:r>
            <w:r w:rsidRPr="002F10D1">
              <w:rPr>
                <w:rFonts w:cs="Arial"/>
                <w:b/>
                <w:color w:val="auto"/>
                <w:sz w:val="18"/>
                <w:lang w:val="es-ES"/>
              </w:rPr>
              <w:t xml:space="preserve">PIB </w:t>
            </w:r>
            <w:r>
              <w:rPr>
                <w:rFonts w:cs="Arial"/>
                <w:b/>
                <w:color w:val="auto"/>
                <w:sz w:val="18"/>
                <w:lang w:val="es-ES"/>
              </w:rPr>
              <w:t>T</w:t>
            </w:r>
            <w:r w:rsidRPr="002F10D1">
              <w:rPr>
                <w:rFonts w:cs="Arial"/>
                <w:b/>
                <w:color w:val="auto"/>
                <w:sz w:val="18"/>
                <w:lang w:val="es-ES"/>
              </w:rPr>
              <w:t xml:space="preserve">urístico </w:t>
            </w:r>
          </w:p>
        </w:tc>
        <w:tc>
          <w:tcPr>
            <w:tcW w:w="1559" w:type="dxa"/>
            <w:tcBorders>
              <w:top w:val="single" w:sz="8" w:space="0" w:color="404040"/>
              <w:left w:val="single" w:sz="8" w:space="0" w:color="404040"/>
              <w:bottom w:val="nil"/>
              <w:right w:val="single" w:sz="8" w:space="0" w:color="404040"/>
            </w:tcBorders>
            <w:vAlign w:val="center"/>
          </w:tcPr>
          <w:p w14:paraId="4359220A" w14:textId="77777777" w:rsidR="00AF3516" w:rsidRPr="00763739" w:rsidRDefault="00AF3516" w:rsidP="00EA56AB">
            <w:pPr>
              <w:tabs>
                <w:tab w:val="left" w:pos="307"/>
              </w:tabs>
              <w:spacing w:before="120" w:after="20"/>
              <w:ind w:right="510"/>
              <w:jc w:val="right"/>
              <w:rPr>
                <w:rFonts w:cs="Arial"/>
                <w:b/>
                <w:sz w:val="18"/>
                <w:lang w:val="es-ES" w:eastAsia="en-US"/>
              </w:rPr>
            </w:pPr>
            <w:r>
              <w:rPr>
                <w:rFonts w:cs="Arial"/>
                <w:b/>
                <w:sz w:val="18"/>
                <w:lang w:val="es-ES" w:eastAsia="en-US"/>
              </w:rPr>
              <w:t>(-)  1.8</w:t>
            </w:r>
          </w:p>
        </w:tc>
        <w:tc>
          <w:tcPr>
            <w:tcW w:w="1701" w:type="dxa"/>
            <w:tcBorders>
              <w:top w:val="single" w:sz="8" w:space="0" w:color="404040"/>
              <w:left w:val="single" w:sz="8" w:space="0" w:color="404040"/>
              <w:bottom w:val="nil"/>
              <w:right w:val="double" w:sz="4" w:space="0" w:color="auto"/>
            </w:tcBorders>
            <w:vAlign w:val="center"/>
          </w:tcPr>
          <w:p w14:paraId="4D7BA649" w14:textId="77777777" w:rsidR="00AF3516" w:rsidRPr="00763739" w:rsidRDefault="00AF3516" w:rsidP="00EA56AB">
            <w:pPr>
              <w:tabs>
                <w:tab w:val="left" w:pos="307"/>
                <w:tab w:val="decimal" w:pos="881"/>
              </w:tabs>
              <w:spacing w:before="120" w:after="20"/>
              <w:ind w:right="454"/>
              <w:jc w:val="right"/>
              <w:rPr>
                <w:rFonts w:cs="Arial"/>
                <w:b/>
                <w:sz w:val="18"/>
                <w:lang w:val="es-ES" w:eastAsia="en-US"/>
              </w:rPr>
            </w:pPr>
            <w:r w:rsidRPr="00763739">
              <w:rPr>
                <w:rFonts w:cs="Arial"/>
                <w:b/>
                <w:sz w:val="18"/>
                <w:lang w:val="es-ES" w:eastAsia="en-US"/>
              </w:rPr>
              <w:t>(-)  2</w:t>
            </w:r>
            <w:r>
              <w:rPr>
                <w:rFonts w:cs="Arial"/>
                <w:b/>
                <w:sz w:val="18"/>
                <w:lang w:val="es-ES" w:eastAsia="en-US"/>
              </w:rPr>
              <w:t>3</w:t>
            </w:r>
            <w:r w:rsidRPr="00763739">
              <w:rPr>
                <w:rFonts w:cs="Arial"/>
                <w:b/>
                <w:sz w:val="18"/>
                <w:lang w:val="es-ES" w:eastAsia="en-US"/>
              </w:rPr>
              <w:t>.</w:t>
            </w:r>
            <w:r>
              <w:rPr>
                <w:rFonts w:cs="Arial"/>
                <w:b/>
                <w:sz w:val="18"/>
                <w:lang w:val="es-ES" w:eastAsia="en-US"/>
              </w:rPr>
              <w:t>3</w:t>
            </w:r>
          </w:p>
        </w:tc>
      </w:tr>
      <w:tr w:rsidR="00AF3516" w14:paraId="5F9DF87D" w14:textId="77777777" w:rsidTr="00EA56AB">
        <w:trPr>
          <w:cantSplit/>
          <w:trHeight w:val="20"/>
          <w:jc w:val="center"/>
        </w:trPr>
        <w:tc>
          <w:tcPr>
            <w:tcW w:w="3104" w:type="dxa"/>
            <w:tcBorders>
              <w:top w:val="nil"/>
              <w:left w:val="double" w:sz="4" w:space="0" w:color="auto"/>
              <w:bottom w:val="nil"/>
              <w:right w:val="single" w:sz="8" w:space="0" w:color="404040"/>
            </w:tcBorders>
            <w:hideMark/>
          </w:tcPr>
          <w:p w14:paraId="7352FF1E" w14:textId="77777777" w:rsidR="00AF3516" w:rsidRDefault="00AF3516" w:rsidP="00EA56AB">
            <w:pPr>
              <w:pStyle w:val="p0"/>
              <w:spacing w:before="0"/>
              <w:ind w:firstLine="454"/>
              <w:rPr>
                <w:rFonts w:cs="Arial"/>
                <w:color w:val="auto"/>
                <w:sz w:val="18"/>
                <w:lang w:val="es-ES"/>
              </w:rPr>
            </w:pPr>
            <w:r>
              <w:rPr>
                <w:rFonts w:cs="Arial"/>
                <w:color w:val="auto"/>
                <w:sz w:val="18"/>
                <w:lang w:val="es-ES"/>
              </w:rPr>
              <w:t>Bienes</w:t>
            </w:r>
          </w:p>
        </w:tc>
        <w:tc>
          <w:tcPr>
            <w:tcW w:w="1559" w:type="dxa"/>
            <w:tcBorders>
              <w:top w:val="nil"/>
              <w:left w:val="single" w:sz="8" w:space="0" w:color="404040"/>
              <w:bottom w:val="nil"/>
              <w:right w:val="single" w:sz="8" w:space="0" w:color="404040"/>
            </w:tcBorders>
            <w:hideMark/>
          </w:tcPr>
          <w:p w14:paraId="52122147" w14:textId="77777777" w:rsidR="00AF3516" w:rsidRPr="00763739" w:rsidRDefault="00AF3516" w:rsidP="00EA56AB">
            <w:pPr>
              <w:tabs>
                <w:tab w:val="left" w:pos="307"/>
              </w:tabs>
              <w:ind w:right="510"/>
              <w:jc w:val="right"/>
              <w:rPr>
                <w:rFonts w:cs="Arial"/>
                <w:sz w:val="18"/>
                <w:lang w:val="es-ES" w:eastAsia="en-US"/>
              </w:rPr>
            </w:pPr>
            <w:r>
              <w:rPr>
                <w:rFonts w:cs="Arial"/>
                <w:sz w:val="18"/>
                <w:lang w:val="es-ES" w:eastAsia="en-US"/>
              </w:rPr>
              <w:t>(-)  4.1</w:t>
            </w:r>
          </w:p>
        </w:tc>
        <w:tc>
          <w:tcPr>
            <w:tcW w:w="1701" w:type="dxa"/>
            <w:tcBorders>
              <w:top w:val="nil"/>
              <w:left w:val="single" w:sz="8" w:space="0" w:color="404040"/>
              <w:bottom w:val="nil"/>
              <w:right w:val="double" w:sz="4" w:space="0" w:color="auto"/>
            </w:tcBorders>
            <w:hideMark/>
          </w:tcPr>
          <w:p w14:paraId="1C93728B" w14:textId="77777777" w:rsidR="00AF3516" w:rsidRPr="00763739" w:rsidRDefault="00AF3516" w:rsidP="00EA56AB">
            <w:pPr>
              <w:tabs>
                <w:tab w:val="left" w:pos="307"/>
                <w:tab w:val="decimal" w:pos="881"/>
              </w:tabs>
              <w:ind w:right="454"/>
              <w:jc w:val="right"/>
              <w:rPr>
                <w:rFonts w:cs="Arial"/>
                <w:sz w:val="18"/>
                <w:lang w:val="es-ES" w:eastAsia="en-US"/>
              </w:rPr>
            </w:pPr>
            <w:r w:rsidRPr="00763739">
              <w:rPr>
                <w:rFonts w:cs="Arial"/>
                <w:sz w:val="18"/>
                <w:lang w:val="es-ES" w:eastAsia="en-US"/>
              </w:rPr>
              <w:t>(-)  24</w:t>
            </w:r>
            <w:r>
              <w:rPr>
                <w:rFonts w:cs="Arial"/>
                <w:sz w:val="18"/>
                <w:lang w:val="es-ES" w:eastAsia="en-US"/>
              </w:rPr>
              <w:t>.9</w:t>
            </w:r>
          </w:p>
        </w:tc>
      </w:tr>
      <w:tr w:rsidR="00AF3516" w14:paraId="10EB3B17" w14:textId="77777777" w:rsidTr="00EA56AB">
        <w:trPr>
          <w:cantSplit/>
          <w:trHeight w:val="20"/>
          <w:jc w:val="center"/>
        </w:trPr>
        <w:tc>
          <w:tcPr>
            <w:tcW w:w="3104" w:type="dxa"/>
            <w:tcBorders>
              <w:top w:val="nil"/>
              <w:left w:val="double" w:sz="4" w:space="0" w:color="auto"/>
              <w:bottom w:val="nil"/>
              <w:right w:val="single" w:sz="8" w:space="0" w:color="404040"/>
            </w:tcBorders>
            <w:hideMark/>
          </w:tcPr>
          <w:p w14:paraId="4A52C3E1" w14:textId="77777777" w:rsidR="00AF3516" w:rsidRDefault="00AF3516" w:rsidP="00EA56AB">
            <w:pPr>
              <w:pStyle w:val="p0"/>
              <w:spacing w:before="0"/>
              <w:ind w:firstLine="454"/>
              <w:rPr>
                <w:rFonts w:cs="Arial"/>
                <w:color w:val="auto"/>
                <w:sz w:val="18"/>
                <w:lang w:val="es-ES"/>
              </w:rPr>
            </w:pPr>
            <w:r>
              <w:rPr>
                <w:rFonts w:cs="Arial"/>
                <w:color w:val="auto"/>
                <w:sz w:val="18"/>
                <w:lang w:val="es-ES"/>
              </w:rPr>
              <w:t>Servicios</w:t>
            </w:r>
          </w:p>
        </w:tc>
        <w:tc>
          <w:tcPr>
            <w:tcW w:w="1559" w:type="dxa"/>
            <w:tcBorders>
              <w:top w:val="nil"/>
              <w:left w:val="single" w:sz="8" w:space="0" w:color="404040"/>
              <w:bottom w:val="nil"/>
              <w:right w:val="single" w:sz="8" w:space="0" w:color="404040"/>
            </w:tcBorders>
            <w:hideMark/>
          </w:tcPr>
          <w:p w14:paraId="64315ADD" w14:textId="77777777" w:rsidR="00AF3516" w:rsidRPr="00763739" w:rsidRDefault="00AF3516" w:rsidP="00EA56AB">
            <w:pPr>
              <w:tabs>
                <w:tab w:val="left" w:pos="307"/>
              </w:tabs>
              <w:ind w:right="510"/>
              <w:jc w:val="right"/>
              <w:rPr>
                <w:rFonts w:cs="Arial"/>
                <w:sz w:val="18"/>
                <w:lang w:val="es-ES" w:eastAsia="en-US"/>
              </w:rPr>
            </w:pPr>
            <w:r>
              <w:rPr>
                <w:rFonts w:cs="Arial"/>
                <w:sz w:val="18"/>
                <w:lang w:val="es-ES" w:eastAsia="en-US"/>
              </w:rPr>
              <w:t>(-)  0.5</w:t>
            </w:r>
          </w:p>
        </w:tc>
        <w:tc>
          <w:tcPr>
            <w:tcW w:w="1701" w:type="dxa"/>
            <w:tcBorders>
              <w:top w:val="nil"/>
              <w:left w:val="single" w:sz="8" w:space="0" w:color="404040"/>
              <w:bottom w:val="nil"/>
              <w:right w:val="double" w:sz="4" w:space="0" w:color="auto"/>
            </w:tcBorders>
            <w:hideMark/>
          </w:tcPr>
          <w:p w14:paraId="5477BF1A" w14:textId="77777777" w:rsidR="00AF3516" w:rsidRPr="00763739" w:rsidRDefault="00AF3516" w:rsidP="00EA56AB">
            <w:pPr>
              <w:tabs>
                <w:tab w:val="left" w:pos="307"/>
                <w:tab w:val="decimal" w:pos="881"/>
              </w:tabs>
              <w:ind w:right="454"/>
              <w:jc w:val="right"/>
              <w:rPr>
                <w:rFonts w:cs="Arial"/>
                <w:sz w:val="18"/>
                <w:lang w:val="es-ES" w:eastAsia="en-US"/>
              </w:rPr>
            </w:pPr>
            <w:r w:rsidRPr="00763739">
              <w:rPr>
                <w:rFonts w:cs="Arial"/>
                <w:sz w:val="18"/>
                <w:lang w:val="es-ES" w:eastAsia="en-US"/>
              </w:rPr>
              <w:t>(-)  2</w:t>
            </w:r>
            <w:r>
              <w:rPr>
                <w:rFonts w:cs="Arial"/>
                <w:sz w:val="18"/>
                <w:lang w:val="es-ES" w:eastAsia="en-US"/>
              </w:rPr>
              <w:t>2</w:t>
            </w:r>
            <w:r w:rsidRPr="00763739">
              <w:rPr>
                <w:rFonts w:cs="Arial"/>
                <w:sz w:val="18"/>
                <w:lang w:val="es-ES" w:eastAsia="en-US"/>
              </w:rPr>
              <w:t>.</w:t>
            </w:r>
            <w:r>
              <w:rPr>
                <w:rFonts w:cs="Arial"/>
                <w:sz w:val="18"/>
                <w:lang w:val="es-ES" w:eastAsia="en-US"/>
              </w:rPr>
              <w:t>8</w:t>
            </w:r>
          </w:p>
        </w:tc>
      </w:tr>
      <w:tr w:rsidR="00AF3516" w14:paraId="62AD226E" w14:textId="77777777" w:rsidTr="00EA56AB">
        <w:trPr>
          <w:cantSplit/>
          <w:trHeight w:val="20"/>
          <w:jc w:val="center"/>
        </w:trPr>
        <w:tc>
          <w:tcPr>
            <w:tcW w:w="3104" w:type="dxa"/>
            <w:tcBorders>
              <w:top w:val="nil"/>
              <w:left w:val="double" w:sz="4" w:space="0" w:color="auto"/>
              <w:bottom w:val="nil"/>
              <w:right w:val="single" w:sz="8" w:space="0" w:color="404040"/>
            </w:tcBorders>
            <w:hideMark/>
          </w:tcPr>
          <w:p w14:paraId="2B469163" w14:textId="77777777" w:rsidR="00AF3516" w:rsidRPr="002F10D1" w:rsidRDefault="00AF3516" w:rsidP="00EA56AB">
            <w:pPr>
              <w:pStyle w:val="p0"/>
              <w:spacing w:before="120" w:after="60"/>
              <w:ind w:firstLine="159"/>
              <w:rPr>
                <w:rFonts w:cs="Arial"/>
                <w:b/>
                <w:color w:val="auto"/>
                <w:sz w:val="18"/>
                <w:lang w:val="es-ES"/>
              </w:rPr>
            </w:pPr>
            <w:r w:rsidRPr="002F10D1">
              <w:rPr>
                <w:rFonts w:cs="Arial"/>
                <w:b/>
                <w:color w:val="auto"/>
                <w:sz w:val="18"/>
                <w:lang w:val="es-ES"/>
              </w:rPr>
              <w:t xml:space="preserve">Consumo </w:t>
            </w:r>
            <w:r>
              <w:rPr>
                <w:rFonts w:cs="Arial"/>
                <w:b/>
                <w:color w:val="auto"/>
                <w:sz w:val="18"/>
                <w:lang w:val="es-ES"/>
              </w:rPr>
              <w:t>T</w:t>
            </w:r>
            <w:r w:rsidRPr="002F10D1">
              <w:rPr>
                <w:rFonts w:cs="Arial"/>
                <w:b/>
                <w:color w:val="auto"/>
                <w:sz w:val="18"/>
                <w:lang w:val="es-ES"/>
              </w:rPr>
              <w:t>urístico Interior</w:t>
            </w:r>
          </w:p>
        </w:tc>
        <w:tc>
          <w:tcPr>
            <w:tcW w:w="1559" w:type="dxa"/>
            <w:tcBorders>
              <w:top w:val="nil"/>
              <w:left w:val="single" w:sz="8" w:space="0" w:color="404040"/>
              <w:bottom w:val="nil"/>
              <w:right w:val="single" w:sz="8" w:space="0" w:color="404040"/>
            </w:tcBorders>
          </w:tcPr>
          <w:p w14:paraId="4D444700" w14:textId="77777777" w:rsidR="00AF3516" w:rsidRPr="00763739" w:rsidRDefault="00AF3516" w:rsidP="00EA56AB">
            <w:pPr>
              <w:tabs>
                <w:tab w:val="left" w:pos="307"/>
              </w:tabs>
              <w:spacing w:before="120" w:after="20"/>
              <w:ind w:right="510"/>
              <w:jc w:val="right"/>
              <w:rPr>
                <w:rFonts w:cs="Arial"/>
                <w:b/>
                <w:sz w:val="18"/>
                <w:lang w:val="es-ES" w:eastAsia="en-US"/>
              </w:rPr>
            </w:pPr>
            <w:r>
              <w:rPr>
                <w:rFonts w:cs="Arial"/>
                <w:b/>
                <w:sz w:val="18"/>
                <w:lang w:val="es-ES" w:eastAsia="en-US"/>
              </w:rPr>
              <w:t>(-)  1.8</w:t>
            </w:r>
          </w:p>
        </w:tc>
        <w:tc>
          <w:tcPr>
            <w:tcW w:w="1701" w:type="dxa"/>
            <w:tcBorders>
              <w:top w:val="nil"/>
              <w:left w:val="single" w:sz="8" w:space="0" w:color="404040"/>
              <w:bottom w:val="nil"/>
              <w:right w:val="double" w:sz="4" w:space="0" w:color="auto"/>
            </w:tcBorders>
          </w:tcPr>
          <w:p w14:paraId="4F64A224" w14:textId="77777777" w:rsidR="00AF3516" w:rsidRPr="00763739" w:rsidRDefault="00AF3516" w:rsidP="00EA56AB">
            <w:pPr>
              <w:tabs>
                <w:tab w:val="left" w:pos="307"/>
                <w:tab w:val="decimal" w:pos="881"/>
              </w:tabs>
              <w:spacing w:before="120" w:after="20"/>
              <w:ind w:right="454"/>
              <w:jc w:val="right"/>
              <w:rPr>
                <w:rFonts w:cs="Arial"/>
                <w:b/>
                <w:sz w:val="18"/>
                <w:lang w:val="es-ES" w:eastAsia="en-US"/>
              </w:rPr>
            </w:pPr>
            <w:r w:rsidRPr="00763739">
              <w:rPr>
                <w:rFonts w:cs="Arial"/>
                <w:b/>
                <w:sz w:val="18"/>
                <w:lang w:val="es-ES" w:eastAsia="en-US"/>
              </w:rPr>
              <w:t>(-)  23</w:t>
            </w:r>
            <w:r>
              <w:rPr>
                <w:rFonts w:cs="Arial"/>
                <w:b/>
                <w:sz w:val="18"/>
                <w:lang w:val="es-ES" w:eastAsia="en-US"/>
              </w:rPr>
              <w:t>.1</w:t>
            </w:r>
          </w:p>
        </w:tc>
      </w:tr>
      <w:tr w:rsidR="00AF3516" w14:paraId="39570B7E" w14:textId="77777777" w:rsidTr="00EA56AB">
        <w:trPr>
          <w:cantSplit/>
          <w:trHeight w:val="20"/>
          <w:jc w:val="center"/>
        </w:trPr>
        <w:tc>
          <w:tcPr>
            <w:tcW w:w="3104" w:type="dxa"/>
            <w:tcBorders>
              <w:top w:val="nil"/>
              <w:left w:val="double" w:sz="4" w:space="0" w:color="auto"/>
              <w:right w:val="single" w:sz="8" w:space="0" w:color="404040"/>
            </w:tcBorders>
          </w:tcPr>
          <w:p w14:paraId="270ED09F" w14:textId="77777777" w:rsidR="00AF3516" w:rsidRPr="00053A68" w:rsidRDefault="00AF3516" w:rsidP="00EA56AB">
            <w:pPr>
              <w:pStyle w:val="p0"/>
              <w:spacing w:before="0"/>
              <w:ind w:firstLine="454"/>
              <w:rPr>
                <w:rFonts w:cs="Arial"/>
                <w:color w:val="auto"/>
                <w:sz w:val="18"/>
                <w:lang w:val="es-ES"/>
              </w:rPr>
            </w:pPr>
            <w:r w:rsidRPr="002D5B11">
              <w:rPr>
                <w:rFonts w:cs="Arial"/>
                <w:color w:val="auto"/>
                <w:sz w:val="18"/>
                <w:lang w:val="es-ES"/>
              </w:rPr>
              <w:t>Interno</w:t>
            </w:r>
          </w:p>
        </w:tc>
        <w:tc>
          <w:tcPr>
            <w:tcW w:w="1559" w:type="dxa"/>
            <w:tcBorders>
              <w:top w:val="nil"/>
              <w:left w:val="single" w:sz="8" w:space="0" w:color="404040"/>
              <w:right w:val="single" w:sz="8" w:space="0" w:color="404040"/>
            </w:tcBorders>
          </w:tcPr>
          <w:p w14:paraId="7E66247F" w14:textId="77777777" w:rsidR="00AF3516" w:rsidRPr="00763739" w:rsidRDefault="00AF3516" w:rsidP="00EA56AB">
            <w:pPr>
              <w:tabs>
                <w:tab w:val="left" w:pos="307"/>
                <w:tab w:val="decimal" w:pos="881"/>
              </w:tabs>
              <w:ind w:right="510"/>
              <w:jc w:val="right"/>
              <w:rPr>
                <w:rFonts w:cs="Arial"/>
                <w:sz w:val="18"/>
                <w:lang w:val="es-ES"/>
              </w:rPr>
            </w:pPr>
            <w:r>
              <w:rPr>
                <w:rFonts w:cs="Arial"/>
                <w:sz w:val="18"/>
                <w:lang w:val="es-ES"/>
              </w:rPr>
              <w:t>(-)  0.5</w:t>
            </w:r>
          </w:p>
        </w:tc>
        <w:tc>
          <w:tcPr>
            <w:tcW w:w="1701" w:type="dxa"/>
            <w:tcBorders>
              <w:top w:val="nil"/>
              <w:left w:val="single" w:sz="8" w:space="0" w:color="404040"/>
              <w:right w:val="double" w:sz="4" w:space="0" w:color="auto"/>
            </w:tcBorders>
          </w:tcPr>
          <w:p w14:paraId="2F9319F1" w14:textId="77777777" w:rsidR="00AF3516" w:rsidRPr="00763739" w:rsidRDefault="00AF3516" w:rsidP="00EA56AB">
            <w:pPr>
              <w:tabs>
                <w:tab w:val="left" w:pos="307"/>
                <w:tab w:val="decimal" w:pos="881"/>
              </w:tabs>
              <w:ind w:right="454"/>
              <w:jc w:val="right"/>
              <w:rPr>
                <w:rFonts w:cs="Arial"/>
                <w:sz w:val="18"/>
                <w:lang w:val="es-ES"/>
              </w:rPr>
            </w:pPr>
            <w:r w:rsidRPr="00763739">
              <w:rPr>
                <w:rFonts w:cs="Arial"/>
                <w:sz w:val="18"/>
                <w:lang w:val="es-ES"/>
              </w:rPr>
              <w:t xml:space="preserve">(-)  </w:t>
            </w:r>
            <w:r>
              <w:rPr>
                <w:rFonts w:cs="Arial"/>
                <w:sz w:val="18"/>
                <w:lang w:val="es-ES"/>
              </w:rPr>
              <w:t>16.6</w:t>
            </w:r>
          </w:p>
        </w:tc>
      </w:tr>
      <w:tr w:rsidR="00AF3516" w14:paraId="45578FE9" w14:textId="77777777" w:rsidTr="00EA56AB">
        <w:trPr>
          <w:cantSplit/>
          <w:trHeight w:val="20"/>
          <w:jc w:val="center"/>
        </w:trPr>
        <w:tc>
          <w:tcPr>
            <w:tcW w:w="3104" w:type="dxa"/>
            <w:tcBorders>
              <w:top w:val="nil"/>
              <w:left w:val="double" w:sz="4" w:space="0" w:color="auto"/>
              <w:bottom w:val="double" w:sz="4" w:space="0" w:color="auto"/>
              <w:right w:val="single" w:sz="8" w:space="0" w:color="404040"/>
            </w:tcBorders>
          </w:tcPr>
          <w:p w14:paraId="5B60AB8D" w14:textId="77777777" w:rsidR="00AF3516" w:rsidRDefault="00AF3516" w:rsidP="00EA56AB">
            <w:pPr>
              <w:pStyle w:val="p0"/>
              <w:spacing w:before="0" w:after="60"/>
              <w:ind w:firstLine="454"/>
              <w:rPr>
                <w:rFonts w:cs="Arial"/>
                <w:color w:val="auto"/>
                <w:sz w:val="18"/>
                <w:lang w:val="es-ES"/>
              </w:rPr>
            </w:pPr>
            <w:r>
              <w:rPr>
                <w:rFonts w:cs="Arial"/>
                <w:color w:val="auto"/>
                <w:sz w:val="18"/>
                <w:lang w:val="es-ES"/>
              </w:rPr>
              <w:t>Receptivo</w:t>
            </w:r>
          </w:p>
        </w:tc>
        <w:tc>
          <w:tcPr>
            <w:tcW w:w="1559" w:type="dxa"/>
            <w:tcBorders>
              <w:top w:val="nil"/>
              <w:left w:val="single" w:sz="8" w:space="0" w:color="404040"/>
              <w:bottom w:val="double" w:sz="4" w:space="0" w:color="auto"/>
              <w:right w:val="single" w:sz="8" w:space="0" w:color="404040"/>
            </w:tcBorders>
          </w:tcPr>
          <w:p w14:paraId="26A224B4" w14:textId="77777777" w:rsidR="00AF3516" w:rsidRPr="00763739" w:rsidRDefault="00AF3516" w:rsidP="00EA56AB">
            <w:pPr>
              <w:tabs>
                <w:tab w:val="left" w:pos="307"/>
                <w:tab w:val="decimal" w:pos="881"/>
              </w:tabs>
              <w:spacing w:after="60"/>
              <w:ind w:right="510"/>
              <w:jc w:val="right"/>
              <w:rPr>
                <w:rFonts w:cs="Arial"/>
                <w:sz w:val="18"/>
                <w:lang w:val="es-ES"/>
              </w:rPr>
            </w:pPr>
            <w:r>
              <w:rPr>
                <w:rFonts w:cs="Arial"/>
                <w:sz w:val="18"/>
                <w:lang w:val="es-ES"/>
              </w:rPr>
              <w:t>(-)  7.6</w:t>
            </w:r>
          </w:p>
        </w:tc>
        <w:tc>
          <w:tcPr>
            <w:tcW w:w="1701" w:type="dxa"/>
            <w:tcBorders>
              <w:top w:val="nil"/>
              <w:left w:val="single" w:sz="8" w:space="0" w:color="404040"/>
              <w:bottom w:val="double" w:sz="4" w:space="0" w:color="auto"/>
              <w:right w:val="double" w:sz="4" w:space="0" w:color="auto"/>
            </w:tcBorders>
          </w:tcPr>
          <w:p w14:paraId="3566D71F" w14:textId="77777777" w:rsidR="00AF3516" w:rsidRPr="00763739" w:rsidRDefault="00AF3516" w:rsidP="00EA56AB">
            <w:pPr>
              <w:tabs>
                <w:tab w:val="left" w:pos="307"/>
                <w:tab w:val="decimal" w:pos="881"/>
              </w:tabs>
              <w:spacing w:after="60"/>
              <w:ind w:right="454"/>
              <w:jc w:val="right"/>
              <w:rPr>
                <w:rFonts w:cs="Arial"/>
                <w:sz w:val="18"/>
                <w:lang w:val="es-ES"/>
              </w:rPr>
            </w:pPr>
            <w:r w:rsidRPr="00763739">
              <w:rPr>
                <w:rFonts w:cs="Arial"/>
                <w:sz w:val="18"/>
                <w:lang w:val="es-ES"/>
              </w:rPr>
              <w:t>(-)  51.</w:t>
            </w:r>
            <w:r>
              <w:rPr>
                <w:rFonts w:cs="Arial"/>
                <w:sz w:val="18"/>
                <w:lang w:val="es-ES"/>
              </w:rPr>
              <w:t>9</w:t>
            </w:r>
          </w:p>
        </w:tc>
      </w:tr>
    </w:tbl>
    <w:p w14:paraId="4B38BAB5" w14:textId="77777777" w:rsidR="00AF3516" w:rsidRDefault="00AF3516" w:rsidP="00AF3516">
      <w:pPr>
        <w:pStyle w:val="Textoindependiente"/>
        <w:ind w:left="720" w:right="1185" w:firstLine="720"/>
        <w:contextualSpacing/>
        <w:rPr>
          <w:snapToGrid/>
          <w:color w:val="auto"/>
          <w:sz w:val="16"/>
          <w:szCs w:val="22"/>
        </w:rPr>
      </w:pPr>
      <w:r>
        <w:rPr>
          <w:sz w:val="16"/>
          <w:szCs w:val="16"/>
        </w:rPr>
        <w:t>Nota:    L</w:t>
      </w:r>
      <w:r w:rsidRPr="00CD2934">
        <w:rPr>
          <w:color w:val="auto"/>
          <w:sz w:val="16"/>
        </w:rPr>
        <w:t>a</w:t>
      </w:r>
      <w:r>
        <w:rPr>
          <w:color w:val="auto"/>
          <w:sz w:val="16"/>
        </w:rPr>
        <w:t>s</w:t>
      </w:r>
      <w:r w:rsidRPr="00CD2934">
        <w:rPr>
          <w:color w:val="auto"/>
          <w:sz w:val="16"/>
        </w:rPr>
        <w:t xml:space="preserve"> serie</w:t>
      </w:r>
      <w:r>
        <w:rPr>
          <w:color w:val="auto"/>
          <w:sz w:val="16"/>
        </w:rPr>
        <w:t>s</w:t>
      </w:r>
      <w:r w:rsidRPr="00CD2934">
        <w:rPr>
          <w:color w:val="auto"/>
          <w:sz w:val="16"/>
        </w:rPr>
        <w:t xml:space="preserve"> desestacionalizada</w:t>
      </w:r>
      <w:r>
        <w:rPr>
          <w:color w:val="auto"/>
          <w:sz w:val="16"/>
        </w:rPr>
        <w:t>s</w:t>
      </w:r>
      <w:r w:rsidRPr="00CD2934">
        <w:rPr>
          <w:color w:val="auto"/>
          <w:sz w:val="16"/>
        </w:rPr>
        <w:t xml:space="preserve"> del </w:t>
      </w:r>
      <w:r w:rsidRPr="00CD2934">
        <w:rPr>
          <w:snapToGrid/>
          <w:color w:val="auto"/>
          <w:sz w:val="16"/>
          <w:szCs w:val="22"/>
        </w:rPr>
        <w:t>Indicador Trimestral del PIB Turístico</w:t>
      </w:r>
      <w:r w:rsidRPr="00E81E9F">
        <w:rPr>
          <w:color w:val="auto"/>
          <w:sz w:val="16"/>
        </w:rPr>
        <w:t xml:space="preserve"> </w:t>
      </w:r>
      <w:r>
        <w:rPr>
          <w:color w:val="auto"/>
          <w:sz w:val="16"/>
        </w:rPr>
        <w:t>y del</w:t>
      </w:r>
    </w:p>
    <w:p w14:paraId="5A5F7C28" w14:textId="77777777" w:rsidR="00AF3516" w:rsidRDefault="00AF3516" w:rsidP="00AF3516">
      <w:pPr>
        <w:pStyle w:val="Textoindependiente"/>
        <w:ind w:left="1440" w:right="1185"/>
        <w:contextualSpacing/>
        <w:rPr>
          <w:color w:val="auto"/>
          <w:sz w:val="16"/>
        </w:rPr>
      </w:pPr>
      <w:r>
        <w:rPr>
          <w:color w:val="auto"/>
          <w:sz w:val="16"/>
        </w:rPr>
        <w:t xml:space="preserve">            Consumo Turístico Interior </w:t>
      </w:r>
      <w:r w:rsidRPr="00CD2934">
        <w:rPr>
          <w:color w:val="auto"/>
          <w:sz w:val="16"/>
        </w:rPr>
        <w:t>se calcula</w:t>
      </w:r>
      <w:r>
        <w:rPr>
          <w:color w:val="auto"/>
          <w:sz w:val="16"/>
        </w:rPr>
        <w:t xml:space="preserve">n </w:t>
      </w:r>
      <w:r w:rsidRPr="00CD2934">
        <w:rPr>
          <w:color w:val="auto"/>
          <w:sz w:val="16"/>
        </w:rPr>
        <w:t>de manera</w:t>
      </w:r>
      <w:r>
        <w:rPr>
          <w:color w:val="auto"/>
          <w:sz w:val="16"/>
        </w:rPr>
        <w:t xml:space="preserve"> </w:t>
      </w:r>
      <w:r w:rsidRPr="00CD2934">
        <w:rPr>
          <w:color w:val="auto"/>
          <w:sz w:val="16"/>
        </w:rPr>
        <w:t>independiente a la</w:t>
      </w:r>
      <w:r>
        <w:rPr>
          <w:color w:val="auto"/>
          <w:sz w:val="16"/>
        </w:rPr>
        <w:t>s</w:t>
      </w:r>
      <w:r w:rsidRPr="00CD2934">
        <w:rPr>
          <w:color w:val="auto"/>
          <w:sz w:val="16"/>
        </w:rPr>
        <w:t xml:space="preserve"> de sus</w:t>
      </w:r>
      <w:r>
        <w:rPr>
          <w:color w:val="auto"/>
          <w:sz w:val="16"/>
        </w:rPr>
        <w:t xml:space="preserve"> </w:t>
      </w:r>
    </w:p>
    <w:p w14:paraId="1C2AF289" w14:textId="77777777" w:rsidR="00AF3516" w:rsidRDefault="00AF3516" w:rsidP="00AF3516">
      <w:pPr>
        <w:pStyle w:val="Textoindependiente"/>
        <w:ind w:left="1418" w:right="1185" w:firstLine="22"/>
        <w:contextualSpacing/>
        <w:rPr>
          <w:sz w:val="16"/>
          <w:szCs w:val="16"/>
        </w:rPr>
      </w:pPr>
      <w:r>
        <w:rPr>
          <w:color w:val="auto"/>
          <w:sz w:val="16"/>
        </w:rPr>
        <w:t xml:space="preserve">            componentes.</w:t>
      </w:r>
    </w:p>
    <w:p w14:paraId="36A729BE" w14:textId="77777777" w:rsidR="00AF3516" w:rsidRDefault="00AF3516" w:rsidP="00AF3516">
      <w:pPr>
        <w:pStyle w:val="Textoindependiente"/>
        <w:widowControl w:val="0"/>
        <w:ind w:left="1276" w:right="1185"/>
        <w:contextualSpacing/>
        <w:rPr>
          <w:sz w:val="16"/>
          <w:szCs w:val="16"/>
        </w:rPr>
      </w:pPr>
      <w:r>
        <w:rPr>
          <w:sz w:val="16"/>
          <w:szCs w:val="16"/>
        </w:rPr>
        <w:t xml:space="preserve">   Fuente: INEGI.</w:t>
      </w:r>
    </w:p>
    <w:p w14:paraId="45F92BCD" w14:textId="77777777" w:rsidR="00AF3516" w:rsidRPr="00701527" w:rsidRDefault="00AF3516" w:rsidP="00AF3516">
      <w:pPr>
        <w:pStyle w:val="bullet"/>
        <w:widowControl/>
        <w:numPr>
          <w:ilvl w:val="0"/>
          <w:numId w:val="0"/>
        </w:numPr>
        <w:tabs>
          <w:tab w:val="left" w:pos="8364"/>
        </w:tabs>
        <w:spacing w:before="0"/>
        <w:ind w:left="-142" w:right="-405" w:firstLine="142"/>
        <w:rPr>
          <w:b w:val="0"/>
          <w:snapToGrid/>
          <w:color w:val="auto"/>
          <w:sz w:val="24"/>
          <w:szCs w:val="24"/>
        </w:rPr>
      </w:pPr>
    </w:p>
    <w:p w14:paraId="03121FC8" w14:textId="77777777" w:rsidR="00AF3516" w:rsidRPr="00D5473A" w:rsidRDefault="00AF3516" w:rsidP="00AF3516">
      <w:pPr>
        <w:pStyle w:val="bullet"/>
        <w:widowControl/>
        <w:numPr>
          <w:ilvl w:val="0"/>
          <w:numId w:val="0"/>
        </w:numPr>
        <w:tabs>
          <w:tab w:val="left" w:pos="8364"/>
        </w:tabs>
        <w:spacing w:before="360"/>
        <w:ind w:left="-426" w:right="-547"/>
        <w:rPr>
          <w:b w:val="0"/>
          <w:snapToGrid/>
          <w:color w:val="auto"/>
          <w:sz w:val="24"/>
          <w:szCs w:val="24"/>
        </w:rPr>
      </w:pPr>
      <w:r w:rsidRPr="00D5473A">
        <w:rPr>
          <w:b w:val="0"/>
          <w:snapToGrid/>
          <w:color w:val="auto"/>
          <w:sz w:val="24"/>
          <w:szCs w:val="24"/>
        </w:rPr>
        <w:t>En su comparación anual</w:t>
      </w:r>
      <w:r w:rsidRPr="00D5473A">
        <w:rPr>
          <w:b w:val="0"/>
          <w:color w:val="auto"/>
          <w:sz w:val="24"/>
          <w:szCs w:val="24"/>
          <w:vertAlign w:val="superscript"/>
        </w:rPr>
        <w:footnoteReference w:id="3"/>
      </w:r>
      <w:r w:rsidRPr="00D5473A">
        <w:rPr>
          <w:b w:val="0"/>
          <w:snapToGrid/>
          <w:color w:val="auto"/>
          <w:sz w:val="24"/>
          <w:szCs w:val="24"/>
        </w:rPr>
        <w:t xml:space="preserve">, el Indicador Trimestral del PIB Turístico reportó un descenso de 23.3% y el del Consumo Turístico Interior una caída de 23.1% respecto a igual trimestre de 2020. </w:t>
      </w:r>
    </w:p>
    <w:p w14:paraId="6959F9FF" w14:textId="77777777" w:rsidR="00AF3516" w:rsidRPr="00D5473A" w:rsidRDefault="00AF3516" w:rsidP="00AF3516">
      <w:pPr>
        <w:pStyle w:val="p0"/>
        <w:ind w:left="-142" w:right="-405"/>
        <w:rPr>
          <w:bCs/>
          <w:szCs w:val="24"/>
        </w:rPr>
      </w:pPr>
    </w:p>
    <w:p w14:paraId="3BD88A46" w14:textId="77777777" w:rsidR="00AF3516" w:rsidRDefault="00AF3516" w:rsidP="00AF3516">
      <w:pPr>
        <w:pStyle w:val="p0"/>
        <w:spacing w:before="360"/>
        <w:rPr>
          <w:rFonts w:cs="Arial"/>
          <w:color w:val="000000"/>
          <w:szCs w:val="24"/>
        </w:rPr>
      </w:pPr>
      <w:r w:rsidRPr="0073632D">
        <w:rPr>
          <w:rFonts w:cs="Arial"/>
          <w:color w:val="000000"/>
          <w:szCs w:val="24"/>
        </w:rPr>
        <w:tab/>
      </w:r>
    </w:p>
    <w:p w14:paraId="7D3D79B7" w14:textId="77777777" w:rsidR="00AF3516" w:rsidRDefault="00AF3516" w:rsidP="00AF3516">
      <w:pPr>
        <w:pStyle w:val="p0"/>
        <w:spacing w:before="360"/>
        <w:ind w:left="-284" w:right="-547"/>
        <w:rPr>
          <w:b/>
          <w:i/>
          <w:color w:val="auto"/>
        </w:rPr>
      </w:pPr>
    </w:p>
    <w:p w14:paraId="02E57589" w14:textId="77777777" w:rsidR="007A2199" w:rsidRDefault="007A2199" w:rsidP="00AF3516">
      <w:pPr>
        <w:pStyle w:val="p0"/>
        <w:spacing w:before="360"/>
        <w:ind w:left="-284" w:right="-547"/>
        <w:rPr>
          <w:b/>
          <w:i/>
          <w:color w:val="auto"/>
        </w:rPr>
      </w:pPr>
    </w:p>
    <w:p w14:paraId="3A735CF7" w14:textId="5D8643D7" w:rsidR="00AF3516" w:rsidRDefault="00AF3516" w:rsidP="00AF3516">
      <w:pPr>
        <w:pStyle w:val="p0"/>
        <w:spacing w:before="360"/>
        <w:ind w:left="-284" w:right="-547"/>
        <w:rPr>
          <w:b/>
          <w:i/>
          <w:color w:val="auto"/>
        </w:rPr>
      </w:pPr>
      <w:bookmarkStart w:id="0" w:name="_GoBack"/>
      <w:bookmarkEnd w:id="0"/>
      <w:r>
        <w:rPr>
          <w:b/>
          <w:i/>
          <w:color w:val="auto"/>
        </w:rPr>
        <w:t>Nota al Usuario</w:t>
      </w:r>
    </w:p>
    <w:p w14:paraId="76C23064" w14:textId="77777777" w:rsidR="00AF3516" w:rsidRPr="007F06A5" w:rsidRDefault="00AF3516" w:rsidP="00AF3516">
      <w:pPr>
        <w:pStyle w:val="Default"/>
        <w:spacing w:before="240"/>
        <w:ind w:left="-284" w:right="-547"/>
        <w:jc w:val="both"/>
      </w:pPr>
      <w:r w:rsidRPr="007F06A5">
        <w:t xml:space="preserve">Con base en los “Lineamientos de cambios a la información divulgada en las publicaciones estadísticas y geográficas del INEGI” y que se complementan con las “Normas especiales de divulgación de datos” del Fondo Monetario Internacional (FMI), relacionada con la revisión de las series de corto plazo, se hace de su conocimiento que al disponer de un dato generado por la incorporación de la más reciente información estadística disponible de la Oferta y Demanda Global Trimestral (ODGT), de las </w:t>
      </w:r>
      <w:r>
        <w:t>e</w:t>
      </w:r>
      <w:r w:rsidRPr="007F06A5">
        <w:t xml:space="preserve">ncuestas </w:t>
      </w:r>
      <w:r>
        <w:t>e</w:t>
      </w:r>
      <w:r w:rsidRPr="007F06A5">
        <w:t xml:space="preserve">conómicas, de los </w:t>
      </w:r>
      <w:r>
        <w:t>r</w:t>
      </w:r>
      <w:r w:rsidRPr="007F06A5">
        <w:t xml:space="preserve">egistros </w:t>
      </w:r>
      <w:r>
        <w:t>a</w:t>
      </w:r>
      <w:r w:rsidRPr="007F06A5">
        <w:t xml:space="preserve">dministrativos, de la Balanza de </w:t>
      </w:r>
      <w:r>
        <w:t>P</w:t>
      </w:r>
      <w:r w:rsidRPr="007F06A5">
        <w:t>agos, entre otras, se realizó la actualización de los Indicadores Trimestrales de la Actividad Turística (ITAT). Como resultado de incorporar dicha información, se identifican diferencias en niveles y variaciones de los ITAT comparados con los que fueron publicados oportunamente.</w:t>
      </w:r>
    </w:p>
    <w:p w14:paraId="12C7632B" w14:textId="77777777" w:rsidR="00AF3516" w:rsidRPr="00C738E1" w:rsidRDefault="00AF3516" w:rsidP="00AF3516">
      <w:pPr>
        <w:pStyle w:val="Default"/>
        <w:spacing w:before="240"/>
        <w:ind w:left="-284" w:right="-547"/>
        <w:jc w:val="both"/>
        <w:rPr>
          <w:rFonts w:eastAsia="Times New Roman" w:cs="Times New Roman"/>
          <w:snapToGrid w:val="0"/>
          <w:color w:val="auto"/>
          <w:szCs w:val="20"/>
        </w:rPr>
      </w:pPr>
      <w:r w:rsidRPr="007F06A5">
        <w:t>En este contexto, la Tasa de No Respuesta en la captación de las encuestas que se consideraron para la integración de los ITAT, correspondiente al primer trimestre de 2021, registraron porcentajes apropiados de acuerdo con el diseño estadístico de las muestras, como la Encuesta Nacional de Empresas Constructoras (ENEC), la Encuesta Mensual de la Industria Manufacturera (EMIM), la Encuesta Mensual sobre Empresas Comerciales (EMEC) y la Encuesta Mensual de Servicios (EMS). Lo anterior permitió la generación de estadísticas con niveles altos de cobertura y precisión para su inclusión en los ITAT del trimestre de referencia.</w:t>
      </w:r>
    </w:p>
    <w:p w14:paraId="06341F66" w14:textId="77777777" w:rsidR="00AF3516" w:rsidRDefault="00AF3516" w:rsidP="00AF3516">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18A53711" w14:textId="77777777" w:rsidR="00AF3516" w:rsidRDefault="00AF3516" w:rsidP="00AF3516">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153E44B2" w14:textId="77777777" w:rsidR="00AF3516" w:rsidRDefault="00AF3516" w:rsidP="00AF3516">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10DE1903" w14:textId="77777777" w:rsidR="00AF3516" w:rsidRDefault="00AF3516" w:rsidP="00AF3516">
      <w:pPr>
        <w:pStyle w:val="p01"/>
        <w:keepLines w:val="0"/>
        <w:tabs>
          <w:tab w:val="left" w:pos="3261"/>
        </w:tabs>
        <w:spacing w:before="0"/>
        <w:ind w:left="1418"/>
        <w:outlineLvl w:val="0"/>
        <w:rPr>
          <w:b/>
          <w:sz w:val="28"/>
        </w:rPr>
      </w:pPr>
      <w:r>
        <w:rPr>
          <w:rFonts w:ascii="Arial" w:hAnsi="Arial" w:cs="Arial"/>
          <w:b/>
          <w:color w:val="000000"/>
          <w:szCs w:val="24"/>
        </w:rPr>
        <w:tab/>
      </w:r>
      <w:r w:rsidRPr="003B1ACA">
        <w:rPr>
          <w:rFonts w:ascii="Arial" w:hAnsi="Arial" w:cs="Arial"/>
          <w:b/>
          <w:color w:val="000000"/>
          <w:szCs w:val="24"/>
        </w:rPr>
        <w:t>Se anexa Nota Técnica</w:t>
      </w:r>
    </w:p>
    <w:p w14:paraId="33725258" w14:textId="77777777" w:rsidR="00AF3516" w:rsidRDefault="00AF3516" w:rsidP="00AF3516"/>
    <w:p w14:paraId="43CDD408" w14:textId="77777777" w:rsidR="00AF3516" w:rsidRDefault="00AF3516" w:rsidP="00AF3516">
      <w:pPr>
        <w:pStyle w:val="bullet"/>
        <w:numPr>
          <w:ilvl w:val="0"/>
          <w:numId w:val="0"/>
        </w:numPr>
        <w:tabs>
          <w:tab w:val="left" w:pos="8789"/>
        </w:tabs>
        <w:spacing w:before="0"/>
        <w:ind w:left="2880" w:right="51" w:hanging="360"/>
        <w:jc w:val="center"/>
        <w:rPr>
          <w:rFonts w:cs="Arial"/>
          <w:szCs w:val="24"/>
        </w:rPr>
      </w:pPr>
    </w:p>
    <w:p w14:paraId="4A4C1D7C" w14:textId="77777777" w:rsidR="00AF3516" w:rsidRDefault="00AF3516" w:rsidP="00AF3516">
      <w:pPr>
        <w:pStyle w:val="bullet"/>
        <w:numPr>
          <w:ilvl w:val="0"/>
          <w:numId w:val="0"/>
        </w:numPr>
        <w:tabs>
          <w:tab w:val="left" w:pos="8789"/>
        </w:tabs>
        <w:spacing w:before="0"/>
        <w:ind w:left="2880" w:right="51" w:hanging="360"/>
        <w:jc w:val="center"/>
        <w:rPr>
          <w:rFonts w:cs="Arial"/>
          <w:szCs w:val="24"/>
        </w:rPr>
      </w:pPr>
    </w:p>
    <w:p w14:paraId="6513EB12" w14:textId="77777777" w:rsidR="00AF3516" w:rsidRDefault="00AF3516" w:rsidP="00AF3516">
      <w:pPr>
        <w:pStyle w:val="bullet"/>
        <w:numPr>
          <w:ilvl w:val="0"/>
          <w:numId w:val="0"/>
        </w:numPr>
        <w:tabs>
          <w:tab w:val="left" w:pos="8789"/>
        </w:tabs>
        <w:spacing w:before="0"/>
        <w:ind w:left="2880" w:right="51" w:hanging="360"/>
        <w:jc w:val="center"/>
        <w:rPr>
          <w:rFonts w:cs="Arial"/>
          <w:szCs w:val="24"/>
        </w:rPr>
      </w:pPr>
    </w:p>
    <w:p w14:paraId="482E0740" w14:textId="77777777" w:rsidR="00AF3516" w:rsidRDefault="00AF3516" w:rsidP="00AF3516">
      <w:pPr>
        <w:pStyle w:val="bullet"/>
        <w:numPr>
          <w:ilvl w:val="0"/>
          <w:numId w:val="0"/>
        </w:numPr>
        <w:tabs>
          <w:tab w:val="left" w:pos="8789"/>
        </w:tabs>
        <w:spacing w:before="0"/>
        <w:ind w:left="2880" w:right="51" w:hanging="360"/>
        <w:jc w:val="center"/>
        <w:rPr>
          <w:rFonts w:cs="Arial"/>
          <w:szCs w:val="24"/>
        </w:rPr>
      </w:pPr>
    </w:p>
    <w:p w14:paraId="28D909CD" w14:textId="77777777" w:rsidR="00AF3516" w:rsidRDefault="00AF3516" w:rsidP="00AF3516">
      <w:pPr>
        <w:pStyle w:val="bullet"/>
        <w:numPr>
          <w:ilvl w:val="0"/>
          <w:numId w:val="0"/>
        </w:numPr>
        <w:tabs>
          <w:tab w:val="left" w:pos="8789"/>
        </w:tabs>
        <w:spacing w:before="0"/>
        <w:ind w:left="2880" w:right="51" w:hanging="360"/>
        <w:jc w:val="center"/>
        <w:rPr>
          <w:rFonts w:cs="Arial"/>
          <w:szCs w:val="24"/>
        </w:rPr>
      </w:pPr>
    </w:p>
    <w:p w14:paraId="2959D85D" w14:textId="77777777" w:rsidR="00AF3516" w:rsidRDefault="00AF3516" w:rsidP="00AF3516">
      <w:pPr>
        <w:pStyle w:val="bullet"/>
        <w:numPr>
          <w:ilvl w:val="0"/>
          <w:numId w:val="0"/>
        </w:numPr>
        <w:tabs>
          <w:tab w:val="left" w:pos="8789"/>
        </w:tabs>
        <w:spacing w:before="0"/>
        <w:ind w:left="2880" w:right="51" w:hanging="360"/>
        <w:jc w:val="center"/>
        <w:rPr>
          <w:rFonts w:cs="Arial"/>
          <w:szCs w:val="24"/>
        </w:rPr>
      </w:pPr>
    </w:p>
    <w:p w14:paraId="76CE27EC" w14:textId="77777777" w:rsidR="00AF3516" w:rsidRDefault="00AF3516" w:rsidP="00AF3516">
      <w:pPr>
        <w:pStyle w:val="bullet"/>
        <w:numPr>
          <w:ilvl w:val="0"/>
          <w:numId w:val="0"/>
        </w:numPr>
        <w:tabs>
          <w:tab w:val="left" w:pos="8789"/>
        </w:tabs>
        <w:spacing w:before="0"/>
        <w:ind w:left="2880" w:right="51" w:hanging="360"/>
        <w:jc w:val="center"/>
        <w:rPr>
          <w:rFonts w:cs="Arial"/>
          <w:szCs w:val="24"/>
        </w:rPr>
      </w:pPr>
    </w:p>
    <w:p w14:paraId="5DDE7527" w14:textId="77777777" w:rsidR="00AF3516" w:rsidRPr="00A13916" w:rsidRDefault="00AF3516" w:rsidP="00AF3516">
      <w:pPr>
        <w:pStyle w:val="bullet"/>
        <w:numPr>
          <w:ilvl w:val="0"/>
          <w:numId w:val="0"/>
        </w:numPr>
        <w:tabs>
          <w:tab w:val="left" w:pos="8789"/>
        </w:tabs>
        <w:spacing w:before="0"/>
        <w:ind w:left="2880" w:right="51" w:hanging="360"/>
        <w:jc w:val="center"/>
        <w:rPr>
          <w:rFonts w:cs="Arial"/>
          <w:szCs w:val="22"/>
        </w:rPr>
      </w:pPr>
    </w:p>
    <w:p w14:paraId="3A415314" w14:textId="77777777" w:rsidR="00AF3516" w:rsidRPr="00A13916" w:rsidRDefault="00AF3516" w:rsidP="00AF3516">
      <w:pPr>
        <w:pStyle w:val="NormalWeb"/>
        <w:spacing w:before="0" w:beforeAutospacing="0" w:after="0" w:afterAutospacing="0"/>
        <w:ind w:left="-426" w:right="-518"/>
        <w:contextualSpacing/>
        <w:jc w:val="center"/>
        <w:rPr>
          <w:sz w:val="22"/>
          <w:szCs w:val="22"/>
        </w:rPr>
      </w:pPr>
      <w:r w:rsidRPr="00A13916">
        <w:rPr>
          <w:sz w:val="22"/>
          <w:szCs w:val="22"/>
        </w:rPr>
        <w:t xml:space="preserve">Para consultas de medios y periodistas, contactar a: </w:t>
      </w:r>
      <w:hyperlink r:id="rId8" w:history="1">
        <w:r w:rsidRPr="00A13916">
          <w:rPr>
            <w:rStyle w:val="Hipervnculo"/>
            <w:sz w:val="22"/>
            <w:szCs w:val="22"/>
          </w:rPr>
          <w:t>comunicacionsocial@inegi.org.mx</w:t>
        </w:r>
      </w:hyperlink>
      <w:r w:rsidRPr="00A13916">
        <w:rPr>
          <w:sz w:val="22"/>
          <w:szCs w:val="22"/>
        </w:rPr>
        <w:t xml:space="preserve"> </w:t>
      </w:r>
    </w:p>
    <w:p w14:paraId="771CEE0B" w14:textId="77777777" w:rsidR="00AF3516" w:rsidRPr="00A13916" w:rsidRDefault="00AF3516" w:rsidP="00AF3516">
      <w:pPr>
        <w:pStyle w:val="NormalWeb"/>
        <w:spacing w:before="0" w:beforeAutospacing="0" w:after="0" w:afterAutospacing="0"/>
        <w:ind w:left="-426" w:right="-518"/>
        <w:contextualSpacing/>
        <w:jc w:val="center"/>
        <w:rPr>
          <w:sz w:val="22"/>
          <w:szCs w:val="22"/>
        </w:rPr>
      </w:pPr>
      <w:r w:rsidRPr="00A13916">
        <w:rPr>
          <w:sz w:val="22"/>
          <w:szCs w:val="22"/>
        </w:rPr>
        <w:t xml:space="preserve">o llamar al teléfono (55) 52-78-10-00, </w:t>
      </w:r>
      <w:proofErr w:type="spellStart"/>
      <w:r w:rsidRPr="00A13916">
        <w:rPr>
          <w:sz w:val="22"/>
          <w:szCs w:val="22"/>
        </w:rPr>
        <w:t>exts</w:t>
      </w:r>
      <w:proofErr w:type="spellEnd"/>
      <w:r w:rsidRPr="00A13916">
        <w:rPr>
          <w:sz w:val="22"/>
          <w:szCs w:val="22"/>
        </w:rPr>
        <w:t>. 1134, 1260 y 1241.</w:t>
      </w:r>
    </w:p>
    <w:p w14:paraId="2BE51CA6" w14:textId="77777777" w:rsidR="00AF3516" w:rsidRPr="00A13916" w:rsidRDefault="00AF3516" w:rsidP="00AF3516">
      <w:pPr>
        <w:ind w:left="-426" w:right="-518"/>
        <w:contextualSpacing/>
        <w:jc w:val="center"/>
        <w:rPr>
          <w:rFonts w:cs="Arial"/>
          <w:sz w:val="22"/>
          <w:szCs w:val="22"/>
        </w:rPr>
      </w:pPr>
    </w:p>
    <w:p w14:paraId="0F88E180" w14:textId="77777777" w:rsidR="00AF3516" w:rsidRPr="00A13916" w:rsidRDefault="00AF3516" w:rsidP="00AF3516">
      <w:pPr>
        <w:ind w:left="-426" w:right="-518"/>
        <w:contextualSpacing/>
        <w:jc w:val="center"/>
        <w:rPr>
          <w:rFonts w:cs="Arial"/>
          <w:sz w:val="22"/>
          <w:szCs w:val="22"/>
        </w:rPr>
      </w:pPr>
      <w:r w:rsidRPr="00A13916">
        <w:rPr>
          <w:rFonts w:cs="Arial"/>
          <w:sz w:val="22"/>
          <w:szCs w:val="22"/>
        </w:rPr>
        <w:t>Dirección de Atención a Medios / Dirección General Adjunta de Comunicación</w:t>
      </w:r>
    </w:p>
    <w:p w14:paraId="113FB322" w14:textId="77777777" w:rsidR="00AF3516" w:rsidRPr="00A13916" w:rsidRDefault="00AF3516" w:rsidP="00AF3516">
      <w:pPr>
        <w:ind w:left="-426" w:right="-518"/>
        <w:contextualSpacing/>
        <w:jc w:val="center"/>
        <w:rPr>
          <w:sz w:val="22"/>
          <w:szCs w:val="22"/>
        </w:rPr>
      </w:pPr>
    </w:p>
    <w:p w14:paraId="53C7EBB4" w14:textId="77777777" w:rsidR="00AF3516" w:rsidRDefault="00AF3516" w:rsidP="00AF3516">
      <w:pPr>
        <w:ind w:left="-425" w:right="-516"/>
        <w:contextualSpacing/>
        <w:jc w:val="center"/>
        <w:rPr>
          <w:rFonts w:cs="Arial"/>
          <w:szCs w:val="24"/>
        </w:rPr>
      </w:pPr>
      <w:r w:rsidRPr="00FF1218">
        <w:rPr>
          <w:noProof/>
          <w:lang w:val="es-MX" w:eastAsia="es-MX"/>
        </w:rPr>
        <w:drawing>
          <wp:inline distT="0" distB="0" distL="0" distR="0" wp14:anchorId="4CB0123A" wp14:editId="19B82745">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8C740A2" wp14:editId="1F075408">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2F6DD3" wp14:editId="71953D52">
            <wp:extent cx="365760" cy="365760"/>
            <wp:effectExtent l="0" t="0" r="0" b="0"/>
            <wp:docPr id="30" name="Imagen 3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55E74CB" wp14:editId="13B348EB">
            <wp:extent cx="365760" cy="365760"/>
            <wp:effectExtent l="0" t="0" r="0" b="0"/>
            <wp:docPr id="15" name="Imagen 1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001298C" wp14:editId="27A3D952">
            <wp:extent cx="2286000" cy="274320"/>
            <wp:effectExtent l="0" t="0" r="0" b="0"/>
            <wp:docPr id="5" name="Imagen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7AA35C1" w14:textId="77777777" w:rsidR="00AF3516" w:rsidRDefault="00AF3516" w:rsidP="00AF3516">
      <w:pPr>
        <w:pStyle w:val="bullet"/>
        <w:numPr>
          <w:ilvl w:val="0"/>
          <w:numId w:val="0"/>
        </w:numPr>
        <w:tabs>
          <w:tab w:val="left" w:pos="8789"/>
        </w:tabs>
        <w:spacing w:before="0"/>
        <w:ind w:left="2880" w:right="51" w:hanging="360"/>
        <w:jc w:val="center"/>
        <w:rPr>
          <w:rFonts w:cs="Arial"/>
          <w:szCs w:val="24"/>
        </w:rPr>
      </w:pPr>
    </w:p>
    <w:p w14:paraId="17DCED08" w14:textId="77777777" w:rsidR="00AF3516" w:rsidRPr="00157C43" w:rsidRDefault="00AF3516" w:rsidP="00AF3516">
      <w:pPr>
        <w:pStyle w:val="bullet"/>
        <w:numPr>
          <w:ilvl w:val="0"/>
          <w:numId w:val="0"/>
        </w:numPr>
        <w:tabs>
          <w:tab w:val="left" w:pos="8789"/>
        </w:tabs>
        <w:spacing w:before="0"/>
        <w:ind w:left="2880" w:right="51" w:hanging="360"/>
        <w:jc w:val="center"/>
        <w:rPr>
          <w:rFonts w:cs="Arial"/>
          <w:szCs w:val="24"/>
        </w:rPr>
        <w:sectPr w:rsidR="00AF3516" w:rsidRPr="00157C43" w:rsidSect="004C150C">
          <w:headerReference w:type="default" r:id="rId19"/>
          <w:footerReference w:type="default" r:id="rId20"/>
          <w:pgSz w:w="12240" w:h="15840" w:code="1"/>
          <w:pgMar w:top="1" w:right="1701" w:bottom="0" w:left="1588" w:header="510" w:footer="510" w:gutter="0"/>
          <w:cols w:space="720"/>
          <w:docGrid w:linePitch="272"/>
        </w:sectPr>
      </w:pPr>
    </w:p>
    <w:p w14:paraId="117DFD10" w14:textId="2ED6DFF4" w:rsidR="00AF3516" w:rsidRPr="007A2199" w:rsidRDefault="00AF3516" w:rsidP="00AF3516">
      <w:pPr>
        <w:widowControl/>
        <w:tabs>
          <w:tab w:val="left" w:pos="8399"/>
        </w:tabs>
        <w:autoSpaceDE w:val="0"/>
        <w:autoSpaceDN w:val="0"/>
        <w:adjustRightInd w:val="0"/>
        <w:spacing w:before="480"/>
        <w:ind w:firstLine="720"/>
        <w:contextualSpacing/>
        <w:rPr>
          <w:b/>
          <w:szCs w:val="24"/>
        </w:rPr>
      </w:pPr>
      <w:r>
        <w:rPr>
          <w:b/>
          <w:sz w:val="28"/>
          <w:szCs w:val="28"/>
        </w:rPr>
        <w:lastRenderedPageBreak/>
        <w:t xml:space="preserve">                                   </w:t>
      </w:r>
      <w:r w:rsidRPr="007A2199">
        <w:rPr>
          <w:b/>
          <w:szCs w:val="24"/>
        </w:rPr>
        <w:t>NOTA TÉCNICA</w:t>
      </w:r>
    </w:p>
    <w:p w14:paraId="045A6205" w14:textId="77777777" w:rsidR="00AF3516" w:rsidRPr="007A2199" w:rsidRDefault="00AF3516" w:rsidP="00AF3516">
      <w:pPr>
        <w:widowControl/>
        <w:tabs>
          <w:tab w:val="left" w:pos="8399"/>
        </w:tabs>
        <w:autoSpaceDE w:val="0"/>
        <w:autoSpaceDN w:val="0"/>
        <w:adjustRightInd w:val="0"/>
        <w:spacing w:before="480"/>
        <w:ind w:firstLine="720"/>
        <w:contextualSpacing/>
        <w:rPr>
          <w:b/>
          <w:szCs w:val="24"/>
        </w:rPr>
      </w:pPr>
    </w:p>
    <w:p w14:paraId="4E9F9A2F" w14:textId="77777777" w:rsidR="008452B0" w:rsidRPr="007A2199" w:rsidRDefault="00F203A4" w:rsidP="00EE7736">
      <w:pPr>
        <w:pStyle w:val="Default"/>
        <w:tabs>
          <w:tab w:val="left" w:pos="2410"/>
          <w:tab w:val="left" w:pos="3402"/>
          <w:tab w:val="left" w:pos="3686"/>
        </w:tabs>
        <w:ind w:left="-851" w:right="-232"/>
        <w:jc w:val="center"/>
        <w:rPr>
          <w:rFonts w:eastAsia="Times New Roman"/>
          <w:b/>
          <w:bCs/>
          <w:lang w:val="es-ES_tradnl"/>
        </w:rPr>
      </w:pPr>
      <w:r w:rsidRPr="007A2199">
        <w:rPr>
          <w:rFonts w:eastAsia="Times New Roman"/>
          <w:b/>
          <w:bCs/>
          <w:lang w:val="es-ES_tradnl"/>
        </w:rPr>
        <w:t>INDICADORES TRIMESTRALES DE LA ACTIVIDAD</w:t>
      </w:r>
      <w:r w:rsidR="008452B0" w:rsidRPr="007A2199">
        <w:rPr>
          <w:rFonts w:eastAsia="Times New Roman"/>
          <w:b/>
          <w:bCs/>
          <w:lang w:val="es-ES_tradnl"/>
        </w:rPr>
        <w:t xml:space="preserve"> </w:t>
      </w:r>
      <w:r w:rsidRPr="007A2199">
        <w:rPr>
          <w:rFonts w:eastAsia="Times New Roman"/>
          <w:b/>
          <w:bCs/>
          <w:lang w:val="es-ES_tradnl"/>
        </w:rPr>
        <w:t>TURÍSTICA</w:t>
      </w:r>
      <w:r w:rsidR="00C55A68" w:rsidRPr="007A2199">
        <w:rPr>
          <w:b/>
          <w:color w:val="auto"/>
          <w:vertAlign w:val="superscript"/>
        </w:rPr>
        <w:footnoteReference w:id="4"/>
      </w:r>
      <w:r w:rsidRPr="007A2199">
        <w:rPr>
          <w:rFonts w:eastAsia="Times New Roman"/>
          <w:b/>
          <w:bCs/>
          <w:lang w:val="es-ES_tradnl"/>
        </w:rPr>
        <w:t xml:space="preserve"> </w:t>
      </w:r>
    </w:p>
    <w:p w14:paraId="5BEAED9D" w14:textId="2D03A3EA" w:rsidR="00F203A4" w:rsidRPr="007A2199" w:rsidRDefault="008452B0" w:rsidP="008452B0">
      <w:pPr>
        <w:pStyle w:val="Default"/>
        <w:tabs>
          <w:tab w:val="left" w:pos="2410"/>
          <w:tab w:val="left" w:pos="3402"/>
          <w:tab w:val="left" w:pos="3686"/>
        </w:tabs>
        <w:ind w:left="-851" w:right="-232"/>
        <w:jc w:val="center"/>
        <w:rPr>
          <w:rFonts w:eastAsia="Times New Roman"/>
          <w:b/>
          <w:bCs/>
          <w:lang w:val="es-ES_tradnl"/>
        </w:rPr>
      </w:pPr>
      <w:r w:rsidRPr="007A2199">
        <w:rPr>
          <w:rFonts w:eastAsia="Times New Roman"/>
          <w:b/>
          <w:bCs/>
          <w:lang w:val="es-ES_tradnl"/>
        </w:rPr>
        <w:t xml:space="preserve">DURANTE EL </w:t>
      </w:r>
      <w:r w:rsidR="00D22C3E" w:rsidRPr="007A2199">
        <w:rPr>
          <w:rFonts w:eastAsia="Times New Roman"/>
          <w:b/>
          <w:bCs/>
          <w:lang w:val="es-ES_tradnl"/>
        </w:rPr>
        <w:t>PRIMER</w:t>
      </w:r>
      <w:r w:rsidR="00D46BA8" w:rsidRPr="007A2199">
        <w:rPr>
          <w:rFonts w:eastAsia="Times New Roman"/>
          <w:b/>
          <w:bCs/>
          <w:lang w:val="es-ES_tradnl"/>
        </w:rPr>
        <w:t xml:space="preserve"> </w:t>
      </w:r>
      <w:r w:rsidR="00CC0001" w:rsidRPr="007A2199">
        <w:rPr>
          <w:rFonts w:eastAsia="Times New Roman"/>
          <w:b/>
          <w:bCs/>
          <w:lang w:val="es-ES_tradnl"/>
        </w:rPr>
        <w:t>TRIMESTRE DE</w:t>
      </w:r>
      <w:r w:rsidR="00F203A4" w:rsidRPr="007A2199">
        <w:rPr>
          <w:rFonts w:eastAsia="Times New Roman"/>
          <w:b/>
          <w:bCs/>
          <w:lang w:val="es-ES_tradnl"/>
        </w:rPr>
        <w:t xml:space="preserve"> 20</w:t>
      </w:r>
      <w:r w:rsidR="0009654D" w:rsidRPr="007A2199">
        <w:rPr>
          <w:rFonts w:eastAsia="Times New Roman"/>
          <w:b/>
          <w:bCs/>
          <w:lang w:val="es-ES_tradnl"/>
        </w:rPr>
        <w:t>2</w:t>
      </w:r>
      <w:r w:rsidR="00D22C3E" w:rsidRPr="007A2199">
        <w:rPr>
          <w:rFonts w:eastAsia="Times New Roman"/>
          <w:b/>
          <w:bCs/>
          <w:lang w:val="es-ES_tradnl"/>
        </w:rPr>
        <w:t>1</w:t>
      </w:r>
    </w:p>
    <w:p w14:paraId="5EAA997E" w14:textId="77777777" w:rsidR="00274992" w:rsidRPr="007A2199" w:rsidRDefault="00274992" w:rsidP="00F53C03">
      <w:pPr>
        <w:pStyle w:val="Default"/>
        <w:jc w:val="center"/>
        <w:rPr>
          <w:rFonts w:eastAsia="Times New Roman"/>
          <w:b/>
          <w:bCs/>
          <w:i/>
          <w:lang w:val="es-ES_tradnl"/>
        </w:rPr>
      </w:pPr>
      <w:r w:rsidRPr="007A2199">
        <w:rPr>
          <w:rFonts w:eastAsia="Times New Roman"/>
          <w:b/>
          <w:bCs/>
          <w:i/>
          <w:lang w:val="es-ES_tradnl"/>
        </w:rPr>
        <w:t>(</w:t>
      </w:r>
      <w:r w:rsidR="007449C3" w:rsidRPr="007A2199">
        <w:rPr>
          <w:rFonts w:eastAsia="Times New Roman"/>
          <w:b/>
          <w:bCs/>
          <w:i/>
          <w:lang w:val="es-ES_tradnl"/>
        </w:rPr>
        <w:t>Cifras</w:t>
      </w:r>
      <w:r w:rsidRPr="007A2199">
        <w:rPr>
          <w:rFonts w:eastAsia="Times New Roman"/>
          <w:b/>
          <w:bCs/>
          <w:i/>
          <w:lang w:val="es-ES_tradnl"/>
        </w:rPr>
        <w:t xml:space="preserve"> desestacionalizadas)</w:t>
      </w:r>
    </w:p>
    <w:p w14:paraId="41B7A019" w14:textId="0EF375AA" w:rsidR="00B25993" w:rsidRPr="00280516" w:rsidRDefault="00E103DA" w:rsidP="00894F3D">
      <w:pPr>
        <w:pStyle w:val="Textoindependiente"/>
        <w:tabs>
          <w:tab w:val="center" w:pos="3348"/>
        </w:tabs>
        <w:spacing w:before="300"/>
        <w:rPr>
          <w:rFonts w:cs="Arial"/>
          <w:b/>
          <w:iCs/>
          <w:smallCaps/>
          <w:snapToGrid/>
          <w:color w:val="auto"/>
          <w:szCs w:val="24"/>
          <w:lang w:val="es-MX" w:eastAsia="es-MX"/>
        </w:rPr>
      </w:pPr>
      <w:r>
        <w:rPr>
          <w:rFonts w:cs="Arial"/>
          <w:b/>
          <w:iCs/>
          <w:smallCaps/>
          <w:snapToGrid/>
          <w:color w:val="auto"/>
          <w:szCs w:val="24"/>
          <w:lang w:val="es-MX" w:eastAsia="es-MX"/>
        </w:rPr>
        <w:t xml:space="preserve">Indicador Trimestral del </w:t>
      </w:r>
      <w:r w:rsidR="00501611" w:rsidRPr="00280516">
        <w:rPr>
          <w:rFonts w:cs="Arial"/>
          <w:b/>
          <w:iCs/>
          <w:smallCaps/>
          <w:snapToGrid/>
          <w:color w:val="auto"/>
          <w:szCs w:val="24"/>
          <w:lang w:val="es-MX" w:eastAsia="es-MX"/>
        </w:rPr>
        <w:t>Producto Interno</w:t>
      </w:r>
      <w:r w:rsidR="00B25993" w:rsidRPr="00280516">
        <w:rPr>
          <w:rFonts w:cs="Arial"/>
          <w:b/>
          <w:iCs/>
          <w:smallCaps/>
          <w:snapToGrid/>
          <w:color w:val="auto"/>
          <w:szCs w:val="24"/>
          <w:lang w:val="es-MX" w:eastAsia="es-MX"/>
        </w:rPr>
        <w:t xml:space="preserve"> </w:t>
      </w:r>
      <w:r w:rsidR="00ED7F21">
        <w:rPr>
          <w:rFonts w:cs="Arial"/>
          <w:b/>
          <w:iCs/>
          <w:smallCaps/>
          <w:snapToGrid/>
          <w:color w:val="auto"/>
          <w:szCs w:val="24"/>
          <w:lang w:val="es-MX" w:eastAsia="es-MX"/>
        </w:rPr>
        <w:t>b</w:t>
      </w:r>
      <w:r w:rsidR="00B25993" w:rsidRPr="00280516">
        <w:rPr>
          <w:rFonts w:cs="Arial"/>
          <w:b/>
          <w:iCs/>
          <w:smallCaps/>
          <w:snapToGrid/>
          <w:color w:val="auto"/>
          <w:szCs w:val="24"/>
          <w:lang w:val="es-MX" w:eastAsia="es-MX"/>
        </w:rPr>
        <w:t>ruto Turístico (</w:t>
      </w:r>
      <w:r>
        <w:rPr>
          <w:rFonts w:cs="Arial"/>
          <w:b/>
          <w:iCs/>
          <w:smallCaps/>
          <w:snapToGrid/>
          <w:color w:val="auto"/>
          <w:szCs w:val="24"/>
          <w:lang w:val="es-MX" w:eastAsia="es-MX"/>
        </w:rPr>
        <w:t>IT</w:t>
      </w:r>
      <w:r w:rsidR="00501611" w:rsidRPr="00280516">
        <w:rPr>
          <w:rFonts w:cs="Arial"/>
          <w:b/>
          <w:iCs/>
          <w:smallCaps/>
          <w:snapToGrid/>
          <w:color w:val="auto"/>
          <w:szCs w:val="24"/>
          <w:lang w:val="es-MX" w:eastAsia="es-MX"/>
        </w:rPr>
        <w:t>PIB</w:t>
      </w:r>
      <w:r w:rsidR="00B25993" w:rsidRPr="00280516">
        <w:rPr>
          <w:rFonts w:cs="Arial"/>
          <w:b/>
          <w:iCs/>
          <w:smallCaps/>
          <w:snapToGrid/>
          <w:color w:val="auto"/>
          <w:szCs w:val="24"/>
          <w:lang w:val="es-MX" w:eastAsia="es-MX"/>
        </w:rPr>
        <w:t>T)</w:t>
      </w:r>
    </w:p>
    <w:p w14:paraId="3C85C702" w14:textId="72B7FDAC" w:rsidR="006F48F0" w:rsidRDefault="00BE0544" w:rsidP="00E1763C">
      <w:pPr>
        <w:pStyle w:val="Default"/>
        <w:spacing w:before="240"/>
        <w:jc w:val="both"/>
        <w:rPr>
          <w:color w:val="auto"/>
        </w:rPr>
      </w:pPr>
      <w:r w:rsidRPr="003F5A16">
        <w:rPr>
          <w:color w:val="auto"/>
        </w:rPr>
        <w:t>E</w:t>
      </w:r>
      <w:r w:rsidR="00DC6CFE" w:rsidRPr="003F5A16">
        <w:rPr>
          <w:color w:val="auto"/>
        </w:rPr>
        <w:t>l</w:t>
      </w:r>
      <w:r w:rsidR="00280516" w:rsidRPr="003F5A16">
        <w:rPr>
          <w:color w:val="auto"/>
        </w:rPr>
        <w:t xml:space="preserve"> ITPIBT</w:t>
      </w:r>
      <w:r w:rsidR="00847CE2" w:rsidRPr="003F5A16">
        <w:rPr>
          <w:color w:val="auto"/>
        </w:rPr>
        <w:t xml:space="preserve"> </w:t>
      </w:r>
      <w:r w:rsidR="00665BB6" w:rsidRPr="003F5A16">
        <w:rPr>
          <w:color w:val="auto"/>
        </w:rPr>
        <w:t>presentó</w:t>
      </w:r>
      <w:r w:rsidR="00D87EA6" w:rsidRPr="003F5A16">
        <w:rPr>
          <w:color w:val="auto"/>
        </w:rPr>
        <w:t xml:space="preserve"> </w:t>
      </w:r>
      <w:r w:rsidR="00BE7195" w:rsidRPr="003F5A16">
        <w:rPr>
          <w:color w:val="auto"/>
        </w:rPr>
        <w:t>un</w:t>
      </w:r>
      <w:r w:rsidR="00130B75">
        <w:rPr>
          <w:color w:val="auto"/>
        </w:rPr>
        <w:t>a disminución</w:t>
      </w:r>
      <w:r w:rsidR="006E01F9" w:rsidRPr="003F5A16">
        <w:rPr>
          <w:color w:val="auto"/>
        </w:rPr>
        <w:t xml:space="preserve"> </w:t>
      </w:r>
      <w:r w:rsidR="00D41962">
        <w:rPr>
          <w:color w:val="auto"/>
        </w:rPr>
        <w:t xml:space="preserve">real </w:t>
      </w:r>
      <w:r w:rsidR="006E01F9" w:rsidRPr="003F5A16">
        <w:rPr>
          <w:color w:val="auto"/>
        </w:rPr>
        <w:t xml:space="preserve">de </w:t>
      </w:r>
      <w:r w:rsidR="00130B75">
        <w:rPr>
          <w:color w:val="auto"/>
        </w:rPr>
        <w:t>1.8</w:t>
      </w:r>
      <w:r w:rsidR="006E01F9" w:rsidRPr="003F5A16">
        <w:rPr>
          <w:color w:val="auto"/>
        </w:rPr>
        <w:t>%</w:t>
      </w:r>
      <w:r w:rsidR="0070717E" w:rsidRPr="003F5A16">
        <w:rPr>
          <w:color w:val="auto"/>
        </w:rPr>
        <w:t xml:space="preserve"> </w:t>
      </w:r>
      <w:r w:rsidR="005422C0" w:rsidRPr="003F5A16">
        <w:rPr>
          <w:color w:val="auto"/>
        </w:rPr>
        <w:t xml:space="preserve">en el </w:t>
      </w:r>
      <w:r w:rsidR="00D22C3E">
        <w:rPr>
          <w:color w:val="auto"/>
        </w:rPr>
        <w:t>primer</w:t>
      </w:r>
      <w:r w:rsidR="005422C0" w:rsidRPr="003F5A16">
        <w:rPr>
          <w:color w:val="auto"/>
        </w:rPr>
        <w:t xml:space="preserve"> trimestre de 20</w:t>
      </w:r>
      <w:r w:rsidR="00D503DB" w:rsidRPr="003F5A16">
        <w:rPr>
          <w:color w:val="auto"/>
        </w:rPr>
        <w:t>2</w:t>
      </w:r>
      <w:r w:rsidR="00D22C3E">
        <w:rPr>
          <w:color w:val="auto"/>
        </w:rPr>
        <w:t>1</w:t>
      </w:r>
      <w:r w:rsidR="005422C0" w:rsidRPr="003F5A16">
        <w:rPr>
          <w:color w:val="auto"/>
        </w:rPr>
        <w:t xml:space="preserve"> frente al trimestre previo. </w:t>
      </w:r>
      <w:r w:rsidR="006F48F0" w:rsidRPr="003F5A16">
        <w:rPr>
          <w:color w:val="auto"/>
          <w:szCs w:val="22"/>
        </w:rPr>
        <w:t>A su interior</w:t>
      </w:r>
      <w:r w:rsidR="002F10D1" w:rsidRPr="003F5A16">
        <w:rPr>
          <w:color w:val="auto"/>
          <w:szCs w:val="22"/>
        </w:rPr>
        <w:t>,</w:t>
      </w:r>
      <w:r w:rsidR="00D7231E">
        <w:rPr>
          <w:color w:val="auto"/>
          <w:szCs w:val="22"/>
        </w:rPr>
        <w:t xml:space="preserve"> el de</w:t>
      </w:r>
      <w:r w:rsidR="00F527F2" w:rsidRPr="003F5A16">
        <w:rPr>
          <w:color w:val="auto"/>
          <w:szCs w:val="22"/>
        </w:rPr>
        <w:t xml:space="preserve"> </w:t>
      </w:r>
      <w:r w:rsidR="00130B75">
        <w:rPr>
          <w:color w:val="auto"/>
        </w:rPr>
        <w:t xml:space="preserve">los </w:t>
      </w:r>
      <w:r w:rsidR="00130B75" w:rsidRPr="003F5A16">
        <w:rPr>
          <w:color w:val="auto"/>
        </w:rPr>
        <w:t>Bie</w:t>
      </w:r>
      <w:r w:rsidR="00130B75">
        <w:rPr>
          <w:color w:val="auto"/>
        </w:rPr>
        <w:t>n</w:t>
      </w:r>
      <w:r w:rsidR="00130B75" w:rsidRPr="003F5A16">
        <w:rPr>
          <w:color w:val="auto"/>
        </w:rPr>
        <w:t xml:space="preserve">es </w:t>
      </w:r>
      <w:r w:rsidR="004A5C0E" w:rsidRPr="003F5A16">
        <w:rPr>
          <w:color w:val="auto"/>
        </w:rPr>
        <w:t>Turísticos</w:t>
      </w:r>
      <w:r w:rsidR="001C3299">
        <w:rPr>
          <w:color w:val="auto"/>
        </w:rPr>
        <w:t xml:space="preserve"> </w:t>
      </w:r>
      <w:r w:rsidR="00130B75">
        <w:rPr>
          <w:color w:val="auto"/>
        </w:rPr>
        <w:t>descendi</w:t>
      </w:r>
      <w:r w:rsidR="00D7231E">
        <w:rPr>
          <w:color w:val="auto"/>
        </w:rPr>
        <w:t>ó</w:t>
      </w:r>
      <w:r w:rsidR="006D7D71" w:rsidRPr="003F5A16">
        <w:rPr>
          <w:color w:val="auto"/>
        </w:rPr>
        <w:t xml:space="preserve"> </w:t>
      </w:r>
      <w:r w:rsidR="00130B75">
        <w:rPr>
          <w:color w:val="auto"/>
        </w:rPr>
        <w:t>4.1</w:t>
      </w:r>
      <w:r w:rsidR="006D7D71" w:rsidRPr="003F5A16">
        <w:rPr>
          <w:color w:val="auto"/>
        </w:rPr>
        <w:t>%</w:t>
      </w:r>
      <w:r w:rsidR="006D7D71">
        <w:rPr>
          <w:color w:val="auto"/>
        </w:rPr>
        <w:t xml:space="preserve"> y </w:t>
      </w:r>
      <w:r w:rsidR="00D87EA6" w:rsidRPr="003F5A16">
        <w:rPr>
          <w:color w:val="auto"/>
        </w:rPr>
        <w:t>el</w:t>
      </w:r>
      <w:r w:rsidR="004A5C0E">
        <w:rPr>
          <w:color w:val="auto"/>
        </w:rPr>
        <w:t xml:space="preserve"> de</w:t>
      </w:r>
      <w:r w:rsidR="00D87EA6" w:rsidRPr="003F5A16">
        <w:rPr>
          <w:color w:val="auto"/>
        </w:rPr>
        <w:t xml:space="preserve"> </w:t>
      </w:r>
      <w:r w:rsidR="00130B75" w:rsidRPr="003F5A16">
        <w:rPr>
          <w:color w:val="auto"/>
        </w:rPr>
        <w:t>los Servicios</w:t>
      </w:r>
      <w:r w:rsidR="00130B75" w:rsidRPr="00130B75">
        <w:rPr>
          <w:color w:val="auto"/>
        </w:rPr>
        <w:t xml:space="preserve"> cayó 0.5% </w:t>
      </w:r>
      <w:r w:rsidR="006E01F9" w:rsidRPr="003F5A16">
        <w:rPr>
          <w:color w:val="auto"/>
        </w:rPr>
        <w:t>en igual lapso</w:t>
      </w:r>
      <w:r w:rsidR="006F48F0" w:rsidRPr="003F5A16">
        <w:rPr>
          <w:color w:val="auto"/>
          <w:szCs w:val="22"/>
        </w:rPr>
        <w:t>.</w:t>
      </w:r>
      <w:r w:rsidR="006F48F0" w:rsidRPr="00274992">
        <w:rPr>
          <w:color w:val="auto"/>
          <w:szCs w:val="22"/>
        </w:rPr>
        <w:t xml:space="preserve"> </w:t>
      </w:r>
    </w:p>
    <w:p w14:paraId="73306F17" w14:textId="77777777" w:rsidR="00B663DF" w:rsidRDefault="00B663DF" w:rsidP="00F23FBF">
      <w:pPr>
        <w:spacing w:before="120"/>
        <w:contextualSpacing/>
        <w:jc w:val="center"/>
        <w:rPr>
          <w:rFonts w:cs="Arial"/>
          <w:sz w:val="18"/>
          <w:szCs w:val="18"/>
        </w:rPr>
      </w:pPr>
    </w:p>
    <w:p w14:paraId="2422BD9E" w14:textId="77777777" w:rsidR="00280516" w:rsidRPr="003D2E2E" w:rsidRDefault="00280516" w:rsidP="00F23FBF">
      <w:pPr>
        <w:spacing w:before="120"/>
        <w:contextualSpacing/>
        <w:jc w:val="center"/>
        <w:rPr>
          <w:rFonts w:cs="Arial"/>
          <w:sz w:val="18"/>
          <w:szCs w:val="18"/>
        </w:rPr>
      </w:pPr>
      <w:r w:rsidRPr="003D2E2E">
        <w:rPr>
          <w:rFonts w:cs="Arial"/>
          <w:sz w:val="18"/>
          <w:szCs w:val="18"/>
        </w:rPr>
        <w:t xml:space="preserve">Gráfica </w:t>
      </w:r>
      <w:r w:rsidR="00B4562D" w:rsidRPr="003D2E2E">
        <w:rPr>
          <w:rFonts w:cs="Arial"/>
          <w:sz w:val="18"/>
          <w:szCs w:val="18"/>
        </w:rPr>
        <w:t>1</w:t>
      </w:r>
    </w:p>
    <w:p w14:paraId="63D11E67" w14:textId="77777777" w:rsidR="00280516" w:rsidRPr="005B4B9E" w:rsidRDefault="00280516" w:rsidP="00280516">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p>
    <w:p w14:paraId="6888449C" w14:textId="137B6627" w:rsidR="00280516" w:rsidRPr="00004A7D" w:rsidRDefault="00280516" w:rsidP="00280516">
      <w:pPr>
        <w:contextualSpacing/>
        <w:jc w:val="center"/>
        <w:rPr>
          <w:rFonts w:cs="Arial"/>
          <w:b/>
          <w:smallCaps/>
          <w:szCs w:val="24"/>
        </w:rPr>
      </w:pPr>
      <w:r w:rsidRPr="005B4B9E">
        <w:rPr>
          <w:rFonts w:cs="Arial"/>
          <w:b/>
          <w:smallCaps/>
          <w:sz w:val="22"/>
          <w:szCs w:val="22"/>
        </w:rPr>
        <w:t xml:space="preserve">al </w:t>
      </w:r>
      <w:r w:rsidR="00D22C3E">
        <w:rPr>
          <w:rFonts w:cs="Arial"/>
          <w:b/>
          <w:smallCaps/>
          <w:sz w:val="22"/>
          <w:szCs w:val="22"/>
        </w:rPr>
        <w:t>primer</w:t>
      </w:r>
      <w:r w:rsidR="00297DA6">
        <w:rPr>
          <w:rFonts w:cs="Arial"/>
          <w:b/>
          <w:smallCaps/>
          <w:sz w:val="22"/>
          <w:szCs w:val="22"/>
        </w:rPr>
        <w:t xml:space="preserve"> </w:t>
      </w:r>
      <w:r w:rsidR="00CC0001" w:rsidRPr="005B4B9E">
        <w:rPr>
          <w:rFonts w:cs="Arial"/>
          <w:b/>
          <w:smallCaps/>
          <w:sz w:val="22"/>
          <w:szCs w:val="22"/>
        </w:rPr>
        <w:t>trimestre de</w:t>
      </w:r>
      <w:r w:rsidRPr="005B4B9E">
        <w:rPr>
          <w:rFonts w:cs="Arial"/>
          <w:b/>
          <w:smallCaps/>
          <w:sz w:val="22"/>
          <w:szCs w:val="22"/>
        </w:rPr>
        <w:t xml:space="preserve"> 20</w:t>
      </w:r>
      <w:r w:rsidR="00D503DB">
        <w:rPr>
          <w:rFonts w:cs="Arial"/>
          <w:b/>
          <w:smallCaps/>
          <w:sz w:val="22"/>
          <w:szCs w:val="22"/>
        </w:rPr>
        <w:t>2</w:t>
      </w:r>
      <w:r w:rsidR="00D22C3E">
        <w:rPr>
          <w:rFonts w:cs="Arial"/>
          <w:b/>
          <w:smallCaps/>
          <w:sz w:val="22"/>
          <w:szCs w:val="22"/>
        </w:rPr>
        <w:t>1</w:t>
      </w:r>
    </w:p>
    <w:p w14:paraId="4EBD03CA" w14:textId="20A5A368" w:rsidR="00280516" w:rsidRPr="003D2E2E" w:rsidRDefault="00280516" w:rsidP="00280516">
      <w:pPr>
        <w:contextualSpacing/>
        <w:jc w:val="center"/>
        <w:rPr>
          <w:rFonts w:cs="Arial"/>
          <w:sz w:val="18"/>
          <w:szCs w:val="18"/>
        </w:rPr>
      </w:pPr>
      <w:r w:rsidRPr="003D2E2E">
        <w:rPr>
          <w:rFonts w:cs="Arial"/>
          <w:sz w:val="18"/>
          <w:szCs w:val="18"/>
        </w:rPr>
        <w:t xml:space="preserve">(Índice </w:t>
      </w:r>
      <w:r w:rsidR="008F692E">
        <w:rPr>
          <w:rFonts w:cs="Arial"/>
          <w:sz w:val="18"/>
          <w:szCs w:val="18"/>
        </w:rPr>
        <w:t xml:space="preserve">base </w:t>
      </w:r>
      <w:r w:rsidR="00B604CA">
        <w:rPr>
          <w:rFonts w:cs="Arial"/>
          <w:sz w:val="18"/>
          <w:szCs w:val="18"/>
        </w:rPr>
        <w:t>20</w:t>
      </w:r>
      <w:r w:rsidR="002A618E">
        <w:rPr>
          <w:rFonts w:cs="Arial"/>
          <w:sz w:val="18"/>
          <w:szCs w:val="18"/>
        </w:rPr>
        <w:t>13</w:t>
      </w:r>
      <w:r w:rsidRPr="003D2E2E">
        <w:rPr>
          <w:rFonts w:cs="Arial"/>
          <w:sz w:val="18"/>
          <w:szCs w:val="18"/>
        </w:rPr>
        <w:t>=100)</w:t>
      </w:r>
      <w:r w:rsidR="00FF3110" w:rsidRPr="00FF3110">
        <w:rPr>
          <w:noProof/>
          <w:snapToGrid/>
        </w:rPr>
        <w:t xml:space="preserve"> </w:t>
      </w:r>
    </w:p>
    <w:p w14:paraId="44474488" w14:textId="0D4CA303" w:rsidR="00BA6B74" w:rsidRPr="00004A7D" w:rsidRDefault="001539EF" w:rsidP="00BA6B74">
      <w:pPr>
        <w:contextualSpacing/>
        <w:jc w:val="center"/>
        <w:rPr>
          <w:rFonts w:cs="Arial"/>
          <w:szCs w:val="24"/>
        </w:rPr>
      </w:pPr>
      <w:r>
        <w:rPr>
          <w:noProof/>
          <w:snapToGrid/>
        </w:rPr>
        <w:drawing>
          <wp:inline distT="0" distB="0" distL="0" distR="0" wp14:anchorId="50165686" wp14:editId="72BD3A53">
            <wp:extent cx="4320000" cy="2520000"/>
            <wp:effectExtent l="0" t="0" r="23495" b="33020"/>
            <wp:docPr id="1" name="Gráfico 1">
              <a:extLst xmlns:a="http://schemas.openxmlformats.org/drawingml/2006/main">
                <a:ext uri="{FF2B5EF4-FFF2-40B4-BE49-F238E27FC236}">
                  <a16:creationId xmlns:a16="http://schemas.microsoft.com/office/drawing/2014/main" id="{2F7DD6F6-B029-4D29-84DB-D0B5F0EA6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1D01AD" w14:textId="77777777" w:rsidR="000E2C66" w:rsidRPr="003D2E2E" w:rsidRDefault="000E2C66" w:rsidP="00593A80">
      <w:pPr>
        <w:ind w:left="1134"/>
        <w:contextualSpacing/>
        <w:rPr>
          <w:rFonts w:cs="Arial"/>
          <w:sz w:val="16"/>
          <w:szCs w:val="16"/>
        </w:rPr>
      </w:pPr>
      <w:r w:rsidRPr="003D2E2E">
        <w:rPr>
          <w:rFonts w:cs="Arial"/>
          <w:sz w:val="16"/>
          <w:szCs w:val="16"/>
        </w:rPr>
        <w:t>Fuente: INEGI</w:t>
      </w:r>
      <w:r w:rsidR="007806B1">
        <w:rPr>
          <w:rFonts w:cs="Arial"/>
          <w:sz w:val="16"/>
          <w:szCs w:val="16"/>
        </w:rPr>
        <w:t>.</w:t>
      </w:r>
    </w:p>
    <w:p w14:paraId="5CD635BE" w14:textId="16B4FFF9" w:rsidR="00B663DF" w:rsidRDefault="00B663DF">
      <w:pPr>
        <w:widowControl/>
        <w:rPr>
          <w:rFonts w:cs="Arial"/>
          <w:sz w:val="18"/>
          <w:szCs w:val="18"/>
        </w:rPr>
      </w:pPr>
    </w:p>
    <w:p w14:paraId="3145C443" w14:textId="77777777" w:rsidR="00AF3516" w:rsidRDefault="00AF3516" w:rsidP="00506982">
      <w:pPr>
        <w:spacing w:before="360"/>
        <w:contextualSpacing/>
        <w:jc w:val="center"/>
        <w:rPr>
          <w:rFonts w:cs="Arial"/>
          <w:sz w:val="18"/>
          <w:szCs w:val="18"/>
        </w:rPr>
      </w:pPr>
    </w:p>
    <w:p w14:paraId="44729CFF" w14:textId="77777777" w:rsidR="00AF3516" w:rsidRDefault="00AF3516" w:rsidP="00506982">
      <w:pPr>
        <w:spacing w:before="360"/>
        <w:contextualSpacing/>
        <w:jc w:val="center"/>
        <w:rPr>
          <w:rFonts w:cs="Arial"/>
          <w:sz w:val="18"/>
          <w:szCs w:val="18"/>
        </w:rPr>
      </w:pPr>
    </w:p>
    <w:p w14:paraId="50EF3D96" w14:textId="77777777" w:rsidR="00AF3516" w:rsidRDefault="00AF3516" w:rsidP="00506982">
      <w:pPr>
        <w:spacing w:before="360"/>
        <w:contextualSpacing/>
        <w:jc w:val="center"/>
        <w:rPr>
          <w:rFonts w:cs="Arial"/>
          <w:sz w:val="18"/>
          <w:szCs w:val="18"/>
        </w:rPr>
      </w:pPr>
    </w:p>
    <w:p w14:paraId="64527708" w14:textId="77777777" w:rsidR="00AF3516" w:rsidRDefault="00AF3516" w:rsidP="00506982">
      <w:pPr>
        <w:spacing w:before="360"/>
        <w:contextualSpacing/>
        <w:jc w:val="center"/>
        <w:rPr>
          <w:rFonts w:cs="Arial"/>
          <w:sz w:val="18"/>
          <w:szCs w:val="18"/>
        </w:rPr>
      </w:pPr>
    </w:p>
    <w:p w14:paraId="77DC5711" w14:textId="77777777" w:rsidR="00AF3516" w:rsidRDefault="00AF3516" w:rsidP="00506982">
      <w:pPr>
        <w:spacing w:before="360"/>
        <w:contextualSpacing/>
        <w:jc w:val="center"/>
        <w:rPr>
          <w:rFonts w:cs="Arial"/>
          <w:sz w:val="18"/>
          <w:szCs w:val="18"/>
        </w:rPr>
      </w:pPr>
    </w:p>
    <w:p w14:paraId="714B7465" w14:textId="77777777" w:rsidR="00AF3516" w:rsidRDefault="00AF3516" w:rsidP="00506982">
      <w:pPr>
        <w:spacing w:before="360"/>
        <w:contextualSpacing/>
        <w:jc w:val="center"/>
        <w:rPr>
          <w:rFonts w:cs="Arial"/>
          <w:sz w:val="18"/>
          <w:szCs w:val="18"/>
        </w:rPr>
      </w:pPr>
    </w:p>
    <w:p w14:paraId="53CECE1C" w14:textId="77777777" w:rsidR="00AF3516" w:rsidRDefault="00AF3516" w:rsidP="00506982">
      <w:pPr>
        <w:spacing w:before="360"/>
        <w:contextualSpacing/>
        <w:jc w:val="center"/>
        <w:rPr>
          <w:rFonts w:cs="Arial"/>
          <w:sz w:val="18"/>
          <w:szCs w:val="18"/>
        </w:rPr>
      </w:pPr>
    </w:p>
    <w:p w14:paraId="287EBC1B" w14:textId="77777777" w:rsidR="00AF3516" w:rsidRDefault="00AF3516" w:rsidP="00506982">
      <w:pPr>
        <w:spacing w:before="360"/>
        <w:contextualSpacing/>
        <w:jc w:val="center"/>
        <w:rPr>
          <w:rFonts w:cs="Arial"/>
          <w:sz w:val="18"/>
          <w:szCs w:val="18"/>
        </w:rPr>
      </w:pPr>
    </w:p>
    <w:p w14:paraId="0DF9F401" w14:textId="77777777" w:rsidR="00AF3516" w:rsidRDefault="00AF3516" w:rsidP="00506982">
      <w:pPr>
        <w:spacing w:before="360"/>
        <w:contextualSpacing/>
        <w:jc w:val="center"/>
        <w:rPr>
          <w:rFonts w:cs="Arial"/>
          <w:sz w:val="18"/>
          <w:szCs w:val="18"/>
        </w:rPr>
      </w:pPr>
    </w:p>
    <w:p w14:paraId="65A070B5" w14:textId="77777777" w:rsidR="00AF3516" w:rsidRDefault="00AF3516" w:rsidP="00506982">
      <w:pPr>
        <w:spacing w:before="360"/>
        <w:contextualSpacing/>
        <w:jc w:val="center"/>
        <w:rPr>
          <w:rFonts w:cs="Arial"/>
          <w:sz w:val="18"/>
          <w:szCs w:val="18"/>
        </w:rPr>
      </w:pPr>
    </w:p>
    <w:p w14:paraId="36D3AC0B" w14:textId="77777777" w:rsidR="00AF3516" w:rsidRDefault="00AF3516" w:rsidP="00506982">
      <w:pPr>
        <w:spacing w:before="360"/>
        <w:contextualSpacing/>
        <w:jc w:val="center"/>
        <w:rPr>
          <w:rFonts w:cs="Arial"/>
          <w:sz w:val="18"/>
          <w:szCs w:val="18"/>
        </w:rPr>
      </w:pPr>
    </w:p>
    <w:p w14:paraId="3D6A878D" w14:textId="77777777" w:rsidR="00AF3516" w:rsidRDefault="00AF3516" w:rsidP="00506982">
      <w:pPr>
        <w:spacing w:before="360"/>
        <w:contextualSpacing/>
        <w:jc w:val="center"/>
        <w:rPr>
          <w:rFonts w:cs="Arial"/>
          <w:sz w:val="18"/>
          <w:szCs w:val="18"/>
        </w:rPr>
      </w:pPr>
    </w:p>
    <w:p w14:paraId="18CA678E" w14:textId="77777777" w:rsidR="00AF3516" w:rsidRDefault="00AF3516" w:rsidP="00506982">
      <w:pPr>
        <w:spacing w:before="360"/>
        <w:contextualSpacing/>
        <w:jc w:val="center"/>
        <w:rPr>
          <w:rFonts w:cs="Arial"/>
          <w:sz w:val="18"/>
          <w:szCs w:val="18"/>
        </w:rPr>
      </w:pPr>
    </w:p>
    <w:p w14:paraId="43AFD6AB" w14:textId="77777777" w:rsidR="00AF3516" w:rsidRDefault="00AF3516" w:rsidP="00506982">
      <w:pPr>
        <w:spacing w:before="360"/>
        <w:contextualSpacing/>
        <w:jc w:val="center"/>
        <w:rPr>
          <w:rFonts w:cs="Arial"/>
          <w:sz w:val="18"/>
          <w:szCs w:val="18"/>
        </w:rPr>
      </w:pPr>
    </w:p>
    <w:p w14:paraId="4EC42350" w14:textId="77777777" w:rsidR="00AF3516" w:rsidRDefault="00AF3516" w:rsidP="00506982">
      <w:pPr>
        <w:spacing w:before="360"/>
        <w:contextualSpacing/>
        <w:jc w:val="center"/>
        <w:rPr>
          <w:rFonts w:cs="Arial"/>
          <w:sz w:val="18"/>
          <w:szCs w:val="18"/>
        </w:rPr>
      </w:pPr>
    </w:p>
    <w:p w14:paraId="6659C02F" w14:textId="4BCB3BDB" w:rsidR="00506982" w:rsidRPr="003D2E2E" w:rsidRDefault="00506982" w:rsidP="00506982">
      <w:pPr>
        <w:spacing w:before="360"/>
        <w:contextualSpacing/>
        <w:jc w:val="center"/>
        <w:rPr>
          <w:rFonts w:cs="Arial"/>
          <w:sz w:val="18"/>
          <w:szCs w:val="18"/>
        </w:rPr>
      </w:pPr>
      <w:r>
        <w:rPr>
          <w:rFonts w:cs="Arial"/>
          <w:sz w:val="18"/>
          <w:szCs w:val="18"/>
        </w:rPr>
        <w:lastRenderedPageBreak/>
        <w:t xml:space="preserve">Gráfica </w:t>
      </w:r>
      <w:r w:rsidR="00146BEE">
        <w:rPr>
          <w:rFonts w:cs="Arial"/>
          <w:sz w:val="18"/>
          <w:szCs w:val="18"/>
        </w:rPr>
        <w:t>2</w:t>
      </w:r>
    </w:p>
    <w:p w14:paraId="0CB9641E" w14:textId="77777777" w:rsidR="00042146" w:rsidRPr="005B4B9E" w:rsidRDefault="00042146" w:rsidP="00042146">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r>
        <w:rPr>
          <w:rFonts w:cs="Arial"/>
          <w:b/>
          <w:smallCaps/>
          <w:sz w:val="22"/>
          <w:szCs w:val="22"/>
        </w:rPr>
        <w:t xml:space="preserve"> de Bienes</w:t>
      </w:r>
    </w:p>
    <w:p w14:paraId="49CED940" w14:textId="035E4C9D" w:rsidR="00506982" w:rsidRPr="00004A7D" w:rsidRDefault="00506982" w:rsidP="00506982">
      <w:pPr>
        <w:contextualSpacing/>
        <w:jc w:val="center"/>
        <w:rPr>
          <w:rFonts w:cs="Arial"/>
          <w:b/>
          <w:smallCaps/>
          <w:szCs w:val="24"/>
        </w:rPr>
      </w:pPr>
      <w:r w:rsidRPr="005B4B9E">
        <w:rPr>
          <w:rFonts w:cs="Arial"/>
          <w:b/>
          <w:smallCaps/>
          <w:sz w:val="22"/>
          <w:szCs w:val="22"/>
        </w:rPr>
        <w:t>al</w:t>
      </w:r>
      <w:r>
        <w:rPr>
          <w:rFonts w:cs="Arial"/>
          <w:b/>
          <w:smallCaps/>
          <w:sz w:val="22"/>
          <w:szCs w:val="22"/>
        </w:rPr>
        <w:t xml:space="preserve"> </w:t>
      </w:r>
      <w:r w:rsidR="00C2462A">
        <w:rPr>
          <w:rFonts w:cs="Arial"/>
          <w:b/>
          <w:smallCaps/>
          <w:sz w:val="22"/>
          <w:szCs w:val="22"/>
        </w:rPr>
        <w:t>primer</w:t>
      </w:r>
      <w:r>
        <w:rPr>
          <w:rFonts w:cs="Arial"/>
          <w:b/>
          <w:smallCaps/>
          <w:sz w:val="22"/>
          <w:szCs w:val="22"/>
        </w:rPr>
        <w:t xml:space="preserve"> </w:t>
      </w:r>
      <w:r w:rsidRPr="005B4B9E">
        <w:rPr>
          <w:rFonts w:cs="Arial"/>
          <w:b/>
          <w:smallCaps/>
          <w:sz w:val="22"/>
          <w:szCs w:val="22"/>
        </w:rPr>
        <w:t>trimestre de 20</w:t>
      </w:r>
      <w:r w:rsidR="00F32B83">
        <w:rPr>
          <w:rFonts w:cs="Arial"/>
          <w:b/>
          <w:smallCaps/>
          <w:sz w:val="22"/>
          <w:szCs w:val="22"/>
        </w:rPr>
        <w:t>2</w:t>
      </w:r>
      <w:r w:rsidR="00C2462A">
        <w:rPr>
          <w:rFonts w:cs="Arial"/>
          <w:b/>
          <w:smallCaps/>
          <w:sz w:val="22"/>
          <w:szCs w:val="22"/>
        </w:rPr>
        <w:t>1</w:t>
      </w:r>
    </w:p>
    <w:p w14:paraId="1F7144AB" w14:textId="77777777" w:rsidR="00506982" w:rsidRPr="003D2E2E" w:rsidRDefault="00506982" w:rsidP="00506982">
      <w:pPr>
        <w:contextualSpacing/>
        <w:jc w:val="center"/>
        <w:rPr>
          <w:rFonts w:cs="Arial"/>
          <w:sz w:val="18"/>
          <w:szCs w:val="18"/>
        </w:rPr>
      </w:pPr>
      <w:r w:rsidRPr="003D2E2E">
        <w:rPr>
          <w:rFonts w:cs="Arial"/>
          <w:sz w:val="18"/>
          <w:szCs w:val="18"/>
        </w:rPr>
        <w:t xml:space="preserve">(Índice </w:t>
      </w:r>
      <w:r>
        <w:rPr>
          <w:rFonts w:cs="Arial"/>
          <w:sz w:val="18"/>
          <w:szCs w:val="18"/>
        </w:rPr>
        <w:t>base 2013</w:t>
      </w:r>
      <w:r w:rsidRPr="003D2E2E">
        <w:rPr>
          <w:rFonts w:cs="Arial"/>
          <w:sz w:val="18"/>
          <w:szCs w:val="18"/>
        </w:rPr>
        <w:t>=100)</w:t>
      </w:r>
    </w:p>
    <w:p w14:paraId="5764147C" w14:textId="5E84E57B" w:rsidR="00506982" w:rsidRPr="002959AC" w:rsidRDefault="00042146" w:rsidP="00506982">
      <w:pPr>
        <w:contextualSpacing/>
        <w:jc w:val="center"/>
        <w:rPr>
          <w:rFonts w:cs="Arial"/>
          <w:sz w:val="20"/>
          <w14:shadow w14:blurRad="50800" w14:dist="50800" w14:dir="3600000" w14:sx="0" w14:sy="0" w14:kx="0" w14:ky="0" w14:algn="ctr">
            <w14:srgbClr w14:val="000000">
              <w14:alpha w14:val="56870"/>
            </w14:srgbClr>
          </w14:shadow>
        </w:rPr>
      </w:pPr>
      <w:r>
        <w:rPr>
          <w:noProof/>
          <w:snapToGrid/>
        </w:rPr>
        <w:drawing>
          <wp:inline distT="0" distB="0" distL="0" distR="0" wp14:anchorId="2B64782D" wp14:editId="5953E850">
            <wp:extent cx="4320000" cy="2520000"/>
            <wp:effectExtent l="0" t="0" r="23495" b="33020"/>
            <wp:docPr id="2" name="Gráfico 2">
              <a:extLst xmlns:a="http://schemas.openxmlformats.org/drawingml/2006/main">
                <a:ext uri="{FF2B5EF4-FFF2-40B4-BE49-F238E27FC236}">
                  <a16:creationId xmlns:a16="http://schemas.microsoft.com/office/drawing/2014/main" id="{8921F30E-43C3-4935-934A-3C3C25FDB9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72B403" w14:textId="77777777" w:rsidR="00506982" w:rsidRDefault="00506982" w:rsidP="00506982">
      <w:pPr>
        <w:spacing w:before="480"/>
        <w:ind w:left="1134"/>
        <w:contextualSpacing/>
        <w:rPr>
          <w:rFonts w:cs="Arial"/>
          <w:sz w:val="18"/>
          <w:szCs w:val="18"/>
        </w:rPr>
      </w:pPr>
      <w:r w:rsidRPr="003D2E2E">
        <w:rPr>
          <w:rFonts w:cs="Arial"/>
          <w:sz w:val="16"/>
          <w:szCs w:val="16"/>
        </w:rPr>
        <w:t>Fuente: INEGI</w:t>
      </w:r>
      <w:r>
        <w:rPr>
          <w:rFonts w:cs="Arial"/>
          <w:sz w:val="16"/>
          <w:szCs w:val="16"/>
        </w:rPr>
        <w:t>.</w:t>
      </w:r>
    </w:p>
    <w:p w14:paraId="0C709E33" w14:textId="77777777" w:rsidR="00506982" w:rsidRDefault="00506982" w:rsidP="00506982">
      <w:pPr>
        <w:widowControl/>
        <w:rPr>
          <w:rFonts w:cs="Arial"/>
          <w:sz w:val="18"/>
          <w:szCs w:val="18"/>
        </w:rPr>
      </w:pPr>
    </w:p>
    <w:p w14:paraId="2AA41ECB" w14:textId="77777777" w:rsidR="009360E2" w:rsidRDefault="009360E2" w:rsidP="00146BEE">
      <w:pPr>
        <w:spacing w:before="240"/>
        <w:ind w:left="284" w:hanging="45"/>
        <w:contextualSpacing/>
        <w:jc w:val="center"/>
        <w:rPr>
          <w:rFonts w:cs="Arial"/>
          <w:sz w:val="18"/>
          <w:szCs w:val="18"/>
        </w:rPr>
      </w:pPr>
    </w:p>
    <w:p w14:paraId="5ABD498D" w14:textId="77777777" w:rsidR="00F0460E" w:rsidRDefault="00F0460E" w:rsidP="00146BEE">
      <w:pPr>
        <w:spacing w:before="240"/>
        <w:ind w:left="284" w:hanging="45"/>
        <w:contextualSpacing/>
        <w:jc w:val="center"/>
        <w:rPr>
          <w:rFonts w:cs="Arial"/>
          <w:sz w:val="18"/>
          <w:szCs w:val="18"/>
        </w:rPr>
      </w:pPr>
    </w:p>
    <w:p w14:paraId="6B1A8E3F" w14:textId="4EBD99AC" w:rsidR="00146BEE" w:rsidRDefault="00146BEE" w:rsidP="00146BEE">
      <w:pPr>
        <w:spacing w:before="240"/>
        <w:ind w:left="284" w:hanging="45"/>
        <w:contextualSpacing/>
        <w:jc w:val="center"/>
        <w:rPr>
          <w:rFonts w:cs="Arial"/>
          <w:sz w:val="18"/>
          <w:szCs w:val="18"/>
        </w:rPr>
      </w:pPr>
      <w:r w:rsidRPr="003D2E2E">
        <w:rPr>
          <w:rFonts w:cs="Arial"/>
          <w:sz w:val="18"/>
          <w:szCs w:val="18"/>
        </w:rPr>
        <w:t xml:space="preserve">Gráfica </w:t>
      </w:r>
      <w:r>
        <w:rPr>
          <w:rFonts w:cs="Arial"/>
          <w:sz w:val="18"/>
          <w:szCs w:val="18"/>
        </w:rPr>
        <w:t>3</w:t>
      </w:r>
    </w:p>
    <w:p w14:paraId="1C3C7C41" w14:textId="1BBC606B" w:rsidR="00EE4DB1" w:rsidRPr="005B4B9E" w:rsidRDefault="00042146" w:rsidP="00EE4DB1">
      <w:pPr>
        <w:contextualSpacing/>
        <w:jc w:val="center"/>
        <w:rPr>
          <w:rFonts w:cs="Arial"/>
          <w:b/>
          <w:smallCaps/>
          <w:sz w:val="22"/>
          <w:szCs w:val="22"/>
        </w:rPr>
      </w:pPr>
      <w:r w:rsidRPr="005B4B9E">
        <w:rPr>
          <w:rFonts w:cs="Arial"/>
          <w:b/>
          <w:iCs/>
          <w:smallCaps/>
          <w:snapToGrid/>
          <w:sz w:val="22"/>
          <w:szCs w:val="22"/>
          <w:lang w:val="es-MX" w:eastAsia="es-MX"/>
        </w:rPr>
        <w:t>Indicador Trimestral del PIB Turístico</w:t>
      </w:r>
      <w:r w:rsidRPr="005B4B9E">
        <w:rPr>
          <w:rFonts w:cs="Arial"/>
          <w:b/>
          <w:smallCaps/>
          <w:sz w:val="22"/>
          <w:szCs w:val="22"/>
        </w:rPr>
        <w:t xml:space="preserve"> de </w:t>
      </w:r>
      <w:r>
        <w:rPr>
          <w:rFonts w:cs="Arial"/>
          <w:b/>
          <w:smallCaps/>
          <w:sz w:val="22"/>
          <w:szCs w:val="22"/>
        </w:rPr>
        <w:t>Servicios</w:t>
      </w:r>
    </w:p>
    <w:p w14:paraId="7D187511" w14:textId="7833912B" w:rsidR="00146BEE" w:rsidRPr="00004A7D" w:rsidRDefault="00146BEE" w:rsidP="00146BEE">
      <w:pPr>
        <w:contextualSpacing/>
        <w:jc w:val="center"/>
        <w:rPr>
          <w:rFonts w:cs="Arial"/>
          <w:b/>
          <w:smallCaps/>
          <w:szCs w:val="24"/>
        </w:rPr>
      </w:pPr>
      <w:r w:rsidRPr="005B4B9E">
        <w:rPr>
          <w:rFonts w:cs="Arial"/>
          <w:b/>
          <w:smallCaps/>
          <w:sz w:val="22"/>
          <w:szCs w:val="22"/>
        </w:rPr>
        <w:t xml:space="preserve">al </w:t>
      </w:r>
      <w:r w:rsidR="00C2462A">
        <w:rPr>
          <w:rFonts w:cs="Arial"/>
          <w:b/>
          <w:smallCaps/>
          <w:sz w:val="22"/>
          <w:szCs w:val="22"/>
        </w:rPr>
        <w:t>primer</w:t>
      </w:r>
      <w:r>
        <w:rPr>
          <w:rFonts w:cs="Arial"/>
          <w:b/>
          <w:smallCaps/>
          <w:sz w:val="22"/>
          <w:szCs w:val="22"/>
        </w:rPr>
        <w:t xml:space="preserve"> </w:t>
      </w:r>
      <w:r w:rsidRPr="005B4B9E">
        <w:rPr>
          <w:rFonts w:cs="Arial"/>
          <w:b/>
          <w:smallCaps/>
          <w:sz w:val="22"/>
          <w:szCs w:val="22"/>
        </w:rPr>
        <w:t>trimestre de 20</w:t>
      </w:r>
      <w:r>
        <w:rPr>
          <w:rFonts w:cs="Arial"/>
          <w:b/>
          <w:smallCaps/>
          <w:sz w:val="22"/>
          <w:szCs w:val="22"/>
        </w:rPr>
        <w:t>2</w:t>
      </w:r>
      <w:r w:rsidR="00C2462A">
        <w:rPr>
          <w:rFonts w:cs="Arial"/>
          <w:b/>
          <w:smallCaps/>
          <w:sz w:val="22"/>
          <w:szCs w:val="22"/>
        </w:rPr>
        <w:t>1</w:t>
      </w:r>
    </w:p>
    <w:p w14:paraId="2E50018A" w14:textId="77777777" w:rsidR="00146BEE" w:rsidRDefault="00146BEE" w:rsidP="00146BEE">
      <w:pPr>
        <w:spacing w:before="240"/>
        <w:ind w:left="284" w:hanging="45"/>
        <w:contextualSpacing/>
        <w:jc w:val="center"/>
        <w:rPr>
          <w:rFonts w:cs="Arial"/>
          <w:sz w:val="18"/>
          <w:szCs w:val="18"/>
        </w:rPr>
      </w:pPr>
      <w:r w:rsidRPr="003D2E2E">
        <w:rPr>
          <w:rFonts w:cs="Arial"/>
          <w:sz w:val="18"/>
          <w:szCs w:val="18"/>
        </w:rPr>
        <w:t>(Índice</w:t>
      </w:r>
      <w:r>
        <w:rPr>
          <w:rFonts w:cs="Arial"/>
          <w:sz w:val="18"/>
          <w:szCs w:val="18"/>
        </w:rPr>
        <w:t xml:space="preserve"> base 2013</w:t>
      </w:r>
      <w:r w:rsidRPr="003D2E2E">
        <w:rPr>
          <w:rFonts w:cs="Arial"/>
          <w:sz w:val="18"/>
          <w:szCs w:val="18"/>
        </w:rPr>
        <w:t>=100)</w:t>
      </w:r>
    </w:p>
    <w:p w14:paraId="4E57E86B" w14:textId="5C57C744" w:rsidR="00146BEE" w:rsidRDefault="00042146" w:rsidP="00146BEE">
      <w:pPr>
        <w:spacing w:before="240"/>
        <w:ind w:left="284" w:hanging="45"/>
        <w:contextualSpacing/>
        <w:jc w:val="center"/>
        <w:rPr>
          <w:rFonts w:cs="Arial"/>
          <w:sz w:val="18"/>
          <w:szCs w:val="18"/>
        </w:rPr>
      </w:pPr>
      <w:r>
        <w:rPr>
          <w:noProof/>
          <w:snapToGrid/>
        </w:rPr>
        <w:drawing>
          <wp:inline distT="0" distB="0" distL="0" distR="0" wp14:anchorId="2E84608F" wp14:editId="687632AE">
            <wp:extent cx="4320000" cy="2520000"/>
            <wp:effectExtent l="0" t="0" r="23495" b="33020"/>
            <wp:docPr id="6" name="Gráfico 6">
              <a:extLst xmlns:a="http://schemas.openxmlformats.org/drawingml/2006/main">
                <a:ext uri="{FF2B5EF4-FFF2-40B4-BE49-F238E27FC236}">
                  <a16:creationId xmlns:a16="http://schemas.microsoft.com/office/drawing/2014/main" id="{C9628844-DB22-4BD3-9956-64F1714706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3102F3F" w14:textId="61E62A26" w:rsidR="00146BEE" w:rsidRDefault="00146BEE" w:rsidP="00146BEE">
      <w:pPr>
        <w:pStyle w:val="Textoindependiente"/>
        <w:tabs>
          <w:tab w:val="center" w:pos="3348"/>
        </w:tabs>
        <w:ind w:left="1276"/>
        <w:jc w:val="both"/>
        <w:rPr>
          <w:snapToGrid/>
          <w:color w:val="auto"/>
          <w:szCs w:val="22"/>
        </w:rPr>
      </w:pPr>
      <w:r w:rsidRPr="003D2E2E">
        <w:rPr>
          <w:rFonts w:cs="Arial"/>
          <w:sz w:val="16"/>
          <w:szCs w:val="16"/>
        </w:rPr>
        <w:t>Fuente: INEGI</w:t>
      </w:r>
      <w:r>
        <w:rPr>
          <w:rFonts w:cs="Arial"/>
          <w:sz w:val="16"/>
          <w:szCs w:val="16"/>
        </w:rPr>
        <w:t>.</w:t>
      </w:r>
    </w:p>
    <w:p w14:paraId="680FCEA9" w14:textId="77777777" w:rsidR="00AF3516" w:rsidRDefault="00AF3516" w:rsidP="001D0F96">
      <w:pPr>
        <w:pStyle w:val="Textoindependiente"/>
        <w:tabs>
          <w:tab w:val="center" w:pos="3348"/>
        </w:tabs>
        <w:spacing w:before="480"/>
        <w:jc w:val="both"/>
        <w:rPr>
          <w:snapToGrid/>
          <w:color w:val="auto"/>
          <w:szCs w:val="22"/>
        </w:rPr>
      </w:pPr>
    </w:p>
    <w:p w14:paraId="3690AA68" w14:textId="77777777" w:rsidR="00AF3516" w:rsidRDefault="00AF3516" w:rsidP="001D0F96">
      <w:pPr>
        <w:pStyle w:val="Textoindependiente"/>
        <w:tabs>
          <w:tab w:val="center" w:pos="3348"/>
        </w:tabs>
        <w:spacing w:before="480"/>
        <w:jc w:val="both"/>
        <w:rPr>
          <w:snapToGrid/>
          <w:color w:val="auto"/>
          <w:szCs w:val="22"/>
        </w:rPr>
      </w:pPr>
    </w:p>
    <w:p w14:paraId="74052028" w14:textId="77777777" w:rsidR="00CB05C2" w:rsidRDefault="00CB05C2" w:rsidP="001D0F96">
      <w:pPr>
        <w:pStyle w:val="Textoindependiente"/>
        <w:tabs>
          <w:tab w:val="center" w:pos="3348"/>
        </w:tabs>
        <w:spacing w:before="480"/>
        <w:jc w:val="both"/>
        <w:rPr>
          <w:snapToGrid/>
          <w:color w:val="auto"/>
          <w:szCs w:val="22"/>
        </w:rPr>
      </w:pPr>
    </w:p>
    <w:p w14:paraId="5771CC77" w14:textId="1C1F3370" w:rsidR="001D0F96" w:rsidRPr="003F5A16" w:rsidRDefault="001D0F96" w:rsidP="001D0F96">
      <w:pPr>
        <w:pStyle w:val="Textoindependiente"/>
        <w:tabs>
          <w:tab w:val="center" w:pos="3348"/>
        </w:tabs>
        <w:spacing w:before="480"/>
        <w:jc w:val="both"/>
        <w:rPr>
          <w:snapToGrid/>
          <w:color w:val="auto"/>
          <w:szCs w:val="22"/>
        </w:rPr>
      </w:pPr>
      <w:r w:rsidRPr="003F5A16">
        <w:rPr>
          <w:snapToGrid/>
          <w:color w:val="auto"/>
          <w:szCs w:val="22"/>
        </w:rPr>
        <w:t xml:space="preserve">En su comparación anual, el </w:t>
      </w:r>
      <w:r w:rsidR="00B301A1" w:rsidRPr="003F5A16">
        <w:rPr>
          <w:snapToGrid/>
          <w:color w:val="auto"/>
          <w:szCs w:val="22"/>
        </w:rPr>
        <w:t>ITPIBT</w:t>
      </w:r>
      <w:r w:rsidRPr="003F5A16">
        <w:rPr>
          <w:snapToGrid/>
          <w:color w:val="auto"/>
          <w:szCs w:val="22"/>
        </w:rPr>
        <w:t xml:space="preserve"> </w:t>
      </w:r>
      <w:r w:rsidR="0044791B" w:rsidRPr="003F5A16">
        <w:rPr>
          <w:snapToGrid/>
          <w:color w:val="auto"/>
          <w:szCs w:val="22"/>
        </w:rPr>
        <w:t>disminuyó</w:t>
      </w:r>
      <w:r w:rsidR="00B301A1" w:rsidRPr="003F5A16">
        <w:rPr>
          <w:snapToGrid/>
          <w:color w:val="auto"/>
          <w:szCs w:val="22"/>
        </w:rPr>
        <w:t xml:space="preserve"> </w:t>
      </w:r>
      <w:r w:rsidR="00130B75">
        <w:rPr>
          <w:snapToGrid/>
          <w:color w:val="auto"/>
          <w:szCs w:val="22"/>
        </w:rPr>
        <w:t>23.3</w:t>
      </w:r>
      <w:r w:rsidR="00B301A1" w:rsidRPr="003F5A16">
        <w:rPr>
          <w:snapToGrid/>
          <w:color w:val="auto"/>
          <w:szCs w:val="22"/>
        </w:rPr>
        <w:t xml:space="preserve">% en términos reales con cifras desestacionalizadas en el trimestre </w:t>
      </w:r>
      <w:r w:rsidR="00C2462A">
        <w:rPr>
          <w:snapToGrid/>
          <w:color w:val="auto"/>
          <w:szCs w:val="22"/>
        </w:rPr>
        <w:t>enero-marzo</w:t>
      </w:r>
      <w:r w:rsidR="00B301A1" w:rsidRPr="003F5A16">
        <w:rPr>
          <w:snapToGrid/>
          <w:color w:val="auto"/>
          <w:szCs w:val="22"/>
        </w:rPr>
        <w:t xml:space="preserve"> de 20</w:t>
      </w:r>
      <w:r w:rsidR="0044791B" w:rsidRPr="003F5A16">
        <w:rPr>
          <w:snapToGrid/>
          <w:color w:val="auto"/>
          <w:szCs w:val="22"/>
        </w:rPr>
        <w:t>2</w:t>
      </w:r>
      <w:r w:rsidR="00C2462A">
        <w:rPr>
          <w:snapToGrid/>
          <w:color w:val="auto"/>
          <w:szCs w:val="22"/>
        </w:rPr>
        <w:t>1</w:t>
      </w:r>
      <w:r w:rsidR="00B301A1" w:rsidRPr="003F5A16">
        <w:rPr>
          <w:snapToGrid/>
          <w:color w:val="auto"/>
          <w:szCs w:val="22"/>
        </w:rPr>
        <w:t>. P</w:t>
      </w:r>
      <w:r w:rsidR="002637EF" w:rsidRPr="003F5A16">
        <w:rPr>
          <w:snapToGrid/>
          <w:color w:val="auto"/>
          <w:szCs w:val="22"/>
        </w:rPr>
        <w:t>or componentes</w:t>
      </w:r>
      <w:r w:rsidR="006D7CE5" w:rsidRPr="003F5A16">
        <w:rPr>
          <w:snapToGrid/>
          <w:color w:val="auto"/>
          <w:szCs w:val="22"/>
        </w:rPr>
        <w:t>,</w:t>
      </w:r>
      <w:r w:rsidR="002637EF" w:rsidRPr="003F5A16">
        <w:rPr>
          <w:snapToGrid/>
          <w:color w:val="auto"/>
          <w:szCs w:val="22"/>
        </w:rPr>
        <w:t xml:space="preserve"> </w:t>
      </w:r>
      <w:r w:rsidR="00994340" w:rsidRPr="003F5A16">
        <w:rPr>
          <w:snapToGrid/>
          <w:color w:val="auto"/>
          <w:szCs w:val="22"/>
        </w:rPr>
        <w:t xml:space="preserve">el de </w:t>
      </w:r>
      <w:r w:rsidR="00130B75" w:rsidRPr="003F5A16">
        <w:rPr>
          <w:snapToGrid/>
          <w:color w:val="auto"/>
          <w:szCs w:val="22"/>
        </w:rPr>
        <w:t>los Bienes</w:t>
      </w:r>
      <w:r w:rsidR="00130B75">
        <w:rPr>
          <w:snapToGrid/>
          <w:color w:val="auto"/>
          <w:szCs w:val="22"/>
        </w:rPr>
        <w:t xml:space="preserve"> </w:t>
      </w:r>
      <w:r w:rsidR="00B147E0">
        <w:rPr>
          <w:snapToGrid/>
          <w:color w:val="auto"/>
          <w:szCs w:val="22"/>
        </w:rPr>
        <w:t>se redujo</w:t>
      </w:r>
      <w:r w:rsidR="00B147E0" w:rsidRPr="003F5A16">
        <w:rPr>
          <w:snapToGrid/>
          <w:color w:val="auto"/>
          <w:szCs w:val="22"/>
        </w:rPr>
        <w:t xml:space="preserve"> </w:t>
      </w:r>
      <w:r w:rsidR="00B147E0">
        <w:rPr>
          <w:snapToGrid/>
          <w:color w:val="auto"/>
          <w:szCs w:val="22"/>
        </w:rPr>
        <w:t>24.</w:t>
      </w:r>
      <w:r w:rsidR="005B0AB9">
        <w:rPr>
          <w:snapToGrid/>
          <w:color w:val="auto"/>
          <w:szCs w:val="22"/>
        </w:rPr>
        <w:t>9</w:t>
      </w:r>
      <w:r w:rsidR="00130B75" w:rsidRPr="003F5A16">
        <w:rPr>
          <w:snapToGrid/>
          <w:color w:val="auto"/>
          <w:szCs w:val="22"/>
        </w:rPr>
        <w:t xml:space="preserve">% </w:t>
      </w:r>
      <w:r w:rsidR="00994340" w:rsidRPr="003F5A16">
        <w:rPr>
          <w:snapToGrid/>
          <w:color w:val="auto"/>
          <w:szCs w:val="22"/>
        </w:rPr>
        <w:t xml:space="preserve">y </w:t>
      </w:r>
      <w:r w:rsidR="00B301A1" w:rsidRPr="003F5A16">
        <w:rPr>
          <w:snapToGrid/>
          <w:color w:val="auto"/>
          <w:szCs w:val="22"/>
        </w:rPr>
        <w:t xml:space="preserve">el de </w:t>
      </w:r>
      <w:r w:rsidR="00130B75" w:rsidRPr="003F5A16">
        <w:rPr>
          <w:snapToGrid/>
          <w:color w:val="auto"/>
          <w:szCs w:val="22"/>
        </w:rPr>
        <w:t xml:space="preserve">los Servicios </w:t>
      </w:r>
      <w:r w:rsidR="001A6C3B">
        <w:rPr>
          <w:snapToGrid/>
          <w:color w:val="auto"/>
          <w:szCs w:val="22"/>
        </w:rPr>
        <w:t>fue menor en</w:t>
      </w:r>
      <w:r w:rsidR="00B147E0">
        <w:rPr>
          <w:snapToGrid/>
          <w:color w:val="auto"/>
          <w:szCs w:val="22"/>
        </w:rPr>
        <w:t xml:space="preserve"> 22.8</w:t>
      </w:r>
      <w:r w:rsidR="00130B75" w:rsidRPr="00C2462A">
        <w:rPr>
          <w:snapToGrid/>
          <w:color w:val="FF0000"/>
          <w:szCs w:val="22"/>
        </w:rPr>
        <w:t xml:space="preserve"> </w:t>
      </w:r>
      <w:r w:rsidR="00AB61EC" w:rsidRPr="003F5A16">
        <w:rPr>
          <w:snapToGrid/>
          <w:color w:val="auto"/>
          <w:szCs w:val="22"/>
        </w:rPr>
        <w:t>por ciento</w:t>
      </w:r>
      <w:r w:rsidR="00B301A1" w:rsidRPr="003F5A16">
        <w:rPr>
          <w:snapToGrid/>
          <w:color w:val="auto"/>
          <w:szCs w:val="22"/>
        </w:rPr>
        <w:t>.</w:t>
      </w:r>
      <w:r w:rsidRPr="003F5A16">
        <w:rPr>
          <w:snapToGrid/>
          <w:color w:val="auto"/>
          <w:szCs w:val="22"/>
        </w:rPr>
        <w:t xml:space="preserve"> </w:t>
      </w:r>
    </w:p>
    <w:p w14:paraId="43BDC513" w14:textId="77777777" w:rsidR="002C1ADA" w:rsidRPr="003F5A16" w:rsidRDefault="002C1ADA" w:rsidP="00894F3D">
      <w:pPr>
        <w:pStyle w:val="Textoindependiente"/>
        <w:tabs>
          <w:tab w:val="center" w:pos="3348"/>
        </w:tabs>
        <w:spacing w:before="480"/>
        <w:rPr>
          <w:rFonts w:cs="Arial"/>
          <w:b/>
          <w:smallCaps/>
          <w:szCs w:val="24"/>
        </w:rPr>
      </w:pPr>
      <w:r w:rsidRPr="003F5A16">
        <w:rPr>
          <w:rFonts w:cs="Arial"/>
          <w:b/>
          <w:smallCaps/>
          <w:szCs w:val="24"/>
        </w:rPr>
        <w:t>Indicador Trimestral del Consumo Turístico Interior (ITCTI)</w:t>
      </w:r>
    </w:p>
    <w:p w14:paraId="623E4D8E" w14:textId="25434B1B" w:rsidR="004E0EE9" w:rsidRDefault="00DD139F" w:rsidP="00E1763C">
      <w:pPr>
        <w:pStyle w:val="Textoindependiente"/>
        <w:tabs>
          <w:tab w:val="center" w:pos="3348"/>
        </w:tabs>
        <w:spacing w:before="240"/>
        <w:jc w:val="both"/>
        <w:rPr>
          <w:rFonts w:cs="Arial"/>
          <w:b/>
          <w:smallCaps/>
          <w:szCs w:val="24"/>
        </w:rPr>
      </w:pPr>
      <w:r w:rsidRPr="003F5A16">
        <w:rPr>
          <w:snapToGrid/>
          <w:color w:val="auto"/>
          <w:szCs w:val="22"/>
        </w:rPr>
        <w:t xml:space="preserve">El Indicador Trimestral del Consumo Turístico Interior </w:t>
      </w:r>
      <w:r w:rsidR="00B147E0">
        <w:rPr>
          <w:snapToGrid/>
          <w:color w:val="auto"/>
          <w:szCs w:val="22"/>
        </w:rPr>
        <w:t>descendió</w:t>
      </w:r>
      <w:r w:rsidR="009921BB" w:rsidRPr="003F5A16">
        <w:rPr>
          <w:snapToGrid/>
          <w:color w:val="auto"/>
          <w:szCs w:val="22"/>
        </w:rPr>
        <w:t xml:space="preserve"> </w:t>
      </w:r>
      <w:r w:rsidR="00B147E0">
        <w:rPr>
          <w:snapToGrid/>
          <w:color w:val="auto"/>
          <w:szCs w:val="22"/>
        </w:rPr>
        <w:t>1.8</w:t>
      </w:r>
      <w:r w:rsidR="00EC052B" w:rsidRPr="003F5A16">
        <w:rPr>
          <w:snapToGrid/>
          <w:color w:val="auto"/>
          <w:szCs w:val="22"/>
        </w:rPr>
        <w:t>%</w:t>
      </w:r>
      <w:r w:rsidR="002A618E" w:rsidRPr="003F5A16">
        <w:rPr>
          <w:snapToGrid/>
          <w:color w:val="auto"/>
          <w:szCs w:val="22"/>
        </w:rPr>
        <w:t xml:space="preserve"> </w:t>
      </w:r>
      <w:r w:rsidR="00F43F9E" w:rsidRPr="003F5A16">
        <w:rPr>
          <w:snapToGrid/>
          <w:color w:val="auto"/>
          <w:szCs w:val="22"/>
        </w:rPr>
        <w:t xml:space="preserve">en el </w:t>
      </w:r>
      <w:r w:rsidR="00C2462A">
        <w:rPr>
          <w:snapToGrid/>
          <w:color w:val="auto"/>
          <w:szCs w:val="22"/>
        </w:rPr>
        <w:t xml:space="preserve">primer </w:t>
      </w:r>
      <w:r w:rsidR="00F43F9E" w:rsidRPr="003F5A16">
        <w:rPr>
          <w:snapToGrid/>
          <w:color w:val="auto"/>
          <w:szCs w:val="22"/>
        </w:rPr>
        <w:t>trimestre de</w:t>
      </w:r>
      <w:r w:rsidR="007913A4">
        <w:rPr>
          <w:snapToGrid/>
          <w:color w:val="auto"/>
          <w:szCs w:val="22"/>
        </w:rPr>
        <w:t xml:space="preserve">l </w:t>
      </w:r>
      <w:r w:rsidR="00D7231E">
        <w:rPr>
          <w:snapToGrid/>
          <w:color w:val="auto"/>
          <w:szCs w:val="22"/>
        </w:rPr>
        <w:t xml:space="preserve">presente </w:t>
      </w:r>
      <w:r w:rsidR="007913A4">
        <w:rPr>
          <w:snapToGrid/>
          <w:color w:val="auto"/>
          <w:szCs w:val="22"/>
        </w:rPr>
        <w:t xml:space="preserve">año </w:t>
      </w:r>
      <w:r w:rsidR="00E81E9F" w:rsidRPr="003F5A16">
        <w:rPr>
          <w:snapToGrid/>
          <w:color w:val="auto"/>
          <w:szCs w:val="22"/>
        </w:rPr>
        <w:t xml:space="preserve">respecto al trimestre </w:t>
      </w:r>
      <w:r w:rsidR="00F65E92" w:rsidRPr="003F5A16">
        <w:rPr>
          <w:snapToGrid/>
          <w:color w:val="auto"/>
          <w:szCs w:val="22"/>
        </w:rPr>
        <w:t>inmediato anterior</w:t>
      </w:r>
      <w:r w:rsidRPr="003F5A16">
        <w:rPr>
          <w:snapToGrid/>
          <w:color w:val="auto"/>
          <w:szCs w:val="22"/>
        </w:rPr>
        <w:t xml:space="preserve">. </w:t>
      </w:r>
      <w:r w:rsidR="007449C3" w:rsidRPr="003F5A16">
        <w:rPr>
          <w:snapToGrid/>
          <w:color w:val="auto"/>
          <w:szCs w:val="22"/>
        </w:rPr>
        <w:t>De manera desagregada</w:t>
      </w:r>
      <w:r w:rsidR="008B5024" w:rsidRPr="003F5A16">
        <w:rPr>
          <w:snapToGrid/>
          <w:color w:val="auto"/>
          <w:szCs w:val="22"/>
        </w:rPr>
        <w:t xml:space="preserve">, </w:t>
      </w:r>
      <w:r w:rsidR="006A4B36" w:rsidRPr="003F5A16">
        <w:rPr>
          <w:snapToGrid/>
          <w:color w:val="auto"/>
          <w:szCs w:val="22"/>
        </w:rPr>
        <w:t xml:space="preserve">el del Turismo Receptivo </w:t>
      </w:r>
      <w:r w:rsidR="003D2FF6">
        <w:rPr>
          <w:snapToGrid/>
          <w:color w:val="auto"/>
          <w:szCs w:val="22"/>
        </w:rPr>
        <w:t>retrocedió</w:t>
      </w:r>
      <w:r w:rsidR="006A4B36" w:rsidRPr="003F5A16">
        <w:rPr>
          <w:snapToGrid/>
          <w:color w:val="auto"/>
          <w:szCs w:val="22"/>
        </w:rPr>
        <w:t xml:space="preserve"> </w:t>
      </w:r>
      <w:r w:rsidR="00B147E0">
        <w:rPr>
          <w:snapToGrid/>
          <w:color w:val="auto"/>
          <w:szCs w:val="22"/>
        </w:rPr>
        <w:t>7.6</w:t>
      </w:r>
      <w:r w:rsidR="006A4B36" w:rsidRPr="003F5A16">
        <w:rPr>
          <w:snapToGrid/>
          <w:color w:val="auto"/>
          <w:szCs w:val="22"/>
        </w:rPr>
        <w:t>%</w:t>
      </w:r>
      <w:r w:rsidR="00A907A6">
        <w:rPr>
          <w:snapToGrid/>
          <w:color w:val="auto"/>
          <w:szCs w:val="22"/>
        </w:rPr>
        <w:t xml:space="preserve"> y </w:t>
      </w:r>
      <w:r w:rsidR="008B5024" w:rsidRPr="003F5A16">
        <w:rPr>
          <w:snapToGrid/>
          <w:color w:val="auto"/>
          <w:szCs w:val="22"/>
        </w:rPr>
        <w:t xml:space="preserve">el </w:t>
      </w:r>
      <w:r w:rsidR="00F13D46" w:rsidRPr="003F5A16">
        <w:rPr>
          <w:snapToGrid/>
          <w:color w:val="auto"/>
          <w:szCs w:val="22"/>
        </w:rPr>
        <w:t>del</w:t>
      </w:r>
      <w:r w:rsidR="00A90F04" w:rsidRPr="003F5A16">
        <w:rPr>
          <w:snapToGrid/>
          <w:color w:val="auto"/>
          <w:szCs w:val="22"/>
        </w:rPr>
        <w:t xml:space="preserve"> Turismo Interno </w:t>
      </w:r>
      <w:r w:rsidR="00B147E0">
        <w:rPr>
          <w:snapToGrid/>
          <w:color w:val="auto"/>
          <w:szCs w:val="22"/>
        </w:rPr>
        <w:t>0.5</w:t>
      </w:r>
      <w:r w:rsidR="00A90F04" w:rsidRPr="003F5A16">
        <w:rPr>
          <w:snapToGrid/>
          <w:color w:val="auto"/>
          <w:szCs w:val="22"/>
        </w:rPr>
        <w:t>%</w:t>
      </w:r>
      <w:r w:rsidR="00D41962">
        <w:rPr>
          <w:snapToGrid/>
          <w:color w:val="auto"/>
          <w:szCs w:val="22"/>
        </w:rPr>
        <w:t xml:space="preserve"> </w:t>
      </w:r>
      <w:r w:rsidR="00DF75FD" w:rsidRPr="003F5A16">
        <w:rPr>
          <w:snapToGrid/>
          <w:color w:val="auto"/>
          <w:szCs w:val="22"/>
        </w:rPr>
        <w:t xml:space="preserve">en </w:t>
      </w:r>
      <w:r w:rsidR="00831C5E" w:rsidRPr="003F5A16">
        <w:rPr>
          <w:snapToGrid/>
          <w:color w:val="auto"/>
          <w:szCs w:val="22"/>
        </w:rPr>
        <w:t xml:space="preserve">el </w:t>
      </w:r>
      <w:r w:rsidR="00AF2D4F">
        <w:rPr>
          <w:snapToGrid/>
          <w:color w:val="auto"/>
          <w:szCs w:val="22"/>
        </w:rPr>
        <w:t>trimestre</w:t>
      </w:r>
      <w:r w:rsidR="00831C5E" w:rsidRPr="003F5A16">
        <w:rPr>
          <w:snapToGrid/>
          <w:color w:val="auto"/>
          <w:szCs w:val="22"/>
        </w:rPr>
        <w:t xml:space="preserve"> </w:t>
      </w:r>
      <w:r w:rsidR="0093792D" w:rsidRPr="003F5A16">
        <w:rPr>
          <w:snapToGrid/>
          <w:color w:val="auto"/>
          <w:szCs w:val="22"/>
        </w:rPr>
        <w:t>en cuestión</w:t>
      </w:r>
      <w:r w:rsidR="00831C5E" w:rsidRPr="003F5A16">
        <w:rPr>
          <w:snapToGrid/>
          <w:color w:val="auto"/>
          <w:szCs w:val="22"/>
        </w:rPr>
        <w:t>.</w:t>
      </w:r>
    </w:p>
    <w:p w14:paraId="6D794427" w14:textId="77777777" w:rsidR="000D65E2" w:rsidRPr="003D2E2E" w:rsidRDefault="000D65E2" w:rsidP="00F0460E">
      <w:pPr>
        <w:pStyle w:val="Default"/>
        <w:spacing w:before="480"/>
        <w:jc w:val="center"/>
        <w:rPr>
          <w:sz w:val="18"/>
          <w:szCs w:val="18"/>
        </w:rPr>
      </w:pPr>
      <w:r w:rsidRPr="003D2E2E">
        <w:rPr>
          <w:sz w:val="18"/>
          <w:szCs w:val="18"/>
        </w:rPr>
        <w:t xml:space="preserve">Gráfica </w:t>
      </w:r>
      <w:r w:rsidR="009910DB" w:rsidRPr="003D2E2E">
        <w:rPr>
          <w:sz w:val="18"/>
          <w:szCs w:val="18"/>
        </w:rPr>
        <w:t>4</w:t>
      </w:r>
    </w:p>
    <w:p w14:paraId="603870A5" w14:textId="77777777" w:rsidR="000D65E2" w:rsidRPr="005B4B9E" w:rsidRDefault="000D65E2" w:rsidP="000D65E2">
      <w:pPr>
        <w:contextualSpacing/>
        <w:jc w:val="center"/>
        <w:rPr>
          <w:rFonts w:cs="Arial"/>
          <w:b/>
          <w:smallCaps/>
          <w:sz w:val="22"/>
          <w:szCs w:val="22"/>
        </w:rPr>
      </w:pPr>
      <w:r w:rsidRPr="005B4B9E">
        <w:rPr>
          <w:rFonts w:cs="Arial"/>
          <w:b/>
          <w:smallCaps/>
          <w:sz w:val="22"/>
          <w:szCs w:val="22"/>
        </w:rPr>
        <w:t>Indicador Trimestral del Consumo Turístico Interior</w:t>
      </w:r>
      <w:r w:rsidRPr="005B4B9E" w:rsidDel="00CC2A9A">
        <w:rPr>
          <w:rFonts w:cs="Arial"/>
          <w:b/>
          <w:smallCaps/>
          <w:sz w:val="22"/>
          <w:szCs w:val="22"/>
        </w:rPr>
        <w:t xml:space="preserve"> </w:t>
      </w:r>
    </w:p>
    <w:p w14:paraId="70465A1B" w14:textId="02406C67" w:rsidR="000D65E2" w:rsidRDefault="000D65E2" w:rsidP="000D65E2">
      <w:pPr>
        <w:contextualSpacing/>
        <w:jc w:val="center"/>
        <w:rPr>
          <w:rFonts w:cs="Arial"/>
          <w:b/>
          <w:smallCaps/>
          <w:szCs w:val="24"/>
        </w:rPr>
      </w:pPr>
      <w:r w:rsidRPr="005B4B9E">
        <w:rPr>
          <w:rFonts w:cs="Arial"/>
          <w:b/>
          <w:smallCaps/>
          <w:sz w:val="22"/>
          <w:szCs w:val="22"/>
        </w:rPr>
        <w:t xml:space="preserve">al </w:t>
      </w:r>
      <w:r w:rsidR="00C2462A">
        <w:rPr>
          <w:rFonts w:cs="Arial"/>
          <w:b/>
          <w:smallCaps/>
          <w:sz w:val="22"/>
          <w:szCs w:val="22"/>
        </w:rPr>
        <w:t>primer</w:t>
      </w:r>
      <w:r w:rsidR="00FD40DA">
        <w:rPr>
          <w:rFonts w:cs="Arial"/>
          <w:b/>
          <w:smallCaps/>
          <w:sz w:val="22"/>
          <w:szCs w:val="22"/>
        </w:rPr>
        <w:t xml:space="preserve"> </w:t>
      </w:r>
      <w:r w:rsidR="004B3E14">
        <w:rPr>
          <w:rFonts w:cs="Arial"/>
          <w:b/>
          <w:smallCaps/>
          <w:sz w:val="22"/>
          <w:szCs w:val="22"/>
        </w:rPr>
        <w:t>trimestre de</w:t>
      </w:r>
      <w:r w:rsidR="005B4B9E" w:rsidRPr="005B4B9E">
        <w:rPr>
          <w:rFonts w:cs="Arial"/>
          <w:b/>
          <w:smallCaps/>
          <w:sz w:val="22"/>
          <w:szCs w:val="22"/>
        </w:rPr>
        <w:t xml:space="preserve"> 20</w:t>
      </w:r>
      <w:r w:rsidR="00DB6564">
        <w:rPr>
          <w:rFonts w:cs="Arial"/>
          <w:b/>
          <w:smallCaps/>
          <w:sz w:val="22"/>
          <w:szCs w:val="22"/>
        </w:rPr>
        <w:t>2</w:t>
      </w:r>
      <w:r w:rsidR="00C2462A">
        <w:rPr>
          <w:rFonts w:cs="Arial"/>
          <w:b/>
          <w:smallCaps/>
          <w:sz w:val="22"/>
          <w:szCs w:val="22"/>
        </w:rPr>
        <w:t>1</w:t>
      </w:r>
    </w:p>
    <w:p w14:paraId="55FBBACA" w14:textId="77777777" w:rsidR="000D65E2" w:rsidRPr="000A5EC0" w:rsidRDefault="000D65E2" w:rsidP="000D65E2">
      <w:pPr>
        <w:contextualSpacing/>
        <w:jc w:val="center"/>
        <w:rPr>
          <w:rFonts w:cs="Arial"/>
          <w:b/>
          <w:smallCaps/>
          <w:sz w:val="18"/>
          <w:szCs w:val="18"/>
        </w:rPr>
      </w:pPr>
      <w:r w:rsidRPr="000A5EC0">
        <w:rPr>
          <w:rFonts w:cs="Arial"/>
          <w:sz w:val="18"/>
          <w:szCs w:val="18"/>
        </w:rPr>
        <w:t xml:space="preserve">(Índice </w:t>
      </w:r>
      <w:r w:rsidR="008F692E">
        <w:rPr>
          <w:rFonts w:cs="Arial"/>
          <w:sz w:val="18"/>
          <w:szCs w:val="18"/>
        </w:rPr>
        <w:t xml:space="preserve">base </w:t>
      </w:r>
      <w:r w:rsidR="00B604CA">
        <w:rPr>
          <w:rFonts w:cs="Arial"/>
          <w:sz w:val="18"/>
          <w:szCs w:val="18"/>
        </w:rPr>
        <w:t>20</w:t>
      </w:r>
      <w:r w:rsidR="00FC221A">
        <w:rPr>
          <w:rFonts w:cs="Arial"/>
          <w:sz w:val="18"/>
          <w:szCs w:val="18"/>
        </w:rPr>
        <w:t>13</w:t>
      </w:r>
      <w:r w:rsidRPr="000A5EC0">
        <w:rPr>
          <w:rFonts w:cs="Arial"/>
          <w:sz w:val="18"/>
          <w:szCs w:val="18"/>
        </w:rPr>
        <w:t>=100)</w:t>
      </w:r>
    </w:p>
    <w:p w14:paraId="3539B053" w14:textId="3D49DFEE" w:rsidR="000D65E2" w:rsidRDefault="00042146" w:rsidP="00E06933">
      <w:pPr>
        <w:tabs>
          <w:tab w:val="left" w:pos="6145"/>
        </w:tabs>
        <w:jc w:val="center"/>
      </w:pPr>
      <w:r>
        <w:rPr>
          <w:noProof/>
          <w:snapToGrid/>
        </w:rPr>
        <w:drawing>
          <wp:inline distT="0" distB="0" distL="0" distR="0" wp14:anchorId="56208820" wp14:editId="24F6E57D">
            <wp:extent cx="4320000" cy="2520000"/>
            <wp:effectExtent l="0" t="0" r="23495" b="33020"/>
            <wp:docPr id="9" name="Gráfico 9">
              <a:extLst xmlns:a="http://schemas.openxmlformats.org/drawingml/2006/main">
                <a:ext uri="{FF2B5EF4-FFF2-40B4-BE49-F238E27FC236}">
                  <a16:creationId xmlns:a16="http://schemas.microsoft.com/office/drawing/2014/main" id="{A562EEA5-5F17-4F16-9A4A-F713D66473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2E2AEF" w14:textId="77777777" w:rsidR="00E06933" w:rsidRPr="003D2E2E" w:rsidRDefault="00DB7239" w:rsidP="00E06933">
      <w:pPr>
        <w:ind w:left="993"/>
        <w:contextualSpacing/>
        <w:rPr>
          <w:rFonts w:cs="Arial"/>
          <w:sz w:val="16"/>
          <w:szCs w:val="16"/>
        </w:rPr>
      </w:pPr>
      <w:r>
        <w:rPr>
          <w:rFonts w:cs="Arial"/>
          <w:sz w:val="16"/>
          <w:szCs w:val="16"/>
        </w:rPr>
        <w:t xml:space="preserve">    </w:t>
      </w:r>
      <w:r w:rsidR="00E06933" w:rsidRPr="003D2E2E">
        <w:rPr>
          <w:rFonts w:cs="Arial"/>
          <w:sz w:val="16"/>
          <w:szCs w:val="16"/>
        </w:rPr>
        <w:t>Fuente: INEGI</w:t>
      </w:r>
      <w:r w:rsidR="007806B1">
        <w:rPr>
          <w:rFonts w:cs="Arial"/>
          <w:sz w:val="16"/>
          <w:szCs w:val="16"/>
        </w:rPr>
        <w:t>.</w:t>
      </w:r>
    </w:p>
    <w:p w14:paraId="6331D0F0" w14:textId="77777777" w:rsidR="005A4D85" w:rsidRDefault="005A4D85" w:rsidP="005A4D85">
      <w:pPr>
        <w:pStyle w:val="Default"/>
        <w:spacing w:before="360"/>
        <w:jc w:val="center"/>
        <w:rPr>
          <w:sz w:val="18"/>
          <w:szCs w:val="18"/>
        </w:rPr>
      </w:pPr>
    </w:p>
    <w:p w14:paraId="65EEFA9F" w14:textId="77777777" w:rsidR="00AF3516" w:rsidRDefault="00AF3516" w:rsidP="005A4D85">
      <w:pPr>
        <w:pStyle w:val="Default"/>
        <w:spacing w:before="360"/>
        <w:jc w:val="center"/>
        <w:rPr>
          <w:sz w:val="18"/>
          <w:szCs w:val="18"/>
        </w:rPr>
      </w:pPr>
    </w:p>
    <w:p w14:paraId="67DA3749" w14:textId="77777777" w:rsidR="00AF3516" w:rsidRDefault="00AF3516" w:rsidP="005A4D85">
      <w:pPr>
        <w:pStyle w:val="Default"/>
        <w:spacing w:before="360"/>
        <w:jc w:val="center"/>
        <w:rPr>
          <w:sz w:val="18"/>
          <w:szCs w:val="18"/>
        </w:rPr>
      </w:pPr>
    </w:p>
    <w:p w14:paraId="2C1504C8" w14:textId="77777777" w:rsidR="00AF3516" w:rsidRDefault="00AF3516" w:rsidP="005A4D85">
      <w:pPr>
        <w:pStyle w:val="Default"/>
        <w:spacing w:before="360"/>
        <w:jc w:val="center"/>
        <w:rPr>
          <w:sz w:val="18"/>
          <w:szCs w:val="18"/>
        </w:rPr>
      </w:pPr>
    </w:p>
    <w:p w14:paraId="6D773409" w14:textId="77777777" w:rsidR="00AF3516" w:rsidRDefault="00AF3516" w:rsidP="005A4D85">
      <w:pPr>
        <w:pStyle w:val="Default"/>
        <w:spacing w:before="360"/>
        <w:jc w:val="center"/>
        <w:rPr>
          <w:sz w:val="18"/>
          <w:szCs w:val="18"/>
        </w:rPr>
      </w:pPr>
    </w:p>
    <w:p w14:paraId="4EF4AECF" w14:textId="77777777" w:rsidR="00AF3516" w:rsidRDefault="00AF3516" w:rsidP="005A4D85">
      <w:pPr>
        <w:pStyle w:val="Default"/>
        <w:spacing w:before="360"/>
        <w:jc w:val="center"/>
        <w:rPr>
          <w:sz w:val="18"/>
          <w:szCs w:val="18"/>
        </w:rPr>
      </w:pPr>
    </w:p>
    <w:p w14:paraId="72DE8477" w14:textId="77777777" w:rsidR="00AF3516" w:rsidRDefault="00AF3516" w:rsidP="005A4D85">
      <w:pPr>
        <w:pStyle w:val="Default"/>
        <w:spacing w:before="360"/>
        <w:jc w:val="center"/>
        <w:rPr>
          <w:sz w:val="18"/>
          <w:szCs w:val="18"/>
        </w:rPr>
      </w:pPr>
    </w:p>
    <w:p w14:paraId="09297749" w14:textId="1BE31D0F" w:rsidR="005A4D85" w:rsidRPr="003D2E2E" w:rsidRDefault="005A4D85" w:rsidP="005A4D85">
      <w:pPr>
        <w:pStyle w:val="Default"/>
        <w:spacing w:before="360"/>
        <w:jc w:val="center"/>
        <w:rPr>
          <w:sz w:val="18"/>
          <w:szCs w:val="18"/>
        </w:rPr>
      </w:pPr>
      <w:r>
        <w:rPr>
          <w:sz w:val="18"/>
          <w:szCs w:val="18"/>
        </w:rPr>
        <w:t>Gráfica 5</w:t>
      </w:r>
    </w:p>
    <w:p w14:paraId="39A5B6B0" w14:textId="77777777" w:rsidR="006A4B36" w:rsidRPr="005B4B9E" w:rsidRDefault="006A4B36" w:rsidP="006A4B36">
      <w:pPr>
        <w:contextualSpacing/>
        <w:jc w:val="center"/>
        <w:rPr>
          <w:rFonts w:cs="Arial"/>
          <w:b/>
          <w:smallCaps/>
          <w:sz w:val="22"/>
          <w:szCs w:val="22"/>
        </w:rPr>
      </w:pPr>
      <w:r w:rsidRPr="005B4B9E">
        <w:rPr>
          <w:rFonts w:cs="Arial"/>
          <w:b/>
          <w:smallCaps/>
          <w:sz w:val="22"/>
          <w:szCs w:val="22"/>
        </w:rPr>
        <w:t>Indicador Trimestral del Consumo Turístico Interior</w:t>
      </w:r>
      <w:r>
        <w:rPr>
          <w:rFonts w:cs="Arial"/>
          <w:b/>
          <w:smallCaps/>
          <w:sz w:val="22"/>
          <w:szCs w:val="22"/>
        </w:rPr>
        <w:t xml:space="preserve"> Receptivo</w:t>
      </w:r>
      <w:r w:rsidRPr="005B4B9E" w:rsidDel="00CC2A9A">
        <w:rPr>
          <w:rFonts w:cs="Arial"/>
          <w:b/>
          <w:smallCaps/>
          <w:sz w:val="22"/>
          <w:szCs w:val="22"/>
        </w:rPr>
        <w:t xml:space="preserve"> </w:t>
      </w:r>
    </w:p>
    <w:p w14:paraId="0C958C1D" w14:textId="457F78C0" w:rsidR="005A4D85" w:rsidRDefault="005A4D85" w:rsidP="005A4D85">
      <w:pPr>
        <w:contextualSpacing/>
        <w:jc w:val="center"/>
        <w:rPr>
          <w:rFonts w:cs="Arial"/>
          <w:b/>
          <w:smallCaps/>
          <w:szCs w:val="24"/>
        </w:rPr>
      </w:pPr>
      <w:r w:rsidRPr="005B4B9E">
        <w:rPr>
          <w:rFonts w:cs="Arial"/>
          <w:b/>
          <w:smallCaps/>
          <w:sz w:val="22"/>
          <w:szCs w:val="22"/>
        </w:rPr>
        <w:t>al</w:t>
      </w:r>
      <w:r>
        <w:rPr>
          <w:rFonts w:cs="Arial"/>
          <w:b/>
          <w:smallCaps/>
          <w:sz w:val="22"/>
          <w:szCs w:val="22"/>
        </w:rPr>
        <w:t xml:space="preserve"> </w:t>
      </w:r>
      <w:r w:rsidR="00374008">
        <w:rPr>
          <w:rFonts w:cs="Arial"/>
          <w:b/>
          <w:smallCaps/>
          <w:sz w:val="22"/>
          <w:szCs w:val="22"/>
        </w:rPr>
        <w:t>primer</w:t>
      </w:r>
      <w:r>
        <w:rPr>
          <w:rFonts w:cs="Arial"/>
          <w:b/>
          <w:smallCaps/>
          <w:sz w:val="22"/>
          <w:szCs w:val="22"/>
        </w:rPr>
        <w:t xml:space="preserve"> trimestre de</w:t>
      </w:r>
      <w:r w:rsidRPr="005B4B9E">
        <w:rPr>
          <w:rFonts w:cs="Arial"/>
          <w:b/>
          <w:smallCaps/>
          <w:sz w:val="22"/>
          <w:szCs w:val="22"/>
        </w:rPr>
        <w:t xml:space="preserve"> 20</w:t>
      </w:r>
      <w:r w:rsidR="00DB6564">
        <w:rPr>
          <w:rFonts w:cs="Arial"/>
          <w:b/>
          <w:smallCaps/>
          <w:sz w:val="22"/>
          <w:szCs w:val="22"/>
        </w:rPr>
        <w:t>2</w:t>
      </w:r>
      <w:r w:rsidR="00374008">
        <w:rPr>
          <w:rFonts w:cs="Arial"/>
          <w:b/>
          <w:smallCaps/>
          <w:sz w:val="22"/>
          <w:szCs w:val="22"/>
        </w:rPr>
        <w:t>1</w:t>
      </w:r>
    </w:p>
    <w:p w14:paraId="602CEE3A" w14:textId="77777777" w:rsidR="005A4D85" w:rsidRPr="000A5EC0" w:rsidRDefault="005A4D85" w:rsidP="005A4D85">
      <w:pPr>
        <w:contextualSpacing/>
        <w:jc w:val="center"/>
        <w:rPr>
          <w:rFonts w:cs="Arial"/>
          <w:b/>
          <w:smallCaps/>
          <w:sz w:val="18"/>
          <w:szCs w:val="18"/>
        </w:rPr>
      </w:pPr>
      <w:r w:rsidRPr="000A5EC0">
        <w:rPr>
          <w:rFonts w:cs="Arial"/>
          <w:sz w:val="18"/>
          <w:szCs w:val="18"/>
        </w:rPr>
        <w:t xml:space="preserve">(Índice </w:t>
      </w:r>
      <w:r>
        <w:rPr>
          <w:rFonts w:cs="Arial"/>
          <w:sz w:val="18"/>
          <w:szCs w:val="18"/>
        </w:rPr>
        <w:t>base 2013</w:t>
      </w:r>
      <w:r w:rsidRPr="000A5EC0">
        <w:rPr>
          <w:rFonts w:cs="Arial"/>
          <w:sz w:val="18"/>
          <w:szCs w:val="18"/>
        </w:rPr>
        <w:t>=100)</w:t>
      </w:r>
    </w:p>
    <w:p w14:paraId="36BC2207" w14:textId="0D20E8C2" w:rsidR="005A4D85" w:rsidRDefault="009D2D82" w:rsidP="005A4D85">
      <w:pPr>
        <w:tabs>
          <w:tab w:val="left" w:pos="6145"/>
        </w:tabs>
        <w:jc w:val="center"/>
        <w:rPr>
          <w:sz w:val="16"/>
          <w:szCs w:val="16"/>
        </w:rPr>
      </w:pPr>
      <w:r>
        <w:rPr>
          <w:noProof/>
          <w:snapToGrid/>
        </w:rPr>
        <w:drawing>
          <wp:inline distT="0" distB="0" distL="0" distR="0" wp14:anchorId="428E088F" wp14:editId="51A14539">
            <wp:extent cx="4320000" cy="2520000"/>
            <wp:effectExtent l="0" t="0" r="23495" b="13970"/>
            <wp:docPr id="10" name="Gráfico 10">
              <a:extLst xmlns:a="http://schemas.openxmlformats.org/drawingml/2006/main">
                <a:ext uri="{FF2B5EF4-FFF2-40B4-BE49-F238E27FC236}">
                  <a16:creationId xmlns:a16="http://schemas.microsoft.com/office/drawing/2014/main" id="{D8E22354-FBDB-4274-9848-F6252E114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A724327" w14:textId="77777777" w:rsidR="005A4D85" w:rsidRDefault="005A4D85" w:rsidP="005A4D85">
      <w:pPr>
        <w:tabs>
          <w:tab w:val="left" w:pos="6145"/>
        </w:tabs>
        <w:ind w:left="993"/>
        <w:rPr>
          <w:sz w:val="18"/>
          <w:szCs w:val="18"/>
        </w:rPr>
      </w:pPr>
      <w:r>
        <w:rPr>
          <w:sz w:val="16"/>
          <w:szCs w:val="16"/>
        </w:rPr>
        <w:t xml:space="preserve">    </w:t>
      </w:r>
      <w:r w:rsidRPr="003D2E2E">
        <w:rPr>
          <w:sz w:val="16"/>
          <w:szCs w:val="16"/>
        </w:rPr>
        <w:t>Fuente: INEGI</w:t>
      </w:r>
      <w:r>
        <w:rPr>
          <w:sz w:val="16"/>
          <w:szCs w:val="16"/>
        </w:rPr>
        <w:t>.</w:t>
      </w:r>
    </w:p>
    <w:p w14:paraId="3DFC467E" w14:textId="77777777" w:rsidR="00AF3516" w:rsidRDefault="00AF3516" w:rsidP="00AF3516">
      <w:pPr>
        <w:widowControl/>
        <w:rPr>
          <w:sz w:val="18"/>
          <w:szCs w:val="18"/>
        </w:rPr>
      </w:pPr>
    </w:p>
    <w:p w14:paraId="4D821C7C" w14:textId="77777777" w:rsidR="00AF3516" w:rsidRDefault="00AF3516" w:rsidP="00AF3516">
      <w:pPr>
        <w:widowControl/>
        <w:rPr>
          <w:sz w:val="18"/>
          <w:szCs w:val="18"/>
        </w:rPr>
      </w:pPr>
    </w:p>
    <w:p w14:paraId="70F22368" w14:textId="1445390E" w:rsidR="00AF3516" w:rsidRDefault="00AF3516" w:rsidP="00AF3516">
      <w:pPr>
        <w:widowControl/>
        <w:rPr>
          <w:sz w:val="18"/>
          <w:szCs w:val="18"/>
        </w:rPr>
      </w:pPr>
    </w:p>
    <w:p w14:paraId="3EAA93B2" w14:textId="77777777" w:rsidR="00AF3516" w:rsidRDefault="00AF3516" w:rsidP="00AF3516">
      <w:pPr>
        <w:widowControl/>
        <w:rPr>
          <w:sz w:val="18"/>
          <w:szCs w:val="18"/>
        </w:rPr>
      </w:pPr>
    </w:p>
    <w:p w14:paraId="4F82A504" w14:textId="138BB02B" w:rsidR="00593BE6" w:rsidRPr="003D2E2E" w:rsidRDefault="00593BE6" w:rsidP="00AF3516">
      <w:pPr>
        <w:widowControl/>
        <w:jc w:val="center"/>
        <w:rPr>
          <w:sz w:val="18"/>
          <w:szCs w:val="18"/>
        </w:rPr>
      </w:pPr>
      <w:r>
        <w:rPr>
          <w:sz w:val="18"/>
          <w:szCs w:val="18"/>
        </w:rPr>
        <w:t xml:space="preserve">Gráfica </w:t>
      </w:r>
      <w:r w:rsidR="005A4D85">
        <w:rPr>
          <w:sz w:val="18"/>
          <w:szCs w:val="18"/>
        </w:rPr>
        <w:t>6</w:t>
      </w:r>
    </w:p>
    <w:p w14:paraId="29005B4F" w14:textId="69C3AFED" w:rsidR="00DB6564" w:rsidRPr="005B4B9E" w:rsidRDefault="006A4B36" w:rsidP="00DB6564">
      <w:pPr>
        <w:contextualSpacing/>
        <w:jc w:val="center"/>
        <w:rPr>
          <w:rFonts w:cs="Arial"/>
          <w:b/>
          <w:smallCaps/>
          <w:sz w:val="22"/>
          <w:szCs w:val="22"/>
        </w:rPr>
      </w:pPr>
      <w:r w:rsidRPr="005B4B9E">
        <w:rPr>
          <w:rFonts w:cs="Arial"/>
          <w:b/>
          <w:smallCaps/>
          <w:sz w:val="22"/>
          <w:szCs w:val="22"/>
        </w:rPr>
        <w:t>Indicador Trimestral del Consumo Turístico Interior</w:t>
      </w:r>
      <w:r w:rsidRPr="005B4B9E" w:rsidDel="00CC2A9A">
        <w:rPr>
          <w:rFonts w:cs="Arial"/>
          <w:b/>
          <w:smallCaps/>
          <w:sz w:val="22"/>
          <w:szCs w:val="22"/>
        </w:rPr>
        <w:t xml:space="preserve"> </w:t>
      </w:r>
      <w:r>
        <w:rPr>
          <w:rFonts w:cs="Arial"/>
          <w:b/>
          <w:smallCaps/>
          <w:sz w:val="22"/>
          <w:szCs w:val="22"/>
        </w:rPr>
        <w:t>Interno</w:t>
      </w:r>
      <w:r w:rsidRPr="005B4B9E">
        <w:rPr>
          <w:rFonts w:cs="Arial"/>
          <w:b/>
          <w:smallCaps/>
          <w:sz w:val="22"/>
          <w:szCs w:val="22"/>
        </w:rPr>
        <w:t xml:space="preserve"> </w:t>
      </w:r>
    </w:p>
    <w:p w14:paraId="6BCD3344" w14:textId="4DD24F7E" w:rsidR="00013DDD" w:rsidRDefault="00013DDD" w:rsidP="00013DDD">
      <w:pPr>
        <w:contextualSpacing/>
        <w:jc w:val="center"/>
        <w:rPr>
          <w:rFonts w:cs="Arial"/>
          <w:b/>
          <w:smallCaps/>
          <w:szCs w:val="24"/>
        </w:rPr>
      </w:pPr>
      <w:r w:rsidRPr="005B4B9E">
        <w:rPr>
          <w:rFonts w:cs="Arial"/>
          <w:b/>
          <w:smallCaps/>
          <w:sz w:val="22"/>
          <w:szCs w:val="22"/>
        </w:rPr>
        <w:t xml:space="preserve">al </w:t>
      </w:r>
      <w:r w:rsidR="00374008">
        <w:rPr>
          <w:rFonts w:cs="Arial"/>
          <w:b/>
          <w:smallCaps/>
          <w:sz w:val="22"/>
          <w:szCs w:val="22"/>
        </w:rPr>
        <w:t>primer</w:t>
      </w:r>
      <w:r>
        <w:rPr>
          <w:rFonts w:cs="Arial"/>
          <w:b/>
          <w:smallCaps/>
          <w:sz w:val="22"/>
          <w:szCs w:val="22"/>
        </w:rPr>
        <w:t xml:space="preserve"> trimestre de</w:t>
      </w:r>
      <w:r w:rsidRPr="005B4B9E">
        <w:rPr>
          <w:rFonts w:cs="Arial"/>
          <w:b/>
          <w:smallCaps/>
          <w:sz w:val="22"/>
          <w:szCs w:val="22"/>
        </w:rPr>
        <w:t xml:space="preserve"> 20</w:t>
      </w:r>
      <w:r w:rsidR="00DB6564">
        <w:rPr>
          <w:rFonts w:cs="Arial"/>
          <w:b/>
          <w:smallCaps/>
          <w:sz w:val="22"/>
          <w:szCs w:val="22"/>
        </w:rPr>
        <w:t>2</w:t>
      </w:r>
      <w:r w:rsidR="00374008">
        <w:rPr>
          <w:rFonts w:cs="Arial"/>
          <w:b/>
          <w:smallCaps/>
          <w:sz w:val="22"/>
          <w:szCs w:val="22"/>
        </w:rPr>
        <w:t>1</w:t>
      </w:r>
    </w:p>
    <w:p w14:paraId="3A34B788" w14:textId="77777777" w:rsidR="00013DDD" w:rsidRPr="000A5EC0" w:rsidRDefault="00013DDD" w:rsidP="00013DDD">
      <w:pPr>
        <w:contextualSpacing/>
        <w:jc w:val="center"/>
        <w:rPr>
          <w:rFonts w:cs="Arial"/>
          <w:b/>
          <w:smallCaps/>
          <w:sz w:val="18"/>
          <w:szCs w:val="18"/>
        </w:rPr>
      </w:pPr>
      <w:r w:rsidRPr="000A5EC0">
        <w:rPr>
          <w:rFonts w:cs="Arial"/>
          <w:sz w:val="18"/>
          <w:szCs w:val="18"/>
        </w:rPr>
        <w:t xml:space="preserve">(Índice </w:t>
      </w:r>
      <w:r>
        <w:rPr>
          <w:rFonts w:cs="Arial"/>
          <w:sz w:val="18"/>
          <w:szCs w:val="18"/>
        </w:rPr>
        <w:t>base 2013</w:t>
      </w:r>
      <w:r w:rsidRPr="000A5EC0">
        <w:rPr>
          <w:rFonts w:cs="Arial"/>
          <w:sz w:val="18"/>
          <w:szCs w:val="18"/>
        </w:rPr>
        <w:t>=100)</w:t>
      </w:r>
    </w:p>
    <w:p w14:paraId="1371B1C1" w14:textId="3F7CF2EB" w:rsidR="00013DDD" w:rsidRDefault="00CE3047" w:rsidP="00013DDD">
      <w:pPr>
        <w:tabs>
          <w:tab w:val="left" w:pos="6145"/>
        </w:tabs>
        <w:jc w:val="center"/>
      </w:pPr>
      <w:r>
        <w:rPr>
          <w:noProof/>
          <w:snapToGrid/>
        </w:rPr>
        <w:drawing>
          <wp:inline distT="0" distB="0" distL="0" distR="0" wp14:anchorId="377FF4EB" wp14:editId="34E01B9A">
            <wp:extent cx="4320000" cy="2520000"/>
            <wp:effectExtent l="0" t="0" r="23495" b="33020"/>
            <wp:docPr id="12" name="Gráfico 12">
              <a:extLst xmlns:a="http://schemas.openxmlformats.org/drawingml/2006/main">
                <a:ext uri="{FF2B5EF4-FFF2-40B4-BE49-F238E27FC236}">
                  <a16:creationId xmlns:a16="http://schemas.microsoft.com/office/drawing/2014/main" id="{41D77EC9-E4E8-4DD1-BF80-194D0644A3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BBCE852" w14:textId="77777777" w:rsidR="00593BE6" w:rsidRDefault="00013DDD" w:rsidP="00013DDD">
      <w:pPr>
        <w:pStyle w:val="Default"/>
        <w:ind w:left="993"/>
        <w:rPr>
          <w:sz w:val="18"/>
          <w:szCs w:val="18"/>
        </w:rPr>
      </w:pPr>
      <w:r>
        <w:rPr>
          <w:sz w:val="16"/>
          <w:szCs w:val="16"/>
        </w:rPr>
        <w:t xml:space="preserve">   </w:t>
      </w:r>
      <w:r w:rsidRPr="003D2E2E">
        <w:rPr>
          <w:sz w:val="16"/>
          <w:szCs w:val="16"/>
        </w:rPr>
        <w:t>Fuente: INEGI</w:t>
      </w:r>
      <w:r>
        <w:rPr>
          <w:sz w:val="16"/>
          <w:szCs w:val="16"/>
        </w:rPr>
        <w:t>.</w:t>
      </w:r>
    </w:p>
    <w:p w14:paraId="692955E6" w14:textId="77777777" w:rsidR="00196FF3" w:rsidRDefault="00196FF3">
      <w:pPr>
        <w:widowControl/>
        <w:rPr>
          <w:rFonts w:eastAsiaTheme="minorEastAsia" w:cs="Arial"/>
          <w:snapToGrid/>
          <w:color w:val="000000"/>
          <w:sz w:val="18"/>
          <w:szCs w:val="18"/>
          <w:lang w:val="es-ES"/>
        </w:rPr>
      </w:pPr>
    </w:p>
    <w:p w14:paraId="71D136A9" w14:textId="77777777" w:rsidR="00013DDD" w:rsidRDefault="00013DDD" w:rsidP="00013DDD">
      <w:pPr>
        <w:widowControl/>
        <w:ind w:left="993"/>
        <w:rPr>
          <w:rFonts w:cs="Arial"/>
          <w:sz w:val="16"/>
          <w:szCs w:val="16"/>
        </w:rPr>
      </w:pPr>
    </w:p>
    <w:p w14:paraId="245BB07B" w14:textId="77777777" w:rsidR="00AF3516" w:rsidRDefault="00AF3516" w:rsidP="00093578">
      <w:pPr>
        <w:pStyle w:val="n01"/>
        <w:keepNext/>
        <w:spacing w:after="360"/>
        <w:ind w:left="0" w:firstLine="0"/>
        <w:contextualSpacing/>
        <w:outlineLvl w:val="0"/>
        <w:rPr>
          <w:color w:val="auto"/>
        </w:rPr>
      </w:pPr>
    </w:p>
    <w:p w14:paraId="21B49C8F" w14:textId="77777777" w:rsidR="00AF3516" w:rsidRDefault="00AF3516" w:rsidP="00093578">
      <w:pPr>
        <w:pStyle w:val="n01"/>
        <w:keepNext/>
        <w:spacing w:after="360"/>
        <w:ind w:left="0" w:firstLine="0"/>
        <w:contextualSpacing/>
        <w:outlineLvl w:val="0"/>
        <w:rPr>
          <w:color w:val="auto"/>
        </w:rPr>
      </w:pPr>
    </w:p>
    <w:p w14:paraId="022AF6FF" w14:textId="6C8E147B" w:rsidR="00A74306" w:rsidRDefault="00A852EC" w:rsidP="00093578">
      <w:pPr>
        <w:pStyle w:val="n01"/>
        <w:keepNext/>
        <w:spacing w:after="360"/>
        <w:ind w:left="0" w:firstLine="0"/>
        <w:contextualSpacing/>
        <w:outlineLvl w:val="0"/>
        <w:rPr>
          <w:color w:val="auto"/>
          <w:szCs w:val="22"/>
        </w:rPr>
      </w:pPr>
      <w:r w:rsidRPr="003F5A16">
        <w:rPr>
          <w:color w:val="auto"/>
        </w:rPr>
        <w:t>En su comparación a</w:t>
      </w:r>
      <w:r w:rsidR="00526FDF" w:rsidRPr="003F5A16">
        <w:rPr>
          <w:color w:val="auto"/>
        </w:rPr>
        <w:t>nual</w:t>
      </w:r>
      <w:r w:rsidRPr="003F5A16">
        <w:rPr>
          <w:color w:val="auto"/>
        </w:rPr>
        <w:t xml:space="preserve"> </w:t>
      </w:r>
      <w:r w:rsidR="00DD4A68" w:rsidRPr="003F5A16">
        <w:rPr>
          <w:color w:val="auto"/>
        </w:rPr>
        <w:t xml:space="preserve">y </w:t>
      </w:r>
      <w:r w:rsidRPr="003F5A16">
        <w:rPr>
          <w:color w:val="auto"/>
        </w:rPr>
        <w:t>con datos</w:t>
      </w:r>
      <w:r w:rsidR="00DD139F" w:rsidRPr="003F5A16">
        <w:rPr>
          <w:color w:val="auto"/>
        </w:rPr>
        <w:t xml:space="preserve"> desestacionalizados, e</w:t>
      </w:r>
      <w:r w:rsidR="00DD139F" w:rsidRPr="003F5A16">
        <w:rPr>
          <w:color w:val="auto"/>
          <w:szCs w:val="22"/>
        </w:rPr>
        <w:t xml:space="preserve">l Indicador Trimestral del Consumo Turístico Interior </w:t>
      </w:r>
      <w:r w:rsidR="00AD7608" w:rsidRPr="003F5A16">
        <w:rPr>
          <w:color w:val="auto"/>
          <w:szCs w:val="22"/>
        </w:rPr>
        <w:t>r</w:t>
      </w:r>
      <w:r w:rsidR="00DD139F" w:rsidRPr="003F5A16">
        <w:rPr>
          <w:color w:val="auto"/>
          <w:szCs w:val="22"/>
        </w:rPr>
        <w:t xml:space="preserve">egistró </w:t>
      </w:r>
      <w:r w:rsidR="00AD7608" w:rsidRPr="003F5A16">
        <w:rPr>
          <w:color w:val="auto"/>
          <w:szCs w:val="22"/>
        </w:rPr>
        <w:t xml:space="preserve">un </w:t>
      </w:r>
      <w:r w:rsidR="00383E97">
        <w:rPr>
          <w:color w:val="auto"/>
          <w:szCs w:val="22"/>
        </w:rPr>
        <w:t>de</w:t>
      </w:r>
      <w:r w:rsidR="00AD7608" w:rsidRPr="003F5A16">
        <w:rPr>
          <w:color w:val="auto"/>
          <w:szCs w:val="22"/>
        </w:rPr>
        <w:t xml:space="preserve">scenso de </w:t>
      </w:r>
      <w:r w:rsidR="00B147E0">
        <w:rPr>
          <w:color w:val="auto"/>
          <w:szCs w:val="22"/>
        </w:rPr>
        <w:t>23.1</w:t>
      </w:r>
      <w:r w:rsidR="00AD7608" w:rsidRPr="003F5A16">
        <w:rPr>
          <w:color w:val="auto"/>
          <w:szCs w:val="22"/>
        </w:rPr>
        <w:t>%</w:t>
      </w:r>
      <w:r w:rsidR="00AC3637" w:rsidRPr="003F5A16">
        <w:rPr>
          <w:color w:val="auto"/>
          <w:szCs w:val="22"/>
        </w:rPr>
        <w:t xml:space="preserve"> d</w:t>
      </w:r>
      <w:r w:rsidR="00573E5B" w:rsidRPr="003F5A16">
        <w:rPr>
          <w:color w:val="auto"/>
          <w:szCs w:val="22"/>
        </w:rPr>
        <w:t xml:space="preserve">urante el trimestre </w:t>
      </w:r>
      <w:r w:rsidR="0045077C">
        <w:rPr>
          <w:color w:val="auto"/>
          <w:szCs w:val="22"/>
        </w:rPr>
        <w:t>enero-marzo</w:t>
      </w:r>
      <w:r w:rsidR="00573E5B" w:rsidRPr="003F5A16">
        <w:rPr>
          <w:color w:val="auto"/>
          <w:szCs w:val="22"/>
        </w:rPr>
        <w:t xml:space="preserve"> de 20</w:t>
      </w:r>
      <w:r w:rsidR="00AD7608" w:rsidRPr="003F5A16">
        <w:rPr>
          <w:color w:val="auto"/>
          <w:szCs w:val="22"/>
        </w:rPr>
        <w:t>2</w:t>
      </w:r>
      <w:r w:rsidR="00B147E0">
        <w:rPr>
          <w:color w:val="auto"/>
          <w:szCs w:val="22"/>
        </w:rPr>
        <w:t>1</w:t>
      </w:r>
      <w:r w:rsidR="008B5024" w:rsidRPr="003F5A16">
        <w:rPr>
          <w:color w:val="auto"/>
          <w:szCs w:val="22"/>
        </w:rPr>
        <w:t xml:space="preserve">. Por componentes, </w:t>
      </w:r>
      <w:r w:rsidR="006B675B" w:rsidRPr="003F5A16">
        <w:rPr>
          <w:color w:val="auto"/>
          <w:szCs w:val="22"/>
        </w:rPr>
        <w:t xml:space="preserve">el </w:t>
      </w:r>
      <w:r w:rsidR="00C138FA" w:rsidRPr="003F5A16">
        <w:rPr>
          <w:color w:val="auto"/>
          <w:szCs w:val="22"/>
        </w:rPr>
        <w:t xml:space="preserve">Consumo </w:t>
      </w:r>
      <w:r w:rsidR="00C500A3" w:rsidRPr="003F5A16">
        <w:rPr>
          <w:color w:val="auto"/>
          <w:szCs w:val="22"/>
        </w:rPr>
        <w:t>Turís</w:t>
      </w:r>
      <w:r w:rsidR="00C500A3">
        <w:rPr>
          <w:color w:val="auto"/>
          <w:szCs w:val="22"/>
        </w:rPr>
        <w:t>tico</w:t>
      </w:r>
      <w:r w:rsidR="00AD7608" w:rsidRPr="003F5A16">
        <w:rPr>
          <w:color w:val="auto"/>
          <w:szCs w:val="22"/>
        </w:rPr>
        <w:t xml:space="preserve"> Receptivo disminuyó </w:t>
      </w:r>
      <w:r w:rsidR="00B147E0" w:rsidRPr="00B147E0">
        <w:rPr>
          <w:color w:val="auto"/>
          <w:szCs w:val="22"/>
        </w:rPr>
        <w:t>51.9</w:t>
      </w:r>
      <w:r w:rsidR="006351A1" w:rsidRPr="003F5A16">
        <w:rPr>
          <w:color w:val="auto"/>
          <w:szCs w:val="22"/>
        </w:rPr>
        <w:t>%</w:t>
      </w:r>
      <w:r w:rsidR="00AD7608" w:rsidRPr="003F5A16">
        <w:rPr>
          <w:color w:val="auto"/>
          <w:szCs w:val="22"/>
        </w:rPr>
        <w:t xml:space="preserve"> y</w:t>
      </w:r>
      <w:r w:rsidR="000D7CA3" w:rsidRPr="003F5A16">
        <w:rPr>
          <w:color w:val="auto"/>
          <w:szCs w:val="22"/>
        </w:rPr>
        <w:t xml:space="preserve"> </w:t>
      </w:r>
      <w:r w:rsidR="00F73E2B" w:rsidRPr="003F5A16">
        <w:rPr>
          <w:color w:val="auto"/>
          <w:szCs w:val="22"/>
        </w:rPr>
        <w:t>el</w:t>
      </w:r>
      <w:r w:rsidR="006B675B" w:rsidRPr="003F5A16">
        <w:rPr>
          <w:color w:val="auto"/>
          <w:szCs w:val="22"/>
        </w:rPr>
        <w:t xml:space="preserve"> </w:t>
      </w:r>
      <w:r w:rsidR="00AD7608" w:rsidRPr="003F5A16">
        <w:rPr>
          <w:color w:val="auto"/>
          <w:szCs w:val="22"/>
        </w:rPr>
        <w:t xml:space="preserve">Turístico Interno cayó </w:t>
      </w:r>
      <w:r w:rsidR="00B147E0">
        <w:rPr>
          <w:color w:val="auto"/>
          <w:szCs w:val="22"/>
        </w:rPr>
        <w:t>16.6</w:t>
      </w:r>
      <w:r w:rsidR="00AD7608" w:rsidRPr="0045077C">
        <w:rPr>
          <w:color w:val="FF0000"/>
          <w:szCs w:val="22"/>
        </w:rPr>
        <w:t xml:space="preserve"> </w:t>
      </w:r>
      <w:r w:rsidR="00DD139F" w:rsidRPr="003F5A16">
        <w:rPr>
          <w:color w:val="auto"/>
          <w:szCs w:val="22"/>
        </w:rPr>
        <w:t>por ciento.</w:t>
      </w:r>
    </w:p>
    <w:p w14:paraId="45524304" w14:textId="77777777" w:rsidR="00093578" w:rsidRDefault="00093578" w:rsidP="00093578">
      <w:pPr>
        <w:pStyle w:val="n01"/>
        <w:keepNext/>
        <w:spacing w:after="360"/>
        <w:ind w:left="0" w:firstLine="0"/>
        <w:contextualSpacing/>
        <w:outlineLvl w:val="0"/>
        <w:rPr>
          <w:rFonts w:ascii="Arial" w:hAnsi="Arial" w:cs="Arial"/>
          <w:b/>
          <w:smallCaps/>
          <w:color w:val="auto"/>
          <w:szCs w:val="24"/>
          <w:lang w:val="es-MX"/>
        </w:rPr>
      </w:pPr>
    </w:p>
    <w:p w14:paraId="7FE1DB00" w14:textId="77777777" w:rsidR="00445596" w:rsidRDefault="00445596" w:rsidP="008773AA">
      <w:pPr>
        <w:pStyle w:val="n01"/>
        <w:keepNext/>
        <w:spacing w:before="1080" w:after="120"/>
        <w:ind w:left="0" w:firstLine="0"/>
        <w:contextualSpacing/>
        <w:outlineLvl w:val="0"/>
        <w:rPr>
          <w:rFonts w:ascii="Arial" w:hAnsi="Arial" w:cs="Arial"/>
          <w:b/>
          <w:smallCaps/>
          <w:color w:val="auto"/>
          <w:szCs w:val="24"/>
          <w:lang w:val="es-MX"/>
        </w:rPr>
      </w:pPr>
      <w:r>
        <w:rPr>
          <w:rFonts w:ascii="Arial" w:hAnsi="Arial" w:cs="Arial"/>
          <w:b/>
          <w:smallCaps/>
          <w:color w:val="auto"/>
          <w:szCs w:val="24"/>
          <w:lang w:val="es-MX"/>
        </w:rPr>
        <w:t>Cifras originales</w:t>
      </w:r>
    </w:p>
    <w:p w14:paraId="169B8B16" w14:textId="77777777" w:rsidR="00F04141" w:rsidRPr="002D5B11" w:rsidRDefault="00F04141" w:rsidP="008773AA">
      <w:pPr>
        <w:pStyle w:val="Default"/>
        <w:spacing w:before="240"/>
        <w:jc w:val="center"/>
        <w:rPr>
          <w:rFonts w:eastAsia="Times New Roman"/>
          <w:b/>
          <w:smallCaps/>
          <w:snapToGrid w:val="0"/>
          <w:color w:val="auto"/>
          <w:sz w:val="22"/>
          <w:szCs w:val="22"/>
          <w:lang w:val="es-ES_tradnl"/>
        </w:rPr>
      </w:pPr>
      <w:r w:rsidRPr="002D5B11">
        <w:rPr>
          <w:rFonts w:eastAsia="Times New Roman"/>
          <w:b/>
          <w:smallCaps/>
          <w:snapToGrid w:val="0"/>
          <w:color w:val="auto"/>
          <w:sz w:val="22"/>
          <w:szCs w:val="22"/>
          <w:lang w:val="es-ES_tradnl"/>
        </w:rPr>
        <w:t xml:space="preserve">Indicador Trimestral del PIB Turístico </w:t>
      </w:r>
    </w:p>
    <w:p w14:paraId="683376AC" w14:textId="77777777" w:rsidR="00BE0544" w:rsidRDefault="00F04141" w:rsidP="00F04141">
      <w:pPr>
        <w:pStyle w:val="p0"/>
        <w:spacing w:before="0"/>
        <w:jc w:val="center"/>
        <w:rPr>
          <w:rFonts w:cs="Arial"/>
          <w:b/>
          <w:smallCaps/>
          <w:color w:val="auto"/>
          <w:sz w:val="22"/>
          <w:szCs w:val="22"/>
        </w:rPr>
      </w:pPr>
      <w:r w:rsidRPr="002D5B11">
        <w:rPr>
          <w:b/>
          <w:smallCaps/>
          <w:snapToGrid/>
          <w:color w:val="auto"/>
          <w:sz w:val="22"/>
          <w:szCs w:val="22"/>
        </w:rPr>
        <w:t xml:space="preserve">y </w:t>
      </w:r>
      <w:r w:rsidR="00594DAE">
        <w:rPr>
          <w:b/>
          <w:smallCaps/>
          <w:snapToGrid/>
          <w:color w:val="auto"/>
          <w:sz w:val="22"/>
          <w:szCs w:val="22"/>
        </w:rPr>
        <w:t xml:space="preserve">del </w:t>
      </w:r>
      <w:r w:rsidRPr="002D5B11">
        <w:rPr>
          <w:b/>
          <w:smallCaps/>
          <w:snapToGrid/>
          <w:color w:val="auto"/>
          <w:sz w:val="22"/>
          <w:szCs w:val="22"/>
        </w:rPr>
        <w:t xml:space="preserve">Consumo Turístico Interior </w:t>
      </w:r>
      <w:r w:rsidR="00BE0544">
        <w:rPr>
          <w:rFonts w:cs="Arial"/>
          <w:b/>
          <w:smallCaps/>
          <w:color w:val="auto"/>
          <w:sz w:val="22"/>
          <w:szCs w:val="22"/>
        </w:rPr>
        <w:t>por componente</w:t>
      </w:r>
      <w:r w:rsidR="007449C3">
        <w:rPr>
          <w:rFonts w:cs="Arial"/>
          <w:b/>
          <w:smallCaps/>
          <w:color w:val="auto"/>
          <w:sz w:val="22"/>
          <w:szCs w:val="22"/>
        </w:rPr>
        <w:t>s</w:t>
      </w:r>
      <w:r w:rsidR="00BE0544">
        <w:rPr>
          <w:rFonts w:cs="Arial"/>
          <w:b/>
          <w:smallCaps/>
          <w:color w:val="auto"/>
          <w:sz w:val="22"/>
          <w:szCs w:val="22"/>
        </w:rPr>
        <w:t xml:space="preserve"> </w:t>
      </w:r>
    </w:p>
    <w:p w14:paraId="195CA0B8" w14:textId="01E1634C" w:rsidR="00F04141" w:rsidRDefault="00C16FE3" w:rsidP="00F04141">
      <w:pPr>
        <w:pStyle w:val="p0"/>
        <w:spacing w:before="0"/>
        <w:jc w:val="center"/>
        <w:rPr>
          <w:b/>
          <w:iCs/>
          <w:smallCaps/>
          <w:sz w:val="22"/>
          <w:szCs w:val="22"/>
          <w:lang w:val="es-MX" w:eastAsia="es-MX"/>
        </w:rPr>
      </w:pPr>
      <w:r>
        <w:rPr>
          <w:rFonts w:cs="Arial"/>
          <w:b/>
          <w:smallCaps/>
          <w:color w:val="auto"/>
          <w:sz w:val="22"/>
          <w:szCs w:val="22"/>
        </w:rPr>
        <w:t>durante el</w:t>
      </w:r>
      <w:r w:rsidR="00F04141" w:rsidRPr="002D5B11">
        <w:rPr>
          <w:rFonts w:cs="Arial"/>
          <w:b/>
          <w:smallCaps/>
          <w:color w:val="auto"/>
          <w:sz w:val="22"/>
          <w:szCs w:val="22"/>
        </w:rPr>
        <w:t xml:space="preserve"> </w:t>
      </w:r>
      <w:r w:rsidR="0045077C">
        <w:rPr>
          <w:rFonts w:cs="Arial"/>
          <w:b/>
          <w:smallCaps/>
          <w:color w:val="auto"/>
          <w:sz w:val="22"/>
          <w:szCs w:val="22"/>
        </w:rPr>
        <w:t>primer</w:t>
      </w:r>
      <w:r w:rsidR="00F04141" w:rsidRPr="002D5B11">
        <w:rPr>
          <w:rFonts w:cs="Arial"/>
          <w:b/>
          <w:smallCaps/>
          <w:color w:val="auto"/>
          <w:sz w:val="22"/>
          <w:szCs w:val="22"/>
        </w:rPr>
        <w:t xml:space="preserve"> trimestre de 20</w:t>
      </w:r>
      <w:r w:rsidR="00AD7608">
        <w:rPr>
          <w:rFonts w:cs="Arial"/>
          <w:b/>
          <w:smallCaps/>
          <w:color w:val="auto"/>
          <w:sz w:val="22"/>
          <w:szCs w:val="22"/>
        </w:rPr>
        <w:t>2</w:t>
      </w:r>
      <w:r w:rsidR="0045077C">
        <w:rPr>
          <w:rFonts w:cs="Arial"/>
          <w:b/>
          <w:smallCaps/>
          <w:color w:val="auto"/>
          <w:sz w:val="22"/>
          <w:szCs w:val="22"/>
        </w:rPr>
        <w:t>1</w:t>
      </w:r>
      <w:r w:rsidR="00F04141">
        <w:rPr>
          <w:b/>
          <w:iCs/>
          <w:smallCaps/>
          <w:sz w:val="22"/>
          <w:szCs w:val="22"/>
          <w:lang w:val="es-MX" w:eastAsia="es-MX"/>
        </w:rPr>
        <w:t xml:space="preserve"> </w:t>
      </w:r>
    </w:p>
    <w:p w14:paraId="118E6C77" w14:textId="77777777" w:rsidR="00B4338D" w:rsidRPr="00951650" w:rsidRDefault="00B4338D" w:rsidP="00F04141">
      <w:pPr>
        <w:pStyle w:val="p0"/>
        <w:spacing w:before="0"/>
        <w:jc w:val="center"/>
        <w:rPr>
          <w:rFonts w:cs="Arial"/>
          <w:snapToGrid/>
          <w:color w:val="auto"/>
          <w:sz w:val="18"/>
          <w:szCs w:val="18"/>
        </w:rPr>
      </w:pPr>
      <w:r w:rsidRPr="00951650">
        <w:rPr>
          <w:rFonts w:cs="Arial"/>
          <w:snapToGrid/>
          <w:color w:val="auto"/>
          <w:sz w:val="18"/>
          <w:szCs w:val="18"/>
        </w:rPr>
        <w:t xml:space="preserve">(Variación porcentual real respecto a igual período de un año antes) </w:t>
      </w:r>
    </w:p>
    <w:tbl>
      <w:tblPr>
        <w:tblW w:w="0" w:type="auto"/>
        <w:jc w:val="center"/>
        <w:tblLayout w:type="fixed"/>
        <w:tblCellMar>
          <w:left w:w="107" w:type="dxa"/>
          <w:right w:w="107" w:type="dxa"/>
        </w:tblCellMar>
        <w:tblLook w:val="04A0" w:firstRow="1" w:lastRow="0" w:firstColumn="1" w:lastColumn="0" w:noHBand="0" w:noVBand="1"/>
      </w:tblPr>
      <w:tblGrid>
        <w:gridCol w:w="3671"/>
        <w:gridCol w:w="1716"/>
      </w:tblGrid>
      <w:tr w:rsidR="00E43EEF" w14:paraId="29ECFBD5" w14:textId="77777777" w:rsidTr="002C760D">
        <w:trPr>
          <w:cantSplit/>
          <w:trHeight w:val="21"/>
          <w:jc w:val="center"/>
        </w:trPr>
        <w:tc>
          <w:tcPr>
            <w:tcW w:w="3671" w:type="dxa"/>
            <w:tcBorders>
              <w:top w:val="double" w:sz="4" w:space="0" w:color="auto"/>
              <w:left w:val="double" w:sz="4" w:space="0" w:color="auto"/>
              <w:bottom w:val="double" w:sz="4" w:space="0" w:color="404040"/>
              <w:right w:val="single" w:sz="4" w:space="0" w:color="auto"/>
            </w:tcBorders>
            <w:shd w:val="clear" w:color="auto" w:fill="C2D69B" w:themeFill="accent3" w:themeFillTint="99"/>
            <w:vAlign w:val="center"/>
            <w:hideMark/>
          </w:tcPr>
          <w:p w14:paraId="1FE3DEDC" w14:textId="77777777" w:rsidR="00E43EEF" w:rsidRDefault="00E43EEF" w:rsidP="000347D1">
            <w:pPr>
              <w:pStyle w:val="p0"/>
              <w:spacing w:before="120" w:after="120"/>
              <w:jc w:val="center"/>
              <w:rPr>
                <w:rFonts w:cs="Arial"/>
                <w:color w:val="auto"/>
                <w:sz w:val="18"/>
                <w:lang w:val="es-ES"/>
              </w:rPr>
            </w:pPr>
            <w:r>
              <w:rPr>
                <w:rFonts w:cs="Arial"/>
                <w:color w:val="auto"/>
                <w:sz w:val="18"/>
                <w:lang w:val="es-ES"/>
              </w:rPr>
              <w:t>Concepto</w:t>
            </w:r>
          </w:p>
        </w:tc>
        <w:tc>
          <w:tcPr>
            <w:tcW w:w="1716" w:type="dxa"/>
            <w:tcBorders>
              <w:top w:val="double" w:sz="4" w:space="0" w:color="auto"/>
              <w:left w:val="single" w:sz="4" w:space="0" w:color="auto"/>
              <w:bottom w:val="double" w:sz="4" w:space="0" w:color="404040"/>
              <w:right w:val="double" w:sz="4" w:space="0" w:color="auto"/>
            </w:tcBorders>
            <w:shd w:val="clear" w:color="auto" w:fill="C2D69B" w:themeFill="accent3" w:themeFillTint="99"/>
            <w:hideMark/>
          </w:tcPr>
          <w:p w14:paraId="03E9584C" w14:textId="037D99DA" w:rsidR="00E43EEF" w:rsidRDefault="00D7231E" w:rsidP="005A6BB7">
            <w:pPr>
              <w:pStyle w:val="p0"/>
              <w:keepNext/>
              <w:spacing w:before="120" w:after="120"/>
              <w:jc w:val="center"/>
              <w:rPr>
                <w:rFonts w:cs="Arial"/>
                <w:color w:val="auto"/>
                <w:sz w:val="18"/>
                <w:lang w:val="es-ES"/>
              </w:rPr>
            </w:pPr>
            <w:r>
              <w:rPr>
                <w:rFonts w:cs="Arial"/>
                <w:color w:val="auto"/>
                <w:sz w:val="18"/>
                <w:lang w:val="es-ES"/>
              </w:rPr>
              <w:t>1</w:t>
            </w:r>
            <w:r>
              <w:rPr>
                <w:rFonts w:cs="Arial"/>
                <w:color w:val="auto"/>
                <w:sz w:val="18"/>
                <w:vertAlign w:val="superscript"/>
                <w:lang w:val="es-ES"/>
              </w:rPr>
              <w:t>er</w:t>
            </w:r>
            <w:r w:rsidR="00E43EEF">
              <w:rPr>
                <w:rFonts w:cs="Arial"/>
                <w:color w:val="auto"/>
                <w:sz w:val="18"/>
                <w:lang w:val="es-ES"/>
              </w:rPr>
              <w:t xml:space="preserve"> </w:t>
            </w:r>
            <w:proofErr w:type="spellStart"/>
            <w:r w:rsidR="00E43EEF">
              <w:rPr>
                <w:rFonts w:cs="Arial"/>
                <w:color w:val="auto"/>
                <w:sz w:val="18"/>
                <w:lang w:val="es-ES"/>
              </w:rPr>
              <w:t>Trimestre</w:t>
            </w:r>
            <w:r w:rsidR="006428A4" w:rsidRPr="006428A4">
              <w:rPr>
                <w:rFonts w:cs="Arial"/>
                <w:color w:val="auto"/>
                <w:sz w:val="18"/>
                <w:vertAlign w:val="superscript"/>
                <w:lang w:val="es-ES"/>
              </w:rPr>
              <w:t>p</w:t>
            </w:r>
            <w:proofErr w:type="spellEnd"/>
            <w:r w:rsidR="006428A4" w:rsidRPr="006428A4">
              <w:rPr>
                <w:rFonts w:cs="Arial"/>
                <w:color w:val="auto"/>
                <w:sz w:val="18"/>
                <w:vertAlign w:val="superscript"/>
                <w:lang w:val="es-ES"/>
              </w:rPr>
              <w:t>/</w:t>
            </w:r>
          </w:p>
        </w:tc>
      </w:tr>
      <w:tr w:rsidR="00E43EEF" w14:paraId="031D32EC" w14:textId="77777777" w:rsidTr="002C760D">
        <w:trPr>
          <w:cantSplit/>
          <w:trHeight w:val="21"/>
          <w:jc w:val="center"/>
        </w:trPr>
        <w:tc>
          <w:tcPr>
            <w:tcW w:w="3671" w:type="dxa"/>
            <w:tcBorders>
              <w:top w:val="double" w:sz="4" w:space="0" w:color="404040"/>
              <w:left w:val="double" w:sz="4" w:space="0" w:color="auto"/>
              <w:bottom w:val="nil"/>
              <w:right w:val="single" w:sz="4" w:space="0" w:color="auto"/>
            </w:tcBorders>
            <w:hideMark/>
          </w:tcPr>
          <w:p w14:paraId="0385D1E8" w14:textId="77777777" w:rsidR="00E43EEF" w:rsidRPr="006F48F0" w:rsidRDefault="00E43EEF" w:rsidP="000347D1">
            <w:pPr>
              <w:pStyle w:val="p0"/>
              <w:spacing w:before="120"/>
              <w:ind w:firstLine="159"/>
              <w:rPr>
                <w:rFonts w:cs="Arial"/>
                <w:b/>
                <w:color w:val="auto"/>
                <w:sz w:val="18"/>
                <w:lang w:val="es-ES"/>
              </w:rPr>
            </w:pPr>
            <w:r w:rsidRPr="006F48F0">
              <w:rPr>
                <w:rFonts w:cs="Arial"/>
                <w:b/>
                <w:color w:val="auto"/>
                <w:sz w:val="18"/>
                <w:lang w:val="es-ES"/>
              </w:rPr>
              <w:t xml:space="preserve">PIB </w:t>
            </w:r>
            <w:r>
              <w:rPr>
                <w:rFonts w:cs="Arial"/>
                <w:b/>
                <w:color w:val="auto"/>
                <w:sz w:val="18"/>
                <w:lang w:val="es-ES"/>
              </w:rPr>
              <w:t>T</w:t>
            </w:r>
            <w:r w:rsidRPr="006F48F0">
              <w:rPr>
                <w:rFonts w:cs="Arial"/>
                <w:b/>
                <w:color w:val="auto"/>
                <w:sz w:val="18"/>
                <w:lang w:val="es-ES"/>
              </w:rPr>
              <w:t xml:space="preserve">urístico </w:t>
            </w:r>
          </w:p>
        </w:tc>
        <w:tc>
          <w:tcPr>
            <w:tcW w:w="1716" w:type="dxa"/>
            <w:tcBorders>
              <w:top w:val="double" w:sz="4" w:space="0" w:color="404040"/>
              <w:left w:val="single" w:sz="4" w:space="0" w:color="auto"/>
              <w:bottom w:val="nil"/>
              <w:right w:val="double" w:sz="4" w:space="0" w:color="auto"/>
            </w:tcBorders>
            <w:vAlign w:val="center"/>
          </w:tcPr>
          <w:p w14:paraId="3FD2553F" w14:textId="62A4B4A1" w:rsidR="00E43EEF" w:rsidRPr="00345EFC" w:rsidRDefault="00AD7608" w:rsidP="00D41962">
            <w:pPr>
              <w:tabs>
                <w:tab w:val="left" w:pos="307"/>
              </w:tabs>
              <w:spacing w:before="120"/>
              <w:ind w:right="454"/>
              <w:jc w:val="right"/>
              <w:rPr>
                <w:rFonts w:cs="Arial"/>
                <w:b/>
                <w:color w:val="000000" w:themeColor="text1"/>
                <w:sz w:val="18"/>
                <w:lang w:val="es-ES" w:eastAsia="en-US"/>
              </w:rPr>
            </w:pPr>
            <w:r w:rsidRPr="00345EFC">
              <w:rPr>
                <w:rFonts w:cs="Arial"/>
                <w:b/>
                <w:color w:val="000000" w:themeColor="text1"/>
                <w:sz w:val="18"/>
                <w:lang w:val="es-ES" w:eastAsia="en-US"/>
              </w:rPr>
              <w:t>(-)</w:t>
            </w:r>
            <w:r w:rsidR="00220BF2" w:rsidRPr="00345EFC">
              <w:rPr>
                <w:rFonts w:cs="Arial"/>
                <w:b/>
                <w:color w:val="000000" w:themeColor="text1"/>
                <w:sz w:val="18"/>
                <w:lang w:val="es-ES" w:eastAsia="en-US"/>
              </w:rPr>
              <w:t xml:space="preserve"> </w:t>
            </w:r>
            <w:r w:rsidR="006E2C9F" w:rsidRPr="00345EFC">
              <w:rPr>
                <w:rFonts w:cs="Arial"/>
                <w:b/>
                <w:color w:val="000000" w:themeColor="text1"/>
                <w:sz w:val="18"/>
                <w:lang w:val="es-ES" w:eastAsia="en-US"/>
              </w:rPr>
              <w:t xml:space="preserve"> </w:t>
            </w:r>
            <w:r w:rsidR="00345EFC">
              <w:rPr>
                <w:rFonts w:cs="Arial"/>
                <w:b/>
                <w:color w:val="000000" w:themeColor="text1"/>
                <w:sz w:val="18"/>
                <w:lang w:val="es-ES" w:eastAsia="en-US"/>
              </w:rPr>
              <w:t>23.3</w:t>
            </w:r>
          </w:p>
        </w:tc>
      </w:tr>
      <w:tr w:rsidR="00E43EEF" w14:paraId="2ED490B4"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123743D4" w14:textId="77777777" w:rsidR="00E43EEF" w:rsidRDefault="00E43EEF" w:rsidP="000347D1">
            <w:pPr>
              <w:pStyle w:val="p0"/>
              <w:spacing w:before="0"/>
              <w:ind w:firstLine="454"/>
              <w:rPr>
                <w:rFonts w:cs="Arial"/>
                <w:color w:val="auto"/>
                <w:sz w:val="18"/>
                <w:lang w:val="es-ES"/>
              </w:rPr>
            </w:pPr>
            <w:r>
              <w:rPr>
                <w:rFonts w:cs="Arial"/>
                <w:color w:val="auto"/>
                <w:sz w:val="18"/>
                <w:lang w:val="es-ES"/>
              </w:rPr>
              <w:t>Bienes</w:t>
            </w:r>
          </w:p>
        </w:tc>
        <w:tc>
          <w:tcPr>
            <w:tcW w:w="1716" w:type="dxa"/>
            <w:tcBorders>
              <w:top w:val="nil"/>
              <w:left w:val="single" w:sz="4" w:space="0" w:color="auto"/>
              <w:bottom w:val="nil"/>
              <w:right w:val="double" w:sz="4" w:space="0" w:color="auto"/>
            </w:tcBorders>
            <w:hideMark/>
          </w:tcPr>
          <w:p w14:paraId="6D31E96B" w14:textId="77186849" w:rsidR="00E43EEF" w:rsidRPr="00345EFC" w:rsidRDefault="00AD7608" w:rsidP="00D41962">
            <w:pPr>
              <w:tabs>
                <w:tab w:val="left" w:pos="307"/>
              </w:tabs>
              <w:ind w:right="454"/>
              <w:jc w:val="right"/>
              <w:rPr>
                <w:rFonts w:cs="Arial"/>
                <w:color w:val="000000" w:themeColor="text1"/>
                <w:sz w:val="18"/>
                <w:lang w:val="es-ES" w:eastAsia="en-US"/>
              </w:rPr>
            </w:pPr>
            <w:r w:rsidRPr="00345EFC">
              <w:rPr>
                <w:rFonts w:cs="Arial"/>
                <w:color w:val="000000" w:themeColor="text1"/>
                <w:sz w:val="18"/>
                <w:lang w:val="es-ES" w:eastAsia="en-US"/>
              </w:rPr>
              <w:t>(-)</w:t>
            </w:r>
            <w:r w:rsidR="00220BF2" w:rsidRPr="00345EFC">
              <w:rPr>
                <w:rFonts w:cs="Arial"/>
                <w:color w:val="000000" w:themeColor="text1"/>
                <w:sz w:val="18"/>
                <w:lang w:val="es-ES" w:eastAsia="en-US"/>
              </w:rPr>
              <w:t xml:space="preserve"> </w:t>
            </w:r>
            <w:r w:rsidR="008C2FCD" w:rsidRPr="00345EFC">
              <w:rPr>
                <w:rFonts w:cs="Arial"/>
                <w:color w:val="000000" w:themeColor="text1"/>
                <w:sz w:val="18"/>
                <w:lang w:val="es-ES" w:eastAsia="en-US"/>
              </w:rPr>
              <w:t xml:space="preserve"> </w:t>
            </w:r>
            <w:r w:rsidR="00345EFC">
              <w:rPr>
                <w:rFonts w:cs="Arial"/>
                <w:color w:val="000000" w:themeColor="text1"/>
                <w:sz w:val="18"/>
                <w:lang w:val="es-ES" w:eastAsia="en-US"/>
              </w:rPr>
              <w:t>25.6</w:t>
            </w:r>
          </w:p>
        </w:tc>
      </w:tr>
      <w:tr w:rsidR="00E43EEF" w14:paraId="27681461"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2BC01359" w14:textId="77777777" w:rsidR="00E43EEF" w:rsidRDefault="00E43EEF" w:rsidP="000347D1">
            <w:pPr>
              <w:pStyle w:val="p0"/>
              <w:spacing w:before="0"/>
              <w:ind w:firstLine="454"/>
              <w:rPr>
                <w:rFonts w:cs="Arial"/>
                <w:color w:val="auto"/>
                <w:sz w:val="18"/>
                <w:lang w:val="es-ES"/>
              </w:rPr>
            </w:pPr>
            <w:r>
              <w:rPr>
                <w:rFonts w:cs="Arial"/>
                <w:color w:val="auto"/>
                <w:sz w:val="18"/>
                <w:lang w:val="es-ES"/>
              </w:rPr>
              <w:t>Servicios</w:t>
            </w:r>
          </w:p>
        </w:tc>
        <w:tc>
          <w:tcPr>
            <w:tcW w:w="1716" w:type="dxa"/>
            <w:tcBorders>
              <w:top w:val="nil"/>
              <w:left w:val="single" w:sz="4" w:space="0" w:color="auto"/>
              <w:bottom w:val="nil"/>
              <w:right w:val="double" w:sz="4" w:space="0" w:color="auto"/>
            </w:tcBorders>
            <w:hideMark/>
          </w:tcPr>
          <w:p w14:paraId="02B2FB87" w14:textId="06F2FC8F" w:rsidR="00E43EEF" w:rsidRPr="00345EFC" w:rsidRDefault="00AD7608" w:rsidP="00D41962">
            <w:pPr>
              <w:tabs>
                <w:tab w:val="left" w:pos="307"/>
              </w:tabs>
              <w:ind w:right="454"/>
              <w:jc w:val="right"/>
              <w:rPr>
                <w:rFonts w:cs="Arial"/>
                <w:color w:val="000000" w:themeColor="text1"/>
                <w:sz w:val="18"/>
                <w:lang w:val="es-ES" w:eastAsia="en-US"/>
              </w:rPr>
            </w:pPr>
            <w:r w:rsidRPr="00345EFC">
              <w:rPr>
                <w:rFonts w:cs="Arial"/>
                <w:color w:val="000000" w:themeColor="text1"/>
                <w:sz w:val="18"/>
                <w:lang w:val="es-ES" w:eastAsia="en-US"/>
              </w:rPr>
              <w:t>(-)</w:t>
            </w:r>
            <w:r w:rsidR="00220BF2" w:rsidRPr="00345EFC">
              <w:rPr>
                <w:rFonts w:cs="Arial"/>
                <w:color w:val="000000" w:themeColor="text1"/>
                <w:sz w:val="18"/>
                <w:lang w:val="es-ES" w:eastAsia="en-US"/>
              </w:rPr>
              <w:t xml:space="preserve"> </w:t>
            </w:r>
            <w:r w:rsidR="006E2C9F" w:rsidRPr="00345EFC">
              <w:rPr>
                <w:rFonts w:cs="Arial"/>
                <w:color w:val="000000" w:themeColor="text1"/>
                <w:sz w:val="18"/>
                <w:lang w:val="es-ES" w:eastAsia="en-US"/>
              </w:rPr>
              <w:t xml:space="preserve"> </w:t>
            </w:r>
            <w:r w:rsidR="00345EFC">
              <w:rPr>
                <w:rFonts w:cs="Arial"/>
                <w:color w:val="000000" w:themeColor="text1"/>
                <w:sz w:val="18"/>
                <w:lang w:val="es-ES" w:eastAsia="en-US"/>
              </w:rPr>
              <w:t>22.8</w:t>
            </w:r>
          </w:p>
        </w:tc>
      </w:tr>
      <w:tr w:rsidR="00E43EEF" w14:paraId="73F8F6C1" w14:textId="77777777" w:rsidTr="002C760D">
        <w:trPr>
          <w:cantSplit/>
          <w:trHeight w:val="21"/>
          <w:jc w:val="center"/>
        </w:trPr>
        <w:tc>
          <w:tcPr>
            <w:tcW w:w="3671" w:type="dxa"/>
            <w:tcBorders>
              <w:top w:val="nil"/>
              <w:left w:val="double" w:sz="4" w:space="0" w:color="auto"/>
              <w:bottom w:val="nil"/>
              <w:right w:val="single" w:sz="4" w:space="0" w:color="auto"/>
            </w:tcBorders>
            <w:hideMark/>
          </w:tcPr>
          <w:p w14:paraId="5EE298C4" w14:textId="77777777" w:rsidR="00E43EEF" w:rsidRPr="006F48F0" w:rsidRDefault="00E43EEF" w:rsidP="000347D1">
            <w:pPr>
              <w:pStyle w:val="p0"/>
              <w:spacing w:before="120"/>
              <w:ind w:firstLine="159"/>
              <w:rPr>
                <w:rFonts w:cs="Arial"/>
                <w:b/>
                <w:color w:val="auto"/>
                <w:sz w:val="18"/>
                <w:lang w:val="es-ES"/>
              </w:rPr>
            </w:pPr>
            <w:r w:rsidRPr="006F48F0">
              <w:rPr>
                <w:rFonts w:cs="Arial"/>
                <w:b/>
                <w:color w:val="auto"/>
                <w:sz w:val="18"/>
                <w:lang w:val="es-ES"/>
              </w:rPr>
              <w:t xml:space="preserve">Consumo </w:t>
            </w:r>
            <w:r>
              <w:rPr>
                <w:rFonts w:cs="Arial"/>
                <w:b/>
                <w:color w:val="auto"/>
                <w:sz w:val="18"/>
                <w:lang w:val="es-ES"/>
              </w:rPr>
              <w:t>T</w:t>
            </w:r>
            <w:r w:rsidRPr="006F48F0">
              <w:rPr>
                <w:rFonts w:cs="Arial"/>
                <w:b/>
                <w:color w:val="auto"/>
                <w:sz w:val="18"/>
                <w:lang w:val="es-ES"/>
              </w:rPr>
              <w:t>urístico Interior</w:t>
            </w:r>
          </w:p>
        </w:tc>
        <w:tc>
          <w:tcPr>
            <w:tcW w:w="1716" w:type="dxa"/>
            <w:tcBorders>
              <w:top w:val="nil"/>
              <w:left w:val="single" w:sz="4" w:space="0" w:color="auto"/>
              <w:bottom w:val="nil"/>
              <w:right w:val="double" w:sz="4" w:space="0" w:color="auto"/>
            </w:tcBorders>
          </w:tcPr>
          <w:p w14:paraId="360B8BA5" w14:textId="09F1C02F" w:rsidR="00E43EEF" w:rsidRPr="00345EFC" w:rsidRDefault="00264161" w:rsidP="00D41962">
            <w:pPr>
              <w:tabs>
                <w:tab w:val="left" w:pos="307"/>
              </w:tabs>
              <w:spacing w:before="120" w:after="20"/>
              <w:ind w:right="454"/>
              <w:jc w:val="right"/>
              <w:rPr>
                <w:rFonts w:cs="Arial"/>
                <w:b/>
                <w:color w:val="000000" w:themeColor="text1"/>
                <w:sz w:val="18"/>
                <w:lang w:val="es-ES" w:eastAsia="en-US"/>
              </w:rPr>
            </w:pPr>
            <w:r w:rsidRPr="00345EFC">
              <w:rPr>
                <w:rFonts w:cs="Arial"/>
                <w:b/>
                <w:color w:val="000000" w:themeColor="text1"/>
                <w:sz w:val="18"/>
                <w:lang w:val="es-ES" w:eastAsia="en-US"/>
              </w:rPr>
              <w:t>(-)</w:t>
            </w:r>
            <w:r w:rsidR="004B0F4B" w:rsidRPr="00345EFC">
              <w:rPr>
                <w:rFonts w:cs="Arial"/>
                <w:b/>
                <w:color w:val="000000" w:themeColor="text1"/>
                <w:sz w:val="18"/>
                <w:lang w:val="es-ES" w:eastAsia="en-US"/>
              </w:rPr>
              <w:t xml:space="preserve"> </w:t>
            </w:r>
            <w:r w:rsidR="00220BF2" w:rsidRPr="00345EFC">
              <w:rPr>
                <w:rFonts w:cs="Arial"/>
                <w:b/>
                <w:color w:val="000000" w:themeColor="text1"/>
                <w:sz w:val="18"/>
                <w:lang w:val="es-ES" w:eastAsia="en-US"/>
              </w:rPr>
              <w:t xml:space="preserve"> </w:t>
            </w:r>
            <w:r w:rsidR="00345EFC">
              <w:rPr>
                <w:rFonts w:cs="Arial"/>
                <w:b/>
                <w:color w:val="000000" w:themeColor="text1"/>
                <w:sz w:val="18"/>
                <w:lang w:val="es-ES" w:eastAsia="en-US"/>
              </w:rPr>
              <w:t>23.1</w:t>
            </w:r>
          </w:p>
        </w:tc>
      </w:tr>
      <w:tr w:rsidR="00E43EEF" w14:paraId="3A11ADAC" w14:textId="77777777" w:rsidTr="002C760D">
        <w:trPr>
          <w:cantSplit/>
          <w:trHeight w:val="21"/>
          <w:jc w:val="center"/>
        </w:trPr>
        <w:tc>
          <w:tcPr>
            <w:tcW w:w="3671" w:type="dxa"/>
            <w:tcBorders>
              <w:top w:val="nil"/>
              <w:left w:val="double" w:sz="4" w:space="0" w:color="auto"/>
              <w:right w:val="single" w:sz="4" w:space="0" w:color="auto"/>
            </w:tcBorders>
          </w:tcPr>
          <w:p w14:paraId="311F44B2" w14:textId="77777777" w:rsidR="00E43EEF" w:rsidRPr="00053A68" w:rsidRDefault="00E43EEF" w:rsidP="000347D1">
            <w:pPr>
              <w:pStyle w:val="p0"/>
              <w:spacing w:before="0"/>
              <w:ind w:firstLine="454"/>
              <w:rPr>
                <w:rFonts w:cs="Arial"/>
                <w:color w:val="auto"/>
                <w:sz w:val="18"/>
                <w:lang w:val="es-ES"/>
              </w:rPr>
            </w:pPr>
            <w:r w:rsidRPr="002D5B11">
              <w:rPr>
                <w:rFonts w:cs="Arial"/>
                <w:color w:val="auto"/>
                <w:sz w:val="18"/>
                <w:lang w:val="es-ES"/>
              </w:rPr>
              <w:t>Interno</w:t>
            </w:r>
          </w:p>
        </w:tc>
        <w:tc>
          <w:tcPr>
            <w:tcW w:w="1716" w:type="dxa"/>
            <w:tcBorders>
              <w:top w:val="nil"/>
              <w:left w:val="single" w:sz="4" w:space="0" w:color="auto"/>
              <w:right w:val="double" w:sz="4" w:space="0" w:color="auto"/>
            </w:tcBorders>
          </w:tcPr>
          <w:p w14:paraId="179B40CD" w14:textId="420014FF" w:rsidR="00E43EEF" w:rsidRPr="00345EFC" w:rsidRDefault="00220BF2" w:rsidP="00D41962">
            <w:pPr>
              <w:tabs>
                <w:tab w:val="left" w:pos="307"/>
                <w:tab w:val="decimal" w:pos="881"/>
              </w:tabs>
              <w:ind w:right="454"/>
              <w:jc w:val="right"/>
              <w:rPr>
                <w:rFonts w:cs="Arial"/>
                <w:color w:val="000000" w:themeColor="text1"/>
                <w:sz w:val="18"/>
                <w:lang w:val="es-ES"/>
              </w:rPr>
            </w:pPr>
            <w:r w:rsidRPr="00345EFC">
              <w:rPr>
                <w:rFonts w:cs="Arial"/>
                <w:color w:val="000000" w:themeColor="text1"/>
                <w:sz w:val="18"/>
                <w:lang w:val="es-ES"/>
              </w:rPr>
              <w:t>(-)</w:t>
            </w:r>
            <w:r w:rsidR="004B0F4B" w:rsidRPr="00345EFC">
              <w:rPr>
                <w:rFonts w:cs="Arial"/>
                <w:color w:val="000000" w:themeColor="text1"/>
                <w:sz w:val="18"/>
                <w:lang w:val="es-ES"/>
              </w:rPr>
              <w:t xml:space="preserve"> </w:t>
            </w:r>
            <w:r w:rsidRPr="00345EFC">
              <w:rPr>
                <w:rFonts w:cs="Arial"/>
                <w:color w:val="000000" w:themeColor="text1"/>
                <w:sz w:val="18"/>
                <w:lang w:val="es-ES"/>
              </w:rPr>
              <w:t xml:space="preserve"> </w:t>
            </w:r>
            <w:r w:rsidR="00097001">
              <w:rPr>
                <w:rFonts w:cs="Arial"/>
                <w:color w:val="000000" w:themeColor="text1"/>
                <w:sz w:val="18"/>
                <w:lang w:val="es-ES"/>
              </w:rPr>
              <w:t>16.4</w:t>
            </w:r>
          </w:p>
        </w:tc>
      </w:tr>
      <w:tr w:rsidR="00E43EEF" w14:paraId="2FFFA403" w14:textId="77777777" w:rsidTr="002C760D">
        <w:trPr>
          <w:cantSplit/>
          <w:trHeight w:val="21"/>
          <w:jc w:val="center"/>
        </w:trPr>
        <w:tc>
          <w:tcPr>
            <w:tcW w:w="3671" w:type="dxa"/>
            <w:tcBorders>
              <w:top w:val="nil"/>
              <w:left w:val="double" w:sz="4" w:space="0" w:color="auto"/>
              <w:bottom w:val="double" w:sz="4" w:space="0" w:color="auto"/>
              <w:right w:val="single" w:sz="4" w:space="0" w:color="auto"/>
            </w:tcBorders>
          </w:tcPr>
          <w:p w14:paraId="534077F9" w14:textId="77777777" w:rsidR="00E43EEF" w:rsidRDefault="00E43EEF" w:rsidP="000347D1">
            <w:pPr>
              <w:pStyle w:val="p0"/>
              <w:spacing w:before="0" w:after="120"/>
              <w:ind w:firstLine="454"/>
              <w:rPr>
                <w:rFonts w:cs="Arial"/>
                <w:color w:val="auto"/>
                <w:sz w:val="18"/>
                <w:lang w:val="es-ES"/>
              </w:rPr>
            </w:pPr>
            <w:r>
              <w:rPr>
                <w:rFonts w:cs="Arial"/>
                <w:color w:val="auto"/>
                <w:sz w:val="18"/>
                <w:lang w:val="es-ES"/>
              </w:rPr>
              <w:t>Receptivo</w:t>
            </w:r>
          </w:p>
        </w:tc>
        <w:tc>
          <w:tcPr>
            <w:tcW w:w="1716" w:type="dxa"/>
            <w:tcBorders>
              <w:top w:val="nil"/>
              <w:left w:val="single" w:sz="4" w:space="0" w:color="auto"/>
              <w:bottom w:val="double" w:sz="4" w:space="0" w:color="auto"/>
              <w:right w:val="double" w:sz="4" w:space="0" w:color="auto"/>
            </w:tcBorders>
          </w:tcPr>
          <w:p w14:paraId="6B477926" w14:textId="7F5EB114" w:rsidR="00E43EEF" w:rsidRPr="00345EFC" w:rsidRDefault="00F93C25" w:rsidP="00D41962">
            <w:pPr>
              <w:tabs>
                <w:tab w:val="left" w:pos="307"/>
                <w:tab w:val="decimal" w:pos="881"/>
              </w:tabs>
              <w:spacing w:after="120"/>
              <w:ind w:right="454"/>
              <w:jc w:val="right"/>
              <w:rPr>
                <w:rFonts w:cs="Arial"/>
                <w:color w:val="000000" w:themeColor="text1"/>
                <w:sz w:val="18"/>
                <w:lang w:val="es-ES"/>
              </w:rPr>
            </w:pPr>
            <w:r w:rsidRPr="00345EFC">
              <w:rPr>
                <w:rFonts w:cs="Arial"/>
                <w:color w:val="000000" w:themeColor="text1"/>
                <w:sz w:val="18"/>
                <w:lang w:val="es-ES"/>
              </w:rPr>
              <w:t>(-)</w:t>
            </w:r>
            <w:r w:rsidR="00220BF2" w:rsidRPr="00345EFC">
              <w:rPr>
                <w:rFonts w:cs="Arial"/>
                <w:color w:val="000000" w:themeColor="text1"/>
                <w:sz w:val="18"/>
                <w:lang w:val="es-ES"/>
              </w:rPr>
              <w:t xml:space="preserve"> </w:t>
            </w:r>
            <w:r w:rsidR="004B0F4B" w:rsidRPr="00345EFC">
              <w:rPr>
                <w:rFonts w:cs="Arial"/>
                <w:color w:val="000000" w:themeColor="text1"/>
                <w:sz w:val="18"/>
                <w:lang w:val="es-ES"/>
              </w:rPr>
              <w:t xml:space="preserve"> </w:t>
            </w:r>
            <w:r w:rsidR="00AA1168" w:rsidRPr="00345EFC">
              <w:rPr>
                <w:rFonts w:cs="Arial"/>
                <w:color w:val="000000" w:themeColor="text1"/>
                <w:sz w:val="18"/>
                <w:lang w:val="es-ES"/>
              </w:rPr>
              <w:t>5</w:t>
            </w:r>
            <w:r w:rsidR="00951650" w:rsidRPr="00345EFC">
              <w:rPr>
                <w:rFonts w:cs="Arial"/>
                <w:color w:val="000000" w:themeColor="text1"/>
                <w:sz w:val="18"/>
                <w:lang w:val="es-ES"/>
              </w:rPr>
              <w:t>1</w:t>
            </w:r>
            <w:r w:rsidR="00AA1168" w:rsidRPr="00345EFC">
              <w:rPr>
                <w:rFonts w:cs="Arial"/>
                <w:color w:val="000000" w:themeColor="text1"/>
                <w:sz w:val="18"/>
                <w:lang w:val="es-ES"/>
              </w:rPr>
              <w:t>.</w:t>
            </w:r>
            <w:r w:rsidR="00345EFC">
              <w:rPr>
                <w:rFonts w:cs="Arial"/>
                <w:color w:val="000000" w:themeColor="text1"/>
                <w:sz w:val="18"/>
                <w:lang w:val="es-ES"/>
              </w:rPr>
              <w:t>8</w:t>
            </w:r>
          </w:p>
        </w:tc>
      </w:tr>
    </w:tbl>
    <w:p w14:paraId="7D43CEA5" w14:textId="77777777" w:rsidR="00EA02E6" w:rsidRDefault="00593BE6" w:rsidP="00642525">
      <w:pPr>
        <w:pStyle w:val="n01"/>
        <w:keepNext/>
        <w:spacing w:before="0"/>
        <w:ind w:firstLine="0"/>
        <w:contextualSpacing/>
        <w:outlineLvl w:val="0"/>
        <w:rPr>
          <w:rFonts w:ascii="Arial" w:hAnsi="Arial" w:cs="Arial"/>
          <w:color w:val="auto"/>
          <w:sz w:val="16"/>
          <w:szCs w:val="16"/>
        </w:rPr>
      </w:pPr>
      <w:r>
        <w:rPr>
          <w:rFonts w:ascii="Arial" w:hAnsi="Arial" w:cs="Arial"/>
          <w:color w:val="auto"/>
          <w:sz w:val="16"/>
          <w:szCs w:val="16"/>
        </w:rPr>
        <w:t xml:space="preserve">   </w:t>
      </w:r>
      <w:r w:rsidR="00C31BDC">
        <w:rPr>
          <w:rFonts w:ascii="Arial" w:hAnsi="Arial" w:cs="Arial"/>
          <w:color w:val="auto"/>
          <w:sz w:val="16"/>
          <w:szCs w:val="16"/>
        </w:rPr>
        <w:tab/>
      </w:r>
      <w:r w:rsidR="00EA02E6">
        <w:rPr>
          <w:rFonts w:ascii="Arial" w:hAnsi="Arial" w:cs="Arial"/>
          <w:color w:val="auto"/>
          <w:sz w:val="16"/>
          <w:szCs w:val="16"/>
        </w:rPr>
        <w:t xml:space="preserve">        p/ Cifras preliminares.</w:t>
      </w:r>
    </w:p>
    <w:p w14:paraId="2D5B7BB1" w14:textId="77777777" w:rsidR="00445596" w:rsidRDefault="00EA02E6" w:rsidP="00EA02E6">
      <w:pPr>
        <w:pStyle w:val="n01"/>
        <w:keepNext/>
        <w:spacing w:before="60"/>
        <w:ind w:firstLine="720"/>
        <w:contextualSpacing/>
        <w:outlineLvl w:val="0"/>
        <w:rPr>
          <w:rFonts w:ascii="Arial" w:hAnsi="Arial" w:cs="Arial"/>
          <w:b/>
          <w:smallCaps/>
          <w:color w:val="auto"/>
          <w:szCs w:val="24"/>
          <w:lang w:val="es-MX"/>
        </w:rPr>
      </w:pPr>
      <w:r>
        <w:rPr>
          <w:rFonts w:ascii="Arial" w:hAnsi="Arial" w:cs="Arial"/>
          <w:color w:val="auto"/>
          <w:sz w:val="16"/>
          <w:szCs w:val="16"/>
        </w:rPr>
        <w:t xml:space="preserve">        </w:t>
      </w:r>
      <w:r w:rsidR="00F04141" w:rsidRPr="00560786">
        <w:rPr>
          <w:rFonts w:ascii="Arial" w:hAnsi="Arial" w:cs="Arial"/>
          <w:color w:val="auto"/>
          <w:sz w:val="16"/>
          <w:szCs w:val="16"/>
        </w:rPr>
        <w:t>Fuente: INEGI</w:t>
      </w:r>
      <w:r w:rsidR="00F04141">
        <w:rPr>
          <w:sz w:val="16"/>
          <w:szCs w:val="16"/>
        </w:rPr>
        <w:t>.</w:t>
      </w:r>
    </w:p>
    <w:p w14:paraId="29A4F092" w14:textId="77777777" w:rsidR="00444DE7" w:rsidRDefault="00444DE7">
      <w:pPr>
        <w:widowControl/>
        <w:rPr>
          <w:b/>
          <w:i/>
        </w:rPr>
      </w:pPr>
      <w:r>
        <w:rPr>
          <w:b/>
          <w:i/>
        </w:rPr>
        <w:br w:type="page"/>
      </w:r>
    </w:p>
    <w:p w14:paraId="37ADDE84" w14:textId="312B36A8" w:rsidR="00ED7F21" w:rsidRDefault="00ED7F21" w:rsidP="00573E5B">
      <w:pPr>
        <w:pStyle w:val="p0"/>
        <w:spacing w:before="120"/>
        <w:rPr>
          <w:b/>
          <w:i/>
          <w:color w:val="auto"/>
        </w:rPr>
      </w:pPr>
    </w:p>
    <w:p w14:paraId="61DC895F" w14:textId="36F7A4AC" w:rsidR="00D41962" w:rsidRDefault="00D41962" w:rsidP="00D41962">
      <w:pPr>
        <w:pStyle w:val="p0"/>
        <w:spacing w:before="360"/>
        <w:rPr>
          <w:b/>
          <w:i/>
          <w:color w:val="auto"/>
        </w:rPr>
      </w:pPr>
      <w:r>
        <w:rPr>
          <w:b/>
          <w:i/>
          <w:color w:val="auto"/>
        </w:rPr>
        <w:t>Nota al Usuario</w:t>
      </w:r>
    </w:p>
    <w:p w14:paraId="13A567D4" w14:textId="78429583" w:rsidR="007F06A5" w:rsidRPr="007F06A5" w:rsidRDefault="007F06A5" w:rsidP="007F06A5">
      <w:pPr>
        <w:pStyle w:val="Default"/>
        <w:spacing w:before="240"/>
        <w:jc w:val="both"/>
      </w:pPr>
      <w:r w:rsidRPr="007F06A5">
        <w:t xml:space="preserve">Con base en los “Lineamientos de cambios a la información divulgada en las publicaciones estadísticas y geográficas del INEGI” y que se complementan con las “Normas especiales de divulgación de datos” del Fondo Monetario Internacional (FMI), relacionada con la revisión de las series de corto plazo, se hace de su conocimiento que al disponer de un dato generado por la incorporación de la más reciente información estadística disponible de la Oferta y Demanda Global Trimestral (ODGT), de las </w:t>
      </w:r>
      <w:r w:rsidR="00256602">
        <w:t>e</w:t>
      </w:r>
      <w:r w:rsidRPr="007F06A5">
        <w:t xml:space="preserve">ncuestas </w:t>
      </w:r>
      <w:r w:rsidR="00256602">
        <w:t>e</w:t>
      </w:r>
      <w:r w:rsidRPr="007F06A5">
        <w:t xml:space="preserve">conómicas, de los </w:t>
      </w:r>
      <w:r w:rsidR="00256602">
        <w:t>r</w:t>
      </w:r>
      <w:r w:rsidRPr="007F06A5">
        <w:t xml:space="preserve">egistros </w:t>
      </w:r>
      <w:r w:rsidR="00256602">
        <w:t>a</w:t>
      </w:r>
      <w:r w:rsidRPr="007F06A5">
        <w:t xml:space="preserve">dministrativos, de la Balanza de </w:t>
      </w:r>
      <w:r w:rsidR="00256602">
        <w:t>P</w:t>
      </w:r>
      <w:r w:rsidRPr="007F06A5">
        <w:t>agos, entre otras, se realizó la actualización de los Indicadores Trimestrales de la Actividad Turística (ITAT). Como resultado de incorporar dicha información, se identifican diferencias en niveles y variaciones de los ITAT comparados con los que fueron publicados oportunamente.</w:t>
      </w:r>
    </w:p>
    <w:p w14:paraId="5B4DB4AB" w14:textId="4B8CDB53" w:rsidR="00F57743" w:rsidRPr="00C738E1" w:rsidRDefault="007F06A5" w:rsidP="007F06A5">
      <w:pPr>
        <w:pStyle w:val="Default"/>
        <w:spacing w:before="240"/>
        <w:jc w:val="both"/>
        <w:rPr>
          <w:rFonts w:eastAsia="Times New Roman" w:cs="Times New Roman"/>
          <w:snapToGrid w:val="0"/>
          <w:color w:val="auto"/>
          <w:szCs w:val="20"/>
        </w:rPr>
      </w:pPr>
      <w:r w:rsidRPr="007F06A5">
        <w:t>En este contexto, la Tasa de No Respuesta en la captación de las encuestas que se consideraron para la integración de los ITAT, correspondiente al primer trimestre de 2021, registraron porcentajes apropiados de acuerdo con el diseño estadístico de las muestras, como la Encuesta Nacional de Empresas Constructoras (ENEC), la Encuesta Mensual de la Industria Manufacturera (EMIM), la Encuesta Mensual sobre Empresas Comerciales (EMEC) y la Encuesta Mensual de Servicios (EMS). Lo anterior permitió la generación de estadísticas con niveles altos de cobertura y precisión para su inclusión en los ITAT del trimestre de referencia.</w:t>
      </w:r>
    </w:p>
    <w:p w14:paraId="15F1452C" w14:textId="488F24B9" w:rsidR="00F57743" w:rsidRPr="00F57743" w:rsidRDefault="00BD0FB5" w:rsidP="00F57743">
      <w:pPr>
        <w:pStyle w:val="Default"/>
        <w:spacing w:before="240"/>
        <w:jc w:val="both"/>
        <w:rPr>
          <w:rFonts w:eastAsia="Times New Roman" w:cs="Times New Roman"/>
          <w:snapToGrid w:val="0"/>
          <w:color w:val="auto"/>
          <w:szCs w:val="20"/>
          <w:lang w:val="es-ES_tradnl"/>
        </w:rPr>
      </w:pPr>
      <w:r w:rsidRPr="00EB6FA2">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6C14B3">
        <w:rPr>
          <w:i/>
          <w:iCs/>
        </w:rPr>
        <w:t>outliers</w:t>
      </w:r>
      <w:proofErr w:type="spellEnd"/>
      <w:r w:rsidRPr="00EB6FA2">
        <w:t>) en los modelos de ajuste estacional para los meses de la contingencia. Lo anterior con el objetivo de que los grandes cambios en las cifras originales no influyan de manera desproporcionada en los factores estacionales utilizados.</w:t>
      </w:r>
    </w:p>
    <w:p w14:paraId="4F55E88A" w14:textId="77777777" w:rsidR="00DA152C" w:rsidRPr="00573E5B" w:rsidRDefault="004D4743" w:rsidP="00F57743">
      <w:pPr>
        <w:pStyle w:val="p0"/>
        <w:rPr>
          <w:b/>
          <w:i/>
          <w:color w:val="auto"/>
        </w:rPr>
      </w:pPr>
      <w:r w:rsidRPr="00573E5B">
        <w:rPr>
          <w:b/>
          <w:i/>
          <w:color w:val="auto"/>
        </w:rPr>
        <w:t>N</w:t>
      </w:r>
      <w:r w:rsidR="00DA152C" w:rsidRPr="00573E5B">
        <w:rPr>
          <w:b/>
          <w:i/>
          <w:color w:val="auto"/>
        </w:rPr>
        <w:t>ota metodológica</w:t>
      </w:r>
    </w:p>
    <w:p w14:paraId="2DC6C782" w14:textId="77777777" w:rsidR="00BB05C3" w:rsidRPr="00BB05C3" w:rsidRDefault="00BB05C3" w:rsidP="00C34F80">
      <w:pPr>
        <w:pStyle w:val="Default"/>
        <w:spacing w:before="240"/>
        <w:jc w:val="both"/>
        <w:rPr>
          <w:rFonts w:eastAsia="Times New Roman" w:cs="Times New Roman"/>
          <w:snapToGrid w:val="0"/>
          <w:color w:val="auto"/>
          <w:szCs w:val="20"/>
          <w:lang w:val="es-ES_tradnl"/>
        </w:rPr>
      </w:pPr>
      <w:r w:rsidRPr="00CF29C1">
        <w:rPr>
          <w:rFonts w:eastAsia="Times New Roman" w:cs="Times New Roman"/>
          <w:snapToGrid w:val="0"/>
          <w:color w:val="auto"/>
          <w:szCs w:val="20"/>
          <w:lang w:val="es-ES_tradnl"/>
        </w:rPr>
        <w:t>Para la estimación del ITAT se aprovecha, fundamentalmente, la información anual de la Cuenta Satélite del Turismo de México (CSTM), desagregándose a partir del uso de índices relativos simples que captan la estructura de los datos trimestrales seleccionados del Sistema de Cuentas Nacionales de México (SCNM), particularmente de la Oferta y Demanda Global de Bienes y Servicios.</w:t>
      </w:r>
    </w:p>
    <w:p w14:paraId="3978997C" w14:textId="77777777" w:rsidR="00C171AB" w:rsidRDefault="00C171AB">
      <w:pPr>
        <w:widowControl/>
      </w:pPr>
      <w:r>
        <w:br w:type="page"/>
      </w:r>
    </w:p>
    <w:p w14:paraId="6CF52B44" w14:textId="77777777" w:rsidR="00C171AB" w:rsidRDefault="00C171AB" w:rsidP="00C34F80">
      <w:pPr>
        <w:pStyle w:val="p0"/>
        <w:keepLines w:val="0"/>
        <w:autoSpaceDE w:val="0"/>
        <w:autoSpaceDN w:val="0"/>
        <w:adjustRightInd w:val="0"/>
        <w:rPr>
          <w:color w:val="auto"/>
        </w:rPr>
      </w:pPr>
    </w:p>
    <w:p w14:paraId="0B9DF5F0" w14:textId="77777777" w:rsidR="00BD0FB5" w:rsidRPr="00BD0FB5" w:rsidRDefault="00BD0FB5" w:rsidP="00BD0FB5">
      <w:pPr>
        <w:pStyle w:val="Default"/>
        <w:spacing w:before="240"/>
        <w:jc w:val="both"/>
        <w:rPr>
          <w:color w:val="auto"/>
        </w:rPr>
      </w:pPr>
      <w:r w:rsidRPr="00BD0FB5">
        <w:rPr>
          <w:color w:val="auto"/>
        </w:rPr>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45F0C1FE" w14:textId="77777777" w:rsidR="00BD0FB5" w:rsidRPr="00BD0FB5" w:rsidRDefault="00BD0FB5" w:rsidP="00BD0FB5">
      <w:pPr>
        <w:pStyle w:val="Default"/>
        <w:spacing w:before="240"/>
        <w:jc w:val="both"/>
        <w:rPr>
          <w:color w:val="auto"/>
        </w:rPr>
      </w:pPr>
      <w:r w:rsidRPr="00BD0FB5">
        <w:rPr>
          <w:color w:val="auto"/>
        </w:rPr>
        <w:t xml:space="preserve">En este sentido, la desestacionalización o ajuste estacional de series económicas consiste en remover estas influencias </w:t>
      </w:r>
      <w:proofErr w:type="spellStart"/>
      <w:r w:rsidRPr="00BD0FB5">
        <w:rPr>
          <w:color w:val="auto"/>
        </w:rPr>
        <w:t>intra-anuales</w:t>
      </w:r>
      <w:proofErr w:type="spellEnd"/>
      <w:r w:rsidRPr="00BD0FB5">
        <w:rPr>
          <w:color w:val="auto"/>
        </w:rPr>
        <w:t xml:space="preserve"> periódicas, debido a que su presencia dificulta diagnosticar o describir el comportamiento de una serie económica al no poder comparar, adecuadamente, un determinado mes con el inmediato anterior.</w:t>
      </w:r>
    </w:p>
    <w:p w14:paraId="404F03E4" w14:textId="77777777" w:rsidR="00BD0FB5" w:rsidRPr="00BD0FB5" w:rsidRDefault="00BD0FB5" w:rsidP="00BD0FB5">
      <w:pPr>
        <w:pStyle w:val="Default"/>
        <w:spacing w:before="240"/>
        <w:jc w:val="both"/>
        <w:rPr>
          <w:color w:val="auto"/>
        </w:rPr>
      </w:pPr>
      <w:r w:rsidRPr="00BD0FB5">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05F0C259" w14:textId="114B0A18" w:rsidR="00BD0FB5" w:rsidRPr="00BA3C8A" w:rsidRDefault="00BD0FB5" w:rsidP="00BD0FB5">
      <w:pPr>
        <w:pStyle w:val="Default"/>
        <w:spacing w:before="240"/>
        <w:jc w:val="both"/>
      </w:pPr>
      <w:r w:rsidRPr="00BD0FB5">
        <w:rPr>
          <w:color w:val="auto"/>
        </w:rPr>
        <w:t>Las series originales se ajustan estacionalmente mediante el paquete estadístico X</w:t>
      </w:r>
      <w:r w:rsidRPr="00BD0FB5">
        <w:rPr>
          <w:color w:val="auto"/>
        </w:rPr>
        <w:noBreakHyphen/>
        <w:t>13ARIMA-SEATS. Para conocer la metodología se sugiere consultar la siguiente liga:</w:t>
      </w:r>
      <w:r>
        <w:rPr>
          <w:color w:val="auto"/>
        </w:rPr>
        <w:t xml:space="preserve"> </w:t>
      </w:r>
      <w:hyperlink r:id="rId27" w:history="1">
        <w:r w:rsidRPr="00E74593">
          <w:rPr>
            <w:rStyle w:val="Hipervnculo"/>
          </w:rPr>
          <w:t>https://www.inegi.org.mx/app/biblioteca/ficha.html?upc=702825099060</w:t>
        </w:r>
      </w:hyperlink>
    </w:p>
    <w:p w14:paraId="3FC3393C" w14:textId="77777777" w:rsidR="00607F08" w:rsidRDefault="00607F08" w:rsidP="00607F08">
      <w:pPr>
        <w:pStyle w:val="Default"/>
        <w:spacing w:before="240"/>
        <w:jc w:val="both"/>
        <w:rPr>
          <w:color w:val="auto"/>
        </w:rPr>
      </w:pPr>
      <w:r w:rsidRPr="007D012D">
        <w:rPr>
          <w:color w:val="auto"/>
        </w:rPr>
        <w:t xml:space="preserve">Asimismo, las especificaciones de los modelos utilizados para realizar el ajuste estacional están disponibles en el Banco de Información Económica, seleccionando el icono de información </w:t>
      </w:r>
      <w:r>
        <w:rPr>
          <w:noProof/>
          <w:sz w:val="18"/>
          <w:szCs w:val="18"/>
          <w:lang w:val="es-MX" w:eastAsia="es-MX"/>
        </w:rPr>
        <w:drawing>
          <wp:inline distT="0" distB="0" distL="0" distR="0" wp14:anchorId="5380AC3F" wp14:editId="0A5CC169">
            <wp:extent cx="152400" cy="152400"/>
            <wp:effectExtent l="0" t="0" r="0" b="0"/>
            <wp:docPr id="8" name="Imagen 8"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724F3">
        <w:rPr>
          <w:color w:val="auto"/>
        </w:rPr>
        <w:t xml:space="preserve"> </w:t>
      </w:r>
      <w:r w:rsidRPr="007D012D">
        <w:rPr>
          <w:color w:val="auto"/>
        </w:rPr>
        <w:t xml:space="preserve">correspondiente a las “series desestacionalizadas y </w:t>
      </w:r>
      <w:r>
        <w:rPr>
          <w:color w:val="auto"/>
        </w:rPr>
        <w:t xml:space="preserve">de </w:t>
      </w:r>
      <w:r w:rsidRPr="007D012D">
        <w:rPr>
          <w:color w:val="auto"/>
        </w:rPr>
        <w:t>tendencia-ciclo” de</w:t>
      </w:r>
      <w:r w:rsidR="005637F0">
        <w:rPr>
          <w:color w:val="auto"/>
        </w:rPr>
        <w:t xml:space="preserve"> </w:t>
      </w:r>
      <w:r w:rsidRPr="007D012D">
        <w:rPr>
          <w:color w:val="auto"/>
        </w:rPr>
        <w:t>l</w:t>
      </w:r>
      <w:r w:rsidR="005637F0">
        <w:rPr>
          <w:color w:val="auto"/>
        </w:rPr>
        <w:t xml:space="preserve">a </w:t>
      </w:r>
      <w:r w:rsidR="005637F0">
        <w:rPr>
          <w:color w:val="auto"/>
          <w:szCs w:val="22"/>
        </w:rPr>
        <w:t>Actividad Turística</w:t>
      </w:r>
      <w:r w:rsidRPr="007D012D">
        <w:rPr>
          <w:color w:val="auto"/>
        </w:rPr>
        <w:t>.</w:t>
      </w:r>
    </w:p>
    <w:p w14:paraId="3F779734" w14:textId="06CEF41E" w:rsidR="00BB05C3" w:rsidRPr="00BD0FB5" w:rsidRDefault="00BB05C3" w:rsidP="00BB05C3">
      <w:pPr>
        <w:pStyle w:val="Default"/>
        <w:spacing w:before="240"/>
        <w:jc w:val="both"/>
        <w:rPr>
          <w:color w:val="auto"/>
        </w:rPr>
      </w:pPr>
      <w:r w:rsidRPr="00CF29C1">
        <w:rPr>
          <w:color w:val="auto"/>
        </w:rPr>
        <w:t>La CSTM proporciona datos para la serie de estas variables a precios básicos. Una vez logrado el proceso para la elaboración de la cuenta de producción, se determina el PIB turístico trimestral; y se transforman los valores en índices.</w:t>
      </w:r>
      <w:r w:rsidRPr="00CF29C1">
        <w:t xml:space="preserve"> El ejercicio para determinar la variación trimestral anualizada de dichos índices es el que permite la derivación del ITAT</w:t>
      </w:r>
      <w:r w:rsidRPr="00CF29C1">
        <w:rPr>
          <w:rStyle w:val="Refdecomentario"/>
        </w:rPr>
        <w:t>.</w:t>
      </w:r>
    </w:p>
    <w:p w14:paraId="69F0741D" w14:textId="41325CF5" w:rsidR="00BB05C3" w:rsidRPr="00CF29C1" w:rsidRDefault="00BB05C3" w:rsidP="00BB05C3">
      <w:pPr>
        <w:pStyle w:val="Default"/>
        <w:spacing w:before="240"/>
        <w:jc w:val="both"/>
        <w:rPr>
          <w:color w:val="auto"/>
          <w:lang w:val="es-MX"/>
        </w:rPr>
      </w:pPr>
      <w:r w:rsidRPr="00CF29C1">
        <w:rPr>
          <w:color w:val="auto"/>
        </w:rPr>
        <w:t>Los resultados trimestrales del PIB turístico se comparan con la información anual de la CSTM, para posteriormente ajustar los datos de alta frecuencia (trimestrales) a los de baja frecuencia (valor anual) utilizando la técnica Denton</w:t>
      </w:r>
      <w:r w:rsidR="00CF29C1" w:rsidRPr="00CF29C1">
        <w:rPr>
          <w:color w:val="auto"/>
          <w:vertAlign w:val="superscript"/>
        </w:rPr>
        <w:footnoteReference w:id="5"/>
      </w:r>
      <w:r w:rsidRPr="00CF29C1">
        <w:rPr>
          <w:color w:val="auto"/>
        </w:rPr>
        <w:t>.</w:t>
      </w:r>
    </w:p>
    <w:p w14:paraId="48A36EA7" w14:textId="77777777" w:rsidR="00BB05C3" w:rsidRPr="00CF29C1" w:rsidRDefault="00BB05C3" w:rsidP="00BB05C3">
      <w:pPr>
        <w:pStyle w:val="Default"/>
        <w:spacing w:before="240"/>
        <w:jc w:val="both"/>
        <w:rPr>
          <w:color w:val="auto"/>
          <w:lang w:val="es-MX"/>
        </w:rPr>
      </w:pPr>
      <w:r w:rsidRPr="00CF29C1">
        <w:rPr>
          <w:color w:val="auto"/>
        </w:rPr>
        <w:t>Los datos se presentan en cuadros de Índices del Consumo Turístico Interior (CTI), cuyo concepto se define como los gastos que realizan los turistas en sus viajes en el territorio del país; mostrando la apertura del Consumo Turístico Interno (</w:t>
      </w:r>
      <w:proofErr w:type="spellStart"/>
      <w:r w:rsidRPr="00CF29C1">
        <w:rPr>
          <w:color w:val="auto"/>
        </w:rPr>
        <w:t>CTIn</w:t>
      </w:r>
      <w:proofErr w:type="spellEnd"/>
      <w:r w:rsidRPr="00CF29C1">
        <w:rPr>
          <w:color w:val="auto"/>
        </w:rPr>
        <w:t>) y el Consumo Turístico Receptivo (CTR).</w:t>
      </w:r>
    </w:p>
    <w:p w14:paraId="5184172E" w14:textId="77777777" w:rsidR="001658DB" w:rsidRDefault="001658DB" w:rsidP="00BB05C3">
      <w:pPr>
        <w:pStyle w:val="Default"/>
        <w:spacing w:before="240"/>
        <w:jc w:val="both"/>
        <w:rPr>
          <w:color w:val="auto"/>
        </w:rPr>
      </w:pPr>
    </w:p>
    <w:p w14:paraId="40D8C8A5" w14:textId="706E4619" w:rsidR="00BB05C3" w:rsidRPr="00CF29C1" w:rsidRDefault="00BB05C3" w:rsidP="00BB05C3">
      <w:pPr>
        <w:pStyle w:val="Default"/>
        <w:spacing w:before="240"/>
        <w:jc w:val="both"/>
        <w:rPr>
          <w:color w:val="auto"/>
          <w:u w:val="single"/>
          <w:lang w:val="es-MX"/>
        </w:rPr>
      </w:pPr>
      <w:r w:rsidRPr="00CF29C1">
        <w:rPr>
          <w:color w:val="auto"/>
        </w:rPr>
        <w:t xml:space="preserve">Los datos que se </w:t>
      </w:r>
      <w:r w:rsidR="001075CC">
        <w:rPr>
          <w:color w:val="auto"/>
        </w:rPr>
        <w:t>reportan e</w:t>
      </w:r>
      <w:r w:rsidRPr="00CF29C1">
        <w:rPr>
          <w:color w:val="auto"/>
        </w:rPr>
        <w:t>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79642D3" w14:textId="65545450" w:rsidR="00AB3894" w:rsidRPr="00A75667" w:rsidRDefault="00BB05C3" w:rsidP="00A75667">
      <w:pPr>
        <w:pStyle w:val="Default"/>
        <w:spacing w:before="240"/>
        <w:jc w:val="both"/>
        <w:rPr>
          <w:color w:val="auto"/>
        </w:rPr>
      </w:pPr>
      <w:r w:rsidRPr="00A75667">
        <w:rPr>
          <w:color w:val="auto"/>
        </w:rPr>
        <w:t>Las cifras aquí presentadas p</w:t>
      </w:r>
      <w:r w:rsidR="00F0460E">
        <w:rPr>
          <w:color w:val="auto"/>
        </w:rPr>
        <w:t xml:space="preserve">ueden </w:t>
      </w:r>
      <w:r w:rsidRPr="00A75667">
        <w:rPr>
          <w:color w:val="auto"/>
        </w:rPr>
        <w:t xml:space="preserve">ser consultadas en la página web del INEGI en: </w:t>
      </w:r>
    </w:p>
    <w:p w14:paraId="3A8E6D2C" w14:textId="6A5D6604" w:rsidR="00BB05C3" w:rsidRPr="00A75667" w:rsidRDefault="00D8715A" w:rsidP="00A75667">
      <w:pPr>
        <w:pStyle w:val="parrafo1"/>
        <w:widowControl w:val="0"/>
        <w:spacing w:before="240"/>
        <w:ind w:left="0" w:right="584"/>
        <w:rPr>
          <w:u w:val="single"/>
          <w:lang w:val="es-ES"/>
        </w:rPr>
      </w:pPr>
      <w:hyperlink r:id="rId30" w:history="1">
        <w:r w:rsidR="00254AD4" w:rsidRPr="00730921">
          <w:rPr>
            <w:rStyle w:val="Hipervnculo"/>
            <w:lang w:eastAsia="en-US"/>
          </w:rPr>
          <w:t>https://www.inegi.org.mx/sistemas/bie/default.aspx</w:t>
        </w:r>
      </w:hyperlink>
    </w:p>
    <w:p w14:paraId="04FF06A2" w14:textId="77777777" w:rsidR="00BB05C3" w:rsidRPr="00BB05C3" w:rsidRDefault="00BB05C3" w:rsidP="00BB05C3">
      <w:pPr>
        <w:spacing w:after="120"/>
        <w:rPr>
          <w:sz w:val="18"/>
          <w:szCs w:val="18"/>
          <w:highlight w:val="yellow"/>
        </w:rPr>
      </w:pPr>
    </w:p>
    <w:p w14:paraId="46AE1991" w14:textId="77777777" w:rsidR="008C32D6" w:rsidRPr="00E12064" w:rsidRDefault="008C32D6" w:rsidP="0085250F">
      <w:pPr>
        <w:widowControl/>
        <w:autoSpaceDE w:val="0"/>
        <w:autoSpaceDN w:val="0"/>
        <w:adjustRightInd w:val="0"/>
        <w:jc w:val="both"/>
      </w:pPr>
    </w:p>
    <w:sectPr w:rsidR="008C32D6" w:rsidRPr="00E12064" w:rsidSect="009A746C">
      <w:headerReference w:type="default" r:id="rId31"/>
      <w:footerReference w:type="default" r:id="rId32"/>
      <w:endnotePr>
        <w:numFmt w:val="decimal"/>
      </w:endnotePr>
      <w:pgSz w:w="12242" w:h="15842" w:code="1"/>
      <w:pgMar w:top="1021" w:right="1701" w:bottom="1134" w:left="1701"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70877" w14:textId="77777777" w:rsidR="00D8715A" w:rsidRDefault="00D8715A">
      <w:r>
        <w:separator/>
      </w:r>
    </w:p>
  </w:endnote>
  <w:endnote w:type="continuationSeparator" w:id="0">
    <w:p w14:paraId="7551A6E6" w14:textId="77777777" w:rsidR="00D8715A" w:rsidRDefault="00D8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659B3" w14:textId="77777777" w:rsidR="00AF3516" w:rsidRDefault="00AF3516" w:rsidP="004C150C">
    <w:pPr>
      <w:pStyle w:val="Piedepgina"/>
      <w:contextualSpacing/>
      <w:jc w:val="center"/>
      <w:rPr>
        <w:rFonts w:cs="Arial"/>
        <w:b/>
        <w:color w:val="002060"/>
        <w:sz w:val="18"/>
        <w:szCs w:val="18"/>
      </w:rPr>
    </w:pPr>
  </w:p>
  <w:p w14:paraId="5DFC16D8" w14:textId="77777777" w:rsidR="00AF3516" w:rsidRDefault="00AF3516" w:rsidP="004C150C">
    <w:pPr>
      <w:pStyle w:val="Piedepgina"/>
      <w:contextualSpacing/>
      <w:jc w:val="center"/>
      <w:rPr>
        <w:rFonts w:cs="Arial"/>
        <w:b/>
        <w:color w:val="002060"/>
        <w:sz w:val="18"/>
        <w:szCs w:val="18"/>
      </w:rPr>
    </w:pPr>
  </w:p>
  <w:p w14:paraId="2B054F30" w14:textId="77777777" w:rsidR="00AF3516" w:rsidRPr="00BB4018" w:rsidRDefault="00AF3516" w:rsidP="004C150C">
    <w:pPr>
      <w:pStyle w:val="Piedepgina"/>
      <w:contextualSpacing/>
      <w:jc w:val="center"/>
      <w:rPr>
        <w:rFonts w:cs="Arial"/>
        <w:color w:val="002060"/>
        <w:sz w:val="18"/>
        <w:szCs w:val="18"/>
      </w:rPr>
    </w:pPr>
    <w:r w:rsidRPr="00BB4018">
      <w:rPr>
        <w:rFonts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A251" w14:textId="77777777" w:rsidR="00E07136" w:rsidRPr="00B06AE9" w:rsidRDefault="00E07136" w:rsidP="00B06AE9">
    <w:pPr>
      <w:pStyle w:val="Piedepgina"/>
      <w:jc w:val="cente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3187E" w14:textId="77777777" w:rsidR="00D8715A" w:rsidRDefault="00D8715A">
      <w:r>
        <w:separator/>
      </w:r>
    </w:p>
  </w:footnote>
  <w:footnote w:type="continuationSeparator" w:id="0">
    <w:p w14:paraId="0DC53255" w14:textId="77777777" w:rsidR="00D8715A" w:rsidRDefault="00D8715A">
      <w:r>
        <w:continuationSeparator/>
      </w:r>
    </w:p>
  </w:footnote>
  <w:footnote w:id="1">
    <w:p w14:paraId="53D4E31F" w14:textId="77777777" w:rsidR="00AF3516" w:rsidRPr="00C07AE5" w:rsidRDefault="00AF3516" w:rsidP="007A2199">
      <w:pPr>
        <w:pStyle w:val="Textonotapie"/>
        <w:ind w:left="-142" w:right="-547" w:hanging="284"/>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 xml:space="preserve">Año base 2013. </w:t>
      </w:r>
    </w:p>
  </w:footnote>
  <w:footnote w:id="2">
    <w:p w14:paraId="291A0F47" w14:textId="77777777" w:rsidR="00AF3516" w:rsidRPr="00C07AE5" w:rsidRDefault="00AF3516" w:rsidP="007A2199">
      <w:pPr>
        <w:pStyle w:val="Textonotapie"/>
        <w:ind w:left="-142" w:right="-547" w:hanging="284"/>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L</w:t>
      </w:r>
      <w:r w:rsidRPr="002B7F1F">
        <w:rPr>
          <w:rFonts w:ascii="Arial" w:hAnsi="Arial" w:cs="Arial"/>
          <w:sz w:val="16"/>
          <w:szCs w:val="16"/>
        </w:rPr>
        <w:t>a mayoría de las series económicas se ven afectadas por factores estacionales</w:t>
      </w:r>
      <w:r>
        <w:rPr>
          <w:rFonts w:ascii="Arial" w:hAnsi="Arial" w:cs="Arial"/>
          <w:sz w:val="16"/>
          <w:szCs w:val="16"/>
        </w:rPr>
        <w:t xml:space="preserve"> y de calendario. El ajuste de las cifras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 xml:space="preserve">variables. </w:t>
      </w:r>
    </w:p>
  </w:footnote>
  <w:footnote w:id="3">
    <w:p w14:paraId="67C8E9A9" w14:textId="77777777" w:rsidR="00AF3516" w:rsidRPr="003843CA" w:rsidRDefault="00AF3516" w:rsidP="007A2199">
      <w:pPr>
        <w:pStyle w:val="Textonotapie"/>
        <w:ind w:left="-142" w:right="-547" w:hanging="284"/>
        <w:jc w:val="both"/>
        <w:rPr>
          <w:rStyle w:val="Refdenotaalpie"/>
          <w:rFonts w:ascii="Arial" w:hAnsi="Arial"/>
          <w:b w:val="0"/>
          <w:sz w:val="16"/>
          <w:szCs w:val="16"/>
          <w:vertAlign w:val="baseline"/>
        </w:rPr>
      </w:pPr>
      <w:r w:rsidRPr="006E799E">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V</w:t>
      </w:r>
      <w:r w:rsidRPr="0001181C">
        <w:rPr>
          <w:rStyle w:val="Refdenotaalpie"/>
          <w:rFonts w:ascii="Arial" w:hAnsi="Arial"/>
          <w:b w:val="0"/>
          <w:smallCaps w:val="0"/>
          <w:sz w:val="16"/>
          <w:szCs w:val="16"/>
          <w:vertAlign w:val="baseline"/>
        </w:rPr>
        <w:t>ariación anual de las cifras desestacionalizadas</w:t>
      </w:r>
      <w:r w:rsidRPr="00F15845">
        <w:rPr>
          <w:rStyle w:val="Refdenotaalpie"/>
          <w:rFonts w:ascii="Arial" w:hAnsi="Arial"/>
          <w:b w:val="0"/>
          <w:sz w:val="16"/>
          <w:vertAlign w:val="baseline"/>
        </w:rPr>
        <w:t>.</w:t>
      </w:r>
      <w:r w:rsidRPr="00F15845">
        <w:rPr>
          <w:rStyle w:val="Refdenotaalpie"/>
          <w:rFonts w:ascii="Arial" w:hAnsi="Arial"/>
          <w:b w:val="0"/>
          <w:sz w:val="16"/>
          <w:szCs w:val="16"/>
          <w:vertAlign w:val="baseline"/>
        </w:rPr>
        <w:t xml:space="preserve"> </w:t>
      </w:r>
    </w:p>
  </w:footnote>
  <w:footnote w:id="4">
    <w:p w14:paraId="1A672098" w14:textId="77777777" w:rsidR="00C55A68" w:rsidRPr="00C07AE5" w:rsidRDefault="00C55A68" w:rsidP="00C55A68">
      <w:pPr>
        <w:pStyle w:val="Textonotapie"/>
        <w:ind w:left="142" w:hanging="142"/>
        <w:jc w:val="both"/>
        <w:rPr>
          <w:rFonts w:ascii="Arial" w:hAnsi="Arial" w:cs="Arial"/>
          <w:sz w:val="16"/>
          <w:szCs w:val="16"/>
        </w:rPr>
      </w:pPr>
      <w:r w:rsidRPr="006E799E">
        <w:rPr>
          <w:rStyle w:val="Refdenotaalpie"/>
          <w:rFonts w:ascii="Arial" w:hAnsi="Arial"/>
          <w:b w:val="0"/>
        </w:rPr>
        <w:footnoteRef/>
      </w:r>
      <w:r w:rsidRPr="006E799E">
        <w:rPr>
          <w:rStyle w:val="Refdenotaalpie"/>
          <w:b w:val="0"/>
          <w:sz w:val="18"/>
        </w:rPr>
        <w:t xml:space="preserve"> </w:t>
      </w:r>
      <w:r>
        <w:rPr>
          <w:sz w:val="18"/>
        </w:rPr>
        <w:tab/>
      </w:r>
      <w:r>
        <w:rPr>
          <w:rFonts w:ascii="Arial" w:hAnsi="Arial" w:cs="Arial"/>
          <w:sz w:val="16"/>
          <w:szCs w:val="16"/>
        </w:rPr>
        <w:t xml:space="preserve">Año base 2013. </w:t>
      </w:r>
    </w:p>
  </w:footnote>
  <w:footnote w:id="5">
    <w:p w14:paraId="04890053" w14:textId="77777777" w:rsidR="00CF29C1" w:rsidRPr="00CF29C1" w:rsidRDefault="00CF29C1" w:rsidP="00CF29C1">
      <w:pPr>
        <w:pStyle w:val="Textonotapie"/>
        <w:ind w:left="142" w:hanging="142"/>
        <w:jc w:val="both"/>
        <w:rPr>
          <w:rStyle w:val="Refdenotaalpie"/>
          <w:rFonts w:ascii="Arial" w:hAnsi="Arial"/>
          <w:b w:val="0"/>
          <w:smallCaps w:val="0"/>
          <w:sz w:val="16"/>
          <w:szCs w:val="16"/>
          <w:vertAlign w:val="baseline"/>
        </w:rPr>
      </w:pPr>
      <w:r w:rsidRPr="006E799E">
        <w:rPr>
          <w:rStyle w:val="Refdenotaalpie"/>
          <w:rFonts w:ascii="Arial" w:hAnsi="Arial"/>
          <w:b w:val="0"/>
        </w:rPr>
        <w:footnoteRef/>
      </w:r>
      <w:r>
        <w:rPr>
          <w:rFonts w:ascii="Arial" w:hAnsi="Arial" w:cs="Arial"/>
        </w:rPr>
        <w:tab/>
      </w:r>
      <w:r w:rsidRPr="00CF29C1">
        <w:rPr>
          <w:rStyle w:val="Refdenotaalpie"/>
          <w:rFonts w:ascii="Arial" w:hAnsi="Arial"/>
          <w:b w:val="0"/>
          <w:smallCaps w:val="0"/>
          <w:sz w:val="16"/>
          <w:szCs w:val="16"/>
          <w:vertAlign w:val="baseline"/>
        </w:rPr>
        <w:t xml:space="preserve">Procedimiento de Benchmarking utilizado para ajustar datos trimestrales a los anuales.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F48E" w14:textId="70964121" w:rsidR="00AF3516" w:rsidRPr="00265B8C" w:rsidRDefault="00AF3516" w:rsidP="001B1505">
    <w:pPr>
      <w:pStyle w:val="Encabezado"/>
      <w:framePr w:w="5268" w:hSpace="141" w:wrap="auto" w:vAnchor="text" w:hAnchor="page" w:x="5838" w:y="34"/>
      <w:ind w:left="567" w:hanging="11"/>
      <w:jc w:val="right"/>
      <w:rPr>
        <w:rFonts w:cs="Arial"/>
        <w:b/>
        <w:color w:val="002060"/>
        <w:szCs w:val="24"/>
      </w:rPr>
    </w:pPr>
    <w:r w:rsidRPr="00265B8C">
      <w:rPr>
        <w:rFonts w:cs="Arial"/>
        <w:b/>
        <w:color w:val="002060"/>
        <w:szCs w:val="24"/>
      </w:rPr>
      <w:t xml:space="preserve">COMUNICADO DE PRENSA NÚM. </w:t>
    </w:r>
    <w:r w:rsidR="007A2199">
      <w:rPr>
        <w:rFonts w:cs="Arial"/>
        <w:b/>
        <w:color w:val="002060"/>
        <w:szCs w:val="24"/>
      </w:rPr>
      <w:t>453</w:t>
    </w:r>
    <w:r w:rsidRPr="00265B8C">
      <w:rPr>
        <w:rFonts w:cs="Arial"/>
        <w:b/>
        <w:color w:val="002060"/>
        <w:szCs w:val="24"/>
      </w:rPr>
      <w:t>/</w:t>
    </w:r>
    <w:r>
      <w:rPr>
        <w:rFonts w:cs="Arial"/>
        <w:b/>
        <w:color w:val="002060"/>
        <w:szCs w:val="24"/>
      </w:rPr>
      <w:t>21</w:t>
    </w:r>
  </w:p>
  <w:p w14:paraId="4F8A9E3D" w14:textId="77777777" w:rsidR="00AF3516" w:rsidRPr="00265B8C" w:rsidRDefault="00AF3516" w:rsidP="001B1505">
    <w:pPr>
      <w:pStyle w:val="Encabezado"/>
      <w:framePr w:w="5268" w:hSpace="141" w:wrap="auto" w:vAnchor="text" w:hAnchor="page" w:x="5838" w:y="34"/>
      <w:ind w:left="567" w:hanging="11"/>
      <w:jc w:val="right"/>
      <w:rPr>
        <w:rFonts w:cs="Arial"/>
        <w:b/>
        <w:color w:val="002060"/>
        <w:szCs w:val="24"/>
        <w:lang w:val="pt-BR"/>
      </w:rPr>
    </w:pPr>
    <w:r>
      <w:rPr>
        <w:rFonts w:cs="Arial"/>
        <w:b/>
        <w:color w:val="002060"/>
        <w:szCs w:val="24"/>
        <w:lang w:val="pt-BR"/>
      </w:rPr>
      <w:t xml:space="preserve">12 DE AGOSTO </w:t>
    </w:r>
    <w:r w:rsidRPr="00265B8C">
      <w:rPr>
        <w:rFonts w:cs="Arial"/>
        <w:b/>
        <w:color w:val="002060"/>
        <w:szCs w:val="24"/>
        <w:lang w:val="pt-BR"/>
      </w:rPr>
      <w:t>DE 20</w:t>
    </w:r>
    <w:r>
      <w:rPr>
        <w:rFonts w:cs="Arial"/>
        <w:b/>
        <w:color w:val="002060"/>
        <w:szCs w:val="24"/>
        <w:lang w:val="pt-BR"/>
      </w:rPr>
      <w:t>21</w:t>
    </w:r>
  </w:p>
  <w:p w14:paraId="13E55BE9" w14:textId="77777777" w:rsidR="00AF3516" w:rsidRPr="00265B8C" w:rsidRDefault="00AF3516" w:rsidP="001B1505">
    <w:pPr>
      <w:pStyle w:val="Encabezado"/>
      <w:framePr w:w="5268" w:hSpace="141" w:wrap="auto" w:vAnchor="text" w:hAnchor="page" w:x="5838" w:y="34"/>
      <w:ind w:left="567" w:hanging="11"/>
      <w:jc w:val="right"/>
      <w:rPr>
        <w:rFonts w:cs="Arial"/>
        <w:b/>
        <w:color w:val="002060"/>
        <w:szCs w:val="24"/>
        <w:lang w:val="pt-BR"/>
      </w:rPr>
    </w:pPr>
    <w:r w:rsidRPr="00265B8C">
      <w:rPr>
        <w:rFonts w:cs="Arial"/>
        <w:b/>
        <w:color w:val="002060"/>
        <w:szCs w:val="24"/>
        <w:lang w:val="pt-BR"/>
      </w:rPr>
      <w:t xml:space="preserve">PÁGINA </w:t>
    </w:r>
    <w:r w:rsidRPr="00265B8C">
      <w:rPr>
        <w:rFonts w:cs="Arial"/>
        <w:b/>
        <w:color w:val="002060"/>
        <w:szCs w:val="24"/>
      </w:rPr>
      <w:fldChar w:fldCharType="begin"/>
    </w:r>
    <w:r w:rsidRPr="00265B8C">
      <w:rPr>
        <w:rFonts w:cs="Arial"/>
        <w:b/>
        <w:color w:val="002060"/>
        <w:szCs w:val="24"/>
        <w:lang w:val="pt-BR"/>
      </w:rPr>
      <w:instrText xml:space="preserve">\PAGE </w:instrText>
    </w:r>
    <w:r w:rsidRPr="00265B8C">
      <w:rPr>
        <w:rFonts w:cs="Arial"/>
        <w:color w:val="002060"/>
        <w:szCs w:val="24"/>
      </w:rPr>
      <w:fldChar w:fldCharType="separate"/>
    </w:r>
    <w:r>
      <w:rPr>
        <w:rFonts w:cs="Arial"/>
        <w:b/>
        <w:noProof/>
        <w:color w:val="002060"/>
        <w:szCs w:val="24"/>
        <w:lang w:val="pt-BR"/>
      </w:rPr>
      <w:t>2</w:t>
    </w:r>
    <w:r w:rsidRPr="00265B8C">
      <w:rPr>
        <w:rFonts w:cs="Arial"/>
        <w:color w:val="002060"/>
        <w:szCs w:val="24"/>
      </w:rPr>
      <w:fldChar w:fldCharType="end"/>
    </w:r>
    <w:r w:rsidRPr="00265B8C">
      <w:rPr>
        <w:rFonts w:cs="Arial"/>
        <w:b/>
        <w:color w:val="002060"/>
        <w:szCs w:val="24"/>
        <w:lang w:val="pt-BR"/>
      </w:rPr>
      <w:t>/</w:t>
    </w:r>
    <w:r>
      <w:rPr>
        <w:rFonts w:cs="Arial"/>
        <w:b/>
        <w:color w:val="002060"/>
        <w:szCs w:val="24"/>
        <w:lang w:val="pt-BR"/>
      </w:rPr>
      <w:t>2</w:t>
    </w:r>
  </w:p>
  <w:p w14:paraId="6103B3A3" w14:textId="77777777" w:rsidR="00AF3516" w:rsidRDefault="00AF3516" w:rsidP="007A2199">
    <w:pPr>
      <w:pStyle w:val="Encabezado"/>
      <w:ind w:left="-284"/>
    </w:pPr>
    <w:r>
      <w:rPr>
        <w:noProof/>
      </w:rPr>
      <w:drawing>
        <wp:inline distT="0" distB="0" distL="0" distR="0" wp14:anchorId="0946D79B" wp14:editId="224E2C60">
          <wp:extent cx="725364" cy="75346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23" cy="7778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3309" w14:textId="6D540A08" w:rsidR="00ED7F21" w:rsidRDefault="00EE7736" w:rsidP="00AF3516">
    <w:pPr>
      <w:pStyle w:val="Encabezado"/>
      <w:jc w:val="center"/>
    </w:pPr>
    <w:r>
      <w:rPr>
        <w:noProof/>
        <w:snapToGrid/>
        <w:lang w:val="es-MX" w:eastAsia="es-MX"/>
      </w:rPr>
      <w:drawing>
        <wp:inline distT="0" distB="0" distL="0" distR="0" wp14:anchorId="011E8C48" wp14:editId="69B3A75F">
          <wp:extent cx="876300" cy="885825"/>
          <wp:effectExtent l="0" t="0" r="0" b="9525"/>
          <wp:docPr id="11" name="Imagen 11" descr="cid:image002.png@01D4B335.490B1A50"/>
          <wp:cNvGraphicFramePr/>
          <a:graphic xmlns:a="http://schemas.openxmlformats.org/drawingml/2006/main">
            <a:graphicData uri="http://schemas.openxmlformats.org/drawingml/2006/picture">
              <pic:pic xmlns:pic="http://schemas.openxmlformats.org/drawingml/2006/picture">
                <pic:nvPicPr>
                  <pic:cNvPr id="9" name="Imagen 9"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6514" cy="8860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8"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9"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19"/>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8"/>
  </w:num>
  <w:num w:numId="18">
    <w:abstractNumId w:val="2"/>
  </w:num>
  <w:num w:numId="19">
    <w:abstractNumId w:val="16"/>
  </w:num>
  <w:num w:numId="20">
    <w:abstractNumId w:val="16"/>
  </w:num>
  <w:num w:numId="21">
    <w:abstractNumId w:val="16"/>
  </w:num>
  <w:num w:numId="22">
    <w:abstractNumId w:val="16"/>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pt-BR" w:vendorID="64" w:dllVersion="6" w:nlCheck="1" w:checkStyle="0"/>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1B98"/>
    <w:rsid w:val="0000273F"/>
    <w:rsid w:val="00002C85"/>
    <w:rsid w:val="000031B0"/>
    <w:rsid w:val="00004215"/>
    <w:rsid w:val="000042EF"/>
    <w:rsid w:val="00004A7D"/>
    <w:rsid w:val="00006462"/>
    <w:rsid w:val="00006D11"/>
    <w:rsid w:val="00007DBD"/>
    <w:rsid w:val="0001024B"/>
    <w:rsid w:val="00010A05"/>
    <w:rsid w:val="00010A17"/>
    <w:rsid w:val="00010E0F"/>
    <w:rsid w:val="00010E74"/>
    <w:rsid w:val="00011964"/>
    <w:rsid w:val="00011D5B"/>
    <w:rsid w:val="00012228"/>
    <w:rsid w:val="00013DDD"/>
    <w:rsid w:val="00014EAF"/>
    <w:rsid w:val="00016611"/>
    <w:rsid w:val="00017666"/>
    <w:rsid w:val="00020298"/>
    <w:rsid w:val="0002056D"/>
    <w:rsid w:val="00020F4E"/>
    <w:rsid w:val="00021C68"/>
    <w:rsid w:val="00022153"/>
    <w:rsid w:val="00022907"/>
    <w:rsid w:val="00023E91"/>
    <w:rsid w:val="00025729"/>
    <w:rsid w:val="000260FB"/>
    <w:rsid w:val="00026733"/>
    <w:rsid w:val="0002692A"/>
    <w:rsid w:val="00031C3F"/>
    <w:rsid w:val="00032184"/>
    <w:rsid w:val="00032383"/>
    <w:rsid w:val="00032439"/>
    <w:rsid w:val="0003305A"/>
    <w:rsid w:val="0003385F"/>
    <w:rsid w:val="00034077"/>
    <w:rsid w:val="000347D1"/>
    <w:rsid w:val="00035555"/>
    <w:rsid w:val="00036F4A"/>
    <w:rsid w:val="00036FBF"/>
    <w:rsid w:val="00037A49"/>
    <w:rsid w:val="00040567"/>
    <w:rsid w:val="00040A88"/>
    <w:rsid w:val="00042146"/>
    <w:rsid w:val="000421BC"/>
    <w:rsid w:val="00042729"/>
    <w:rsid w:val="00042E12"/>
    <w:rsid w:val="000431DE"/>
    <w:rsid w:val="0004368D"/>
    <w:rsid w:val="0004453C"/>
    <w:rsid w:val="0004493F"/>
    <w:rsid w:val="000453DC"/>
    <w:rsid w:val="000463BE"/>
    <w:rsid w:val="00046715"/>
    <w:rsid w:val="00046B8A"/>
    <w:rsid w:val="00050F12"/>
    <w:rsid w:val="00051AA5"/>
    <w:rsid w:val="00052C69"/>
    <w:rsid w:val="00053780"/>
    <w:rsid w:val="00053A68"/>
    <w:rsid w:val="00054FD6"/>
    <w:rsid w:val="0005576F"/>
    <w:rsid w:val="00055E5F"/>
    <w:rsid w:val="00056149"/>
    <w:rsid w:val="00056554"/>
    <w:rsid w:val="00057C42"/>
    <w:rsid w:val="00057C43"/>
    <w:rsid w:val="000608A0"/>
    <w:rsid w:val="00060919"/>
    <w:rsid w:val="0006111A"/>
    <w:rsid w:val="00062558"/>
    <w:rsid w:val="00063635"/>
    <w:rsid w:val="00063D1D"/>
    <w:rsid w:val="00064294"/>
    <w:rsid w:val="000646E7"/>
    <w:rsid w:val="0006516A"/>
    <w:rsid w:val="00065DAB"/>
    <w:rsid w:val="00065F7A"/>
    <w:rsid w:val="00066103"/>
    <w:rsid w:val="000665D9"/>
    <w:rsid w:val="00066D7E"/>
    <w:rsid w:val="00066EB6"/>
    <w:rsid w:val="00067BFC"/>
    <w:rsid w:val="00067F2D"/>
    <w:rsid w:val="00070209"/>
    <w:rsid w:val="000716D7"/>
    <w:rsid w:val="0007442D"/>
    <w:rsid w:val="0007511A"/>
    <w:rsid w:val="00075A18"/>
    <w:rsid w:val="000762F8"/>
    <w:rsid w:val="00077907"/>
    <w:rsid w:val="00080C47"/>
    <w:rsid w:val="00082002"/>
    <w:rsid w:val="0008247B"/>
    <w:rsid w:val="00082F49"/>
    <w:rsid w:val="000840A0"/>
    <w:rsid w:val="00084FD7"/>
    <w:rsid w:val="00085BD9"/>
    <w:rsid w:val="00085FDB"/>
    <w:rsid w:val="00086740"/>
    <w:rsid w:val="000902C0"/>
    <w:rsid w:val="000904E6"/>
    <w:rsid w:val="00091999"/>
    <w:rsid w:val="00092ACB"/>
    <w:rsid w:val="00092B83"/>
    <w:rsid w:val="00092FD1"/>
    <w:rsid w:val="00093578"/>
    <w:rsid w:val="00093F8F"/>
    <w:rsid w:val="00094417"/>
    <w:rsid w:val="00094591"/>
    <w:rsid w:val="0009491E"/>
    <w:rsid w:val="00095DC6"/>
    <w:rsid w:val="0009654D"/>
    <w:rsid w:val="00097001"/>
    <w:rsid w:val="00097371"/>
    <w:rsid w:val="00097B7F"/>
    <w:rsid w:val="000A01BF"/>
    <w:rsid w:val="000A05A1"/>
    <w:rsid w:val="000A0B27"/>
    <w:rsid w:val="000A1488"/>
    <w:rsid w:val="000A14B3"/>
    <w:rsid w:val="000A1890"/>
    <w:rsid w:val="000A2A4E"/>
    <w:rsid w:val="000A3A2B"/>
    <w:rsid w:val="000A3F3E"/>
    <w:rsid w:val="000A5880"/>
    <w:rsid w:val="000A5D51"/>
    <w:rsid w:val="000A6470"/>
    <w:rsid w:val="000A65FD"/>
    <w:rsid w:val="000A7204"/>
    <w:rsid w:val="000A79E7"/>
    <w:rsid w:val="000B0CE8"/>
    <w:rsid w:val="000B0EC9"/>
    <w:rsid w:val="000B139D"/>
    <w:rsid w:val="000B2120"/>
    <w:rsid w:val="000B3C5B"/>
    <w:rsid w:val="000B5E8A"/>
    <w:rsid w:val="000B6736"/>
    <w:rsid w:val="000B6AE5"/>
    <w:rsid w:val="000B7BED"/>
    <w:rsid w:val="000B7CFD"/>
    <w:rsid w:val="000C02F0"/>
    <w:rsid w:val="000C0467"/>
    <w:rsid w:val="000C0563"/>
    <w:rsid w:val="000C0C8A"/>
    <w:rsid w:val="000C117A"/>
    <w:rsid w:val="000C1B88"/>
    <w:rsid w:val="000C3595"/>
    <w:rsid w:val="000C3C44"/>
    <w:rsid w:val="000C4460"/>
    <w:rsid w:val="000C55BE"/>
    <w:rsid w:val="000C5772"/>
    <w:rsid w:val="000C5B89"/>
    <w:rsid w:val="000C648E"/>
    <w:rsid w:val="000C66BE"/>
    <w:rsid w:val="000C6E1B"/>
    <w:rsid w:val="000C72D9"/>
    <w:rsid w:val="000C7599"/>
    <w:rsid w:val="000C7999"/>
    <w:rsid w:val="000D08BB"/>
    <w:rsid w:val="000D0CC8"/>
    <w:rsid w:val="000D1A8E"/>
    <w:rsid w:val="000D3BA0"/>
    <w:rsid w:val="000D52C1"/>
    <w:rsid w:val="000D5529"/>
    <w:rsid w:val="000D5B24"/>
    <w:rsid w:val="000D6074"/>
    <w:rsid w:val="000D65E2"/>
    <w:rsid w:val="000D689B"/>
    <w:rsid w:val="000D6BD0"/>
    <w:rsid w:val="000D7CA3"/>
    <w:rsid w:val="000E0A62"/>
    <w:rsid w:val="000E1443"/>
    <w:rsid w:val="000E1A64"/>
    <w:rsid w:val="000E2C66"/>
    <w:rsid w:val="000E3033"/>
    <w:rsid w:val="000E4CA4"/>
    <w:rsid w:val="000F09D4"/>
    <w:rsid w:val="000F09F8"/>
    <w:rsid w:val="000F1108"/>
    <w:rsid w:val="000F14B9"/>
    <w:rsid w:val="000F1608"/>
    <w:rsid w:val="000F1839"/>
    <w:rsid w:val="000F2966"/>
    <w:rsid w:val="000F3D4A"/>
    <w:rsid w:val="000F3F47"/>
    <w:rsid w:val="000F4540"/>
    <w:rsid w:val="000F4658"/>
    <w:rsid w:val="000F5E17"/>
    <w:rsid w:val="000F611A"/>
    <w:rsid w:val="000F6657"/>
    <w:rsid w:val="000F682F"/>
    <w:rsid w:val="000F698B"/>
    <w:rsid w:val="000F79B9"/>
    <w:rsid w:val="000F7B11"/>
    <w:rsid w:val="001003A7"/>
    <w:rsid w:val="00101A58"/>
    <w:rsid w:val="00101BCD"/>
    <w:rsid w:val="00101CDA"/>
    <w:rsid w:val="001034D4"/>
    <w:rsid w:val="00104C78"/>
    <w:rsid w:val="001073D8"/>
    <w:rsid w:val="001075CC"/>
    <w:rsid w:val="001108BF"/>
    <w:rsid w:val="00110B27"/>
    <w:rsid w:val="001115F7"/>
    <w:rsid w:val="001137CE"/>
    <w:rsid w:val="0011434C"/>
    <w:rsid w:val="001155C6"/>
    <w:rsid w:val="001156DE"/>
    <w:rsid w:val="0011585D"/>
    <w:rsid w:val="00115C1E"/>
    <w:rsid w:val="00116918"/>
    <w:rsid w:val="00116947"/>
    <w:rsid w:val="00117B09"/>
    <w:rsid w:val="00117C54"/>
    <w:rsid w:val="0012290F"/>
    <w:rsid w:val="00123379"/>
    <w:rsid w:val="001234A8"/>
    <w:rsid w:val="00123B68"/>
    <w:rsid w:val="00124A7D"/>
    <w:rsid w:val="00124BE8"/>
    <w:rsid w:val="00124D63"/>
    <w:rsid w:val="00125B7A"/>
    <w:rsid w:val="00125C98"/>
    <w:rsid w:val="00126D65"/>
    <w:rsid w:val="00127101"/>
    <w:rsid w:val="001277D8"/>
    <w:rsid w:val="0013012D"/>
    <w:rsid w:val="00130446"/>
    <w:rsid w:val="00130B75"/>
    <w:rsid w:val="00131392"/>
    <w:rsid w:val="00131E1A"/>
    <w:rsid w:val="00133E3A"/>
    <w:rsid w:val="00133E9C"/>
    <w:rsid w:val="0013459D"/>
    <w:rsid w:val="001345B1"/>
    <w:rsid w:val="00135030"/>
    <w:rsid w:val="00135483"/>
    <w:rsid w:val="0013782A"/>
    <w:rsid w:val="00137E78"/>
    <w:rsid w:val="00137F47"/>
    <w:rsid w:val="00140B6C"/>
    <w:rsid w:val="00141DAC"/>
    <w:rsid w:val="00142299"/>
    <w:rsid w:val="001428FF"/>
    <w:rsid w:val="00142921"/>
    <w:rsid w:val="0014557C"/>
    <w:rsid w:val="00145B63"/>
    <w:rsid w:val="001463C4"/>
    <w:rsid w:val="0014682B"/>
    <w:rsid w:val="0014693A"/>
    <w:rsid w:val="00146BEE"/>
    <w:rsid w:val="0014725A"/>
    <w:rsid w:val="00147908"/>
    <w:rsid w:val="00151522"/>
    <w:rsid w:val="0015270C"/>
    <w:rsid w:val="00152E6E"/>
    <w:rsid w:val="00153366"/>
    <w:rsid w:val="0015373F"/>
    <w:rsid w:val="001539EF"/>
    <w:rsid w:val="00154177"/>
    <w:rsid w:val="00154C05"/>
    <w:rsid w:val="00154C3B"/>
    <w:rsid w:val="001565E4"/>
    <w:rsid w:val="00156AAB"/>
    <w:rsid w:val="00156ABA"/>
    <w:rsid w:val="00156DF2"/>
    <w:rsid w:val="00160412"/>
    <w:rsid w:val="001605E8"/>
    <w:rsid w:val="0016074A"/>
    <w:rsid w:val="00160FAF"/>
    <w:rsid w:val="00163512"/>
    <w:rsid w:val="00163A8E"/>
    <w:rsid w:val="00163ADE"/>
    <w:rsid w:val="00163B3E"/>
    <w:rsid w:val="00163BA6"/>
    <w:rsid w:val="00164371"/>
    <w:rsid w:val="00164DA3"/>
    <w:rsid w:val="00165501"/>
    <w:rsid w:val="001658DB"/>
    <w:rsid w:val="001659D7"/>
    <w:rsid w:val="00165E9D"/>
    <w:rsid w:val="0016690F"/>
    <w:rsid w:val="0017122C"/>
    <w:rsid w:val="001727A6"/>
    <w:rsid w:val="00172F90"/>
    <w:rsid w:val="0017393E"/>
    <w:rsid w:val="00173FEA"/>
    <w:rsid w:val="00174978"/>
    <w:rsid w:val="0017506E"/>
    <w:rsid w:val="001755B3"/>
    <w:rsid w:val="0017620A"/>
    <w:rsid w:val="00180722"/>
    <w:rsid w:val="00182595"/>
    <w:rsid w:val="001828D6"/>
    <w:rsid w:val="00182A73"/>
    <w:rsid w:val="00182F89"/>
    <w:rsid w:val="00183844"/>
    <w:rsid w:val="00184160"/>
    <w:rsid w:val="0018416A"/>
    <w:rsid w:val="001842C5"/>
    <w:rsid w:val="00184D49"/>
    <w:rsid w:val="00185470"/>
    <w:rsid w:val="001855A5"/>
    <w:rsid w:val="001872D0"/>
    <w:rsid w:val="00191DEB"/>
    <w:rsid w:val="001921C8"/>
    <w:rsid w:val="00193057"/>
    <w:rsid w:val="00193ED8"/>
    <w:rsid w:val="001941AB"/>
    <w:rsid w:val="00194480"/>
    <w:rsid w:val="001951D5"/>
    <w:rsid w:val="001952C4"/>
    <w:rsid w:val="0019532A"/>
    <w:rsid w:val="00195865"/>
    <w:rsid w:val="001959B6"/>
    <w:rsid w:val="00195FEE"/>
    <w:rsid w:val="001960DA"/>
    <w:rsid w:val="00196671"/>
    <w:rsid w:val="001968B9"/>
    <w:rsid w:val="00196FF3"/>
    <w:rsid w:val="00197417"/>
    <w:rsid w:val="00197630"/>
    <w:rsid w:val="001A0B6A"/>
    <w:rsid w:val="001A1299"/>
    <w:rsid w:val="001A25CF"/>
    <w:rsid w:val="001A3153"/>
    <w:rsid w:val="001A354D"/>
    <w:rsid w:val="001A37FC"/>
    <w:rsid w:val="001A445D"/>
    <w:rsid w:val="001A6C3B"/>
    <w:rsid w:val="001B0B3F"/>
    <w:rsid w:val="001B2B81"/>
    <w:rsid w:val="001B44BA"/>
    <w:rsid w:val="001B47AA"/>
    <w:rsid w:val="001B54C5"/>
    <w:rsid w:val="001B6801"/>
    <w:rsid w:val="001C04DF"/>
    <w:rsid w:val="001C0B53"/>
    <w:rsid w:val="001C0E25"/>
    <w:rsid w:val="001C1447"/>
    <w:rsid w:val="001C174A"/>
    <w:rsid w:val="001C1E2C"/>
    <w:rsid w:val="001C238D"/>
    <w:rsid w:val="001C293A"/>
    <w:rsid w:val="001C2D93"/>
    <w:rsid w:val="001C2FAA"/>
    <w:rsid w:val="001C3299"/>
    <w:rsid w:val="001C3DA9"/>
    <w:rsid w:val="001C4472"/>
    <w:rsid w:val="001C47A3"/>
    <w:rsid w:val="001C5F5D"/>
    <w:rsid w:val="001C650B"/>
    <w:rsid w:val="001C6CD4"/>
    <w:rsid w:val="001C6FA7"/>
    <w:rsid w:val="001C7D21"/>
    <w:rsid w:val="001C7E8C"/>
    <w:rsid w:val="001D0373"/>
    <w:rsid w:val="001D0DC3"/>
    <w:rsid w:val="001D0F1A"/>
    <w:rsid w:val="001D0F96"/>
    <w:rsid w:val="001D23B8"/>
    <w:rsid w:val="001D2489"/>
    <w:rsid w:val="001D285D"/>
    <w:rsid w:val="001D3DBA"/>
    <w:rsid w:val="001D4C6B"/>
    <w:rsid w:val="001D51FE"/>
    <w:rsid w:val="001D5AB0"/>
    <w:rsid w:val="001E037F"/>
    <w:rsid w:val="001E04EB"/>
    <w:rsid w:val="001E1370"/>
    <w:rsid w:val="001E1EC8"/>
    <w:rsid w:val="001E38C9"/>
    <w:rsid w:val="001E3B2F"/>
    <w:rsid w:val="001E4621"/>
    <w:rsid w:val="001E4A31"/>
    <w:rsid w:val="001E5C9B"/>
    <w:rsid w:val="001E7565"/>
    <w:rsid w:val="001F0892"/>
    <w:rsid w:val="001F08C2"/>
    <w:rsid w:val="001F0F09"/>
    <w:rsid w:val="001F2519"/>
    <w:rsid w:val="001F3CE5"/>
    <w:rsid w:val="001F40C7"/>
    <w:rsid w:val="001F421F"/>
    <w:rsid w:val="001F4249"/>
    <w:rsid w:val="001F4AB0"/>
    <w:rsid w:val="001F4F7E"/>
    <w:rsid w:val="001F562F"/>
    <w:rsid w:val="001F65DD"/>
    <w:rsid w:val="001F6D20"/>
    <w:rsid w:val="0020081F"/>
    <w:rsid w:val="002008C3"/>
    <w:rsid w:val="002025F0"/>
    <w:rsid w:val="00202751"/>
    <w:rsid w:val="00203925"/>
    <w:rsid w:val="0020440D"/>
    <w:rsid w:val="0020475B"/>
    <w:rsid w:val="00205302"/>
    <w:rsid w:val="002058BB"/>
    <w:rsid w:val="00205C16"/>
    <w:rsid w:val="00205D6F"/>
    <w:rsid w:val="0020717A"/>
    <w:rsid w:val="0021095D"/>
    <w:rsid w:val="00211056"/>
    <w:rsid w:val="00211279"/>
    <w:rsid w:val="0021228E"/>
    <w:rsid w:val="00212EAE"/>
    <w:rsid w:val="002138EA"/>
    <w:rsid w:val="00213E5E"/>
    <w:rsid w:val="002146E9"/>
    <w:rsid w:val="00215360"/>
    <w:rsid w:val="002162C6"/>
    <w:rsid w:val="002169BE"/>
    <w:rsid w:val="00220359"/>
    <w:rsid w:val="00220BF2"/>
    <w:rsid w:val="0022177F"/>
    <w:rsid w:val="0022190B"/>
    <w:rsid w:val="00221C33"/>
    <w:rsid w:val="0022200C"/>
    <w:rsid w:val="002224F5"/>
    <w:rsid w:val="0022411B"/>
    <w:rsid w:val="002248CF"/>
    <w:rsid w:val="00224D24"/>
    <w:rsid w:val="00224D9E"/>
    <w:rsid w:val="00224EB0"/>
    <w:rsid w:val="00224FB2"/>
    <w:rsid w:val="00224FB9"/>
    <w:rsid w:val="00226C7F"/>
    <w:rsid w:val="00226F6C"/>
    <w:rsid w:val="0022727C"/>
    <w:rsid w:val="00227E7E"/>
    <w:rsid w:val="0023260C"/>
    <w:rsid w:val="00233847"/>
    <w:rsid w:val="00233E2A"/>
    <w:rsid w:val="00235175"/>
    <w:rsid w:val="00235FA3"/>
    <w:rsid w:val="002360C7"/>
    <w:rsid w:val="0023784B"/>
    <w:rsid w:val="0024100A"/>
    <w:rsid w:val="002424D2"/>
    <w:rsid w:val="00242B5F"/>
    <w:rsid w:val="00242C77"/>
    <w:rsid w:val="00242E13"/>
    <w:rsid w:val="0024346C"/>
    <w:rsid w:val="002435A0"/>
    <w:rsid w:val="00244BD7"/>
    <w:rsid w:val="00244E84"/>
    <w:rsid w:val="00245082"/>
    <w:rsid w:val="0024559C"/>
    <w:rsid w:val="002459F7"/>
    <w:rsid w:val="00246053"/>
    <w:rsid w:val="002466AB"/>
    <w:rsid w:val="00246C58"/>
    <w:rsid w:val="002470F9"/>
    <w:rsid w:val="00247E21"/>
    <w:rsid w:val="00250226"/>
    <w:rsid w:val="00250742"/>
    <w:rsid w:val="00250CC1"/>
    <w:rsid w:val="00250EAB"/>
    <w:rsid w:val="00251751"/>
    <w:rsid w:val="00252975"/>
    <w:rsid w:val="00252AEC"/>
    <w:rsid w:val="00252EBF"/>
    <w:rsid w:val="00253130"/>
    <w:rsid w:val="002547E9"/>
    <w:rsid w:val="00254AD4"/>
    <w:rsid w:val="00254DB3"/>
    <w:rsid w:val="00255291"/>
    <w:rsid w:val="00256602"/>
    <w:rsid w:val="0025719B"/>
    <w:rsid w:val="00257D9D"/>
    <w:rsid w:val="00257EBF"/>
    <w:rsid w:val="0026147C"/>
    <w:rsid w:val="002630F9"/>
    <w:rsid w:val="002637EF"/>
    <w:rsid w:val="00263FFB"/>
    <w:rsid w:val="00264161"/>
    <w:rsid w:val="00264275"/>
    <w:rsid w:val="0026446E"/>
    <w:rsid w:val="00264854"/>
    <w:rsid w:val="00264AA7"/>
    <w:rsid w:val="00264E1A"/>
    <w:rsid w:val="00266887"/>
    <w:rsid w:val="00266D08"/>
    <w:rsid w:val="00266FF3"/>
    <w:rsid w:val="00267023"/>
    <w:rsid w:val="002675F1"/>
    <w:rsid w:val="002702AB"/>
    <w:rsid w:val="00270671"/>
    <w:rsid w:val="00270B53"/>
    <w:rsid w:val="00270D15"/>
    <w:rsid w:val="00270D59"/>
    <w:rsid w:val="00273B19"/>
    <w:rsid w:val="00274992"/>
    <w:rsid w:val="00274C21"/>
    <w:rsid w:val="00276723"/>
    <w:rsid w:val="00280516"/>
    <w:rsid w:val="002809B3"/>
    <w:rsid w:val="002811AB"/>
    <w:rsid w:val="002827BF"/>
    <w:rsid w:val="00282BA0"/>
    <w:rsid w:val="00282F0A"/>
    <w:rsid w:val="002838A3"/>
    <w:rsid w:val="002839A5"/>
    <w:rsid w:val="00284B57"/>
    <w:rsid w:val="00285648"/>
    <w:rsid w:val="00285776"/>
    <w:rsid w:val="00286FAB"/>
    <w:rsid w:val="002906CF"/>
    <w:rsid w:val="00290C18"/>
    <w:rsid w:val="00291A28"/>
    <w:rsid w:val="00292FD6"/>
    <w:rsid w:val="002931C6"/>
    <w:rsid w:val="0029403F"/>
    <w:rsid w:val="00295148"/>
    <w:rsid w:val="002951C4"/>
    <w:rsid w:val="002959AC"/>
    <w:rsid w:val="00297DA6"/>
    <w:rsid w:val="002A0FCC"/>
    <w:rsid w:val="002A11AE"/>
    <w:rsid w:val="002A193C"/>
    <w:rsid w:val="002A200D"/>
    <w:rsid w:val="002A2685"/>
    <w:rsid w:val="002A2EBD"/>
    <w:rsid w:val="002A319B"/>
    <w:rsid w:val="002A3BC6"/>
    <w:rsid w:val="002A3E2D"/>
    <w:rsid w:val="002A5436"/>
    <w:rsid w:val="002A5908"/>
    <w:rsid w:val="002A5CBA"/>
    <w:rsid w:val="002A618E"/>
    <w:rsid w:val="002A7BB4"/>
    <w:rsid w:val="002A7D9C"/>
    <w:rsid w:val="002A7E45"/>
    <w:rsid w:val="002B0693"/>
    <w:rsid w:val="002B2CC0"/>
    <w:rsid w:val="002B2ED8"/>
    <w:rsid w:val="002B4B80"/>
    <w:rsid w:val="002B5511"/>
    <w:rsid w:val="002B612F"/>
    <w:rsid w:val="002B62C3"/>
    <w:rsid w:val="002B7440"/>
    <w:rsid w:val="002B77C7"/>
    <w:rsid w:val="002C06DB"/>
    <w:rsid w:val="002C1ADA"/>
    <w:rsid w:val="002C2B36"/>
    <w:rsid w:val="002C2C06"/>
    <w:rsid w:val="002C2D0F"/>
    <w:rsid w:val="002C42FE"/>
    <w:rsid w:val="002C4422"/>
    <w:rsid w:val="002C49C6"/>
    <w:rsid w:val="002C4C23"/>
    <w:rsid w:val="002C4D22"/>
    <w:rsid w:val="002C4FDC"/>
    <w:rsid w:val="002C6220"/>
    <w:rsid w:val="002C6984"/>
    <w:rsid w:val="002C760D"/>
    <w:rsid w:val="002D0297"/>
    <w:rsid w:val="002D0776"/>
    <w:rsid w:val="002D095F"/>
    <w:rsid w:val="002D0B24"/>
    <w:rsid w:val="002D32A6"/>
    <w:rsid w:val="002D4026"/>
    <w:rsid w:val="002D5B11"/>
    <w:rsid w:val="002D6429"/>
    <w:rsid w:val="002D674F"/>
    <w:rsid w:val="002D7483"/>
    <w:rsid w:val="002D7871"/>
    <w:rsid w:val="002E0016"/>
    <w:rsid w:val="002E03E4"/>
    <w:rsid w:val="002E0975"/>
    <w:rsid w:val="002E09E4"/>
    <w:rsid w:val="002E0BA8"/>
    <w:rsid w:val="002E0D7C"/>
    <w:rsid w:val="002E16A8"/>
    <w:rsid w:val="002E338D"/>
    <w:rsid w:val="002E38A7"/>
    <w:rsid w:val="002E5C03"/>
    <w:rsid w:val="002E6992"/>
    <w:rsid w:val="002E69B1"/>
    <w:rsid w:val="002E6BF3"/>
    <w:rsid w:val="002F05D2"/>
    <w:rsid w:val="002F10D1"/>
    <w:rsid w:val="002F1AE8"/>
    <w:rsid w:val="002F32B6"/>
    <w:rsid w:val="002F54B1"/>
    <w:rsid w:val="002F5CBA"/>
    <w:rsid w:val="002F6CDC"/>
    <w:rsid w:val="002F7030"/>
    <w:rsid w:val="002F7084"/>
    <w:rsid w:val="002F71B9"/>
    <w:rsid w:val="002F7886"/>
    <w:rsid w:val="00300F90"/>
    <w:rsid w:val="00301736"/>
    <w:rsid w:val="003017A8"/>
    <w:rsid w:val="003017F3"/>
    <w:rsid w:val="003019B3"/>
    <w:rsid w:val="00303261"/>
    <w:rsid w:val="00303D92"/>
    <w:rsid w:val="0030466A"/>
    <w:rsid w:val="003049D3"/>
    <w:rsid w:val="003051F6"/>
    <w:rsid w:val="00305ACD"/>
    <w:rsid w:val="003064AC"/>
    <w:rsid w:val="003071C4"/>
    <w:rsid w:val="00310117"/>
    <w:rsid w:val="00310639"/>
    <w:rsid w:val="0031097A"/>
    <w:rsid w:val="00311E4E"/>
    <w:rsid w:val="003126FC"/>
    <w:rsid w:val="0031289C"/>
    <w:rsid w:val="00312F79"/>
    <w:rsid w:val="00313D69"/>
    <w:rsid w:val="00314084"/>
    <w:rsid w:val="00314695"/>
    <w:rsid w:val="00314FD2"/>
    <w:rsid w:val="0031533D"/>
    <w:rsid w:val="0031638A"/>
    <w:rsid w:val="003165DA"/>
    <w:rsid w:val="00317317"/>
    <w:rsid w:val="0031796B"/>
    <w:rsid w:val="00320B4C"/>
    <w:rsid w:val="00320BDC"/>
    <w:rsid w:val="003217EB"/>
    <w:rsid w:val="00321AA4"/>
    <w:rsid w:val="00321EBD"/>
    <w:rsid w:val="0032269F"/>
    <w:rsid w:val="00322A57"/>
    <w:rsid w:val="00324510"/>
    <w:rsid w:val="0032465C"/>
    <w:rsid w:val="00325403"/>
    <w:rsid w:val="00325EE1"/>
    <w:rsid w:val="00326C03"/>
    <w:rsid w:val="0032723B"/>
    <w:rsid w:val="00327B6E"/>
    <w:rsid w:val="003301B9"/>
    <w:rsid w:val="00330E94"/>
    <w:rsid w:val="00330EEF"/>
    <w:rsid w:val="00332B0E"/>
    <w:rsid w:val="00332CB3"/>
    <w:rsid w:val="00333136"/>
    <w:rsid w:val="003355A5"/>
    <w:rsid w:val="00336DB7"/>
    <w:rsid w:val="00341B4F"/>
    <w:rsid w:val="0034311C"/>
    <w:rsid w:val="003436A1"/>
    <w:rsid w:val="00343806"/>
    <w:rsid w:val="0034408C"/>
    <w:rsid w:val="0034441B"/>
    <w:rsid w:val="003448B9"/>
    <w:rsid w:val="0034499C"/>
    <w:rsid w:val="00344EEF"/>
    <w:rsid w:val="003457BF"/>
    <w:rsid w:val="00345BF5"/>
    <w:rsid w:val="00345D63"/>
    <w:rsid w:val="00345EFC"/>
    <w:rsid w:val="00347C6B"/>
    <w:rsid w:val="00347CEC"/>
    <w:rsid w:val="003508A7"/>
    <w:rsid w:val="0035148E"/>
    <w:rsid w:val="00351E22"/>
    <w:rsid w:val="00352EF1"/>
    <w:rsid w:val="00355AA0"/>
    <w:rsid w:val="00356EA1"/>
    <w:rsid w:val="003607BA"/>
    <w:rsid w:val="00361A86"/>
    <w:rsid w:val="00362342"/>
    <w:rsid w:val="00363945"/>
    <w:rsid w:val="00364164"/>
    <w:rsid w:val="003648E6"/>
    <w:rsid w:val="00364DD1"/>
    <w:rsid w:val="003654CE"/>
    <w:rsid w:val="0036725F"/>
    <w:rsid w:val="0036737B"/>
    <w:rsid w:val="0037142D"/>
    <w:rsid w:val="00372AA8"/>
    <w:rsid w:val="00372D16"/>
    <w:rsid w:val="00373A0D"/>
    <w:rsid w:val="00373B78"/>
    <w:rsid w:val="00374008"/>
    <w:rsid w:val="003749F9"/>
    <w:rsid w:val="00375105"/>
    <w:rsid w:val="003756F0"/>
    <w:rsid w:val="0037698F"/>
    <w:rsid w:val="003776A6"/>
    <w:rsid w:val="00377A2F"/>
    <w:rsid w:val="003800CE"/>
    <w:rsid w:val="003803F8"/>
    <w:rsid w:val="00382278"/>
    <w:rsid w:val="0038296A"/>
    <w:rsid w:val="00383B1E"/>
    <w:rsid w:val="00383E97"/>
    <w:rsid w:val="00384033"/>
    <w:rsid w:val="00384C4B"/>
    <w:rsid w:val="00385592"/>
    <w:rsid w:val="003940F5"/>
    <w:rsid w:val="003942B3"/>
    <w:rsid w:val="00395E43"/>
    <w:rsid w:val="0039682E"/>
    <w:rsid w:val="00397686"/>
    <w:rsid w:val="00397F1E"/>
    <w:rsid w:val="003A089B"/>
    <w:rsid w:val="003A11AC"/>
    <w:rsid w:val="003A1460"/>
    <w:rsid w:val="003A1926"/>
    <w:rsid w:val="003A4479"/>
    <w:rsid w:val="003A5CCC"/>
    <w:rsid w:val="003A68A0"/>
    <w:rsid w:val="003A6C8A"/>
    <w:rsid w:val="003B03BE"/>
    <w:rsid w:val="003B0AD6"/>
    <w:rsid w:val="003B0DD8"/>
    <w:rsid w:val="003B1119"/>
    <w:rsid w:val="003B1425"/>
    <w:rsid w:val="003B1DD8"/>
    <w:rsid w:val="003B2FDF"/>
    <w:rsid w:val="003B34C1"/>
    <w:rsid w:val="003B3F7C"/>
    <w:rsid w:val="003B4D0E"/>
    <w:rsid w:val="003B5744"/>
    <w:rsid w:val="003B5EFC"/>
    <w:rsid w:val="003B7917"/>
    <w:rsid w:val="003C05A9"/>
    <w:rsid w:val="003C0CBC"/>
    <w:rsid w:val="003C0DD4"/>
    <w:rsid w:val="003C0E46"/>
    <w:rsid w:val="003C0F02"/>
    <w:rsid w:val="003C11B7"/>
    <w:rsid w:val="003C1AAB"/>
    <w:rsid w:val="003C1CE6"/>
    <w:rsid w:val="003C208B"/>
    <w:rsid w:val="003C2468"/>
    <w:rsid w:val="003C26DF"/>
    <w:rsid w:val="003C2BB9"/>
    <w:rsid w:val="003C2CEF"/>
    <w:rsid w:val="003C3A86"/>
    <w:rsid w:val="003C3F85"/>
    <w:rsid w:val="003C41E9"/>
    <w:rsid w:val="003C49C0"/>
    <w:rsid w:val="003C59D0"/>
    <w:rsid w:val="003C6BC7"/>
    <w:rsid w:val="003C6D35"/>
    <w:rsid w:val="003C6E13"/>
    <w:rsid w:val="003C7068"/>
    <w:rsid w:val="003C79D1"/>
    <w:rsid w:val="003D2352"/>
    <w:rsid w:val="003D2E2E"/>
    <w:rsid w:val="003D2FF6"/>
    <w:rsid w:val="003D332D"/>
    <w:rsid w:val="003D454B"/>
    <w:rsid w:val="003D4609"/>
    <w:rsid w:val="003D547D"/>
    <w:rsid w:val="003D597A"/>
    <w:rsid w:val="003D5D7E"/>
    <w:rsid w:val="003D6094"/>
    <w:rsid w:val="003D7ECB"/>
    <w:rsid w:val="003E0003"/>
    <w:rsid w:val="003E0A19"/>
    <w:rsid w:val="003E0E64"/>
    <w:rsid w:val="003E21A3"/>
    <w:rsid w:val="003E429F"/>
    <w:rsid w:val="003E5AB4"/>
    <w:rsid w:val="003E5B7F"/>
    <w:rsid w:val="003E6472"/>
    <w:rsid w:val="003E6BF7"/>
    <w:rsid w:val="003E6CFE"/>
    <w:rsid w:val="003E70D2"/>
    <w:rsid w:val="003E7E9B"/>
    <w:rsid w:val="003F07C4"/>
    <w:rsid w:val="003F1F31"/>
    <w:rsid w:val="003F26EB"/>
    <w:rsid w:val="003F286D"/>
    <w:rsid w:val="003F3DDA"/>
    <w:rsid w:val="003F4213"/>
    <w:rsid w:val="003F5A16"/>
    <w:rsid w:val="003F5F95"/>
    <w:rsid w:val="003F61DF"/>
    <w:rsid w:val="003F7972"/>
    <w:rsid w:val="003F7F13"/>
    <w:rsid w:val="00400D22"/>
    <w:rsid w:val="00402C6E"/>
    <w:rsid w:val="00404F61"/>
    <w:rsid w:val="004050E6"/>
    <w:rsid w:val="00405E0C"/>
    <w:rsid w:val="00406135"/>
    <w:rsid w:val="00406CAE"/>
    <w:rsid w:val="00407D79"/>
    <w:rsid w:val="00410113"/>
    <w:rsid w:val="00410A26"/>
    <w:rsid w:val="004113EA"/>
    <w:rsid w:val="00411831"/>
    <w:rsid w:val="00411C84"/>
    <w:rsid w:val="004123FA"/>
    <w:rsid w:val="004128A9"/>
    <w:rsid w:val="00412A71"/>
    <w:rsid w:val="00414288"/>
    <w:rsid w:val="00414C52"/>
    <w:rsid w:val="00414D41"/>
    <w:rsid w:val="00414D4F"/>
    <w:rsid w:val="00415642"/>
    <w:rsid w:val="0041592A"/>
    <w:rsid w:val="004167CF"/>
    <w:rsid w:val="00416EF5"/>
    <w:rsid w:val="00420D3A"/>
    <w:rsid w:val="00420FAA"/>
    <w:rsid w:val="00423E11"/>
    <w:rsid w:val="00425B78"/>
    <w:rsid w:val="00426210"/>
    <w:rsid w:val="0042660A"/>
    <w:rsid w:val="004266CB"/>
    <w:rsid w:val="00426C76"/>
    <w:rsid w:val="004271AE"/>
    <w:rsid w:val="00427339"/>
    <w:rsid w:val="00430446"/>
    <w:rsid w:val="00430F48"/>
    <w:rsid w:val="004312CE"/>
    <w:rsid w:val="00431471"/>
    <w:rsid w:val="00432123"/>
    <w:rsid w:val="00432AB8"/>
    <w:rsid w:val="00432D29"/>
    <w:rsid w:val="004345E1"/>
    <w:rsid w:val="004348F2"/>
    <w:rsid w:val="0043529C"/>
    <w:rsid w:val="00435311"/>
    <w:rsid w:val="00435ABD"/>
    <w:rsid w:val="00435CE8"/>
    <w:rsid w:val="00435ED9"/>
    <w:rsid w:val="00436597"/>
    <w:rsid w:val="00436764"/>
    <w:rsid w:val="00436BD4"/>
    <w:rsid w:val="00436F4C"/>
    <w:rsid w:val="004372B2"/>
    <w:rsid w:val="00437B81"/>
    <w:rsid w:val="00437CE9"/>
    <w:rsid w:val="00440333"/>
    <w:rsid w:val="00440C7D"/>
    <w:rsid w:val="00440F43"/>
    <w:rsid w:val="004416AE"/>
    <w:rsid w:val="0044178B"/>
    <w:rsid w:val="00441E7E"/>
    <w:rsid w:val="0044275F"/>
    <w:rsid w:val="004438D7"/>
    <w:rsid w:val="00443B66"/>
    <w:rsid w:val="00444081"/>
    <w:rsid w:val="0044476B"/>
    <w:rsid w:val="00444DE7"/>
    <w:rsid w:val="00445596"/>
    <w:rsid w:val="004472C5"/>
    <w:rsid w:val="0044791B"/>
    <w:rsid w:val="0045072C"/>
    <w:rsid w:val="0045077C"/>
    <w:rsid w:val="00450A1D"/>
    <w:rsid w:val="00451EAB"/>
    <w:rsid w:val="0045354A"/>
    <w:rsid w:val="00454E0B"/>
    <w:rsid w:val="0045542B"/>
    <w:rsid w:val="00455FD3"/>
    <w:rsid w:val="004562E0"/>
    <w:rsid w:val="00457B8E"/>
    <w:rsid w:val="00460009"/>
    <w:rsid w:val="0046041A"/>
    <w:rsid w:val="004616D5"/>
    <w:rsid w:val="00461E1B"/>
    <w:rsid w:val="00462700"/>
    <w:rsid w:val="00462F9D"/>
    <w:rsid w:val="004631B0"/>
    <w:rsid w:val="00464699"/>
    <w:rsid w:val="00464A2A"/>
    <w:rsid w:val="00464AE0"/>
    <w:rsid w:val="00464EA7"/>
    <w:rsid w:val="00465C23"/>
    <w:rsid w:val="00465E65"/>
    <w:rsid w:val="004660AB"/>
    <w:rsid w:val="00466947"/>
    <w:rsid w:val="00466F8E"/>
    <w:rsid w:val="0046758B"/>
    <w:rsid w:val="00470194"/>
    <w:rsid w:val="00470A0A"/>
    <w:rsid w:val="00470E51"/>
    <w:rsid w:val="004716EC"/>
    <w:rsid w:val="00471966"/>
    <w:rsid w:val="00471D20"/>
    <w:rsid w:val="00474197"/>
    <w:rsid w:val="0047428D"/>
    <w:rsid w:val="0047475A"/>
    <w:rsid w:val="00475636"/>
    <w:rsid w:val="00476753"/>
    <w:rsid w:val="00476B79"/>
    <w:rsid w:val="00477330"/>
    <w:rsid w:val="0047780A"/>
    <w:rsid w:val="00477DA0"/>
    <w:rsid w:val="00481941"/>
    <w:rsid w:val="0048290E"/>
    <w:rsid w:val="00484747"/>
    <w:rsid w:val="00485392"/>
    <w:rsid w:val="0048557F"/>
    <w:rsid w:val="00485D93"/>
    <w:rsid w:val="0048617F"/>
    <w:rsid w:val="00486A37"/>
    <w:rsid w:val="0048795A"/>
    <w:rsid w:val="00493879"/>
    <w:rsid w:val="00494A1D"/>
    <w:rsid w:val="00495B96"/>
    <w:rsid w:val="004965A1"/>
    <w:rsid w:val="004966FD"/>
    <w:rsid w:val="00497EEB"/>
    <w:rsid w:val="004A01B4"/>
    <w:rsid w:val="004A06EA"/>
    <w:rsid w:val="004A0886"/>
    <w:rsid w:val="004A0903"/>
    <w:rsid w:val="004A1070"/>
    <w:rsid w:val="004A1116"/>
    <w:rsid w:val="004A15A1"/>
    <w:rsid w:val="004A1EB7"/>
    <w:rsid w:val="004A1F76"/>
    <w:rsid w:val="004A2DB7"/>
    <w:rsid w:val="004A57E5"/>
    <w:rsid w:val="004A5C0E"/>
    <w:rsid w:val="004A77F7"/>
    <w:rsid w:val="004B07AA"/>
    <w:rsid w:val="004B07DD"/>
    <w:rsid w:val="004B0F4B"/>
    <w:rsid w:val="004B14FA"/>
    <w:rsid w:val="004B28AA"/>
    <w:rsid w:val="004B367F"/>
    <w:rsid w:val="004B3E14"/>
    <w:rsid w:val="004B415E"/>
    <w:rsid w:val="004B469B"/>
    <w:rsid w:val="004B4752"/>
    <w:rsid w:val="004B5902"/>
    <w:rsid w:val="004B5A07"/>
    <w:rsid w:val="004B6896"/>
    <w:rsid w:val="004B6984"/>
    <w:rsid w:val="004B73D8"/>
    <w:rsid w:val="004B75E7"/>
    <w:rsid w:val="004B7EA1"/>
    <w:rsid w:val="004C13D9"/>
    <w:rsid w:val="004C1C7D"/>
    <w:rsid w:val="004C2120"/>
    <w:rsid w:val="004C3128"/>
    <w:rsid w:val="004C31F9"/>
    <w:rsid w:val="004C33C5"/>
    <w:rsid w:val="004C3DCB"/>
    <w:rsid w:val="004C4728"/>
    <w:rsid w:val="004C47B6"/>
    <w:rsid w:val="004C4EFE"/>
    <w:rsid w:val="004C5328"/>
    <w:rsid w:val="004C6374"/>
    <w:rsid w:val="004C6711"/>
    <w:rsid w:val="004D0BFA"/>
    <w:rsid w:val="004D11ED"/>
    <w:rsid w:val="004D33FE"/>
    <w:rsid w:val="004D4743"/>
    <w:rsid w:val="004D523F"/>
    <w:rsid w:val="004D56AE"/>
    <w:rsid w:val="004D5CC0"/>
    <w:rsid w:val="004D6671"/>
    <w:rsid w:val="004D71CA"/>
    <w:rsid w:val="004D7DFA"/>
    <w:rsid w:val="004E0EE9"/>
    <w:rsid w:val="004E1AD6"/>
    <w:rsid w:val="004E2107"/>
    <w:rsid w:val="004E2258"/>
    <w:rsid w:val="004E2936"/>
    <w:rsid w:val="004E293F"/>
    <w:rsid w:val="004E2992"/>
    <w:rsid w:val="004E2C52"/>
    <w:rsid w:val="004E2D37"/>
    <w:rsid w:val="004E2F4B"/>
    <w:rsid w:val="004E38F9"/>
    <w:rsid w:val="004E41E8"/>
    <w:rsid w:val="004E43A3"/>
    <w:rsid w:val="004E4E26"/>
    <w:rsid w:val="004E5A25"/>
    <w:rsid w:val="004E5C23"/>
    <w:rsid w:val="004E5C2A"/>
    <w:rsid w:val="004F1204"/>
    <w:rsid w:val="004F158A"/>
    <w:rsid w:val="004F190D"/>
    <w:rsid w:val="004F238A"/>
    <w:rsid w:val="004F277A"/>
    <w:rsid w:val="004F2ED1"/>
    <w:rsid w:val="004F3960"/>
    <w:rsid w:val="004F4CAC"/>
    <w:rsid w:val="004F6A71"/>
    <w:rsid w:val="004F72BD"/>
    <w:rsid w:val="004F7638"/>
    <w:rsid w:val="004F7831"/>
    <w:rsid w:val="004F7B3B"/>
    <w:rsid w:val="0050108D"/>
    <w:rsid w:val="005011F5"/>
    <w:rsid w:val="00501611"/>
    <w:rsid w:val="00501D3E"/>
    <w:rsid w:val="00502B16"/>
    <w:rsid w:val="00503D62"/>
    <w:rsid w:val="00503EFC"/>
    <w:rsid w:val="00504E55"/>
    <w:rsid w:val="00506152"/>
    <w:rsid w:val="00506163"/>
    <w:rsid w:val="00506982"/>
    <w:rsid w:val="0050792E"/>
    <w:rsid w:val="00507AA6"/>
    <w:rsid w:val="005101E2"/>
    <w:rsid w:val="00510633"/>
    <w:rsid w:val="00510970"/>
    <w:rsid w:val="00511843"/>
    <w:rsid w:val="00511B25"/>
    <w:rsid w:val="00512EF4"/>
    <w:rsid w:val="00513A35"/>
    <w:rsid w:val="00513D71"/>
    <w:rsid w:val="005147E0"/>
    <w:rsid w:val="00514AB6"/>
    <w:rsid w:val="005161AA"/>
    <w:rsid w:val="00516344"/>
    <w:rsid w:val="005164F4"/>
    <w:rsid w:val="005169E7"/>
    <w:rsid w:val="00516B14"/>
    <w:rsid w:val="00516EA1"/>
    <w:rsid w:val="00517139"/>
    <w:rsid w:val="00517217"/>
    <w:rsid w:val="0051779D"/>
    <w:rsid w:val="00521189"/>
    <w:rsid w:val="00522342"/>
    <w:rsid w:val="00522BA0"/>
    <w:rsid w:val="00523933"/>
    <w:rsid w:val="0052399C"/>
    <w:rsid w:val="00523D11"/>
    <w:rsid w:val="00525234"/>
    <w:rsid w:val="00526FDF"/>
    <w:rsid w:val="00527319"/>
    <w:rsid w:val="0052757F"/>
    <w:rsid w:val="005275BD"/>
    <w:rsid w:val="005279C9"/>
    <w:rsid w:val="00530004"/>
    <w:rsid w:val="0053018F"/>
    <w:rsid w:val="00530728"/>
    <w:rsid w:val="00531266"/>
    <w:rsid w:val="0053212F"/>
    <w:rsid w:val="00532609"/>
    <w:rsid w:val="00532DD2"/>
    <w:rsid w:val="0053359D"/>
    <w:rsid w:val="0053384B"/>
    <w:rsid w:val="00533A64"/>
    <w:rsid w:val="00534000"/>
    <w:rsid w:val="0053486B"/>
    <w:rsid w:val="00541409"/>
    <w:rsid w:val="005422C0"/>
    <w:rsid w:val="005433D1"/>
    <w:rsid w:val="0054406E"/>
    <w:rsid w:val="0054437B"/>
    <w:rsid w:val="0054498B"/>
    <w:rsid w:val="0054516D"/>
    <w:rsid w:val="00546867"/>
    <w:rsid w:val="00547F39"/>
    <w:rsid w:val="00550BD2"/>
    <w:rsid w:val="00550FE3"/>
    <w:rsid w:val="00551781"/>
    <w:rsid w:val="00551A14"/>
    <w:rsid w:val="00553061"/>
    <w:rsid w:val="00553238"/>
    <w:rsid w:val="00553B11"/>
    <w:rsid w:val="005564D5"/>
    <w:rsid w:val="00557764"/>
    <w:rsid w:val="0056041A"/>
    <w:rsid w:val="00560786"/>
    <w:rsid w:val="00561451"/>
    <w:rsid w:val="0056212B"/>
    <w:rsid w:val="0056286A"/>
    <w:rsid w:val="005637F0"/>
    <w:rsid w:val="0056486F"/>
    <w:rsid w:val="00564C1B"/>
    <w:rsid w:val="00566E02"/>
    <w:rsid w:val="00567CF2"/>
    <w:rsid w:val="00570AD3"/>
    <w:rsid w:val="00571094"/>
    <w:rsid w:val="0057122E"/>
    <w:rsid w:val="00571296"/>
    <w:rsid w:val="005722B3"/>
    <w:rsid w:val="00572AE8"/>
    <w:rsid w:val="00573E5B"/>
    <w:rsid w:val="005742E2"/>
    <w:rsid w:val="00574A91"/>
    <w:rsid w:val="00576B4B"/>
    <w:rsid w:val="00576B53"/>
    <w:rsid w:val="00580F60"/>
    <w:rsid w:val="005810BA"/>
    <w:rsid w:val="00581784"/>
    <w:rsid w:val="005831AC"/>
    <w:rsid w:val="005839E2"/>
    <w:rsid w:val="00584320"/>
    <w:rsid w:val="00585D34"/>
    <w:rsid w:val="0058659F"/>
    <w:rsid w:val="00586865"/>
    <w:rsid w:val="00586C54"/>
    <w:rsid w:val="00587110"/>
    <w:rsid w:val="0058720B"/>
    <w:rsid w:val="005878DD"/>
    <w:rsid w:val="005917F2"/>
    <w:rsid w:val="0059268E"/>
    <w:rsid w:val="00592C7E"/>
    <w:rsid w:val="00592F4E"/>
    <w:rsid w:val="005931C4"/>
    <w:rsid w:val="00593434"/>
    <w:rsid w:val="00593452"/>
    <w:rsid w:val="00593A80"/>
    <w:rsid w:val="00593BE6"/>
    <w:rsid w:val="00593FC3"/>
    <w:rsid w:val="005944D8"/>
    <w:rsid w:val="00594CCB"/>
    <w:rsid w:val="00594DAE"/>
    <w:rsid w:val="00595DF8"/>
    <w:rsid w:val="005966B4"/>
    <w:rsid w:val="00596D33"/>
    <w:rsid w:val="00597EBB"/>
    <w:rsid w:val="005A03EC"/>
    <w:rsid w:val="005A0BCC"/>
    <w:rsid w:val="005A1C93"/>
    <w:rsid w:val="005A207C"/>
    <w:rsid w:val="005A2537"/>
    <w:rsid w:val="005A2B89"/>
    <w:rsid w:val="005A30B8"/>
    <w:rsid w:val="005A31D9"/>
    <w:rsid w:val="005A374C"/>
    <w:rsid w:val="005A3B00"/>
    <w:rsid w:val="005A3C03"/>
    <w:rsid w:val="005A424B"/>
    <w:rsid w:val="005A4D85"/>
    <w:rsid w:val="005A6915"/>
    <w:rsid w:val="005A6BB7"/>
    <w:rsid w:val="005A70CD"/>
    <w:rsid w:val="005A7178"/>
    <w:rsid w:val="005A7320"/>
    <w:rsid w:val="005A7688"/>
    <w:rsid w:val="005A7814"/>
    <w:rsid w:val="005A7BC7"/>
    <w:rsid w:val="005B00EE"/>
    <w:rsid w:val="005B03C2"/>
    <w:rsid w:val="005B0AB9"/>
    <w:rsid w:val="005B145C"/>
    <w:rsid w:val="005B20E3"/>
    <w:rsid w:val="005B27C8"/>
    <w:rsid w:val="005B2EA1"/>
    <w:rsid w:val="005B4B9E"/>
    <w:rsid w:val="005B583B"/>
    <w:rsid w:val="005B623C"/>
    <w:rsid w:val="005B72C2"/>
    <w:rsid w:val="005C00AD"/>
    <w:rsid w:val="005C0FDA"/>
    <w:rsid w:val="005C1DA3"/>
    <w:rsid w:val="005C31CD"/>
    <w:rsid w:val="005C39E0"/>
    <w:rsid w:val="005C4A03"/>
    <w:rsid w:val="005C4DAB"/>
    <w:rsid w:val="005C4DE6"/>
    <w:rsid w:val="005C557E"/>
    <w:rsid w:val="005C785E"/>
    <w:rsid w:val="005C78F0"/>
    <w:rsid w:val="005D0B70"/>
    <w:rsid w:val="005D0ED9"/>
    <w:rsid w:val="005D1083"/>
    <w:rsid w:val="005D139A"/>
    <w:rsid w:val="005D1B51"/>
    <w:rsid w:val="005D2234"/>
    <w:rsid w:val="005D37EE"/>
    <w:rsid w:val="005D38FD"/>
    <w:rsid w:val="005D4B8D"/>
    <w:rsid w:val="005D4EE7"/>
    <w:rsid w:val="005D5BC0"/>
    <w:rsid w:val="005D6D2D"/>
    <w:rsid w:val="005D6E55"/>
    <w:rsid w:val="005E0A4B"/>
    <w:rsid w:val="005E108A"/>
    <w:rsid w:val="005E1212"/>
    <w:rsid w:val="005E12CC"/>
    <w:rsid w:val="005E1AEF"/>
    <w:rsid w:val="005E2390"/>
    <w:rsid w:val="005E34ED"/>
    <w:rsid w:val="005E3D6A"/>
    <w:rsid w:val="005E495F"/>
    <w:rsid w:val="005E4E0A"/>
    <w:rsid w:val="005F0583"/>
    <w:rsid w:val="005F0FE8"/>
    <w:rsid w:val="005F10C7"/>
    <w:rsid w:val="005F1825"/>
    <w:rsid w:val="005F2242"/>
    <w:rsid w:val="005F2323"/>
    <w:rsid w:val="005F24F7"/>
    <w:rsid w:val="005F2A44"/>
    <w:rsid w:val="005F44B8"/>
    <w:rsid w:val="005F47AF"/>
    <w:rsid w:val="005F4E66"/>
    <w:rsid w:val="005F5BE0"/>
    <w:rsid w:val="005F6204"/>
    <w:rsid w:val="005F6EA2"/>
    <w:rsid w:val="005F71A0"/>
    <w:rsid w:val="005F74E5"/>
    <w:rsid w:val="00600C18"/>
    <w:rsid w:val="00602B31"/>
    <w:rsid w:val="006046CC"/>
    <w:rsid w:val="00604C5D"/>
    <w:rsid w:val="0060516A"/>
    <w:rsid w:val="00605521"/>
    <w:rsid w:val="006055D1"/>
    <w:rsid w:val="00605777"/>
    <w:rsid w:val="00605AF7"/>
    <w:rsid w:val="006069DB"/>
    <w:rsid w:val="00607060"/>
    <w:rsid w:val="006074F5"/>
    <w:rsid w:val="00607EE6"/>
    <w:rsid w:val="00607F08"/>
    <w:rsid w:val="00610305"/>
    <w:rsid w:val="00610BEB"/>
    <w:rsid w:val="006110BE"/>
    <w:rsid w:val="00611760"/>
    <w:rsid w:val="006117A1"/>
    <w:rsid w:val="00611854"/>
    <w:rsid w:val="006127F1"/>
    <w:rsid w:val="006137F7"/>
    <w:rsid w:val="00613F44"/>
    <w:rsid w:val="006148EB"/>
    <w:rsid w:val="006150D5"/>
    <w:rsid w:val="00615F98"/>
    <w:rsid w:val="00617B33"/>
    <w:rsid w:val="00617DD6"/>
    <w:rsid w:val="0062029E"/>
    <w:rsid w:val="00620A21"/>
    <w:rsid w:val="00620FB4"/>
    <w:rsid w:val="0062100B"/>
    <w:rsid w:val="0062118C"/>
    <w:rsid w:val="006212BA"/>
    <w:rsid w:val="00621A3D"/>
    <w:rsid w:val="006230EF"/>
    <w:rsid w:val="00623130"/>
    <w:rsid w:val="00625C53"/>
    <w:rsid w:val="00625F58"/>
    <w:rsid w:val="006267F3"/>
    <w:rsid w:val="00626C5F"/>
    <w:rsid w:val="00627250"/>
    <w:rsid w:val="00627F10"/>
    <w:rsid w:val="00632CB2"/>
    <w:rsid w:val="00633202"/>
    <w:rsid w:val="00633E58"/>
    <w:rsid w:val="0063430F"/>
    <w:rsid w:val="006351A1"/>
    <w:rsid w:val="00636040"/>
    <w:rsid w:val="00636075"/>
    <w:rsid w:val="006367B0"/>
    <w:rsid w:val="006368A7"/>
    <w:rsid w:val="00636F2F"/>
    <w:rsid w:val="00637F84"/>
    <w:rsid w:val="00640DF7"/>
    <w:rsid w:val="006410E5"/>
    <w:rsid w:val="006420EC"/>
    <w:rsid w:val="00642525"/>
    <w:rsid w:val="0064258D"/>
    <w:rsid w:val="006428A4"/>
    <w:rsid w:val="0064312C"/>
    <w:rsid w:val="00644084"/>
    <w:rsid w:val="0064465A"/>
    <w:rsid w:val="00644753"/>
    <w:rsid w:val="00647C04"/>
    <w:rsid w:val="0065001F"/>
    <w:rsid w:val="006502A9"/>
    <w:rsid w:val="00650844"/>
    <w:rsid w:val="00651924"/>
    <w:rsid w:val="0065250A"/>
    <w:rsid w:val="00652A1A"/>
    <w:rsid w:val="00653061"/>
    <w:rsid w:val="0065362B"/>
    <w:rsid w:val="00653B08"/>
    <w:rsid w:val="00655B25"/>
    <w:rsid w:val="006579AB"/>
    <w:rsid w:val="00657ACC"/>
    <w:rsid w:val="00661728"/>
    <w:rsid w:val="006622ED"/>
    <w:rsid w:val="00662B33"/>
    <w:rsid w:val="0066365A"/>
    <w:rsid w:val="00663848"/>
    <w:rsid w:val="00663A45"/>
    <w:rsid w:val="00663E20"/>
    <w:rsid w:val="00663E52"/>
    <w:rsid w:val="00664412"/>
    <w:rsid w:val="00665BB6"/>
    <w:rsid w:val="00667F95"/>
    <w:rsid w:val="006701D0"/>
    <w:rsid w:val="00670395"/>
    <w:rsid w:val="006722F3"/>
    <w:rsid w:val="0067437C"/>
    <w:rsid w:val="006746FC"/>
    <w:rsid w:val="00674FC1"/>
    <w:rsid w:val="00675004"/>
    <w:rsid w:val="00675B56"/>
    <w:rsid w:val="00676BB2"/>
    <w:rsid w:val="006779B9"/>
    <w:rsid w:val="00681209"/>
    <w:rsid w:val="00683118"/>
    <w:rsid w:val="00684BC9"/>
    <w:rsid w:val="0068542E"/>
    <w:rsid w:val="006855C9"/>
    <w:rsid w:val="00686624"/>
    <w:rsid w:val="00687B5C"/>
    <w:rsid w:val="0069304D"/>
    <w:rsid w:val="006937A9"/>
    <w:rsid w:val="00694362"/>
    <w:rsid w:val="00694975"/>
    <w:rsid w:val="00695AB9"/>
    <w:rsid w:val="00696C93"/>
    <w:rsid w:val="00696E69"/>
    <w:rsid w:val="00696F97"/>
    <w:rsid w:val="00697CA3"/>
    <w:rsid w:val="006A0138"/>
    <w:rsid w:val="006A03F8"/>
    <w:rsid w:val="006A0425"/>
    <w:rsid w:val="006A04BB"/>
    <w:rsid w:val="006A3CE8"/>
    <w:rsid w:val="006A423B"/>
    <w:rsid w:val="006A4B36"/>
    <w:rsid w:val="006A51DA"/>
    <w:rsid w:val="006A5A3D"/>
    <w:rsid w:val="006B018B"/>
    <w:rsid w:val="006B0FC3"/>
    <w:rsid w:val="006B146C"/>
    <w:rsid w:val="006B181A"/>
    <w:rsid w:val="006B2387"/>
    <w:rsid w:val="006B32C8"/>
    <w:rsid w:val="006B3C3E"/>
    <w:rsid w:val="006B4590"/>
    <w:rsid w:val="006B507A"/>
    <w:rsid w:val="006B532A"/>
    <w:rsid w:val="006B6668"/>
    <w:rsid w:val="006B675B"/>
    <w:rsid w:val="006C0102"/>
    <w:rsid w:val="006C056A"/>
    <w:rsid w:val="006C0C2F"/>
    <w:rsid w:val="006C1CE1"/>
    <w:rsid w:val="006C1EF4"/>
    <w:rsid w:val="006C2275"/>
    <w:rsid w:val="006C28EB"/>
    <w:rsid w:val="006C3028"/>
    <w:rsid w:val="006C4541"/>
    <w:rsid w:val="006C45AB"/>
    <w:rsid w:val="006C56B9"/>
    <w:rsid w:val="006C6016"/>
    <w:rsid w:val="006C6B2D"/>
    <w:rsid w:val="006C7ED9"/>
    <w:rsid w:val="006D0932"/>
    <w:rsid w:val="006D09E3"/>
    <w:rsid w:val="006D2107"/>
    <w:rsid w:val="006D21C8"/>
    <w:rsid w:val="006D39DF"/>
    <w:rsid w:val="006D46DD"/>
    <w:rsid w:val="006D4830"/>
    <w:rsid w:val="006D51B1"/>
    <w:rsid w:val="006D603B"/>
    <w:rsid w:val="006D6543"/>
    <w:rsid w:val="006D686E"/>
    <w:rsid w:val="006D766C"/>
    <w:rsid w:val="006D7CE5"/>
    <w:rsid w:val="006D7D71"/>
    <w:rsid w:val="006E01F9"/>
    <w:rsid w:val="006E07CE"/>
    <w:rsid w:val="006E2C9F"/>
    <w:rsid w:val="006E3293"/>
    <w:rsid w:val="006E32FF"/>
    <w:rsid w:val="006E4801"/>
    <w:rsid w:val="006F0480"/>
    <w:rsid w:val="006F049A"/>
    <w:rsid w:val="006F0B47"/>
    <w:rsid w:val="006F2EB0"/>
    <w:rsid w:val="006F34B5"/>
    <w:rsid w:val="006F365B"/>
    <w:rsid w:val="006F48F0"/>
    <w:rsid w:val="006F4D99"/>
    <w:rsid w:val="006F550A"/>
    <w:rsid w:val="006F5982"/>
    <w:rsid w:val="006F59CE"/>
    <w:rsid w:val="006F5B68"/>
    <w:rsid w:val="006F5FEC"/>
    <w:rsid w:val="006F65B7"/>
    <w:rsid w:val="006F679A"/>
    <w:rsid w:val="006F6DCA"/>
    <w:rsid w:val="006F7955"/>
    <w:rsid w:val="006F7BD8"/>
    <w:rsid w:val="006F7EF0"/>
    <w:rsid w:val="00700FAA"/>
    <w:rsid w:val="00701130"/>
    <w:rsid w:val="007023C4"/>
    <w:rsid w:val="00702E27"/>
    <w:rsid w:val="00704792"/>
    <w:rsid w:val="00705B70"/>
    <w:rsid w:val="00706053"/>
    <w:rsid w:val="00706A2F"/>
    <w:rsid w:val="0070717E"/>
    <w:rsid w:val="007077A2"/>
    <w:rsid w:val="00711666"/>
    <w:rsid w:val="00711A23"/>
    <w:rsid w:val="00712CE6"/>
    <w:rsid w:val="0071650C"/>
    <w:rsid w:val="007204A4"/>
    <w:rsid w:val="00720BB1"/>
    <w:rsid w:val="00721FE0"/>
    <w:rsid w:val="00722749"/>
    <w:rsid w:val="007241D6"/>
    <w:rsid w:val="0072433D"/>
    <w:rsid w:val="00724DAC"/>
    <w:rsid w:val="0072547D"/>
    <w:rsid w:val="007257B2"/>
    <w:rsid w:val="007258D6"/>
    <w:rsid w:val="00727395"/>
    <w:rsid w:val="00727717"/>
    <w:rsid w:val="0073062A"/>
    <w:rsid w:val="007308B4"/>
    <w:rsid w:val="00731CE3"/>
    <w:rsid w:val="00732A9E"/>
    <w:rsid w:val="00732BAB"/>
    <w:rsid w:val="00732F75"/>
    <w:rsid w:val="007337FE"/>
    <w:rsid w:val="007350FE"/>
    <w:rsid w:val="00735958"/>
    <w:rsid w:val="00735FD9"/>
    <w:rsid w:val="0073614A"/>
    <w:rsid w:val="00736321"/>
    <w:rsid w:val="0073664C"/>
    <w:rsid w:val="00736975"/>
    <w:rsid w:val="00740366"/>
    <w:rsid w:val="00740823"/>
    <w:rsid w:val="00740E5D"/>
    <w:rsid w:val="007412A8"/>
    <w:rsid w:val="00741613"/>
    <w:rsid w:val="00743186"/>
    <w:rsid w:val="00743284"/>
    <w:rsid w:val="007439C5"/>
    <w:rsid w:val="00743E85"/>
    <w:rsid w:val="007449C3"/>
    <w:rsid w:val="0074566D"/>
    <w:rsid w:val="007469A1"/>
    <w:rsid w:val="00746CFB"/>
    <w:rsid w:val="007474DC"/>
    <w:rsid w:val="0074780E"/>
    <w:rsid w:val="007478BB"/>
    <w:rsid w:val="007510CC"/>
    <w:rsid w:val="007532EA"/>
    <w:rsid w:val="0075369F"/>
    <w:rsid w:val="00754959"/>
    <w:rsid w:val="00755735"/>
    <w:rsid w:val="00756E31"/>
    <w:rsid w:val="007571D0"/>
    <w:rsid w:val="0076027B"/>
    <w:rsid w:val="007604E5"/>
    <w:rsid w:val="00761FA1"/>
    <w:rsid w:val="0076264A"/>
    <w:rsid w:val="00763739"/>
    <w:rsid w:val="00764049"/>
    <w:rsid w:val="007643A1"/>
    <w:rsid w:val="00765F33"/>
    <w:rsid w:val="00767281"/>
    <w:rsid w:val="007711FA"/>
    <w:rsid w:val="00771EE3"/>
    <w:rsid w:val="007721F2"/>
    <w:rsid w:val="007723EF"/>
    <w:rsid w:val="00772DF9"/>
    <w:rsid w:val="00773E7D"/>
    <w:rsid w:val="007759A3"/>
    <w:rsid w:val="00777019"/>
    <w:rsid w:val="0077766F"/>
    <w:rsid w:val="00777A38"/>
    <w:rsid w:val="007802A0"/>
    <w:rsid w:val="007806B1"/>
    <w:rsid w:val="0078074B"/>
    <w:rsid w:val="0078084B"/>
    <w:rsid w:val="00780B2D"/>
    <w:rsid w:val="007813EB"/>
    <w:rsid w:val="007826BC"/>
    <w:rsid w:val="007827D6"/>
    <w:rsid w:val="00782BC4"/>
    <w:rsid w:val="007832A3"/>
    <w:rsid w:val="007832AE"/>
    <w:rsid w:val="00783C8B"/>
    <w:rsid w:val="007845C3"/>
    <w:rsid w:val="00784EBF"/>
    <w:rsid w:val="0078707D"/>
    <w:rsid w:val="0078723F"/>
    <w:rsid w:val="00787848"/>
    <w:rsid w:val="00790628"/>
    <w:rsid w:val="0079123A"/>
    <w:rsid w:val="007913A4"/>
    <w:rsid w:val="007924D8"/>
    <w:rsid w:val="00794337"/>
    <w:rsid w:val="00794C9B"/>
    <w:rsid w:val="00794D61"/>
    <w:rsid w:val="00794E20"/>
    <w:rsid w:val="00794EAF"/>
    <w:rsid w:val="007956FA"/>
    <w:rsid w:val="00796042"/>
    <w:rsid w:val="00796172"/>
    <w:rsid w:val="0079635D"/>
    <w:rsid w:val="00796733"/>
    <w:rsid w:val="007972EF"/>
    <w:rsid w:val="00797483"/>
    <w:rsid w:val="00797B1F"/>
    <w:rsid w:val="007A074A"/>
    <w:rsid w:val="007A1B23"/>
    <w:rsid w:val="007A1FED"/>
    <w:rsid w:val="007A2199"/>
    <w:rsid w:val="007A2330"/>
    <w:rsid w:val="007A274F"/>
    <w:rsid w:val="007A2853"/>
    <w:rsid w:val="007A2930"/>
    <w:rsid w:val="007A3B68"/>
    <w:rsid w:val="007A3D45"/>
    <w:rsid w:val="007A5CDB"/>
    <w:rsid w:val="007B0CFC"/>
    <w:rsid w:val="007B4836"/>
    <w:rsid w:val="007B792A"/>
    <w:rsid w:val="007C014F"/>
    <w:rsid w:val="007C02BB"/>
    <w:rsid w:val="007C1564"/>
    <w:rsid w:val="007C3D6F"/>
    <w:rsid w:val="007C50D5"/>
    <w:rsid w:val="007C538D"/>
    <w:rsid w:val="007C5C47"/>
    <w:rsid w:val="007C631D"/>
    <w:rsid w:val="007C68EA"/>
    <w:rsid w:val="007C72B2"/>
    <w:rsid w:val="007C7A5E"/>
    <w:rsid w:val="007C7F3C"/>
    <w:rsid w:val="007D03E5"/>
    <w:rsid w:val="007D056D"/>
    <w:rsid w:val="007D13A3"/>
    <w:rsid w:val="007D1C13"/>
    <w:rsid w:val="007D1FB1"/>
    <w:rsid w:val="007D1FB9"/>
    <w:rsid w:val="007D245E"/>
    <w:rsid w:val="007D497B"/>
    <w:rsid w:val="007D6533"/>
    <w:rsid w:val="007D722B"/>
    <w:rsid w:val="007D7692"/>
    <w:rsid w:val="007D78F4"/>
    <w:rsid w:val="007D7BAE"/>
    <w:rsid w:val="007E10AE"/>
    <w:rsid w:val="007E179D"/>
    <w:rsid w:val="007E20BF"/>
    <w:rsid w:val="007E312B"/>
    <w:rsid w:val="007E464F"/>
    <w:rsid w:val="007E4E58"/>
    <w:rsid w:val="007E5C33"/>
    <w:rsid w:val="007E6536"/>
    <w:rsid w:val="007E74B0"/>
    <w:rsid w:val="007E757C"/>
    <w:rsid w:val="007E77FB"/>
    <w:rsid w:val="007E7CFD"/>
    <w:rsid w:val="007F06A5"/>
    <w:rsid w:val="007F0801"/>
    <w:rsid w:val="007F097A"/>
    <w:rsid w:val="007F103D"/>
    <w:rsid w:val="007F120B"/>
    <w:rsid w:val="007F14AD"/>
    <w:rsid w:val="007F18D2"/>
    <w:rsid w:val="007F1D2F"/>
    <w:rsid w:val="007F1E23"/>
    <w:rsid w:val="007F2527"/>
    <w:rsid w:val="007F27DB"/>
    <w:rsid w:val="007F2B89"/>
    <w:rsid w:val="007F33C3"/>
    <w:rsid w:val="007F4398"/>
    <w:rsid w:val="007F485F"/>
    <w:rsid w:val="007F4944"/>
    <w:rsid w:val="007F4C82"/>
    <w:rsid w:val="007F4CA3"/>
    <w:rsid w:val="007F5F56"/>
    <w:rsid w:val="007F632D"/>
    <w:rsid w:val="007F659A"/>
    <w:rsid w:val="007F6D0D"/>
    <w:rsid w:val="007F6F0F"/>
    <w:rsid w:val="007F777C"/>
    <w:rsid w:val="007F7D90"/>
    <w:rsid w:val="007F7F07"/>
    <w:rsid w:val="00800997"/>
    <w:rsid w:val="00800B8D"/>
    <w:rsid w:val="00800F4A"/>
    <w:rsid w:val="008018B9"/>
    <w:rsid w:val="00801F25"/>
    <w:rsid w:val="00802742"/>
    <w:rsid w:val="00802A0D"/>
    <w:rsid w:val="008037C0"/>
    <w:rsid w:val="00803CD7"/>
    <w:rsid w:val="00804609"/>
    <w:rsid w:val="00804D33"/>
    <w:rsid w:val="00805B04"/>
    <w:rsid w:val="00807CE4"/>
    <w:rsid w:val="008108E6"/>
    <w:rsid w:val="0081092F"/>
    <w:rsid w:val="00810D0B"/>
    <w:rsid w:val="0081290E"/>
    <w:rsid w:val="00813B73"/>
    <w:rsid w:val="00814593"/>
    <w:rsid w:val="008154C7"/>
    <w:rsid w:val="00816A34"/>
    <w:rsid w:val="008176A5"/>
    <w:rsid w:val="008179DA"/>
    <w:rsid w:val="0082062B"/>
    <w:rsid w:val="00820E64"/>
    <w:rsid w:val="00821473"/>
    <w:rsid w:val="00821D7B"/>
    <w:rsid w:val="00821E63"/>
    <w:rsid w:val="00824F7D"/>
    <w:rsid w:val="0082654E"/>
    <w:rsid w:val="00826F21"/>
    <w:rsid w:val="00827150"/>
    <w:rsid w:val="0083018E"/>
    <w:rsid w:val="008305ED"/>
    <w:rsid w:val="00830B33"/>
    <w:rsid w:val="00831C5E"/>
    <w:rsid w:val="008327AF"/>
    <w:rsid w:val="008332A1"/>
    <w:rsid w:val="008343AB"/>
    <w:rsid w:val="00834422"/>
    <w:rsid w:val="00834932"/>
    <w:rsid w:val="00835077"/>
    <w:rsid w:val="008361BD"/>
    <w:rsid w:val="00836AB3"/>
    <w:rsid w:val="00836CBE"/>
    <w:rsid w:val="00837D77"/>
    <w:rsid w:val="00840810"/>
    <w:rsid w:val="008409A8"/>
    <w:rsid w:val="00842C66"/>
    <w:rsid w:val="008440AA"/>
    <w:rsid w:val="00844799"/>
    <w:rsid w:val="00844FDF"/>
    <w:rsid w:val="0084527E"/>
    <w:rsid w:val="008452B0"/>
    <w:rsid w:val="0084664C"/>
    <w:rsid w:val="0084694C"/>
    <w:rsid w:val="008469A7"/>
    <w:rsid w:val="00846C7F"/>
    <w:rsid w:val="0084752F"/>
    <w:rsid w:val="008477DE"/>
    <w:rsid w:val="00847CE2"/>
    <w:rsid w:val="00850902"/>
    <w:rsid w:val="0085151E"/>
    <w:rsid w:val="00851E37"/>
    <w:rsid w:val="00852456"/>
    <w:rsid w:val="0085250F"/>
    <w:rsid w:val="008529BD"/>
    <w:rsid w:val="00852E45"/>
    <w:rsid w:val="008540F9"/>
    <w:rsid w:val="00854171"/>
    <w:rsid w:val="00854398"/>
    <w:rsid w:val="008543E4"/>
    <w:rsid w:val="00854646"/>
    <w:rsid w:val="008552D9"/>
    <w:rsid w:val="00857715"/>
    <w:rsid w:val="00857967"/>
    <w:rsid w:val="008602B4"/>
    <w:rsid w:val="008605B6"/>
    <w:rsid w:val="00861303"/>
    <w:rsid w:val="00861B8C"/>
    <w:rsid w:val="00862EC8"/>
    <w:rsid w:val="00863666"/>
    <w:rsid w:val="00863D05"/>
    <w:rsid w:val="008644ED"/>
    <w:rsid w:val="00865706"/>
    <w:rsid w:val="00865BBE"/>
    <w:rsid w:val="00866157"/>
    <w:rsid w:val="00866B35"/>
    <w:rsid w:val="00867609"/>
    <w:rsid w:val="00867DC2"/>
    <w:rsid w:val="00870318"/>
    <w:rsid w:val="00871BE4"/>
    <w:rsid w:val="0087222B"/>
    <w:rsid w:val="00873160"/>
    <w:rsid w:val="00874263"/>
    <w:rsid w:val="008743BA"/>
    <w:rsid w:val="00875838"/>
    <w:rsid w:val="008773AA"/>
    <w:rsid w:val="00877F0B"/>
    <w:rsid w:val="008804C4"/>
    <w:rsid w:val="00880F11"/>
    <w:rsid w:val="008811CF"/>
    <w:rsid w:val="00881590"/>
    <w:rsid w:val="0088183E"/>
    <w:rsid w:val="00883B32"/>
    <w:rsid w:val="0088484E"/>
    <w:rsid w:val="00885D63"/>
    <w:rsid w:val="0088683E"/>
    <w:rsid w:val="00887337"/>
    <w:rsid w:val="00887A2A"/>
    <w:rsid w:val="008916D6"/>
    <w:rsid w:val="00893483"/>
    <w:rsid w:val="00893A2D"/>
    <w:rsid w:val="00894572"/>
    <w:rsid w:val="00894D25"/>
    <w:rsid w:val="00894F3D"/>
    <w:rsid w:val="0089540A"/>
    <w:rsid w:val="00896124"/>
    <w:rsid w:val="0089796E"/>
    <w:rsid w:val="008A0977"/>
    <w:rsid w:val="008A09D6"/>
    <w:rsid w:val="008A19CB"/>
    <w:rsid w:val="008A2923"/>
    <w:rsid w:val="008A2C0F"/>
    <w:rsid w:val="008A44AE"/>
    <w:rsid w:val="008A5AC7"/>
    <w:rsid w:val="008A5FE2"/>
    <w:rsid w:val="008A62A1"/>
    <w:rsid w:val="008A6D03"/>
    <w:rsid w:val="008B12D5"/>
    <w:rsid w:val="008B2987"/>
    <w:rsid w:val="008B29B4"/>
    <w:rsid w:val="008B2BB1"/>
    <w:rsid w:val="008B2DAA"/>
    <w:rsid w:val="008B302F"/>
    <w:rsid w:val="008B37F3"/>
    <w:rsid w:val="008B407D"/>
    <w:rsid w:val="008B4648"/>
    <w:rsid w:val="008B47C2"/>
    <w:rsid w:val="008B4D37"/>
    <w:rsid w:val="008B5024"/>
    <w:rsid w:val="008B5509"/>
    <w:rsid w:val="008B585F"/>
    <w:rsid w:val="008B759F"/>
    <w:rsid w:val="008C057A"/>
    <w:rsid w:val="008C0D65"/>
    <w:rsid w:val="008C191F"/>
    <w:rsid w:val="008C2BF9"/>
    <w:rsid w:val="008C2FCD"/>
    <w:rsid w:val="008C32D6"/>
    <w:rsid w:val="008C39AB"/>
    <w:rsid w:val="008C4A22"/>
    <w:rsid w:val="008C4A93"/>
    <w:rsid w:val="008C4D23"/>
    <w:rsid w:val="008C4F4A"/>
    <w:rsid w:val="008C535F"/>
    <w:rsid w:val="008C6AB6"/>
    <w:rsid w:val="008C6DC4"/>
    <w:rsid w:val="008C73F3"/>
    <w:rsid w:val="008C7479"/>
    <w:rsid w:val="008C781B"/>
    <w:rsid w:val="008C7872"/>
    <w:rsid w:val="008D02FE"/>
    <w:rsid w:val="008D0690"/>
    <w:rsid w:val="008D0916"/>
    <w:rsid w:val="008D0B28"/>
    <w:rsid w:val="008D0C4B"/>
    <w:rsid w:val="008D0EE0"/>
    <w:rsid w:val="008D11BF"/>
    <w:rsid w:val="008D25E0"/>
    <w:rsid w:val="008D299F"/>
    <w:rsid w:val="008D3546"/>
    <w:rsid w:val="008D3A9D"/>
    <w:rsid w:val="008D3B09"/>
    <w:rsid w:val="008D4121"/>
    <w:rsid w:val="008D5653"/>
    <w:rsid w:val="008D6C48"/>
    <w:rsid w:val="008D6E0E"/>
    <w:rsid w:val="008D773F"/>
    <w:rsid w:val="008E00D2"/>
    <w:rsid w:val="008E03EF"/>
    <w:rsid w:val="008E062E"/>
    <w:rsid w:val="008E0F46"/>
    <w:rsid w:val="008E1912"/>
    <w:rsid w:val="008E19BA"/>
    <w:rsid w:val="008E23BF"/>
    <w:rsid w:val="008E3125"/>
    <w:rsid w:val="008E3766"/>
    <w:rsid w:val="008E3893"/>
    <w:rsid w:val="008E45CB"/>
    <w:rsid w:val="008E6AF5"/>
    <w:rsid w:val="008E75E1"/>
    <w:rsid w:val="008E77AC"/>
    <w:rsid w:val="008F004C"/>
    <w:rsid w:val="008F1E42"/>
    <w:rsid w:val="008F1F2F"/>
    <w:rsid w:val="008F20D7"/>
    <w:rsid w:val="008F384F"/>
    <w:rsid w:val="008F3C44"/>
    <w:rsid w:val="008F4604"/>
    <w:rsid w:val="008F5EA2"/>
    <w:rsid w:val="008F692E"/>
    <w:rsid w:val="00900B71"/>
    <w:rsid w:val="00900E95"/>
    <w:rsid w:val="0090166F"/>
    <w:rsid w:val="00901D48"/>
    <w:rsid w:val="009026BB"/>
    <w:rsid w:val="00902C5E"/>
    <w:rsid w:val="00903027"/>
    <w:rsid w:val="00903232"/>
    <w:rsid w:val="00903418"/>
    <w:rsid w:val="00903B14"/>
    <w:rsid w:val="00903E44"/>
    <w:rsid w:val="0090418B"/>
    <w:rsid w:val="00904238"/>
    <w:rsid w:val="00904B6B"/>
    <w:rsid w:val="00904E5F"/>
    <w:rsid w:val="00905244"/>
    <w:rsid w:val="00905787"/>
    <w:rsid w:val="009075E8"/>
    <w:rsid w:val="0090799F"/>
    <w:rsid w:val="009104C4"/>
    <w:rsid w:val="00911663"/>
    <w:rsid w:val="00911784"/>
    <w:rsid w:val="0091199C"/>
    <w:rsid w:val="009121E7"/>
    <w:rsid w:val="00912C62"/>
    <w:rsid w:val="0091362E"/>
    <w:rsid w:val="009137D7"/>
    <w:rsid w:val="009141CB"/>
    <w:rsid w:val="00914978"/>
    <w:rsid w:val="00914B54"/>
    <w:rsid w:val="00914FE9"/>
    <w:rsid w:val="00915204"/>
    <w:rsid w:val="00915504"/>
    <w:rsid w:val="0091582B"/>
    <w:rsid w:val="0091649E"/>
    <w:rsid w:val="009167E8"/>
    <w:rsid w:val="009217C5"/>
    <w:rsid w:val="00921E08"/>
    <w:rsid w:val="0092207B"/>
    <w:rsid w:val="009222DB"/>
    <w:rsid w:val="00922C8C"/>
    <w:rsid w:val="00922CF6"/>
    <w:rsid w:val="0092355F"/>
    <w:rsid w:val="00924742"/>
    <w:rsid w:val="00925194"/>
    <w:rsid w:val="00925E4E"/>
    <w:rsid w:val="009268AB"/>
    <w:rsid w:val="00926E6D"/>
    <w:rsid w:val="00926FC3"/>
    <w:rsid w:val="00927281"/>
    <w:rsid w:val="00927E5A"/>
    <w:rsid w:val="00930DED"/>
    <w:rsid w:val="00931600"/>
    <w:rsid w:val="00931959"/>
    <w:rsid w:val="00931ACC"/>
    <w:rsid w:val="0093343B"/>
    <w:rsid w:val="00935370"/>
    <w:rsid w:val="0093550D"/>
    <w:rsid w:val="009356D6"/>
    <w:rsid w:val="00935A88"/>
    <w:rsid w:val="009360E2"/>
    <w:rsid w:val="00936683"/>
    <w:rsid w:val="009376C4"/>
    <w:rsid w:val="0093792D"/>
    <w:rsid w:val="0094006D"/>
    <w:rsid w:val="009414DB"/>
    <w:rsid w:val="0094319F"/>
    <w:rsid w:val="00944803"/>
    <w:rsid w:val="00944F0A"/>
    <w:rsid w:val="00946758"/>
    <w:rsid w:val="00947EF0"/>
    <w:rsid w:val="00950351"/>
    <w:rsid w:val="009503F3"/>
    <w:rsid w:val="00950D29"/>
    <w:rsid w:val="009512DE"/>
    <w:rsid w:val="00951650"/>
    <w:rsid w:val="00951809"/>
    <w:rsid w:val="00951AC9"/>
    <w:rsid w:val="00951C7D"/>
    <w:rsid w:val="00953233"/>
    <w:rsid w:val="009539DB"/>
    <w:rsid w:val="0095595D"/>
    <w:rsid w:val="00956926"/>
    <w:rsid w:val="00956F1C"/>
    <w:rsid w:val="00956FB6"/>
    <w:rsid w:val="00957400"/>
    <w:rsid w:val="00960879"/>
    <w:rsid w:val="00960E1C"/>
    <w:rsid w:val="0096144D"/>
    <w:rsid w:val="009614B5"/>
    <w:rsid w:val="00961587"/>
    <w:rsid w:val="009623EB"/>
    <w:rsid w:val="00962AB5"/>
    <w:rsid w:val="00963601"/>
    <w:rsid w:val="009644CD"/>
    <w:rsid w:val="009659D2"/>
    <w:rsid w:val="0097207D"/>
    <w:rsid w:val="00973C51"/>
    <w:rsid w:val="00973CC9"/>
    <w:rsid w:val="00974448"/>
    <w:rsid w:val="00974FC1"/>
    <w:rsid w:val="009750C7"/>
    <w:rsid w:val="009751AD"/>
    <w:rsid w:val="0097562D"/>
    <w:rsid w:val="009760C2"/>
    <w:rsid w:val="00976B06"/>
    <w:rsid w:val="00976FC2"/>
    <w:rsid w:val="0097702C"/>
    <w:rsid w:val="009770FE"/>
    <w:rsid w:val="00977DED"/>
    <w:rsid w:val="00980131"/>
    <w:rsid w:val="00980EE7"/>
    <w:rsid w:val="009814C1"/>
    <w:rsid w:val="00981A18"/>
    <w:rsid w:val="00981C07"/>
    <w:rsid w:val="00983B18"/>
    <w:rsid w:val="00983FA0"/>
    <w:rsid w:val="00984B61"/>
    <w:rsid w:val="009851E1"/>
    <w:rsid w:val="0098561E"/>
    <w:rsid w:val="00985B85"/>
    <w:rsid w:val="00985C4B"/>
    <w:rsid w:val="00986BF4"/>
    <w:rsid w:val="00987C1F"/>
    <w:rsid w:val="00990DBC"/>
    <w:rsid w:val="009910DB"/>
    <w:rsid w:val="009921BB"/>
    <w:rsid w:val="00993C79"/>
    <w:rsid w:val="00994340"/>
    <w:rsid w:val="009945A9"/>
    <w:rsid w:val="0099476B"/>
    <w:rsid w:val="009949D1"/>
    <w:rsid w:val="0099676F"/>
    <w:rsid w:val="00997579"/>
    <w:rsid w:val="009975D9"/>
    <w:rsid w:val="009A0C1F"/>
    <w:rsid w:val="009A26D3"/>
    <w:rsid w:val="009A3275"/>
    <w:rsid w:val="009A3850"/>
    <w:rsid w:val="009A4350"/>
    <w:rsid w:val="009A4D0E"/>
    <w:rsid w:val="009A7355"/>
    <w:rsid w:val="009A73D5"/>
    <w:rsid w:val="009A746C"/>
    <w:rsid w:val="009B02A3"/>
    <w:rsid w:val="009B0DB8"/>
    <w:rsid w:val="009B0DCB"/>
    <w:rsid w:val="009B1FB8"/>
    <w:rsid w:val="009B2060"/>
    <w:rsid w:val="009B3013"/>
    <w:rsid w:val="009B34E5"/>
    <w:rsid w:val="009B4455"/>
    <w:rsid w:val="009B5018"/>
    <w:rsid w:val="009B71DD"/>
    <w:rsid w:val="009B7888"/>
    <w:rsid w:val="009C0249"/>
    <w:rsid w:val="009C0651"/>
    <w:rsid w:val="009C0C9C"/>
    <w:rsid w:val="009C103B"/>
    <w:rsid w:val="009C17C2"/>
    <w:rsid w:val="009C1837"/>
    <w:rsid w:val="009C1A14"/>
    <w:rsid w:val="009C1ECB"/>
    <w:rsid w:val="009C294F"/>
    <w:rsid w:val="009C2D8E"/>
    <w:rsid w:val="009C3491"/>
    <w:rsid w:val="009C357D"/>
    <w:rsid w:val="009C3A9E"/>
    <w:rsid w:val="009C421E"/>
    <w:rsid w:val="009C447D"/>
    <w:rsid w:val="009C4BE7"/>
    <w:rsid w:val="009C4EDA"/>
    <w:rsid w:val="009C60E6"/>
    <w:rsid w:val="009C63EA"/>
    <w:rsid w:val="009C63EB"/>
    <w:rsid w:val="009C75A6"/>
    <w:rsid w:val="009C7A3D"/>
    <w:rsid w:val="009C7F2D"/>
    <w:rsid w:val="009D0835"/>
    <w:rsid w:val="009D1516"/>
    <w:rsid w:val="009D196A"/>
    <w:rsid w:val="009D29BA"/>
    <w:rsid w:val="009D2D41"/>
    <w:rsid w:val="009D2D82"/>
    <w:rsid w:val="009D3944"/>
    <w:rsid w:val="009D3E8A"/>
    <w:rsid w:val="009D4823"/>
    <w:rsid w:val="009D49D4"/>
    <w:rsid w:val="009D5386"/>
    <w:rsid w:val="009D60BC"/>
    <w:rsid w:val="009D6B1F"/>
    <w:rsid w:val="009D71FD"/>
    <w:rsid w:val="009D7925"/>
    <w:rsid w:val="009D7C64"/>
    <w:rsid w:val="009D7E9E"/>
    <w:rsid w:val="009E0412"/>
    <w:rsid w:val="009E09C3"/>
    <w:rsid w:val="009E0C0C"/>
    <w:rsid w:val="009E0E9E"/>
    <w:rsid w:val="009E1B0A"/>
    <w:rsid w:val="009E1E14"/>
    <w:rsid w:val="009E2780"/>
    <w:rsid w:val="009E2C2B"/>
    <w:rsid w:val="009E56C5"/>
    <w:rsid w:val="009E647D"/>
    <w:rsid w:val="009F0CBE"/>
    <w:rsid w:val="009F1721"/>
    <w:rsid w:val="009F1FF6"/>
    <w:rsid w:val="009F2171"/>
    <w:rsid w:val="009F2698"/>
    <w:rsid w:val="009F28D3"/>
    <w:rsid w:val="009F45DE"/>
    <w:rsid w:val="009F6532"/>
    <w:rsid w:val="009F6D7C"/>
    <w:rsid w:val="009F7992"/>
    <w:rsid w:val="00A00A68"/>
    <w:rsid w:val="00A01016"/>
    <w:rsid w:val="00A04322"/>
    <w:rsid w:val="00A050BD"/>
    <w:rsid w:val="00A06E5A"/>
    <w:rsid w:val="00A0708C"/>
    <w:rsid w:val="00A07110"/>
    <w:rsid w:val="00A07227"/>
    <w:rsid w:val="00A0751B"/>
    <w:rsid w:val="00A079C7"/>
    <w:rsid w:val="00A10C7A"/>
    <w:rsid w:val="00A11D52"/>
    <w:rsid w:val="00A1278C"/>
    <w:rsid w:val="00A133B5"/>
    <w:rsid w:val="00A1394A"/>
    <w:rsid w:val="00A13A11"/>
    <w:rsid w:val="00A1407C"/>
    <w:rsid w:val="00A14EB8"/>
    <w:rsid w:val="00A152E5"/>
    <w:rsid w:val="00A17318"/>
    <w:rsid w:val="00A1743E"/>
    <w:rsid w:val="00A20699"/>
    <w:rsid w:val="00A218FA"/>
    <w:rsid w:val="00A21968"/>
    <w:rsid w:val="00A21D03"/>
    <w:rsid w:val="00A22155"/>
    <w:rsid w:val="00A221A7"/>
    <w:rsid w:val="00A2256A"/>
    <w:rsid w:val="00A22705"/>
    <w:rsid w:val="00A22796"/>
    <w:rsid w:val="00A24066"/>
    <w:rsid w:val="00A2460E"/>
    <w:rsid w:val="00A2502E"/>
    <w:rsid w:val="00A25073"/>
    <w:rsid w:val="00A2543D"/>
    <w:rsid w:val="00A26C45"/>
    <w:rsid w:val="00A3021B"/>
    <w:rsid w:val="00A32384"/>
    <w:rsid w:val="00A323EB"/>
    <w:rsid w:val="00A32839"/>
    <w:rsid w:val="00A33794"/>
    <w:rsid w:val="00A34764"/>
    <w:rsid w:val="00A34F88"/>
    <w:rsid w:val="00A35A2F"/>
    <w:rsid w:val="00A35DB7"/>
    <w:rsid w:val="00A4047A"/>
    <w:rsid w:val="00A40EEA"/>
    <w:rsid w:val="00A41531"/>
    <w:rsid w:val="00A4228B"/>
    <w:rsid w:val="00A4354A"/>
    <w:rsid w:val="00A43630"/>
    <w:rsid w:val="00A43FA5"/>
    <w:rsid w:val="00A45421"/>
    <w:rsid w:val="00A45861"/>
    <w:rsid w:val="00A45E5B"/>
    <w:rsid w:val="00A470E1"/>
    <w:rsid w:val="00A50380"/>
    <w:rsid w:val="00A50557"/>
    <w:rsid w:val="00A50DC8"/>
    <w:rsid w:val="00A50F13"/>
    <w:rsid w:val="00A537D0"/>
    <w:rsid w:val="00A543F2"/>
    <w:rsid w:val="00A54EE1"/>
    <w:rsid w:val="00A57241"/>
    <w:rsid w:val="00A57412"/>
    <w:rsid w:val="00A60100"/>
    <w:rsid w:val="00A60220"/>
    <w:rsid w:val="00A60273"/>
    <w:rsid w:val="00A624D2"/>
    <w:rsid w:val="00A63C81"/>
    <w:rsid w:val="00A649C7"/>
    <w:rsid w:val="00A64A18"/>
    <w:rsid w:val="00A64A95"/>
    <w:rsid w:val="00A65D0E"/>
    <w:rsid w:val="00A66A54"/>
    <w:rsid w:val="00A675EB"/>
    <w:rsid w:val="00A677BA"/>
    <w:rsid w:val="00A67E64"/>
    <w:rsid w:val="00A70EC5"/>
    <w:rsid w:val="00A7182F"/>
    <w:rsid w:val="00A71A4B"/>
    <w:rsid w:val="00A72347"/>
    <w:rsid w:val="00A73611"/>
    <w:rsid w:val="00A74255"/>
    <w:rsid w:val="00A74306"/>
    <w:rsid w:val="00A7507B"/>
    <w:rsid w:val="00A75667"/>
    <w:rsid w:val="00A75A26"/>
    <w:rsid w:val="00A76450"/>
    <w:rsid w:val="00A7649D"/>
    <w:rsid w:val="00A76529"/>
    <w:rsid w:val="00A76A5B"/>
    <w:rsid w:val="00A80E1E"/>
    <w:rsid w:val="00A813F0"/>
    <w:rsid w:val="00A82402"/>
    <w:rsid w:val="00A82EC1"/>
    <w:rsid w:val="00A852EC"/>
    <w:rsid w:val="00A855D7"/>
    <w:rsid w:val="00A85D11"/>
    <w:rsid w:val="00A862D3"/>
    <w:rsid w:val="00A90031"/>
    <w:rsid w:val="00A900DF"/>
    <w:rsid w:val="00A90345"/>
    <w:rsid w:val="00A907A6"/>
    <w:rsid w:val="00A90F04"/>
    <w:rsid w:val="00A9156D"/>
    <w:rsid w:val="00A917CF"/>
    <w:rsid w:val="00A91D26"/>
    <w:rsid w:val="00A91DBC"/>
    <w:rsid w:val="00A91DE5"/>
    <w:rsid w:val="00A92BB0"/>
    <w:rsid w:val="00A94178"/>
    <w:rsid w:val="00A94552"/>
    <w:rsid w:val="00A94EA7"/>
    <w:rsid w:val="00A95926"/>
    <w:rsid w:val="00A95B33"/>
    <w:rsid w:val="00A96294"/>
    <w:rsid w:val="00A96A1D"/>
    <w:rsid w:val="00AA040A"/>
    <w:rsid w:val="00AA0467"/>
    <w:rsid w:val="00AA100E"/>
    <w:rsid w:val="00AA1056"/>
    <w:rsid w:val="00AA1168"/>
    <w:rsid w:val="00AA2143"/>
    <w:rsid w:val="00AA2381"/>
    <w:rsid w:val="00AA23E3"/>
    <w:rsid w:val="00AA277E"/>
    <w:rsid w:val="00AA2B7A"/>
    <w:rsid w:val="00AA35C7"/>
    <w:rsid w:val="00AA3D66"/>
    <w:rsid w:val="00AA4726"/>
    <w:rsid w:val="00AA4BA3"/>
    <w:rsid w:val="00AA5BB4"/>
    <w:rsid w:val="00AA6101"/>
    <w:rsid w:val="00AA795D"/>
    <w:rsid w:val="00AB1165"/>
    <w:rsid w:val="00AB148B"/>
    <w:rsid w:val="00AB15AA"/>
    <w:rsid w:val="00AB22B9"/>
    <w:rsid w:val="00AB3423"/>
    <w:rsid w:val="00AB3894"/>
    <w:rsid w:val="00AB61EC"/>
    <w:rsid w:val="00AB65B0"/>
    <w:rsid w:val="00AB7564"/>
    <w:rsid w:val="00AB7B5F"/>
    <w:rsid w:val="00AC06E2"/>
    <w:rsid w:val="00AC0DC9"/>
    <w:rsid w:val="00AC21CE"/>
    <w:rsid w:val="00AC27AA"/>
    <w:rsid w:val="00AC30B2"/>
    <w:rsid w:val="00AC3637"/>
    <w:rsid w:val="00AC3BC8"/>
    <w:rsid w:val="00AC4071"/>
    <w:rsid w:val="00AC4978"/>
    <w:rsid w:val="00AC5255"/>
    <w:rsid w:val="00AC5737"/>
    <w:rsid w:val="00AC57B7"/>
    <w:rsid w:val="00AC58E1"/>
    <w:rsid w:val="00AC5A68"/>
    <w:rsid w:val="00AC6330"/>
    <w:rsid w:val="00AC65F5"/>
    <w:rsid w:val="00AC759D"/>
    <w:rsid w:val="00AD01AD"/>
    <w:rsid w:val="00AD0742"/>
    <w:rsid w:val="00AD0B98"/>
    <w:rsid w:val="00AD1FF0"/>
    <w:rsid w:val="00AD22B9"/>
    <w:rsid w:val="00AD4040"/>
    <w:rsid w:val="00AD6BD2"/>
    <w:rsid w:val="00AD7608"/>
    <w:rsid w:val="00AD7621"/>
    <w:rsid w:val="00AD7DB6"/>
    <w:rsid w:val="00AE0143"/>
    <w:rsid w:val="00AE0AFE"/>
    <w:rsid w:val="00AE1771"/>
    <w:rsid w:val="00AE1DF4"/>
    <w:rsid w:val="00AE20DD"/>
    <w:rsid w:val="00AE278F"/>
    <w:rsid w:val="00AE3384"/>
    <w:rsid w:val="00AE3641"/>
    <w:rsid w:val="00AE394F"/>
    <w:rsid w:val="00AE42FA"/>
    <w:rsid w:val="00AE4E65"/>
    <w:rsid w:val="00AE523D"/>
    <w:rsid w:val="00AE5C2B"/>
    <w:rsid w:val="00AE5E6A"/>
    <w:rsid w:val="00AE6270"/>
    <w:rsid w:val="00AE7397"/>
    <w:rsid w:val="00AF11FA"/>
    <w:rsid w:val="00AF1431"/>
    <w:rsid w:val="00AF1633"/>
    <w:rsid w:val="00AF184D"/>
    <w:rsid w:val="00AF2628"/>
    <w:rsid w:val="00AF2911"/>
    <w:rsid w:val="00AF2D4F"/>
    <w:rsid w:val="00AF3516"/>
    <w:rsid w:val="00AF4AB5"/>
    <w:rsid w:val="00AF56A9"/>
    <w:rsid w:val="00AF5E4E"/>
    <w:rsid w:val="00AF6D57"/>
    <w:rsid w:val="00AF6E55"/>
    <w:rsid w:val="00AF79C9"/>
    <w:rsid w:val="00AF7EC9"/>
    <w:rsid w:val="00B0097B"/>
    <w:rsid w:val="00B038D9"/>
    <w:rsid w:val="00B04013"/>
    <w:rsid w:val="00B04401"/>
    <w:rsid w:val="00B06AD6"/>
    <w:rsid w:val="00B06AE9"/>
    <w:rsid w:val="00B06D54"/>
    <w:rsid w:val="00B0713E"/>
    <w:rsid w:val="00B105A5"/>
    <w:rsid w:val="00B107C4"/>
    <w:rsid w:val="00B10B6A"/>
    <w:rsid w:val="00B10EEB"/>
    <w:rsid w:val="00B1248E"/>
    <w:rsid w:val="00B126DF"/>
    <w:rsid w:val="00B1367D"/>
    <w:rsid w:val="00B14340"/>
    <w:rsid w:val="00B147E0"/>
    <w:rsid w:val="00B17032"/>
    <w:rsid w:val="00B17536"/>
    <w:rsid w:val="00B2084F"/>
    <w:rsid w:val="00B20DC5"/>
    <w:rsid w:val="00B229F8"/>
    <w:rsid w:val="00B23967"/>
    <w:rsid w:val="00B24917"/>
    <w:rsid w:val="00B256B2"/>
    <w:rsid w:val="00B257FE"/>
    <w:rsid w:val="00B25993"/>
    <w:rsid w:val="00B30047"/>
    <w:rsid w:val="00B301A1"/>
    <w:rsid w:val="00B30C58"/>
    <w:rsid w:val="00B34888"/>
    <w:rsid w:val="00B34A54"/>
    <w:rsid w:val="00B3531E"/>
    <w:rsid w:val="00B3561F"/>
    <w:rsid w:val="00B35D8E"/>
    <w:rsid w:val="00B36BFF"/>
    <w:rsid w:val="00B36EE4"/>
    <w:rsid w:val="00B3723E"/>
    <w:rsid w:val="00B373E8"/>
    <w:rsid w:val="00B4063E"/>
    <w:rsid w:val="00B40FD7"/>
    <w:rsid w:val="00B41353"/>
    <w:rsid w:val="00B414D0"/>
    <w:rsid w:val="00B41B6D"/>
    <w:rsid w:val="00B41D2D"/>
    <w:rsid w:val="00B42AAB"/>
    <w:rsid w:val="00B42CA5"/>
    <w:rsid w:val="00B42EA3"/>
    <w:rsid w:val="00B42F23"/>
    <w:rsid w:val="00B4314C"/>
    <w:rsid w:val="00B432A2"/>
    <w:rsid w:val="00B4338D"/>
    <w:rsid w:val="00B442A0"/>
    <w:rsid w:val="00B4562D"/>
    <w:rsid w:val="00B45B7F"/>
    <w:rsid w:val="00B46382"/>
    <w:rsid w:val="00B46597"/>
    <w:rsid w:val="00B4691C"/>
    <w:rsid w:val="00B46AA9"/>
    <w:rsid w:val="00B46ADF"/>
    <w:rsid w:val="00B47FD8"/>
    <w:rsid w:val="00B50BA0"/>
    <w:rsid w:val="00B51E11"/>
    <w:rsid w:val="00B545FD"/>
    <w:rsid w:val="00B549A4"/>
    <w:rsid w:val="00B54F30"/>
    <w:rsid w:val="00B55904"/>
    <w:rsid w:val="00B577E4"/>
    <w:rsid w:val="00B604CA"/>
    <w:rsid w:val="00B60F68"/>
    <w:rsid w:val="00B61455"/>
    <w:rsid w:val="00B62596"/>
    <w:rsid w:val="00B6298C"/>
    <w:rsid w:val="00B62CA3"/>
    <w:rsid w:val="00B63B63"/>
    <w:rsid w:val="00B63E15"/>
    <w:rsid w:val="00B65619"/>
    <w:rsid w:val="00B65F7D"/>
    <w:rsid w:val="00B663DF"/>
    <w:rsid w:val="00B67BE9"/>
    <w:rsid w:val="00B67D29"/>
    <w:rsid w:val="00B70532"/>
    <w:rsid w:val="00B71105"/>
    <w:rsid w:val="00B724F3"/>
    <w:rsid w:val="00B739C4"/>
    <w:rsid w:val="00B73F25"/>
    <w:rsid w:val="00B741B2"/>
    <w:rsid w:val="00B744A2"/>
    <w:rsid w:val="00B74CCB"/>
    <w:rsid w:val="00B74F31"/>
    <w:rsid w:val="00B74F96"/>
    <w:rsid w:val="00B74FE8"/>
    <w:rsid w:val="00B75047"/>
    <w:rsid w:val="00B75E1A"/>
    <w:rsid w:val="00B7667E"/>
    <w:rsid w:val="00B768AB"/>
    <w:rsid w:val="00B7773B"/>
    <w:rsid w:val="00B77843"/>
    <w:rsid w:val="00B77934"/>
    <w:rsid w:val="00B80413"/>
    <w:rsid w:val="00B8151D"/>
    <w:rsid w:val="00B81D08"/>
    <w:rsid w:val="00B83D45"/>
    <w:rsid w:val="00B84363"/>
    <w:rsid w:val="00B84BD7"/>
    <w:rsid w:val="00B864DE"/>
    <w:rsid w:val="00B868E3"/>
    <w:rsid w:val="00B86D3C"/>
    <w:rsid w:val="00B86D85"/>
    <w:rsid w:val="00B86E1A"/>
    <w:rsid w:val="00B879BD"/>
    <w:rsid w:val="00B90B25"/>
    <w:rsid w:val="00B91D73"/>
    <w:rsid w:val="00B94796"/>
    <w:rsid w:val="00B947A5"/>
    <w:rsid w:val="00B948A3"/>
    <w:rsid w:val="00B95D31"/>
    <w:rsid w:val="00B9626B"/>
    <w:rsid w:val="00B97E08"/>
    <w:rsid w:val="00BA12B1"/>
    <w:rsid w:val="00BA1611"/>
    <w:rsid w:val="00BA1D5E"/>
    <w:rsid w:val="00BA23E6"/>
    <w:rsid w:val="00BA29F7"/>
    <w:rsid w:val="00BA2F17"/>
    <w:rsid w:val="00BA514D"/>
    <w:rsid w:val="00BA567B"/>
    <w:rsid w:val="00BA61A3"/>
    <w:rsid w:val="00BA6B74"/>
    <w:rsid w:val="00BA7E4E"/>
    <w:rsid w:val="00BB05C3"/>
    <w:rsid w:val="00BB181D"/>
    <w:rsid w:val="00BB1DD5"/>
    <w:rsid w:val="00BB1E16"/>
    <w:rsid w:val="00BB37BE"/>
    <w:rsid w:val="00BB559A"/>
    <w:rsid w:val="00BB5D49"/>
    <w:rsid w:val="00BB7E44"/>
    <w:rsid w:val="00BC0116"/>
    <w:rsid w:val="00BC2269"/>
    <w:rsid w:val="00BC33FC"/>
    <w:rsid w:val="00BC4CB2"/>
    <w:rsid w:val="00BC4F6A"/>
    <w:rsid w:val="00BC509B"/>
    <w:rsid w:val="00BC64AE"/>
    <w:rsid w:val="00BC698E"/>
    <w:rsid w:val="00BC6BDB"/>
    <w:rsid w:val="00BC7EB4"/>
    <w:rsid w:val="00BD0ABB"/>
    <w:rsid w:val="00BD0B78"/>
    <w:rsid w:val="00BD0CB7"/>
    <w:rsid w:val="00BD0EDA"/>
    <w:rsid w:val="00BD0FB5"/>
    <w:rsid w:val="00BD2391"/>
    <w:rsid w:val="00BD4A08"/>
    <w:rsid w:val="00BD5700"/>
    <w:rsid w:val="00BD691D"/>
    <w:rsid w:val="00BD7F9B"/>
    <w:rsid w:val="00BE0493"/>
    <w:rsid w:val="00BE0544"/>
    <w:rsid w:val="00BE0849"/>
    <w:rsid w:val="00BE143A"/>
    <w:rsid w:val="00BE1FB9"/>
    <w:rsid w:val="00BE2799"/>
    <w:rsid w:val="00BE28FC"/>
    <w:rsid w:val="00BE394C"/>
    <w:rsid w:val="00BE3ADA"/>
    <w:rsid w:val="00BE3F99"/>
    <w:rsid w:val="00BE4745"/>
    <w:rsid w:val="00BE49C7"/>
    <w:rsid w:val="00BE6464"/>
    <w:rsid w:val="00BE6D77"/>
    <w:rsid w:val="00BE70CE"/>
    <w:rsid w:val="00BE7195"/>
    <w:rsid w:val="00BF1092"/>
    <w:rsid w:val="00BF344B"/>
    <w:rsid w:val="00BF4CB2"/>
    <w:rsid w:val="00BF5099"/>
    <w:rsid w:val="00BF5A7B"/>
    <w:rsid w:val="00BF5BEA"/>
    <w:rsid w:val="00BF6A1B"/>
    <w:rsid w:val="00BF70F0"/>
    <w:rsid w:val="00BF7A5D"/>
    <w:rsid w:val="00BF7BAC"/>
    <w:rsid w:val="00C00EEA"/>
    <w:rsid w:val="00C01CAD"/>
    <w:rsid w:val="00C03FB9"/>
    <w:rsid w:val="00C044AA"/>
    <w:rsid w:val="00C04660"/>
    <w:rsid w:val="00C050D9"/>
    <w:rsid w:val="00C0585F"/>
    <w:rsid w:val="00C07472"/>
    <w:rsid w:val="00C07C8E"/>
    <w:rsid w:val="00C1063D"/>
    <w:rsid w:val="00C10AA7"/>
    <w:rsid w:val="00C111A7"/>
    <w:rsid w:val="00C115FA"/>
    <w:rsid w:val="00C12736"/>
    <w:rsid w:val="00C13399"/>
    <w:rsid w:val="00C138FA"/>
    <w:rsid w:val="00C143D4"/>
    <w:rsid w:val="00C1455C"/>
    <w:rsid w:val="00C14EB0"/>
    <w:rsid w:val="00C16489"/>
    <w:rsid w:val="00C169C4"/>
    <w:rsid w:val="00C16B46"/>
    <w:rsid w:val="00C16FE3"/>
    <w:rsid w:val="00C171AB"/>
    <w:rsid w:val="00C1740D"/>
    <w:rsid w:val="00C20175"/>
    <w:rsid w:val="00C214FE"/>
    <w:rsid w:val="00C21AE1"/>
    <w:rsid w:val="00C21EAA"/>
    <w:rsid w:val="00C2233F"/>
    <w:rsid w:val="00C23BD7"/>
    <w:rsid w:val="00C2462A"/>
    <w:rsid w:val="00C24C63"/>
    <w:rsid w:val="00C268EB"/>
    <w:rsid w:val="00C26DCF"/>
    <w:rsid w:val="00C300FB"/>
    <w:rsid w:val="00C3159F"/>
    <w:rsid w:val="00C318C5"/>
    <w:rsid w:val="00C31AB3"/>
    <w:rsid w:val="00C31BDC"/>
    <w:rsid w:val="00C332A4"/>
    <w:rsid w:val="00C3330D"/>
    <w:rsid w:val="00C33324"/>
    <w:rsid w:val="00C337BF"/>
    <w:rsid w:val="00C3396C"/>
    <w:rsid w:val="00C34080"/>
    <w:rsid w:val="00C3471E"/>
    <w:rsid w:val="00C34859"/>
    <w:rsid w:val="00C34E76"/>
    <w:rsid w:val="00C34F80"/>
    <w:rsid w:val="00C35097"/>
    <w:rsid w:val="00C351AF"/>
    <w:rsid w:val="00C37E3D"/>
    <w:rsid w:val="00C37F71"/>
    <w:rsid w:val="00C40A89"/>
    <w:rsid w:val="00C41D0F"/>
    <w:rsid w:val="00C41DAC"/>
    <w:rsid w:val="00C42352"/>
    <w:rsid w:val="00C42758"/>
    <w:rsid w:val="00C42E5D"/>
    <w:rsid w:val="00C44009"/>
    <w:rsid w:val="00C44241"/>
    <w:rsid w:val="00C44F79"/>
    <w:rsid w:val="00C451CA"/>
    <w:rsid w:val="00C4550B"/>
    <w:rsid w:val="00C4598F"/>
    <w:rsid w:val="00C459EE"/>
    <w:rsid w:val="00C468B6"/>
    <w:rsid w:val="00C46A29"/>
    <w:rsid w:val="00C46B0E"/>
    <w:rsid w:val="00C46D3E"/>
    <w:rsid w:val="00C47DDC"/>
    <w:rsid w:val="00C47DF4"/>
    <w:rsid w:val="00C500A3"/>
    <w:rsid w:val="00C51942"/>
    <w:rsid w:val="00C521BF"/>
    <w:rsid w:val="00C54857"/>
    <w:rsid w:val="00C55533"/>
    <w:rsid w:val="00C557D1"/>
    <w:rsid w:val="00C55883"/>
    <w:rsid w:val="00C55A68"/>
    <w:rsid w:val="00C55F06"/>
    <w:rsid w:val="00C56CBE"/>
    <w:rsid w:val="00C60517"/>
    <w:rsid w:val="00C61166"/>
    <w:rsid w:val="00C61720"/>
    <w:rsid w:val="00C61FD7"/>
    <w:rsid w:val="00C62202"/>
    <w:rsid w:val="00C6231F"/>
    <w:rsid w:val="00C631BD"/>
    <w:rsid w:val="00C65189"/>
    <w:rsid w:val="00C6604F"/>
    <w:rsid w:val="00C7138B"/>
    <w:rsid w:val="00C71798"/>
    <w:rsid w:val="00C71D0B"/>
    <w:rsid w:val="00C738E1"/>
    <w:rsid w:val="00C7402B"/>
    <w:rsid w:val="00C74031"/>
    <w:rsid w:val="00C740DD"/>
    <w:rsid w:val="00C7425E"/>
    <w:rsid w:val="00C74521"/>
    <w:rsid w:val="00C74EC2"/>
    <w:rsid w:val="00C7546E"/>
    <w:rsid w:val="00C759B6"/>
    <w:rsid w:val="00C77D70"/>
    <w:rsid w:val="00C81800"/>
    <w:rsid w:val="00C82A84"/>
    <w:rsid w:val="00C82D1B"/>
    <w:rsid w:val="00C869E6"/>
    <w:rsid w:val="00C872B9"/>
    <w:rsid w:val="00C91147"/>
    <w:rsid w:val="00C91CDF"/>
    <w:rsid w:val="00C922E1"/>
    <w:rsid w:val="00C92499"/>
    <w:rsid w:val="00C9486D"/>
    <w:rsid w:val="00C95123"/>
    <w:rsid w:val="00C954A9"/>
    <w:rsid w:val="00C962AF"/>
    <w:rsid w:val="00C96F30"/>
    <w:rsid w:val="00CA007E"/>
    <w:rsid w:val="00CA142C"/>
    <w:rsid w:val="00CA1601"/>
    <w:rsid w:val="00CA1EBD"/>
    <w:rsid w:val="00CA2078"/>
    <w:rsid w:val="00CA2802"/>
    <w:rsid w:val="00CA293A"/>
    <w:rsid w:val="00CA4312"/>
    <w:rsid w:val="00CA4D79"/>
    <w:rsid w:val="00CA539D"/>
    <w:rsid w:val="00CA57F7"/>
    <w:rsid w:val="00CA595A"/>
    <w:rsid w:val="00CA5A26"/>
    <w:rsid w:val="00CA5FFA"/>
    <w:rsid w:val="00CA6A8B"/>
    <w:rsid w:val="00CA72E1"/>
    <w:rsid w:val="00CA7820"/>
    <w:rsid w:val="00CB05C2"/>
    <w:rsid w:val="00CB0739"/>
    <w:rsid w:val="00CB1974"/>
    <w:rsid w:val="00CB2852"/>
    <w:rsid w:val="00CB2C6A"/>
    <w:rsid w:val="00CB3A88"/>
    <w:rsid w:val="00CB4C79"/>
    <w:rsid w:val="00CB4F9E"/>
    <w:rsid w:val="00CB4FD5"/>
    <w:rsid w:val="00CB5B9C"/>
    <w:rsid w:val="00CB5CE0"/>
    <w:rsid w:val="00CB6466"/>
    <w:rsid w:val="00CB70FE"/>
    <w:rsid w:val="00CC0001"/>
    <w:rsid w:val="00CC14F2"/>
    <w:rsid w:val="00CC333B"/>
    <w:rsid w:val="00CC6F3D"/>
    <w:rsid w:val="00CC7CF1"/>
    <w:rsid w:val="00CD0520"/>
    <w:rsid w:val="00CD2934"/>
    <w:rsid w:val="00CD346A"/>
    <w:rsid w:val="00CD62F6"/>
    <w:rsid w:val="00CD7682"/>
    <w:rsid w:val="00CD7840"/>
    <w:rsid w:val="00CD7C92"/>
    <w:rsid w:val="00CE08FC"/>
    <w:rsid w:val="00CE1D9C"/>
    <w:rsid w:val="00CE2FB3"/>
    <w:rsid w:val="00CE3047"/>
    <w:rsid w:val="00CE353E"/>
    <w:rsid w:val="00CE389B"/>
    <w:rsid w:val="00CE3AB1"/>
    <w:rsid w:val="00CE552F"/>
    <w:rsid w:val="00CE68F5"/>
    <w:rsid w:val="00CE6D03"/>
    <w:rsid w:val="00CE7286"/>
    <w:rsid w:val="00CF0026"/>
    <w:rsid w:val="00CF09D3"/>
    <w:rsid w:val="00CF0D24"/>
    <w:rsid w:val="00CF10E6"/>
    <w:rsid w:val="00CF12D8"/>
    <w:rsid w:val="00CF29C1"/>
    <w:rsid w:val="00CF3612"/>
    <w:rsid w:val="00CF45A1"/>
    <w:rsid w:val="00CF4F52"/>
    <w:rsid w:val="00CF5FC5"/>
    <w:rsid w:val="00CF6A03"/>
    <w:rsid w:val="00CF6DEA"/>
    <w:rsid w:val="00CF73FB"/>
    <w:rsid w:val="00D01084"/>
    <w:rsid w:val="00D016BB"/>
    <w:rsid w:val="00D026EF"/>
    <w:rsid w:val="00D029F1"/>
    <w:rsid w:val="00D02B2D"/>
    <w:rsid w:val="00D02D31"/>
    <w:rsid w:val="00D04640"/>
    <w:rsid w:val="00D06455"/>
    <w:rsid w:val="00D1127D"/>
    <w:rsid w:val="00D11E8B"/>
    <w:rsid w:val="00D12381"/>
    <w:rsid w:val="00D14E7A"/>
    <w:rsid w:val="00D15DD1"/>
    <w:rsid w:val="00D16629"/>
    <w:rsid w:val="00D1720C"/>
    <w:rsid w:val="00D216AA"/>
    <w:rsid w:val="00D21C8C"/>
    <w:rsid w:val="00D224B9"/>
    <w:rsid w:val="00D22C3E"/>
    <w:rsid w:val="00D23452"/>
    <w:rsid w:val="00D23812"/>
    <w:rsid w:val="00D24EBD"/>
    <w:rsid w:val="00D2599F"/>
    <w:rsid w:val="00D25D4F"/>
    <w:rsid w:val="00D263E5"/>
    <w:rsid w:val="00D269ED"/>
    <w:rsid w:val="00D26A90"/>
    <w:rsid w:val="00D26E3D"/>
    <w:rsid w:val="00D2716C"/>
    <w:rsid w:val="00D301D6"/>
    <w:rsid w:val="00D304BB"/>
    <w:rsid w:val="00D31078"/>
    <w:rsid w:val="00D31651"/>
    <w:rsid w:val="00D324A1"/>
    <w:rsid w:val="00D324EC"/>
    <w:rsid w:val="00D3254F"/>
    <w:rsid w:val="00D33738"/>
    <w:rsid w:val="00D34BD4"/>
    <w:rsid w:val="00D351CE"/>
    <w:rsid w:val="00D35FF6"/>
    <w:rsid w:val="00D41089"/>
    <w:rsid w:val="00D410B3"/>
    <w:rsid w:val="00D41962"/>
    <w:rsid w:val="00D41CB3"/>
    <w:rsid w:val="00D421C4"/>
    <w:rsid w:val="00D42736"/>
    <w:rsid w:val="00D43BC8"/>
    <w:rsid w:val="00D440B6"/>
    <w:rsid w:val="00D44698"/>
    <w:rsid w:val="00D4494F"/>
    <w:rsid w:val="00D46BA8"/>
    <w:rsid w:val="00D4792F"/>
    <w:rsid w:val="00D50307"/>
    <w:rsid w:val="00D503DB"/>
    <w:rsid w:val="00D506A3"/>
    <w:rsid w:val="00D506E0"/>
    <w:rsid w:val="00D50C80"/>
    <w:rsid w:val="00D510BD"/>
    <w:rsid w:val="00D523DB"/>
    <w:rsid w:val="00D524B5"/>
    <w:rsid w:val="00D5293D"/>
    <w:rsid w:val="00D5307A"/>
    <w:rsid w:val="00D53DB6"/>
    <w:rsid w:val="00D551FF"/>
    <w:rsid w:val="00D55486"/>
    <w:rsid w:val="00D56A92"/>
    <w:rsid w:val="00D56DA3"/>
    <w:rsid w:val="00D57689"/>
    <w:rsid w:val="00D6089C"/>
    <w:rsid w:val="00D62CA1"/>
    <w:rsid w:val="00D63C89"/>
    <w:rsid w:val="00D647AA"/>
    <w:rsid w:val="00D64926"/>
    <w:rsid w:val="00D64F5A"/>
    <w:rsid w:val="00D65795"/>
    <w:rsid w:val="00D710E6"/>
    <w:rsid w:val="00D7117D"/>
    <w:rsid w:val="00D71CEF"/>
    <w:rsid w:val="00D71DEC"/>
    <w:rsid w:val="00D7231E"/>
    <w:rsid w:val="00D737D1"/>
    <w:rsid w:val="00D748C7"/>
    <w:rsid w:val="00D7531B"/>
    <w:rsid w:val="00D754FF"/>
    <w:rsid w:val="00D75935"/>
    <w:rsid w:val="00D7600F"/>
    <w:rsid w:val="00D76670"/>
    <w:rsid w:val="00D76DBD"/>
    <w:rsid w:val="00D76EDA"/>
    <w:rsid w:val="00D77015"/>
    <w:rsid w:val="00D7762A"/>
    <w:rsid w:val="00D802B8"/>
    <w:rsid w:val="00D84F8F"/>
    <w:rsid w:val="00D851F3"/>
    <w:rsid w:val="00D855EC"/>
    <w:rsid w:val="00D857E0"/>
    <w:rsid w:val="00D85C1E"/>
    <w:rsid w:val="00D85C65"/>
    <w:rsid w:val="00D85DD4"/>
    <w:rsid w:val="00D8715A"/>
    <w:rsid w:val="00D8775A"/>
    <w:rsid w:val="00D87E69"/>
    <w:rsid w:val="00D87EA6"/>
    <w:rsid w:val="00D9067A"/>
    <w:rsid w:val="00D90A17"/>
    <w:rsid w:val="00D91DEF"/>
    <w:rsid w:val="00D92138"/>
    <w:rsid w:val="00D925FB"/>
    <w:rsid w:val="00D928F0"/>
    <w:rsid w:val="00D92A90"/>
    <w:rsid w:val="00D93225"/>
    <w:rsid w:val="00D93B3A"/>
    <w:rsid w:val="00D9403F"/>
    <w:rsid w:val="00D9454D"/>
    <w:rsid w:val="00D94F07"/>
    <w:rsid w:val="00D94F0F"/>
    <w:rsid w:val="00D9514C"/>
    <w:rsid w:val="00D96014"/>
    <w:rsid w:val="00D97CD8"/>
    <w:rsid w:val="00D97F24"/>
    <w:rsid w:val="00DA0BA1"/>
    <w:rsid w:val="00DA152C"/>
    <w:rsid w:val="00DA1E29"/>
    <w:rsid w:val="00DA4D0D"/>
    <w:rsid w:val="00DA7164"/>
    <w:rsid w:val="00DA79A0"/>
    <w:rsid w:val="00DA7FD0"/>
    <w:rsid w:val="00DB0B31"/>
    <w:rsid w:val="00DB13AB"/>
    <w:rsid w:val="00DB1414"/>
    <w:rsid w:val="00DB14B6"/>
    <w:rsid w:val="00DB19B9"/>
    <w:rsid w:val="00DB1A6A"/>
    <w:rsid w:val="00DB1B89"/>
    <w:rsid w:val="00DB2651"/>
    <w:rsid w:val="00DB3AD5"/>
    <w:rsid w:val="00DB3DC6"/>
    <w:rsid w:val="00DB4AB3"/>
    <w:rsid w:val="00DB55E4"/>
    <w:rsid w:val="00DB5D81"/>
    <w:rsid w:val="00DB6065"/>
    <w:rsid w:val="00DB6535"/>
    <w:rsid w:val="00DB6564"/>
    <w:rsid w:val="00DB65C9"/>
    <w:rsid w:val="00DB6F97"/>
    <w:rsid w:val="00DB7239"/>
    <w:rsid w:val="00DC0041"/>
    <w:rsid w:val="00DC0597"/>
    <w:rsid w:val="00DC119F"/>
    <w:rsid w:val="00DC126D"/>
    <w:rsid w:val="00DC163B"/>
    <w:rsid w:val="00DC1CFB"/>
    <w:rsid w:val="00DC24BC"/>
    <w:rsid w:val="00DC2789"/>
    <w:rsid w:val="00DC3287"/>
    <w:rsid w:val="00DC3FCF"/>
    <w:rsid w:val="00DC4979"/>
    <w:rsid w:val="00DC4A70"/>
    <w:rsid w:val="00DC590F"/>
    <w:rsid w:val="00DC60AA"/>
    <w:rsid w:val="00DC6CFE"/>
    <w:rsid w:val="00DC6F44"/>
    <w:rsid w:val="00DD0140"/>
    <w:rsid w:val="00DD139F"/>
    <w:rsid w:val="00DD1ADB"/>
    <w:rsid w:val="00DD201D"/>
    <w:rsid w:val="00DD2672"/>
    <w:rsid w:val="00DD2B28"/>
    <w:rsid w:val="00DD2B7D"/>
    <w:rsid w:val="00DD300F"/>
    <w:rsid w:val="00DD33C5"/>
    <w:rsid w:val="00DD3681"/>
    <w:rsid w:val="00DD3AB7"/>
    <w:rsid w:val="00DD3C9D"/>
    <w:rsid w:val="00DD4A68"/>
    <w:rsid w:val="00DD5D2A"/>
    <w:rsid w:val="00DD695C"/>
    <w:rsid w:val="00DE0696"/>
    <w:rsid w:val="00DE2383"/>
    <w:rsid w:val="00DE4F0B"/>
    <w:rsid w:val="00DE4FCA"/>
    <w:rsid w:val="00DE5230"/>
    <w:rsid w:val="00DE5A22"/>
    <w:rsid w:val="00DE6078"/>
    <w:rsid w:val="00DE638E"/>
    <w:rsid w:val="00DF0622"/>
    <w:rsid w:val="00DF16B0"/>
    <w:rsid w:val="00DF1F89"/>
    <w:rsid w:val="00DF21F0"/>
    <w:rsid w:val="00DF40E6"/>
    <w:rsid w:val="00DF48FC"/>
    <w:rsid w:val="00DF5584"/>
    <w:rsid w:val="00DF5846"/>
    <w:rsid w:val="00DF6750"/>
    <w:rsid w:val="00DF75FD"/>
    <w:rsid w:val="00E00E10"/>
    <w:rsid w:val="00E00F34"/>
    <w:rsid w:val="00E01132"/>
    <w:rsid w:val="00E02078"/>
    <w:rsid w:val="00E0335F"/>
    <w:rsid w:val="00E034C5"/>
    <w:rsid w:val="00E0370E"/>
    <w:rsid w:val="00E03E4E"/>
    <w:rsid w:val="00E04058"/>
    <w:rsid w:val="00E0421F"/>
    <w:rsid w:val="00E04EBD"/>
    <w:rsid w:val="00E05836"/>
    <w:rsid w:val="00E063E7"/>
    <w:rsid w:val="00E06933"/>
    <w:rsid w:val="00E06C3C"/>
    <w:rsid w:val="00E07136"/>
    <w:rsid w:val="00E07524"/>
    <w:rsid w:val="00E07910"/>
    <w:rsid w:val="00E1016C"/>
    <w:rsid w:val="00E103DA"/>
    <w:rsid w:val="00E10825"/>
    <w:rsid w:val="00E10A9B"/>
    <w:rsid w:val="00E12064"/>
    <w:rsid w:val="00E12C7C"/>
    <w:rsid w:val="00E13118"/>
    <w:rsid w:val="00E1423D"/>
    <w:rsid w:val="00E1549C"/>
    <w:rsid w:val="00E15792"/>
    <w:rsid w:val="00E16BC4"/>
    <w:rsid w:val="00E1763C"/>
    <w:rsid w:val="00E17C26"/>
    <w:rsid w:val="00E20CC2"/>
    <w:rsid w:val="00E225E8"/>
    <w:rsid w:val="00E2266D"/>
    <w:rsid w:val="00E22C14"/>
    <w:rsid w:val="00E24688"/>
    <w:rsid w:val="00E24A7E"/>
    <w:rsid w:val="00E25798"/>
    <w:rsid w:val="00E258D2"/>
    <w:rsid w:val="00E26128"/>
    <w:rsid w:val="00E2671C"/>
    <w:rsid w:val="00E27F89"/>
    <w:rsid w:val="00E3016A"/>
    <w:rsid w:val="00E306D7"/>
    <w:rsid w:val="00E31A29"/>
    <w:rsid w:val="00E3298B"/>
    <w:rsid w:val="00E32D81"/>
    <w:rsid w:val="00E330D7"/>
    <w:rsid w:val="00E342FA"/>
    <w:rsid w:val="00E35332"/>
    <w:rsid w:val="00E35AFA"/>
    <w:rsid w:val="00E35B21"/>
    <w:rsid w:val="00E36082"/>
    <w:rsid w:val="00E3716C"/>
    <w:rsid w:val="00E37D47"/>
    <w:rsid w:val="00E405CE"/>
    <w:rsid w:val="00E41B19"/>
    <w:rsid w:val="00E4242D"/>
    <w:rsid w:val="00E4256D"/>
    <w:rsid w:val="00E4365E"/>
    <w:rsid w:val="00E43A85"/>
    <w:rsid w:val="00E43EEF"/>
    <w:rsid w:val="00E43F22"/>
    <w:rsid w:val="00E4475A"/>
    <w:rsid w:val="00E44C00"/>
    <w:rsid w:val="00E465D4"/>
    <w:rsid w:val="00E46651"/>
    <w:rsid w:val="00E467E5"/>
    <w:rsid w:val="00E46F5D"/>
    <w:rsid w:val="00E50402"/>
    <w:rsid w:val="00E51C8F"/>
    <w:rsid w:val="00E53C4E"/>
    <w:rsid w:val="00E54D63"/>
    <w:rsid w:val="00E5533B"/>
    <w:rsid w:val="00E55747"/>
    <w:rsid w:val="00E56CBF"/>
    <w:rsid w:val="00E5788D"/>
    <w:rsid w:val="00E579BA"/>
    <w:rsid w:val="00E609F6"/>
    <w:rsid w:val="00E6183C"/>
    <w:rsid w:val="00E6281D"/>
    <w:rsid w:val="00E6413E"/>
    <w:rsid w:val="00E65343"/>
    <w:rsid w:val="00E655A8"/>
    <w:rsid w:val="00E66A30"/>
    <w:rsid w:val="00E673B7"/>
    <w:rsid w:val="00E70634"/>
    <w:rsid w:val="00E70B8D"/>
    <w:rsid w:val="00E71C40"/>
    <w:rsid w:val="00E726E8"/>
    <w:rsid w:val="00E7436A"/>
    <w:rsid w:val="00E75046"/>
    <w:rsid w:val="00E75A8A"/>
    <w:rsid w:val="00E7738C"/>
    <w:rsid w:val="00E7772E"/>
    <w:rsid w:val="00E80375"/>
    <w:rsid w:val="00E80F2D"/>
    <w:rsid w:val="00E81E9F"/>
    <w:rsid w:val="00E82D5D"/>
    <w:rsid w:val="00E83CBF"/>
    <w:rsid w:val="00E83D7C"/>
    <w:rsid w:val="00E8474D"/>
    <w:rsid w:val="00E84967"/>
    <w:rsid w:val="00E8514E"/>
    <w:rsid w:val="00E8523A"/>
    <w:rsid w:val="00E85591"/>
    <w:rsid w:val="00E8730C"/>
    <w:rsid w:val="00E87585"/>
    <w:rsid w:val="00E9037E"/>
    <w:rsid w:val="00E91230"/>
    <w:rsid w:val="00E91CD4"/>
    <w:rsid w:val="00E92718"/>
    <w:rsid w:val="00E93579"/>
    <w:rsid w:val="00E93E14"/>
    <w:rsid w:val="00E94C4A"/>
    <w:rsid w:val="00E94F01"/>
    <w:rsid w:val="00E94F8A"/>
    <w:rsid w:val="00E94FE3"/>
    <w:rsid w:val="00E96203"/>
    <w:rsid w:val="00E968B3"/>
    <w:rsid w:val="00E96989"/>
    <w:rsid w:val="00E97495"/>
    <w:rsid w:val="00E977E2"/>
    <w:rsid w:val="00E97C1A"/>
    <w:rsid w:val="00EA02E6"/>
    <w:rsid w:val="00EA0DAE"/>
    <w:rsid w:val="00EA1918"/>
    <w:rsid w:val="00EA3A82"/>
    <w:rsid w:val="00EA43CA"/>
    <w:rsid w:val="00EA467C"/>
    <w:rsid w:val="00EA5EA3"/>
    <w:rsid w:val="00EA643B"/>
    <w:rsid w:val="00EA6485"/>
    <w:rsid w:val="00EA6E53"/>
    <w:rsid w:val="00EA74DA"/>
    <w:rsid w:val="00EA7C02"/>
    <w:rsid w:val="00EA7FDB"/>
    <w:rsid w:val="00EB0898"/>
    <w:rsid w:val="00EB1162"/>
    <w:rsid w:val="00EB17F4"/>
    <w:rsid w:val="00EB2587"/>
    <w:rsid w:val="00EB32D4"/>
    <w:rsid w:val="00EB39AE"/>
    <w:rsid w:val="00EB4F9F"/>
    <w:rsid w:val="00EB78B3"/>
    <w:rsid w:val="00EB7D96"/>
    <w:rsid w:val="00EC01B2"/>
    <w:rsid w:val="00EC03D5"/>
    <w:rsid w:val="00EC052B"/>
    <w:rsid w:val="00EC068B"/>
    <w:rsid w:val="00EC07D7"/>
    <w:rsid w:val="00EC154A"/>
    <w:rsid w:val="00EC1D9C"/>
    <w:rsid w:val="00EC1DD5"/>
    <w:rsid w:val="00EC1EB8"/>
    <w:rsid w:val="00EC22AA"/>
    <w:rsid w:val="00EC2CBF"/>
    <w:rsid w:val="00EC362E"/>
    <w:rsid w:val="00EC3C23"/>
    <w:rsid w:val="00EC472D"/>
    <w:rsid w:val="00EC47E5"/>
    <w:rsid w:val="00EC526C"/>
    <w:rsid w:val="00EC5DB7"/>
    <w:rsid w:val="00EC6D57"/>
    <w:rsid w:val="00EC6D7A"/>
    <w:rsid w:val="00EC7229"/>
    <w:rsid w:val="00EC7ADA"/>
    <w:rsid w:val="00EC7E38"/>
    <w:rsid w:val="00EC7E39"/>
    <w:rsid w:val="00ED03EE"/>
    <w:rsid w:val="00ED0992"/>
    <w:rsid w:val="00ED0C4E"/>
    <w:rsid w:val="00ED0CFA"/>
    <w:rsid w:val="00ED2193"/>
    <w:rsid w:val="00ED423A"/>
    <w:rsid w:val="00ED44FA"/>
    <w:rsid w:val="00ED5FA9"/>
    <w:rsid w:val="00ED692B"/>
    <w:rsid w:val="00ED78D3"/>
    <w:rsid w:val="00ED7F21"/>
    <w:rsid w:val="00EE06B0"/>
    <w:rsid w:val="00EE1005"/>
    <w:rsid w:val="00EE10B1"/>
    <w:rsid w:val="00EE1BD0"/>
    <w:rsid w:val="00EE21C3"/>
    <w:rsid w:val="00EE2B5E"/>
    <w:rsid w:val="00EE31A9"/>
    <w:rsid w:val="00EE3F5C"/>
    <w:rsid w:val="00EE4DB1"/>
    <w:rsid w:val="00EE667B"/>
    <w:rsid w:val="00EE7736"/>
    <w:rsid w:val="00EF111F"/>
    <w:rsid w:val="00EF1B3B"/>
    <w:rsid w:val="00EF230A"/>
    <w:rsid w:val="00EF29F9"/>
    <w:rsid w:val="00EF2BA8"/>
    <w:rsid w:val="00EF3793"/>
    <w:rsid w:val="00EF413D"/>
    <w:rsid w:val="00EF49BE"/>
    <w:rsid w:val="00EF51A1"/>
    <w:rsid w:val="00EF609E"/>
    <w:rsid w:val="00EF68A3"/>
    <w:rsid w:val="00EF69AB"/>
    <w:rsid w:val="00EF6F02"/>
    <w:rsid w:val="00EF77DA"/>
    <w:rsid w:val="00F01081"/>
    <w:rsid w:val="00F01A8E"/>
    <w:rsid w:val="00F02562"/>
    <w:rsid w:val="00F0258E"/>
    <w:rsid w:val="00F0402D"/>
    <w:rsid w:val="00F04141"/>
    <w:rsid w:val="00F0460E"/>
    <w:rsid w:val="00F04762"/>
    <w:rsid w:val="00F049C5"/>
    <w:rsid w:val="00F04AC3"/>
    <w:rsid w:val="00F05350"/>
    <w:rsid w:val="00F055F6"/>
    <w:rsid w:val="00F057FA"/>
    <w:rsid w:val="00F068FF"/>
    <w:rsid w:val="00F07423"/>
    <w:rsid w:val="00F078C4"/>
    <w:rsid w:val="00F10A66"/>
    <w:rsid w:val="00F11514"/>
    <w:rsid w:val="00F1212F"/>
    <w:rsid w:val="00F12190"/>
    <w:rsid w:val="00F12396"/>
    <w:rsid w:val="00F133BA"/>
    <w:rsid w:val="00F13908"/>
    <w:rsid w:val="00F13D46"/>
    <w:rsid w:val="00F143B8"/>
    <w:rsid w:val="00F144A4"/>
    <w:rsid w:val="00F16F2C"/>
    <w:rsid w:val="00F17BC1"/>
    <w:rsid w:val="00F17E02"/>
    <w:rsid w:val="00F17E2A"/>
    <w:rsid w:val="00F203A4"/>
    <w:rsid w:val="00F23803"/>
    <w:rsid w:val="00F23FBF"/>
    <w:rsid w:val="00F244ED"/>
    <w:rsid w:val="00F24B51"/>
    <w:rsid w:val="00F26406"/>
    <w:rsid w:val="00F26717"/>
    <w:rsid w:val="00F27256"/>
    <w:rsid w:val="00F2745D"/>
    <w:rsid w:val="00F279D6"/>
    <w:rsid w:val="00F30C1F"/>
    <w:rsid w:val="00F32A2B"/>
    <w:rsid w:val="00F32B83"/>
    <w:rsid w:val="00F34F61"/>
    <w:rsid w:val="00F35051"/>
    <w:rsid w:val="00F35A89"/>
    <w:rsid w:val="00F36081"/>
    <w:rsid w:val="00F36A86"/>
    <w:rsid w:val="00F3716E"/>
    <w:rsid w:val="00F37329"/>
    <w:rsid w:val="00F37D93"/>
    <w:rsid w:val="00F37EF7"/>
    <w:rsid w:val="00F40013"/>
    <w:rsid w:val="00F410BF"/>
    <w:rsid w:val="00F41B59"/>
    <w:rsid w:val="00F4350C"/>
    <w:rsid w:val="00F43F9E"/>
    <w:rsid w:val="00F4478D"/>
    <w:rsid w:val="00F4489E"/>
    <w:rsid w:val="00F45D9C"/>
    <w:rsid w:val="00F47A7A"/>
    <w:rsid w:val="00F520D7"/>
    <w:rsid w:val="00F52694"/>
    <w:rsid w:val="00F527F2"/>
    <w:rsid w:val="00F536EC"/>
    <w:rsid w:val="00F53C03"/>
    <w:rsid w:val="00F54B2D"/>
    <w:rsid w:val="00F5538C"/>
    <w:rsid w:val="00F55A3C"/>
    <w:rsid w:val="00F56527"/>
    <w:rsid w:val="00F57743"/>
    <w:rsid w:val="00F6062B"/>
    <w:rsid w:val="00F619B1"/>
    <w:rsid w:val="00F644BA"/>
    <w:rsid w:val="00F6462A"/>
    <w:rsid w:val="00F65775"/>
    <w:rsid w:val="00F65E92"/>
    <w:rsid w:val="00F66C9E"/>
    <w:rsid w:val="00F66DFB"/>
    <w:rsid w:val="00F672FE"/>
    <w:rsid w:val="00F70434"/>
    <w:rsid w:val="00F72E09"/>
    <w:rsid w:val="00F73E2B"/>
    <w:rsid w:val="00F75DCB"/>
    <w:rsid w:val="00F76145"/>
    <w:rsid w:val="00F76A42"/>
    <w:rsid w:val="00F77E7F"/>
    <w:rsid w:val="00F80C2C"/>
    <w:rsid w:val="00F84337"/>
    <w:rsid w:val="00F843EE"/>
    <w:rsid w:val="00F848B9"/>
    <w:rsid w:val="00F85102"/>
    <w:rsid w:val="00F8604D"/>
    <w:rsid w:val="00F8647A"/>
    <w:rsid w:val="00F87176"/>
    <w:rsid w:val="00F87C8E"/>
    <w:rsid w:val="00F90819"/>
    <w:rsid w:val="00F90C6C"/>
    <w:rsid w:val="00F91E2C"/>
    <w:rsid w:val="00F9283E"/>
    <w:rsid w:val="00F929FB"/>
    <w:rsid w:val="00F92A1E"/>
    <w:rsid w:val="00F92D95"/>
    <w:rsid w:val="00F930D5"/>
    <w:rsid w:val="00F93794"/>
    <w:rsid w:val="00F93A6E"/>
    <w:rsid w:val="00F93C25"/>
    <w:rsid w:val="00F9472A"/>
    <w:rsid w:val="00F94D66"/>
    <w:rsid w:val="00F95780"/>
    <w:rsid w:val="00F96130"/>
    <w:rsid w:val="00F977B7"/>
    <w:rsid w:val="00F97AD6"/>
    <w:rsid w:val="00F97BBA"/>
    <w:rsid w:val="00FA08EA"/>
    <w:rsid w:val="00FA17C5"/>
    <w:rsid w:val="00FA1D03"/>
    <w:rsid w:val="00FA1FC8"/>
    <w:rsid w:val="00FA2162"/>
    <w:rsid w:val="00FA6E4D"/>
    <w:rsid w:val="00FA6EA1"/>
    <w:rsid w:val="00FB0E18"/>
    <w:rsid w:val="00FB0E98"/>
    <w:rsid w:val="00FB0FA6"/>
    <w:rsid w:val="00FB1692"/>
    <w:rsid w:val="00FB19CD"/>
    <w:rsid w:val="00FB3C97"/>
    <w:rsid w:val="00FB4223"/>
    <w:rsid w:val="00FB4C2E"/>
    <w:rsid w:val="00FB5AA3"/>
    <w:rsid w:val="00FB6525"/>
    <w:rsid w:val="00FB6CB9"/>
    <w:rsid w:val="00FB7225"/>
    <w:rsid w:val="00FB7226"/>
    <w:rsid w:val="00FB784C"/>
    <w:rsid w:val="00FC1356"/>
    <w:rsid w:val="00FC221A"/>
    <w:rsid w:val="00FC2E5F"/>
    <w:rsid w:val="00FC34C3"/>
    <w:rsid w:val="00FC3CCC"/>
    <w:rsid w:val="00FC3D5B"/>
    <w:rsid w:val="00FC4C40"/>
    <w:rsid w:val="00FC5058"/>
    <w:rsid w:val="00FC694C"/>
    <w:rsid w:val="00FC6D35"/>
    <w:rsid w:val="00FD0467"/>
    <w:rsid w:val="00FD0843"/>
    <w:rsid w:val="00FD0F72"/>
    <w:rsid w:val="00FD34F6"/>
    <w:rsid w:val="00FD40DA"/>
    <w:rsid w:val="00FD44CC"/>
    <w:rsid w:val="00FD4E7F"/>
    <w:rsid w:val="00FD57E2"/>
    <w:rsid w:val="00FD5A20"/>
    <w:rsid w:val="00FD5FC7"/>
    <w:rsid w:val="00FD69C7"/>
    <w:rsid w:val="00FD6FCC"/>
    <w:rsid w:val="00FD74B1"/>
    <w:rsid w:val="00FE211A"/>
    <w:rsid w:val="00FE2563"/>
    <w:rsid w:val="00FE2683"/>
    <w:rsid w:val="00FE288E"/>
    <w:rsid w:val="00FE3720"/>
    <w:rsid w:val="00FE4030"/>
    <w:rsid w:val="00FE40F6"/>
    <w:rsid w:val="00FE443D"/>
    <w:rsid w:val="00FE4734"/>
    <w:rsid w:val="00FE5D5A"/>
    <w:rsid w:val="00FE6CAD"/>
    <w:rsid w:val="00FE7B57"/>
    <w:rsid w:val="00FF1D84"/>
    <w:rsid w:val="00FF2F71"/>
    <w:rsid w:val="00FF30C1"/>
    <w:rsid w:val="00FF3110"/>
    <w:rsid w:val="00FF3D04"/>
    <w:rsid w:val="00FF47E0"/>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161BA"/>
  <w15:docId w15:val="{64D37519-9E90-452E-9B02-60D297F4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uiPriority w:val="99"/>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uiPriority w:val="99"/>
    <w:rsid w:val="0036725F"/>
  </w:style>
  <w:style w:type="character" w:styleId="Refdenotaalpie">
    <w:name w:val="footnote reference"/>
    <w:basedOn w:val="Fuentedeprrafopredeter"/>
    <w:uiPriority w:val="99"/>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uiPriority w:val="99"/>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styleId="Hipervnculovisitado">
    <w:name w:val="FollowedHyperlink"/>
    <w:basedOn w:val="Fuentedeprrafopredeter"/>
    <w:semiHidden/>
    <w:unhideWhenUsed/>
    <w:rsid w:val="00573E5B"/>
    <w:rPr>
      <w:color w:val="800080" w:themeColor="followedHyperlink"/>
      <w:u w:val="single"/>
    </w:rPr>
  </w:style>
  <w:style w:type="character" w:customStyle="1" w:styleId="Mencinsinresolver1">
    <w:name w:val="Mención sin resolver1"/>
    <w:basedOn w:val="Fuentedeprrafopredeter"/>
    <w:uiPriority w:val="99"/>
    <w:semiHidden/>
    <w:unhideWhenUsed/>
    <w:rsid w:val="001A3153"/>
    <w:rPr>
      <w:color w:val="605E5C"/>
      <w:shd w:val="clear" w:color="auto" w:fill="E1DFDD"/>
    </w:rPr>
  </w:style>
  <w:style w:type="character" w:styleId="Mencinsinresolver">
    <w:name w:val="Unresolved Mention"/>
    <w:basedOn w:val="Fuentedeprrafopredeter"/>
    <w:uiPriority w:val="99"/>
    <w:semiHidden/>
    <w:unhideWhenUsed/>
    <w:rsid w:val="00254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77011">
      <w:bodyDiv w:val="1"/>
      <w:marLeft w:val="0"/>
      <w:marRight w:val="0"/>
      <w:marTop w:val="0"/>
      <w:marBottom w:val="0"/>
      <w:divBdr>
        <w:top w:val="none" w:sz="0" w:space="0" w:color="auto"/>
        <w:left w:val="none" w:sz="0" w:space="0" w:color="auto"/>
        <w:bottom w:val="none" w:sz="0" w:space="0" w:color="auto"/>
        <w:right w:val="none" w:sz="0" w:space="0" w:color="auto"/>
      </w:divBdr>
    </w:div>
    <w:div w:id="486745596">
      <w:bodyDiv w:val="1"/>
      <w:marLeft w:val="0"/>
      <w:marRight w:val="0"/>
      <w:marTop w:val="0"/>
      <w:marBottom w:val="0"/>
      <w:divBdr>
        <w:top w:val="none" w:sz="0" w:space="0" w:color="auto"/>
        <w:left w:val="none" w:sz="0" w:space="0" w:color="auto"/>
        <w:bottom w:val="none" w:sz="0" w:space="0" w:color="auto"/>
        <w:right w:val="none" w:sz="0" w:space="0" w:color="auto"/>
      </w:divBdr>
    </w:div>
    <w:div w:id="623537239">
      <w:bodyDiv w:val="1"/>
      <w:marLeft w:val="0"/>
      <w:marRight w:val="0"/>
      <w:marTop w:val="0"/>
      <w:marBottom w:val="0"/>
      <w:divBdr>
        <w:top w:val="none" w:sz="0" w:space="0" w:color="auto"/>
        <w:left w:val="none" w:sz="0" w:space="0" w:color="auto"/>
        <w:bottom w:val="none" w:sz="0" w:space="0" w:color="auto"/>
        <w:right w:val="none" w:sz="0" w:space="0" w:color="auto"/>
      </w:divBdr>
    </w:div>
    <w:div w:id="771439630">
      <w:bodyDiv w:val="1"/>
      <w:marLeft w:val="0"/>
      <w:marRight w:val="0"/>
      <w:marTop w:val="0"/>
      <w:marBottom w:val="0"/>
      <w:divBdr>
        <w:top w:val="none" w:sz="0" w:space="0" w:color="auto"/>
        <w:left w:val="none" w:sz="0" w:space="0" w:color="auto"/>
        <w:bottom w:val="none" w:sz="0" w:space="0" w:color="auto"/>
        <w:right w:val="none" w:sz="0" w:space="0" w:color="auto"/>
      </w:divBdr>
    </w:div>
    <w:div w:id="853347473">
      <w:bodyDiv w:val="1"/>
      <w:marLeft w:val="0"/>
      <w:marRight w:val="0"/>
      <w:marTop w:val="0"/>
      <w:marBottom w:val="0"/>
      <w:divBdr>
        <w:top w:val="none" w:sz="0" w:space="0" w:color="auto"/>
        <w:left w:val="none" w:sz="0" w:space="0" w:color="auto"/>
        <w:bottom w:val="none" w:sz="0" w:space="0" w:color="auto"/>
        <w:right w:val="none" w:sz="0" w:space="0" w:color="auto"/>
      </w:divBdr>
    </w:div>
    <w:div w:id="88244241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279483548">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701778462">
      <w:bodyDiv w:val="1"/>
      <w:marLeft w:val="0"/>
      <w:marRight w:val="0"/>
      <w:marTop w:val="0"/>
      <w:marBottom w:val="0"/>
      <w:divBdr>
        <w:top w:val="none" w:sz="0" w:space="0" w:color="auto"/>
        <w:left w:val="none" w:sz="0" w:space="0" w:color="auto"/>
        <w:bottom w:val="none" w:sz="0" w:space="0" w:color="auto"/>
        <w:right w:val="none" w:sz="0" w:space="0" w:color="auto"/>
      </w:divBdr>
    </w:div>
    <w:div w:id="1883444619">
      <w:bodyDiv w:val="1"/>
      <w:marLeft w:val="0"/>
      <w:marRight w:val="0"/>
      <w:marTop w:val="0"/>
      <w:marBottom w:val="0"/>
      <w:divBdr>
        <w:top w:val="none" w:sz="0" w:space="0" w:color="auto"/>
        <w:left w:val="none" w:sz="0" w:space="0" w:color="auto"/>
        <w:bottom w:val="none" w:sz="0" w:space="0" w:color="auto"/>
        <w:right w:val="none" w:sz="0" w:space="0" w:color="auto"/>
      </w:divBdr>
    </w:div>
    <w:div w:id="1926264804">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sistemas/bie/default.aspx" TargetMode="Externa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ITAT\ITAT-21I\Graficas%20Turistico%20desestacionalizada-tendenciaII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ITAT\ITAT-21I\Graficas%20Turistico%20desestacionalizada-tendenciaII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ITAT\ITAT-21I\Graficas%20Turistico%20desestacionalizada-tendenciaII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ITAT\ITAT-21I\Graficas%20Turistico%20desestacionalizada-tendenciaII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ca.jimenez\Documents\ITAT\ITAT-21I\Graficas%20Turistico%20desestacionalizada-tendenciaII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ica.jimenez\Documents\ITAT\ITAT-21I\Graficas%20Turistico%20desestacionalizada-tendenciaII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51E-2"/>
          <c:y val="3.0836814819635145E-2"/>
          <c:w val="0.9152601893408342"/>
          <c:h val="0.78564416333204257"/>
        </c:manualLayout>
      </c:layout>
      <c:barChart>
        <c:barDir val="col"/>
        <c:grouping val="stacked"/>
        <c:varyColors val="0"/>
        <c:ser>
          <c:idx val="0"/>
          <c:order val="0"/>
          <c:tx>
            <c:strRef>
              <c:f>datos!$D$4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datos!$D$17:$D$69</c:f>
              <c:numCache>
                <c:formatCode>0.0</c:formatCode>
                <c:ptCount val="53"/>
                <c:pt idx="0">
                  <c:v>95.085471532258893</c:v>
                </c:pt>
                <c:pt idx="1">
                  <c:v>94.882899806734798</c:v>
                </c:pt>
                <c:pt idx="2">
                  <c:v>94.277031675301799</c:v>
                </c:pt>
                <c:pt idx="3">
                  <c:v>97.102168132421099</c:v>
                </c:pt>
                <c:pt idx="4">
                  <c:v>92.773610861433397</c:v>
                </c:pt>
                <c:pt idx="5">
                  <c:v>85.706192045573005</c:v>
                </c:pt>
                <c:pt idx="6">
                  <c:v>90.694130655835295</c:v>
                </c:pt>
                <c:pt idx="7">
                  <c:v>91.260051433616695</c:v>
                </c:pt>
                <c:pt idx="8">
                  <c:v>92.543519944245105</c:v>
                </c:pt>
                <c:pt idx="9">
                  <c:v>91.855829801998794</c:v>
                </c:pt>
                <c:pt idx="10">
                  <c:v>92.4804833645222</c:v>
                </c:pt>
                <c:pt idx="11">
                  <c:v>91.616193235425001</c:v>
                </c:pt>
                <c:pt idx="12">
                  <c:v>92.164799480338203</c:v>
                </c:pt>
                <c:pt idx="13">
                  <c:v>94.198091190690903</c:v>
                </c:pt>
                <c:pt idx="14">
                  <c:v>95.287764771104506</c:v>
                </c:pt>
                <c:pt idx="15">
                  <c:v>97.598721086567707</c:v>
                </c:pt>
                <c:pt idx="16">
                  <c:v>96.221957461351593</c:v>
                </c:pt>
                <c:pt idx="17">
                  <c:v>98.607735841045795</c:v>
                </c:pt>
                <c:pt idx="18">
                  <c:v>98.697568545429903</c:v>
                </c:pt>
                <c:pt idx="19">
                  <c:v>97.948747164625402</c:v>
                </c:pt>
                <c:pt idx="20">
                  <c:v>98.255010503372105</c:v>
                </c:pt>
                <c:pt idx="21">
                  <c:v>99.040492099046006</c:v>
                </c:pt>
                <c:pt idx="22">
                  <c:v>100.932460193404</c:v>
                </c:pt>
                <c:pt idx="23">
                  <c:v>101.65150509578601</c:v>
                </c:pt>
                <c:pt idx="24">
                  <c:v>100.93556603345699</c:v>
                </c:pt>
                <c:pt idx="25">
                  <c:v>101.056489793022</c:v>
                </c:pt>
                <c:pt idx="26">
                  <c:v>101.473237214812</c:v>
                </c:pt>
                <c:pt idx="27">
                  <c:v>102.549893162681</c:v>
                </c:pt>
                <c:pt idx="28">
                  <c:v>102.153866541833</c:v>
                </c:pt>
                <c:pt idx="29">
                  <c:v>103.87208671421701</c:v>
                </c:pt>
                <c:pt idx="30">
                  <c:v>106.31239913988099</c:v>
                </c:pt>
                <c:pt idx="31">
                  <c:v>107.151092384276</c:v>
                </c:pt>
                <c:pt idx="32">
                  <c:v>106.207969336369</c:v>
                </c:pt>
                <c:pt idx="33">
                  <c:v>105.979013859714</c:v>
                </c:pt>
                <c:pt idx="34">
                  <c:v>107.56360233666101</c:v>
                </c:pt>
                <c:pt idx="35">
                  <c:v>109.623698733822</c:v>
                </c:pt>
                <c:pt idx="36">
                  <c:v>113.08119363458501</c:v>
                </c:pt>
                <c:pt idx="37">
                  <c:v>110.502417325335</c:v>
                </c:pt>
                <c:pt idx="38">
                  <c:v>108.50542806164501</c:v>
                </c:pt>
                <c:pt idx="39">
                  <c:v>110.157347248812</c:v>
                </c:pt>
                <c:pt idx="40">
                  <c:v>112.845820942198</c:v>
                </c:pt>
                <c:pt idx="41">
                  <c:v>114.65554582455999</c:v>
                </c:pt>
                <c:pt idx="42">
                  <c:v>113.69683053143601</c:v>
                </c:pt>
                <c:pt idx="43">
                  <c:v>113.18793844598</c:v>
                </c:pt>
                <c:pt idx="44">
                  <c:v>113.56321005066501</c:v>
                </c:pt>
                <c:pt idx="45">
                  <c:v>114.04770137236299</c:v>
                </c:pt>
                <c:pt idx="46">
                  <c:v>116.015756099068</c:v>
                </c:pt>
                <c:pt idx="47">
                  <c:v>112.929935020701</c:v>
                </c:pt>
                <c:pt idx="48">
                  <c:v>106.246030392714</c:v>
                </c:pt>
                <c:pt idx="49">
                  <c:v>60.975114389204002</c:v>
                </c:pt>
                <c:pt idx="50">
                  <c:v>77.439967056680302</c:v>
                </c:pt>
                <c:pt idx="51">
                  <c:v>83.018215483993202</c:v>
                </c:pt>
                <c:pt idx="52">
                  <c:v>81.541626184366905</c:v>
                </c:pt>
              </c:numCache>
            </c:numRef>
          </c:val>
          <c:extLst>
            <c:ext xmlns:c16="http://schemas.microsoft.com/office/drawing/2014/chart" uri="{C3380CC4-5D6E-409C-BE32-E72D297353CC}">
              <c16:uniqueId val="{00000000-3F43-4BBE-BFA2-A7192587BD18}"/>
            </c:ext>
          </c:extLst>
        </c:ser>
        <c:dLbls>
          <c:showLegendKey val="0"/>
          <c:showVal val="0"/>
          <c:showCatName val="0"/>
          <c:showSerName val="0"/>
          <c:showPercent val="0"/>
          <c:showBubbleSize val="0"/>
        </c:dLbls>
        <c:gapWidth val="40"/>
        <c:overlap val="100"/>
        <c:axId val="567000544"/>
        <c:axId val="1"/>
      </c:barChart>
      <c:lineChart>
        <c:grouping val="standard"/>
        <c:varyColors val="0"/>
        <c:ser>
          <c:idx val="1"/>
          <c:order val="1"/>
          <c:tx>
            <c:v>Tendencia-Ciclo</c:v>
          </c:tx>
          <c:spPr>
            <a:ln w="15875">
              <a:solidFill>
                <a:srgbClr val="C00000"/>
              </a:solidFill>
              <a:prstDash val="solid"/>
            </a:ln>
          </c:spPr>
          <c:marker>
            <c:symbol val="none"/>
          </c:marker>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datos!$E$17:$E$69</c:f>
              <c:numCache>
                <c:formatCode>0.0</c:formatCode>
                <c:ptCount val="53"/>
                <c:pt idx="0">
                  <c:v>94.416544795465597</c:v>
                </c:pt>
                <c:pt idx="1">
                  <c:v>94.963405990532294</c:v>
                </c:pt>
                <c:pt idx="2">
                  <c:v>94.665962813565798</c:v>
                </c:pt>
                <c:pt idx="3">
                  <c:v>94.496225468623905</c:v>
                </c:pt>
                <c:pt idx="4">
                  <c:v>93.945106903534906</c:v>
                </c:pt>
                <c:pt idx="5">
                  <c:v>93.510305970785794</c:v>
                </c:pt>
                <c:pt idx="6">
                  <c:v>93.142017540609999</c:v>
                </c:pt>
                <c:pt idx="7">
                  <c:v>92.685892216438106</c:v>
                </c:pt>
                <c:pt idx="8">
                  <c:v>92.392005436683903</c:v>
                </c:pt>
                <c:pt idx="9">
                  <c:v>92.401864586806894</c:v>
                </c:pt>
                <c:pt idx="10">
                  <c:v>92.095327557364698</c:v>
                </c:pt>
                <c:pt idx="11">
                  <c:v>91.835598596445394</c:v>
                </c:pt>
                <c:pt idx="12">
                  <c:v>92.352322865299598</c:v>
                </c:pt>
                <c:pt idx="13">
                  <c:v>93.862220314521196</c:v>
                </c:pt>
                <c:pt idx="14">
                  <c:v>95.6958681270673</c:v>
                </c:pt>
                <c:pt idx="15">
                  <c:v>97.138591142942602</c:v>
                </c:pt>
                <c:pt idx="16">
                  <c:v>98.065724444332801</c:v>
                </c:pt>
                <c:pt idx="17">
                  <c:v>98.503096470382502</c:v>
                </c:pt>
                <c:pt idx="18">
                  <c:v>98.553729092203099</c:v>
                </c:pt>
                <c:pt idx="19">
                  <c:v>98.130084183082204</c:v>
                </c:pt>
                <c:pt idx="20">
                  <c:v>98.166669251852895</c:v>
                </c:pt>
                <c:pt idx="21">
                  <c:v>99.253919780885099</c:v>
                </c:pt>
                <c:pt idx="22">
                  <c:v>100.78433327318901</c:v>
                </c:pt>
                <c:pt idx="23">
                  <c:v>101.46544898056899</c:v>
                </c:pt>
                <c:pt idx="24">
                  <c:v>101.14210662155401</c:v>
                </c:pt>
                <c:pt idx="25">
                  <c:v>101.020762079869</c:v>
                </c:pt>
                <c:pt idx="26">
                  <c:v>101.533629822872</c:v>
                </c:pt>
                <c:pt idx="27">
                  <c:v>101.895776462169</c:v>
                </c:pt>
                <c:pt idx="28">
                  <c:v>102.39653385781</c:v>
                </c:pt>
                <c:pt idx="29">
                  <c:v>103.971220183472</c:v>
                </c:pt>
                <c:pt idx="30">
                  <c:v>106.155008228035</c:v>
                </c:pt>
                <c:pt idx="31">
                  <c:v>106.95458958544999</c:v>
                </c:pt>
                <c:pt idx="32">
                  <c:v>106.31051743813801</c:v>
                </c:pt>
                <c:pt idx="33">
                  <c:v>106.157984701429</c:v>
                </c:pt>
                <c:pt idx="34">
                  <c:v>107.510712675356</c:v>
                </c:pt>
                <c:pt idx="35">
                  <c:v>109.78502287005099</c:v>
                </c:pt>
                <c:pt idx="36">
                  <c:v>111.177460834288</c:v>
                </c:pt>
                <c:pt idx="37">
                  <c:v>110.353501633487</c:v>
                </c:pt>
                <c:pt idx="38">
                  <c:v>109.11654378318499</c:v>
                </c:pt>
                <c:pt idx="39">
                  <c:v>110.148712417958</c:v>
                </c:pt>
                <c:pt idx="40">
                  <c:v>112.833303542211</c:v>
                </c:pt>
                <c:pt idx="41">
                  <c:v>114.28048621022501</c:v>
                </c:pt>
                <c:pt idx="42">
                  <c:v>113.901244450717</c:v>
                </c:pt>
                <c:pt idx="43">
                  <c:v>113.27673205985199</c:v>
                </c:pt>
                <c:pt idx="44">
                  <c:v>113.488846878272</c:v>
                </c:pt>
                <c:pt idx="45">
                  <c:v>114.28153686201701</c:v>
                </c:pt>
                <c:pt idx="46">
                  <c:v>114.350491226514</c:v>
                </c:pt>
                <c:pt idx="47">
                  <c:v>113.48957683007799</c:v>
                </c:pt>
                <c:pt idx="48">
                  <c:v>106.123228738013</c:v>
                </c:pt>
                <c:pt idx="49">
                  <c:v>77.669223547143403</c:v>
                </c:pt>
                <c:pt idx="50">
                  <c:v>79.187169340219796</c:v>
                </c:pt>
                <c:pt idx="51">
                  <c:v>80.847200734548593</c:v>
                </c:pt>
                <c:pt idx="52">
                  <c:v>81.468333680973302</c:v>
                </c:pt>
              </c:numCache>
            </c:numRef>
          </c:val>
          <c:smooth val="0"/>
          <c:extLst>
            <c:ext xmlns:c16="http://schemas.microsoft.com/office/drawing/2014/chart" uri="{C3380CC4-5D6E-409C-BE32-E72D297353CC}">
              <c16:uniqueId val="{00000001-3F43-4BBE-BFA2-A7192587BD18}"/>
            </c:ext>
          </c:extLst>
        </c:ser>
        <c:dLbls>
          <c:showLegendKey val="0"/>
          <c:showVal val="0"/>
          <c:showCatName val="0"/>
          <c:showSerName val="0"/>
          <c:showPercent val="0"/>
          <c:showBubbleSize val="0"/>
        </c:dLbls>
        <c:marker val="1"/>
        <c:smooth val="0"/>
        <c:axId val="567000544"/>
        <c:axId val="1"/>
      </c:lineChart>
      <c:catAx>
        <c:axId val="5670005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567000544"/>
        <c:crosses val="autoZero"/>
        <c:crossBetween val="between"/>
      </c:valAx>
      <c:spPr>
        <a:noFill/>
        <a:ln w="12700">
          <a:solidFill>
            <a:srgbClr val="808080"/>
          </a:solidFill>
          <a:prstDash val="solid"/>
        </a:ln>
      </c:spPr>
    </c:plotArea>
    <c:legend>
      <c:legendPos val="r"/>
      <c:layout>
        <c:manualLayout>
          <c:xMode val="edge"/>
          <c:yMode val="edge"/>
          <c:x val="7.0133797093343362E-3"/>
          <c:y val="0.92470505623991128"/>
          <c:w val="0.98706727141904149"/>
          <c:h val="5.9779493305588023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253098436496176E-2"/>
          <c:y val="2.5852478720533766E-2"/>
          <c:w val="0.91526018934083408"/>
          <c:h val="0.78127257863258892"/>
        </c:manualLayout>
      </c:layout>
      <c:barChart>
        <c:barDir val="col"/>
        <c:grouping val="clustered"/>
        <c:varyColors val="0"/>
        <c:ser>
          <c:idx val="0"/>
          <c:order val="0"/>
          <c:tx>
            <c:strRef>
              <c:f>datos!$F$4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datos!$F$17:$F$69</c:f>
              <c:numCache>
                <c:formatCode>0.0</c:formatCode>
                <c:ptCount val="53"/>
                <c:pt idx="0">
                  <c:v>101.37578943283199</c:v>
                </c:pt>
                <c:pt idx="1">
                  <c:v>102.264346107389</c:v>
                </c:pt>
                <c:pt idx="2">
                  <c:v>100.06249636843</c:v>
                </c:pt>
                <c:pt idx="3">
                  <c:v>103.67180442161001</c:v>
                </c:pt>
                <c:pt idx="4">
                  <c:v>99.532602779049597</c:v>
                </c:pt>
                <c:pt idx="5">
                  <c:v>88.641316158090405</c:v>
                </c:pt>
                <c:pt idx="6">
                  <c:v>94.242564242247596</c:v>
                </c:pt>
                <c:pt idx="7">
                  <c:v>95.326518897286604</c:v>
                </c:pt>
                <c:pt idx="8">
                  <c:v>96.031896287250404</c:v>
                </c:pt>
                <c:pt idx="9">
                  <c:v>94.871390547623093</c:v>
                </c:pt>
                <c:pt idx="10">
                  <c:v>95.077467204034406</c:v>
                </c:pt>
                <c:pt idx="11">
                  <c:v>90.475999575916802</c:v>
                </c:pt>
                <c:pt idx="12">
                  <c:v>94.1769042188849</c:v>
                </c:pt>
                <c:pt idx="13">
                  <c:v>95.370522682401202</c:v>
                </c:pt>
                <c:pt idx="14">
                  <c:v>97.195097022401001</c:v>
                </c:pt>
                <c:pt idx="15">
                  <c:v>99.506193788843305</c:v>
                </c:pt>
                <c:pt idx="16">
                  <c:v>99.4632754140477</c:v>
                </c:pt>
                <c:pt idx="17">
                  <c:v>100.71444477129501</c:v>
                </c:pt>
                <c:pt idx="18">
                  <c:v>100.048992803472</c:v>
                </c:pt>
                <c:pt idx="19">
                  <c:v>99.429720397458993</c:v>
                </c:pt>
                <c:pt idx="20">
                  <c:v>97.946769618265407</c:v>
                </c:pt>
                <c:pt idx="21">
                  <c:v>100.095784908696</c:v>
                </c:pt>
                <c:pt idx="22">
                  <c:v>100.858666355208</c:v>
                </c:pt>
                <c:pt idx="23">
                  <c:v>101.007003273989</c:v>
                </c:pt>
                <c:pt idx="24">
                  <c:v>98.271784883160194</c:v>
                </c:pt>
                <c:pt idx="25">
                  <c:v>97.906761305095998</c:v>
                </c:pt>
                <c:pt idx="26">
                  <c:v>98.371858443161003</c:v>
                </c:pt>
                <c:pt idx="27">
                  <c:v>96.963847787338807</c:v>
                </c:pt>
                <c:pt idx="28">
                  <c:v>96.7103430445096</c:v>
                </c:pt>
                <c:pt idx="29">
                  <c:v>97.398285214066206</c:v>
                </c:pt>
                <c:pt idx="30">
                  <c:v>100.906257563914</c:v>
                </c:pt>
                <c:pt idx="31">
                  <c:v>101.891117448817</c:v>
                </c:pt>
                <c:pt idx="32">
                  <c:v>98.143800451731394</c:v>
                </c:pt>
                <c:pt idx="33">
                  <c:v>95.964527387413298</c:v>
                </c:pt>
                <c:pt idx="34">
                  <c:v>97.026927770089003</c:v>
                </c:pt>
                <c:pt idx="35">
                  <c:v>100.176061189557</c:v>
                </c:pt>
                <c:pt idx="36">
                  <c:v>110.158997511255</c:v>
                </c:pt>
                <c:pt idx="37">
                  <c:v>104.28614664255799</c:v>
                </c:pt>
                <c:pt idx="38">
                  <c:v>97.126597549235001</c:v>
                </c:pt>
                <c:pt idx="39">
                  <c:v>96.316160047685003</c:v>
                </c:pt>
                <c:pt idx="40">
                  <c:v>103.275782907164</c:v>
                </c:pt>
                <c:pt idx="41">
                  <c:v>106.92710237542001</c:v>
                </c:pt>
                <c:pt idx="42">
                  <c:v>104.87015881701601</c:v>
                </c:pt>
                <c:pt idx="43">
                  <c:v>102.850846372538</c:v>
                </c:pt>
                <c:pt idx="44">
                  <c:v>103.64729475137101</c:v>
                </c:pt>
                <c:pt idx="45">
                  <c:v>102.528070445287</c:v>
                </c:pt>
                <c:pt idx="46">
                  <c:v>103.841392704885</c:v>
                </c:pt>
                <c:pt idx="47">
                  <c:v>99.715937289338797</c:v>
                </c:pt>
                <c:pt idx="48">
                  <c:v>97.030280750004096</c:v>
                </c:pt>
                <c:pt idx="49">
                  <c:v>51.843692670889297</c:v>
                </c:pt>
                <c:pt idx="50">
                  <c:v>74.744435149804801</c:v>
                </c:pt>
                <c:pt idx="51">
                  <c:v>76.005459912451897</c:v>
                </c:pt>
                <c:pt idx="52">
                  <c:v>72.893717623721898</c:v>
                </c:pt>
              </c:numCache>
            </c:numRef>
          </c:val>
          <c:extLst>
            <c:ext xmlns:c16="http://schemas.microsoft.com/office/drawing/2014/chart" uri="{C3380CC4-5D6E-409C-BE32-E72D297353CC}">
              <c16:uniqueId val="{00000000-FAA8-4170-B819-CDA790B6E8AB}"/>
            </c:ext>
          </c:extLst>
        </c:ser>
        <c:dLbls>
          <c:showLegendKey val="0"/>
          <c:showVal val="0"/>
          <c:showCatName val="0"/>
          <c:showSerName val="0"/>
          <c:showPercent val="0"/>
          <c:showBubbleSize val="0"/>
        </c:dLbls>
        <c:gapWidth val="40"/>
        <c:axId val="567008032"/>
        <c:axId val="1"/>
      </c:barChart>
      <c:lineChart>
        <c:grouping val="standard"/>
        <c:varyColors val="0"/>
        <c:ser>
          <c:idx val="1"/>
          <c:order val="1"/>
          <c:tx>
            <c:v>Tendencia-Ciclo</c:v>
          </c:tx>
          <c:spPr>
            <a:ln w="15875">
              <a:solidFill>
                <a:srgbClr val="C00000"/>
              </a:solidFill>
              <a:prstDash val="solid"/>
            </a:ln>
          </c:spPr>
          <c:marker>
            <c:symbol val="none"/>
          </c:marker>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datos!$G$17:$G$69</c:f>
              <c:numCache>
                <c:formatCode>0.0</c:formatCode>
                <c:ptCount val="53"/>
                <c:pt idx="0">
                  <c:v>100.67300075415</c:v>
                </c:pt>
                <c:pt idx="1">
                  <c:v>102.18766909995399</c:v>
                </c:pt>
                <c:pt idx="2">
                  <c:v>102.225585474444</c:v>
                </c:pt>
                <c:pt idx="3">
                  <c:v>101.65665546833</c:v>
                </c:pt>
                <c:pt idx="4">
                  <c:v>100.100227925265</c:v>
                </c:pt>
                <c:pt idx="5">
                  <c:v>98.4886825401869</c:v>
                </c:pt>
                <c:pt idx="6">
                  <c:v>97.602471691459996</c:v>
                </c:pt>
                <c:pt idx="7">
                  <c:v>96.820938079332805</c:v>
                </c:pt>
                <c:pt idx="8">
                  <c:v>96.073185388027497</c:v>
                </c:pt>
                <c:pt idx="9">
                  <c:v>95.432979769919498</c:v>
                </c:pt>
                <c:pt idx="10">
                  <c:v>94.160921862010795</c:v>
                </c:pt>
                <c:pt idx="11">
                  <c:v>93.365755926964596</c:v>
                </c:pt>
                <c:pt idx="12">
                  <c:v>93.818158460252505</c:v>
                </c:pt>
                <c:pt idx="13">
                  <c:v>95.454043680048002</c:v>
                </c:pt>
                <c:pt idx="14">
                  <c:v>97.393667170800498</c:v>
                </c:pt>
                <c:pt idx="15">
                  <c:v>99.029967512657507</c:v>
                </c:pt>
                <c:pt idx="16">
                  <c:v>99.966968090699396</c:v>
                </c:pt>
                <c:pt idx="17">
                  <c:v>100.334596677471</c:v>
                </c:pt>
                <c:pt idx="18">
                  <c:v>100.19580125536</c:v>
                </c:pt>
                <c:pt idx="19">
                  <c:v>99.289334532728006</c:v>
                </c:pt>
                <c:pt idx="20">
                  <c:v>99.133939395496895</c:v>
                </c:pt>
                <c:pt idx="21">
                  <c:v>99.927186956730296</c:v>
                </c:pt>
                <c:pt idx="22">
                  <c:v>101.017797635324</c:v>
                </c:pt>
                <c:pt idx="23">
                  <c:v>100.454632759194</c:v>
                </c:pt>
                <c:pt idx="24">
                  <c:v>98.770632129823298</c:v>
                </c:pt>
                <c:pt idx="25">
                  <c:v>97.992167752629996</c:v>
                </c:pt>
                <c:pt idx="26">
                  <c:v>97.951062337929599</c:v>
                </c:pt>
                <c:pt idx="27">
                  <c:v>97.201799280395505</c:v>
                </c:pt>
                <c:pt idx="28">
                  <c:v>96.556760920083306</c:v>
                </c:pt>
                <c:pt idx="29">
                  <c:v>97.928551802158495</c:v>
                </c:pt>
                <c:pt idx="30">
                  <c:v>100.67613293879</c:v>
                </c:pt>
                <c:pt idx="31">
                  <c:v>101.266309791944</c:v>
                </c:pt>
                <c:pt idx="32">
                  <c:v>98.483515197577105</c:v>
                </c:pt>
                <c:pt idx="33">
                  <c:v>96.020553681551306</c:v>
                </c:pt>
                <c:pt idx="34">
                  <c:v>97.508173955849799</c:v>
                </c:pt>
                <c:pt idx="35">
                  <c:v>102.114402997798</c:v>
                </c:pt>
                <c:pt idx="36">
                  <c:v>105.683621405777</c:v>
                </c:pt>
                <c:pt idx="37">
                  <c:v>103.411779813256</c:v>
                </c:pt>
                <c:pt idx="38">
                  <c:v>97.890880464433906</c:v>
                </c:pt>
                <c:pt idx="39">
                  <c:v>97.233941736327097</c:v>
                </c:pt>
                <c:pt idx="40">
                  <c:v>102.638557430055</c:v>
                </c:pt>
                <c:pt idx="41">
                  <c:v>106.328980245013</c:v>
                </c:pt>
                <c:pt idx="42">
                  <c:v>105.088071589937</c:v>
                </c:pt>
                <c:pt idx="43">
                  <c:v>103.40224786753799</c:v>
                </c:pt>
                <c:pt idx="44">
                  <c:v>102.988916656735</c:v>
                </c:pt>
                <c:pt idx="45">
                  <c:v>103.392070871309</c:v>
                </c:pt>
                <c:pt idx="46">
                  <c:v>102.695046066779</c:v>
                </c:pt>
                <c:pt idx="47">
                  <c:v>99.984206254009806</c:v>
                </c:pt>
                <c:pt idx="48">
                  <c:v>97.4096840979429</c:v>
                </c:pt>
                <c:pt idx="49">
                  <c:v>72.293751933874304</c:v>
                </c:pt>
                <c:pt idx="50">
                  <c:v>74.744020525141096</c:v>
                </c:pt>
                <c:pt idx="51">
                  <c:v>75.259536319548701</c:v>
                </c:pt>
                <c:pt idx="52">
                  <c:v>73.3427520343579</c:v>
                </c:pt>
              </c:numCache>
            </c:numRef>
          </c:val>
          <c:smooth val="0"/>
          <c:extLst>
            <c:ext xmlns:c16="http://schemas.microsoft.com/office/drawing/2014/chart" uri="{C3380CC4-5D6E-409C-BE32-E72D297353CC}">
              <c16:uniqueId val="{00000001-FAA8-4170-B819-CDA790B6E8AB}"/>
            </c:ext>
          </c:extLst>
        </c:ser>
        <c:dLbls>
          <c:showLegendKey val="0"/>
          <c:showVal val="0"/>
          <c:showCatName val="0"/>
          <c:showSerName val="0"/>
          <c:showPercent val="0"/>
          <c:showBubbleSize val="0"/>
        </c:dLbls>
        <c:marker val="1"/>
        <c:smooth val="0"/>
        <c:axId val="567008032"/>
        <c:axId val="1"/>
      </c:lineChart>
      <c:catAx>
        <c:axId val="567008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2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567008032"/>
        <c:crosses val="autoZero"/>
        <c:crossBetween val="between"/>
      </c:valAx>
      <c:spPr>
        <a:noFill/>
        <a:ln w="12700">
          <a:solidFill>
            <a:srgbClr val="808080"/>
          </a:solidFill>
          <a:prstDash val="solid"/>
        </a:ln>
      </c:spPr>
    </c:plotArea>
    <c:legend>
      <c:legendPos val="r"/>
      <c:layout>
        <c:manualLayout>
          <c:xMode val="edge"/>
          <c:yMode val="edge"/>
          <c:x val="4.1903699271164524E-3"/>
          <c:y val="0.92645137477774953"/>
          <c:w val="0.98545228226016357"/>
          <c:h val="5.9732413872886581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65E-2"/>
          <c:y val="3.0836814819635152E-2"/>
          <c:w val="0.91526018934083408"/>
          <c:h val="0.78347268269097947"/>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datos!$H$17:$H$69</c:f>
              <c:numCache>
                <c:formatCode>0.0</c:formatCode>
                <c:ptCount val="53"/>
                <c:pt idx="0">
                  <c:v>93.559083168609604</c:v>
                </c:pt>
                <c:pt idx="1">
                  <c:v>93.176958498303904</c:v>
                </c:pt>
                <c:pt idx="2">
                  <c:v>92.876729255538905</c:v>
                </c:pt>
                <c:pt idx="3">
                  <c:v>95.444111567036202</c:v>
                </c:pt>
                <c:pt idx="4">
                  <c:v>91.148465565066005</c:v>
                </c:pt>
                <c:pt idx="5">
                  <c:v>85.052778492861606</c:v>
                </c:pt>
                <c:pt idx="6">
                  <c:v>89.853676758980498</c:v>
                </c:pt>
                <c:pt idx="7">
                  <c:v>90.1629213420551</c:v>
                </c:pt>
                <c:pt idx="8">
                  <c:v>91.760827680654003</c:v>
                </c:pt>
                <c:pt idx="9">
                  <c:v>91.159895098682</c:v>
                </c:pt>
                <c:pt idx="10">
                  <c:v>91.898267502387398</c:v>
                </c:pt>
                <c:pt idx="11">
                  <c:v>91.747991866829494</c:v>
                </c:pt>
                <c:pt idx="12">
                  <c:v>91.768775621005503</c:v>
                </c:pt>
                <c:pt idx="13">
                  <c:v>93.925839732870202</c:v>
                </c:pt>
                <c:pt idx="14">
                  <c:v>94.863486148267</c:v>
                </c:pt>
                <c:pt idx="15">
                  <c:v>97.022319089950898</c:v>
                </c:pt>
                <c:pt idx="16">
                  <c:v>95.509062789756797</c:v>
                </c:pt>
                <c:pt idx="17">
                  <c:v>98.092903096639603</c:v>
                </c:pt>
                <c:pt idx="18">
                  <c:v>98.398361887759094</c:v>
                </c:pt>
                <c:pt idx="19">
                  <c:v>97.560705598168198</c:v>
                </c:pt>
                <c:pt idx="20">
                  <c:v>98.311153153460495</c:v>
                </c:pt>
                <c:pt idx="21">
                  <c:v>98.803686490130204</c:v>
                </c:pt>
                <c:pt idx="22">
                  <c:v>100.97039916711201</c:v>
                </c:pt>
                <c:pt idx="23">
                  <c:v>101.84527975752</c:v>
                </c:pt>
                <c:pt idx="24">
                  <c:v>101.47235628866</c:v>
                </c:pt>
                <c:pt idx="25">
                  <c:v>101.84450118145401</c:v>
                </c:pt>
                <c:pt idx="26">
                  <c:v>102.273058848605</c:v>
                </c:pt>
                <c:pt idx="27">
                  <c:v>103.970517191352</c:v>
                </c:pt>
                <c:pt idx="28">
                  <c:v>103.270399116451</c:v>
                </c:pt>
                <c:pt idx="29">
                  <c:v>105.506046593417</c:v>
                </c:pt>
                <c:pt idx="30">
                  <c:v>107.717504026013</c:v>
                </c:pt>
                <c:pt idx="31">
                  <c:v>108.44356216494501</c:v>
                </c:pt>
                <c:pt idx="32">
                  <c:v>107.95787245368101</c:v>
                </c:pt>
                <c:pt idx="33">
                  <c:v>108.476360600617</c:v>
                </c:pt>
                <c:pt idx="34">
                  <c:v>110.196905863129</c:v>
                </c:pt>
                <c:pt idx="35">
                  <c:v>111.886751936263</c:v>
                </c:pt>
                <c:pt idx="36">
                  <c:v>113.571596982226</c:v>
                </c:pt>
                <c:pt idx="37">
                  <c:v>112.103081751537</c:v>
                </c:pt>
                <c:pt idx="38">
                  <c:v>111.291742269415</c:v>
                </c:pt>
                <c:pt idx="39">
                  <c:v>113.41782871653901</c:v>
                </c:pt>
                <c:pt idx="40">
                  <c:v>115.13085286011599</c:v>
                </c:pt>
                <c:pt idx="41">
                  <c:v>116.565609774737</c:v>
                </c:pt>
                <c:pt idx="42">
                  <c:v>115.81987585044401</c:v>
                </c:pt>
                <c:pt idx="43">
                  <c:v>115.559517074474</c:v>
                </c:pt>
                <c:pt idx="44">
                  <c:v>116.14093134552699</c:v>
                </c:pt>
                <c:pt idx="45">
                  <c:v>116.767725335188</c:v>
                </c:pt>
                <c:pt idx="46">
                  <c:v>118.868766588402</c:v>
                </c:pt>
                <c:pt idx="47">
                  <c:v>115.92864879321699</c:v>
                </c:pt>
                <c:pt idx="48">
                  <c:v>108.888203009036</c:v>
                </c:pt>
                <c:pt idx="49">
                  <c:v>63.049335308096097</c:v>
                </c:pt>
                <c:pt idx="50">
                  <c:v>78.044273483489107</c:v>
                </c:pt>
                <c:pt idx="51">
                  <c:v>84.518525419862797</c:v>
                </c:pt>
                <c:pt idx="52">
                  <c:v>84.059802755823597</c:v>
                </c:pt>
              </c:numCache>
            </c:numRef>
          </c:val>
          <c:extLst>
            <c:ext xmlns:c16="http://schemas.microsoft.com/office/drawing/2014/chart" uri="{C3380CC4-5D6E-409C-BE32-E72D297353CC}">
              <c16:uniqueId val="{00000000-0EAA-45B9-A0F1-F28657CF8AFE}"/>
            </c:ext>
          </c:extLst>
        </c:ser>
        <c:dLbls>
          <c:showLegendKey val="0"/>
          <c:showVal val="0"/>
          <c:showCatName val="0"/>
          <c:showSerName val="0"/>
          <c:showPercent val="0"/>
          <c:showBubbleSize val="0"/>
        </c:dLbls>
        <c:gapWidth val="40"/>
        <c:axId val="566994720"/>
        <c:axId val="1"/>
      </c:barChart>
      <c:lineChart>
        <c:grouping val="standard"/>
        <c:varyColors val="0"/>
        <c:ser>
          <c:idx val="1"/>
          <c:order val="1"/>
          <c:tx>
            <c:v>Tendencia-Ciclo</c:v>
          </c:tx>
          <c:spPr>
            <a:ln w="15875">
              <a:solidFill>
                <a:srgbClr val="C00000"/>
              </a:solidFill>
              <a:prstDash val="solid"/>
            </a:ln>
          </c:spPr>
          <c:marker>
            <c:symbol val="none"/>
          </c:marker>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datos!$I$17:$I$69</c:f>
              <c:numCache>
                <c:formatCode>0.0</c:formatCode>
                <c:ptCount val="53"/>
                <c:pt idx="0">
                  <c:v>92.876645765628993</c:v>
                </c:pt>
                <c:pt idx="1">
                  <c:v>93.351495283051506</c:v>
                </c:pt>
                <c:pt idx="2">
                  <c:v>93.157451185681893</c:v>
                </c:pt>
                <c:pt idx="3">
                  <c:v>93.133941995950494</c:v>
                </c:pt>
                <c:pt idx="4">
                  <c:v>92.714252428998904</c:v>
                </c:pt>
                <c:pt idx="5">
                  <c:v>92.454747330870703</c:v>
                </c:pt>
                <c:pt idx="6">
                  <c:v>92.077337716329694</c:v>
                </c:pt>
                <c:pt idx="7">
                  <c:v>91.646414727991498</c:v>
                </c:pt>
                <c:pt idx="8">
                  <c:v>91.515872298985997</c:v>
                </c:pt>
                <c:pt idx="9">
                  <c:v>91.677518374170702</c:v>
                </c:pt>
                <c:pt idx="10">
                  <c:v>91.688777439113295</c:v>
                </c:pt>
                <c:pt idx="11">
                  <c:v>91.692575568647101</c:v>
                </c:pt>
                <c:pt idx="12">
                  <c:v>92.163253565580007</c:v>
                </c:pt>
                <c:pt idx="13">
                  <c:v>93.5015563546024</c:v>
                </c:pt>
                <c:pt idx="14">
                  <c:v>95.290080026465105</c:v>
                </c:pt>
                <c:pt idx="15">
                  <c:v>96.542216881121803</c:v>
                </c:pt>
                <c:pt idx="16">
                  <c:v>97.4038992499964</c:v>
                </c:pt>
                <c:pt idx="17">
                  <c:v>97.990931656565706</c:v>
                </c:pt>
                <c:pt idx="18">
                  <c:v>98.168808779779098</c:v>
                </c:pt>
                <c:pt idx="19">
                  <c:v>97.896798680539305</c:v>
                </c:pt>
                <c:pt idx="20">
                  <c:v>98.033740132215897</c:v>
                </c:pt>
                <c:pt idx="21">
                  <c:v>99.163337824417994</c:v>
                </c:pt>
                <c:pt idx="22">
                  <c:v>100.749382377662</c:v>
                </c:pt>
                <c:pt idx="23">
                  <c:v>101.702182824362</c:v>
                </c:pt>
                <c:pt idx="24">
                  <c:v>101.66925171300799</c:v>
                </c:pt>
                <c:pt idx="25">
                  <c:v>101.75144669152201</c:v>
                </c:pt>
                <c:pt idx="26">
                  <c:v>102.409935069551</c:v>
                </c:pt>
                <c:pt idx="27">
                  <c:v>103.095939674238</c:v>
                </c:pt>
                <c:pt idx="28">
                  <c:v>103.96145154553901</c:v>
                </c:pt>
                <c:pt idx="29">
                  <c:v>105.583377258564</c:v>
                </c:pt>
                <c:pt idx="30">
                  <c:v>107.5549095211</c:v>
                </c:pt>
                <c:pt idx="31">
                  <c:v>108.30094762102399</c:v>
                </c:pt>
                <c:pt idx="32">
                  <c:v>108.10605068959801</c:v>
                </c:pt>
                <c:pt idx="33">
                  <c:v>108.581407267782</c:v>
                </c:pt>
                <c:pt idx="34">
                  <c:v>110.104501863792</c:v>
                </c:pt>
                <c:pt idx="35">
                  <c:v>112.119812095862</c:v>
                </c:pt>
                <c:pt idx="36">
                  <c:v>113.06062914736999</c:v>
                </c:pt>
                <c:pt idx="37">
                  <c:v>112.215445397465</c:v>
                </c:pt>
                <c:pt idx="38">
                  <c:v>111.705188096977</c:v>
                </c:pt>
                <c:pt idx="39">
                  <c:v>113.16191630585701</c:v>
                </c:pt>
                <c:pt idx="40">
                  <c:v>115.28042416212899</c:v>
                </c:pt>
                <c:pt idx="41">
                  <c:v>116.23019060851</c:v>
                </c:pt>
                <c:pt idx="42">
                  <c:v>115.98945217862401</c:v>
                </c:pt>
                <c:pt idx="43">
                  <c:v>115.644162584158</c:v>
                </c:pt>
                <c:pt idx="44">
                  <c:v>116.05767201068601</c:v>
                </c:pt>
                <c:pt idx="45">
                  <c:v>116.99725737923001</c:v>
                </c:pt>
                <c:pt idx="46">
                  <c:v>117.25439983503</c:v>
                </c:pt>
                <c:pt idx="47">
                  <c:v>116.796576500285</c:v>
                </c:pt>
                <c:pt idx="48">
                  <c:v>108.771256531193</c:v>
                </c:pt>
                <c:pt idx="49">
                  <c:v>78.770954122983895</c:v>
                </c:pt>
                <c:pt idx="50">
                  <c:v>80.352652356677197</c:v>
                </c:pt>
                <c:pt idx="51">
                  <c:v>82.442134128005705</c:v>
                </c:pt>
                <c:pt idx="52">
                  <c:v>83.9433292494803</c:v>
                </c:pt>
              </c:numCache>
            </c:numRef>
          </c:val>
          <c:smooth val="0"/>
          <c:extLst>
            <c:ext xmlns:c16="http://schemas.microsoft.com/office/drawing/2014/chart" uri="{C3380CC4-5D6E-409C-BE32-E72D297353CC}">
              <c16:uniqueId val="{00000001-0EAA-45B9-A0F1-F28657CF8AFE}"/>
            </c:ext>
          </c:extLst>
        </c:ser>
        <c:dLbls>
          <c:showLegendKey val="0"/>
          <c:showVal val="0"/>
          <c:showCatName val="0"/>
          <c:showSerName val="0"/>
          <c:showPercent val="0"/>
          <c:showBubbleSize val="0"/>
        </c:dLbls>
        <c:marker val="1"/>
        <c:smooth val="0"/>
        <c:axId val="566994720"/>
        <c:axId val="1"/>
      </c:lineChart>
      <c:catAx>
        <c:axId val="5669947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566994720"/>
        <c:crosses val="autoZero"/>
        <c:crossBetween val="between"/>
      </c:valAx>
      <c:spPr>
        <a:noFill/>
        <a:ln w="12700">
          <a:solidFill>
            <a:schemeClr val="bg1">
              <a:lumMod val="65000"/>
            </a:schemeClr>
          </a:solidFill>
        </a:ln>
      </c:spPr>
    </c:plotArea>
    <c:legend>
      <c:legendPos val="r"/>
      <c:layout>
        <c:manualLayout>
          <c:xMode val="edge"/>
          <c:yMode val="edge"/>
          <c:x val="7.2887978504278571E-3"/>
          <c:y val="0.92069813450731253"/>
          <c:w val="0.98235521479296295"/>
          <c:h val="5.982829801945882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79E-2"/>
          <c:y val="3.0836814819635155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50800" dir="5400000" algn="ctr" rotWithShape="0">
                <a:schemeClr val="bg1">
                  <a:lumMod val="75000"/>
                </a:schemeClr>
              </a:outerShdw>
            </a:effectLst>
            <a:scene3d>
              <a:camera prst="orthographicFront"/>
              <a:lightRig rig="threePt" dir="t"/>
            </a:scene3d>
            <a:sp3d>
              <a:bevelT w="50800"/>
            </a:sp3d>
          </c:spPr>
          <c:invertIfNegative val="0"/>
          <c:dPt>
            <c:idx val="35"/>
            <c:invertIfNegative val="0"/>
            <c:bubble3D val="0"/>
            <c:extLst>
              <c:ext xmlns:c16="http://schemas.microsoft.com/office/drawing/2014/chart" uri="{C3380CC4-5D6E-409C-BE32-E72D297353CC}">
                <c16:uniqueId val="{00000000-BCAC-4179-906F-EEA2054CF8EE}"/>
              </c:ext>
            </c:extLst>
          </c:dPt>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datos!$J$17:$J$69</c:f>
              <c:numCache>
                <c:formatCode>0.0</c:formatCode>
                <c:ptCount val="53"/>
                <c:pt idx="0">
                  <c:v>94.182531702184505</c:v>
                </c:pt>
                <c:pt idx="1">
                  <c:v>94.1915351047288</c:v>
                </c:pt>
                <c:pt idx="2">
                  <c:v>93.1168166004569</c:v>
                </c:pt>
                <c:pt idx="3">
                  <c:v>94.819490685784103</c:v>
                </c:pt>
                <c:pt idx="4">
                  <c:v>90.535005773218202</c:v>
                </c:pt>
                <c:pt idx="5">
                  <c:v>84.063673812315301</c:v>
                </c:pt>
                <c:pt idx="6">
                  <c:v>89.375442796597994</c:v>
                </c:pt>
                <c:pt idx="7">
                  <c:v>90.938337383832106</c:v>
                </c:pt>
                <c:pt idx="8">
                  <c:v>91.561069389306695</c:v>
                </c:pt>
                <c:pt idx="9">
                  <c:v>90.830004546727196</c:v>
                </c:pt>
                <c:pt idx="10">
                  <c:v>90.941883066181504</c:v>
                </c:pt>
                <c:pt idx="11">
                  <c:v>89.899681448178598</c:v>
                </c:pt>
                <c:pt idx="12">
                  <c:v>91.141055554794605</c:v>
                </c:pt>
                <c:pt idx="13">
                  <c:v>92.977815854484902</c:v>
                </c:pt>
                <c:pt idx="14">
                  <c:v>94.187992120912</c:v>
                </c:pt>
                <c:pt idx="15">
                  <c:v>96.228433694137905</c:v>
                </c:pt>
                <c:pt idx="16">
                  <c:v>95.0284924874246</c:v>
                </c:pt>
                <c:pt idx="17">
                  <c:v>96.879005037977095</c:v>
                </c:pt>
                <c:pt idx="18">
                  <c:v>97.131186821043002</c:v>
                </c:pt>
                <c:pt idx="19">
                  <c:v>96.896793481856193</c:v>
                </c:pt>
                <c:pt idx="20">
                  <c:v>97.757683521802306</c:v>
                </c:pt>
                <c:pt idx="21">
                  <c:v>99.329172171460996</c:v>
                </c:pt>
                <c:pt idx="22">
                  <c:v>101.01784620234601</c:v>
                </c:pt>
                <c:pt idx="23">
                  <c:v>101.791090845029</c:v>
                </c:pt>
                <c:pt idx="24">
                  <c:v>100.10032897672799</c:v>
                </c:pt>
                <c:pt idx="25">
                  <c:v>100.572700353515</c:v>
                </c:pt>
                <c:pt idx="26">
                  <c:v>101.05984824503599</c:v>
                </c:pt>
                <c:pt idx="27">
                  <c:v>101.619716648281</c:v>
                </c:pt>
                <c:pt idx="28">
                  <c:v>101.726948293756</c:v>
                </c:pt>
                <c:pt idx="29">
                  <c:v>103.30536668841501</c:v>
                </c:pt>
                <c:pt idx="30">
                  <c:v>106.015905743565</c:v>
                </c:pt>
                <c:pt idx="31">
                  <c:v>107.813473338506</c:v>
                </c:pt>
                <c:pt idx="32">
                  <c:v>107.72999415272</c:v>
                </c:pt>
                <c:pt idx="33">
                  <c:v>107.353833718793</c:v>
                </c:pt>
                <c:pt idx="34">
                  <c:v>108.92907148037401</c:v>
                </c:pt>
                <c:pt idx="35">
                  <c:v>111.12628877098901</c:v>
                </c:pt>
                <c:pt idx="36">
                  <c:v>112.94507970350899</c:v>
                </c:pt>
                <c:pt idx="37">
                  <c:v>111.88680806070801</c:v>
                </c:pt>
                <c:pt idx="38">
                  <c:v>108.959158937867</c:v>
                </c:pt>
                <c:pt idx="39">
                  <c:v>109.449483008751</c:v>
                </c:pt>
                <c:pt idx="40">
                  <c:v>112.881652816083</c:v>
                </c:pt>
                <c:pt idx="41">
                  <c:v>115.565267302572</c:v>
                </c:pt>
                <c:pt idx="42">
                  <c:v>114.928497604488</c:v>
                </c:pt>
                <c:pt idx="43">
                  <c:v>113.815801243915</c:v>
                </c:pt>
                <c:pt idx="44">
                  <c:v>113.589804829249</c:v>
                </c:pt>
                <c:pt idx="45">
                  <c:v>116.030286108957</c:v>
                </c:pt>
                <c:pt idx="46">
                  <c:v>117.43659620552199</c:v>
                </c:pt>
                <c:pt idx="47">
                  <c:v>114.603861154597</c:v>
                </c:pt>
                <c:pt idx="48">
                  <c:v>106.258053958594</c:v>
                </c:pt>
                <c:pt idx="49">
                  <c:v>57.589148407422996</c:v>
                </c:pt>
                <c:pt idx="50">
                  <c:v>75.532814930070103</c:v>
                </c:pt>
                <c:pt idx="51">
                  <c:v>83.175458652866993</c:v>
                </c:pt>
                <c:pt idx="52">
                  <c:v>81.718425488074402</c:v>
                </c:pt>
              </c:numCache>
            </c:numRef>
          </c:val>
          <c:extLst>
            <c:ext xmlns:c16="http://schemas.microsoft.com/office/drawing/2014/chart" uri="{C3380CC4-5D6E-409C-BE32-E72D297353CC}">
              <c16:uniqueId val="{00000001-BCAC-4179-906F-EEA2054CF8EE}"/>
            </c:ext>
          </c:extLst>
        </c:ser>
        <c:dLbls>
          <c:showLegendKey val="0"/>
          <c:showVal val="0"/>
          <c:showCatName val="0"/>
          <c:showSerName val="0"/>
          <c:showPercent val="0"/>
          <c:showBubbleSize val="0"/>
        </c:dLbls>
        <c:gapWidth val="40"/>
        <c:axId val="567015104"/>
        <c:axId val="1"/>
      </c:barChart>
      <c:lineChart>
        <c:grouping val="standard"/>
        <c:varyColors val="0"/>
        <c:ser>
          <c:idx val="1"/>
          <c:order val="1"/>
          <c:tx>
            <c:v>Tendencia-Ciclo</c:v>
          </c:tx>
          <c:spPr>
            <a:ln w="15875">
              <a:solidFill>
                <a:srgbClr val="C00000"/>
              </a:solidFill>
              <a:prstDash val="solid"/>
            </a:ln>
          </c:spPr>
          <c:marker>
            <c:symbol val="none"/>
          </c:marker>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datos!$K$17:$K$69</c:f>
              <c:numCache>
                <c:formatCode>0.0</c:formatCode>
                <c:ptCount val="53"/>
                <c:pt idx="0">
                  <c:v>93.874034686991607</c:v>
                </c:pt>
                <c:pt idx="1">
                  <c:v>94.112831672768294</c:v>
                </c:pt>
                <c:pt idx="2">
                  <c:v>93.404742063821999</c:v>
                </c:pt>
                <c:pt idx="3">
                  <c:v>92.710751880150596</c:v>
                </c:pt>
                <c:pt idx="4">
                  <c:v>91.942709985673204</c:v>
                </c:pt>
                <c:pt idx="5">
                  <c:v>91.550333837307704</c:v>
                </c:pt>
                <c:pt idx="6">
                  <c:v>91.781464276108693</c:v>
                </c:pt>
                <c:pt idx="7">
                  <c:v>91.986464430123903</c:v>
                </c:pt>
                <c:pt idx="8">
                  <c:v>91.643859653736598</c:v>
                </c:pt>
                <c:pt idx="9">
                  <c:v>91.2313658411489</c:v>
                </c:pt>
                <c:pt idx="10">
                  <c:v>90.574485028393596</c:v>
                </c:pt>
                <c:pt idx="11">
                  <c:v>90.286925628353799</c:v>
                </c:pt>
                <c:pt idx="12">
                  <c:v>91.110547459783504</c:v>
                </c:pt>
                <c:pt idx="13">
                  <c:v>92.782442544618604</c:v>
                </c:pt>
                <c:pt idx="14">
                  <c:v>94.508545974735299</c:v>
                </c:pt>
                <c:pt idx="15">
                  <c:v>95.810883961594499</c:v>
                </c:pt>
                <c:pt idx="16">
                  <c:v>96.485326823733502</c:v>
                </c:pt>
                <c:pt idx="17">
                  <c:v>96.799145065389993</c:v>
                </c:pt>
                <c:pt idx="18">
                  <c:v>97.010900881332404</c:v>
                </c:pt>
                <c:pt idx="19">
                  <c:v>97.041192256579507</c:v>
                </c:pt>
                <c:pt idx="20">
                  <c:v>97.773010508331794</c:v>
                </c:pt>
                <c:pt idx="21">
                  <c:v>99.361421506021003</c:v>
                </c:pt>
                <c:pt idx="22">
                  <c:v>101.000169885274</c:v>
                </c:pt>
                <c:pt idx="23">
                  <c:v>101.55987618639099</c:v>
                </c:pt>
                <c:pt idx="24">
                  <c:v>101.02115816852201</c:v>
                </c:pt>
                <c:pt idx="25">
                  <c:v>100.632946292379</c:v>
                </c:pt>
                <c:pt idx="26">
                  <c:v>101.04711630024001</c:v>
                </c:pt>
                <c:pt idx="27">
                  <c:v>101.43988169661399</c:v>
                </c:pt>
                <c:pt idx="28">
                  <c:v>101.89310452296201</c:v>
                </c:pt>
                <c:pt idx="29">
                  <c:v>103.43063433417601</c:v>
                </c:pt>
                <c:pt idx="30">
                  <c:v>105.936824090424</c:v>
                </c:pt>
                <c:pt idx="31">
                  <c:v>107.625762646501</c:v>
                </c:pt>
                <c:pt idx="32">
                  <c:v>107.68184732708499</c:v>
                </c:pt>
                <c:pt idx="33">
                  <c:v>107.616223440167</c:v>
                </c:pt>
                <c:pt idx="34">
                  <c:v>108.904913199373</c:v>
                </c:pt>
                <c:pt idx="35">
                  <c:v>111.23629869033201</c:v>
                </c:pt>
                <c:pt idx="36">
                  <c:v>112.687622544199</c:v>
                </c:pt>
                <c:pt idx="37">
                  <c:v>111.57256688186899</c:v>
                </c:pt>
                <c:pt idx="38">
                  <c:v>109.382351388049</c:v>
                </c:pt>
                <c:pt idx="39">
                  <c:v>109.68549610525599</c:v>
                </c:pt>
                <c:pt idx="40">
                  <c:v>112.799519892779</c:v>
                </c:pt>
                <c:pt idx="41">
                  <c:v>115.16756795256499</c:v>
                </c:pt>
                <c:pt idx="42">
                  <c:v>115.03730337087801</c:v>
                </c:pt>
                <c:pt idx="43">
                  <c:v>113.785171265099</c:v>
                </c:pt>
                <c:pt idx="44">
                  <c:v>113.99505331988099</c:v>
                </c:pt>
                <c:pt idx="45">
                  <c:v>115.982524885613</c:v>
                </c:pt>
                <c:pt idx="46">
                  <c:v>116.715729383176</c:v>
                </c:pt>
                <c:pt idx="47">
                  <c:v>115.149682369939</c:v>
                </c:pt>
                <c:pt idx="48">
                  <c:v>105.976822283164</c:v>
                </c:pt>
                <c:pt idx="49">
                  <c:v>75.128318539949106</c:v>
                </c:pt>
                <c:pt idx="50">
                  <c:v>77.432962191409302</c:v>
                </c:pt>
                <c:pt idx="51">
                  <c:v>80.382018849509706</c:v>
                </c:pt>
                <c:pt idx="52">
                  <c:v>81.4674602939496</c:v>
                </c:pt>
              </c:numCache>
            </c:numRef>
          </c:val>
          <c:smooth val="0"/>
          <c:extLst>
            <c:ext xmlns:c16="http://schemas.microsoft.com/office/drawing/2014/chart" uri="{C3380CC4-5D6E-409C-BE32-E72D297353CC}">
              <c16:uniqueId val="{00000002-BCAC-4179-906F-EEA2054CF8EE}"/>
            </c:ext>
          </c:extLst>
        </c:ser>
        <c:dLbls>
          <c:showLegendKey val="0"/>
          <c:showVal val="0"/>
          <c:showCatName val="0"/>
          <c:showSerName val="0"/>
          <c:showPercent val="0"/>
          <c:showBubbleSize val="0"/>
        </c:dLbls>
        <c:marker val="1"/>
        <c:smooth val="0"/>
        <c:axId val="567015104"/>
        <c:axId val="1"/>
      </c:lineChart>
      <c:catAx>
        <c:axId val="5670151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567015104"/>
        <c:crosses val="autoZero"/>
        <c:crossBetween val="between"/>
      </c:valAx>
      <c:spPr>
        <a:noFill/>
        <a:ln w="12700" cmpd="dbl">
          <a:solidFill>
            <a:schemeClr val="tx1">
              <a:lumMod val="50000"/>
              <a:lumOff val="50000"/>
            </a:schemeClr>
          </a:solidFill>
          <a:prstDash val="solid"/>
        </a:ln>
        <a:effectLst>
          <a:outerShdw blurRad="50800" dist="12700" dir="5400000" algn="ctr" rotWithShape="0">
            <a:schemeClr val="bg1">
              <a:alpha val="43000"/>
            </a:schemeClr>
          </a:outerShdw>
        </a:effectLst>
      </c:spPr>
    </c:plotArea>
    <c:legend>
      <c:legendPos val="r"/>
      <c:layout>
        <c:manualLayout>
          <c:xMode val="edge"/>
          <c:yMode val="edge"/>
          <c:x val="0"/>
          <c:y val="0.92798690671031092"/>
          <c:w val="0.99666295884315903"/>
          <c:h val="5.891980360065466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chemeClr val="tx1">
          <a:alpha val="96000"/>
        </a:schemeClr>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463818271328733E-2"/>
          <c:y val="4.1747833893922018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datos!$N$17:$N$69</c:f>
              <c:numCache>
                <c:formatCode>0.0</c:formatCode>
                <c:ptCount val="53"/>
                <c:pt idx="0">
                  <c:v>87.850537280060806</c:v>
                </c:pt>
                <c:pt idx="1">
                  <c:v>86.354755572634303</c:v>
                </c:pt>
                <c:pt idx="2">
                  <c:v>87.220790429570997</c:v>
                </c:pt>
                <c:pt idx="3">
                  <c:v>97.252505338361701</c:v>
                </c:pt>
                <c:pt idx="4">
                  <c:v>103.71420910204</c:v>
                </c:pt>
                <c:pt idx="5">
                  <c:v>79.070226821612493</c:v>
                </c:pt>
                <c:pt idx="6">
                  <c:v>91.7763044431385</c:v>
                </c:pt>
                <c:pt idx="7">
                  <c:v>90.336494979492102</c:v>
                </c:pt>
                <c:pt idx="8">
                  <c:v>98.012176158272894</c:v>
                </c:pt>
                <c:pt idx="9">
                  <c:v>85.148984309621696</c:v>
                </c:pt>
                <c:pt idx="10">
                  <c:v>91.009574044150895</c:v>
                </c:pt>
                <c:pt idx="11">
                  <c:v>84.352413507060604</c:v>
                </c:pt>
                <c:pt idx="12">
                  <c:v>80.155515596397294</c:v>
                </c:pt>
                <c:pt idx="13">
                  <c:v>80.031662849668095</c:v>
                </c:pt>
                <c:pt idx="14">
                  <c:v>85.499143043408395</c:v>
                </c:pt>
                <c:pt idx="15">
                  <c:v>95.822767560910606</c:v>
                </c:pt>
                <c:pt idx="16">
                  <c:v>92.207140470912506</c:v>
                </c:pt>
                <c:pt idx="17">
                  <c:v>97.720166929643099</c:v>
                </c:pt>
                <c:pt idx="18">
                  <c:v>95.645924658686596</c:v>
                </c:pt>
                <c:pt idx="19">
                  <c:v>91.371314541792103</c:v>
                </c:pt>
                <c:pt idx="20">
                  <c:v>94.957599241639599</c:v>
                </c:pt>
                <c:pt idx="21">
                  <c:v>96.295251268923707</c:v>
                </c:pt>
                <c:pt idx="22">
                  <c:v>102.80319433784599</c:v>
                </c:pt>
                <c:pt idx="23">
                  <c:v>107.01179264122599</c:v>
                </c:pt>
                <c:pt idx="24">
                  <c:v>108.470345627689</c:v>
                </c:pt>
                <c:pt idx="25">
                  <c:v>110.570657149339</c:v>
                </c:pt>
                <c:pt idx="26">
                  <c:v>111.516147996548</c:v>
                </c:pt>
                <c:pt idx="27">
                  <c:v>118.440458249147</c:v>
                </c:pt>
                <c:pt idx="28">
                  <c:v>125.459033977166</c:v>
                </c:pt>
                <c:pt idx="29">
                  <c:v>134.72041237064701</c:v>
                </c:pt>
                <c:pt idx="30">
                  <c:v>141.86292002282099</c:v>
                </c:pt>
                <c:pt idx="31">
                  <c:v>143.478355682207</c:v>
                </c:pt>
                <c:pt idx="32">
                  <c:v>156.37655745123899</c:v>
                </c:pt>
                <c:pt idx="33">
                  <c:v>167.64876185411001</c:v>
                </c:pt>
                <c:pt idx="34">
                  <c:v>176.57522924128</c:v>
                </c:pt>
                <c:pt idx="35">
                  <c:v>180.15895727172099</c:v>
                </c:pt>
                <c:pt idx="36">
                  <c:v>182.643320131867</c:v>
                </c:pt>
                <c:pt idx="37">
                  <c:v>175.72836975790801</c:v>
                </c:pt>
                <c:pt idx="38">
                  <c:v>174.18531091216801</c:v>
                </c:pt>
                <c:pt idx="39">
                  <c:v>176.83945944038501</c:v>
                </c:pt>
                <c:pt idx="40">
                  <c:v>175.86386667417599</c:v>
                </c:pt>
                <c:pt idx="41">
                  <c:v>187.942152874616</c:v>
                </c:pt>
                <c:pt idx="42">
                  <c:v>183.39476791447299</c:v>
                </c:pt>
                <c:pt idx="43">
                  <c:v>184.3277064872</c:v>
                </c:pt>
                <c:pt idx="44">
                  <c:v>189.88884420673901</c:v>
                </c:pt>
                <c:pt idx="45">
                  <c:v>193.91260807399701</c:v>
                </c:pt>
                <c:pt idx="46">
                  <c:v>193.218169771676</c:v>
                </c:pt>
                <c:pt idx="47">
                  <c:v>171.78679358172101</c:v>
                </c:pt>
                <c:pt idx="48">
                  <c:v>161.42486733478199</c:v>
                </c:pt>
                <c:pt idx="49">
                  <c:v>19.8420956474815</c:v>
                </c:pt>
                <c:pt idx="50">
                  <c:v>61.657255933654902</c:v>
                </c:pt>
                <c:pt idx="51">
                  <c:v>83.936153555956196</c:v>
                </c:pt>
                <c:pt idx="52">
                  <c:v>77.569096976345705</c:v>
                </c:pt>
              </c:numCache>
            </c:numRef>
          </c:val>
          <c:extLst>
            <c:ext xmlns:c16="http://schemas.microsoft.com/office/drawing/2014/chart" uri="{C3380CC4-5D6E-409C-BE32-E72D297353CC}">
              <c16:uniqueId val="{00000000-0E80-42F1-9469-B689C4BA724D}"/>
            </c:ext>
          </c:extLst>
        </c:ser>
        <c:dLbls>
          <c:showLegendKey val="0"/>
          <c:showVal val="0"/>
          <c:showCatName val="0"/>
          <c:showSerName val="0"/>
          <c:showPercent val="0"/>
          <c:showBubbleSize val="0"/>
        </c:dLbls>
        <c:gapWidth val="40"/>
        <c:axId val="566995552"/>
        <c:axId val="1"/>
      </c:barChart>
      <c:lineChart>
        <c:grouping val="standard"/>
        <c:varyColors val="0"/>
        <c:ser>
          <c:idx val="1"/>
          <c:order val="1"/>
          <c:tx>
            <c:v>Tendencia-Ciclo</c:v>
          </c:tx>
          <c:spPr>
            <a:ln w="15875">
              <a:solidFill>
                <a:srgbClr val="C00000"/>
              </a:solidFill>
              <a:prstDash val="solid"/>
            </a:ln>
          </c:spPr>
          <c:marker>
            <c:symbol val="none"/>
          </c:marker>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datos!$O$17:$O$69</c:f>
              <c:numCache>
                <c:formatCode>0.0</c:formatCode>
                <c:ptCount val="53"/>
                <c:pt idx="0">
                  <c:v>87.522232665926097</c:v>
                </c:pt>
                <c:pt idx="1">
                  <c:v>86.079086664488997</c:v>
                </c:pt>
                <c:pt idx="2">
                  <c:v>88.655512976331806</c:v>
                </c:pt>
                <c:pt idx="3">
                  <c:v>96.788733580984399</c:v>
                </c:pt>
                <c:pt idx="4">
                  <c:v>102.867823380584</c:v>
                </c:pt>
                <c:pt idx="5">
                  <c:v>99.691078876212401</c:v>
                </c:pt>
                <c:pt idx="6">
                  <c:v>92.882667333753602</c:v>
                </c:pt>
                <c:pt idx="7">
                  <c:v>90.637117385499906</c:v>
                </c:pt>
                <c:pt idx="8">
                  <c:v>91.792599786557105</c:v>
                </c:pt>
                <c:pt idx="9">
                  <c:v>92.2555234583199</c:v>
                </c:pt>
                <c:pt idx="10">
                  <c:v>89.849067117450502</c:v>
                </c:pt>
                <c:pt idx="11">
                  <c:v>84.873868031385001</c:v>
                </c:pt>
                <c:pt idx="12">
                  <c:v>80.162454022902295</c:v>
                </c:pt>
                <c:pt idx="13">
                  <c:v>80.389256009697803</c:v>
                </c:pt>
                <c:pt idx="14">
                  <c:v>86.040805387080894</c:v>
                </c:pt>
                <c:pt idx="15">
                  <c:v>91.348753005758795</c:v>
                </c:pt>
                <c:pt idx="16">
                  <c:v>94.481146568751299</c:v>
                </c:pt>
                <c:pt idx="17">
                  <c:v>96.353057888385194</c:v>
                </c:pt>
                <c:pt idx="18">
                  <c:v>95.2867779361993</c:v>
                </c:pt>
                <c:pt idx="19">
                  <c:v>92.852386545958794</c:v>
                </c:pt>
                <c:pt idx="20">
                  <c:v>93.670545132291096</c:v>
                </c:pt>
                <c:pt idx="21">
                  <c:v>97.388467177836503</c:v>
                </c:pt>
                <c:pt idx="22">
                  <c:v>102.287817972909</c:v>
                </c:pt>
                <c:pt idx="23">
                  <c:v>106.729650709502</c:v>
                </c:pt>
                <c:pt idx="24">
                  <c:v>108.851310817537</c:v>
                </c:pt>
                <c:pt idx="25">
                  <c:v>109.914941746967</c:v>
                </c:pt>
                <c:pt idx="26">
                  <c:v>112.47202937489</c:v>
                </c:pt>
                <c:pt idx="27">
                  <c:v>117.850615894181</c:v>
                </c:pt>
                <c:pt idx="28">
                  <c:v>125.93705643357499</c:v>
                </c:pt>
                <c:pt idx="29">
                  <c:v>134.40263231275301</c:v>
                </c:pt>
                <c:pt idx="30">
                  <c:v>141.36945813035501</c:v>
                </c:pt>
                <c:pt idx="31">
                  <c:v>147.54826116064299</c:v>
                </c:pt>
                <c:pt idx="32">
                  <c:v>156.472638656957</c:v>
                </c:pt>
                <c:pt idx="33">
                  <c:v>167.56820358566401</c:v>
                </c:pt>
                <c:pt idx="34">
                  <c:v>176.04359320255</c:v>
                </c:pt>
                <c:pt idx="35">
                  <c:v>181.07997044394199</c:v>
                </c:pt>
                <c:pt idx="36">
                  <c:v>180.94928443484301</c:v>
                </c:pt>
                <c:pt idx="37">
                  <c:v>176.89922174129401</c:v>
                </c:pt>
                <c:pt idx="38">
                  <c:v>174.60246549958501</c:v>
                </c:pt>
                <c:pt idx="39">
                  <c:v>175.475863003938</c:v>
                </c:pt>
                <c:pt idx="40">
                  <c:v>179.207633135273</c:v>
                </c:pt>
                <c:pt idx="41">
                  <c:v>183.274914820455</c:v>
                </c:pt>
                <c:pt idx="42">
                  <c:v>184.405457340418</c:v>
                </c:pt>
                <c:pt idx="43">
                  <c:v>184.868791859184</c:v>
                </c:pt>
                <c:pt idx="44">
                  <c:v>189.93590273796201</c:v>
                </c:pt>
                <c:pt idx="45">
                  <c:v>193.79037920136</c:v>
                </c:pt>
                <c:pt idx="46">
                  <c:v>187.67820640094999</c:v>
                </c:pt>
                <c:pt idx="47">
                  <c:v>173.04869221695901</c:v>
                </c:pt>
                <c:pt idx="48">
                  <c:v>160.97694981339001</c:v>
                </c:pt>
                <c:pt idx="49">
                  <c:v>59.716858528041698</c:v>
                </c:pt>
                <c:pt idx="50">
                  <c:v>67.000667652350003</c:v>
                </c:pt>
                <c:pt idx="51">
                  <c:v>74.993684521764493</c:v>
                </c:pt>
                <c:pt idx="52">
                  <c:v>77.307508590723103</c:v>
                </c:pt>
              </c:numCache>
            </c:numRef>
          </c:val>
          <c:smooth val="0"/>
          <c:extLst>
            <c:ext xmlns:c16="http://schemas.microsoft.com/office/drawing/2014/chart" uri="{C3380CC4-5D6E-409C-BE32-E72D297353CC}">
              <c16:uniqueId val="{00000001-0E80-42F1-9469-B689C4BA724D}"/>
            </c:ext>
          </c:extLst>
        </c:ser>
        <c:dLbls>
          <c:showLegendKey val="0"/>
          <c:showVal val="0"/>
          <c:showCatName val="0"/>
          <c:showSerName val="0"/>
          <c:showPercent val="0"/>
          <c:showBubbleSize val="0"/>
        </c:dLbls>
        <c:marker val="1"/>
        <c:smooth val="0"/>
        <c:axId val="566995552"/>
        <c:axId val="1"/>
      </c:lineChart>
      <c:catAx>
        <c:axId val="566995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220"/>
          <c:min val="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566995552"/>
        <c:crosses val="autoZero"/>
        <c:crossBetween val="between"/>
      </c:valAx>
      <c:spPr>
        <a:noFill/>
        <a:ln w="12700">
          <a:solidFill>
            <a:schemeClr val="bg1">
              <a:lumMod val="65000"/>
            </a:schemeClr>
          </a:solidFill>
        </a:ln>
      </c:spPr>
    </c:plotArea>
    <c:legend>
      <c:legendPos val="r"/>
      <c:layout>
        <c:manualLayout>
          <c:xMode val="edge"/>
          <c:yMode val="edge"/>
          <c:x val="7.0133797093343527E-3"/>
          <c:y val="0.92252996107949803"/>
          <c:w val="0.98558743420113548"/>
          <c:h val="5.9779493305588023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79E-2"/>
          <c:y val="3.0836814819635155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3">
                <a:lumMod val="60000"/>
                <a:lumOff val="40000"/>
              </a:schemeClr>
            </a:solidFill>
            <a:ln w="12700">
              <a:noFill/>
              <a:prstDash val="solid"/>
            </a:ln>
            <a:effectLst>
              <a:outerShdw blurRad="50800" dist="12700" dir="5400000" algn="ctr" rotWithShape="0">
                <a:srgbClr val="000000">
                  <a:alpha val="43137"/>
                </a:srgbClr>
              </a:outerShdw>
            </a:effectLst>
            <a:scene3d>
              <a:camera prst="orthographicFront"/>
              <a:lightRig rig="threePt" dir="t"/>
            </a:scene3d>
            <a:sp3d>
              <a:bevelT w="50800"/>
            </a:sp3d>
          </c:spPr>
          <c:invertIfNegative val="0"/>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datos!$L$17:$L$69</c:f>
              <c:numCache>
                <c:formatCode>0.0</c:formatCode>
                <c:ptCount val="53"/>
                <c:pt idx="0">
                  <c:v>95.1831309582806</c:v>
                </c:pt>
                <c:pt idx="1">
                  <c:v>95.029063307802403</c:v>
                </c:pt>
                <c:pt idx="2">
                  <c:v>93.888196164960405</c:v>
                </c:pt>
                <c:pt idx="3">
                  <c:v>94.310807124420293</c:v>
                </c:pt>
                <c:pt idx="4">
                  <c:v>88.811900909881601</c:v>
                </c:pt>
                <c:pt idx="5">
                  <c:v>84.520838173664202</c:v>
                </c:pt>
                <c:pt idx="6">
                  <c:v>89.283332133402695</c:v>
                </c:pt>
                <c:pt idx="7">
                  <c:v>90.772059600195306</c:v>
                </c:pt>
                <c:pt idx="8">
                  <c:v>90.945699572961999</c:v>
                </c:pt>
                <c:pt idx="9">
                  <c:v>91.265143029714807</c:v>
                </c:pt>
                <c:pt idx="10">
                  <c:v>91.066709032919505</c:v>
                </c:pt>
                <c:pt idx="11">
                  <c:v>90.414918683664396</c:v>
                </c:pt>
                <c:pt idx="12">
                  <c:v>93.016176467948597</c:v>
                </c:pt>
                <c:pt idx="13">
                  <c:v>94.3250167883686</c:v>
                </c:pt>
                <c:pt idx="14">
                  <c:v>95.120969565135994</c:v>
                </c:pt>
                <c:pt idx="15">
                  <c:v>96.142405771558501</c:v>
                </c:pt>
                <c:pt idx="16">
                  <c:v>95.804552555709407</c:v>
                </c:pt>
                <c:pt idx="17">
                  <c:v>96.579056087962698</c:v>
                </c:pt>
                <c:pt idx="18">
                  <c:v>97.165968356426802</c:v>
                </c:pt>
                <c:pt idx="19">
                  <c:v>97.554407383850403</c:v>
                </c:pt>
                <c:pt idx="20">
                  <c:v>98.503120617389996</c:v>
                </c:pt>
                <c:pt idx="21">
                  <c:v>99.599262018195105</c:v>
                </c:pt>
                <c:pt idx="22">
                  <c:v>100.558002480638</c:v>
                </c:pt>
                <c:pt idx="23">
                  <c:v>101.09051227973499</c:v>
                </c:pt>
                <c:pt idx="24">
                  <c:v>99.385754905901095</c:v>
                </c:pt>
                <c:pt idx="25">
                  <c:v>99.278391148377295</c:v>
                </c:pt>
                <c:pt idx="26">
                  <c:v>99.550059892722899</c:v>
                </c:pt>
                <c:pt idx="27">
                  <c:v>99.445897043461798</c:v>
                </c:pt>
                <c:pt idx="28">
                  <c:v>98.9405483658729</c:v>
                </c:pt>
                <c:pt idx="29">
                  <c:v>99.483827547724104</c:v>
                </c:pt>
                <c:pt idx="30">
                  <c:v>101.600971136071</c:v>
                </c:pt>
                <c:pt idx="31">
                  <c:v>103.180307334113</c:v>
                </c:pt>
                <c:pt idx="32">
                  <c:v>101.66357316546799</c:v>
                </c:pt>
                <c:pt idx="33">
                  <c:v>100.089947477545</c:v>
                </c:pt>
                <c:pt idx="34">
                  <c:v>100.88430707551299</c:v>
                </c:pt>
                <c:pt idx="35">
                  <c:v>102.241537189266</c:v>
                </c:pt>
                <c:pt idx="36">
                  <c:v>104.084140304977</c:v>
                </c:pt>
                <c:pt idx="37">
                  <c:v>104.283466773081</c:v>
                </c:pt>
                <c:pt idx="38">
                  <c:v>101.07646592850701</c:v>
                </c:pt>
                <c:pt idx="39">
                  <c:v>100.64589911482599</c:v>
                </c:pt>
                <c:pt idx="40">
                  <c:v>105.071799032396</c:v>
                </c:pt>
                <c:pt idx="41">
                  <c:v>107.033931889207</c:v>
                </c:pt>
                <c:pt idx="42">
                  <c:v>106.60134742128901</c:v>
                </c:pt>
                <c:pt idx="43">
                  <c:v>104.57425061244901</c:v>
                </c:pt>
                <c:pt idx="44">
                  <c:v>103.80688217456699</c:v>
                </c:pt>
                <c:pt idx="45">
                  <c:v>106.99252637295</c:v>
                </c:pt>
                <c:pt idx="46">
                  <c:v>108.33160785032101</c:v>
                </c:pt>
                <c:pt idx="47">
                  <c:v>107.107622895712</c:v>
                </c:pt>
                <c:pt idx="48">
                  <c:v>99.197945186467393</c:v>
                </c:pt>
                <c:pt idx="49">
                  <c:v>61.9058075271899</c:v>
                </c:pt>
                <c:pt idx="50">
                  <c:v>76.470512373853296</c:v>
                </c:pt>
                <c:pt idx="51">
                  <c:v>83.171019351648496</c:v>
                </c:pt>
                <c:pt idx="52">
                  <c:v>82.737913285934994</c:v>
                </c:pt>
              </c:numCache>
            </c:numRef>
          </c:val>
          <c:extLst>
            <c:ext xmlns:c16="http://schemas.microsoft.com/office/drawing/2014/chart" uri="{C3380CC4-5D6E-409C-BE32-E72D297353CC}">
              <c16:uniqueId val="{00000000-4573-49ED-8F39-F98309F5AD08}"/>
            </c:ext>
          </c:extLst>
        </c:ser>
        <c:dLbls>
          <c:showLegendKey val="0"/>
          <c:showVal val="0"/>
          <c:showCatName val="0"/>
          <c:showSerName val="0"/>
          <c:showPercent val="0"/>
          <c:showBubbleSize val="0"/>
        </c:dLbls>
        <c:gapWidth val="40"/>
        <c:axId val="566995136"/>
        <c:axId val="1"/>
      </c:barChart>
      <c:lineChart>
        <c:grouping val="standard"/>
        <c:varyColors val="0"/>
        <c:ser>
          <c:idx val="1"/>
          <c:order val="1"/>
          <c:tx>
            <c:v>Tendencia-Ciclo</c:v>
          </c:tx>
          <c:spPr>
            <a:ln w="15875">
              <a:solidFill>
                <a:srgbClr val="C00000"/>
              </a:solidFill>
              <a:prstDash val="solid"/>
            </a:ln>
          </c:spPr>
          <c:marker>
            <c:symbol val="none"/>
          </c:marker>
          <c:cat>
            <c:multiLvlStrRef>
              <c:f>datos!$B$17:$C$69</c:f>
              <c:multiLvlStrCache>
                <c:ptCount val="53"/>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datos!$M$17:$M$69</c:f>
              <c:numCache>
                <c:formatCode>0.0</c:formatCode>
                <c:ptCount val="53"/>
                <c:pt idx="0">
                  <c:v>94.632077241687895</c:v>
                </c:pt>
                <c:pt idx="1">
                  <c:v>95.029315969325793</c:v>
                </c:pt>
                <c:pt idx="2">
                  <c:v>93.984006535873505</c:v>
                </c:pt>
                <c:pt idx="3">
                  <c:v>92.291954719485602</c:v>
                </c:pt>
                <c:pt idx="4">
                  <c:v>90.520937613323696</c:v>
                </c:pt>
                <c:pt idx="5">
                  <c:v>90.048617620075305</c:v>
                </c:pt>
                <c:pt idx="6">
                  <c:v>90.878192926064699</c:v>
                </c:pt>
                <c:pt idx="7">
                  <c:v>91.392131440096904</c:v>
                </c:pt>
                <c:pt idx="8">
                  <c:v>91.299001206204196</c:v>
                </c:pt>
                <c:pt idx="9">
                  <c:v>91.244840501444898</c:v>
                </c:pt>
                <c:pt idx="10">
                  <c:v>90.958872093327898</c:v>
                </c:pt>
                <c:pt idx="11">
                  <c:v>91.288675142173602</c:v>
                </c:pt>
                <c:pt idx="12">
                  <c:v>92.764407456290897</c:v>
                </c:pt>
                <c:pt idx="13">
                  <c:v>94.294896290243202</c:v>
                </c:pt>
                <c:pt idx="14">
                  <c:v>95.291886156915197</c:v>
                </c:pt>
                <c:pt idx="15">
                  <c:v>95.844672643013396</c:v>
                </c:pt>
                <c:pt idx="16">
                  <c:v>96.081527641495597</c:v>
                </c:pt>
                <c:pt idx="17">
                  <c:v>96.484417984181903</c:v>
                </c:pt>
                <c:pt idx="18">
                  <c:v>97.109461836789805</c:v>
                </c:pt>
                <c:pt idx="19">
                  <c:v>97.640435108057204</c:v>
                </c:pt>
                <c:pt idx="20">
                  <c:v>98.4937213352854</c:v>
                </c:pt>
                <c:pt idx="21">
                  <c:v>99.636505300444696</c:v>
                </c:pt>
                <c:pt idx="22">
                  <c:v>100.51274993257201</c:v>
                </c:pt>
                <c:pt idx="23">
                  <c:v>100.43135217755299</c:v>
                </c:pt>
                <c:pt idx="24">
                  <c:v>99.679274748605295</c:v>
                </c:pt>
                <c:pt idx="25">
                  <c:v>99.318210309865407</c:v>
                </c:pt>
                <c:pt idx="26">
                  <c:v>99.4872687787757</c:v>
                </c:pt>
                <c:pt idx="27">
                  <c:v>99.337580518002</c:v>
                </c:pt>
                <c:pt idx="28">
                  <c:v>99.0084368972921</c:v>
                </c:pt>
                <c:pt idx="29">
                  <c:v>99.677446691890694</c:v>
                </c:pt>
                <c:pt idx="30">
                  <c:v>101.63376279612299</c:v>
                </c:pt>
                <c:pt idx="31">
                  <c:v>102.769306361042</c:v>
                </c:pt>
                <c:pt idx="32">
                  <c:v>101.70867925947999</c:v>
                </c:pt>
                <c:pt idx="33">
                  <c:v>100.400541264541</c:v>
                </c:pt>
                <c:pt idx="34">
                  <c:v>100.757454060192</c:v>
                </c:pt>
                <c:pt idx="35">
                  <c:v>102.43892895870999</c:v>
                </c:pt>
                <c:pt idx="36">
                  <c:v>103.87016483813601</c:v>
                </c:pt>
                <c:pt idx="37">
                  <c:v>103.256369055533</c:v>
                </c:pt>
                <c:pt idx="38">
                  <c:v>101.53948195220499</c:v>
                </c:pt>
                <c:pt idx="39">
                  <c:v>102.04747784327201</c:v>
                </c:pt>
                <c:pt idx="40">
                  <c:v>104.878126766744</c:v>
                </c:pt>
                <c:pt idx="41">
                  <c:v>106.893021288748</c:v>
                </c:pt>
                <c:pt idx="42">
                  <c:v>106.45052661608101</c:v>
                </c:pt>
                <c:pt idx="43">
                  <c:v>104.586069092792</c:v>
                </c:pt>
                <c:pt idx="44">
                  <c:v>104.430483755246</c:v>
                </c:pt>
                <c:pt idx="45">
                  <c:v>106.61929383947999</c:v>
                </c:pt>
                <c:pt idx="46">
                  <c:v>108.041088882596</c:v>
                </c:pt>
                <c:pt idx="47">
                  <c:v>107.40196489658</c:v>
                </c:pt>
                <c:pt idx="48">
                  <c:v>98.907141832985701</c:v>
                </c:pt>
                <c:pt idx="49">
                  <c:v>76.350959943062605</c:v>
                </c:pt>
                <c:pt idx="50">
                  <c:v>78.134126424100003</c:v>
                </c:pt>
                <c:pt idx="51">
                  <c:v>81.000447316802394</c:v>
                </c:pt>
                <c:pt idx="52">
                  <c:v>82.407746188767902</c:v>
                </c:pt>
              </c:numCache>
            </c:numRef>
          </c:val>
          <c:smooth val="0"/>
          <c:extLst>
            <c:ext xmlns:c16="http://schemas.microsoft.com/office/drawing/2014/chart" uri="{C3380CC4-5D6E-409C-BE32-E72D297353CC}">
              <c16:uniqueId val="{00000001-4573-49ED-8F39-F98309F5AD08}"/>
            </c:ext>
          </c:extLst>
        </c:ser>
        <c:dLbls>
          <c:showLegendKey val="0"/>
          <c:showVal val="0"/>
          <c:showCatName val="0"/>
          <c:showSerName val="0"/>
          <c:showPercent val="0"/>
          <c:showBubbleSize val="0"/>
        </c:dLbls>
        <c:marker val="1"/>
        <c:smooth val="0"/>
        <c:axId val="566995136"/>
        <c:axId val="1"/>
      </c:lineChart>
      <c:catAx>
        <c:axId val="5669951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2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566995136"/>
        <c:crosses val="autoZero"/>
        <c:crossBetween val="between"/>
      </c:valAx>
      <c:spPr>
        <a:noFill/>
        <a:ln w="12700">
          <a:solidFill>
            <a:srgbClr val="808080"/>
          </a:solidFill>
          <a:prstDash val="solid"/>
        </a:ln>
      </c:spPr>
    </c:plotArea>
    <c:legend>
      <c:legendPos val="r"/>
      <c:layout>
        <c:manualLayout>
          <c:xMode val="edge"/>
          <c:yMode val="edge"/>
          <c:x val="5.1511758118701005E-2"/>
          <c:y val="0.91900826446280992"/>
          <c:w val="0.94512877939529671"/>
          <c:h val="5.9504132231404959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A2894-09AB-487F-8005-5353242B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1772</Words>
  <Characters>9746</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Comunicado de Prensa. Indicadores Trimestrales de la Actividad Turística. Primer Trimestre de 2021</vt:lpstr>
    </vt:vector>
  </TitlesOfParts>
  <Company>DGCNES y P.  "INEGI"</Company>
  <LinksUpToDate>false</LinksUpToDate>
  <CharactersWithSpaces>11496</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Trimestrales de la Actividad Turística. Primer Trimestre de 2021</dc:title>
  <dc:creator>Laura Calles</dc:creator>
  <cp:lastModifiedBy>COLLAZO GALLEGOS MARCOS DARIO</cp:lastModifiedBy>
  <cp:revision>2</cp:revision>
  <cp:lastPrinted>2020-02-19T15:11:00Z</cp:lastPrinted>
  <dcterms:created xsi:type="dcterms:W3CDTF">2021-08-11T22:20:00Z</dcterms:created>
  <dcterms:modified xsi:type="dcterms:W3CDTF">2021-08-11T22:20:00Z</dcterms:modified>
</cp:coreProperties>
</file>