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FF55B" w14:textId="77777777" w:rsidR="005C7D88" w:rsidRDefault="005C7D88" w:rsidP="005C7D88">
      <w:pPr>
        <w:pStyle w:val="Ttulo2"/>
        <w:spacing w:before="360"/>
        <w:rPr>
          <w:color w:val="auto"/>
        </w:rPr>
      </w:pPr>
      <w:r>
        <w:rPr>
          <w:noProof/>
          <w:lang w:val="es-MX" w:eastAsia="es-MX"/>
        </w:rPr>
        <mc:AlternateContent>
          <mc:Choice Requires="wps">
            <w:drawing>
              <wp:anchor distT="45720" distB="45720" distL="114300" distR="114300" simplePos="0" relativeHeight="251659264" behindDoc="0" locked="0" layoutInCell="1" allowOverlap="1" wp14:anchorId="4A0B4275" wp14:editId="2D015D65">
                <wp:simplePos x="0" y="0"/>
                <wp:positionH relativeFrom="column">
                  <wp:posOffset>3017292</wp:posOffset>
                </wp:positionH>
                <wp:positionV relativeFrom="paragraph">
                  <wp:posOffset>122</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6AE3097" w14:textId="77777777" w:rsidR="005C7D88" w:rsidRPr="007E0E09" w:rsidRDefault="005C7D88" w:rsidP="005C7D88">
                            <w:pPr>
                              <w:jc w:val="right"/>
                              <w:rPr>
                                <w:rFonts w:cs="Arial"/>
                                <w:szCs w:val="24"/>
                              </w:rPr>
                            </w:pPr>
                            <w:r w:rsidRPr="007E0E09">
                              <w:rPr>
                                <w:rFonts w:cs="Arial"/>
                                <w:b/>
                                <w:color w:val="FFFFFF" w:themeColor="background1"/>
                                <w:szCs w:val="24"/>
                                <w:shd w:val="clear" w:color="auto" w:fill="365F91" w:themeFill="accent1" w:themeFillShade="BF"/>
                                <w:lang w:val="pt-BR"/>
                              </w:rPr>
                              <w:t xml:space="preserve">Próxima </w:t>
                            </w:r>
                            <w:proofErr w:type="spellStart"/>
                            <w:r w:rsidRPr="007E0E09">
                              <w:rPr>
                                <w:rFonts w:cs="Arial"/>
                                <w:b/>
                                <w:color w:val="FFFFFF" w:themeColor="background1"/>
                                <w:szCs w:val="24"/>
                                <w:shd w:val="clear" w:color="auto" w:fill="365F91" w:themeFill="accent1" w:themeFillShade="BF"/>
                                <w:lang w:val="pt-BR"/>
                              </w:rPr>
                              <w:t>publicación</w:t>
                            </w:r>
                            <w:proofErr w:type="spellEnd"/>
                            <w:r w:rsidRPr="007E0E09">
                              <w:rPr>
                                <w:rFonts w:cs="Arial"/>
                                <w:b/>
                                <w:color w:val="FFFFFF" w:themeColor="background1"/>
                                <w:szCs w:val="24"/>
                                <w:shd w:val="clear" w:color="auto" w:fill="365F91" w:themeFill="accent1" w:themeFillShade="BF"/>
                                <w:lang w:val="pt-BR"/>
                              </w:rPr>
                              <w:t>:</w:t>
                            </w:r>
                            <w:r>
                              <w:rPr>
                                <w:rFonts w:cs="Arial"/>
                                <w:b/>
                                <w:color w:val="FFFFFF" w:themeColor="background1"/>
                                <w:szCs w:val="24"/>
                                <w:shd w:val="clear" w:color="auto" w:fill="365F91" w:themeFill="accent1" w:themeFillShade="BF"/>
                                <w:lang w:val="pt-BR"/>
                              </w:rPr>
                              <w:t xml:space="preserve"> </w:t>
                            </w:r>
                            <w:r w:rsidRPr="007E0E09">
                              <w:rPr>
                                <w:rFonts w:cs="Arial"/>
                                <w:b/>
                                <w:color w:val="FFFFFF" w:themeColor="background1"/>
                                <w:szCs w:val="24"/>
                                <w:shd w:val="clear" w:color="auto" w:fill="365F91" w:themeFill="accent1" w:themeFillShade="BF"/>
                                <w:lang w:val="pt-BR"/>
                              </w:rPr>
                              <w:t xml:space="preserve"> </w:t>
                            </w:r>
                            <w:r>
                              <w:rPr>
                                <w:rFonts w:cs="Arial"/>
                                <w:b/>
                                <w:color w:val="FFFFFF" w:themeColor="background1"/>
                                <w:szCs w:val="24"/>
                                <w:shd w:val="clear" w:color="auto" w:fill="365F91" w:themeFill="accent1" w:themeFillShade="BF"/>
                                <w:lang w:val="pt-BR"/>
                              </w:rPr>
                              <w:t xml:space="preserve">29 </w:t>
                            </w:r>
                            <w:r w:rsidRPr="007E0E09">
                              <w:rPr>
                                <w:rFonts w:cs="Arial"/>
                                <w:b/>
                                <w:color w:val="FFFFFF" w:themeColor="background1"/>
                                <w:szCs w:val="24"/>
                                <w:shd w:val="clear" w:color="auto" w:fill="365F91" w:themeFill="accent1" w:themeFillShade="BF"/>
                                <w:lang w:val="pt-BR"/>
                              </w:rPr>
                              <w:t>de</w:t>
                            </w:r>
                            <w:r>
                              <w:rPr>
                                <w:rFonts w:cs="Arial"/>
                                <w:b/>
                                <w:color w:val="FFFFFF" w:themeColor="background1"/>
                                <w:szCs w:val="24"/>
                                <w:shd w:val="clear" w:color="auto" w:fill="365F91" w:themeFill="accent1" w:themeFillShade="BF"/>
                                <w:lang w:val="pt-BR"/>
                              </w:rPr>
                              <w:t xml:space="preserve"> </w:t>
                            </w:r>
                            <w:proofErr w:type="spellStart"/>
                            <w:r>
                              <w:rPr>
                                <w:rFonts w:cs="Arial"/>
                                <w:b/>
                                <w:color w:val="FFFFFF" w:themeColor="background1"/>
                                <w:szCs w:val="24"/>
                                <w:shd w:val="clear" w:color="auto" w:fill="365F91" w:themeFill="accent1" w:themeFillShade="BF"/>
                                <w:lang w:val="pt-BR"/>
                              </w:rPr>
                              <w:t>octubre</w:t>
                            </w:r>
                            <w:proofErr w:type="spellEnd"/>
                            <w:r>
                              <w:rPr>
                                <w:rFonts w:cs="Arial"/>
                                <w:b/>
                                <w:color w:val="FFFFFF" w:themeColor="background1"/>
                                <w:szCs w:val="24"/>
                                <w:shd w:val="clear" w:color="auto" w:fill="365F91" w:themeFill="accent1" w:themeFillShade="BF"/>
                                <w:lang w:val="pt-BR"/>
                              </w:rPr>
                              <w:t xml:space="preserve"> </w:t>
                            </w:r>
                            <w:proofErr w:type="spellStart"/>
                            <w:r>
                              <w:rPr>
                                <w:rFonts w:cs="Arial"/>
                                <w:b/>
                                <w:color w:val="FFFFFF" w:themeColor="background1"/>
                                <w:szCs w:val="24"/>
                                <w:shd w:val="clear" w:color="auto" w:fill="365F91" w:themeFill="accent1" w:themeFillShade="BF"/>
                                <w:lang w:val="pt-BR"/>
                              </w:rPr>
                              <w:t>bril</w:t>
                            </w:r>
                            <w:r w:rsidRPr="007E0E09">
                              <w:rPr>
                                <w:rFonts w:cs="Arial"/>
                                <w:b/>
                                <w:color w:val="FFFFFF" w:themeColor="background1"/>
                                <w:szCs w:val="24"/>
                                <w:shd w:val="clear" w:color="auto" w:fill="365F91" w:themeFill="accent1" w:themeFillShade="BF"/>
                                <w:lang w:val="pt-BR"/>
                              </w:rPr>
                              <w:t>SEPTIEMBREsto</w:t>
                            </w:r>
                            <w:proofErr w:type="spellEnd"/>
                            <w:r w:rsidRPr="007E0E09">
                              <w:rPr>
                                <w:rFonts w:cs="Arial"/>
                                <w:b/>
                                <w:color w:val="FFFFFF" w:themeColor="background1"/>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B4275" id="_x0000_t202" coordsize="21600,21600" o:spt="202" path="m,l,21600r21600,l21600,xe">
                <v:stroke joinstyle="miter"/>
                <v:path gradientshapeok="t" o:connecttype="rect"/>
              </v:shapetype>
              <v:shape id="Cuadro de texto 217" o:spid="_x0000_s1026" type="#_x0000_t202" style="position:absolute;left:0;text-align:left;margin-left:237.6pt;margin-top:0;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" stroked="f">
                <v:textbox>
                  <w:txbxContent>
                    <w:p w14:paraId="26AE3097" w14:textId="77777777" w:rsidR="005C7D88" w:rsidRPr="007E0E09" w:rsidRDefault="005C7D88" w:rsidP="005C7D88">
                      <w:pPr>
                        <w:jc w:val="right"/>
                        <w:rPr>
                          <w:rFonts w:cs="Arial"/>
                          <w:szCs w:val="24"/>
                        </w:rPr>
                      </w:pPr>
                      <w:r w:rsidRPr="007E0E09">
                        <w:rPr>
                          <w:rFonts w:cs="Arial"/>
                          <w:b/>
                          <w:color w:val="FFFFFF" w:themeColor="background1"/>
                          <w:szCs w:val="24"/>
                          <w:shd w:val="clear" w:color="auto" w:fill="365F91" w:themeFill="accent1" w:themeFillShade="BF"/>
                          <w:lang w:val="pt-BR"/>
                        </w:rPr>
                        <w:t xml:space="preserve">Próxima </w:t>
                      </w:r>
                      <w:proofErr w:type="spellStart"/>
                      <w:r w:rsidRPr="007E0E09">
                        <w:rPr>
                          <w:rFonts w:cs="Arial"/>
                          <w:b/>
                          <w:color w:val="FFFFFF" w:themeColor="background1"/>
                          <w:szCs w:val="24"/>
                          <w:shd w:val="clear" w:color="auto" w:fill="365F91" w:themeFill="accent1" w:themeFillShade="BF"/>
                          <w:lang w:val="pt-BR"/>
                        </w:rPr>
                        <w:t>publicación</w:t>
                      </w:r>
                      <w:proofErr w:type="spellEnd"/>
                      <w:r w:rsidRPr="007E0E09">
                        <w:rPr>
                          <w:rFonts w:cs="Arial"/>
                          <w:b/>
                          <w:color w:val="FFFFFF" w:themeColor="background1"/>
                          <w:szCs w:val="24"/>
                          <w:shd w:val="clear" w:color="auto" w:fill="365F91" w:themeFill="accent1" w:themeFillShade="BF"/>
                          <w:lang w:val="pt-BR"/>
                        </w:rPr>
                        <w:t>:</w:t>
                      </w:r>
                      <w:r>
                        <w:rPr>
                          <w:rFonts w:cs="Arial"/>
                          <w:b/>
                          <w:color w:val="FFFFFF" w:themeColor="background1"/>
                          <w:szCs w:val="24"/>
                          <w:shd w:val="clear" w:color="auto" w:fill="365F91" w:themeFill="accent1" w:themeFillShade="BF"/>
                          <w:lang w:val="pt-BR"/>
                        </w:rPr>
                        <w:t xml:space="preserve"> </w:t>
                      </w:r>
                      <w:r w:rsidRPr="007E0E09">
                        <w:rPr>
                          <w:rFonts w:cs="Arial"/>
                          <w:b/>
                          <w:color w:val="FFFFFF" w:themeColor="background1"/>
                          <w:szCs w:val="24"/>
                          <w:shd w:val="clear" w:color="auto" w:fill="365F91" w:themeFill="accent1" w:themeFillShade="BF"/>
                          <w:lang w:val="pt-BR"/>
                        </w:rPr>
                        <w:t xml:space="preserve"> </w:t>
                      </w:r>
                      <w:r>
                        <w:rPr>
                          <w:rFonts w:cs="Arial"/>
                          <w:b/>
                          <w:color w:val="FFFFFF" w:themeColor="background1"/>
                          <w:szCs w:val="24"/>
                          <w:shd w:val="clear" w:color="auto" w:fill="365F91" w:themeFill="accent1" w:themeFillShade="BF"/>
                          <w:lang w:val="pt-BR"/>
                        </w:rPr>
                        <w:t xml:space="preserve">29 </w:t>
                      </w:r>
                      <w:r w:rsidRPr="007E0E09">
                        <w:rPr>
                          <w:rFonts w:cs="Arial"/>
                          <w:b/>
                          <w:color w:val="FFFFFF" w:themeColor="background1"/>
                          <w:szCs w:val="24"/>
                          <w:shd w:val="clear" w:color="auto" w:fill="365F91" w:themeFill="accent1" w:themeFillShade="BF"/>
                          <w:lang w:val="pt-BR"/>
                        </w:rPr>
                        <w:t>de</w:t>
                      </w:r>
                      <w:r>
                        <w:rPr>
                          <w:rFonts w:cs="Arial"/>
                          <w:b/>
                          <w:color w:val="FFFFFF" w:themeColor="background1"/>
                          <w:szCs w:val="24"/>
                          <w:shd w:val="clear" w:color="auto" w:fill="365F91" w:themeFill="accent1" w:themeFillShade="BF"/>
                          <w:lang w:val="pt-BR"/>
                        </w:rPr>
                        <w:t xml:space="preserve"> </w:t>
                      </w:r>
                      <w:proofErr w:type="spellStart"/>
                      <w:r>
                        <w:rPr>
                          <w:rFonts w:cs="Arial"/>
                          <w:b/>
                          <w:color w:val="FFFFFF" w:themeColor="background1"/>
                          <w:szCs w:val="24"/>
                          <w:shd w:val="clear" w:color="auto" w:fill="365F91" w:themeFill="accent1" w:themeFillShade="BF"/>
                          <w:lang w:val="pt-BR"/>
                        </w:rPr>
                        <w:t>octubre</w:t>
                      </w:r>
                      <w:proofErr w:type="spellEnd"/>
                      <w:r>
                        <w:rPr>
                          <w:rFonts w:cs="Arial"/>
                          <w:b/>
                          <w:color w:val="FFFFFF" w:themeColor="background1"/>
                          <w:szCs w:val="24"/>
                          <w:shd w:val="clear" w:color="auto" w:fill="365F91" w:themeFill="accent1" w:themeFillShade="BF"/>
                          <w:lang w:val="pt-BR"/>
                        </w:rPr>
                        <w:t xml:space="preserve"> </w:t>
                      </w:r>
                      <w:proofErr w:type="spellStart"/>
                      <w:r>
                        <w:rPr>
                          <w:rFonts w:cs="Arial"/>
                          <w:b/>
                          <w:color w:val="FFFFFF" w:themeColor="background1"/>
                          <w:szCs w:val="24"/>
                          <w:shd w:val="clear" w:color="auto" w:fill="365F91" w:themeFill="accent1" w:themeFillShade="BF"/>
                          <w:lang w:val="pt-BR"/>
                        </w:rPr>
                        <w:t>bril</w:t>
                      </w:r>
                      <w:r w:rsidRPr="007E0E09">
                        <w:rPr>
                          <w:rFonts w:cs="Arial"/>
                          <w:b/>
                          <w:color w:val="FFFFFF" w:themeColor="background1"/>
                          <w:szCs w:val="24"/>
                          <w:shd w:val="clear" w:color="auto" w:fill="365F91" w:themeFill="accent1" w:themeFillShade="BF"/>
                          <w:lang w:val="pt-BR"/>
                        </w:rPr>
                        <w:t>SEPTIEMBREsto</w:t>
                      </w:r>
                      <w:proofErr w:type="spellEnd"/>
                      <w:r w:rsidRPr="007E0E09">
                        <w:rPr>
                          <w:rFonts w:cs="Arial"/>
                          <w:b/>
                          <w:color w:val="FFFFFF" w:themeColor="background1"/>
                          <w:szCs w:val="24"/>
                          <w:shd w:val="clear" w:color="auto" w:fill="365F91" w:themeFill="accent1" w:themeFillShade="BF"/>
                          <w:lang w:val="pt-BR"/>
                        </w:rPr>
                        <w:t xml:space="preserve">   </w:t>
                      </w:r>
                    </w:p>
                  </w:txbxContent>
                </v:textbox>
                <w10:wrap type="square"/>
              </v:shape>
            </w:pict>
          </mc:Fallback>
        </mc:AlternateContent>
      </w:r>
    </w:p>
    <w:p w14:paraId="2534A576" w14:textId="6E5EBB32" w:rsidR="005C7D88" w:rsidRPr="008172AD" w:rsidRDefault="005C7D88" w:rsidP="005C7D88">
      <w:pPr>
        <w:pStyle w:val="Ttulo2"/>
        <w:ind w:left="142" w:right="193"/>
        <w:rPr>
          <w:color w:val="auto"/>
          <w:sz w:val="24"/>
          <w:szCs w:val="24"/>
        </w:rPr>
      </w:pPr>
      <w:bookmarkStart w:id="0" w:name="_GoBack"/>
      <w:bookmarkEnd w:id="0"/>
      <w:r w:rsidRPr="008172AD">
        <w:rPr>
          <w:color w:val="auto"/>
          <w:sz w:val="24"/>
          <w:szCs w:val="24"/>
        </w:rPr>
        <w:t xml:space="preserve">ESTIMACIÓN OPORTUNA DEL </w:t>
      </w:r>
    </w:p>
    <w:p w14:paraId="6FBC6E04" w14:textId="77777777" w:rsidR="005C7D88" w:rsidRPr="008172AD" w:rsidRDefault="005C7D88" w:rsidP="005C7D88">
      <w:pPr>
        <w:pStyle w:val="Ttulo2"/>
        <w:spacing w:before="0"/>
        <w:ind w:left="142" w:right="193"/>
        <w:rPr>
          <w:color w:val="auto"/>
          <w:sz w:val="24"/>
          <w:szCs w:val="24"/>
        </w:rPr>
      </w:pPr>
      <w:r w:rsidRPr="008172AD">
        <w:rPr>
          <w:color w:val="auto"/>
          <w:sz w:val="24"/>
          <w:szCs w:val="24"/>
        </w:rPr>
        <w:t>PRODUCTO INTERNO BRUTO</w:t>
      </w:r>
      <w:r w:rsidRPr="008172AD">
        <w:rPr>
          <w:rStyle w:val="Refdenotaalpie"/>
          <w:b/>
          <w:sz w:val="24"/>
          <w:szCs w:val="24"/>
        </w:rPr>
        <w:footnoteReference w:id="1"/>
      </w:r>
      <w:r w:rsidRPr="008172AD">
        <w:rPr>
          <w:color w:val="auto"/>
          <w:sz w:val="24"/>
          <w:szCs w:val="24"/>
        </w:rPr>
        <w:t xml:space="preserve"> EN MÉXICO </w:t>
      </w:r>
    </w:p>
    <w:p w14:paraId="2AD57A9A" w14:textId="77777777" w:rsidR="005C7D88" w:rsidRPr="008172AD" w:rsidRDefault="005C7D88" w:rsidP="005C7D88">
      <w:pPr>
        <w:pStyle w:val="Ttulo2"/>
        <w:spacing w:before="0"/>
        <w:ind w:left="142" w:right="193"/>
        <w:rPr>
          <w:color w:val="auto"/>
          <w:sz w:val="24"/>
          <w:szCs w:val="24"/>
        </w:rPr>
      </w:pPr>
      <w:r w:rsidRPr="008172AD">
        <w:rPr>
          <w:color w:val="auto"/>
          <w:sz w:val="24"/>
          <w:szCs w:val="24"/>
        </w:rPr>
        <w:t>DURANTE EL SEGUNDO TRIMESTRE DE 2021</w:t>
      </w:r>
    </w:p>
    <w:p w14:paraId="5ACD3631" w14:textId="77777777" w:rsidR="005C7D88" w:rsidRPr="008172AD" w:rsidRDefault="005C7D88" w:rsidP="005C7D88">
      <w:pPr>
        <w:ind w:left="142" w:right="193"/>
        <w:jc w:val="center"/>
        <w:rPr>
          <w:b/>
          <w:i/>
          <w:szCs w:val="24"/>
        </w:rPr>
      </w:pPr>
      <w:r w:rsidRPr="008172AD">
        <w:rPr>
          <w:b/>
          <w:i/>
          <w:szCs w:val="24"/>
        </w:rPr>
        <w:t>(Cifras desestacionalizadas)</w:t>
      </w:r>
    </w:p>
    <w:p w14:paraId="0DA4E440" w14:textId="2EDED8A2" w:rsidR="005C7D88" w:rsidRPr="00D714A2" w:rsidRDefault="005C7D88" w:rsidP="00D85475">
      <w:pPr>
        <w:pStyle w:val="bullet"/>
        <w:numPr>
          <w:ilvl w:val="0"/>
          <w:numId w:val="0"/>
        </w:numPr>
        <w:ind w:left="-284" w:right="-425"/>
        <w:rPr>
          <w:rFonts w:cs="Arial"/>
          <w:b w:val="0"/>
          <w:color w:val="auto"/>
          <w:sz w:val="24"/>
          <w:szCs w:val="24"/>
        </w:rPr>
      </w:pPr>
      <w:r w:rsidRPr="00D714A2">
        <w:rPr>
          <w:rFonts w:cs="Arial"/>
          <w:b w:val="0"/>
          <w:color w:val="auto"/>
          <w:sz w:val="24"/>
          <w:szCs w:val="24"/>
        </w:rPr>
        <w:t>El INEGI presenta los resultados de la Estimación Oportuna del Producto Interno Bruto (PIB) Trimestral</w:t>
      </w:r>
      <w:r w:rsidRPr="00D714A2">
        <w:rPr>
          <w:rStyle w:val="Refdenotaalpie"/>
          <w:b/>
          <w:color w:val="000000" w:themeColor="text1"/>
          <w:sz w:val="24"/>
          <w:szCs w:val="24"/>
        </w:rPr>
        <w:footnoteReference w:id="2"/>
      </w:r>
      <w:r w:rsidRPr="00D714A2">
        <w:rPr>
          <w:rFonts w:cs="Arial"/>
          <w:b w:val="0"/>
          <w:color w:val="auto"/>
          <w:sz w:val="24"/>
          <w:szCs w:val="24"/>
        </w:rPr>
        <w:t>, los cuales señalan que éste aumentó 1.5% en términos reales en el trimestre abril-junio</w:t>
      </w:r>
      <w:r w:rsidR="008C2059">
        <w:rPr>
          <w:rFonts w:cs="Arial"/>
          <w:b w:val="0"/>
          <w:color w:val="auto"/>
          <w:sz w:val="24"/>
          <w:szCs w:val="24"/>
        </w:rPr>
        <w:t xml:space="preserve"> </w:t>
      </w:r>
      <w:r w:rsidRPr="00D714A2">
        <w:rPr>
          <w:rFonts w:cs="Arial"/>
          <w:b w:val="0"/>
          <w:color w:val="auto"/>
          <w:sz w:val="24"/>
          <w:szCs w:val="24"/>
        </w:rPr>
        <w:t>de 2021 frente al trimestre previo, con cifras ajustadas por estacionalidad</w:t>
      </w:r>
      <w:r w:rsidRPr="00D714A2">
        <w:rPr>
          <w:rStyle w:val="Refdenotaalpie"/>
          <w:b/>
          <w:color w:val="000000" w:themeColor="text1"/>
          <w:sz w:val="24"/>
          <w:szCs w:val="24"/>
        </w:rPr>
        <w:footnoteReference w:id="3"/>
      </w:r>
      <w:r w:rsidRPr="00D714A2">
        <w:rPr>
          <w:rFonts w:cs="Arial"/>
          <w:b w:val="0"/>
          <w:color w:val="auto"/>
          <w:sz w:val="24"/>
          <w:szCs w:val="24"/>
        </w:rPr>
        <w:t xml:space="preserve">. </w:t>
      </w:r>
    </w:p>
    <w:p w14:paraId="09D514B0" w14:textId="77777777" w:rsidR="005C7D88" w:rsidRPr="00D714A2" w:rsidRDefault="005C7D88" w:rsidP="005C7D88">
      <w:pPr>
        <w:pStyle w:val="bullet"/>
        <w:numPr>
          <w:ilvl w:val="0"/>
          <w:numId w:val="0"/>
        </w:numPr>
        <w:spacing w:before="120"/>
        <w:ind w:left="-284" w:right="-425"/>
        <w:rPr>
          <w:rFonts w:cs="Arial"/>
          <w:b w:val="0"/>
          <w:color w:val="auto"/>
          <w:sz w:val="24"/>
          <w:szCs w:val="24"/>
        </w:rPr>
      </w:pPr>
      <w:r w:rsidRPr="00D714A2">
        <w:rPr>
          <w:rFonts w:cs="Arial"/>
          <w:b w:val="0"/>
          <w:color w:val="auto"/>
          <w:sz w:val="24"/>
          <w:szCs w:val="24"/>
        </w:rPr>
        <w:t xml:space="preserve">Por componentes, el PIB de las Actividades Terciarias creció 2.1%, el de las Primarias 0.6% y el de las Actividades Secundarias 0.4% en el segundo trimestre de este año con relación al trimestre que le precede. </w:t>
      </w:r>
    </w:p>
    <w:p w14:paraId="4E876892" w14:textId="77777777" w:rsidR="005C7D88" w:rsidRPr="00EA3CFD" w:rsidRDefault="005C7D88" w:rsidP="005C7D88">
      <w:pPr>
        <w:pStyle w:val="Textoindependiente"/>
        <w:spacing w:before="360"/>
        <w:jc w:val="center"/>
        <w:rPr>
          <w:b/>
          <w:smallCaps/>
          <w:sz w:val="21"/>
          <w:szCs w:val="21"/>
        </w:rPr>
      </w:pPr>
      <w:r w:rsidRPr="00EA3CFD">
        <w:rPr>
          <w:b/>
          <w:smallCaps/>
          <w:sz w:val="21"/>
          <w:szCs w:val="21"/>
        </w:rPr>
        <w:t xml:space="preserve">Estimación Oportuna del Producto Interno Bruto </w:t>
      </w:r>
    </w:p>
    <w:p w14:paraId="3BC39191" w14:textId="77777777" w:rsidR="005C7D88" w:rsidRPr="00A0204E" w:rsidRDefault="005C7D88" w:rsidP="005C7D88">
      <w:pPr>
        <w:pStyle w:val="Textoindependiente"/>
        <w:jc w:val="center"/>
        <w:rPr>
          <w:b/>
          <w:smallCaps/>
          <w:sz w:val="21"/>
          <w:szCs w:val="21"/>
        </w:rPr>
      </w:pPr>
      <w:r>
        <w:rPr>
          <w:b/>
          <w:smallCaps/>
          <w:sz w:val="21"/>
          <w:szCs w:val="21"/>
        </w:rPr>
        <w:t>durante el</w:t>
      </w:r>
      <w:r w:rsidRPr="00A0204E">
        <w:rPr>
          <w:b/>
          <w:smallCaps/>
          <w:sz w:val="21"/>
          <w:szCs w:val="21"/>
        </w:rPr>
        <w:t xml:space="preserve"> </w:t>
      </w:r>
      <w:r>
        <w:rPr>
          <w:b/>
          <w:smallCaps/>
          <w:sz w:val="21"/>
          <w:szCs w:val="21"/>
        </w:rPr>
        <w:t>segundo trimestre de 2021</w:t>
      </w:r>
    </w:p>
    <w:p w14:paraId="58B42A10" w14:textId="77777777" w:rsidR="005C7D88" w:rsidRDefault="005C7D88" w:rsidP="005C7D88">
      <w:pPr>
        <w:pStyle w:val="Textoindependiente"/>
        <w:jc w:val="center"/>
        <w:rPr>
          <w:rFonts w:cs="Arial"/>
          <w:b/>
          <w:smallCaps/>
          <w:color w:val="auto"/>
          <w:sz w:val="22"/>
          <w:szCs w:val="22"/>
        </w:rPr>
      </w:pPr>
      <w:r w:rsidRPr="00A0204E">
        <w:rPr>
          <w:b/>
          <w:smallCaps/>
          <w:sz w:val="21"/>
          <w:szCs w:val="21"/>
        </w:rPr>
        <w:t>Cifras desestacionalizadas por actividades económicas</w:t>
      </w:r>
      <w:r w:rsidRPr="00A0204E">
        <w:rPr>
          <w:b/>
          <w:smallCaps/>
          <w:sz w:val="20"/>
          <w:szCs w:val="22"/>
        </w:rPr>
        <w:t xml:space="preserve"> </w:t>
      </w:r>
    </w:p>
    <w:tbl>
      <w:tblPr>
        <w:tblW w:w="7640" w:type="dxa"/>
        <w:jc w:val="center"/>
        <w:tblCellMar>
          <w:left w:w="70" w:type="dxa"/>
          <w:right w:w="70" w:type="dxa"/>
        </w:tblCellMar>
        <w:tblLook w:val="04A0" w:firstRow="1" w:lastRow="0" w:firstColumn="1" w:lastColumn="0" w:noHBand="0" w:noVBand="1"/>
      </w:tblPr>
      <w:tblGrid>
        <w:gridCol w:w="2365"/>
        <w:gridCol w:w="1731"/>
        <w:gridCol w:w="1701"/>
        <w:gridCol w:w="1843"/>
      </w:tblGrid>
      <w:tr w:rsidR="005C7D88" w:rsidRPr="004B5894" w14:paraId="6309BE7D" w14:textId="77777777" w:rsidTr="004148E3">
        <w:trPr>
          <w:trHeight w:val="630"/>
          <w:jc w:val="center"/>
        </w:trPr>
        <w:tc>
          <w:tcPr>
            <w:tcW w:w="236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12BE7F1B" w14:textId="77777777" w:rsidR="005C7D88" w:rsidRPr="00294709" w:rsidRDefault="005C7D88" w:rsidP="004148E3">
            <w:pPr>
              <w:widowControl/>
              <w:ind w:left="-85"/>
              <w:jc w:val="center"/>
              <w:rPr>
                <w:rFonts w:cs="Arial"/>
                <w:b/>
                <w:bCs/>
                <w:snapToGrid/>
                <w:sz w:val="16"/>
                <w:lang w:val="es-MX" w:eastAsia="es-MX"/>
              </w:rPr>
            </w:pPr>
            <w:r w:rsidRPr="00294709">
              <w:rPr>
                <w:rFonts w:cs="Arial"/>
                <w:b/>
                <w:bCs/>
                <w:snapToGrid/>
                <w:sz w:val="16"/>
                <w:lang w:val="es-MX" w:eastAsia="es-MX"/>
              </w:rPr>
              <w:t>Concepto</w:t>
            </w:r>
          </w:p>
        </w:tc>
        <w:tc>
          <w:tcPr>
            <w:tcW w:w="173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311EF9BD" w14:textId="77777777" w:rsidR="005C7D88" w:rsidRPr="00294709" w:rsidRDefault="005C7D88" w:rsidP="004148E3">
            <w:pPr>
              <w:widowControl/>
              <w:jc w:val="center"/>
              <w:rPr>
                <w:rFonts w:cs="Arial"/>
                <w:b/>
                <w:bCs/>
                <w:snapToGrid/>
                <w:sz w:val="16"/>
                <w:lang w:val="es-MX" w:eastAsia="es-MX"/>
              </w:rPr>
            </w:pPr>
            <w:r w:rsidRPr="00294709">
              <w:rPr>
                <w:rFonts w:cs="Arial"/>
                <w:b/>
                <w:bCs/>
                <w:snapToGrid/>
                <w:sz w:val="16"/>
                <w:lang w:val="es-MX" w:eastAsia="es-MX"/>
              </w:rPr>
              <w:t xml:space="preserve">Variación % real respecto al trimestre previo </w:t>
            </w:r>
          </w:p>
        </w:tc>
        <w:tc>
          <w:tcPr>
            <w:tcW w:w="170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0C5F93B7" w14:textId="77777777" w:rsidR="005C7D88" w:rsidRPr="00294709" w:rsidRDefault="005C7D88" w:rsidP="004148E3">
            <w:pPr>
              <w:widowControl/>
              <w:jc w:val="center"/>
              <w:rPr>
                <w:rFonts w:cs="Arial"/>
                <w:b/>
                <w:bCs/>
                <w:snapToGrid/>
                <w:sz w:val="16"/>
                <w:lang w:val="es-MX" w:eastAsia="es-MX"/>
              </w:rPr>
            </w:pPr>
            <w:r w:rsidRPr="00294709">
              <w:rPr>
                <w:rFonts w:cs="Arial"/>
                <w:b/>
                <w:bCs/>
                <w:snapToGrid/>
                <w:sz w:val="16"/>
                <w:lang w:val="es-MX" w:eastAsia="es-MX"/>
              </w:rPr>
              <w:t>Variación % real respecto a igual trimestre de 20</w:t>
            </w:r>
            <w:r>
              <w:rPr>
                <w:rFonts w:cs="Arial"/>
                <w:b/>
                <w:bCs/>
                <w:snapToGrid/>
                <w:sz w:val="16"/>
                <w:lang w:val="es-MX" w:eastAsia="es-MX"/>
              </w:rPr>
              <w:t>20</w:t>
            </w:r>
          </w:p>
        </w:tc>
        <w:tc>
          <w:tcPr>
            <w:tcW w:w="1843" w:type="dxa"/>
            <w:tcBorders>
              <w:top w:val="double" w:sz="4" w:space="0" w:color="auto"/>
              <w:left w:val="double" w:sz="4" w:space="0" w:color="auto"/>
              <w:right w:val="double" w:sz="4" w:space="0" w:color="auto"/>
            </w:tcBorders>
            <w:shd w:val="clear" w:color="auto" w:fill="D6E3BC" w:themeFill="accent3" w:themeFillTint="66"/>
            <w:vAlign w:val="center"/>
          </w:tcPr>
          <w:p w14:paraId="49B294F8" w14:textId="77777777" w:rsidR="005C7D88" w:rsidRPr="00294709" w:rsidRDefault="005C7D88" w:rsidP="004148E3">
            <w:pPr>
              <w:widowControl/>
              <w:jc w:val="center"/>
              <w:rPr>
                <w:rFonts w:cs="Arial"/>
                <w:b/>
                <w:bCs/>
                <w:snapToGrid/>
                <w:sz w:val="16"/>
                <w:lang w:val="es-MX" w:eastAsia="es-MX"/>
              </w:rPr>
            </w:pPr>
            <w:r>
              <w:rPr>
                <w:rFonts w:cs="Arial"/>
                <w:b/>
                <w:bCs/>
                <w:snapToGrid/>
                <w:sz w:val="16"/>
                <w:lang w:val="es-MX" w:eastAsia="es-MX"/>
              </w:rPr>
              <w:t>Variación % real del primer semestre de 2021 respecto a igual lapso de 2020</w:t>
            </w:r>
          </w:p>
        </w:tc>
      </w:tr>
      <w:tr w:rsidR="005C7D88" w:rsidRPr="004B5894" w14:paraId="2D5AA30E" w14:textId="77777777" w:rsidTr="004148E3">
        <w:trPr>
          <w:trHeight w:val="255"/>
          <w:jc w:val="center"/>
        </w:trPr>
        <w:tc>
          <w:tcPr>
            <w:tcW w:w="2365" w:type="dxa"/>
            <w:tcBorders>
              <w:top w:val="double" w:sz="4" w:space="0" w:color="auto"/>
              <w:left w:val="double" w:sz="4" w:space="0" w:color="auto"/>
              <w:bottom w:val="nil"/>
              <w:right w:val="double" w:sz="4" w:space="0" w:color="auto"/>
            </w:tcBorders>
            <w:shd w:val="clear" w:color="auto" w:fill="auto"/>
            <w:vAlign w:val="center"/>
            <w:hideMark/>
          </w:tcPr>
          <w:p w14:paraId="07DDBDCB" w14:textId="77777777" w:rsidR="005C7D88" w:rsidRPr="00294709" w:rsidRDefault="005C7D88" w:rsidP="004148E3">
            <w:pPr>
              <w:widowControl/>
              <w:rPr>
                <w:rFonts w:cs="Arial"/>
                <w:b/>
                <w:bCs/>
                <w:snapToGrid/>
                <w:color w:val="000000"/>
                <w:sz w:val="16"/>
                <w:lang w:val="es-MX" w:eastAsia="es-MX"/>
              </w:rPr>
            </w:pPr>
            <w:r w:rsidRPr="00294709">
              <w:rPr>
                <w:rFonts w:cs="Arial"/>
                <w:b/>
                <w:bCs/>
                <w:snapToGrid/>
                <w:color w:val="000000"/>
                <w:sz w:val="16"/>
                <w:lang w:val="es-MX" w:eastAsia="es-MX"/>
              </w:rPr>
              <w:t xml:space="preserve">PIB Total </w:t>
            </w:r>
          </w:p>
        </w:tc>
        <w:tc>
          <w:tcPr>
            <w:tcW w:w="1731" w:type="dxa"/>
            <w:tcBorders>
              <w:top w:val="double" w:sz="4" w:space="0" w:color="auto"/>
              <w:left w:val="double" w:sz="4" w:space="0" w:color="auto"/>
              <w:bottom w:val="nil"/>
              <w:right w:val="double" w:sz="4" w:space="0" w:color="auto"/>
            </w:tcBorders>
            <w:shd w:val="clear" w:color="auto" w:fill="auto"/>
            <w:vAlign w:val="center"/>
            <w:hideMark/>
          </w:tcPr>
          <w:p w14:paraId="60C6DC4D" w14:textId="77777777" w:rsidR="005C7D88" w:rsidRPr="000D53AE" w:rsidRDefault="005C7D88" w:rsidP="004148E3">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1.5</w:t>
            </w:r>
          </w:p>
        </w:tc>
        <w:tc>
          <w:tcPr>
            <w:tcW w:w="1701" w:type="dxa"/>
            <w:tcBorders>
              <w:top w:val="double" w:sz="4" w:space="0" w:color="auto"/>
              <w:left w:val="double" w:sz="4" w:space="0" w:color="auto"/>
              <w:bottom w:val="nil"/>
              <w:right w:val="double" w:sz="4" w:space="0" w:color="auto"/>
            </w:tcBorders>
            <w:shd w:val="clear" w:color="auto" w:fill="auto"/>
            <w:vAlign w:val="center"/>
            <w:hideMark/>
          </w:tcPr>
          <w:p w14:paraId="47FE61B8" w14:textId="77777777" w:rsidR="005C7D88" w:rsidRPr="000D53AE" w:rsidRDefault="005C7D88" w:rsidP="004148E3">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19.6</w:t>
            </w:r>
          </w:p>
        </w:tc>
        <w:tc>
          <w:tcPr>
            <w:tcW w:w="1843" w:type="dxa"/>
            <w:tcBorders>
              <w:top w:val="double" w:sz="4" w:space="0" w:color="auto"/>
              <w:left w:val="double" w:sz="4" w:space="0" w:color="auto"/>
              <w:bottom w:val="nil"/>
              <w:right w:val="double" w:sz="4" w:space="0" w:color="auto"/>
            </w:tcBorders>
            <w:vAlign w:val="center"/>
          </w:tcPr>
          <w:p w14:paraId="04F7B154" w14:textId="77777777" w:rsidR="005C7D88" w:rsidRPr="000D53AE" w:rsidRDefault="005C7D88" w:rsidP="004148E3">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7.4</w:t>
            </w:r>
          </w:p>
        </w:tc>
      </w:tr>
      <w:tr w:rsidR="005C7D88" w:rsidRPr="004B5894" w14:paraId="08105A18" w14:textId="77777777" w:rsidTr="004148E3">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092E2B21" w14:textId="77777777" w:rsidR="005C7D88" w:rsidRPr="00294709" w:rsidRDefault="005C7D88" w:rsidP="004148E3">
            <w:pPr>
              <w:widowControl/>
              <w:rPr>
                <w:rFonts w:cs="Arial"/>
                <w:snapToGrid/>
                <w:color w:val="000000"/>
                <w:sz w:val="16"/>
                <w:lang w:val="es-MX" w:eastAsia="es-MX"/>
              </w:rPr>
            </w:pPr>
            <w:r w:rsidRPr="00294709">
              <w:rPr>
                <w:rFonts w:cs="Arial"/>
                <w:snapToGrid/>
                <w:color w:val="000000"/>
                <w:sz w:val="16"/>
                <w:lang w:val="es-MX" w:eastAsia="es-MX"/>
              </w:rPr>
              <w:t xml:space="preserve">     Actividades Primarias </w:t>
            </w:r>
          </w:p>
        </w:tc>
        <w:tc>
          <w:tcPr>
            <w:tcW w:w="1731" w:type="dxa"/>
            <w:tcBorders>
              <w:top w:val="nil"/>
              <w:left w:val="double" w:sz="4" w:space="0" w:color="auto"/>
              <w:bottom w:val="nil"/>
              <w:right w:val="double" w:sz="4" w:space="0" w:color="auto"/>
            </w:tcBorders>
            <w:shd w:val="clear" w:color="auto" w:fill="auto"/>
            <w:vAlign w:val="center"/>
            <w:hideMark/>
          </w:tcPr>
          <w:p w14:paraId="4B3938B3" w14:textId="77777777" w:rsidR="005C7D88" w:rsidRPr="000D53AE" w:rsidRDefault="005C7D88" w:rsidP="004148E3">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0.6</w:t>
            </w:r>
          </w:p>
        </w:tc>
        <w:tc>
          <w:tcPr>
            <w:tcW w:w="1701" w:type="dxa"/>
            <w:tcBorders>
              <w:top w:val="nil"/>
              <w:left w:val="double" w:sz="4" w:space="0" w:color="auto"/>
              <w:bottom w:val="nil"/>
              <w:right w:val="double" w:sz="4" w:space="0" w:color="auto"/>
            </w:tcBorders>
            <w:shd w:val="clear" w:color="auto" w:fill="auto"/>
            <w:vAlign w:val="center"/>
            <w:hideMark/>
          </w:tcPr>
          <w:p w14:paraId="6D410F34" w14:textId="77777777" w:rsidR="005C7D88" w:rsidRPr="000D53AE" w:rsidRDefault="005C7D88" w:rsidP="004148E3">
            <w:pPr>
              <w:widowControl/>
              <w:ind w:right="680"/>
              <w:jc w:val="right"/>
              <w:rPr>
                <w:rFonts w:cs="Arial"/>
                <w:snapToGrid/>
                <w:color w:val="000000"/>
                <w:sz w:val="18"/>
                <w:szCs w:val="15"/>
                <w:lang w:val="es-MX" w:eastAsia="es-MX"/>
              </w:rPr>
            </w:pPr>
            <w:r>
              <w:rPr>
                <w:rFonts w:cs="Arial"/>
                <w:snapToGrid/>
                <w:color w:val="000000"/>
                <w:sz w:val="18"/>
                <w:szCs w:val="15"/>
                <w:lang w:val="es-MX" w:eastAsia="es-MX"/>
              </w:rPr>
              <w:t>6.8</w:t>
            </w:r>
          </w:p>
        </w:tc>
        <w:tc>
          <w:tcPr>
            <w:tcW w:w="1843" w:type="dxa"/>
            <w:tcBorders>
              <w:top w:val="nil"/>
              <w:left w:val="double" w:sz="4" w:space="0" w:color="auto"/>
              <w:bottom w:val="nil"/>
              <w:right w:val="double" w:sz="4" w:space="0" w:color="auto"/>
            </w:tcBorders>
            <w:vAlign w:val="center"/>
          </w:tcPr>
          <w:p w14:paraId="73F13878" w14:textId="77777777" w:rsidR="005C7D88" w:rsidRPr="000D53AE" w:rsidRDefault="005C7D88" w:rsidP="004148E3">
            <w:pPr>
              <w:widowControl/>
              <w:ind w:right="680"/>
              <w:jc w:val="right"/>
              <w:rPr>
                <w:rFonts w:cs="Arial"/>
                <w:snapToGrid/>
                <w:color w:val="000000"/>
                <w:sz w:val="18"/>
                <w:szCs w:val="15"/>
                <w:lang w:val="es-MX" w:eastAsia="es-MX"/>
              </w:rPr>
            </w:pPr>
            <w:r>
              <w:rPr>
                <w:rFonts w:cs="Arial"/>
                <w:snapToGrid/>
                <w:color w:val="000000"/>
                <w:sz w:val="18"/>
                <w:szCs w:val="15"/>
                <w:lang w:val="es-MX" w:eastAsia="es-MX"/>
              </w:rPr>
              <w:t>4.7</w:t>
            </w:r>
          </w:p>
        </w:tc>
      </w:tr>
      <w:tr w:rsidR="005C7D88" w:rsidRPr="004B5894" w14:paraId="3766F828" w14:textId="77777777" w:rsidTr="004148E3">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765CFFFD" w14:textId="77777777" w:rsidR="005C7D88" w:rsidRPr="00294709" w:rsidRDefault="005C7D88" w:rsidP="004148E3">
            <w:pPr>
              <w:widowControl/>
              <w:rPr>
                <w:rFonts w:cs="Arial"/>
                <w:snapToGrid/>
                <w:color w:val="000000"/>
                <w:sz w:val="16"/>
                <w:lang w:val="es-MX" w:eastAsia="es-MX"/>
              </w:rPr>
            </w:pPr>
            <w:r w:rsidRPr="00294709">
              <w:rPr>
                <w:rFonts w:cs="Arial"/>
                <w:snapToGrid/>
                <w:color w:val="000000"/>
                <w:sz w:val="16"/>
                <w:lang w:val="es-MX" w:eastAsia="es-MX"/>
              </w:rPr>
              <w:t xml:space="preserve">     Actividades Secundarias </w:t>
            </w:r>
          </w:p>
        </w:tc>
        <w:tc>
          <w:tcPr>
            <w:tcW w:w="1731" w:type="dxa"/>
            <w:tcBorders>
              <w:top w:val="nil"/>
              <w:left w:val="double" w:sz="4" w:space="0" w:color="auto"/>
              <w:bottom w:val="nil"/>
              <w:right w:val="double" w:sz="4" w:space="0" w:color="auto"/>
            </w:tcBorders>
            <w:shd w:val="clear" w:color="auto" w:fill="auto"/>
            <w:vAlign w:val="center"/>
            <w:hideMark/>
          </w:tcPr>
          <w:p w14:paraId="68D592BB" w14:textId="77777777" w:rsidR="005C7D88" w:rsidRPr="000D53AE" w:rsidRDefault="005C7D88" w:rsidP="004148E3">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0.4</w:t>
            </w:r>
          </w:p>
        </w:tc>
        <w:tc>
          <w:tcPr>
            <w:tcW w:w="1701" w:type="dxa"/>
            <w:tcBorders>
              <w:top w:val="nil"/>
              <w:left w:val="double" w:sz="4" w:space="0" w:color="auto"/>
              <w:bottom w:val="nil"/>
              <w:right w:val="double" w:sz="4" w:space="0" w:color="auto"/>
            </w:tcBorders>
            <w:shd w:val="clear" w:color="auto" w:fill="auto"/>
            <w:vAlign w:val="center"/>
            <w:hideMark/>
          </w:tcPr>
          <w:p w14:paraId="646AF9A8" w14:textId="77777777" w:rsidR="005C7D88" w:rsidRPr="000D53AE" w:rsidRDefault="005C7D88" w:rsidP="004148E3">
            <w:pPr>
              <w:widowControl/>
              <w:ind w:right="680"/>
              <w:jc w:val="right"/>
              <w:rPr>
                <w:rFonts w:cs="Arial"/>
                <w:snapToGrid/>
                <w:color w:val="000000"/>
                <w:sz w:val="18"/>
                <w:szCs w:val="15"/>
                <w:lang w:val="es-MX" w:eastAsia="es-MX"/>
              </w:rPr>
            </w:pPr>
            <w:r>
              <w:rPr>
                <w:rFonts w:cs="Arial"/>
                <w:snapToGrid/>
                <w:color w:val="000000"/>
                <w:sz w:val="18"/>
                <w:szCs w:val="15"/>
                <w:lang w:val="es-MX" w:eastAsia="es-MX"/>
              </w:rPr>
              <w:t>28.2</w:t>
            </w:r>
          </w:p>
        </w:tc>
        <w:tc>
          <w:tcPr>
            <w:tcW w:w="1843" w:type="dxa"/>
            <w:tcBorders>
              <w:top w:val="nil"/>
              <w:left w:val="double" w:sz="4" w:space="0" w:color="auto"/>
              <w:bottom w:val="nil"/>
              <w:right w:val="double" w:sz="4" w:space="0" w:color="auto"/>
            </w:tcBorders>
            <w:vAlign w:val="center"/>
          </w:tcPr>
          <w:p w14:paraId="76F8872E" w14:textId="77777777" w:rsidR="005C7D88" w:rsidRPr="000D53AE" w:rsidRDefault="005C7D88" w:rsidP="004148E3">
            <w:pPr>
              <w:widowControl/>
              <w:ind w:right="680"/>
              <w:jc w:val="right"/>
              <w:rPr>
                <w:rFonts w:cs="Arial"/>
                <w:snapToGrid/>
                <w:color w:val="000000"/>
                <w:sz w:val="18"/>
                <w:szCs w:val="15"/>
                <w:lang w:val="es-MX" w:eastAsia="es-MX"/>
              </w:rPr>
            </w:pPr>
            <w:r>
              <w:rPr>
                <w:rFonts w:cs="Arial"/>
                <w:snapToGrid/>
                <w:color w:val="000000"/>
                <w:sz w:val="18"/>
                <w:szCs w:val="15"/>
                <w:lang w:val="es-MX" w:eastAsia="es-MX"/>
              </w:rPr>
              <w:t>11.1</w:t>
            </w:r>
          </w:p>
        </w:tc>
      </w:tr>
      <w:tr w:rsidR="005C7D88" w:rsidRPr="004B5894" w14:paraId="5D757FB7" w14:textId="77777777" w:rsidTr="004148E3">
        <w:trPr>
          <w:trHeight w:val="300"/>
          <w:jc w:val="center"/>
        </w:trPr>
        <w:tc>
          <w:tcPr>
            <w:tcW w:w="2365" w:type="dxa"/>
            <w:tcBorders>
              <w:top w:val="nil"/>
              <w:left w:val="double" w:sz="4" w:space="0" w:color="auto"/>
              <w:bottom w:val="double" w:sz="4" w:space="0" w:color="auto"/>
              <w:right w:val="double" w:sz="4" w:space="0" w:color="auto"/>
            </w:tcBorders>
            <w:shd w:val="clear" w:color="auto" w:fill="auto"/>
            <w:vAlign w:val="center"/>
            <w:hideMark/>
          </w:tcPr>
          <w:p w14:paraId="044AE788" w14:textId="77777777" w:rsidR="005C7D88" w:rsidRPr="00294709" w:rsidRDefault="005C7D88" w:rsidP="004148E3">
            <w:pPr>
              <w:widowControl/>
              <w:rPr>
                <w:rFonts w:cs="Arial"/>
                <w:snapToGrid/>
                <w:color w:val="000000"/>
                <w:sz w:val="16"/>
                <w:lang w:val="es-MX" w:eastAsia="es-MX"/>
              </w:rPr>
            </w:pPr>
            <w:r w:rsidRPr="00294709">
              <w:rPr>
                <w:rFonts w:cs="Arial"/>
                <w:snapToGrid/>
                <w:color w:val="000000"/>
                <w:sz w:val="16"/>
                <w:lang w:val="es-MX" w:eastAsia="es-MX"/>
              </w:rPr>
              <w:t xml:space="preserve">     Actividades Terciarias </w:t>
            </w:r>
          </w:p>
        </w:tc>
        <w:tc>
          <w:tcPr>
            <w:tcW w:w="1731" w:type="dxa"/>
            <w:tcBorders>
              <w:top w:val="nil"/>
              <w:left w:val="double" w:sz="4" w:space="0" w:color="auto"/>
              <w:bottom w:val="double" w:sz="4" w:space="0" w:color="auto"/>
              <w:right w:val="double" w:sz="4" w:space="0" w:color="auto"/>
            </w:tcBorders>
            <w:shd w:val="clear" w:color="auto" w:fill="auto"/>
            <w:vAlign w:val="center"/>
            <w:hideMark/>
          </w:tcPr>
          <w:p w14:paraId="48A10D72" w14:textId="77777777" w:rsidR="005C7D88" w:rsidRPr="000D53AE" w:rsidRDefault="005C7D88" w:rsidP="004148E3">
            <w:pPr>
              <w:widowControl/>
              <w:ind w:right="680"/>
              <w:jc w:val="right"/>
              <w:rPr>
                <w:rFonts w:cs="Arial"/>
                <w:snapToGrid/>
                <w:color w:val="000000"/>
                <w:sz w:val="18"/>
                <w:szCs w:val="15"/>
                <w:lang w:val="es-MX" w:eastAsia="es-MX"/>
              </w:rPr>
            </w:pPr>
            <w:r>
              <w:rPr>
                <w:rFonts w:cs="Arial"/>
                <w:snapToGrid/>
                <w:color w:val="000000"/>
                <w:sz w:val="18"/>
                <w:szCs w:val="15"/>
                <w:lang w:val="es-MX" w:eastAsia="es-MX"/>
              </w:rPr>
              <w:t>2.1</w:t>
            </w:r>
          </w:p>
        </w:tc>
        <w:tc>
          <w:tcPr>
            <w:tcW w:w="1701" w:type="dxa"/>
            <w:tcBorders>
              <w:top w:val="nil"/>
              <w:left w:val="double" w:sz="4" w:space="0" w:color="auto"/>
              <w:bottom w:val="double" w:sz="4" w:space="0" w:color="auto"/>
              <w:right w:val="double" w:sz="4" w:space="0" w:color="auto"/>
            </w:tcBorders>
            <w:shd w:val="clear" w:color="auto" w:fill="auto"/>
            <w:vAlign w:val="center"/>
            <w:hideMark/>
          </w:tcPr>
          <w:p w14:paraId="658D9B5D" w14:textId="77777777" w:rsidR="005C7D88" w:rsidRPr="000D53AE" w:rsidRDefault="005C7D88" w:rsidP="004148E3">
            <w:pPr>
              <w:widowControl/>
              <w:ind w:right="680"/>
              <w:jc w:val="right"/>
              <w:rPr>
                <w:rFonts w:cs="Arial"/>
                <w:snapToGrid/>
                <w:color w:val="000000"/>
                <w:sz w:val="18"/>
                <w:szCs w:val="15"/>
                <w:lang w:val="es-MX" w:eastAsia="es-MX"/>
              </w:rPr>
            </w:pPr>
            <w:r>
              <w:rPr>
                <w:rFonts w:cs="Arial"/>
                <w:snapToGrid/>
                <w:color w:val="000000"/>
                <w:sz w:val="18"/>
                <w:szCs w:val="15"/>
                <w:lang w:val="es-MX" w:eastAsia="es-MX"/>
              </w:rPr>
              <w:t>17.0</w:t>
            </w:r>
          </w:p>
        </w:tc>
        <w:tc>
          <w:tcPr>
            <w:tcW w:w="1843" w:type="dxa"/>
            <w:tcBorders>
              <w:top w:val="nil"/>
              <w:left w:val="double" w:sz="4" w:space="0" w:color="auto"/>
              <w:bottom w:val="double" w:sz="4" w:space="0" w:color="auto"/>
              <w:right w:val="double" w:sz="4" w:space="0" w:color="auto"/>
            </w:tcBorders>
            <w:vAlign w:val="center"/>
          </w:tcPr>
          <w:p w14:paraId="048E2D88" w14:textId="77777777" w:rsidR="005C7D88" w:rsidRPr="000D53AE" w:rsidRDefault="005C7D88" w:rsidP="004148E3">
            <w:pPr>
              <w:widowControl/>
              <w:ind w:right="680"/>
              <w:jc w:val="right"/>
              <w:rPr>
                <w:rFonts w:cs="Arial"/>
                <w:snapToGrid/>
                <w:color w:val="000000"/>
                <w:sz w:val="18"/>
                <w:szCs w:val="15"/>
                <w:lang w:val="es-MX" w:eastAsia="es-MX"/>
              </w:rPr>
            </w:pPr>
            <w:r>
              <w:rPr>
                <w:rFonts w:cs="Arial"/>
                <w:snapToGrid/>
                <w:color w:val="000000"/>
                <w:sz w:val="18"/>
                <w:szCs w:val="15"/>
                <w:lang w:val="es-MX" w:eastAsia="es-MX"/>
              </w:rPr>
              <w:t>6.0</w:t>
            </w:r>
          </w:p>
        </w:tc>
      </w:tr>
    </w:tbl>
    <w:p w14:paraId="7FB169FE" w14:textId="77777777" w:rsidR="005C7D88" w:rsidRDefault="005C7D88" w:rsidP="005C7D88">
      <w:pPr>
        <w:pStyle w:val="bullet"/>
        <w:numPr>
          <w:ilvl w:val="0"/>
          <w:numId w:val="0"/>
        </w:numPr>
        <w:spacing w:before="0"/>
        <w:ind w:left="709" w:right="1469"/>
        <w:rPr>
          <w:rFonts w:cs="Arial"/>
          <w:b w:val="0"/>
          <w:color w:val="000000" w:themeColor="text1"/>
          <w:sz w:val="16"/>
          <w:szCs w:val="16"/>
          <w:lang w:val="es-MX"/>
        </w:rPr>
      </w:pPr>
      <w:r w:rsidRPr="00A0204E">
        <w:rPr>
          <w:rFonts w:cs="Arial"/>
          <w:b w:val="0"/>
          <w:color w:val="000000" w:themeColor="text1"/>
          <w:sz w:val="16"/>
          <w:szCs w:val="16"/>
          <w:lang w:val="es-MX"/>
        </w:rPr>
        <w:t>Notas: Cifras Oportunas. La estimación oportuna no re</w:t>
      </w:r>
      <w:r>
        <w:rPr>
          <w:rFonts w:cs="Arial"/>
          <w:b w:val="0"/>
          <w:color w:val="000000" w:themeColor="text1"/>
          <w:sz w:val="16"/>
          <w:szCs w:val="16"/>
          <w:lang w:val="es-MX"/>
        </w:rPr>
        <w:t>e</w:t>
      </w:r>
      <w:r w:rsidRPr="00A0204E">
        <w:rPr>
          <w:rFonts w:cs="Arial"/>
          <w:b w:val="0"/>
          <w:color w:val="000000" w:themeColor="text1"/>
          <w:sz w:val="16"/>
          <w:szCs w:val="16"/>
          <w:lang w:val="es-MX"/>
        </w:rPr>
        <w:t>mplaza a la estimación</w:t>
      </w:r>
      <w:r>
        <w:rPr>
          <w:rFonts w:cs="Arial"/>
          <w:b w:val="0"/>
          <w:color w:val="000000" w:themeColor="text1"/>
          <w:sz w:val="16"/>
          <w:szCs w:val="16"/>
          <w:lang w:val="es-MX"/>
        </w:rPr>
        <w:t xml:space="preserve"> </w:t>
      </w:r>
      <w:r w:rsidRPr="00A0204E">
        <w:rPr>
          <w:rFonts w:cs="Arial"/>
          <w:b w:val="0"/>
          <w:color w:val="000000" w:themeColor="text1"/>
          <w:sz w:val="16"/>
          <w:szCs w:val="16"/>
          <w:lang w:val="es-MX"/>
        </w:rPr>
        <w:t>tradicional.</w:t>
      </w:r>
    </w:p>
    <w:p w14:paraId="543C1F4C" w14:textId="77777777" w:rsidR="005C7D88" w:rsidRDefault="005C7D88" w:rsidP="005C7D88">
      <w:pPr>
        <w:pStyle w:val="bullet"/>
        <w:numPr>
          <w:ilvl w:val="0"/>
          <w:numId w:val="0"/>
        </w:numPr>
        <w:spacing w:before="0"/>
        <w:ind w:left="709" w:right="760"/>
        <w:rPr>
          <w:rFonts w:cs="Arial"/>
          <w:b w:val="0"/>
          <w:color w:val="auto"/>
          <w:sz w:val="16"/>
        </w:rPr>
      </w:pPr>
      <w:r w:rsidRPr="009570BB">
        <w:rPr>
          <w:rFonts w:cs="Arial"/>
          <w:b w:val="0"/>
          <w:color w:val="auto"/>
          <w:sz w:val="16"/>
        </w:rPr>
        <w:t>La serie desestacionalizada de</w:t>
      </w:r>
      <w:r>
        <w:rPr>
          <w:rFonts w:cs="Arial"/>
          <w:b w:val="0"/>
          <w:color w:val="auto"/>
          <w:sz w:val="16"/>
        </w:rPr>
        <w:t>l</w:t>
      </w:r>
      <w:r w:rsidRPr="009570BB">
        <w:rPr>
          <w:rFonts w:cs="Arial"/>
          <w:b w:val="0"/>
          <w:color w:val="auto"/>
          <w:sz w:val="16"/>
        </w:rPr>
        <w:t xml:space="preserve"> </w:t>
      </w:r>
      <w:r>
        <w:rPr>
          <w:rFonts w:cs="Arial"/>
          <w:b w:val="0"/>
          <w:color w:val="auto"/>
          <w:sz w:val="16"/>
        </w:rPr>
        <w:t>agregado</w:t>
      </w:r>
      <w:r w:rsidRPr="009570BB">
        <w:rPr>
          <w:rFonts w:cs="Arial"/>
          <w:b w:val="0"/>
          <w:color w:val="auto"/>
          <w:sz w:val="16"/>
        </w:rPr>
        <w:t xml:space="preserve"> se calcula de manera independiente a la de sus</w:t>
      </w:r>
      <w:r>
        <w:rPr>
          <w:rFonts w:cs="Arial"/>
          <w:b w:val="0"/>
          <w:color w:val="auto"/>
          <w:sz w:val="16"/>
        </w:rPr>
        <w:t xml:space="preserve"> </w:t>
      </w:r>
      <w:r w:rsidRPr="009570BB">
        <w:rPr>
          <w:rFonts w:cs="Arial"/>
          <w:b w:val="0"/>
          <w:color w:val="auto"/>
          <w:sz w:val="16"/>
        </w:rPr>
        <w:t>componentes.</w:t>
      </w:r>
    </w:p>
    <w:p w14:paraId="2189815A" w14:textId="77777777" w:rsidR="005C7D88" w:rsidRDefault="005C7D88" w:rsidP="005C7D88">
      <w:pPr>
        <w:widowControl/>
        <w:ind w:left="709" w:right="1610"/>
        <w:jc w:val="both"/>
        <w:rPr>
          <w:rFonts w:cs="Arial"/>
          <w:color w:val="000000" w:themeColor="text1"/>
          <w:sz w:val="16"/>
          <w:szCs w:val="16"/>
        </w:rPr>
      </w:pPr>
      <w:r w:rsidRPr="004C5D14">
        <w:rPr>
          <w:rFonts w:cs="Arial"/>
          <w:color w:val="000000" w:themeColor="text1"/>
          <w:sz w:val="16"/>
          <w:szCs w:val="16"/>
        </w:rPr>
        <w:t>Fuente: INEGI.</w:t>
      </w:r>
    </w:p>
    <w:p w14:paraId="33340BE6" w14:textId="77777777" w:rsidR="005C7D88" w:rsidRDefault="005C7D88" w:rsidP="005C7D88">
      <w:pPr>
        <w:pStyle w:val="Textoindependiente"/>
        <w:spacing w:before="120"/>
        <w:ind w:left="-142" w:right="-283"/>
        <w:jc w:val="center"/>
        <w:rPr>
          <w:b/>
          <w:smallCaps/>
          <w:sz w:val="21"/>
          <w:szCs w:val="21"/>
        </w:rPr>
      </w:pPr>
    </w:p>
    <w:p w14:paraId="6EB944DA" w14:textId="77777777" w:rsidR="005C7D88" w:rsidRPr="00D714A2" w:rsidRDefault="005C7D88" w:rsidP="005C7D88">
      <w:pPr>
        <w:pStyle w:val="bullet"/>
        <w:numPr>
          <w:ilvl w:val="0"/>
          <w:numId w:val="0"/>
        </w:numPr>
        <w:ind w:left="-284" w:right="-425"/>
        <w:rPr>
          <w:b w:val="0"/>
          <w:color w:val="auto"/>
          <w:sz w:val="24"/>
          <w:szCs w:val="24"/>
        </w:rPr>
      </w:pPr>
      <w:r w:rsidRPr="00D714A2">
        <w:rPr>
          <w:b w:val="0"/>
          <w:color w:val="auto"/>
          <w:sz w:val="24"/>
          <w:szCs w:val="24"/>
        </w:rPr>
        <w:t xml:space="preserve">En su comparación anual, la Estimación Oportuna del Producto Interno Bruto con series desestacionalizadas mostró un avance real de 19.6% en el trimestre en cuestión. Por actividades económicas, los incrementos fueron de 28.2% en el PIB de las Actividades Secundarias, de 17% en el de las Terciarias y de 6.8% en el de las Actividades Primarias frente a igual trimestre de 2020. </w:t>
      </w:r>
    </w:p>
    <w:p w14:paraId="33AE8A03" w14:textId="1F83A65E" w:rsidR="00E44B2F" w:rsidRDefault="00E44B2F">
      <w:pPr>
        <w:widowControl/>
        <w:rPr>
          <w:bCs/>
          <w:szCs w:val="24"/>
        </w:rPr>
      </w:pPr>
      <w:r>
        <w:rPr>
          <w:b/>
          <w:bCs/>
          <w:szCs w:val="24"/>
        </w:rPr>
        <w:br w:type="page"/>
      </w:r>
    </w:p>
    <w:p w14:paraId="18922A0F" w14:textId="77777777" w:rsidR="005C7D88" w:rsidRPr="005B0E89" w:rsidRDefault="005C7D88" w:rsidP="005C7D88">
      <w:pPr>
        <w:pStyle w:val="bullet"/>
        <w:numPr>
          <w:ilvl w:val="0"/>
          <w:numId w:val="0"/>
        </w:numPr>
        <w:shd w:val="clear" w:color="auto" w:fill="FFFFFF" w:themeFill="background1"/>
        <w:spacing w:before="360" w:after="480"/>
        <w:ind w:left="-284" w:right="-283"/>
        <w:rPr>
          <w:b w:val="0"/>
          <w:color w:val="000000" w:themeColor="text1"/>
          <w:sz w:val="24"/>
          <w:szCs w:val="24"/>
        </w:rPr>
      </w:pPr>
    </w:p>
    <w:p w14:paraId="49F17659" w14:textId="77777777" w:rsidR="005C7D88" w:rsidRPr="005B0E89" w:rsidRDefault="005C7D88" w:rsidP="005C7D88">
      <w:pPr>
        <w:pStyle w:val="bullet"/>
        <w:numPr>
          <w:ilvl w:val="0"/>
          <w:numId w:val="0"/>
        </w:numPr>
        <w:spacing w:before="120" w:after="240"/>
        <w:ind w:left="-284" w:right="-425"/>
        <w:rPr>
          <w:b w:val="0"/>
          <w:color w:val="auto"/>
          <w:sz w:val="24"/>
          <w:szCs w:val="24"/>
        </w:rPr>
      </w:pPr>
      <w:r w:rsidRPr="005B0E89">
        <w:rPr>
          <w:b w:val="0"/>
          <w:color w:val="auto"/>
          <w:sz w:val="24"/>
          <w:szCs w:val="24"/>
        </w:rPr>
        <w:t>Durante el primer semestre de 2021, el PIB oportuno creció 7.4% respecto a igual periodo del año pasado, con datos desestacionalizados.</w:t>
      </w:r>
    </w:p>
    <w:p w14:paraId="4F560554" w14:textId="77777777" w:rsidR="005C7D88" w:rsidRPr="005B0E89" w:rsidRDefault="005C7D88" w:rsidP="005C7D88">
      <w:pPr>
        <w:pStyle w:val="bullet"/>
        <w:numPr>
          <w:ilvl w:val="0"/>
          <w:numId w:val="0"/>
        </w:numPr>
        <w:shd w:val="clear" w:color="auto" w:fill="FFFFFF" w:themeFill="background1"/>
        <w:spacing w:before="360" w:after="480"/>
        <w:ind w:left="-284" w:right="-425"/>
        <w:rPr>
          <w:b w:val="0"/>
          <w:color w:val="000000" w:themeColor="text1"/>
          <w:sz w:val="24"/>
          <w:szCs w:val="24"/>
        </w:rPr>
      </w:pPr>
      <w:r w:rsidRPr="005B0E89">
        <w:rPr>
          <w:b w:val="0"/>
          <w:color w:val="000000" w:themeColor="text1"/>
          <w:sz w:val="24"/>
          <w:szCs w:val="24"/>
        </w:rPr>
        <w:t xml:space="preserve">Cabe señalar que las estimaciones oportunas proporcionadas en este comunicado podrían cambiar respecto a las cifras generadas para el PIB trimestral tradicional, las cuales se </w:t>
      </w:r>
      <w:r w:rsidRPr="005B0E89">
        <w:rPr>
          <w:b w:val="0"/>
          <w:color w:val="000000" w:themeColor="text1"/>
          <w:sz w:val="24"/>
          <w:szCs w:val="24"/>
          <w:shd w:val="clear" w:color="auto" w:fill="FFFFFF" w:themeFill="background1"/>
        </w:rPr>
        <w:t>publicarán el próximo 25 de agosto de 2021.</w:t>
      </w:r>
    </w:p>
    <w:p w14:paraId="32174EEB" w14:textId="77777777" w:rsidR="005C7D88" w:rsidRDefault="005C7D88" w:rsidP="005C7D88">
      <w:pPr>
        <w:pStyle w:val="p0"/>
        <w:spacing w:before="360"/>
        <w:ind w:left="-426" w:right="-283"/>
        <w:rPr>
          <w:b/>
          <w:i/>
          <w:color w:val="auto"/>
        </w:rPr>
      </w:pPr>
    </w:p>
    <w:p w14:paraId="433B5A53" w14:textId="77777777" w:rsidR="005C7D88" w:rsidRPr="00D422F2" w:rsidRDefault="005C7D88" w:rsidP="005C7D88">
      <w:pPr>
        <w:pStyle w:val="p0"/>
        <w:spacing w:before="180"/>
        <w:ind w:left="-284" w:right="-425"/>
        <w:rPr>
          <w:b/>
          <w:i/>
          <w:color w:val="auto"/>
        </w:rPr>
      </w:pPr>
      <w:r w:rsidRPr="00D422F2">
        <w:rPr>
          <w:b/>
          <w:i/>
          <w:color w:val="auto"/>
        </w:rPr>
        <w:t>Nota al usuario</w:t>
      </w:r>
    </w:p>
    <w:p w14:paraId="5704EA88" w14:textId="77777777" w:rsidR="005C7D88" w:rsidRPr="000C1BE9" w:rsidRDefault="005C7D88" w:rsidP="005C7D88">
      <w:pPr>
        <w:pStyle w:val="p0"/>
        <w:ind w:left="-284" w:right="-425"/>
        <w:rPr>
          <w:color w:val="auto"/>
        </w:rPr>
      </w:pPr>
      <w:r w:rsidRPr="00DC6B41">
        <w:rPr>
          <w:color w:val="auto"/>
        </w:rPr>
        <w:t xml:space="preserve">En el trimestre que cubre este reporte, la Tasa de No Respuesta en la captación de las encuestas económicas registró porcentajes </w:t>
      </w:r>
      <w:r w:rsidRPr="000C1BE9">
        <w:rPr>
          <w:color w:val="auto"/>
        </w:rPr>
        <w:t>apropiados de acuerdo con los parámetros del diseño estadístico de las muestras, lo que permitió la generación de estadísticas con niveles altos de cobertura y precisión. Para las actividades agropecuarias, de servicios financieros y del gobierno se complementa</w:t>
      </w:r>
      <w:r>
        <w:rPr>
          <w:color w:val="auto"/>
        </w:rPr>
        <w:t>ro</w:t>
      </w:r>
      <w:r w:rsidRPr="000C1BE9">
        <w:rPr>
          <w:color w:val="auto"/>
        </w:rPr>
        <w:t xml:space="preserve">n con otros registros administrativos provenientes de las Unidades del Estado que se recibieron oportunamente vía correo electrónico y su captación por </w:t>
      </w:r>
      <w:r>
        <w:rPr>
          <w:color w:val="auto"/>
        </w:rPr>
        <w:t>i</w:t>
      </w:r>
      <w:r w:rsidRPr="000C1BE9">
        <w:rPr>
          <w:color w:val="auto"/>
        </w:rPr>
        <w:t>nternet, lo que posibilitó contar con los insumos para la generación de resultados adecuados de la EOPIBT en el segundo trimestre de 2021.</w:t>
      </w:r>
    </w:p>
    <w:p w14:paraId="72A64F13" w14:textId="77777777" w:rsidR="005C7D88" w:rsidRDefault="005C7D88" w:rsidP="005C7D88">
      <w:pPr>
        <w:pStyle w:val="bullet"/>
        <w:numPr>
          <w:ilvl w:val="0"/>
          <w:numId w:val="0"/>
        </w:numPr>
        <w:spacing w:before="0"/>
        <w:ind w:right="-425"/>
        <w:rPr>
          <w:b w:val="0"/>
          <w:color w:val="auto"/>
          <w:sz w:val="24"/>
          <w:szCs w:val="24"/>
        </w:rPr>
      </w:pPr>
    </w:p>
    <w:p w14:paraId="71348CC7" w14:textId="77777777" w:rsidR="005C7D88" w:rsidRDefault="005C7D88" w:rsidP="005C7D88">
      <w:pPr>
        <w:jc w:val="center"/>
        <w:rPr>
          <w:b/>
          <w:szCs w:val="24"/>
        </w:rPr>
      </w:pPr>
      <w:r>
        <w:rPr>
          <w:b/>
          <w:szCs w:val="24"/>
        </w:rPr>
        <w:t xml:space="preserve"> </w:t>
      </w:r>
    </w:p>
    <w:p w14:paraId="08099852" w14:textId="77777777" w:rsidR="005C7D88" w:rsidRPr="00043922" w:rsidRDefault="005C7D88" w:rsidP="00EE7321">
      <w:pPr>
        <w:spacing w:before="120"/>
        <w:jc w:val="center"/>
        <w:rPr>
          <w:b/>
          <w:szCs w:val="24"/>
        </w:rPr>
      </w:pPr>
      <w:r w:rsidRPr="008817C0">
        <w:rPr>
          <w:b/>
          <w:szCs w:val="24"/>
        </w:rPr>
        <w:t>Se anexa Nota Técnica</w:t>
      </w:r>
    </w:p>
    <w:p w14:paraId="73253629" w14:textId="77777777" w:rsidR="005C7D88" w:rsidRDefault="005C7D88" w:rsidP="005C7D88">
      <w:pPr>
        <w:pStyle w:val="Ttulo2"/>
        <w:spacing w:before="120"/>
        <w:rPr>
          <w:color w:val="auto"/>
        </w:rPr>
      </w:pPr>
    </w:p>
    <w:p w14:paraId="759BC1D2" w14:textId="77777777" w:rsidR="005C7D88" w:rsidRDefault="005C7D88" w:rsidP="005C7D88"/>
    <w:p w14:paraId="73678A19" w14:textId="77777777" w:rsidR="005C7D88" w:rsidRDefault="005C7D88" w:rsidP="005C7D88"/>
    <w:p w14:paraId="6629E82D" w14:textId="77777777" w:rsidR="005C7D88" w:rsidRDefault="005C7D88" w:rsidP="005C7D88"/>
    <w:p w14:paraId="70BCF35E" w14:textId="77777777" w:rsidR="005C7D88" w:rsidRDefault="005C7D88" w:rsidP="005C7D88"/>
    <w:p w14:paraId="1BD14201" w14:textId="77777777" w:rsidR="005C7D88" w:rsidRDefault="005C7D88" w:rsidP="005C7D88"/>
    <w:p w14:paraId="45DDE6B9" w14:textId="77777777" w:rsidR="005C7D88" w:rsidRDefault="005C7D88" w:rsidP="005C7D88"/>
    <w:p w14:paraId="6CE9102F" w14:textId="77777777" w:rsidR="005C7D88" w:rsidRDefault="005C7D88" w:rsidP="005C7D88"/>
    <w:p w14:paraId="441ED821" w14:textId="77777777" w:rsidR="005C7D88" w:rsidRPr="001A4B1C" w:rsidRDefault="005C7D88" w:rsidP="005C7D88"/>
    <w:p w14:paraId="6E5649F8" w14:textId="77777777" w:rsidR="005C7D88" w:rsidRDefault="005C7D88" w:rsidP="005C7D88"/>
    <w:p w14:paraId="7F60A314" w14:textId="77777777" w:rsidR="005C7D88" w:rsidRDefault="005C7D88" w:rsidP="005C7D88"/>
    <w:p w14:paraId="395D3D5D" w14:textId="77777777" w:rsidR="005C7D88" w:rsidRPr="001A4B1C" w:rsidRDefault="005C7D88" w:rsidP="005C7D88">
      <w:pPr>
        <w:pStyle w:val="NormalWeb"/>
        <w:spacing w:before="0" w:beforeAutospacing="0" w:after="0" w:afterAutospacing="0"/>
        <w:ind w:left="-426" w:right="-518"/>
        <w:contextualSpacing/>
        <w:jc w:val="center"/>
        <w:rPr>
          <w:sz w:val="22"/>
          <w:szCs w:val="22"/>
        </w:rPr>
      </w:pPr>
      <w:r w:rsidRPr="001A4B1C">
        <w:rPr>
          <w:sz w:val="22"/>
          <w:szCs w:val="22"/>
        </w:rPr>
        <w:t xml:space="preserve">Para consultas de medios y periodistas, contactar a: </w:t>
      </w:r>
      <w:hyperlink r:id="rId8" w:history="1">
        <w:r w:rsidRPr="001A4B1C">
          <w:rPr>
            <w:rStyle w:val="Hipervnculo"/>
            <w:sz w:val="22"/>
            <w:szCs w:val="22"/>
          </w:rPr>
          <w:t>comunicacionsocial@inegi.org.mx</w:t>
        </w:r>
      </w:hyperlink>
      <w:r w:rsidRPr="001A4B1C">
        <w:rPr>
          <w:sz w:val="22"/>
          <w:szCs w:val="22"/>
        </w:rPr>
        <w:t xml:space="preserve"> </w:t>
      </w:r>
    </w:p>
    <w:p w14:paraId="4907DF71" w14:textId="77777777" w:rsidR="005C7D88" w:rsidRPr="001A4B1C" w:rsidRDefault="005C7D88" w:rsidP="005C7D88">
      <w:pPr>
        <w:pStyle w:val="NormalWeb"/>
        <w:spacing w:before="0" w:beforeAutospacing="0" w:after="0" w:afterAutospacing="0"/>
        <w:ind w:left="-426" w:right="-518"/>
        <w:contextualSpacing/>
        <w:jc w:val="center"/>
        <w:rPr>
          <w:sz w:val="22"/>
          <w:szCs w:val="22"/>
        </w:rPr>
      </w:pPr>
      <w:r w:rsidRPr="001A4B1C">
        <w:rPr>
          <w:sz w:val="22"/>
          <w:szCs w:val="22"/>
        </w:rPr>
        <w:t xml:space="preserve">o llamar al teléfono (55) 52-78-10-00, </w:t>
      </w:r>
      <w:proofErr w:type="spellStart"/>
      <w:r w:rsidRPr="001A4B1C">
        <w:rPr>
          <w:sz w:val="22"/>
          <w:szCs w:val="22"/>
        </w:rPr>
        <w:t>exts</w:t>
      </w:r>
      <w:proofErr w:type="spellEnd"/>
      <w:r w:rsidRPr="001A4B1C">
        <w:rPr>
          <w:sz w:val="22"/>
          <w:szCs w:val="22"/>
        </w:rPr>
        <w:t>. 1134, 1260 y 1241.</w:t>
      </w:r>
    </w:p>
    <w:p w14:paraId="4E13D6E7" w14:textId="77777777" w:rsidR="005C7D88" w:rsidRPr="001A4B1C" w:rsidRDefault="005C7D88" w:rsidP="005C7D88">
      <w:pPr>
        <w:ind w:left="-426" w:right="-518"/>
        <w:contextualSpacing/>
        <w:jc w:val="center"/>
        <w:rPr>
          <w:sz w:val="22"/>
          <w:szCs w:val="22"/>
        </w:rPr>
      </w:pPr>
    </w:p>
    <w:p w14:paraId="6A28487D" w14:textId="77777777" w:rsidR="005C7D88" w:rsidRPr="001A4B1C" w:rsidRDefault="005C7D88" w:rsidP="005C7D88">
      <w:pPr>
        <w:ind w:left="-426" w:right="-518"/>
        <w:contextualSpacing/>
        <w:jc w:val="center"/>
        <w:rPr>
          <w:sz w:val="22"/>
          <w:szCs w:val="22"/>
        </w:rPr>
      </w:pPr>
      <w:r w:rsidRPr="001A4B1C">
        <w:rPr>
          <w:sz w:val="22"/>
          <w:szCs w:val="22"/>
        </w:rPr>
        <w:t>Dirección de Atención a Medios / Dirección General Adjunta de Comunicación</w:t>
      </w:r>
    </w:p>
    <w:p w14:paraId="2671C4D2" w14:textId="77777777" w:rsidR="005C7D88" w:rsidRPr="007D095D" w:rsidRDefault="005C7D88" w:rsidP="005C7D88">
      <w:pPr>
        <w:ind w:left="-426" w:right="-518"/>
        <w:contextualSpacing/>
        <w:jc w:val="center"/>
        <w:rPr>
          <w:sz w:val="22"/>
          <w:szCs w:val="22"/>
        </w:rPr>
      </w:pPr>
    </w:p>
    <w:p w14:paraId="759864DB" w14:textId="77777777" w:rsidR="005C7D88" w:rsidRPr="008F0992" w:rsidRDefault="005C7D88" w:rsidP="005C7D88">
      <w:pPr>
        <w:ind w:left="-425" w:right="-516"/>
        <w:contextualSpacing/>
        <w:jc w:val="center"/>
        <w:rPr>
          <w:noProof/>
          <w:sz w:val="20"/>
          <w:lang w:eastAsia="es-MX"/>
        </w:rPr>
      </w:pPr>
      <w:r w:rsidRPr="008F0992">
        <w:rPr>
          <w:noProof/>
          <w:sz w:val="20"/>
          <w:lang w:val="es-MX" w:eastAsia="es-MX"/>
        </w:rPr>
        <w:drawing>
          <wp:inline distT="0" distB="0" distL="0" distR="0" wp14:anchorId="2868ABD5" wp14:editId="5294D070">
            <wp:extent cx="318472" cy="322419"/>
            <wp:effectExtent l="0" t="0" r="5715" b="1905"/>
            <wp:docPr id="1" name="Imagen 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320D2C29" wp14:editId="3E63E1B5">
            <wp:extent cx="327704" cy="325467"/>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18D6BB2B" wp14:editId="00D70F02">
            <wp:extent cx="321276" cy="324093"/>
            <wp:effectExtent l="0" t="0" r="3175" b="0"/>
            <wp:docPr id="5" name="Imagen 5"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55675D8C" wp14:editId="797CA8F0">
            <wp:extent cx="321276" cy="326574"/>
            <wp:effectExtent l="0" t="0" r="3175" b="0"/>
            <wp:docPr id="9" name="Imagen 9"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3E69E5C4" wp14:editId="7FA05D4D">
            <wp:extent cx="2323070" cy="319707"/>
            <wp:effectExtent l="0" t="0" r="1270" b="4445"/>
            <wp:docPr id="8" name="Imagen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72622B14" w14:textId="77777777" w:rsidR="005C7D88" w:rsidRDefault="005C7D88" w:rsidP="005C7D88">
      <w:pPr>
        <w:pStyle w:val="NormalWeb"/>
        <w:spacing w:before="0" w:beforeAutospacing="0" w:after="0" w:afterAutospacing="0"/>
        <w:ind w:left="-426" w:right="-518"/>
        <w:contextualSpacing/>
        <w:jc w:val="center"/>
      </w:pPr>
    </w:p>
    <w:p w14:paraId="3B1B927B" w14:textId="77777777" w:rsidR="005C7D88" w:rsidRPr="00854414" w:rsidRDefault="005C7D88" w:rsidP="005C7D88">
      <w:pPr>
        <w:sectPr w:rsidR="005C7D88" w:rsidRPr="00854414" w:rsidSect="00EE63F7">
          <w:headerReference w:type="default" r:id="rId19"/>
          <w:footerReference w:type="default" r:id="rId20"/>
          <w:endnotePr>
            <w:numFmt w:val="decimal"/>
          </w:endnotePr>
          <w:pgSz w:w="12242" w:h="15842"/>
          <w:pgMar w:top="723" w:right="1610" w:bottom="1134" w:left="1701" w:header="340" w:footer="340" w:gutter="0"/>
          <w:cols w:space="720"/>
          <w:docGrid w:linePitch="360"/>
        </w:sectPr>
      </w:pPr>
    </w:p>
    <w:p w14:paraId="2BCF4809" w14:textId="492C6301" w:rsidR="005C7D88" w:rsidRPr="00852CAB" w:rsidRDefault="005C7D88" w:rsidP="005C7D88">
      <w:pPr>
        <w:pStyle w:val="Ttulo2"/>
        <w:spacing w:before="120"/>
        <w:contextualSpacing/>
        <w:rPr>
          <w:sz w:val="24"/>
          <w:szCs w:val="24"/>
        </w:rPr>
      </w:pPr>
      <w:r w:rsidRPr="00852CAB">
        <w:rPr>
          <w:sz w:val="24"/>
          <w:szCs w:val="24"/>
        </w:rPr>
        <w:lastRenderedPageBreak/>
        <w:t>NOTA TÉCNICA</w:t>
      </w:r>
    </w:p>
    <w:p w14:paraId="46DEF2C8" w14:textId="77777777" w:rsidR="009967B1" w:rsidRPr="009967B1" w:rsidRDefault="009967B1" w:rsidP="009967B1">
      <w:pPr>
        <w:rPr>
          <w:sz w:val="16"/>
          <w:szCs w:val="16"/>
        </w:rPr>
      </w:pPr>
    </w:p>
    <w:p w14:paraId="3FEBECBD" w14:textId="77777777" w:rsidR="0010664E" w:rsidRPr="00852CAB" w:rsidRDefault="00B834C7" w:rsidP="0010664E">
      <w:pPr>
        <w:pStyle w:val="Ttulo2"/>
        <w:spacing w:before="0"/>
        <w:ind w:left="142" w:right="193"/>
        <w:rPr>
          <w:color w:val="auto"/>
          <w:sz w:val="24"/>
          <w:szCs w:val="24"/>
        </w:rPr>
      </w:pPr>
      <w:r w:rsidRPr="00852CAB">
        <w:rPr>
          <w:color w:val="auto"/>
          <w:sz w:val="24"/>
          <w:szCs w:val="24"/>
        </w:rPr>
        <w:t xml:space="preserve">ESTIMACIÓN OPORTUNA </w:t>
      </w:r>
      <w:r w:rsidR="00B52824" w:rsidRPr="00852CAB">
        <w:rPr>
          <w:color w:val="auto"/>
          <w:sz w:val="24"/>
          <w:szCs w:val="24"/>
        </w:rPr>
        <w:t>DEL</w:t>
      </w:r>
      <w:r w:rsidR="00271F6D" w:rsidRPr="00852CAB">
        <w:rPr>
          <w:color w:val="auto"/>
          <w:sz w:val="24"/>
          <w:szCs w:val="24"/>
        </w:rPr>
        <w:t xml:space="preserve"> </w:t>
      </w:r>
    </w:p>
    <w:p w14:paraId="58E5E979" w14:textId="77777777" w:rsidR="00B52824" w:rsidRPr="00852CAB" w:rsidRDefault="00B834C7" w:rsidP="0010664E">
      <w:pPr>
        <w:pStyle w:val="Ttulo2"/>
        <w:spacing w:before="0"/>
        <w:ind w:left="142" w:right="193"/>
        <w:rPr>
          <w:color w:val="auto"/>
          <w:sz w:val="24"/>
          <w:szCs w:val="24"/>
        </w:rPr>
      </w:pPr>
      <w:r w:rsidRPr="00852CAB">
        <w:rPr>
          <w:color w:val="auto"/>
          <w:sz w:val="24"/>
          <w:szCs w:val="24"/>
        </w:rPr>
        <w:t>PRODUCTO INTERNO BRUTO</w:t>
      </w:r>
      <w:r w:rsidR="001076F8" w:rsidRPr="00852CAB">
        <w:rPr>
          <w:rStyle w:val="Refdenotaalpie"/>
          <w:b/>
          <w:sz w:val="24"/>
          <w:szCs w:val="24"/>
        </w:rPr>
        <w:footnoteReference w:id="4"/>
      </w:r>
      <w:r w:rsidRPr="00852CAB">
        <w:rPr>
          <w:color w:val="auto"/>
          <w:sz w:val="24"/>
          <w:szCs w:val="24"/>
        </w:rPr>
        <w:t xml:space="preserve"> EN MÉXICO</w:t>
      </w:r>
      <w:r w:rsidR="00B52824" w:rsidRPr="00852CAB">
        <w:rPr>
          <w:color w:val="auto"/>
          <w:sz w:val="24"/>
          <w:szCs w:val="24"/>
        </w:rPr>
        <w:t xml:space="preserve"> </w:t>
      </w:r>
    </w:p>
    <w:p w14:paraId="073AA67F" w14:textId="601BD235" w:rsidR="00B834C7" w:rsidRPr="00852CAB" w:rsidRDefault="00B52824" w:rsidP="0010664E">
      <w:pPr>
        <w:pStyle w:val="Ttulo2"/>
        <w:spacing w:before="0"/>
        <w:ind w:left="142" w:right="193"/>
        <w:rPr>
          <w:color w:val="auto"/>
          <w:sz w:val="24"/>
          <w:szCs w:val="24"/>
        </w:rPr>
      </w:pPr>
      <w:r w:rsidRPr="00852CAB">
        <w:rPr>
          <w:color w:val="auto"/>
          <w:sz w:val="24"/>
          <w:szCs w:val="24"/>
        </w:rPr>
        <w:t xml:space="preserve">DURANTE EL </w:t>
      </w:r>
      <w:r w:rsidR="00E75E0E" w:rsidRPr="00852CAB">
        <w:rPr>
          <w:color w:val="auto"/>
          <w:sz w:val="24"/>
          <w:szCs w:val="24"/>
        </w:rPr>
        <w:t>SEGUNDO</w:t>
      </w:r>
      <w:r w:rsidRPr="00852CAB">
        <w:rPr>
          <w:color w:val="auto"/>
          <w:sz w:val="24"/>
          <w:szCs w:val="24"/>
        </w:rPr>
        <w:t xml:space="preserve"> </w:t>
      </w:r>
      <w:r w:rsidR="00961D4F" w:rsidRPr="00852CAB">
        <w:rPr>
          <w:color w:val="auto"/>
          <w:sz w:val="24"/>
          <w:szCs w:val="24"/>
        </w:rPr>
        <w:t>TRIMESTRE DE 20</w:t>
      </w:r>
      <w:r w:rsidR="0072754A" w:rsidRPr="00852CAB">
        <w:rPr>
          <w:color w:val="auto"/>
          <w:sz w:val="24"/>
          <w:szCs w:val="24"/>
        </w:rPr>
        <w:t>2</w:t>
      </w:r>
      <w:r w:rsidR="00832EFA" w:rsidRPr="00852CAB">
        <w:rPr>
          <w:color w:val="auto"/>
          <w:sz w:val="24"/>
          <w:szCs w:val="24"/>
        </w:rPr>
        <w:t>1</w:t>
      </w:r>
    </w:p>
    <w:p w14:paraId="7011F9F3" w14:textId="77777777" w:rsidR="00B834C7" w:rsidRPr="00852CAB" w:rsidRDefault="00B834C7" w:rsidP="00AB0C5C">
      <w:pPr>
        <w:ind w:left="142" w:right="193"/>
        <w:jc w:val="center"/>
        <w:rPr>
          <w:b/>
          <w:i/>
          <w:szCs w:val="24"/>
        </w:rPr>
      </w:pPr>
      <w:r w:rsidRPr="00852CAB">
        <w:rPr>
          <w:b/>
          <w:i/>
          <w:szCs w:val="24"/>
        </w:rPr>
        <w:t>(Cifras desestacionalizadas)</w:t>
      </w:r>
    </w:p>
    <w:p w14:paraId="6DF2CFDE" w14:textId="77777777" w:rsidR="00B35528" w:rsidRPr="00D13A19" w:rsidRDefault="00B35528" w:rsidP="005D0020">
      <w:pPr>
        <w:pStyle w:val="bullet"/>
        <w:numPr>
          <w:ilvl w:val="0"/>
          <w:numId w:val="0"/>
        </w:numPr>
        <w:spacing w:before="480"/>
        <w:ind w:right="902"/>
        <w:rPr>
          <w:i/>
          <w:color w:val="auto"/>
        </w:rPr>
      </w:pPr>
      <w:r w:rsidRPr="00D13A19">
        <w:rPr>
          <w:i/>
          <w:color w:val="auto"/>
        </w:rPr>
        <w:t>Principales resultados</w:t>
      </w:r>
    </w:p>
    <w:p w14:paraId="272854F3" w14:textId="77777777" w:rsidR="009967B1" w:rsidRDefault="00D836E5" w:rsidP="009967B1">
      <w:pPr>
        <w:widowControl/>
        <w:spacing w:before="240"/>
        <w:jc w:val="both"/>
      </w:pPr>
      <w:r w:rsidRPr="00D836E5">
        <w:t>Con datos desestacionalizados</w:t>
      </w:r>
      <w:r w:rsidR="00682DD9">
        <w:t>,</w:t>
      </w:r>
      <w:r w:rsidRPr="00D836E5">
        <w:t xml:space="preserve"> la Estimación Oportuna del Producto Interno Bruto (PIB) Trimestral </w:t>
      </w:r>
      <w:r w:rsidR="002C7CEE">
        <w:t xml:space="preserve">reportó </w:t>
      </w:r>
      <w:r w:rsidR="006437D1">
        <w:t xml:space="preserve">un </w:t>
      </w:r>
      <w:r w:rsidR="00701AC8">
        <w:t>aumento</w:t>
      </w:r>
      <w:r w:rsidR="002C7CEE">
        <w:t xml:space="preserve"> de </w:t>
      </w:r>
      <w:r w:rsidR="00231C99">
        <w:t>1.5</w:t>
      </w:r>
      <w:r w:rsidR="002C7CEE">
        <w:t>%</w:t>
      </w:r>
      <w:r w:rsidR="001C5E65">
        <w:t xml:space="preserve"> </w:t>
      </w:r>
      <w:r w:rsidR="00B8621B">
        <w:t>en</w:t>
      </w:r>
      <w:r w:rsidRPr="00D836E5">
        <w:t xml:space="preserve"> el </w:t>
      </w:r>
      <w:r w:rsidR="00E75E0E">
        <w:t>segundo</w:t>
      </w:r>
      <w:r w:rsidR="002A010C">
        <w:t xml:space="preserve"> </w:t>
      </w:r>
      <w:r w:rsidR="001C5E65">
        <w:t xml:space="preserve">trimestre </w:t>
      </w:r>
      <w:r w:rsidR="002A010C">
        <w:t xml:space="preserve">de </w:t>
      </w:r>
      <w:r w:rsidR="0034723F">
        <w:t>202</w:t>
      </w:r>
      <w:r w:rsidR="00C57569">
        <w:t>1</w:t>
      </w:r>
      <w:r w:rsidRPr="00D836E5">
        <w:t xml:space="preserve"> </w:t>
      </w:r>
      <w:r>
        <w:t xml:space="preserve">con </w:t>
      </w:r>
      <w:r w:rsidRPr="00D836E5">
        <w:t xml:space="preserve">relación </w:t>
      </w:r>
      <w:r>
        <w:t>al</w:t>
      </w:r>
      <w:r w:rsidRPr="00D836E5">
        <w:t xml:space="preserve"> trimestre inmediato anterior.</w:t>
      </w:r>
      <w:r w:rsidR="004C4ABF" w:rsidRPr="004C4ABF">
        <w:t xml:space="preserve"> </w:t>
      </w:r>
    </w:p>
    <w:p w14:paraId="3428958F" w14:textId="4747C39E" w:rsidR="00D836E5" w:rsidRPr="00A82556" w:rsidRDefault="00DB1330" w:rsidP="009967B1">
      <w:pPr>
        <w:widowControl/>
        <w:spacing w:before="240"/>
        <w:jc w:val="both"/>
      </w:pPr>
      <w:r w:rsidRPr="00B834C7">
        <w:t>Por componentes</w:t>
      </w:r>
      <w:r w:rsidR="009226DC">
        <w:t>,</w:t>
      </w:r>
      <w:r w:rsidR="009226DC" w:rsidRPr="009226DC">
        <w:t xml:space="preserve"> </w:t>
      </w:r>
      <w:r w:rsidR="006B2A22">
        <w:t xml:space="preserve">el PIB de </w:t>
      </w:r>
      <w:r w:rsidR="006B2A22" w:rsidRPr="00B834C7">
        <w:t xml:space="preserve">las Actividades </w:t>
      </w:r>
      <w:r w:rsidR="006B2A22">
        <w:t>Terciarias creció 2.1%, el de las Primarias 0.6% y el de las Actividades Secundarias 0.4% en el segundo trimestre de este año con relación al trimestre que le precede</w:t>
      </w:r>
      <w:r w:rsidR="006B2A22" w:rsidRPr="00B834C7">
        <w:t>.</w:t>
      </w:r>
    </w:p>
    <w:p w14:paraId="13FE6D36" w14:textId="041E4506" w:rsidR="00574E79" w:rsidRDefault="00574E79" w:rsidP="00F77197">
      <w:pPr>
        <w:widowControl/>
        <w:spacing w:before="240"/>
        <w:jc w:val="both"/>
      </w:pPr>
      <w:r w:rsidRPr="00A82556">
        <w:t xml:space="preserve">En su comparación anual, </w:t>
      </w:r>
      <w:r w:rsidR="006B2A22" w:rsidRPr="00B834C7">
        <w:t xml:space="preserve">la Estimación Oportuna del Producto Interno Bruto </w:t>
      </w:r>
      <w:r w:rsidR="006B2A22">
        <w:t xml:space="preserve">con series desestacionalizadas mostró </w:t>
      </w:r>
      <w:r w:rsidR="006B2A22" w:rsidRPr="00B834C7">
        <w:t xml:space="preserve">un </w:t>
      </w:r>
      <w:r w:rsidR="006B2A22">
        <w:t>avance</w:t>
      </w:r>
      <w:r w:rsidR="006B2A22" w:rsidRPr="00B834C7">
        <w:t xml:space="preserve"> </w:t>
      </w:r>
      <w:r w:rsidR="006B2A22">
        <w:t xml:space="preserve">real </w:t>
      </w:r>
      <w:r w:rsidR="006B2A22" w:rsidRPr="00B834C7">
        <w:t xml:space="preserve">de </w:t>
      </w:r>
      <w:r w:rsidR="006B2A22">
        <w:t>19.6</w:t>
      </w:r>
      <w:r w:rsidR="006B2A22" w:rsidRPr="00B834C7">
        <w:t xml:space="preserve">% en el trimestre </w:t>
      </w:r>
      <w:r w:rsidR="006B2A22">
        <w:t>en cuestión</w:t>
      </w:r>
      <w:r w:rsidR="006B2A22" w:rsidRPr="00B834C7">
        <w:t xml:space="preserve">. Por actividades económicas, </w:t>
      </w:r>
      <w:r w:rsidR="006B2A22">
        <w:t>los incrementos fueron de 28.2% en el</w:t>
      </w:r>
      <w:r w:rsidR="006B2A22" w:rsidRPr="00B834C7">
        <w:t xml:space="preserve"> PIB de las </w:t>
      </w:r>
      <w:r w:rsidR="006B2A22">
        <w:t xml:space="preserve">Actividades </w:t>
      </w:r>
      <w:r w:rsidR="006B2A22" w:rsidRPr="00B834C7">
        <w:t>Secundarias</w:t>
      </w:r>
      <w:r w:rsidR="006B2A22">
        <w:t>, de 17% en el de las</w:t>
      </w:r>
      <w:r w:rsidR="006B2A22" w:rsidRPr="00701AC8">
        <w:t xml:space="preserve"> </w:t>
      </w:r>
      <w:r w:rsidR="006B2A22">
        <w:t>Terciarias y de 6.8% en el de las Actividades Primarias</w:t>
      </w:r>
      <w:r w:rsidR="006B2A22" w:rsidRPr="00B834C7">
        <w:t xml:space="preserve"> </w:t>
      </w:r>
      <w:r w:rsidR="006B2A22">
        <w:t>frente a igual trimestre de 2020</w:t>
      </w:r>
      <w:r w:rsidR="006B2A22" w:rsidRPr="00B834C7">
        <w:t>.</w:t>
      </w:r>
    </w:p>
    <w:p w14:paraId="7739A50E" w14:textId="77777777" w:rsidR="002B4D2B" w:rsidRPr="00EA3CFD" w:rsidRDefault="002B4D2B" w:rsidP="002B4D2B">
      <w:pPr>
        <w:pStyle w:val="Textoindependiente"/>
        <w:spacing w:before="240"/>
        <w:jc w:val="center"/>
        <w:rPr>
          <w:b/>
          <w:smallCaps/>
          <w:sz w:val="21"/>
          <w:szCs w:val="21"/>
        </w:rPr>
      </w:pPr>
      <w:r w:rsidRPr="00EA3CFD">
        <w:rPr>
          <w:b/>
          <w:smallCaps/>
          <w:sz w:val="21"/>
          <w:szCs w:val="21"/>
        </w:rPr>
        <w:t xml:space="preserve">Estimación Oportuna del Producto Interno Bruto </w:t>
      </w:r>
    </w:p>
    <w:p w14:paraId="797E0484" w14:textId="3F36AA17" w:rsidR="002B4D2B" w:rsidRPr="00A0204E" w:rsidRDefault="002B4D2B" w:rsidP="002B4D2B">
      <w:pPr>
        <w:pStyle w:val="Textoindependiente"/>
        <w:jc w:val="center"/>
        <w:rPr>
          <w:b/>
          <w:smallCaps/>
          <w:sz w:val="21"/>
          <w:szCs w:val="21"/>
        </w:rPr>
      </w:pPr>
      <w:r>
        <w:rPr>
          <w:b/>
          <w:smallCaps/>
          <w:sz w:val="21"/>
          <w:szCs w:val="21"/>
        </w:rPr>
        <w:t>durante el</w:t>
      </w:r>
      <w:r w:rsidRPr="00A0204E">
        <w:rPr>
          <w:b/>
          <w:smallCaps/>
          <w:sz w:val="21"/>
          <w:szCs w:val="21"/>
        </w:rPr>
        <w:t xml:space="preserve"> </w:t>
      </w:r>
      <w:r w:rsidR="00E75E0E">
        <w:rPr>
          <w:b/>
          <w:smallCaps/>
          <w:sz w:val="21"/>
          <w:szCs w:val="21"/>
        </w:rPr>
        <w:t>segundo</w:t>
      </w:r>
      <w:r>
        <w:rPr>
          <w:b/>
          <w:smallCaps/>
          <w:sz w:val="21"/>
          <w:szCs w:val="21"/>
        </w:rPr>
        <w:t xml:space="preserve"> trimestre de 20</w:t>
      </w:r>
      <w:r w:rsidR="005755AA">
        <w:rPr>
          <w:b/>
          <w:smallCaps/>
          <w:sz w:val="21"/>
          <w:szCs w:val="21"/>
        </w:rPr>
        <w:t>2</w:t>
      </w:r>
      <w:r w:rsidR="00C57569">
        <w:rPr>
          <w:b/>
          <w:smallCaps/>
          <w:sz w:val="21"/>
          <w:szCs w:val="21"/>
        </w:rPr>
        <w:t>1</w:t>
      </w:r>
    </w:p>
    <w:p w14:paraId="781F24A5" w14:textId="77777777" w:rsidR="00AB2E3E" w:rsidRDefault="00AB2E3E" w:rsidP="00AB2E3E">
      <w:pPr>
        <w:pStyle w:val="Textoindependiente"/>
        <w:jc w:val="center"/>
        <w:rPr>
          <w:rFonts w:cs="Arial"/>
          <w:b/>
          <w:smallCaps/>
          <w:color w:val="auto"/>
          <w:sz w:val="22"/>
          <w:szCs w:val="22"/>
        </w:rPr>
      </w:pPr>
      <w:r w:rsidRPr="00A0204E">
        <w:rPr>
          <w:b/>
          <w:smallCaps/>
          <w:sz w:val="21"/>
          <w:szCs w:val="21"/>
        </w:rPr>
        <w:t>Cifras desestacionalizadas por actividades económicas</w:t>
      </w:r>
      <w:r w:rsidRPr="00A0204E">
        <w:rPr>
          <w:b/>
          <w:smallCaps/>
          <w:sz w:val="20"/>
          <w:szCs w:val="22"/>
        </w:rPr>
        <w:t xml:space="preserve"> </w:t>
      </w:r>
    </w:p>
    <w:tbl>
      <w:tblPr>
        <w:tblW w:w="7640" w:type="dxa"/>
        <w:jc w:val="center"/>
        <w:tblCellMar>
          <w:left w:w="70" w:type="dxa"/>
          <w:right w:w="70" w:type="dxa"/>
        </w:tblCellMar>
        <w:tblLook w:val="04A0" w:firstRow="1" w:lastRow="0" w:firstColumn="1" w:lastColumn="0" w:noHBand="0" w:noVBand="1"/>
      </w:tblPr>
      <w:tblGrid>
        <w:gridCol w:w="2365"/>
        <w:gridCol w:w="1731"/>
        <w:gridCol w:w="1701"/>
        <w:gridCol w:w="1843"/>
      </w:tblGrid>
      <w:tr w:rsidR="00AB2E3E" w:rsidRPr="004B5894" w14:paraId="4B42C524" w14:textId="77777777" w:rsidTr="004C2884">
        <w:trPr>
          <w:trHeight w:val="630"/>
          <w:jc w:val="center"/>
        </w:trPr>
        <w:tc>
          <w:tcPr>
            <w:tcW w:w="236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5DCDBE1C" w14:textId="77777777" w:rsidR="00AB2E3E" w:rsidRPr="00294709" w:rsidRDefault="00AB2E3E" w:rsidP="004C2884">
            <w:pPr>
              <w:widowControl/>
              <w:ind w:left="-85"/>
              <w:jc w:val="center"/>
              <w:rPr>
                <w:rFonts w:cs="Arial"/>
                <w:b/>
                <w:bCs/>
                <w:snapToGrid/>
                <w:sz w:val="16"/>
                <w:lang w:val="es-MX" w:eastAsia="es-MX"/>
              </w:rPr>
            </w:pPr>
            <w:r w:rsidRPr="00294709">
              <w:rPr>
                <w:rFonts w:cs="Arial"/>
                <w:b/>
                <w:bCs/>
                <w:snapToGrid/>
                <w:sz w:val="16"/>
                <w:lang w:val="es-MX" w:eastAsia="es-MX"/>
              </w:rPr>
              <w:t>Concepto</w:t>
            </w:r>
          </w:p>
        </w:tc>
        <w:tc>
          <w:tcPr>
            <w:tcW w:w="173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39030EDD" w14:textId="77777777" w:rsidR="00AB2E3E" w:rsidRPr="00294709" w:rsidRDefault="00AB2E3E" w:rsidP="004C2884">
            <w:pPr>
              <w:widowControl/>
              <w:jc w:val="center"/>
              <w:rPr>
                <w:rFonts w:cs="Arial"/>
                <w:b/>
                <w:bCs/>
                <w:snapToGrid/>
                <w:sz w:val="16"/>
                <w:lang w:val="es-MX" w:eastAsia="es-MX"/>
              </w:rPr>
            </w:pPr>
            <w:r w:rsidRPr="00294709">
              <w:rPr>
                <w:rFonts w:cs="Arial"/>
                <w:b/>
                <w:bCs/>
                <w:snapToGrid/>
                <w:sz w:val="16"/>
                <w:lang w:val="es-MX" w:eastAsia="es-MX"/>
              </w:rPr>
              <w:t xml:space="preserve">Variación % real respecto al trimestre previo </w:t>
            </w:r>
          </w:p>
        </w:tc>
        <w:tc>
          <w:tcPr>
            <w:tcW w:w="170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455E1432" w14:textId="7EB775AA" w:rsidR="00AB2E3E" w:rsidRPr="00294709" w:rsidRDefault="00AB2E3E" w:rsidP="004C2884">
            <w:pPr>
              <w:widowControl/>
              <w:jc w:val="center"/>
              <w:rPr>
                <w:rFonts w:cs="Arial"/>
                <w:b/>
                <w:bCs/>
                <w:snapToGrid/>
                <w:sz w:val="16"/>
                <w:lang w:val="es-MX" w:eastAsia="es-MX"/>
              </w:rPr>
            </w:pPr>
            <w:r w:rsidRPr="00294709">
              <w:rPr>
                <w:rFonts w:cs="Arial"/>
                <w:b/>
                <w:bCs/>
                <w:snapToGrid/>
                <w:sz w:val="16"/>
                <w:lang w:val="es-MX" w:eastAsia="es-MX"/>
              </w:rPr>
              <w:t>Variación % real respecto a igual trimestre de 20</w:t>
            </w:r>
            <w:r>
              <w:rPr>
                <w:rFonts w:cs="Arial"/>
                <w:b/>
                <w:bCs/>
                <w:snapToGrid/>
                <w:sz w:val="16"/>
                <w:lang w:val="es-MX" w:eastAsia="es-MX"/>
              </w:rPr>
              <w:t>20</w:t>
            </w:r>
          </w:p>
        </w:tc>
        <w:tc>
          <w:tcPr>
            <w:tcW w:w="1843" w:type="dxa"/>
            <w:tcBorders>
              <w:top w:val="double" w:sz="4" w:space="0" w:color="auto"/>
              <w:left w:val="double" w:sz="4" w:space="0" w:color="auto"/>
              <w:right w:val="double" w:sz="4" w:space="0" w:color="auto"/>
            </w:tcBorders>
            <w:shd w:val="clear" w:color="auto" w:fill="D6E3BC" w:themeFill="accent3" w:themeFillTint="66"/>
            <w:vAlign w:val="center"/>
          </w:tcPr>
          <w:p w14:paraId="453988D2" w14:textId="20B04472" w:rsidR="00AB2E3E" w:rsidRPr="00294709" w:rsidRDefault="00AB2E3E" w:rsidP="004C2884">
            <w:pPr>
              <w:widowControl/>
              <w:jc w:val="center"/>
              <w:rPr>
                <w:rFonts w:cs="Arial"/>
                <w:b/>
                <w:bCs/>
                <w:snapToGrid/>
                <w:sz w:val="16"/>
                <w:lang w:val="es-MX" w:eastAsia="es-MX"/>
              </w:rPr>
            </w:pPr>
            <w:r>
              <w:rPr>
                <w:rFonts w:cs="Arial"/>
                <w:b/>
                <w:bCs/>
                <w:snapToGrid/>
                <w:sz w:val="16"/>
                <w:lang w:val="es-MX" w:eastAsia="es-MX"/>
              </w:rPr>
              <w:t>Variación % real del primer semestre de 202</w:t>
            </w:r>
            <w:r w:rsidR="00F77FD8">
              <w:rPr>
                <w:rFonts w:cs="Arial"/>
                <w:b/>
                <w:bCs/>
                <w:snapToGrid/>
                <w:sz w:val="16"/>
                <w:lang w:val="es-MX" w:eastAsia="es-MX"/>
              </w:rPr>
              <w:t>1</w:t>
            </w:r>
            <w:r>
              <w:rPr>
                <w:rFonts w:cs="Arial"/>
                <w:b/>
                <w:bCs/>
                <w:snapToGrid/>
                <w:sz w:val="16"/>
                <w:lang w:val="es-MX" w:eastAsia="es-MX"/>
              </w:rPr>
              <w:t xml:space="preserve"> respecto a igual lapso de 2020</w:t>
            </w:r>
          </w:p>
        </w:tc>
      </w:tr>
      <w:tr w:rsidR="00AB2E3E" w:rsidRPr="004B5894" w14:paraId="00F8ECCE" w14:textId="77777777" w:rsidTr="004C2884">
        <w:trPr>
          <w:trHeight w:val="255"/>
          <w:jc w:val="center"/>
        </w:trPr>
        <w:tc>
          <w:tcPr>
            <w:tcW w:w="2365" w:type="dxa"/>
            <w:tcBorders>
              <w:top w:val="double" w:sz="4" w:space="0" w:color="auto"/>
              <w:left w:val="double" w:sz="4" w:space="0" w:color="auto"/>
              <w:bottom w:val="nil"/>
              <w:right w:val="double" w:sz="4" w:space="0" w:color="auto"/>
            </w:tcBorders>
            <w:shd w:val="clear" w:color="auto" w:fill="auto"/>
            <w:vAlign w:val="center"/>
            <w:hideMark/>
          </w:tcPr>
          <w:p w14:paraId="5B91E2A6" w14:textId="77777777" w:rsidR="00AB2E3E" w:rsidRPr="00294709" w:rsidRDefault="00AB2E3E" w:rsidP="004C2884">
            <w:pPr>
              <w:widowControl/>
              <w:rPr>
                <w:rFonts w:cs="Arial"/>
                <w:b/>
                <w:bCs/>
                <w:snapToGrid/>
                <w:color w:val="000000"/>
                <w:sz w:val="16"/>
                <w:lang w:val="es-MX" w:eastAsia="es-MX"/>
              </w:rPr>
            </w:pPr>
            <w:r w:rsidRPr="00294709">
              <w:rPr>
                <w:rFonts w:cs="Arial"/>
                <w:b/>
                <w:bCs/>
                <w:snapToGrid/>
                <w:color w:val="000000"/>
                <w:sz w:val="16"/>
                <w:lang w:val="es-MX" w:eastAsia="es-MX"/>
              </w:rPr>
              <w:t xml:space="preserve">PIB Total </w:t>
            </w:r>
          </w:p>
        </w:tc>
        <w:tc>
          <w:tcPr>
            <w:tcW w:w="1731" w:type="dxa"/>
            <w:tcBorders>
              <w:top w:val="double" w:sz="4" w:space="0" w:color="auto"/>
              <w:left w:val="double" w:sz="4" w:space="0" w:color="auto"/>
              <w:bottom w:val="nil"/>
              <w:right w:val="double" w:sz="4" w:space="0" w:color="auto"/>
            </w:tcBorders>
            <w:shd w:val="clear" w:color="auto" w:fill="auto"/>
            <w:vAlign w:val="center"/>
            <w:hideMark/>
          </w:tcPr>
          <w:p w14:paraId="06B0DBB7" w14:textId="7AE9FE4D" w:rsidR="00AB2E3E" w:rsidRPr="000D53AE" w:rsidRDefault="00231C99" w:rsidP="00231C99">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1.5</w:t>
            </w:r>
          </w:p>
        </w:tc>
        <w:tc>
          <w:tcPr>
            <w:tcW w:w="1701" w:type="dxa"/>
            <w:tcBorders>
              <w:top w:val="double" w:sz="4" w:space="0" w:color="auto"/>
              <w:left w:val="double" w:sz="4" w:space="0" w:color="auto"/>
              <w:bottom w:val="nil"/>
              <w:right w:val="double" w:sz="4" w:space="0" w:color="auto"/>
            </w:tcBorders>
            <w:shd w:val="clear" w:color="auto" w:fill="auto"/>
            <w:vAlign w:val="center"/>
            <w:hideMark/>
          </w:tcPr>
          <w:p w14:paraId="49E9B40D" w14:textId="29D40759" w:rsidR="00AB2E3E" w:rsidRPr="000D53AE" w:rsidRDefault="00231C99" w:rsidP="00231C99">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19.6</w:t>
            </w:r>
          </w:p>
        </w:tc>
        <w:tc>
          <w:tcPr>
            <w:tcW w:w="1843" w:type="dxa"/>
            <w:tcBorders>
              <w:top w:val="double" w:sz="4" w:space="0" w:color="auto"/>
              <w:left w:val="double" w:sz="4" w:space="0" w:color="auto"/>
              <w:bottom w:val="nil"/>
              <w:right w:val="double" w:sz="4" w:space="0" w:color="auto"/>
            </w:tcBorders>
            <w:vAlign w:val="center"/>
          </w:tcPr>
          <w:p w14:paraId="25AD35E2" w14:textId="5C787ED0" w:rsidR="00AB2E3E" w:rsidRPr="000D53AE" w:rsidRDefault="00701AC8" w:rsidP="00231C99">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7.4</w:t>
            </w:r>
          </w:p>
        </w:tc>
      </w:tr>
      <w:tr w:rsidR="00AB2E3E" w:rsidRPr="004B5894" w14:paraId="16D85A8C" w14:textId="77777777" w:rsidTr="004C2884">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68A15C2C" w14:textId="77777777" w:rsidR="00AB2E3E" w:rsidRPr="00294709" w:rsidRDefault="00AB2E3E" w:rsidP="004C2884">
            <w:pPr>
              <w:widowControl/>
              <w:rPr>
                <w:rFonts w:cs="Arial"/>
                <w:snapToGrid/>
                <w:color w:val="000000"/>
                <w:sz w:val="16"/>
                <w:lang w:val="es-MX" w:eastAsia="es-MX"/>
              </w:rPr>
            </w:pPr>
            <w:r w:rsidRPr="00294709">
              <w:rPr>
                <w:rFonts w:cs="Arial"/>
                <w:snapToGrid/>
                <w:color w:val="000000"/>
                <w:sz w:val="16"/>
                <w:lang w:val="es-MX" w:eastAsia="es-MX"/>
              </w:rPr>
              <w:t xml:space="preserve">     Actividades Primarias </w:t>
            </w:r>
          </w:p>
        </w:tc>
        <w:tc>
          <w:tcPr>
            <w:tcW w:w="1731" w:type="dxa"/>
            <w:tcBorders>
              <w:top w:val="nil"/>
              <w:left w:val="double" w:sz="4" w:space="0" w:color="auto"/>
              <w:bottom w:val="nil"/>
              <w:right w:val="double" w:sz="4" w:space="0" w:color="auto"/>
            </w:tcBorders>
            <w:shd w:val="clear" w:color="auto" w:fill="auto"/>
            <w:vAlign w:val="center"/>
            <w:hideMark/>
          </w:tcPr>
          <w:p w14:paraId="1159ECD0" w14:textId="297490A1" w:rsidR="00AB2E3E" w:rsidRPr="000D53AE" w:rsidRDefault="00231C99"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0.6</w:t>
            </w:r>
          </w:p>
        </w:tc>
        <w:tc>
          <w:tcPr>
            <w:tcW w:w="1701" w:type="dxa"/>
            <w:tcBorders>
              <w:top w:val="nil"/>
              <w:left w:val="double" w:sz="4" w:space="0" w:color="auto"/>
              <w:bottom w:val="nil"/>
              <w:right w:val="double" w:sz="4" w:space="0" w:color="auto"/>
            </w:tcBorders>
            <w:shd w:val="clear" w:color="auto" w:fill="auto"/>
            <w:vAlign w:val="center"/>
            <w:hideMark/>
          </w:tcPr>
          <w:p w14:paraId="41DEAAEC" w14:textId="38B2E973" w:rsidR="00AB2E3E" w:rsidRPr="000D53AE" w:rsidRDefault="00231C99"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6.8</w:t>
            </w:r>
          </w:p>
        </w:tc>
        <w:tc>
          <w:tcPr>
            <w:tcW w:w="1843" w:type="dxa"/>
            <w:tcBorders>
              <w:top w:val="nil"/>
              <w:left w:val="double" w:sz="4" w:space="0" w:color="auto"/>
              <w:bottom w:val="nil"/>
              <w:right w:val="double" w:sz="4" w:space="0" w:color="auto"/>
            </w:tcBorders>
            <w:vAlign w:val="center"/>
          </w:tcPr>
          <w:p w14:paraId="165004E4" w14:textId="5C64B348" w:rsidR="00AB2E3E" w:rsidRPr="000D53AE" w:rsidRDefault="00231C99"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4.7</w:t>
            </w:r>
          </w:p>
        </w:tc>
      </w:tr>
      <w:tr w:rsidR="00AB2E3E" w:rsidRPr="004B5894" w14:paraId="3B062EED" w14:textId="77777777" w:rsidTr="004C2884">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05167DC9" w14:textId="77777777" w:rsidR="00AB2E3E" w:rsidRPr="00294709" w:rsidRDefault="00AB2E3E" w:rsidP="004C2884">
            <w:pPr>
              <w:widowControl/>
              <w:rPr>
                <w:rFonts w:cs="Arial"/>
                <w:snapToGrid/>
                <w:color w:val="000000"/>
                <w:sz w:val="16"/>
                <w:lang w:val="es-MX" w:eastAsia="es-MX"/>
              </w:rPr>
            </w:pPr>
            <w:r w:rsidRPr="00294709">
              <w:rPr>
                <w:rFonts w:cs="Arial"/>
                <w:snapToGrid/>
                <w:color w:val="000000"/>
                <w:sz w:val="16"/>
                <w:lang w:val="es-MX" w:eastAsia="es-MX"/>
              </w:rPr>
              <w:t xml:space="preserve">     Actividades Secundarias </w:t>
            </w:r>
          </w:p>
        </w:tc>
        <w:tc>
          <w:tcPr>
            <w:tcW w:w="1731" w:type="dxa"/>
            <w:tcBorders>
              <w:top w:val="nil"/>
              <w:left w:val="double" w:sz="4" w:space="0" w:color="auto"/>
              <w:bottom w:val="nil"/>
              <w:right w:val="double" w:sz="4" w:space="0" w:color="auto"/>
            </w:tcBorders>
            <w:shd w:val="clear" w:color="auto" w:fill="auto"/>
            <w:vAlign w:val="center"/>
            <w:hideMark/>
          </w:tcPr>
          <w:p w14:paraId="4AE44217" w14:textId="5FDBE93B" w:rsidR="00AB2E3E" w:rsidRPr="000D53AE" w:rsidRDefault="00231C99"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0.4</w:t>
            </w:r>
          </w:p>
        </w:tc>
        <w:tc>
          <w:tcPr>
            <w:tcW w:w="1701" w:type="dxa"/>
            <w:tcBorders>
              <w:top w:val="nil"/>
              <w:left w:val="double" w:sz="4" w:space="0" w:color="auto"/>
              <w:bottom w:val="nil"/>
              <w:right w:val="double" w:sz="4" w:space="0" w:color="auto"/>
            </w:tcBorders>
            <w:shd w:val="clear" w:color="auto" w:fill="auto"/>
            <w:vAlign w:val="center"/>
            <w:hideMark/>
          </w:tcPr>
          <w:p w14:paraId="31C83D6E" w14:textId="46AFF6E3" w:rsidR="00AB2E3E" w:rsidRPr="000D53AE" w:rsidRDefault="00231C99"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28.2</w:t>
            </w:r>
          </w:p>
        </w:tc>
        <w:tc>
          <w:tcPr>
            <w:tcW w:w="1843" w:type="dxa"/>
            <w:tcBorders>
              <w:top w:val="nil"/>
              <w:left w:val="double" w:sz="4" w:space="0" w:color="auto"/>
              <w:bottom w:val="nil"/>
              <w:right w:val="double" w:sz="4" w:space="0" w:color="auto"/>
            </w:tcBorders>
            <w:vAlign w:val="center"/>
          </w:tcPr>
          <w:p w14:paraId="69E96CF7" w14:textId="4CDCDC1C" w:rsidR="00AB2E3E" w:rsidRPr="000D53AE" w:rsidRDefault="00231C99"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11.1</w:t>
            </w:r>
          </w:p>
        </w:tc>
      </w:tr>
      <w:tr w:rsidR="00AB2E3E" w:rsidRPr="004B5894" w14:paraId="666A2949" w14:textId="77777777" w:rsidTr="004C2884">
        <w:trPr>
          <w:trHeight w:val="300"/>
          <w:jc w:val="center"/>
        </w:trPr>
        <w:tc>
          <w:tcPr>
            <w:tcW w:w="2365" w:type="dxa"/>
            <w:tcBorders>
              <w:top w:val="nil"/>
              <w:left w:val="double" w:sz="4" w:space="0" w:color="auto"/>
              <w:bottom w:val="double" w:sz="4" w:space="0" w:color="auto"/>
              <w:right w:val="double" w:sz="4" w:space="0" w:color="auto"/>
            </w:tcBorders>
            <w:shd w:val="clear" w:color="auto" w:fill="auto"/>
            <w:vAlign w:val="center"/>
            <w:hideMark/>
          </w:tcPr>
          <w:p w14:paraId="774302DA" w14:textId="77777777" w:rsidR="00AB2E3E" w:rsidRPr="00294709" w:rsidRDefault="00AB2E3E" w:rsidP="004C2884">
            <w:pPr>
              <w:widowControl/>
              <w:rPr>
                <w:rFonts w:cs="Arial"/>
                <w:snapToGrid/>
                <w:color w:val="000000"/>
                <w:sz w:val="16"/>
                <w:lang w:val="es-MX" w:eastAsia="es-MX"/>
              </w:rPr>
            </w:pPr>
            <w:r w:rsidRPr="00294709">
              <w:rPr>
                <w:rFonts w:cs="Arial"/>
                <w:snapToGrid/>
                <w:color w:val="000000"/>
                <w:sz w:val="16"/>
                <w:lang w:val="es-MX" w:eastAsia="es-MX"/>
              </w:rPr>
              <w:t xml:space="preserve">     Actividades Terciarias </w:t>
            </w:r>
          </w:p>
        </w:tc>
        <w:tc>
          <w:tcPr>
            <w:tcW w:w="1731" w:type="dxa"/>
            <w:tcBorders>
              <w:top w:val="nil"/>
              <w:left w:val="double" w:sz="4" w:space="0" w:color="auto"/>
              <w:bottom w:val="double" w:sz="4" w:space="0" w:color="auto"/>
              <w:right w:val="double" w:sz="4" w:space="0" w:color="auto"/>
            </w:tcBorders>
            <w:shd w:val="clear" w:color="auto" w:fill="auto"/>
            <w:vAlign w:val="center"/>
            <w:hideMark/>
          </w:tcPr>
          <w:p w14:paraId="60D14D58" w14:textId="551E162D" w:rsidR="00AB2E3E" w:rsidRPr="000D53AE" w:rsidRDefault="00231C99"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2.1</w:t>
            </w:r>
          </w:p>
        </w:tc>
        <w:tc>
          <w:tcPr>
            <w:tcW w:w="1701" w:type="dxa"/>
            <w:tcBorders>
              <w:top w:val="nil"/>
              <w:left w:val="double" w:sz="4" w:space="0" w:color="auto"/>
              <w:bottom w:val="double" w:sz="4" w:space="0" w:color="auto"/>
              <w:right w:val="double" w:sz="4" w:space="0" w:color="auto"/>
            </w:tcBorders>
            <w:shd w:val="clear" w:color="auto" w:fill="auto"/>
            <w:vAlign w:val="center"/>
            <w:hideMark/>
          </w:tcPr>
          <w:p w14:paraId="58911564" w14:textId="7970F993" w:rsidR="00AB2E3E" w:rsidRPr="000D53AE" w:rsidRDefault="00231C99"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17.0</w:t>
            </w:r>
          </w:p>
        </w:tc>
        <w:tc>
          <w:tcPr>
            <w:tcW w:w="1843" w:type="dxa"/>
            <w:tcBorders>
              <w:top w:val="nil"/>
              <w:left w:val="double" w:sz="4" w:space="0" w:color="auto"/>
              <w:bottom w:val="double" w:sz="4" w:space="0" w:color="auto"/>
              <w:right w:val="double" w:sz="4" w:space="0" w:color="auto"/>
            </w:tcBorders>
            <w:vAlign w:val="center"/>
          </w:tcPr>
          <w:p w14:paraId="50EE70CC" w14:textId="12C1C060" w:rsidR="00AB2E3E" w:rsidRPr="000D53AE" w:rsidRDefault="00231C99"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6.0</w:t>
            </w:r>
          </w:p>
        </w:tc>
      </w:tr>
    </w:tbl>
    <w:p w14:paraId="0C3A892A" w14:textId="0DB05C09" w:rsidR="00A82556" w:rsidRDefault="00A82556" w:rsidP="00AB2E3E">
      <w:pPr>
        <w:pStyle w:val="bullet"/>
        <w:numPr>
          <w:ilvl w:val="0"/>
          <w:numId w:val="0"/>
        </w:numPr>
        <w:spacing w:before="0"/>
        <w:ind w:left="709" w:right="1469"/>
        <w:rPr>
          <w:rFonts w:cs="Arial"/>
          <w:b w:val="0"/>
          <w:color w:val="000000" w:themeColor="text1"/>
          <w:sz w:val="16"/>
          <w:szCs w:val="16"/>
          <w:lang w:val="es-MX"/>
        </w:rPr>
      </w:pPr>
      <w:r w:rsidRPr="00A0204E">
        <w:rPr>
          <w:rFonts w:cs="Arial"/>
          <w:b w:val="0"/>
          <w:color w:val="000000" w:themeColor="text1"/>
          <w:sz w:val="16"/>
          <w:szCs w:val="16"/>
          <w:lang w:val="es-MX"/>
        </w:rPr>
        <w:t>Notas: Cifras Oportunas. La estimación oportuna no re</w:t>
      </w:r>
      <w:r>
        <w:rPr>
          <w:rFonts w:cs="Arial"/>
          <w:b w:val="0"/>
          <w:color w:val="000000" w:themeColor="text1"/>
          <w:sz w:val="16"/>
          <w:szCs w:val="16"/>
          <w:lang w:val="es-MX"/>
        </w:rPr>
        <w:t>e</w:t>
      </w:r>
      <w:r w:rsidRPr="00A0204E">
        <w:rPr>
          <w:rFonts w:cs="Arial"/>
          <w:b w:val="0"/>
          <w:color w:val="000000" w:themeColor="text1"/>
          <w:sz w:val="16"/>
          <w:szCs w:val="16"/>
          <w:lang w:val="es-MX"/>
        </w:rPr>
        <w:t>mplaza a la estimación</w:t>
      </w:r>
      <w:r w:rsidR="00045F5B">
        <w:rPr>
          <w:rFonts w:cs="Arial"/>
          <w:b w:val="0"/>
          <w:color w:val="000000" w:themeColor="text1"/>
          <w:sz w:val="16"/>
          <w:szCs w:val="16"/>
          <w:lang w:val="es-MX"/>
        </w:rPr>
        <w:t xml:space="preserve"> </w:t>
      </w:r>
      <w:r w:rsidRPr="00A0204E">
        <w:rPr>
          <w:rFonts w:cs="Arial"/>
          <w:b w:val="0"/>
          <w:color w:val="000000" w:themeColor="text1"/>
          <w:sz w:val="16"/>
          <w:szCs w:val="16"/>
          <w:lang w:val="es-MX"/>
        </w:rPr>
        <w:t>tradicional.</w:t>
      </w:r>
    </w:p>
    <w:p w14:paraId="3CACC11D" w14:textId="141BD80D" w:rsidR="00A82556" w:rsidRDefault="00A82556" w:rsidP="006B2A22">
      <w:pPr>
        <w:pStyle w:val="bullet"/>
        <w:numPr>
          <w:ilvl w:val="0"/>
          <w:numId w:val="0"/>
        </w:numPr>
        <w:spacing w:before="0"/>
        <w:ind w:left="709" w:right="760"/>
        <w:rPr>
          <w:rFonts w:cs="Arial"/>
          <w:b w:val="0"/>
          <w:color w:val="auto"/>
          <w:sz w:val="16"/>
        </w:rPr>
      </w:pPr>
      <w:r w:rsidRPr="009570BB">
        <w:rPr>
          <w:rFonts w:cs="Arial"/>
          <w:b w:val="0"/>
          <w:color w:val="auto"/>
          <w:sz w:val="16"/>
        </w:rPr>
        <w:t>La serie desestacionalizada de</w:t>
      </w:r>
      <w:r>
        <w:rPr>
          <w:rFonts w:cs="Arial"/>
          <w:b w:val="0"/>
          <w:color w:val="auto"/>
          <w:sz w:val="16"/>
        </w:rPr>
        <w:t>l</w:t>
      </w:r>
      <w:r w:rsidRPr="009570BB">
        <w:rPr>
          <w:rFonts w:cs="Arial"/>
          <w:b w:val="0"/>
          <w:color w:val="auto"/>
          <w:sz w:val="16"/>
        </w:rPr>
        <w:t xml:space="preserve"> </w:t>
      </w:r>
      <w:r>
        <w:rPr>
          <w:rFonts w:cs="Arial"/>
          <w:b w:val="0"/>
          <w:color w:val="auto"/>
          <w:sz w:val="16"/>
        </w:rPr>
        <w:t>agregado</w:t>
      </w:r>
      <w:r w:rsidRPr="009570BB">
        <w:rPr>
          <w:rFonts w:cs="Arial"/>
          <w:b w:val="0"/>
          <w:color w:val="auto"/>
          <w:sz w:val="16"/>
        </w:rPr>
        <w:t xml:space="preserve"> se calcula de manera independiente a la de sus</w:t>
      </w:r>
      <w:r w:rsidR="006B2A22">
        <w:rPr>
          <w:rFonts w:cs="Arial"/>
          <w:b w:val="0"/>
          <w:color w:val="auto"/>
          <w:sz w:val="16"/>
        </w:rPr>
        <w:t xml:space="preserve"> </w:t>
      </w:r>
      <w:r w:rsidRPr="009570BB">
        <w:rPr>
          <w:rFonts w:cs="Arial"/>
          <w:b w:val="0"/>
          <w:color w:val="auto"/>
          <w:sz w:val="16"/>
        </w:rPr>
        <w:t>componentes.</w:t>
      </w:r>
    </w:p>
    <w:p w14:paraId="4A79397F" w14:textId="77777777" w:rsidR="00A82556" w:rsidRDefault="00A82556" w:rsidP="00AB2E3E">
      <w:pPr>
        <w:widowControl/>
        <w:ind w:left="709" w:right="1610"/>
        <w:jc w:val="both"/>
        <w:rPr>
          <w:rFonts w:cs="Arial"/>
          <w:color w:val="000000" w:themeColor="text1"/>
          <w:sz w:val="16"/>
          <w:szCs w:val="16"/>
        </w:rPr>
      </w:pPr>
      <w:r w:rsidRPr="004C5D14">
        <w:rPr>
          <w:rFonts w:cs="Arial"/>
          <w:color w:val="000000" w:themeColor="text1"/>
          <w:sz w:val="16"/>
          <w:szCs w:val="16"/>
        </w:rPr>
        <w:t>Fuente: INEGI.</w:t>
      </w:r>
    </w:p>
    <w:p w14:paraId="08A1C02B" w14:textId="689D6154" w:rsidR="003078AC" w:rsidRPr="003078AC" w:rsidRDefault="000F5879" w:rsidP="003078AC">
      <w:pPr>
        <w:pStyle w:val="bullet"/>
        <w:numPr>
          <w:ilvl w:val="0"/>
          <w:numId w:val="0"/>
        </w:numPr>
        <w:spacing w:before="360"/>
        <w:ind w:right="-91"/>
        <w:rPr>
          <w:b w:val="0"/>
          <w:color w:val="auto"/>
          <w:sz w:val="24"/>
        </w:rPr>
      </w:pPr>
      <w:r w:rsidRPr="000F5879">
        <w:rPr>
          <w:b w:val="0"/>
          <w:color w:val="auto"/>
          <w:sz w:val="24"/>
        </w:rPr>
        <w:t xml:space="preserve">Durante el primer semestre de 2021, el PIB oportuno </w:t>
      </w:r>
      <w:r w:rsidR="00231C99">
        <w:rPr>
          <w:b w:val="0"/>
          <w:color w:val="auto"/>
          <w:sz w:val="24"/>
        </w:rPr>
        <w:t>creció 7.4</w:t>
      </w:r>
      <w:r w:rsidRPr="000F5879">
        <w:rPr>
          <w:b w:val="0"/>
          <w:color w:val="auto"/>
          <w:sz w:val="24"/>
        </w:rPr>
        <w:t xml:space="preserve">% respecto a igual </w:t>
      </w:r>
      <w:r>
        <w:rPr>
          <w:b w:val="0"/>
          <w:color w:val="auto"/>
          <w:sz w:val="24"/>
        </w:rPr>
        <w:t>lapso</w:t>
      </w:r>
      <w:r w:rsidRPr="000F5879">
        <w:rPr>
          <w:b w:val="0"/>
          <w:color w:val="auto"/>
          <w:sz w:val="24"/>
        </w:rPr>
        <w:t xml:space="preserve"> de 2020, con datos desestacionalizados.</w:t>
      </w:r>
    </w:p>
    <w:p w14:paraId="3EF9B90D" w14:textId="58FB55F7" w:rsidR="00521E6C" w:rsidRDefault="00521E6C">
      <w:pPr>
        <w:widowControl/>
        <w:rPr>
          <w:b/>
          <w:i/>
          <w:sz w:val="22"/>
        </w:rPr>
      </w:pPr>
      <w:r>
        <w:rPr>
          <w:i/>
        </w:rPr>
        <w:br w:type="page"/>
      </w:r>
    </w:p>
    <w:p w14:paraId="3D1DBD39" w14:textId="77777777" w:rsidR="009967B1" w:rsidRDefault="009967B1" w:rsidP="00824250">
      <w:pPr>
        <w:pStyle w:val="bullet"/>
        <w:numPr>
          <w:ilvl w:val="0"/>
          <w:numId w:val="0"/>
        </w:numPr>
        <w:ind w:right="902"/>
        <w:rPr>
          <w:i/>
          <w:color w:val="auto"/>
        </w:rPr>
      </w:pPr>
    </w:p>
    <w:p w14:paraId="2EFCF72D" w14:textId="3E9BF0DF" w:rsidR="005E3FC4" w:rsidRPr="00650C57" w:rsidRDefault="005E3FC4" w:rsidP="00824250">
      <w:pPr>
        <w:pStyle w:val="bullet"/>
        <w:numPr>
          <w:ilvl w:val="0"/>
          <w:numId w:val="0"/>
        </w:numPr>
        <w:ind w:right="902"/>
        <w:rPr>
          <w:i/>
          <w:color w:val="auto"/>
        </w:rPr>
      </w:pPr>
      <w:r w:rsidRPr="00650C57">
        <w:rPr>
          <w:i/>
          <w:color w:val="auto"/>
        </w:rPr>
        <w:t>Cifras originales</w:t>
      </w:r>
    </w:p>
    <w:p w14:paraId="39A34D45" w14:textId="45D88493" w:rsidR="005E3FC4" w:rsidRPr="00DC6F94" w:rsidRDefault="005E3FC4" w:rsidP="003078AC">
      <w:pPr>
        <w:pStyle w:val="bullet"/>
        <w:numPr>
          <w:ilvl w:val="0"/>
          <w:numId w:val="0"/>
        </w:numPr>
        <w:ind w:right="-91"/>
        <w:rPr>
          <w:b w:val="0"/>
          <w:i/>
          <w:color w:val="auto"/>
          <w:sz w:val="24"/>
          <w:szCs w:val="24"/>
        </w:rPr>
      </w:pPr>
      <w:r w:rsidRPr="005E3FC4">
        <w:rPr>
          <w:b w:val="0"/>
          <w:color w:val="auto"/>
          <w:sz w:val="24"/>
        </w:rPr>
        <w:t xml:space="preserve">En el siguiente cuadro </w:t>
      </w:r>
      <w:r w:rsidR="0046476B">
        <w:rPr>
          <w:b w:val="0"/>
          <w:color w:val="auto"/>
          <w:sz w:val="24"/>
        </w:rPr>
        <w:t>se muestran</w:t>
      </w:r>
      <w:r w:rsidRPr="005E3FC4">
        <w:rPr>
          <w:b w:val="0"/>
          <w:color w:val="auto"/>
          <w:sz w:val="24"/>
        </w:rPr>
        <w:t xml:space="preserve"> los resultados originales de la Estimación Oportuna del PIB trimestral por actividad:</w:t>
      </w:r>
    </w:p>
    <w:p w14:paraId="59C67B17" w14:textId="5E35BEA0" w:rsidR="00EF4CD3" w:rsidRPr="00EA3CFD" w:rsidRDefault="00EF4CD3" w:rsidP="00E52A87">
      <w:pPr>
        <w:pStyle w:val="bullet"/>
        <w:numPr>
          <w:ilvl w:val="0"/>
          <w:numId w:val="0"/>
        </w:numPr>
        <w:ind w:right="0"/>
        <w:jc w:val="center"/>
        <w:rPr>
          <w:rFonts w:cs="Arial"/>
          <w:smallCaps/>
          <w:color w:val="auto"/>
          <w:sz w:val="21"/>
          <w:szCs w:val="21"/>
        </w:rPr>
      </w:pPr>
      <w:r w:rsidRPr="00EF4CD3">
        <w:rPr>
          <w:smallCaps/>
          <w:color w:val="auto"/>
          <w:sz w:val="21"/>
          <w:szCs w:val="21"/>
        </w:rPr>
        <w:t>Estimación Oportuna del</w:t>
      </w:r>
      <w:r w:rsidRPr="00EF4CD3">
        <w:rPr>
          <w:rFonts w:cs="Arial"/>
          <w:smallCaps/>
          <w:color w:val="auto"/>
          <w:sz w:val="21"/>
          <w:szCs w:val="21"/>
        </w:rPr>
        <w:t xml:space="preserve"> </w:t>
      </w:r>
      <w:r w:rsidRPr="00EA3CFD">
        <w:rPr>
          <w:rFonts w:cs="Arial"/>
          <w:smallCaps/>
          <w:color w:val="auto"/>
          <w:sz w:val="21"/>
          <w:szCs w:val="21"/>
        </w:rPr>
        <w:t>Producto Interno Bruto</w:t>
      </w:r>
    </w:p>
    <w:p w14:paraId="2E6D1738" w14:textId="3ED99DAE" w:rsidR="00EF4CD3" w:rsidRPr="00EA3CFD" w:rsidRDefault="00EF4CD3" w:rsidP="00EF4CD3">
      <w:pPr>
        <w:pStyle w:val="bullet"/>
        <w:numPr>
          <w:ilvl w:val="0"/>
          <w:numId w:val="0"/>
        </w:numPr>
        <w:spacing w:before="0"/>
        <w:ind w:right="0"/>
        <w:jc w:val="center"/>
        <w:rPr>
          <w:rFonts w:cs="Arial"/>
          <w:smallCaps/>
          <w:color w:val="auto"/>
          <w:sz w:val="21"/>
          <w:szCs w:val="21"/>
        </w:rPr>
      </w:pPr>
      <w:r w:rsidRPr="00EA3CFD">
        <w:rPr>
          <w:rFonts w:cs="Arial"/>
          <w:smallCaps/>
          <w:color w:val="auto"/>
          <w:sz w:val="21"/>
          <w:szCs w:val="21"/>
        </w:rPr>
        <w:t>al</w:t>
      </w:r>
      <w:r w:rsidR="00C57569">
        <w:rPr>
          <w:rFonts w:cs="Arial"/>
          <w:smallCaps/>
          <w:color w:val="auto"/>
          <w:sz w:val="21"/>
          <w:szCs w:val="21"/>
        </w:rPr>
        <w:t xml:space="preserve"> </w:t>
      </w:r>
      <w:r w:rsidR="00570C56">
        <w:rPr>
          <w:rFonts w:cs="Arial"/>
          <w:smallCaps/>
          <w:color w:val="auto"/>
          <w:sz w:val="21"/>
          <w:szCs w:val="21"/>
        </w:rPr>
        <w:t>segundo</w:t>
      </w:r>
      <w:r w:rsidRPr="00EA3CFD">
        <w:rPr>
          <w:rFonts w:cs="Arial"/>
          <w:smallCaps/>
          <w:color w:val="auto"/>
          <w:sz w:val="21"/>
          <w:szCs w:val="21"/>
        </w:rPr>
        <w:t xml:space="preserve"> trimestre de 20</w:t>
      </w:r>
      <w:r>
        <w:rPr>
          <w:rFonts w:cs="Arial"/>
          <w:smallCaps/>
          <w:color w:val="auto"/>
          <w:sz w:val="21"/>
          <w:szCs w:val="21"/>
        </w:rPr>
        <w:t>2</w:t>
      </w:r>
      <w:r w:rsidR="00C57569">
        <w:rPr>
          <w:rFonts w:cs="Arial"/>
          <w:smallCaps/>
          <w:color w:val="auto"/>
          <w:sz w:val="21"/>
          <w:szCs w:val="21"/>
        </w:rPr>
        <w:t>1</w:t>
      </w:r>
    </w:p>
    <w:p w14:paraId="2A208E78" w14:textId="77777777" w:rsidR="00EF4CD3" w:rsidRDefault="00EF4CD3" w:rsidP="00EF4CD3">
      <w:pPr>
        <w:pStyle w:val="bullet"/>
        <w:numPr>
          <w:ilvl w:val="0"/>
          <w:numId w:val="0"/>
        </w:numPr>
        <w:spacing w:before="0"/>
        <w:ind w:right="0"/>
        <w:jc w:val="center"/>
        <w:rPr>
          <w:rFonts w:cs="Arial"/>
          <w:b w:val="0"/>
          <w:bCs/>
          <w:snapToGrid/>
          <w:color w:val="000000" w:themeColor="text1"/>
          <w:sz w:val="18"/>
          <w:lang w:val="es-MX" w:eastAsia="es-MX"/>
        </w:rPr>
      </w:pPr>
      <w:r>
        <w:rPr>
          <w:rFonts w:cs="Arial"/>
          <w:b w:val="0"/>
          <w:bCs/>
          <w:snapToGrid/>
          <w:color w:val="000000" w:themeColor="text1"/>
          <w:sz w:val="18"/>
          <w:lang w:val="es-MX" w:eastAsia="es-MX"/>
        </w:rPr>
        <w:t>(</w:t>
      </w:r>
      <w:r w:rsidRPr="00752485">
        <w:rPr>
          <w:rFonts w:cs="Arial"/>
          <w:b w:val="0"/>
          <w:bCs/>
          <w:snapToGrid/>
          <w:color w:val="000000" w:themeColor="text1"/>
          <w:sz w:val="18"/>
          <w:lang w:val="es-MX" w:eastAsia="es-MX"/>
        </w:rPr>
        <w:t>Variación %</w:t>
      </w:r>
      <w:r>
        <w:rPr>
          <w:rFonts w:cs="Arial"/>
          <w:b w:val="0"/>
          <w:bCs/>
          <w:snapToGrid/>
          <w:color w:val="000000" w:themeColor="text1"/>
          <w:sz w:val="18"/>
          <w:lang w:val="es-MX" w:eastAsia="es-MX"/>
        </w:rPr>
        <w:t xml:space="preserve"> real respecto a igual periodo</w:t>
      </w:r>
      <w:r w:rsidRPr="00752485">
        <w:rPr>
          <w:rFonts w:cs="Arial"/>
          <w:b w:val="0"/>
          <w:bCs/>
          <w:snapToGrid/>
          <w:color w:val="000000" w:themeColor="text1"/>
          <w:sz w:val="18"/>
          <w:lang w:val="es-MX" w:eastAsia="es-MX"/>
        </w:rPr>
        <w:t xml:space="preserve"> de</w:t>
      </w:r>
      <w:r>
        <w:rPr>
          <w:rFonts w:cs="Arial"/>
          <w:b w:val="0"/>
          <w:bCs/>
          <w:snapToGrid/>
          <w:color w:val="000000" w:themeColor="text1"/>
          <w:sz w:val="18"/>
          <w:lang w:val="es-MX" w:eastAsia="es-MX"/>
        </w:rPr>
        <w:t>l año anterior)</w:t>
      </w:r>
    </w:p>
    <w:tbl>
      <w:tblPr>
        <w:tblStyle w:val="Tablaconcuadrcula"/>
        <w:tblW w:w="8501" w:type="dxa"/>
        <w:jc w:val="center"/>
        <w:tblBorders>
          <w:top w:val="double" w:sz="4" w:space="0" w:color="000000"/>
          <w:left w:val="double" w:sz="4" w:space="0" w:color="000000"/>
          <w:bottom w:val="double" w:sz="4" w:space="0" w:color="000000"/>
          <w:right w:val="double" w:sz="4" w:space="0" w:color="000000"/>
          <w:insideH w:val="none" w:sz="0" w:space="0" w:color="auto"/>
          <w:insideV w:val="none" w:sz="0" w:space="0" w:color="auto"/>
        </w:tblBorders>
        <w:tblLook w:val="04A0" w:firstRow="1" w:lastRow="0" w:firstColumn="1" w:lastColumn="0" w:noHBand="0" w:noVBand="1"/>
      </w:tblPr>
      <w:tblGrid>
        <w:gridCol w:w="1828"/>
        <w:gridCol w:w="992"/>
        <w:gridCol w:w="851"/>
        <w:gridCol w:w="850"/>
        <w:gridCol w:w="851"/>
        <w:gridCol w:w="850"/>
        <w:gridCol w:w="851"/>
        <w:gridCol w:w="709"/>
        <w:gridCol w:w="719"/>
      </w:tblGrid>
      <w:tr w:rsidR="00E75E0E" w:rsidRPr="007F656F" w14:paraId="141AF94E" w14:textId="454415FC" w:rsidTr="00F76FAC">
        <w:trPr>
          <w:trHeight w:val="179"/>
          <w:jc w:val="center"/>
        </w:trPr>
        <w:tc>
          <w:tcPr>
            <w:tcW w:w="1828" w:type="dxa"/>
            <w:vMerge w:val="restart"/>
            <w:tcBorders>
              <w:top w:val="double" w:sz="4" w:space="0" w:color="000000"/>
              <w:bottom w:val="nil"/>
              <w:right w:val="double" w:sz="4" w:space="0" w:color="000000"/>
            </w:tcBorders>
            <w:shd w:val="clear" w:color="auto" w:fill="D6E3BC" w:themeFill="accent3" w:themeFillTint="66"/>
            <w:vAlign w:val="center"/>
          </w:tcPr>
          <w:p w14:paraId="3E06643D" w14:textId="77777777" w:rsidR="00E75E0E" w:rsidRPr="00294709" w:rsidRDefault="00E75E0E" w:rsidP="008F5D0F">
            <w:pPr>
              <w:widowControl/>
              <w:jc w:val="center"/>
              <w:rPr>
                <w:rFonts w:cs="Arial"/>
                <w:b/>
                <w:bCs/>
                <w:snapToGrid/>
                <w:sz w:val="16"/>
                <w:szCs w:val="14"/>
                <w:lang w:val="es-MX" w:eastAsia="es-MX"/>
              </w:rPr>
            </w:pPr>
            <w:r w:rsidRPr="00294709">
              <w:rPr>
                <w:rFonts w:cs="Arial"/>
                <w:b/>
                <w:bCs/>
                <w:snapToGrid/>
                <w:sz w:val="16"/>
                <w:szCs w:val="14"/>
                <w:lang w:val="es-MX" w:eastAsia="es-MX"/>
              </w:rPr>
              <w:t>Concepto</w:t>
            </w:r>
          </w:p>
        </w:tc>
        <w:tc>
          <w:tcPr>
            <w:tcW w:w="4394" w:type="dxa"/>
            <w:gridSpan w:val="5"/>
            <w:tcBorders>
              <w:top w:val="double" w:sz="4" w:space="0" w:color="000000"/>
              <w:left w:val="double" w:sz="4" w:space="0" w:color="000000"/>
              <w:bottom w:val="double" w:sz="4" w:space="0" w:color="000000"/>
            </w:tcBorders>
            <w:shd w:val="clear" w:color="auto" w:fill="D6E3BC" w:themeFill="accent3" w:themeFillTint="66"/>
          </w:tcPr>
          <w:p w14:paraId="6B5515D0" w14:textId="0B0BBC36" w:rsidR="00E75E0E" w:rsidRPr="00294709" w:rsidRDefault="00E75E0E" w:rsidP="00EF4CD3">
            <w:pPr>
              <w:widowControl/>
              <w:spacing w:before="60" w:after="60"/>
              <w:jc w:val="center"/>
              <w:rPr>
                <w:rFonts w:cs="Arial"/>
                <w:b/>
                <w:bCs/>
                <w:snapToGrid/>
                <w:sz w:val="16"/>
                <w:szCs w:val="14"/>
                <w:lang w:val="es-MX" w:eastAsia="es-MX"/>
              </w:rPr>
            </w:pPr>
            <w:r w:rsidRPr="00294709">
              <w:rPr>
                <w:rFonts w:cs="Arial"/>
                <w:b/>
                <w:bCs/>
                <w:snapToGrid/>
                <w:sz w:val="16"/>
                <w:szCs w:val="14"/>
                <w:lang w:val="es-MX" w:eastAsia="es-MX"/>
              </w:rPr>
              <w:t>20</w:t>
            </w:r>
            <w:r>
              <w:rPr>
                <w:rFonts w:cs="Arial"/>
                <w:b/>
                <w:bCs/>
                <w:snapToGrid/>
                <w:sz w:val="16"/>
                <w:szCs w:val="14"/>
                <w:lang w:val="es-MX" w:eastAsia="es-MX"/>
              </w:rPr>
              <w:t>20</w:t>
            </w:r>
          </w:p>
        </w:tc>
        <w:tc>
          <w:tcPr>
            <w:tcW w:w="2279" w:type="dxa"/>
            <w:gridSpan w:val="3"/>
            <w:tcBorders>
              <w:top w:val="double" w:sz="4" w:space="0" w:color="000000"/>
              <w:left w:val="double" w:sz="4" w:space="0" w:color="000000"/>
              <w:bottom w:val="double" w:sz="4" w:space="0" w:color="000000"/>
            </w:tcBorders>
            <w:shd w:val="clear" w:color="auto" w:fill="D6E3BC" w:themeFill="accent3" w:themeFillTint="66"/>
          </w:tcPr>
          <w:p w14:paraId="600C32C5" w14:textId="10204334" w:rsidR="00E75E0E" w:rsidRDefault="00E75E0E" w:rsidP="00EF4CD3">
            <w:pPr>
              <w:widowControl/>
              <w:spacing w:before="60" w:after="60"/>
              <w:jc w:val="center"/>
              <w:rPr>
                <w:rFonts w:cs="Arial"/>
                <w:b/>
                <w:bCs/>
                <w:snapToGrid/>
                <w:sz w:val="16"/>
                <w:szCs w:val="14"/>
                <w:lang w:val="es-MX" w:eastAsia="es-MX"/>
              </w:rPr>
            </w:pPr>
            <w:r>
              <w:rPr>
                <w:rFonts w:cs="Arial"/>
                <w:b/>
                <w:bCs/>
                <w:snapToGrid/>
                <w:sz w:val="16"/>
                <w:szCs w:val="14"/>
                <w:lang w:val="es-MX" w:eastAsia="es-MX"/>
              </w:rPr>
              <w:t>2021</w:t>
            </w:r>
            <w:r w:rsidR="00BA1694" w:rsidRPr="00BB1A73">
              <w:rPr>
                <w:rFonts w:cs="Arial"/>
                <w:b/>
                <w:bCs/>
                <w:snapToGrid/>
                <w:sz w:val="16"/>
                <w:szCs w:val="14"/>
                <w:vertAlign w:val="superscript"/>
                <w:lang w:val="es-MX" w:eastAsia="es-MX"/>
              </w:rPr>
              <w:t>P</w:t>
            </w:r>
            <w:r w:rsidR="00BA1694">
              <w:rPr>
                <w:rFonts w:cs="Arial"/>
                <w:b/>
                <w:bCs/>
                <w:snapToGrid/>
                <w:sz w:val="16"/>
                <w:szCs w:val="14"/>
                <w:vertAlign w:val="superscript"/>
                <w:lang w:val="es-MX" w:eastAsia="es-MX"/>
              </w:rPr>
              <w:t>/</w:t>
            </w:r>
          </w:p>
        </w:tc>
      </w:tr>
      <w:tr w:rsidR="00F76FAC" w:rsidRPr="00E75E0E" w14:paraId="23C23FF1" w14:textId="4F04A1AE" w:rsidTr="00F76FAC">
        <w:trPr>
          <w:jc w:val="center"/>
        </w:trPr>
        <w:tc>
          <w:tcPr>
            <w:tcW w:w="1828" w:type="dxa"/>
            <w:vMerge/>
            <w:tcBorders>
              <w:top w:val="nil"/>
              <w:bottom w:val="double" w:sz="4" w:space="0" w:color="000000"/>
              <w:right w:val="double" w:sz="4" w:space="0" w:color="000000"/>
            </w:tcBorders>
            <w:shd w:val="clear" w:color="auto" w:fill="D6E3BC" w:themeFill="accent3" w:themeFillTint="66"/>
          </w:tcPr>
          <w:p w14:paraId="69DAE9E5" w14:textId="77777777" w:rsidR="00E75E0E" w:rsidRPr="00294709" w:rsidRDefault="00E75E0E" w:rsidP="008F5D0F">
            <w:pPr>
              <w:pStyle w:val="p0"/>
              <w:rPr>
                <w:sz w:val="16"/>
                <w:szCs w:val="14"/>
              </w:rPr>
            </w:pPr>
          </w:p>
        </w:tc>
        <w:tc>
          <w:tcPr>
            <w:tcW w:w="992" w:type="dxa"/>
            <w:tcBorders>
              <w:top w:val="double" w:sz="4" w:space="0" w:color="000000"/>
              <w:left w:val="double" w:sz="4" w:space="0" w:color="000000"/>
              <w:bottom w:val="double" w:sz="4" w:space="0" w:color="000000"/>
            </w:tcBorders>
            <w:shd w:val="clear" w:color="auto" w:fill="D6E3BC" w:themeFill="accent3" w:themeFillTint="66"/>
            <w:vAlign w:val="center"/>
          </w:tcPr>
          <w:p w14:paraId="54E657C7" w14:textId="77777777" w:rsidR="00E75E0E" w:rsidRPr="00294709" w:rsidRDefault="00E75E0E" w:rsidP="00F76FAC">
            <w:pPr>
              <w:pStyle w:val="p0"/>
              <w:spacing w:before="0"/>
              <w:jc w:val="center"/>
              <w:rPr>
                <w:b/>
                <w:color w:val="auto"/>
                <w:sz w:val="16"/>
                <w:szCs w:val="14"/>
              </w:rPr>
            </w:pPr>
            <w:r w:rsidRPr="00294709">
              <w:rPr>
                <w:b/>
                <w:color w:val="auto"/>
                <w:sz w:val="16"/>
                <w:szCs w:val="14"/>
              </w:rPr>
              <w:t>I</w:t>
            </w:r>
          </w:p>
        </w:tc>
        <w:tc>
          <w:tcPr>
            <w:tcW w:w="851" w:type="dxa"/>
            <w:tcBorders>
              <w:top w:val="double" w:sz="4" w:space="0" w:color="000000"/>
              <w:left w:val="double" w:sz="4" w:space="0" w:color="000000"/>
              <w:bottom w:val="double" w:sz="4" w:space="0" w:color="000000"/>
            </w:tcBorders>
            <w:shd w:val="clear" w:color="auto" w:fill="D6E3BC" w:themeFill="accent3" w:themeFillTint="66"/>
            <w:vAlign w:val="center"/>
          </w:tcPr>
          <w:p w14:paraId="242A712B" w14:textId="57088214" w:rsidR="00E75E0E" w:rsidRPr="00294709" w:rsidRDefault="00E75E0E" w:rsidP="00F76FAC">
            <w:pPr>
              <w:pStyle w:val="p0"/>
              <w:spacing w:before="0"/>
              <w:jc w:val="center"/>
              <w:rPr>
                <w:b/>
                <w:color w:val="auto"/>
                <w:sz w:val="16"/>
                <w:szCs w:val="14"/>
              </w:rPr>
            </w:pPr>
            <w:r>
              <w:rPr>
                <w:b/>
                <w:color w:val="auto"/>
                <w:sz w:val="16"/>
                <w:szCs w:val="14"/>
              </w:rPr>
              <w:t>II</w:t>
            </w:r>
          </w:p>
        </w:tc>
        <w:tc>
          <w:tcPr>
            <w:tcW w:w="850" w:type="dxa"/>
            <w:tcBorders>
              <w:top w:val="double" w:sz="4" w:space="0" w:color="000000"/>
              <w:left w:val="double" w:sz="4" w:space="0" w:color="000000"/>
              <w:bottom w:val="double" w:sz="4" w:space="0" w:color="000000"/>
              <w:right w:val="double" w:sz="4" w:space="0" w:color="000000"/>
            </w:tcBorders>
            <w:shd w:val="clear" w:color="auto" w:fill="D6E3BC" w:themeFill="accent3" w:themeFillTint="66"/>
            <w:vAlign w:val="center"/>
          </w:tcPr>
          <w:p w14:paraId="11A42536" w14:textId="2AD33F4B" w:rsidR="00E75E0E" w:rsidRDefault="00E75E0E" w:rsidP="00F76FAC">
            <w:pPr>
              <w:pStyle w:val="p0"/>
              <w:spacing w:before="0"/>
              <w:jc w:val="center"/>
              <w:rPr>
                <w:b/>
                <w:color w:val="auto"/>
                <w:sz w:val="16"/>
                <w:szCs w:val="14"/>
              </w:rPr>
            </w:pPr>
            <w:r>
              <w:rPr>
                <w:b/>
                <w:color w:val="auto"/>
                <w:sz w:val="16"/>
                <w:szCs w:val="14"/>
              </w:rPr>
              <w:t>III</w:t>
            </w:r>
          </w:p>
        </w:tc>
        <w:tc>
          <w:tcPr>
            <w:tcW w:w="851" w:type="dxa"/>
            <w:tcBorders>
              <w:top w:val="double" w:sz="4" w:space="0" w:color="000000"/>
              <w:left w:val="double" w:sz="4" w:space="0" w:color="000000"/>
              <w:bottom w:val="double" w:sz="4" w:space="0" w:color="000000"/>
              <w:right w:val="double" w:sz="4" w:space="0" w:color="000000"/>
            </w:tcBorders>
            <w:shd w:val="clear" w:color="auto" w:fill="D6E3BC" w:themeFill="accent3" w:themeFillTint="66"/>
            <w:vAlign w:val="center"/>
          </w:tcPr>
          <w:p w14:paraId="3AFE23BE" w14:textId="2C2C5CEF" w:rsidR="00E75E0E" w:rsidRDefault="00E75E0E" w:rsidP="00F76FAC">
            <w:pPr>
              <w:pStyle w:val="p0"/>
              <w:spacing w:before="0"/>
              <w:jc w:val="center"/>
              <w:rPr>
                <w:b/>
                <w:color w:val="auto"/>
                <w:sz w:val="16"/>
                <w:szCs w:val="14"/>
              </w:rPr>
            </w:pPr>
            <w:r>
              <w:rPr>
                <w:b/>
                <w:color w:val="auto"/>
                <w:sz w:val="16"/>
                <w:szCs w:val="14"/>
              </w:rPr>
              <w:t>IV</w:t>
            </w:r>
          </w:p>
        </w:tc>
        <w:tc>
          <w:tcPr>
            <w:tcW w:w="850" w:type="dxa"/>
            <w:tcBorders>
              <w:top w:val="double" w:sz="4" w:space="0" w:color="000000"/>
              <w:left w:val="double" w:sz="4" w:space="0" w:color="000000"/>
              <w:bottom w:val="double" w:sz="4" w:space="0" w:color="000000"/>
            </w:tcBorders>
            <w:shd w:val="clear" w:color="auto" w:fill="D6E3BC" w:themeFill="accent3" w:themeFillTint="66"/>
            <w:vAlign w:val="center"/>
          </w:tcPr>
          <w:p w14:paraId="49707254" w14:textId="129B04BF" w:rsidR="00E75E0E" w:rsidRPr="00294709" w:rsidRDefault="00E75E0E" w:rsidP="00F76FAC">
            <w:pPr>
              <w:pStyle w:val="p0"/>
              <w:spacing w:before="20"/>
              <w:jc w:val="center"/>
              <w:rPr>
                <w:b/>
                <w:color w:val="auto"/>
                <w:sz w:val="16"/>
                <w:szCs w:val="14"/>
              </w:rPr>
            </w:pPr>
            <w:r>
              <w:rPr>
                <w:b/>
                <w:color w:val="auto"/>
                <w:sz w:val="16"/>
                <w:szCs w:val="14"/>
              </w:rPr>
              <w:t>Anual</w:t>
            </w:r>
          </w:p>
        </w:tc>
        <w:tc>
          <w:tcPr>
            <w:tcW w:w="851" w:type="dxa"/>
            <w:tcBorders>
              <w:top w:val="double" w:sz="4" w:space="0" w:color="000000"/>
              <w:left w:val="double" w:sz="4" w:space="0" w:color="000000"/>
              <w:bottom w:val="double" w:sz="4" w:space="0" w:color="000000"/>
            </w:tcBorders>
            <w:shd w:val="clear" w:color="auto" w:fill="D6E3BC" w:themeFill="accent3" w:themeFillTint="66"/>
            <w:vAlign w:val="center"/>
          </w:tcPr>
          <w:p w14:paraId="5FF9BA8C" w14:textId="53BCE5DD" w:rsidR="00E75E0E" w:rsidRDefault="00E75E0E" w:rsidP="00F76FAC">
            <w:pPr>
              <w:pStyle w:val="p0"/>
              <w:spacing w:before="20"/>
              <w:jc w:val="center"/>
              <w:rPr>
                <w:b/>
                <w:color w:val="auto"/>
                <w:sz w:val="16"/>
                <w:szCs w:val="14"/>
              </w:rPr>
            </w:pPr>
            <w:r>
              <w:rPr>
                <w:b/>
                <w:color w:val="auto"/>
                <w:sz w:val="16"/>
                <w:szCs w:val="14"/>
              </w:rPr>
              <w:t>I</w:t>
            </w:r>
          </w:p>
        </w:tc>
        <w:tc>
          <w:tcPr>
            <w:tcW w:w="709" w:type="dxa"/>
            <w:tcBorders>
              <w:top w:val="double" w:sz="4" w:space="0" w:color="000000"/>
              <w:left w:val="double" w:sz="4" w:space="0" w:color="000000"/>
              <w:bottom w:val="double" w:sz="4" w:space="0" w:color="000000"/>
            </w:tcBorders>
            <w:shd w:val="clear" w:color="auto" w:fill="D6E3BC" w:themeFill="accent3" w:themeFillTint="66"/>
            <w:vAlign w:val="center"/>
          </w:tcPr>
          <w:p w14:paraId="46A9DB0A" w14:textId="0CC2FC10" w:rsidR="00E75E0E" w:rsidRDefault="00E75E0E" w:rsidP="00F76FAC">
            <w:pPr>
              <w:pStyle w:val="p0"/>
              <w:spacing w:before="20"/>
              <w:jc w:val="center"/>
              <w:rPr>
                <w:b/>
                <w:color w:val="auto"/>
                <w:sz w:val="16"/>
                <w:szCs w:val="14"/>
              </w:rPr>
            </w:pPr>
            <w:r>
              <w:rPr>
                <w:b/>
                <w:color w:val="auto"/>
                <w:sz w:val="16"/>
                <w:szCs w:val="14"/>
              </w:rPr>
              <w:t>II</w:t>
            </w:r>
          </w:p>
        </w:tc>
        <w:tc>
          <w:tcPr>
            <w:tcW w:w="719" w:type="dxa"/>
            <w:tcBorders>
              <w:top w:val="double" w:sz="4" w:space="0" w:color="000000"/>
              <w:left w:val="double" w:sz="4" w:space="0" w:color="000000"/>
              <w:bottom w:val="double" w:sz="4" w:space="0" w:color="000000"/>
            </w:tcBorders>
            <w:shd w:val="clear" w:color="auto" w:fill="D6E3BC" w:themeFill="accent3" w:themeFillTint="66"/>
            <w:vAlign w:val="center"/>
          </w:tcPr>
          <w:p w14:paraId="7FBB828C" w14:textId="1099B404" w:rsidR="00E75E0E" w:rsidRDefault="00E75E0E" w:rsidP="00F76FAC">
            <w:pPr>
              <w:pStyle w:val="p0"/>
              <w:spacing w:before="20"/>
              <w:jc w:val="center"/>
              <w:rPr>
                <w:b/>
                <w:color w:val="auto"/>
                <w:sz w:val="16"/>
                <w:szCs w:val="14"/>
              </w:rPr>
            </w:pPr>
            <w:r>
              <w:rPr>
                <w:b/>
                <w:color w:val="auto"/>
                <w:sz w:val="16"/>
                <w:szCs w:val="14"/>
              </w:rPr>
              <w:t>6 meses</w:t>
            </w:r>
          </w:p>
        </w:tc>
      </w:tr>
      <w:tr w:rsidR="00F76FAC" w:rsidRPr="00E75E0E" w14:paraId="55A04732" w14:textId="578C3C1B" w:rsidTr="00F76FAC">
        <w:trPr>
          <w:jc w:val="center"/>
        </w:trPr>
        <w:tc>
          <w:tcPr>
            <w:tcW w:w="1828" w:type="dxa"/>
            <w:tcBorders>
              <w:top w:val="double" w:sz="4" w:space="0" w:color="000000"/>
              <w:bottom w:val="nil"/>
              <w:right w:val="double" w:sz="4" w:space="0" w:color="000000"/>
            </w:tcBorders>
            <w:vAlign w:val="center"/>
          </w:tcPr>
          <w:p w14:paraId="6E1BC170" w14:textId="77777777" w:rsidR="00E75E0E" w:rsidRPr="007B5847" w:rsidRDefault="00E75E0E" w:rsidP="00E75E0E">
            <w:pPr>
              <w:widowControl/>
              <w:rPr>
                <w:rFonts w:cs="Arial"/>
                <w:b/>
                <w:bCs/>
                <w:snapToGrid/>
                <w:color w:val="000000"/>
                <w:sz w:val="16"/>
                <w:szCs w:val="18"/>
                <w:lang w:val="es-MX" w:eastAsia="es-MX"/>
              </w:rPr>
            </w:pPr>
            <w:r w:rsidRPr="007B5847">
              <w:rPr>
                <w:rFonts w:cs="Arial"/>
                <w:b/>
                <w:bCs/>
                <w:snapToGrid/>
                <w:color w:val="000000"/>
                <w:sz w:val="16"/>
                <w:szCs w:val="18"/>
                <w:lang w:val="es-MX" w:eastAsia="es-MX"/>
              </w:rPr>
              <w:t xml:space="preserve">PIB Total </w:t>
            </w:r>
          </w:p>
        </w:tc>
        <w:tc>
          <w:tcPr>
            <w:tcW w:w="992" w:type="dxa"/>
            <w:tcBorders>
              <w:top w:val="double" w:sz="4" w:space="0" w:color="000000"/>
              <w:left w:val="double" w:sz="4" w:space="0" w:color="000000"/>
              <w:bottom w:val="nil"/>
              <w:right w:val="nil"/>
            </w:tcBorders>
          </w:tcPr>
          <w:p w14:paraId="20937FF3" w14:textId="6D9F9694" w:rsidR="00E75E0E" w:rsidRPr="00EF4CD3" w:rsidRDefault="00E75E0E" w:rsidP="00F76FAC">
            <w:pPr>
              <w:pStyle w:val="p0"/>
              <w:spacing w:before="60" w:after="60"/>
              <w:ind w:right="113"/>
              <w:jc w:val="right"/>
              <w:rPr>
                <w:b/>
                <w:color w:val="auto"/>
                <w:sz w:val="18"/>
                <w:szCs w:val="18"/>
              </w:rPr>
            </w:pPr>
            <w:r>
              <w:rPr>
                <w:b/>
                <w:color w:val="auto"/>
                <w:sz w:val="18"/>
                <w:szCs w:val="18"/>
              </w:rPr>
              <w:t>(-) 1.</w:t>
            </w:r>
            <w:r w:rsidR="00F77FD8">
              <w:rPr>
                <w:b/>
                <w:color w:val="auto"/>
                <w:sz w:val="18"/>
                <w:szCs w:val="18"/>
              </w:rPr>
              <w:t>3</w:t>
            </w:r>
          </w:p>
        </w:tc>
        <w:tc>
          <w:tcPr>
            <w:tcW w:w="851" w:type="dxa"/>
            <w:tcBorders>
              <w:top w:val="double" w:sz="4" w:space="0" w:color="000000"/>
              <w:left w:val="nil"/>
              <w:bottom w:val="nil"/>
              <w:right w:val="nil"/>
            </w:tcBorders>
          </w:tcPr>
          <w:p w14:paraId="52AA3619" w14:textId="2B52BA27" w:rsidR="00E75E0E" w:rsidRDefault="00E75E0E" w:rsidP="00F76FAC">
            <w:pPr>
              <w:pStyle w:val="p0"/>
              <w:spacing w:before="60" w:after="60"/>
              <w:ind w:left="-111" w:right="57"/>
              <w:jc w:val="right"/>
              <w:rPr>
                <w:b/>
                <w:color w:val="auto"/>
                <w:sz w:val="18"/>
                <w:szCs w:val="18"/>
              </w:rPr>
            </w:pPr>
            <w:r>
              <w:rPr>
                <w:b/>
                <w:color w:val="auto"/>
                <w:sz w:val="18"/>
                <w:szCs w:val="18"/>
              </w:rPr>
              <w:t>(-) 18.7</w:t>
            </w:r>
          </w:p>
        </w:tc>
        <w:tc>
          <w:tcPr>
            <w:tcW w:w="850" w:type="dxa"/>
            <w:tcBorders>
              <w:top w:val="double" w:sz="4" w:space="0" w:color="000000"/>
              <w:left w:val="nil"/>
              <w:bottom w:val="nil"/>
              <w:right w:val="nil"/>
            </w:tcBorders>
          </w:tcPr>
          <w:p w14:paraId="2A5FC87F" w14:textId="7AF4BA65" w:rsidR="00E75E0E" w:rsidRDefault="00E75E0E" w:rsidP="00F76FAC">
            <w:pPr>
              <w:pStyle w:val="p0"/>
              <w:spacing w:before="60" w:after="60"/>
              <w:ind w:left="-250" w:right="57"/>
              <w:jc w:val="right"/>
              <w:rPr>
                <w:b/>
                <w:color w:val="auto"/>
                <w:sz w:val="18"/>
                <w:szCs w:val="18"/>
              </w:rPr>
            </w:pPr>
            <w:r>
              <w:rPr>
                <w:b/>
                <w:color w:val="auto"/>
                <w:sz w:val="18"/>
                <w:szCs w:val="18"/>
              </w:rPr>
              <w:t>(-) 8.</w:t>
            </w:r>
            <w:r w:rsidR="00F77FD8">
              <w:rPr>
                <w:b/>
                <w:color w:val="auto"/>
                <w:sz w:val="18"/>
                <w:szCs w:val="18"/>
              </w:rPr>
              <w:t>7</w:t>
            </w:r>
          </w:p>
        </w:tc>
        <w:tc>
          <w:tcPr>
            <w:tcW w:w="851" w:type="dxa"/>
            <w:tcBorders>
              <w:top w:val="double" w:sz="4" w:space="0" w:color="000000"/>
              <w:left w:val="nil"/>
              <w:bottom w:val="nil"/>
              <w:right w:val="nil"/>
            </w:tcBorders>
          </w:tcPr>
          <w:p w14:paraId="281987D7" w14:textId="1B5C5003" w:rsidR="00E75E0E" w:rsidRDefault="00E75E0E" w:rsidP="00F76FAC">
            <w:pPr>
              <w:pStyle w:val="p0"/>
              <w:spacing w:before="60" w:after="60"/>
              <w:ind w:right="57"/>
              <w:jc w:val="right"/>
              <w:rPr>
                <w:b/>
                <w:color w:val="auto"/>
                <w:sz w:val="18"/>
                <w:szCs w:val="18"/>
              </w:rPr>
            </w:pPr>
            <w:r>
              <w:rPr>
                <w:b/>
                <w:color w:val="auto"/>
                <w:sz w:val="18"/>
                <w:szCs w:val="18"/>
              </w:rPr>
              <w:t>(-) 4.</w:t>
            </w:r>
            <w:r w:rsidR="00F77FD8">
              <w:rPr>
                <w:b/>
                <w:color w:val="auto"/>
                <w:sz w:val="18"/>
                <w:szCs w:val="18"/>
              </w:rPr>
              <w:t>5</w:t>
            </w:r>
          </w:p>
        </w:tc>
        <w:tc>
          <w:tcPr>
            <w:tcW w:w="850" w:type="dxa"/>
            <w:tcBorders>
              <w:top w:val="double" w:sz="4" w:space="0" w:color="000000"/>
              <w:left w:val="nil"/>
              <w:bottom w:val="nil"/>
              <w:right w:val="double" w:sz="4" w:space="0" w:color="000000"/>
            </w:tcBorders>
          </w:tcPr>
          <w:p w14:paraId="740456E5" w14:textId="1EDD6021" w:rsidR="00E75E0E" w:rsidRDefault="00E75E0E" w:rsidP="00F76FAC">
            <w:pPr>
              <w:pStyle w:val="p0"/>
              <w:spacing w:before="60" w:after="60"/>
              <w:ind w:right="57"/>
              <w:jc w:val="right"/>
              <w:rPr>
                <w:b/>
                <w:color w:val="auto"/>
                <w:sz w:val="18"/>
                <w:szCs w:val="18"/>
              </w:rPr>
            </w:pPr>
            <w:r>
              <w:rPr>
                <w:b/>
                <w:color w:val="auto"/>
                <w:sz w:val="18"/>
                <w:szCs w:val="18"/>
              </w:rPr>
              <w:t>(-</w:t>
            </w:r>
            <w:proofErr w:type="gramStart"/>
            <w:r>
              <w:rPr>
                <w:b/>
                <w:color w:val="auto"/>
                <w:sz w:val="18"/>
                <w:szCs w:val="18"/>
              </w:rPr>
              <w:t>)  8</w:t>
            </w:r>
            <w:proofErr w:type="gramEnd"/>
            <w:r>
              <w:rPr>
                <w:b/>
                <w:color w:val="auto"/>
                <w:sz w:val="18"/>
                <w:szCs w:val="18"/>
              </w:rPr>
              <w:t>.</w:t>
            </w:r>
            <w:r w:rsidR="00F77FD8">
              <w:rPr>
                <w:b/>
                <w:color w:val="auto"/>
                <w:sz w:val="18"/>
                <w:szCs w:val="18"/>
              </w:rPr>
              <w:t>3</w:t>
            </w:r>
          </w:p>
        </w:tc>
        <w:tc>
          <w:tcPr>
            <w:tcW w:w="851" w:type="dxa"/>
            <w:tcBorders>
              <w:top w:val="double" w:sz="4" w:space="0" w:color="000000"/>
              <w:left w:val="nil"/>
              <w:bottom w:val="nil"/>
              <w:right w:val="nil"/>
            </w:tcBorders>
          </w:tcPr>
          <w:p w14:paraId="7D00BF2B" w14:textId="5E556E67" w:rsidR="00E75E0E" w:rsidRDefault="00E75E0E" w:rsidP="00E75E0E">
            <w:pPr>
              <w:pStyle w:val="p0"/>
              <w:spacing w:before="60" w:after="60"/>
              <w:ind w:right="57"/>
              <w:jc w:val="right"/>
              <w:rPr>
                <w:b/>
                <w:color w:val="auto"/>
                <w:sz w:val="18"/>
                <w:szCs w:val="18"/>
              </w:rPr>
            </w:pPr>
            <w:r>
              <w:rPr>
                <w:b/>
                <w:color w:val="auto"/>
                <w:sz w:val="18"/>
                <w:szCs w:val="18"/>
              </w:rPr>
              <w:t>(-</w:t>
            </w:r>
            <w:proofErr w:type="gramStart"/>
            <w:r>
              <w:rPr>
                <w:b/>
                <w:color w:val="auto"/>
                <w:sz w:val="18"/>
                <w:szCs w:val="18"/>
              </w:rPr>
              <w:t>)  3</w:t>
            </w:r>
            <w:proofErr w:type="gramEnd"/>
            <w:r>
              <w:rPr>
                <w:b/>
                <w:color w:val="auto"/>
                <w:sz w:val="18"/>
                <w:szCs w:val="18"/>
              </w:rPr>
              <w:t>.</w:t>
            </w:r>
            <w:r w:rsidR="00F77FD8">
              <w:rPr>
                <w:b/>
                <w:color w:val="auto"/>
                <w:sz w:val="18"/>
                <w:szCs w:val="18"/>
              </w:rPr>
              <w:t>6</w:t>
            </w:r>
          </w:p>
        </w:tc>
        <w:tc>
          <w:tcPr>
            <w:tcW w:w="709" w:type="dxa"/>
            <w:tcBorders>
              <w:top w:val="double" w:sz="4" w:space="0" w:color="000000"/>
              <w:left w:val="nil"/>
              <w:bottom w:val="nil"/>
              <w:right w:val="nil"/>
            </w:tcBorders>
          </w:tcPr>
          <w:p w14:paraId="562FEBCB" w14:textId="526B55E1" w:rsidR="00E75E0E" w:rsidRDefault="006C1138" w:rsidP="006C1138">
            <w:pPr>
              <w:pStyle w:val="p0"/>
              <w:spacing w:before="60" w:after="60"/>
              <w:ind w:right="113"/>
              <w:jc w:val="right"/>
              <w:rPr>
                <w:b/>
                <w:color w:val="auto"/>
                <w:sz w:val="18"/>
                <w:szCs w:val="18"/>
              </w:rPr>
            </w:pPr>
            <w:r>
              <w:rPr>
                <w:b/>
                <w:color w:val="auto"/>
                <w:sz w:val="18"/>
                <w:szCs w:val="18"/>
              </w:rPr>
              <w:t>19.7</w:t>
            </w:r>
          </w:p>
        </w:tc>
        <w:tc>
          <w:tcPr>
            <w:tcW w:w="719" w:type="dxa"/>
            <w:tcBorders>
              <w:top w:val="double" w:sz="4" w:space="0" w:color="000000"/>
              <w:left w:val="nil"/>
              <w:bottom w:val="nil"/>
              <w:right w:val="double" w:sz="4" w:space="0" w:color="000000"/>
            </w:tcBorders>
          </w:tcPr>
          <w:p w14:paraId="39EAAC67" w14:textId="1DE59359" w:rsidR="00E75E0E" w:rsidRDefault="006C1138" w:rsidP="006C1138">
            <w:pPr>
              <w:pStyle w:val="p0"/>
              <w:spacing w:before="60" w:after="60"/>
              <w:ind w:right="113"/>
              <w:jc w:val="right"/>
              <w:rPr>
                <w:b/>
                <w:color w:val="auto"/>
                <w:sz w:val="18"/>
                <w:szCs w:val="18"/>
              </w:rPr>
            </w:pPr>
            <w:r>
              <w:rPr>
                <w:b/>
                <w:color w:val="auto"/>
                <w:sz w:val="18"/>
                <w:szCs w:val="18"/>
              </w:rPr>
              <w:t>7</w:t>
            </w:r>
            <w:r w:rsidR="00AB2E3E">
              <w:rPr>
                <w:b/>
                <w:color w:val="auto"/>
                <w:sz w:val="18"/>
                <w:szCs w:val="18"/>
              </w:rPr>
              <w:t>.0</w:t>
            </w:r>
          </w:p>
        </w:tc>
      </w:tr>
      <w:tr w:rsidR="00F76FAC" w:rsidRPr="00E75E0E" w14:paraId="5657A569" w14:textId="7AE4C807" w:rsidTr="00F76FAC">
        <w:trPr>
          <w:jc w:val="center"/>
        </w:trPr>
        <w:tc>
          <w:tcPr>
            <w:tcW w:w="1828" w:type="dxa"/>
            <w:tcBorders>
              <w:top w:val="nil"/>
              <w:bottom w:val="nil"/>
              <w:right w:val="double" w:sz="4" w:space="0" w:color="000000"/>
            </w:tcBorders>
            <w:vAlign w:val="center"/>
          </w:tcPr>
          <w:p w14:paraId="00D832AB" w14:textId="77777777" w:rsidR="00E75E0E" w:rsidRPr="007B5847" w:rsidRDefault="00E75E0E" w:rsidP="00E75E0E">
            <w:pPr>
              <w:widowControl/>
              <w:ind w:left="-114" w:right="-108"/>
              <w:rPr>
                <w:rFonts w:cs="Arial"/>
                <w:bCs/>
                <w:snapToGrid/>
                <w:color w:val="000000"/>
                <w:sz w:val="16"/>
                <w:szCs w:val="18"/>
                <w:lang w:val="es-MX" w:eastAsia="es-MX"/>
              </w:rPr>
            </w:pPr>
            <w:r w:rsidRPr="007B5847">
              <w:rPr>
                <w:rFonts w:cs="Arial"/>
                <w:bCs/>
                <w:snapToGrid/>
                <w:color w:val="000000"/>
                <w:sz w:val="16"/>
                <w:szCs w:val="18"/>
                <w:lang w:val="es-MX" w:eastAsia="es-MX"/>
              </w:rPr>
              <w:t xml:space="preserve"> Actividades Primarias </w:t>
            </w:r>
          </w:p>
        </w:tc>
        <w:tc>
          <w:tcPr>
            <w:tcW w:w="992" w:type="dxa"/>
            <w:tcBorders>
              <w:top w:val="nil"/>
              <w:left w:val="double" w:sz="4" w:space="0" w:color="000000"/>
              <w:bottom w:val="nil"/>
              <w:right w:val="nil"/>
            </w:tcBorders>
          </w:tcPr>
          <w:p w14:paraId="07C97344" w14:textId="601D0EE0" w:rsidR="00E75E0E" w:rsidRPr="00EF4CD3" w:rsidRDefault="00E75E0E" w:rsidP="00F76FAC">
            <w:pPr>
              <w:pStyle w:val="p0"/>
              <w:spacing w:before="60" w:after="60"/>
              <w:ind w:right="113"/>
              <w:jc w:val="right"/>
              <w:rPr>
                <w:color w:val="auto"/>
                <w:sz w:val="18"/>
                <w:szCs w:val="18"/>
              </w:rPr>
            </w:pPr>
            <w:r>
              <w:rPr>
                <w:color w:val="auto"/>
                <w:sz w:val="18"/>
                <w:szCs w:val="18"/>
              </w:rPr>
              <w:t>(-) 2.</w:t>
            </w:r>
            <w:r w:rsidR="00F77FD8">
              <w:rPr>
                <w:color w:val="auto"/>
                <w:sz w:val="18"/>
                <w:szCs w:val="18"/>
              </w:rPr>
              <w:t>6</w:t>
            </w:r>
          </w:p>
        </w:tc>
        <w:tc>
          <w:tcPr>
            <w:tcW w:w="851" w:type="dxa"/>
            <w:tcBorders>
              <w:top w:val="nil"/>
              <w:left w:val="nil"/>
              <w:bottom w:val="nil"/>
              <w:right w:val="nil"/>
            </w:tcBorders>
          </w:tcPr>
          <w:p w14:paraId="42FC0563" w14:textId="67F267E2" w:rsidR="00E75E0E" w:rsidRDefault="00E75E0E" w:rsidP="00F76FAC">
            <w:pPr>
              <w:pStyle w:val="p0"/>
              <w:spacing w:before="60" w:after="60"/>
              <w:ind w:left="-111" w:right="57"/>
              <w:jc w:val="right"/>
              <w:rPr>
                <w:color w:val="auto"/>
                <w:sz w:val="18"/>
                <w:szCs w:val="18"/>
              </w:rPr>
            </w:pPr>
            <w:r>
              <w:rPr>
                <w:color w:val="auto"/>
                <w:sz w:val="18"/>
                <w:szCs w:val="18"/>
              </w:rPr>
              <w:t xml:space="preserve">(-)   </w:t>
            </w:r>
            <w:r w:rsidR="00F77FD8">
              <w:rPr>
                <w:color w:val="auto"/>
                <w:sz w:val="18"/>
                <w:szCs w:val="18"/>
              </w:rPr>
              <w:t>3.9</w:t>
            </w:r>
          </w:p>
        </w:tc>
        <w:tc>
          <w:tcPr>
            <w:tcW w:w="850" w:type="dxa"/>
            <w:tcBorders>
              <w:top w:val="nil"/>
              <w:left w:val="nil"/>
              <w:bottom w:val="nil"/>
              <w:right w:val="nil"/>
            </w:tcBorders>
          </w:tcPr>
          <w:p w14:paraId="65314BAE" w14:textId="568A6575" w:rsidR="00E75E0E" w:rsidRDefault="00F77FD8" w:rsidP="00F76FAC">
            <w:pPr>
              <w:pStyle w:val="p0"/>
              <w:spacing w:before="60" w:after="60"/>
              <w:ind w:left="-250" w:right="57"/>
              <w:jc w:val="right"/>
              <w:rPr>
                <w:color w:val="auto"/>
                <w:sz w:val="18"/>
                <w:szCs w:val="18"/>
              </w:rPr>
            </w:pPr>
            <w:r>
              <w:rPr>
                <w:color w:val="auto"/>
                <w:sz w:val="18"/>
                <w:szCs w:val="18"/>
              </w:rPr>
              <w:t>3.3</w:t>
            </w:r>
          </w:p>
        </w:tc>
        <w:tc>
          <w:tcPr>
            <w:tcW w:w="851" w:type="dxa"/>
            <w:tcBorders>
              <w:top w:val="nil"/>
              <w:left w:val="nil"/>
              <w:bottom w:val="nil"/>
              <w:right w:val="nil"/>
            </w:tcBorders>
          </w:tcPr>
          <w:p w14:paraId="36E95750" w14:textId="2754B9B9" w:rsidR="00E75E0E" w:rsidRDefault="00F77FD8" w:rsidP="00F76FAC">
            <w:pPr>
              <w:pStyle w:val="p0"/>
              <w:spacing w:before="60" w:after="60"/>
              <w:ind w:right="57"/>
              <w:jc w:val="right"/>
              <w:rPr>
                <w:color w:val="auto"/>
                <w:sz w:val="18"/>
                <w:szCs w:val="18"/>
              </w:rPr>
            </w:pPr>
            <w:r>
              <w:rPr>
                <w:color w:val="auto"/>
                <w:sz w:val="18"/>
                <w:szCs w:val="18"/>
              </w:rPr>
              <w:t>1.3</w:t>
            </w:r>
          </w:p>
        </w:tc>
        <w:tc>
          <w:tcPr>
            <w:tcW w:w="850" w:type="dxa"/>
            <w:tcBorders>
              <w:top w:val="nil"/>
              <w:left w:val="nil"/>
              <w:bottom w:val="nil"/>
              <w:right w:val="double" w:sz="4" w:space="0" w:color="000000"/>
            </w:tcBorders>
          </w:tcPr>
          <w:p w14:paraId="72DF4DF9" w14:textId="2DBD8218" w:rsidR="00E75E0E" w:rsidRDefault="00F77FD8" w:rsidP="00F76FAC">
            <w:pPr>
              <w:pStyle w:val="p0"/>
              <w:spacing w:before="60" w:after="60"/>
              <w:ind w:right="57"/>
              <w:jc w:val="right"/>
              <w:rPr>
                <w:color w:val="auto"/>
                <w:sz w:val="18"/>
                <w:szCs w:val="18"/>
              </w:rPr>
            </w:pPr>
            <w:r>
              <w:rPr>
                <w:color w:val="auto"/>
                <w:sz w:val="18"/>
                <w:szCs w:val="18"/>
              </w:rPr>
              <w:t>(-</w:t>
            </w:r>
            <w:proofErr w:type="gramStart"/>
            <w:r>
              <w:rPr>
                <w:color w:val="auto"/>
                <w:sz w:val="18"/>
                <w:szCs w:val="18"/>
              </w:rPr>
              <w:t>)  0</w:t>
            </w:r>
            <w:proofErr w:type="gramEnd"/>
            <w:r>
              <w:rPr>
                <w:color w:val="auto"/>
                <w:sz w:val="18"/>
                <w:szCs w:val="18"/>
              </w:rPr>
              <w:t>.5</w:t>
            </w:r>
          </w:p>
        </w:tc>
        <w:tc>
          <w:tcPr>
            <w:tcW w:w="851" w:type="dxa"/>
            <w:tcBorders>
              <w:top w:val="nil"/>
              <w:left w:val="nil"/>
              <w:bottom w:val="nil"/>
              <w:right w:val="nil"/>
            </w:tcBorders>
          </w:tcPr>
          <w:p w14:paraId="064563B8" w14:textId="10A80438" w:rsidR="00E75E0E" w:rsidRDefault="00E75E0E" w:rsidP="00E75E0E">
            <w:pPr>
              <w:pStyle w:val="p0"/>
              <w:spacing w:before="60" w:after="60"/>
              <w:ind w:right="57"/>
              <w:jc w:val="right"/>
              <w:rPr>
                <w:color w:val="auto"/>
                <w:sz w:val="18"/>
                <w:szCs w:val="18"/>
              </w:rPr>
            </w:pPr>
            <w:r>
              <w:rPr>
                <w:color w:val="auto"/>
                <w:sz w:val="18"/>
                <w:szCs w:val="18"/>
              </w:rPr>
              <w:t>2.8</w:t>
            </w:r>
          </w:p>
        </w:tc>
        <w:tc>
          <w:tcPr>
            <w:tcW w:w="709" w:type="dxa"/>
            <w:tcBorders>
              <w:top w:val="nil"/>
              <w:left w:val="nil"/>
              <w:bottom w:val="nil"/>
              <w:right w:val="nil"/>
            </w:tcBorders>
          </w:tcPr>
          <w:p w14:paraId="499F047D" w14:textId="516C7090" w:rsidR="00E75E0E" w:rsidRDefault="006C1138" w:rsidP="006C1138">
            <w:pPr>
              <w:pStyle w:val="p0"/>
              <w:spacing w:before="60" w:after="60"/>
              <w:ind w:right="113"/>
              <w:jc w:val="right"/>
              <w:rPr>
                <w:color w:val="auto"/>
                <w:sz w:val="18"/>
                <w:szCs w:val="18"/>
              </w:rPr>
            </w:pPr>
            <w:r>
              <w:rPr>
                <w:color w:val="auto"/>
                <w:sz w:val="18"/>
                <w:szCs w:val="18"/>
              </w:rPr>
              <w:t>6.7</w:t>
            </w:r>
          </w:p>
        </w:tc>
        <w:tc>
          <w:tcPr>
            <w:tcW w:w="719" w:type="dxa"/>
            <w:tcBorders>
              <w:top w:val="nil"/>
              <w:left w:val="nil"/>
              <w:bottom w:val="nil"/>
              <w:right w:val="double" w:sz="4" w:space="0" w:color="000000"/>
            </w:tcBorders>
          </w:tcPr>
          <w:p w14:paraId="35DAA1DD" w14:textId="761D3717" w:rsidR="00E75E0E" w:rsidRDefault="006C1138" w:rsidP="006C1138">
            <w:pPr>
              <w:pStyle w:val="p0"/>
              <w:spacing w:before="60" w:after="60"/>
              <w:ind w:right="113"/>
              <w:jc w:val="right"/>
              <w:rPr>
                <w:color w:val="auto"/>
                <w:sz w:val="18"/>
                <w:szCs w:val="18"/>
              </w:rPr>
            </w:pPr>
            <w:r>
              <w:rPr>
                <w:color w:val="auto"/>
                <w:sz w:val="18"/>
                <w:szCs w:val="18"/>
              </w:rPr>
              <w:t>4</w:t>
            </w:r>
            <w:r w:rsidR="00E75E0E">
              <w:rPr>
                <w:color w:val="auto"/>
                <w:sz w:val="18"/>
                <w:szCs w:val="18"/>
              </w:rPr>
              <w:t>.8</w:t>
            </w:r>
          </w:p>
        </w:tc>
      </w:tr>
      <w:tr w:rsidR="00F76FAC" w:rsidRPr="00E75E0E" w14:paraId="74A91DEB" w14:textId="1F8075BA" w:rsidTr="00F76FAC">
        <w:trPr>
          <w:jc w:val="center"/>
        </w:trPr>
        <w:tc>
          <w:tcPr>
            <w:tcW w:w="1828" w:type="dxa"/>
            <w:tcBorders>
              <w:top w:val="nil"/>
              <w:bottom w:val="nil"/>
              <w:right w:val="double" w:sz="4" w:space="0" w:color="000000"/>
            </w:tcBorders>
            <w:vAlign w:val="center"/>
          </w:tcPr>
          <w:p w14:paraId="7B717F56" w14:textId="77777777" w:rsidR="00E75E0E" w:rsidRPr="007B5847" w:rsidRDefault="00E75E0E" w:rsidP="00E75E0E">
            <w:pPr>
              <w:widowControl/>
              <w:ind w:left="-114" w:right="-108"/>
              <w:rPr>
                <w:rFonts w:cs="Arial"/>
                <w:bCs/>
                <w:snapToGrid/>
                <w:color w:val="000000"/>
                <w:sz w:val="16"/>
                <w:szCs w:val="18"/>
                <w:lang w:val="es-MX" w:eastAsia="es-MX"/>
              </w:rPr>
            </w:pPr>
            <w:r>
              <w:rPr>
                <w:rFonts w:cs="Arial"/>
                <w:bCs/>
                <w:snapToGrid/>
                <w:color w:val="000000"/>
                <w:sz w:val="16"/>
                <w:szCs w:val="18"/>
                <w:lang w:val="es-MX" w:eastAsia="es-MX"/>
              </w:rPr>
              <w:t xml:space="preserve"> </w:t>
            </w:r>
            <w:r w:rsidRPr="007B5847">
              <w:rPr>
                <w:rFonts w:cs="Arial"/>
                <w:bCs/>
                <w:snapToGrid/>
                <w:color w:val="000000"/>
                <w:sz w:val="16"/>
                <w:szCs w:val="18"/>
                <w:lang w:val="es-MX" w:eastAsia="es-MX"/>
              </w:rPr>
              <w:t xml:space="preserve">Actividades </w:t>
            </w:r>
            <w:r>
              <w:rPr>
                <w:rFonts w:cs="Arial"/>
                <w:bCs/>
                <w:snapToGrid/>
                <w:color w:val="000000"/>
                <w:sz w:val="16"/>
                <w:szCs w:val="18"/>
                <w:lang w:val="es-MX" w:eastAsia="es-MX"/>
              </w:rPr>
              <w:t>S</w:t>
            </w:r>
            <w:r w:rsidRPr="007B5847">
              <w:rPr>
                <w:rFonts w:cs="Arial"/>
                <w:bCs/>
                <w:snapToGrid/>
                <w:color w:val="000000"/>
                <w:sz w:val="16"/>
                <w:szCs w:val="18"/>
                <w:lang w:val="es-MX" w:eastAsia="es-MX"/>
              </w:rPr>
              <w:t xml:space="preserve">ecundarias </w:t>
            </w:r>
          </w:p>
        </w:tc>
        <w:tc>
          <w:tcPr>
            <w:tcW w:w="992" w:type="dxa"/>
            <w:tcBorders>
              <w:top w:val="nil"/>
              <w:left w:val="double" w:sz="4" w:space="0" w:color="000000"/>
              <w:bottom w:val="nil"/>
              <w:right w:val="nil"/>
            </w:tcBorders>
          </w:tcPr>
          <w:p w14:paraId="5E3D6719" w14:textId="24D8701B" w:rsidR="00E75E0E" w:rsidRPr="00EF4CD3" w:rsidRDefault="00E75E0E" w:rsidP="00F76FAC">
            <w:pPr>
              <w:pStyle w:val="p0"/>
              <w:spacing w:before="60" w:after="60"/>
              <w:ind w:right="113"/>
              <w:jc w:val="right"/>
              <w:rPr>
                <w:color w:val="auto"/>
                <w:sz w:val="18"/>
                <w:szCs w:val="18"/>
              </w:rPr>
            </w:pPr>
            <w:r w:rsidRPr="00EF4CD3">
              <w:rPr>
                <w:color w:val="auto"/>
                <w:sz w:val="18"/>
                <w:szCs w:val="18"/>
              </w:rPr>
              <w:t>(</w:t>
            </w:r>
            <w:r w:rsidRPr="00EF4CD3">
              <w:rPr>
                <w:color w:val="auto"/>
                <w:sz w:val="18"/>
                <w:szCs w:val="18"/>
              </w:rPr>
              <w:noBreakHyphen/>
              <w:t xml:space="preserve">) </w:t>
            </w:r>
            <w:r w:rsidR="00F77FD8">
              <w:rPr>
                <w:color w:val="auto"/>
                <w:sz w:val="18"/>
                <w:szCs w:val="18"/>
              </w:rPr>
              <w:t>2.3</w:t>
            </w:r>
          </w:p>
        </w:tc>
        <w:tc>
          <w:tcPr>
            <w:tcW w:w="851" w:type="dxa"/>
            <w:tcBorders>
              <w:top w:val="nil"/>
              <w:left w:val="nil"/>
              <w:bottom w:val="nil"/>
              <w:right w:val="nil"/>
            </w:tcBorders>
          </w:tcPr>
          <w:p w14:paraId="74A81AC7" w14:textId="398DE27F" w:rsidR="00E75E0E" w:rsidRPr="00EF4CD3" w:rsidRDefault="00E75E0E" w:rsidP="00F76FAC">
            <w:pPr>
              <w:pStyle w:val="p0"/>
              <w:spacing w:before="60" w:after="60"/>
              <w:ind w:left="-111" w:right="57"/>
              <w:jc w:val="right"/>
              <w:rPr>
                <w:color w:val="auto"/>
                <w:sz w:val="18"/>
                <w:szCs w:val="18"/>
              </w:rPr>
            </w:pPr>
            <w:r w:rsidRPr="00EF4CD3">
              <w:rPr>
                <w:color w:val="auto"/>
                <w:sz w:val="18"/>
                <w:szCs w:val="18"/>
              </w:rPr>
              <w:t>(</w:t>
            </w:r>
            <w:r w:rsidRPr="00EF4CD3">
              <w:rPr>
                <w:color w:val="auto"/>
                <w:sz w:val="18"/>
                <w:szCs w:val="18"/>
              </w:rPr>
              <w:noBreakHyphen/>
              <w:t>)</w:t>
            </w:r>
            <w:r>
              <w:rPr>
                <w:color w:val="auto"/>
                <w:sz w:val="18"/>
                <w:szCs w:val="18"/>
              </w:rPr>
              <w:t xml:space="preserve"> 25.</w:t>
            </w:r>
            <w:r w:rsidR="00F77FD8">
              <w:rPr>
                <w:color w:val="auto"/>
                <w:sz w:val="18"/>
                <w:szCs w:val="18"/>
              </w:rPr>
              <w:t>4</w:t>
            </w:r>
          </w:p>
        </w:tc>
        <w:tc>
          <w:tcPr>
            <w:tcW w:w="850" w:type="dxa"/>
            <w:tcBorders>
              <w:top w:val="nil"/>
              <w:left w:val="nil"/>
              <w:bottom w:val="nil"/>
              <w:right w:val="nil"/>
            </w:tcBorders>
          </w:tcPr>
          <w:p w14:paraId="0F3CA053" w14:textId="4DFDB75C" w:rsidR="00E75E0E" w:rsidRPr="00EF4CD3" w:rsidRDefault="00E75E0E" w:rsidP="00F76FAC">
            <w:pPr>
              <w:pStyle w:val="p0"/>
              <w:spacing w:before="60" w:after="60"/>
              <w:ind w:left="-250" w:right="57"/>
              <w:jc w:val="right"/>
              <w:rPr>
                <w:color w:val="auto"/>
                <w:sz w:val="18"/>
                <w:szCs w:val="18"/>
              </w:rPr>
            </w:pPr>
            <w:r w:rsidRPr="00EF4CD3">
              <w:rPr>
                <w:color w:val="auto"/>
                <w:sz w:val="18"/>
                <w:szCs w:val="18"/>
              </w:rPr>
              <w:t>(</w:t>
            </w:r>
            <w:r w:rsidRPr="00EF4CD3">
              <w:rPr>
                <w:color w:val="auto"/>
                <w:sz w:val="18"/>
                <w:szCs w:val="18"/>
              </w:rPr>
              <w:noBreakHyphen/>
              <w:t>)</w:t>
            </w:r>
            <w:r>
              <w:rPr>
                <w:color w:val="auto"/>
                <w:sz w:val="18"/>
                <w:szCs w:val="18"/>
              </w:rPr>
              <w:t xml:space="preserve"> 8.7</w:t>
            </w:r>
          </w:p>
        </w:tc>
        <w:tc>
          <w:tcPr>
            <w:tcW w:w="851" w:type="dxa"/>
            <w:tcBorders>
              <w:top w:val="nil"/>
              <w:left w:val="nil"/>
              <w:bottom w:val="nil"/>
              <w:right w:val="nil"/>
            </w:tcBorders>
          </w:tcPr>
          <w:p w14:paraId="6EA2FA00" w14:textId="3EBB3F83" w:rsidR="00E75E0E" w:rsidRPr="00EF4CD3" w:rsidRDefault="00E75E0E" w:rsidP="00F76FAC">
            <w:pPr>
              <w:pStyle w:val="p0"/>
              <w:spacing w:before="60" w:after="60"/>
              <w:ind w:right="57"/>
              <w:jc w:val="right"/>
              <w:rPr>
                <w:color w:val="auto"/>
                <w:sz w:val="18"/>
                <w:szCs w:val="18"/>
              </w:rPr>
            </w:pPr>
            <w:r w:rsidRPr="00EF4CD3">
              <w:rPr>
                <w:color w:val="auto"/>
                <w:sz w:val="18"/>
                <w:szCs w:val="18"/>
              </w:rPr>
              <w:t>(</w:t>
            </w:r>
            <w:r w:rsidRPr="00EF4CD3">
              <w:rPr>
                <w:color w:val="auto"/>
                <w:sz w:val="18"/>
                <w:szCs w:val="18"/>
              </w:rPr>
              <w:noBreakHyphen/>
              <w:t>)</w:t>
            </w:r>
            <w:r>
              <w:rPr>
                <w:color w:val="auto"/>
                <w:sz w:val="18"/>
                <w:szCs w:val="18"/>
              </w:rPr>
              <w:t xml:space="preserve"> 3.</w:t>
            </w:r>
            <w:r w:rsidR="00F77FD8">
              <w:rPr>
                <w:color w:val="auto"/>
                <w:sz w:val="18"/>
                <w:szCs w:val="18"/>
              </w:rPr>
              <w:t>3</w:t>
            </w:r>
          </w:p>
        </w:tc>
        <w:tc>
          <w:tcPr>
            <w:tcW w:w="850" w:type="dxa"/>
            <w:tcBorders>
              <w:top w:val="nil"/>
              <w:left w:val="nil"/>
              <w:bottom w:val="nil"/>
              <w:right w:val="double" w:sz="4" w:space="0" w:color="000000"/>
            </w:tcBorders>
          </w:tcPr>
          <w:p w14:paraId="7584FE09" w14:textId="5A349DB8" w:rsidR="00E75E0E" w:rsidRPr="00EF4CD3" w:rsidRDefault="00E75E0E" w:rsidP="00F76FAC">
            <w:pPr>
              <w:pStyle w:val="p0"/>
              <w:spacing w:before="60" w:after="60"/>
              <w:ind w:right="57"/>
              <w:jc w:val="right"/>
              <w:rPr>
                <w:color w:val="auto"/>
                <w:sz w:val="18"/>
                <w:szCs w:val="18"/>
              </w:rPr>
            </w:pPr>
            <w:r w:rsidRPr="00EF4CD3">
              <w:rPr>
                <w:color w:val="auto"/>
                <w:sz w:val="18"/>
                <w:szCs w:val="18"/>
              </w:rPr>
              <w:t>(</w:t>
            </w:r>
            <w:proofErr w:type="gramStart"/>
            <w:r w:rsidRPr="00EF4CD3">
              <w:rPr>
                <w:color w:val="auto"/>
                <w:sz w:val="18"/>
                <w:szCs w:val="18"/>
              </w:rPr>
              <w:noBreakHyphen/>
              <w:t>)</w:t>
            </w:r>
            <w:r w:rsidR="00F77FD8">
              <w:rPr>
                <w:color w:val="auto"/>
                <w:sz w:val="18"/>
                <w:szCs w:val="18"/>
              </w:rPr>
              <w:t xml:space="preserve"> </w:t>
            </w:r>
            <w:r w:rsidRPr="00EF4CD3">
              <w:rPr>
                <w:color w:val="auto"/>
                <w:sz w:val="18"/>
                <w:szCs w:val="18"/>
              </w:rPr>
              <w:t xml:space="preserve"> </w:t>
            </w:r>
            <w:r w:rsidR="00F77FD8">
              <w:rPr>
                <w:color w:val="auto"/>
                <w:sz w:val="18"/>
                <w:szCs w:val="18"/>
              </w:rPr>
              <w:t>9</w:t>
            </w:r>
            <w:proofErr w:type="gramEnd"/>
            <w:r w:rsidR="00F77FD8">
              <w:rPr>
                <w:color w:val="auto"/>
                <w:sz w:val="18"/>
                <w:szCs w:val="18"/>
              </w:rPr>
              <w:t>.9</w:t>
            </w:r>
          </w:p>
        </w:tc>
        <w:tc>
          <w:tcPr>
            <w:tcW w:w="851" w:type="dxa"/>
            <w:tcBorders>
              <w:top w:val="nil"/>
              <w:left w:val="nil"/>
              <w:bottom w:val="nil"/>
              <w:right w:val="nil"/>
            </w:tcBorders>
          </w:tcPr>
          <w:p w14:paraId="755FF397" w14:textId="3D8BFAE3" w:rsidR="00E75E0E" w:rsidRPr="00EF4CD3" w:rsidRDefault="00E75E0E" w:rsidP="00E75E0E">
            <w:pPr>
              <w:pStyle w:val="p0"/>
              <w:spacing w:before="60" w:after="60"/>
              <w:ind w:right="57"/>
              <w:jc w:val="right"/>
              <w:rPr>
                <w:color w:val="auto"/>
                <w:sz w:val="18"/>
                <w:szCs w:val="18"/>
              </w:rPr>
            </w:pPr>
            <w:r w:rsidRPr="00EF4CD3">
              <w:rPr>
                <w:color w:val="auto"/>
                <w:sz w:val="18"/>
                <w:szCs w:val="18"/>
              </w:rPr>
              <w:t>(</w:t>
            </w:r>
            <w:proofErr w:type="gramStart"/>
            <w:r w:rsidRPr="00EF4CD3">
              <w:rPr>
                <w:color w:val="auto"/>
                <w:sz w:val="18"/>
                <w:szCs w:val="18"/>
              </w:rPr>
              <w:noBreakHyphen/>
              <w:t>)</w:t>
            </w:r>
            <w:r>
              <w:rPr>
                <w:color w:val="auto"/>
                <w:sz w:val="18"/>
                <w:szCs w:val="18"/>
              </w:rPr>
              <w:t xml:space="preserve">  </w:t>
            </w:r>
            <w:r w:rsidR="00F77FD8">
              <w:rPr>
                <w:color w:val="auto"/>
                <w:sz w:val="18"/>
                <w:szCs w:val="18"/>
              </w:rPr>
              <w:t>2</w:t>
            </w:r>
            <w:proofErr w:type="gramEnd"/>
            <w:r w:rsidR="00F77FD8">
              <w:rPr>
                <w:color w:val="auto"/>
                <w:sz w:val="18"/>
                <w:szCs w:val="18"/>
              </w:rPr>
              <w:t>.7</w:t>
            </w:r>
          </w:p>
        </w:tc>
        <w:tc>
          <w:tcPr>
            <w:tcW w:w="709" w:type="dxa"/>
            <w:tcBorders>
              <w:top w:val="nil"/>
              <w:left w:val="nil"/>
              <w:bottom w:val="nil"/>
              <w:right w:val="nil"/>
            </w:tcBorders>
          </w:tcPr>
          <w:p w14:paraId="557BADEC" w14:textId="1B32EB8E" w:rsidR="00E75E0E" w:rsidRPr="00EF4CD3" w:rsidRDefault="006C1138" w:rsidP="006C1138">
            <w:pPr>
              <w:pStyle w:val="p0"/>
              <w:spacing w:before="60" w:after="60"/>
              <w:ind w:right="113"/>
              <w:jc w:val="right"/>
              <w:rPr>
                <w:color w:val="auto"/>
                <w:sz w:val="18"/>
                <w:szCs w:val="18"/>
              </w:rPr>
            </w:pPr>
            <w:r>
              <w:rPr>
                <w:color w:val="auto"/>
                <w:sz w:val="18"/>
                <w:szCs w:val="18"/>
              </w:rPr>
              <w:t>28.2</w:t>
            </w:r>
          </w:p>
        </w:tc>
        <w:tc>
          <w:tcPr>
            <w:tcW w:w="719" w:type="dxa"/>
            <w:tcBorders>
              <w:top w:val="nil"/>
              <w:left w:val="nil"/>
              <w:bottom w:val="nil"/>
              <w:right w:val="double" w:sz="4" w:space="0" w:color="000000"/>
            </w:tcBorders>
          </w:tcPr>
          <w:p w14:paraId="1E311D44" w14:textId="7D431F81" w:rsidR="00E75E0E" w:rsidRPr="00EF4CD3" w:rsidRDefault="006C1138" w:rsidP="006C1138">
            <w:pPr>
              <w:pStyle w:val="p0"/>
              <w:spacing w:before="60" w:after="60"/>
              <w:ind w:right="113"/>
              <w:jc w:val="right"/>
              <w:rPr>
                <w:color w:val="auto"/>
                <w:sz w:val="18"/>
                <w:szCs w:val="18"/>
              </w:rPr>
            </w:pPr>
            <w:r>
              <w:rPr>
                <w:color w:val="auto"/>
                <w:sz w:val="18"/>
                <w:szCs w:val="18"/>
              </w:rPr>
              <w:t>10.6</w:t>
            </w:r>
          </w:p>
        </w:tc>
      </w:tr>
      <w:tr w:rsidR="00F76FAC" w:rsidRPr="00E75E0E" w14:paraId="5CFDE80C" w14:textId="5D3C721F" w:rsidTr="00F76FAC">
        <w:trPr>
          <w:jc w:val="center"/>
        </w:trPr>
        <w:tc>
          <w:tcPr>
            <w:tcW w:w="1828" w:type="dxa"/>
            <w:tcBorders>
              <w:top w:val="nil"/>
              <w:bottom w:val="double" w:sz="4" w:space="0" w:color="000000"/>
              <w:right w:val="double" w:sz="4" w:space="0" w:color="000000"/>
            </w:tcBorders>
            <w:vAlign w:val="center"/>
          </w:tcPr>
          <w:p w14:paraId="16EDB988" w14:textId="77777777" w:rsidR="00E75E0E" w:rsidRPr="007B5847" w:rsidRDefault="00E75E0E" w:rsidP="00E75E0E">
            <w:pPr>
              <w:widowControl/>
              <w:ind w:left="-114" w:right="-108"/>
              <w:rPr>
                <w:rFonts w:cs="Arial"/>
                <w:bCs/>
                <w:snapToGrid/>
                <w:color w:val="000000"/>
                <w:sz w:val="16"/>
                <w:szCs w:val="18"/>
                <w:lang w:val="es-MX" w:eastAsia="es-MX"/>
              </w:rPr>
            </w:pPr>
            <w:r>
              <w:rPr>
                <w:rFonts w:cs="Arial"/>
                <w:bCs/>
                <w:snapToGrid/>
                <w:color w:val="000000"/>
                <w:sz w:val="16"/>
                <w:szCs w:val="18"/>
                <w:lang w:val="es-MX" w:eastAsia="es-MX"/>
              </w:rPr>
              <w:t xml:space="preserve"> </w:t>
            </w:r>
            <w:r w:rsidRPr="007B5847">
              <w:rPr>
                <w:rFonts w:cs="Arial"/>
                <w:bCs/>
                <w:snapToGrid/>
                <w:color w:val="000000"/>
                <w:sz w:val="16"/>
                <w:szCs w:val="18"/>
                <w:lang w:val="es-MX" w:eastAsia="es-MX"/>
              </w:rPr>
              <w:t xml:space="preserve">Actividades Terciarias </w:t>
            </w:r>
          </w:p>
        </w:tc>
        <w:tc>
          <w:tcPr>
            <w:tcW w:w="992" w:type="dxa"/>
            <w:tcBorders>
              <w:top w:val="nil"/>
              <w:left w:val="double" w:sz="4" w:space="0" w:color="000000"/>
              <w:bottom w:val="double" w:sz="4" w:space="0" w:color="000000"/>
              <w:right w:val="nil"/>
            </w:tcBorders>
          </w:tcPr>
          <w:p w14:paraId="4AEF64E1" w14:textId="5471B80D" w:rsidR="00E75E0E" w:rsidRPr="00EF4CD3" w:rsidRDefault="00E75E0E" w:rsidP="00F76FAC">
            <w:pPr>
              <w:pStyle w:val="p0"/>
              <w:spacing w:before="60" w:after="60"/>
              <w:ind w:right="113"/>
              <w:jc w:val="right"/>
              <w:rPr>
                <w:color w:val="auto"/>
                <w:sz w:val="18"/>
                <w:szCs w:val="18"/>
              </w:rPr>
            </w:pPr>
            <w:r>
              <w:rPr>
                <w:color w:val="auto"/>
                <w:sz w:val="18"/>
                <w:szCs w:val="18"/>
              </w:rPr>
              <w:t>(-) 0.6</w:t>
            </w:r>
          </w:p>
        </w:tc>
        <w:tc>
          <w:tcPr>
            <w:tcW w:w="851" w:type="dxa"/>
            <w:tcBorders>
              <w:top w:val="nil"/>
              <w:left w:val="nil"/>
              <w:bottom w:val="double" w:sz="4" w:space="0" w:color="000000"/>
              <w:right w:val="nil"/>
            </w:tcBorders>
          </w:tcPr>
          <w:p w14:paraId="6DB251C3" w14:textId="2324A8DC" w:rsidR="00E75E0E" w:rsidRDefault="00E75E0E" w:rsidP="00F76FAC">
            <w:pPr>
              <w:pStyle w:val="p0"/>
              <w:spacing w:before="60" w:after="60"/>
              <w:ind w:left="-111" w:right="57"/>
              <w:jc w:val="right"/>
              <w:rPr>
                <w:color w:val="auto"/>
                <w:sz w:val="18"/>
                <w:szCs w:val="18"/>
              </w:rPr>
            </w:pPr>
            <w:r>
              <w:rPr>
                <w:color w:val="auto"/>
                <w:sz w:val="18"/>
                <w:szCs w:val="18"/>
              </w:rPr>
              <w:t>(-) 16.3</w:t>
            </w:r>
          </w:p>
        </w:tc>
        <w:tc>
          <w:tcPr>
            <w:tcW w:w="850" w:type="dxa"/>
            <w:tcBorders>
              <w:top w:val="nil"/>
              <w:left w:val="nil"/>
              <w:bottom w:val="double" w:sz="4" w:space="0" w:color="000000"/>
              <w:right w:val="nil"/>
            </w:tcBorders>
          </w:tcPr>
          <w:p w14:paraId="4931F224" w14:textId="5F5F614E" w:rsidR="00E75E0E" w:rsidRDefault="00E75E0E" w:rsidP="00F76FAC">
            <w:pPr>
              <w:pStyle w:val="p0"/>
              <w:spacing w:before="60" w:after="60"/>
              <w:ind w:left="-250" w:right="57"/>
              <w:jc w:val="right"/>
              <w:rPr>
                <w:color w:val="auto"/>
                <w:sz w:val="18"/>
                <w:szCs w:val="18"/>
              </w:rPr>
            </w:pPr>
            <w:r>
              <w:rPr>
                <w:color w:val="auto"/>
                <w:sz w:val="18"/>
                <w:szCs w:val="18"/>
              </w:rPr>
              <w:t>(-) 8.9</w:t>
            </w:r>
          </w:p>
        </w:tc>
        <w:tc>
          <w:tcPr>
            <w:tcW w:w="851" w:type="dxa"/>
            <w:tcBorders>
              <w:top w:val="nil"/>
              <w:left w:val="nil"/>
              <w:bottom w:val="double" w:sz="4" w:space="0" w:color="000000"/>
              <w:right w:val="nil"/>
            </w:tcBorders>
          </w:tcPr>
          <w:p w14:paraId="126A313F" w14:textId="46BCCFB2" w:rsidR="00E75E0E" w:rsidRDefault="00E75E0E" w:rsidP="00F76FAC">
            <w:pPr>
              <w:pStyle w:val="p0"/>
              <w:spacing w:before="60" w:after="60"/>
              <w:ind w:right="57"/>
              <w:jc w:val="right"/>
              <w:rPr>
                <w:color w:val="auto"/>
                <w:sz w:val="18"/>
                <w:szCs w:val="18"/>
              </w:rPr>
            </w:pPr>
            <w:r>
              <w:rPr>
                <w:color w:val="auto"/>
                <w:sz w:val="18"/>
                <w:szCs w:val="18"/>
              </w:rPr>
              <w:t>(-) 5.0</w:t>
            </w:r>
          </w:p>
        </w:tc>
        <w:tc>
          <w:tcPr>
            <w:tcW w:w="850" w:type="dxa"/>
            <w:tcBorders>
              <w:top w:val="nil"/>
              <w:left w:val="nil"/>
              <w:bottom w:val="double" w:sz="4" w:space="0" w:color="000000"/>
              <w:right w:val="double" w:sz="4" w:space="0" w:color="000000"/>
            </w:tcBorders>
          </w:tcPr>
          <w:p w14:paraId="077CB6B5" w14:textId="2F93953B" w:rsidR="00E75E0E" w:rsidRDefault="00E75E0E" w:rsidP="00F76FAC">
            <w:pPr>
              <w:pStyle w:val="p0"/>
              <w:spacing w:before="60" w:after="60"/>
              <w:ind w:right="57"/>
              <w:jc w:val="right"/>
              <w:rPr>
                <w:color w:val="auto"/>
                <w:sz w:val="18"/>
                <w:szCs w:val="18"/>
              </w:rPr>
            </w:pPr>
            <w:r>
              <w:rPr>
                <w:color w:val="auto"/>
                <w:sz w:val="18"/>
                <w:szCs w:val="18"/>
              </w:rPr>
              <w:t>(-</w:t>
            </w:r>
            <w:proofErr w:type="gramStart"/>
            <w:r>
              <w:rPr>
                <w:color w:val="auto"/>
                <w:sz w:val="18"/>
                <w:szCs w:val="18"/>
              </w:rPr>
              <w:t>)  7</w:t>
            </w:r>
            <w:proofErr w:type="gramEnd"/>
            <w:r>
              <w:rPr>
                <w:color w:val="auto"/>
                <w:sz w:val="18"/>
                <w:szCs w:val="18"/>
              </w:rPr>
              <w:t>.7</w:t>
            </w:r>
          </w:p>
        </w:tc>
        <w:tc>
          <w:tcPr>
            <w:tcW w:w="851" w:type="dxa"/>
            <w:tcBorders>
              <w:top w:val="nil"/>
              <w:left w:val="nil"/>
              <w:bottom w:val="double" w:sz="4" w:space="0" w:color="000000"/>
              <w:right w:val="nil"/>
            </w:tcBorders>
          </w:tcPr>
          <w:p w14:paraId="0A16D67B" w14:textId="221C0009" w:rsidR="00E75E0E" w:rsidRDefault="00E75E0E" w:rsidP="00E75E0E">
            <w:pPr>
              <w:pStyle w:val="p0"/>
              <w:spacing w:before="60" w:after="60"/>
              <w:ind w:right="57"/>
              <w:jc w:val="right"/>
              <w:rPr>
                <w:color w:val="auto"/>
                <w:sz w:val="18"/>
                <w:szCs w:val="18"/>
              </w:rPr>
            </w:pPr>
            <w:r>
              <w:rPr>
                <w:color w:val="auto"/>
                <w:sz w:val="18"/>
                <w:szCs w:val="18"/>
              </w:rPr>
              <w:t>(-</w:t>
            </w:r>
            <w:proofErr w:type="gramStart"/>
            <w:r>
              <w:rPr>
                <w:color w:val="auto"/>
                <w:sz w:val="18"/>
                <w:szCs w:val="18"/>
              </w:rPr>
              <w:t>)  4</w:t>
            </w:r>
            <w:proofErr w:type="gramEnd"/>
            <w:r>
              <w:rPr>
                <w:color w:val="auto"/>
                <w:sz w:val="18"/>
                <w:szCs w:val="18"/>
              </w:rPr>
              <w:t>.</w:t>
            </w:r>
            <w:r w:rsidR="00F77FD8">
              <w:rPr>
                <w:color w:val="auto"/>
                <w:sz w:val="18"/>
                <w:szCs w:val="18"/>
              </w:rPr>
              <w:t>0</w:t>
            </w:r>
          </w:p>
        </w:tc>
        <w:tc>
          <w:tcPr>
            <w:tcW w:w="709" w:type="dxa"/>
            <w:tcBorders>
              <w:top w:val="nil"/>
              <w:left w:val="nil"/>
              <w:bottom w:val="double" w:sz="4" w:space="0" w:color="000000"/>
              <w:right w:val="nil"/>
            </w:tcBorders>
          </w:tcPr>
          <w:p w14:paraId="23992998" w14:textId="15EABFA8" w:rsidR="00E75E0E" w:rsidRDefault="006C1138" w:rsidP="006C1138">
            <w:pPr>
              <w:pStyle w:val="p0"/>
              <w:spacing w:before="60" w:after="60"/>
              <w:ind w:right="113"/>
              <w:jc w:val="right"/>
              <w:rPr>
                <w:color w:val="auto"/>
                <w:sz w:val="18"/>
                <w:szCs w:val="18"/>
              </w:rPr>
            </w:pPr>
            <w:r>
              <w:rPr>
                <w:color w:val="auto"/>
                <w:sz w:val="18"/>
                <w:szCs w:val="18"/>
              </w:rPr>
              <w:t>17.1</w:t>
            </w:r>
          </w:p>
        </w:tc>
        <w:tc>
          <w:tcPr>
            <w:tcW w:w="719" w:type="dxa"/>
            <w:tcBorders>
              <w:top w:val="nil"/>
              <w:left w:val="nil"/>
              <w:bottom w:val="double" w:sz="4" w:space="0" w:color="000000"/>
              <w:right w:val="double" w:sz="4" w:space="0" w:color="000000"/>
            </w:tcBorders>
          </w:tcPr>
          <w:p w14:paraId="72F306D8" w14:textId="1E3E8E4E" w:rsidR="00E75E0E" w:rsidRDefault="006C1138" w:rsidP="006C1138">
            <w:pPr>
              <w:pStyle w:val="p0"/>
              <w:spacing w:before="60" w:after="60"/>
              <w:ind w:right="113"/>
              <w:jc w:val="right"/>
              <w:rPr>
                <w:color w:val="auto"/>
                <w:sz w:val="18"/>
                <w:szCs w:val="18"/>
              </w:rPr>
            </w:pPr>
            <w:r>
              <w:rPr>
                <w:color w:val="auto"/>
                <w:sz w:val="18"/>
                <w:szCs w:val="18"/>
              </w:rPr>
              <w:t>5.8</w:t>
            </w:r>
          </w:p>
        </w:tc>
      </w:tr>
    </w:tbl>
    <w:p w14:paraId="13BC0C2C" w14:textId="77777777" w:rsidR="00EF4CD3" w:rsidRPr="004C0FFC" w:rsidRDefault="00EF4CD3" w:rsidP="00AB2E3E">
      <w:pPr>
        <w:pStyle w:val="p01"/>
        <w:keepLines w:val="0"/>
        <w:spacing w:before="0"/>
        <w:ind w:left="142" w:right="1327"/>
        <w:jc w:val="left"/>
        <w:outlineLvl w:val="0"/>
        <w:rPr>
          <w:rFonts w:ascii="Arial" w:hAnsi="Arial" w:cs="Arial"/>
          <w:color w:val="auto"/>
          <w:sz w:val="16"/>
          <w:szCs w:val="16"/>
        </w:rPr>
      </w:pPr>
      <w:r>
        <w:rPr>
          <w:rFonts w:cs="Arial"/>
          <w:color w:val="auto"/>
          <w:sz w:val="16"/>
          <w:szCs w:val="16"/>
          <w:vertAlign w:val="superscript"/>
        </w:rPr>
        <w:t>P</w:t>
      </w:r>
      <w:r w:rsidRPr="005537FB">
        <w:rPr>
          <w:rFonts w:cs="Arial"/>
          <w:color w:val="auto"/>
          <w:sz w:val="16"/>
          <w:szCs w:val="16"/>
          <w:vertAlign w:val="superscript"/>
        </w:rPr>
        <w:t>/</w:t>
      </w:r>
      <w:r w:rsidRPr="0079433B">
        <w:rPr>
          <w:color w:val="auto"/>
          <w:sz w:val="16"/>
          <w:szCs w:val="16"/>
          <w:lang w:val="es-MX"/>
        </w:rPr>
        <w:t xml:space="preserve"> </w:t>
      </w:r>
      <w:r w:rsidRPr="004C0FFC">
        <w:rPr>
          <w:rFonts w:ascii="Arial" w:hAnsi="Arial" w:cs="Arial"/>
          <w:color w:val="auto"/>
          <w:sz w:val="16"/>
          <w:szCs w:val="16"/>
          <w:lang w:val="es-MX"/>
        </w:rPr>
        <w:t xml:space="preserve">Cifras </w:t>
      </w:r>
      <w:r>
        <w:rPr>
          <w:rFonts w:ascii="Arial" w:hAnsi="Arial" w:cs="Arial"/>
          <w:color w:val="auto"/>
          <w:sz w:val="16"/>
          <w:szCs w:val="16"/>
          <w:lang w:val="es-MX"/>
        </w:rPr>
        <w:t>Preliminares</w:t>
      </w:r>
      <w:r w:rsidRPr="004C0FFC">
        <w:rPr>
          <w:rFonts w:ascii="Arial" w:hAnsi="Arial" w:cs="Arial"/>
          <w:color w:val="auto"/>
          <w:sz w:val="16"/>
          <w:szCs w:val="16"/>
          <w:lang w:val="es-MX"/>
        </w:rPr>
        <w:t>. La estimación oportuna no reemplaza a la estimación tradicional.</w:t>
      </w:r>
      <w:r w:rsidRPr="004C0FFC">
        <w:rPr>
          <w:rFonts w:ascii="Arial" w:hAnsi="Arial" w:cs="Arial"/>
          <w:color w:val="auto"/>
          <w:sz w:val="16"/>
          <w:szCs w:val="16"/>
        </w:rPr>
        <w:t xml:space="preserve"> </w:t>
      </w:r>
    </w:p>
    <w:p w14:paraId="302BB878" w14:textId="56DB2FB2" w:rsidR="00EF4CD3" w:rsidRDefault="00EF4CD3" w:rsidP="00AB2E3E">
      <w:pPr>
        <w:pStyle w:val="p01"/>
        <w:keepLines w:val="0"/>
        <w:spacing w:before="0"/>
        <w:ind w:left="142" w:hanging="142"/>
        <w:jc w:val="left"/>
        <w:outlineLvl w:val="0"/>
        <w:rPr>
          <w:rFonts w:ascii="Arial" w:hAnsi="Arial" w:cs="Arial"/>
          <w:color w:val="auto"/>
          <w:sz w:val="16"/>
          <w:szCs w:val="16"/>
        </w:rPr>
      </w:pPr>
      <w:r>
        <w:rPr>
          <w:rFonts w:ascii="Arial" w:hAnsi="Arial" w:cs="Arial"/>
          <w:color w:val="auto"/>
          <w:sz w:val="16"/>
          <w:szCs w:val="16"/>
        </w:rPr>
        <w:t xml:space="preserve">   </w:t>
      </w:r>
      <w:r w:rsidRPr="004C0FFC">
        <w:rPr>
          <w:rFonts w:ascii="Arial" w:hAnsi="Arial" w:cs="Arial"/>
          <w:color w:val="auto"/>
          <w:sz w:val="16"/>
          <w:szCs w:val="16"/>
        </w:rPr>
        <w:t>Fuente: INEGI.</w:t>
      </w:r>
    </w:p>
    <w:p w14:paraId="67C8B4CF" w14:textId="77777777" w:rsidR="00D373CC" w:rsidRPr="005E3FC4" w:rsidRDefault="00D373CC" w:rsidP="00EF4CD3">
      <w:pPr>
        <w:pStyle w:val="p01"/>
        <w:keepLines w:val="0"/>
        <w:spacing w:before="0"/>
        <w:ind w:left="851" w:firstLine="294"/>
        <w:jc w:val="left"/>
        <w:outlineLvl w:val="0"/>
        <w:rPr>
          <w:rFonts w:cs="Arial"/>
          <w:color w:val="auto"/>
          <w:sz w:val="16"/>
          <w:szCs w:val="16"/>
        </w:rPr>
      </w:pPr>
    </w:p>
    <w:p w14:paraId="73B11B5F" w14:textId="77777777" w:rsidR="00F043AF" w:rsidRDefault="00F043AF">
      <w:pPr>
        <w:widowControl/>
        <w:rPr>
          <w:rFonts w:cs="Arial"/>
          <w:sz w:val="20"/>
          <w:lang w:val="es-MX"/>
        </w:rPr>
      </w:pPr>
    </w:p>
    <w:p w14:paraId="2DF3F36F" w14:textId="1FC94992" w:rsidR="00E52A87" w:rsidRDefault="00E52A87">
      <w:pPr>
        <w:widowControl/>
        <w:rPr>
          <w:rFonts w:cs="Arial"/>
          <w:sz w:val="20"/>
          <w:lang w:val="es-MX"/>
        </w:rPr>
      </w:pPr>
    </w:p>
    <w:p w14:paraId="4C49771D" w14:textId="77777777" w:rsidR="00DB40CB" w:rsidRDefault="00DB40CB">
      <w:pPr>
        <w:widowControl/>
        <w:rPr>
          <w:rFonts w:cs="Arial"/>
          <w:sz w:val="20"/>
          <w:lang w:val="es-MX"/>
        </w:rPr>
      </w:pPr>
    </w:p>
    <w:p w14:paraId="369CAF26" w14:textId="77777777" w:rsidR="001C5E65" w:rsidRPr="001C5E65" w:rsidRDefault="00D07331" w:rsidP="001C5E65">
      <w:pPr>
        <w:pStyle w:val="bullet"/>
        <w:numPr>
          <w:ilvl w:val="0"/>
          <w:numId w:val="0"/>
        </w:numPr>
        <w:spacing w:before="0"/>
        <w:ind w:right="-91"/>
        <w:jc w:val="center"/>
        <w:rPr>
          <w:rFonts w:cs="Arial"/>
          <w:b w:val="0"/>
          <w:smallCaps/>
          <w:color w:val="auto"/>
          <w:szCs w:val="22"/>
        </w:rPr>
      </w:pPr>
      <w:r>
        <w:rPr>
          <w:rFonts w:cs="Arial"/>
          <w:b w:val="0"/>
          <w:color w:val="auto"/>
          <w:sz w:val="20"/>
          <w:lang w:val="es-MX"/>
        </w:rPr>
        <w:t>G</w:t>
      </w:r>
      <w:r w:rsidR="001C5E65" w:rsidRPr="008C7F10">
        <w:rPr>
          <w:rFonts w:cs="Arial"/>
          <w:b w:val="0"/>
          <w:color w:val="auto"/>
          <w:sz w:val="20"/>
          <w:lang w:val="es-MX"/>
        </w:rPr>
        <w:t xml:space="preserve">ráfica </w:t>
      </w:r>
      <w:r w:rsidR="00CC5B99" w:rsidRPr="008C7F10">
        <w:rPr>
          <w:rFonts w:cs="Arial"/>
          <w:b w:val="0"/>
          <w:color w:val="auto"/>
          <w:sz w:val="20"/>
          <w:lang w:val="es-MX"/>
        </w:rPr>
        <w:t>1</w:t>
      </w:r>
    </w:p>
    <w:p w14:paraId="33F810B5" w14:textId="77777777" w:rsidR="00682DD9" w:rsidRDefault="00835EBD" w:rsidP="00682DD9">
      <w:pPr>
        <w:pStyle w:val="bullet"/>
        <w:numPr>
          <w:ilvl w:val="0"/>
          <w:numId w:val="0"/>
        </w:numPr>
        <w:spacing w:before="0"/>
        <w:ind w:right="-91"/>
        <w:jc w:val="center"/>
        <w:rPr>
          <w:rFonts w:cs="Arial"/>
          <w:smallCaps/>
          <w:color w:val="auto"/>
          <w:szCs w:val="22"/>
        </w:rPr>
      </w:pPr>
      <w:r>
        <w:rPr>
          <w:rFonts w:cs="Arial"/>
          <w:smallCaps/>
          <w:color w:val="auto"/>
          <w:szCs w:val="22"/>
        </w:rPr>
        <w:t>Estimación Oportuna del Producto Interno Bruto</w:t>
      </w:r>
      <w:r w:rsidR="003C2D5E">
        <w:rPr>
          <w:rFonts w:cs="Arial"/>
          <w:smallCaps/>
          <w:color w:val="auto"/>
          <w:szCs w:val="22"/>
        </w:rPr>
        <w:t xml:space="preserve"> </w:t>
      </w:r>
    </w:p>
    <w:p w14:paraId="4EA5C9AB" w14:textId="09D8C640" w:rsidR="00835EBD" w:rsidRDefault="00C67FB4" w:rsidP="00682DD9">
      <w:pPr>
        <w:pStyle w:val="bullet"/>
        <w:numPr>
          <w:ilvl w:val="0"/>
          <w:numId w:val="0"/>
        </w:numPr>
        <w:spacing w:before="0"/>
        <w:ind w:right="-91"/>
        <w:jc w:val="center"/>
        <w:rPr>
          <w:rFonts w:cs="Arial"/>
          <w:smallCaps/>
          <w:color w:val="auto"/>
          <w:szCs w:val="22"/>
        </w:rPr>
      </w:pPr>
      <w:r>
        <w:rPr>
          <w:rFonts w:cs="Arial"/>
          <w:smallCaps/>
          <w:color w:val="auto"/>
          <w:szCs w:val="22"/>
        </w:rPr>
        <w:t>del</w:t>
      </w:r>
      <w:r w:rsidR="00835EBD">
        <w:rPr>
          <w:rFonts w:cs="Arial"/>
          <w:smallCaps/>
          <w:color w:val="auto"/>
          <w:szCs w:val="22"/>
        </w:rPr>
        <w:t xml:space="preserve"> </w:t>
      </w:r>
      <w:r w:rsidR="00570C56">
        <w:rPr>
          <w:rFonts w:cs="Arial"/>
          <w:smallCaps/>
          <w:color w:val="auto"/>
          <w:szCs w:val="22"/>
        </w:rPr>
        <w:t>segundo</w:t>
      </w:r>
      <w:r w:rsidR="00835EBD" w:rsidRPr="008C7479">
        <w:rPr>
          <w:rFonts w:cs="Arial"/>
          <w:smallCaps/>
          <w:color w:val="auto"/>
          <w:szCs w:val="22"/>
        </w:rPr>
        <w:t xml:space="preserve"> trimestre de </w:t>
      </w:r>
      <w:r w:rsidR="00961D4F">
        <w:rPr>
          <w:rFonts w:cs="Arial"/>
          <w:smallCaps/>
          <w:color w:val="auto"/>
          <w:szCs w:val="22"/>
        </w:rPr>
        <w:t>20</w:t>
      </w:r>
      <w:r w:rsidR="00DD1143">
        <w:rPr>
          <w:rFonts w:cs="Arial"/>
          <w:smallCaps/>
          <w:color w:val="auto"/>
          <w:szCs w:val="22"/>
        </w:rPr>
        <w:t>2</w:t>
      </w:r>
      <w:r w:rsidR="001173B5">
        <w:rPr>
          <w:rFonts w:cs="Arial"/>
          <w:smallCaps/>
          <w:color w:val="auto"/>
          <w:szCs w:val="22"/>
        </w:rPr>
        <w:t>1</w:t>
      </w:r>
    </w:p>
    <w:p w14:paraId="49367DC3" w14:textId="77777777" w:rsidR="00835EBD" w:rsidRPr="00064308" w:rsidRDefault="00835EBD" w:rsidP="00835EBD">
      <w:pPr>
        <w:pStyle w:val="p01"/>
        <w:keepLines w:val="0"/>
        <w:spacing w:before="0"/>
        <w:jc w:val="center"/>
        <w:outlineLvl w:val="0"/>
        <w:rPr>
          <w:rFonts w:ascii="Arial" w:hAnsi="Arial"/>
          <w:snapToGrid w:val="0"/>
          <w:color w:val="auto"/>
          <w:sz w:val="20"/>
        </w:rPr>
      </w:pPr>
      <w:r w:rsidRPr="00BF02A7">
        <w:rPr>
          <w:rFonts w:ascii="Arial" w:hAnsi="Arial"/>
          <w:snapToGrid w:val="0"/>
          <w:color w:val="auto"/>
          <w:sz w:val="18"/>
        </w:rPr>
        <w:t xml:space="preserve">(Variación porcentual </w:t>
      </w:r>
      <w:r w:rsidR="00682DD9" w:rsidRPr="00BF02A7">
        <w:rPr>
          <w:rFonts w:ascii="Arial" w:hAnsi="Arial"/>
          <w:snapToGrid w:val="0"/>
          <w:color w:val="auto"/>
          <w:sz w:val="18"/>
        </w:rPr>
        <w:t xml:space="preserve">real </w:t>
      </w:r>
      <w:r w:rsidRPr="00BF02A7">
        <w:rPr>
          <w:rFonts w:ascii="Arial" w:hAnsi="Arial"/>
          <w:snapToGrid w:val="0"/>
          <w:color w:val="auto"/>
          <w:sz w:val="18"/>
        </w:rPr>
        <w:t xml:space="preserve">respecto a igual trimestre del </w:t>
      </w:r>
      <w:r w:rsidR="007D7812" w:rsidRPr="00BF02A7">
        <w:rPr>
          <w:rFonts w:ascii="Arial" w:hAnsi="Arial"/>
          <w:snapToGrid w:val="0"/>
          <w:color w:val="auto"/>
          <w:sz w:val="18"/>
        </w:rPr>
        <w:t xml:space="preserve">año </w:t>
      </w:r>
      <w:r w:rsidRPr="00BF02A7">
        <w:rPr>
          <w:rFonts w:ascii="Arial" w:hAnsi="Arial"/>
          <w:snapToGrid w:val="0"/>
          <w:color w:val="auto"/>
          <w:sz w:val="18"/>
        </w:rPr>
        <w:t>anterior)</w:t>
      </w:r>
      <w:r w:rsidRPr="00064308">
        <w:rPr>
          <w:rFonts w:ascii="Arial" w:hAnsi="Arial"/>
          <w:snapToGrid w:val="0"/>
          <w:color w:val="auto"/>
          <w:sz w:val="20"/>
        </w:rPr>
        <w:t xml:space="preserve"> </w:t>
      </w:r>
    </w:p>
    <w:p w14:paraId="4A83771C" w14:textId="41436514" w:rsidR="00835EBD" w:rsidRDefault="0011053D" w:rsidP="00835EBD">
      <w:pPr>
        <w:pStyle w:val="p0"/>
        <w:spacing w:before="0"/>
        <w:jc w:val="center"/>
        <w:rPr>
          <w:b/>
          <w:i/>
          <w:color w:val="auto"/>
        </w:rPr>
      </w:pPr>
      <w:r>
        <w:rPr>
          <w:noProof/>
          <w:snapToGrid/>
        </w:rPr>
        <w:drawing>
          <wp:inline distT="0" distB="0" distL="0" distR="0" wp14:anchorId="51898708" wp14:editId="39D93173">
            <wp:extent cx="4320000" cy="2520000"/>
            <wp:effectExtent l="0" t="0" r="4445" b="13970"/>
            <wp:docPr id="2" name="Gráfico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7D3BC6" w14:textId="77777777" w:rsidR="00835EBD" w:rsidRPr="009F3FFD" w:rsidRDefault="00835EBD" w:rsidP="00B44898">
      <w:pPr>
        <w:pStyle w:val="p01"/>
        <w:keepLines w:val="0"/>
        <w:spacing w:before="0"/>
        <w:ind w:left="1134"/>
        <w:jc w:val="left"/>
        <w:outlineLvl w:val="0"/>
        <w:rPr>
          <w:rFonts w:ascii="Arial" w:hAnsi="Arial" w:cs="Arial"/>
          <w:color w:val="auto"/>
          <w:sz w:val="16"/>
          <w:szCs w:val="16"/>
        </w:rPr>
      </w:pPr>
      <w:r w:rsidRPr="009F3FFD">
        <w:rPr>
          <w:rFonts w:ascii="Arial" w:hAnsi="Arial" w:cs="Arial"/>
          <w:color w:val="auto"/>
          <w:sz w:val="16"/>
          <w:szCs w:val="16"/>
        </w:rPr>
        <w:t>Fuente: INEGI.</w:t>
      </w:r>
    </w:p>
    <w:p w14:paraId="4F6AE329" w14:textId="77777777" w:rsidR="00D02F94" w:rsidRDefault="00D02F94">
      <w:pPr>
        <w:widowControl/>
        <w:rPr>
          <w:rFonts w:cs="Arial"/>
          <w:sz w:val="20"/>
          <w:lang w:val="es-MX"/>
        </w:rPr>
      </w:pPr>
    </w:p>
    <w:p w14:paraId="6278ECDB" w14:textId="38F0FB0A" w:rsidR="00521E6C" w:rsidRDefault="00521E6C">
      <w:pPr>
        <w:widowControl/>
        <w:rPr>
          <w:rFonts w:cs="Arial"/>
          <w:sz w:val="20"/>
          <w:lang w:val="es-MX"/>
        </w:rPr>
      </w:pPr>
      <w:r>
        <w:rPr>
          <w:rFonts w:cs="Arial"/>
          <w:b/>
          <w:sz w:val="20"/>
          <w:lang w:val="es-MX"/>
        </w:rPr>
        <w:br w:type="page"/>
      </w:r>
    </w:p>
    <w:p w14:paraId="0FDB857A" w14:textId="77777777" w:rsidR="009967B1" w:rsidRDefault="009967B1" w:rsidP="001C5E65">
      <w:pPr>
        <w:pStyle w:val="bullet"/>
        <w:numPr>
          <w:ilvl w:val="0"/>
          <w:numId w:val="0"/>
        </w:numPr>
        <w:spacing w:before="360"/>
        <w:ind w:right="-91"/>
        <w:jc w:val="center"/>
        <w:rPr>
          <w:rFonts w:cs="Arial"/>
          <w:b w:val="0"/>
          <w:color w:val="auto"/>
          <w:sz w:val="20"/>
          <w:lang w:val="es-MX"/>
        </w:rPr>
      </w:pPr>
    </w:p>
    <w:p w14:paraId="529979A1" w14:textId="54237E06" w:rsidR="00835EBD" w:rsidRPr="001C5E65" w:rsidRDefault="001C5E65" w:rsidP="001C5E65">
      <w:pPr>
        <w:pStyle w:val="bullet"/>
        <w:numPr>
          <w:ilvl w:val="0"/>
          <w:numId w:val="0"/>
        </w:numPr>
        <w:spacing w:before="360"/>
        <w:ind w:right="-91"/>
        <w:jc w:val="center"/>
        <w:rPr>
          <w:rFonts w:cs="Arial"/>
          <w:b w:val="0"/>
          <w:smallCaps/>
          <w:color w:val="auto"/>
          <w:szCs w:val="22"/>
        </w:rPr>
      </w:pPr>
      <w:r w:rsidRPr="008C7F10">
        <w:rPr>
          <w:rFonts w:cs="Arial"/>
          <w:b w:val="0"/>
          <w:color w:val="auto"/>
          <w:sz w:val="20"/>
          <w:lang w:val="es-MX"/>
        </w:rPr>
        <w:t xml:space="preserve">Gráfica </w:t>
      </w:r>
      <w:r w:rsidR="00CC5B99" w:rsidRPr="008C7F10">
        <w:rPr>
          <w:rFonts w:cs="Arial"/>
          <w:b w:val="0"/>
          <w:color w:val="auto"/>
          <w:sz w:val="20"/>
          <w:lang w:val="es-MX"/>
        </w:rPr>
        <w:t>2</w:t>
      </w:r>
    </w:p>
    <w:p w14:paraId="64DBF83E" w14:textId="77777777" w:rsidR="00682DD9" w:rsidRDefault="005E3FC4" w:rsidP="00682DD9">
      <w:pPr>
        <w:pStyle w:val="bullet"/>
        <w:numPr>
          <w:ilvl w:val="0"/>
          <w:numId w:val="0"/>
        </w:numPr>
        <w:spacing w:before="0"/>
        <w:ind w:right="-91"/>
        <w:jc w:val="center"/>
        <w:rPr>
          <w:rFonts w:cs="Arial"/>
          <w:smallCaps/>
          <w:color w:val="auto"/>
          <w:szCs w:val="22"/>
        </w:rPr>
      </w:pPr>
      <w:r>
        <w:rPr>
          <w:rFonts w:cs="Arial"/>
          <w:smallCaps/>
          <w:color w:val="auto"/>
          <w:szCs w:val="22"/>
        </w:rPr>
        <w:t>Estimación Oportuna del Producto Interno Bruto</w:t>
      </w:r>
    </w:p>
    <w:p w14:paraId="65CF4BCC" w14:textId="52BABA0C" w:rsidR="005E3FC4" w:rsidRDefault="00D247A6" w:rsidP="00682DD9">
      <w:pPr>
        <w:pStyle w:val="bullet"/>
        <w:numPr>
          <w:ilvl w:val="0"/>
          <w:numId w:val="0"/>
        </w:numPr>
        <w:spacing w:before="0"/>
        <w:ind w:right="-91"/>
        <w:jc w:val="center"/>
        <w:rPr>
          <w:rFonts w:cs="Arial"/>
          <w:smallCaps/>
          <w:color w:val="auto"/>
          <w:szCs w:val="22"/>
        </w:rPr>
      </w:pPr>
      <w:r>
        <w:rPr>
          <w:rFonts w:cs="Arial"/>
          <w:smallCaps/>
          <w:color w:val="auto"/>
          <w:szCs w:val="22"/>
        </w:rPr>
        <w:t>al</w:t>
      </w:r>
      <w:r w:rsidR="009B1905">
        <w:rPr>
          <w:rFonts w:cs="Arial"/>
          <w:smallCaps/>
          <w:color w:val="auto"/>
          <w:szCs w:val="22"/>
        </w:rPr>
        <w:t xml:space="preserve"> </w:t>
      </w:r>
      <w:r w:rsidR="00570C56">
        <w:rPr>
          <w:rFonts w:cs="Arial"/>
          <w:smallCaps/>
          <w:color w:val="auto"/>
          <w:szCs w:val="22"/>
        </w:rPr>
        <w:t>segundo</w:t>
      </w:r>
      <w:r w:rsidR="00CF135C">
        <w:rPr>
          <w:rFonts w:cs="Arial"/>
          <w:smallCaps/>
          <w:color w:val="auto"/>
          <w:szCs w:val="22"/>
        </w:rPr>
        <w:t xml:space="preserve"> </w:t>
      </w:r>
      <w:r w:rsidR="005E3FC4" w:rsidRPr="008C7479">
        <w:rPr>
          <w:rFonts w:cs="Arial"/>
          <w:smallCaps/>
          <w:color w:val="auto"/>
          <w:szCs w:val="22"/>
        </w:rPr>
        <w:t xml:space="preserve">trimestre de </w:t>
      </w:r>
      <w:r w:rsidR="00961D4F">
        <w:rPr>
          <w:rFonts w:cs="Arial"/>
          <w:smallCaps/>
          <w:color w:val="auto"/>
          <w:szCs w:val="22"/>
        </w:rPr>
        <w:t>20</w:t>
      </w:r>
      <w:r w:rsidR="00DD1143">
        <w:rPr>
          <w:rFonts w:cs="Arial"/>
          <w:smallCaps/>
          <w:color w:val="auto"/>
          <w:szCs w:val="22"/>
        </w:rPr>
        <w:t>2</w:t>
      </w:r>
      <w:r w:rsidR="001173B5">
        <w:rPr>
          <w:rFonts w:cs="Arial"/>
          <w:smallCaps/>
          <w:color w:val="auto"/>
          <w:szCs w:val="22"/>
        </w:rPr>
        <w:t>1</w:t>
      </w:r>
    </w:p>
    <w:p w14:paraId="5C9BB2D0" w14:textId="77777777" w:rsidR="005E3FC4" w:rsidRDefault="005E3FC4" w:rsidP="005A3442">
      <w:pPr>
        <w:pStyle w:val="bullet"/>
        <w:numPr>
          <w:ilvl w:val="0"/>
          <w:numId w:val="0"/>
        </w:numPr>
        <w:spacing w:before="0"/>
        <w:ind w:right="-91"/>
        <w:jc w:val="center"/>
        <w:rPr>
          <w:b w:val="0"/>
          <w:color w:val="auto"/>
          <w:sz w:val="20"/>
        </w:rPr>
      </w:pPr>
      <w:r w:rsidRPr="00BF02A7">
        <w:rPr>
          <w:b w:val="0"/>
          <w:color w:val="auto"/>
          <w:sz w:val="18"/>
        </w:rPr>
        <w:t>(Variación porcentual</w:t>
      </w:r>
      <w:r w:rsidR="002870CD" w:rsidRPr="00BF02A7">
        <w:rPr>
          <w:b w:val="0"/>
          <w:color w:val="auto"/>
          <w:sz w:val="18"/>
        </w:rPr>
        <w:t xml:space="preserve"> </w:t>
      </w:r>
      <w:r w:rsidR="00682DD9" w:rsidRPr="00BF02A7">
        <w:rPr>
          <w:b w:val="0"/>
          <w:color w:val="auto"/>
          <w:sz w:val="18"/>
        </w:rPr>
        <w:t xml:space="preserve">real </w:t>
      </w:r>
      <w:r w:rsidR="002870CD" w:rsidRPr="00BF02A7">
        <w:rPr>
          <w:b w:val="0"/>
          <w:color w:val="auto"/>
          <w:sz w:val="18"/>
        </w:rPr>
        <w:t>respecto</w:t>
      </w:r>
      <w:r w:rsidR="002870CD" w:rsidRPr="00BF02A7">
        <w:rPr>
          <w:color w:val="auto"/>
          <w:sz w:val="18"/>
        </w:rPr>
        <w:t xml:space="preserve"> </w:t>
      </w:r>
      <w:r w:rsidR="002870CD" w:rsidRPr="00BF02A7">
        <w:rPr>
          <w:b w:val="0"/>
          <w:color w:val="auto"/>
          <w:sz w:val="18"/>
        </w:rPr>
        <w:t>a igual trimestre del año anterior</w:t>
      </w:r>
      <w:r w:rsidRPr="00BF02A7">
        <w:rPr>
          <w:b w:val="0"/>
          <w:color w:val="auto"/>
          <w:sz w:val="18"/>
        </w:rPr>
        <w:t>)</w:t>
      </w:r>
    </w:p>
    <w:p w14:paraId="5C27D05E" w14:textId="004E6025" w:rsidR="005E3FC4" w:rsidRPr="00064308" w:rsidRDefault="0011053D" w:rsidP="005A3442">
      <w:pPr>
        <w:pStyle w:val="bullet"/>
        <w:numPr>
          <w:ilvl w:val="0"/>
          <w:numId w:val="0"/>
        </w:numPr>
        <w:spacing w:before="0"/>
        <w:ind w:right="-91"/>
        <w:jc w:val="center"/>
        <w:rPr>
          <w:b w:val="0"/>
          <w:color w:val="auto"/>
          <w:sz w:val="20"/>
        </w:rPr>
      </w:pPr>
      <w:r w:rsidRPr="00D7538E">
        <w:rPr>
          <w:noProof/>
          <w:snapToGrid/>
          <w:sz w:val="20"/>
          <w:szCs w:val="18"/>
        </w:rPr>
        <w:drawing>
          <wp:inline distT="0" distB="0" distL="0" distR="0" wp14:anchorId="59CB0E6F" wp14:editId="1D2602EB">
            <wp:extent cx="4320000" cy="2520000"/>
            <wp:effectExtent l="0" t="0" r="4445" b="1397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E719B2F" w14:textId="77777777" w:rsidR="005E3FC4" w:rsidRDefault="005E3FC4" w:rsidP="00B44898">
      <w:pPr>
        <w:pStyle w:val="p0"/>
        <w:spacing w:before="0"/>
        <w:ind w:left="1134"/>
        <w:rPr>
          <w:b/>
          <w:i/>
          <w:color w:val="auto"/>
        </w:rPr>
      </w:pPr>
      <w:r w:rsidRPr="000434B9">
        <w:rPr>
          <w:rFonts w:cs="Arial"/>
          <w:color w:val="auto"/>
          <w:sz w:val="16"/>
          <w:szCs w:val="16"/>
        </w:rPr>
        <w:t>Fuente: INEGI.</w:t>
      </w:r>
    </w:p>
    <w:p w14:paraId="675B4FA2" w14:textId="77777777" w:rsidR="00454C88" w:rsidRDefault="00454C88">
      <w:pPr>
        <w:widowControl/>
        <w:rPr>
          <w:b/>
          <w:i/>
        </w:rPr>
      </w:pPr>
      <w:r>
        <w:rPr>
          <w:b/>
          <w:i/>
        </w:rPr>
        <w:br w:type="page"/>
      </w:r>
    </w:p>
    <w:p w14:paraId="55DAE5AD" w14:textId="77777777" w:rsidR="00990858" w:rsidRDefault="00990858" w:rsidP="005700E4">
      <w:pPr>
        <w:pStyle w:val="p0"/>
        <w:spacing w:before="180"/>
        <w:rPr>
          <w:b/>
          <w:i/>
          <w:color w:val="auto"/>
        </w:rPr>
      </w:pPr>
    </w:p>
    <w:p w14:paraId="70D2DF77" w14:textId="4D0F0FB8" w:rsidR="005700E4" w:rsidRPr="00D422F2" w:rsidRDefault="005700E4" w:rsidP="005700E4">
      <w:pPr>
        <w:pStyle w:val="p0"/>
        <w:spacing w:before="180"/>
        <w:rPr>
          <w:b/>
          <w:i/>
          <w:color w:val="auto"/>
        </w:rPr>
      </w:pPr>
      <w:r w:rsidRPr="00D422F2">
        <w:rPr>
          <w:b/>
          <w:i/>
          <w:color w:val="auto"/>
        </w:rPr>
        <w:t>Nota al usuario</w:t>
      </w:r>
    </w:p>
    <w:p w14:paraId="3236CFBA" w14:textId="7C828832" w:rsidR="000C1BE9" w:rsidRPr="000C1BE9" w:rsidRDefault="00C06C08" w:rsidP="005700E4">
      <w:pPr>
        <w:pStyle w:val="p0"/>
        <w:rPr>
          <w:color w:val="auto"/>
        </w:rPr>
      </w:pPr>
      <w:r w:rsidRPr="00DC6B41">
        <w:rPr>
          <w:color w:val="auto"/>
        </w:rPr>
        <w:t xml:space="preserve">En el trimestre que cubre este reporte, </w:t>
      </w:r>
      <w:r w:rsidR="000C1BE9" w:rsidRPr="00DC6B41">
        <w:rPr>
          <w:color w:val="auto"/>
        </w:rPr>
        <w:t xml:space="preserve">la Tasa de No Respuesta en la captación de las </w:t>
      </w:r>
      <w:r w:rsidR="00466DF3" w:rsidRPr="00DC6B41">
        <w:rPr>
          <w:color w:val="auto"/>
        </w:rPr>
        <w:t>e</w:t>
      </w:r>
      <w:r w:rsidR="000C1BE9" w:rsidRPr="00DC6B41">
        <w:rPr>
          <w:color w:val="auto"/>
        </w:rPr>
        <w:t xml:space="preserve">ncuestas </w:t>
      </w:r>
      <w:r w:rsidR="00466DF3" w:rsidRPr="00DC6B41">
        <w:rPr>
          <w:color w:val="auto"/>
        </w:rPr>
        <w:t>e</w:t>
      </w:r>
      <w:r w:rsidR="000C1BE9" w:rsidRPr="00DC6B41">
        <w:rPr>
          <w:color w:val="auto"/>
        </w:rPr>
        <w:t xml:space="preserve">conómicas registró porcentajes </w:t>
      </w:r>
      <w:r w:rsidR="000C1BE9" w:rsidRPr="000C1BE9">
        <w:rPr>
          <w:color w:val="auto"/>
        </w:rPr>
        <w:t>apropiados de acuerdo con los parámetros del diseño estadístico de las muestras, lo que permitió la generación de estadísticas con niveles altos de cobertura y precisión. Para las actividades agropecuarias, de servicios financieros y del gobierno se complementa</w:t>
      </w:r>
      <w:r w:rsidR="00466DF3">
        <w:rPr>
          <w:color w:val="auto"/>
        </w:rPr>
        <w:t>ro</w:t>
      </w:r>
      <w:r w:rsidR="000C1BE9" w:rsidRPr="000C1BE9">
        <w:rPr>
          <w:color w:val="auto"/>
        </w:rPr>
        <w:t xml:space="preserve">n con otros registros administrativos provenientes de las Unidades del Estado que se recibieron oportunamente vía correo electrónico y su captación por </w:t>
      </w:r>
      <w:r w:rsidR="00466DF3">
        <w:rPr>
          <w:color w:val="auto"/>
        </w:rPr>
        <w:t>i</w:t>
      </w:r>
      <w:r w:rsidR="000C1BE9" w:rsidRPr="000C1BE9">
        <w:rPr>
          <w:color w:val="auto"/>
        </w:rPr>
        <w:t>nternet, lo que posibilitó contar con los insumos para la generación de resultados adecuados de la EOPIBT en el segundo trimestre de 2021.</w:t>
      </w:r>
    </w:p>
    <w:p w14:paraId="17C38E40" w14:textId="70FCEDAC" w:rsidR="005700E4" w:rsidRDefault="005700E4" w:rsidP="005700E4">
      <w:pPr>
        <w:pStyle w:val="p0"/>
        <w:rPr>
          <w:b/>
          <w:i/>
          <w:color w:val="auto"/>
        </w:rPr>
      </w:pPr>
      <w:r w:rsidRPr="00252BD9">
        <w:rPr>
          <w:color w:val="auto"/>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B371FB">
        <w:rPr>
          <w:i/>
          <w:iCs/>
          <w:color w:val="auto"/>
        </w:rPr>
        <w:t>outliers</w:t>
      </w:r>
      <w:proofErr w:type="spellEnd"/>
      <w:r w:rsidRPr="00252BD9">
        <w:rPr>
          <w:color w:val="auto"/>
        </w:rPr>
        <w:t>) en los modelos de ajuste estacional para los meses de la contingencia. Lo anterior con el objetivo de que los grandes cambios en las cifras originales no influyan de manera desproporcionada en los factores estacionales utilizados.</w:t>
      </w:r>
    </w:p>
    <w:p w14:paraId="0121FD05" w14:textId="20E79F57" w:rsidR="00B35528" w:rsidRPr="00D61AB3" w:rsidRDefault="00B35528" w:rsidP="00252BD9">
      <w:pPr>
        <w:pStyle w:val="p0"/>
        <w:rPr>
          <w:b/>
          <w:i/>
          <w:color w:val="auto"/>
        </w:rPr>
      </w:pPr>
      <w:r w:rsidRPr="00D61AB3">
        <w:rPr>
          <w:b/>
          <w:i/>
          <w:color w:val="auto"/>
        </w:rPr>
        <w:t xml:space="preserve">Nota </w:t>
      </w:r>
      <w:r w:rsidR="00D422F2">
        <w:rPr>
          <w:b/>
          <w:i/>
          <w:color w:val="auto"/>
        </w:rPr>
        <w:t>m</w:t>
      </w:r>
      <w:r w:rsidRPr="00D61AB3">
        <w:rPr>
          <w:b/>
          <w:i/>
          <w:color w:val="auto"/>
        </w:rPr>
        <w:t xml:space="preserve">etodológica </w:t>
      </w:r>
    </w:p>
    <w:p w14:paraId="0FF46417" w14:textId="77777777" w:rsidR="00541B47" w:rsidRPr="005A3442" w:rsidRDefault="00541B47" w:rsidP="00863772">
      <w:pPr>
        <w:pStyle w:val="p0"/>
        <w:rPr>
          <w:color w:val="auto"/>
        </w:rPr>
      </w:pPr>
      <w:r w:rsidRPr="005A3442">
        <w:rPr>
          <w:color w:val="auto"/>
        </w:rPr>
        <w:t>La estimación oportuna del PIB trimestral ofrece en el corto plazo, una visión completa y coherente de la evolución de las actividades económicas del país para apoyar la toma de decisiones.</w:t>
      </w:r>
    </w:p>
    <w:p w14:paraId="2DB06D78" w14:textId="77777777" w:rsidR="00541B47" w:rsidRPr="005A3442" w:rsidRDefault="00541B47" w:rsidP="008266A4">
      <w:pPr>
        <w:pStyle w:val="p0"/>
        <w:rPr>
          <w:color w:val="auto"/>
        </w:rPr>
      </w:pPr>
      <w:r w:rsidRPr="005A3442">
        <w:rPr>
          <w:color w:val="auto"/>
        </w:rPr>
        <w:t>La metodología</w:t>
      </w:r>
      <w:r>
        <w:rPr>
          <w:color w:val="auto"/>
        </w:rPr>
        <w:t xml:space="preserve"> que presenta el INEGI para la estimación o</w:t>
      </w:r>
      <w:r w:rsidRPr="005A3442">
        <w:rPr>
          <w:color w:val="auto"/>
        </w:rPr>
        <w:t xml:space="preserve">portuna del PIB Trimestral de México utiliza información estadística oportuna de las fuentes directas (encuestas en establecimientos y en hogares y los registros administrativos de diversas dependencias de gobierno) y los cálculos de la información faltante, que se hacen a través </w:t>
      </w:r>
      <w:r w:rsidRPr="0098674E">
        <w:rPr>
          <w:color w:val="auto"/>
        </w:rPr>
        <w:t>de modelos</w:t>
      </w:r>
      <w:r w:rsidRPr="005A3442">
        <w:rPr>
          <w:color w:val="auto"/>
        </w:rPr>
        <w:t xml:space="preserve"> econométricos, para la integración del dato final. Esta integración se hace conforme a la metodología del Sistema de Cuenta</w:t>
      </w:r>
      <w:r>
        <w:rPr>
          <w:color w:val="auto"/>
        </w:rPr>
        <w:t>s</w:t>
      </w:r>
      <w:r w:rsidRPr="005A3442">
        <w:rPr>
          <w:color w:val="auto"/>
        </w:rPr>
        <w:t xml:space="preserve"> Nacionales de México (SCNM).</w:t>
      </w:r>
    </w:p>
    <w:p w14:paraId="646472E4" w14:textId="18858310" w:rsidR="00541B47" w:rsidRPr="005A3442" w:rsidRDefault="00541B47" w:rsidP="008266A4">
      <w:pPr>
        <w:pStyle w:val="p0"/>
        <w:rPr>
          <w:color w:val="auto"/>
        </w:rPr>
      </w:pPr>
      <w:r w:rsidRPr="005A3442">
        <w:rPr>
          <w:color w:val="auto"/>
        </w:rPr>
        <w:t>Entre las virtudes de esta metodología está la precisión del dato estimado respecto al dato del cálculo tradicional. Esto se debe a que s</w:t>
      </w:r>
      <w:r w:rsidR="00856BDD">
        <w:rPr>
          <w:color w:val="auto"/>
        </w:rPr>
        <w:t>ó</w:t>
      </w:r>
      <w:r w:rsidRPr="005A3442">
        <w:rPr>
          <w:color w:val="auto"/>
        </w:rPr>
        <w:t xml:space="preserve">lo se estima una parte del trimestre de referencia (con cerca </w:t>
      </w:r>
      <w:r w:rsidRPr="0098674E">
        <w:rPr>
          <w:color w:val="auto"/>
        </w:rPr>
        <w:t>del 75%, aproximadamente, de información directa disponible) y a la rigurosa selección de los modelos que pronostican los datos faltantes. La estimación se hace a partir de las 621 clases de actividad que comprenden el IGAE y que se tienen, de manera mensual, disponibles</w:t>
      </w:r>
      <w:r w:rsidRPr="005A3442">
        <w:rPr>
          <w:color w:val="auto"/>
        </w:rPr>
        <w:t xml:space="preserve"> hasta el segundo mes del trimestre de referencia.</w:t>
      </w:r>
    </w:p>
    <w:p w14:paraId="38BE254B" w14:textId="77777777" w:rsidR="00372BC2" w:rsidRDefault="00372BC2">
      <w:pPr>
        <w:widowControl/>
      </w:pPr>
      <w:r>
        <w:br w:type="page"/>
      </w:r>
    </w:p>
    <w:p w14:paraId="0E91B448" w14:textId="77777777" w:rsidR="00372BC2" w:rsidRDefault="00372BC2" w:rsidP="008266A4">
      <w:pPr>
        <w:pStyle w:val="p0"/>
        <w:rPr>
          <w:color w:val="auto"/>
        </w:rPr>
      </w:pPr>
    </w:p>
    <w:p w14:paraId="7C98724C" w14:textId="71A97F9E" w:rsidR="00541B47" w:rsidRPr="005A3442" w:rsidRDefault="00541B47" w:rsidP="008266A4">
      <w:pPr>
        <w:pStyle w:val="p0"/>
        <w:rPr>
          <w:color w:val="auto"/>
        </w:rPr>
      </w:pPr>
      <w:r w:rsidRPr="005A3442">
        <w:rPr>
          <w:color w:val="auto"/>
        </w:rPr>
        <w:t>Es importante mencionar que esta estimación no reemplaza al cálculo tradicional del PIB Trimestral.</w:t>
      </w:r>
    </w:p>
    <w:p w14:paraId="7F65D17B" w14:textId="77777777" w:rsidR="00541B47" w:rsidRDefault="00541B47" w:rsidP="008266A4">
      <w:pPr>
        <w:pStyle w:val="p0"/>
        <w:rPr>
          <w:color w:val="auto"/>
        </w:rPr>
      </w:pPr>
      <w:r w:rsidRPr="005A3442">
        <w:rPr>
          <w:color w:val="auto"/>
        </w:rPr>
        <w:t xml:space="preserve">El presente </w:t>
      </w:r>
      <w:r>
        <w:rPr>
          <w:color w:val="auto"/>
        </w:rPr>
        <w:t xml:space="preserve">documento </w:t>
      </w:r>
      <w:r w:rsidRPr="005A3442">
        <w:rPr>
          <w:color w:val="auto"/>
        </w:rPr>
        <w:t>maneja las variaciones porcentuales de las series originales y desestacionalizadas respecto al mismo trimestre del año anterior y con el trimestre inmediato anterior, este último únicamente para las</w:t>
      </w:r>
      <w:r>
        <w:rPr>
          <w:color w:val="auto"/>
        </w:rPr>
        <w:t xml:space="preserve"> cifras desestacionalizadas.</w:t>
      </w:r>
    </w:p>
    <w:p w14:paraId="00224FE7" w14:textId="6C7DF9BC" w:rsidR="005A3442" w:rsidRPr="00E20D88" w:rsidRDefault="007D7B86" w:rsidP="008266A4">
      <w:pPr>
        <w:pStyle w:val="p0"/>
        <w:rPr>
          <w:color w:val="auto"/>
        </w:rPr>
      </w:pPr>
      <w:r>
        <w:rPr>
          <w:color w:val="auto"/>
        </w:rPr>
        <w:t>Es importante destacar que l</w:t>
      </w:r>
      <w:r w:rsidR="005A3442" w:rsidRPr="00E20D88">
        <w:rPr>
          <w:color w:val="auto"/>
        </w:rPr>
        <w:t>a mayoría de las series económicas se ven afectadas por factores estacionales</w:t>
      </w:r>
      <w:r w:rsidR="002C0B9D">
        <w:rPr>
          <w:color w:val="auto"/>
        </w:rPr>
        <w:t>.</w:t>
      </w:r>
      <w:r w:rsidR="009008D5">
        <w:rPr>
          <w:color w:val="auto"/>
        </w:rPr>
        <w:t xml:space="preserve"> É</w:t>
      </w:r>
      <w:r w:rsidR="005A3442" w:rsidRPr="00E20D88">
        <w:rPr>
          <w:color w:val="auto"/>
        </w:rPr>
        <w:t xml:space="preserve">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w:t>
      </w:r>
      <w:r w:rsidR="00372BC2">
        <w:rPr>
          <w:color w:val="auto"/>
        </w:rPr>
        <w:t>por</w:t>
      </w:r>
      <w:r w:rsidR="005A3442" w:rsidRPr="00E20D88">
        <w:rPr>
          <w:color w:val="auto"/>
        </w:rPr>
        <w:t xml:space="preserve"> ejemplo la elevada producción de juguetes en los meses previos a la Navidad provocada por la expectativa de mayores ventas en diciembre. </w:t>
      </w:r>
    </w:p>
    <w:p w14:paraId="5601A73B" w14:textId="2AAFABD7" w:rsidR="009008D5" w:rsidRDefault="005A3442" w:rsidP="00B8050A">
      <w:pPr>
        <w:pStyle w:val="p0"/>
        <w:keepLines w:val="0"/>
        <w:rPr>
          <w:color w:val="auto"/>
        </w:rPr>
      </w:pPr>
      <w:r w:rsidRPr="00E20D88">
        <w:rPr>
          <w:color w:val="auto"/>
        </w:rPr>
        <w:t xml:space="preserve">En este sentido, la desestacionalización o ajuste estacional de series económicas consiste en remover estas influencias </w:t>
      </w:r>
      <w:proofErr w:type="spellStart"/>
      <w:r w:rsidRPr="00E20D88">
        <w:rPr>
          <w:color w:val="auto"/>
        </w:rPr>
        <w:t>intra-anuales</w:t>
      </w:r>
      <w:proofErr w:type="spellEnd"/>
      <w:r w:rsidRPr="00E20D88">
        <w:rPr>
          <w:color w:val="auto"/>
        </w:rPr>
        <w:t xml:space="preserve"> periódicas, debido a que su presencia dificulta diagnosticar o describir el comportamiento de una serie </w:t>
      </w:r>
      <w:r w:rsidR="007D7B86">
        <w:rPr>
          <w:color w:val="auto"/>
        </w:rPr>
        <w:t xml:space="preserve">económica </w:t>
      </w:r>
      <w:r w:rsidRPr="00E20D88">
        <w:rPr>
          <w:color w:val="auto"/>
        </w:rPr>
        <w:t xml:space="preserve">al no poder comparar adecuadamente un determinado trimestre con el inmediato anterior. </w:t>
      </w:r>
    </w:p>
    <w:p w14:paraId="4D86F755" w14:textId="46E6E363" w:rsidR="005A3442" w:rsidRPr="005A3442" w:rsidRDefault="005A3442" w:rsidP="00B8050A">
      <w:pPr>
        <w:pStyle w:val="p0"/>
        <w:keepLines w:val="0"/>
        <w:rPr>
          <w:color w:val="auto"/>
        </w:rPr>
      </w:pPr>
      <w:r w:rsidRPr="00E20D88">
        <w:rPr>
          <w:color w:val="auto"/>
        </w:rPr>
        <w:t xml:space="preserve">Analizar la serie ajustada ayuda a realizar un mejor diagnóstico y pronóstico de </w:t>
      </w:r>
      <w:r w:rsidR="007D7B86">
        <w:rPr>
          <w:color w:val="auto"/>
        </w:rPr>
        <w:t>su</w:t>
      </w:r>
      <w:r w:rsidRPr="00E20D88">
        <w:rPr>
          <w:color w:val="auto"/>
        </w:rPr>
        <w:t xml:space="preserve"> evolución, ya que facilita la identificación de la posible dirección de los movimientos que pudiera tener la variable en cuestión, en el corto plazo. </w:t>
      </w:r>
    </w:p>
    <w:p w14:paraId="4DCB517E" w14:textId="77777777" w:rsidR="004A082D" w:rsidRPr="007D7B86" w:rsidRDefault="004A082D" w:rsidP="004A082D">
      <w:pPr>
        <w:pStyle w:val="p0"/>
        <w:rPr>
          <w:color w:val="auto"/>
        </w:rPr>
      </w:pPr>
      <w:r w:rsidRPr="004A082D">
        <w:rPr>
          <w:color w:val="auto"/>
        </w:rPr>
        <w:t>Las series originales se ajustan estacionalmente mediante el paquete estadístico X</w:t>
      </w:r>
      <w:r w:rsidRPr="004A082D">
        <w:rPr>
          <w:color w:val="auto"/>
        </w:rPr>
        <w:noBreakHyphen/>
        <w:t>13ARIMA-SEATS. Para conocer la metodología se sugiere consultar la siguiente liga:</w:t>
      </w:r>
    </w:p>
    <w:p w14:paraId="0C0231E8" w14:textId="129F029E" w:rsidR="00E20D88" w:rsidRPr="00E92E4F" w:rsidRDefault="00645560" w:rsidP="004A082D">
      <w:pPr>
        <w:spacing w:before="240"/>
        <w:jc w:val="both"/>
        <w:rPr>
          <w:highlight w:val="yellow"/>
          <w:lang w:val="es-MX"/>
        </w:rPr>
      </w:pPr>
      <w:hyperlink r:id="rId23" w:history="1">
        <w:r w:rsidR="00AD5231" w:rsidRPr="007D7B86">
          <w:rPr>
            <w:rStyle w:val="Hipervnculo"/>
            <w:sz w:val="22"/>
            <w:szCs w:val="18"/>
            <w:lang w:eastAsia="en-US"/>
          </w:rPr>
          <w:t>https://www.inegi.org.mx/app/biblioteca/ficha.html?upc=702825099060</w:t>
        </w:r>
      </w:hyperlink>
    </w:p>
    <w:p w14:paraId="4B4150AC" w14:textId="77777777" w:rsidR="005A3442" w:rsidRPr="001645BC" w:rsidRDefault="005A3442" w:rsidP="0042396C">
      <w:pPr>
        <w:pStyle w:val="p0"/>
        <w:rPr>
          <w:color w:val="auto"/>
          <w:sz w:val="23"/>
          <w:szCs w:val="23"/>
        </w:rPr>
      </w:pPr>
      <w:r w:rsidRPr="005A3442">
        <w:rPr>
          <w:color w:val="auto"/>
        </w:rPr>
        <w:t xml:space="preserve">Asimismo, las especificaciones de los modelos utilizados para realizar el ajuste estacional están disponibles en el Banco de Información Económica, seleccionando el icono de información </w:t>
      </w:r>
      <w:r w:rsidRPr="005A3442">
        <w:rPr>
          <w:noProof/>
          <w:color w:val="auto"/>
          <w:lang w:val="es-MX" w:eastAsia="es-MX"/>
        </w:rPr>
        <w:drawing>
          <wp:inline distT="0" distB="0" distL="0" distR="0" wp14:anchorId="1F2D47E0" wp14:editId="272B2D39">
            <wp:extent cx="152400" cy="152400"/>
            <wp:effectExtent l="0" t="0" r="0" b="0"/>
            <wp:docPr id="6" name="Imagen 6" descr="http://www.inegi.org.mx/sistemas/bie/img/MetadatoC.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3442">
        <w:rPr>
          <w:color w:val="auto"/>
        </w:rPr>
        <w:t xml:space="preserve"> correspondiente a las “series desestacionalizadas y de tendencia-ciclo” del PIB.</w:t>
      </w:r>
    </w:p>
    <w:p w14:paraId="23C0A396" w14:textId="77777777" w:rsidR="00541B47" w:rsidRPr="005A3442" w:rsidRDefault="00541B47" w:rsidP="0042396C">
      <w:pPr>
        <w:pStyle w:val="p0"/>
        <w:rPr>
          <w:color w:val="auto"/>
        </w:rPr>
      </w:pPr>
      <w:r w:rsidRPr="005A3442">
        <w:rPr>
          <w:color w:val="auto"/>
        </w:rPr>
        <w:t>Los cálculos de corto plazo se alinean con las cifras anuales de las Cuentas de Bienes y Servicios, con excepción de la agricultura, aplicando la técnica Denton a nivel de clase de actividad económica, evitando que se interpreten de diferente manera resultados que pueden diferir por su grado de cobertura o por la fecha de su disponibilidad, pero nunca en su base conceptual.</w:t>
      </w:r>
    </w:p>
    <w:p w14:paraId="7ACB021A" w14:textId="739C60CD" w:rsidR="00521E6C" w:rsidRDefault="00521E6C">
      <w:pPr>
        <w:widowControl/>
      </w:pPr>
      <w:r>
        <w:br w:type="page"/>
      </w:r>
    </w:p>
    <w:p w14:paraId="513A7D40" w14:textId="77777777" w:rsidR="00372BC2" w:rsidRDefault="00372BC2" w:rsidP="0042396C">
      <w:pPr>
        <w:pStyle w:val="p0"/>
        <w:rPr>
          <w:color w:val="auto"/>
        </w:rPr>
      </w:pPr>
    </w:p>
    <w:p w14:paraId="305087D0" w14:textId="06E42E25" w:rsidR="00762CEA" w:rsidRDefault="00541B47" w:rsidP="0042396C">
      <w:pPr>
        <w:pStyle w:val="p0"/>
        <w:rPr>
          <w:color w:val="auto"/>
        </w:rPr>
      </w:pPr>
      <w:r w:rsidRPr="005A3442">
        <w:rPr>
          <w:color w:val="auto"/>
        </w:rPr>
        <w:t xml:space="preserve">Las principales fuentes de información para la estimación de los dos primeros meses del trimestre del PIB y las actividades que lo comprenden son: la Encuesta Mensual de la Industria Manufacturera, Encuesta Mensual sobre </w:t>
      </w:r>
      <w:r w:rsidR="00B03E31" w:rsidRPr="00B03E31">
        <w:rPr>
          <w:color w:val="auto"/>
        </w:rPr>
        <w:t>Empresas</w:t>
      </w:r>
      <w:r w:rsidRPr="005A3442">
        <w:rPr>
          <w:color w:val="auto"/>
        </w:rPr>
        <w:t xml:space="preserve"> Comerciales, Estadística de la Industria </w:t>
      </w:r>
      <w:proofErr w:type="spellStart"/>
      <w:r w:rsidRPr="005A3442">
        <w:rPr>
          <w:color w:val="auto"/>
        </w:rPr>
        <w:t>Minerometalúrgica</w:t>
      </w:r>
      <w:proofErr w:type="spellEnd"/>
      <w:r w:rsidRPr="005A3442">
        <w:rPr>
          <w:color w:val="auto"/>
        </w:rPr>
        <w:t xml:space="preserve">, Encuesta Nacional de Empresas Constructoras, Encuesta Mensual de Servicios, Registros Administrativos y Estadísticas </w:t>
      </w:r>
      <w:proofErr w:type="gramStart"/>
      <w:r w:rsidR="00DE0DB7">
        <w:rPr>
          <w:color w:val="auto"/>
        </w:rPr>
        <w:t>S</w:t>
      </w:r>
      <w:r w:rsidRPr="005A3442">
        <w:rPr>
          <w:color w:val="auto"/>
        </w:rPr>
        <w:t>ocio-demográficas</w:t>
      </w:r>
      <w:proofErr w:type="gramEnd"/>
      <w:r w:rsidRPr="005A3442">
        <w:rPr>
          <w:color w:val="auto"/>
        </w:rPr>
        <w:t xml:space="preserve">. Para el último mes se utilizan las encuestas de opinión y la información que se recibe de las fuentes anteriores con una oportunidad </w:t>
      </w:r>
      <w:r w:rsidRPr="0098674E">
        <w:rPr>
          <w:color w:val="auto"/>
        </w:rPr>
        <w:t>de 28 días</w:t>
      </w:r>
      <w:r w:rsidRPr="005A3442">
        <w:rPr>
          <w:color w:val="auto"/>
        </w:rPr>
        <w:t>.</w:t>
      </w:r>
    </w:p>
    <w:p w14:paraId="6CA6A2BA" w14:textId="77777777" w:rsidR="00541B47" w:rsidRDefault="00762CEA" w:rsidP="0042396C">
      <w:pPr>
        <w:pStyle w:val="p0"/>
        <w:rPr>
          <w:color w:val="auto"/>
        </w:rPr>
      </w:pPr>
      <w:r w:rsidRPr="00762CEA">
        <w:rPr>
          <w:color w:val="auto"/>
        </w:rP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r w:rsidR="00541B47">
        <w:rPr>
          <w:color w:val="auto"/>
        </w:rPr>
        <w:t xml:space="preserve"> </w:t>
      </w:r>
    </w:p>
    <w:p w14:paraId="4FBDB7C0" w14:textId="44F0A513" w:rsidR="008C32D6" w:rsidRPr="00E12064" w:rsidRDefault="00541B47" w:rsidP="005C23FE">
      <w:pPr>
        <w:pStyle w:val="p0"/>
      </w:pPr>
      <w:r w:rsidRPr="00541B47">
        <w:rPr>
          <w:color w:val="auto"/>
        </w:rPr>
        <w:t xml:space="preserve">Las series de la </w:t>
      </w:r>
      <w:r w:rsidR="00D02B97">
        <w:rPr>
          <w:color w:val="auto"/>
        </w:rPr>
        <w:t>E</w:t>
      </w:r>
      <w:r w:rsidRPr="00541B47">
        <w:rPr>
          <w:color w:val="auto"/>
        </w:rPr>
        <w:t xml:space="preserve">stimación Oportuna del PIB </w:t>
      </w:r>
      <w:r w:rsidR="008C2AFF" w:rsidRPr="00541B47">
        <w:rPr>
          <w:color w:val="auto"/>
        </w:rPr>
        <w:t>Trimestral</w:t>
      </w:r>
      <w:r w:rsidRPr="00541B47">
        <w:rPr>
          <w:color w:val="auto"/>
        </w:rPr>
        <w:t xml:space="preserve"> </w:t>
      </w:r>
      <w:r w:rsidR="001048E4">
        <w:rPr>
          <w:color w:val="auto"/>
        </w:rPr>
        <w:t xml:space="preserve">pueden </w:t>
      </w:r>
      <w:r w:rsidRPr="00541B47">
        <w:rPr>
          <w:color w:val="auto"/>
        </w:rPr>
        <w:t xml:space="preserve">ser consultadas en la sección PIB y Cuentas Nacionales de México y en el Banco de Información Económica (BIE), de la página en Internet del Instituto </w:t>
      </w:r>
      <w:r w:rsidR="00AD5231" w:rsidRPr="00AD5231">
        <w:rPr>
          <w:u w:val="single"/>
        </w:rPr>
        <w:t>https://www.inegi.org.mx</w:t>
      </w:r>
    </w:p>
    <w:sectPr w:rsidR="008C32D6" w:rsidRPr="00E12064" w:rsidSect="00CB0946">
      <w:headerReference w:type="default" r:id="rId26"/>
      <w:footerReference w:type="default" r:id="rId27"/>
      <w:endnotePr>
        <w:numFmt w:val="decimal"/>
      </w:endnotePr>
      <w:pgSz w:w="12242" w:h="15842"/>
      <w:pgMar w:top="2127" w:right="1701" w:bottom="1134" w:left="1701" w:header="426" w:footer="3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32711" w14:textId="77777777" w:rsidR="00645560" w:rsidRDefault="00645560">
      <w:r>
        <w:separator/>
      </w:r>
    </w:p>
  </w:endnote>
  <w:endnote w:type="continuationSeparator" w:id="0">
    <w:p w14:paraId="6243FD39" w14:textId="77777777" w:rsidR="00645560" w:rsidRDefault="0064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BC814" w14:textId="77777777" w:rsidR="005C7D88" w:rsidRPr="00854414" w:rsidRDefault="005C7D88" w:rsidP="00EE63F7">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5211D" w14:textId="77777777" w:rsidR="004A55CE" w:rsidRPr="0071539A" w:rsidRDefault="004A55CE" w:rsidP="00B06AE9">
    <w:pPr>
      <w:pStyle w:val="Piedepgina"/>
      <w:jc w:val="center"/>
      <w:rPr>
        <w:color w:val="002060"/>
        <w:sz w:val="20"/>
      </w:rPr>
    </w:pPr>
    <w:r w:rsidRPr="0071539A">
      <w:rPr>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FB219" w14:textId="77777777" w:rsidR="00645560" w:rsidRDefault="00645560">
      <w:r>
        <w:separator/>
      </w:r>
    </w:p>
  </w:footnote>
  <w:footnote w:type="continuationSeparator" w:id="0">
    <w:p w14:paraId="1C6888E5" w14:textId="77777777" w:rsidR="00645560" w:rsidRDefault="00645560">
      <w:r>
        <w:continuationSeparator/>
      </w:r>
    </w:p>
  </w:footnote>
  <w:footnote w:id="1">
    <w:p w14:paraId="46284FA7" w14:textId="77777777" w:rsidR="005C7D88" w:rsidRPr="00EB1998" w:rsidRDefault="005C7D88" w:rsidP="00B36851">
      <w:pPr>
        <w:pStyle w:val="Textonotapie"/>
        <w:ind w:left="142" w:right="-425"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Año base 2013</w:t>
      </w:r>
      <w:r w:rsidRPr="00EB1998">
        <w:rPr>
          <w:rFonts w:ascii="Arial" w:hAnsi="Arial" w:cs="Arial"/>
          <w:sz w:val="16"/>
          <w:szCs w:val="24"/>
        </w:rPr>
        <w:t>.</w:t>
      </w:r>
    </w:p>
  </w:footnote>
  <w:footnote w:id="2">
    <w:p w14:paraId="13849D1A" w14:textId="77777777" w:rsidR="005C7D88" w:rsidRPr="00EB1998" w:rsidRDefault="005C7D88" w:rsidP="00B36851">
      <w:pPr>
        <w:pStyle w:val="Textonotapie"/>
        <w:ind w:left="142" w:right="-425"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 xml:space="preserve">Las cifras </w:t>
      </w:r>
      <w:r w:rsidRPr="00EB1998">
        <w:rPr>
          <w:rFonts w:ascii="Arial" w:hAnsi="Arial" w:cs="Arial"/>
          <w:sz w:val="16"/>
          <w:szCs w:val="24"/>
        </w:rPr>
        <w:t>preliminares, en series originales y desestacionalizadas, estarán disponibles aproximadamente 50 días después de t</w:t>
      </w:r>
      <w:r>
        <w:rPr>
          <w:rFonts w:ascii="Arial" w:hAnsi="Arial" w:cs="Arial"/>
          <w:sz w:val="16"/>
          <w:szCs w:val="24"/>
        </w:rPr>
        <w:t>erminado</w:t>
      </w:r>
      <w:r w:rsidRPr="00EB1998">
        <w:rPr>
          <w:rFonts w:ascii="Arial" w:hAnsi="Arial" w:cs="Arial"/>
          <w:sz w:val="16"/>
          <w:szCs w:val="24"/>
        </w:rPr>
        <w:t xml:space="preserve"> el trimestre en cuestión, de acuerdo con el Calendario de difusión de información estadística y geográfica y de Interés Nacional del INEGI.</w:t>
      </w:r>
    </w:p>
  </w:footnote>
  <w:footnote w:id="3">
    <w:p w14:paraId="618BA358" w14:textId="77777777" w:rsidR="005C7D88" w:rsidRPr="00A1525E" w:rsidRDefault="005C7D88" w:rsidP="00B36851">
      <w:pPr>
        <w:pStyle w:val="Textonotapie"/>
        <w:ind w:left="142" w:right="-425" w:hanging="142"/>
        <w:jc w:val="both"/>
        <w:rPr>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szCs w:val="16"/>
        </w:rPr>
        <w:t>La</w:t>
      </w:r>
      <w:r w:rsidRPr="002B7F1F">
        <w:rPr>
          <w:rFonts w:ascii="Arial" w:hAnsi="Arial" w:cs="Arial"/>
          <w:sz w:val="16"/>
          <w:szCs w:val="16"/>
        </w:rPr>
        <w:t xml:space="preserve"> mayoría de las series económicas se ven afectadas por factores estacionales</w:t>
      </w:r>
      <w:r>
        <w:rPr>
          <w:rFonts w:ascii="Arial" w:hAnsi="Arial" w:cs="Arial"/>
          <w:sz w:val="16"/>
          <w:szCs w:val="16"/>
        </w:rPr>
        <w:t xml:space="preserve"> y de calendario. El ajuste de las cifras por dichos factores permite obtener las cifras desestacionalizadas, cuyo análisis </w:t>
      </w:r>
      <w:r w:rsidRPr="00C07AE5">
        <w:rPr>
          <w:rFonts w:ascii="Arial" w:hAnsi="Arial" w:cs="Arial"/>
          <w:sz w:val="16"/>
          <w:szCs w:val="16"/>
        </w:rPr>
        <w:t>ayuda a realizar un mejor diagnóstico de la evolución de la</w:t>
      </w:r>
      <w:r>
        <w:rPr>
          <w:rFonts w:ascii="Arial" w:hAnsi="Arial" w:cs="Arial"/>
          <w:sz w:val="16"/>
          <w:szCs w:val="16"/>
        </w:rPr>
        <w:t>s</w:t>
      </w:r>
      <w:r w:rsidRPr="00C07AE5">
        <w:rPr>
          <w:rFonts w:ascii="Arial" w:hAnsi="Arial" w:cs="Arial"/>
          <w:sz w:val="16"/>
          <w:szCs w:val="16"/>
        </w:rPr>
        <w:t xml:space="preserve"> </w:t>
      </w:r>
      <w:r>
        <w:rPr>
          <w:rFonts w:ascii="Arial" w:hAnsi="Arial" w:cs="Arial"/>
          <w:sz w:val="16"/>
          <w:szCs w:val="16"/>
        </w:rPr>
        <w:t>variables.</w:t>
      </w:r>
    </w:p>
  </w:footnote>
  <w:footnote w:id="4">
    <w:p w14:paraId="49C82661" w14:textId="77777777" w:rsidR="001076F8" w:rsidRPr="00EB1998" w:rsidRDefault="001076F8" w:rsidP="001076F8">
      <w:pPr>
        <w:pStyle w:val="Textonotapie"/>
        <w:ind w:left="142"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Año base 2013</w:t>
      </w:r>
      <w:r w:rsidRPr="00EB1998">
        <w:rPr>
          <w:rFonts w:ascii="Arial" w:hAnsi="Arial" w:cs="Arial"/>
          <w:sz w:val="16"/>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649F3" w14:textId="0DD0D290" w:rsidR="005C7D88" w:rsidRPr="004867B7" w:rsidRDefault="005C7D88" w:rsidP="009C569C">
    <w:pPr>
      <w:pStyle w:val="Encabezado"/>
      <w:framePr w:w="5383" w:hSpace="141" w:vSpace="141" w:wrap="auto" w:vAnchor="page" w:hAnchor="page" w:x="5890" w:y="331"/>
      <w:ind w:left="567" w:hanging="11"/>
      <w:jc w:val="right"/>
      <w:rPr>
        <w:b/>
        <w:color w:val="002060"/>
        <w:szCs w:val="24"/>
      </w:rPr>
    </w:pPr>
    <w:r w:rsidRPr="004867B7">
      <w:rPr>
        <w:b/>
        <w:color w:val="002060"/>
        <w:szCs w:val="24"/>
      </w:rPr>
      <w:t xml:space="preserve">COMUNICADO DE PRENSA NÚM. </w:t>
    </w:r>
    <w:r w:rsidR="00F86818">
      <w:rPr>
        <w:b/>
        <w:color w:val="002060"/>
        <w:szCs w:val="24"/>
      </w:rPr>
      <w:t>435</w:t>
    </w:r>
    <w:r w:rsidRPr="004867B7">
      <w:rPr>
        <w:b/>
        <w:color w:val="002060"/>
        <w:szCs w:val="24"/>
      </w:rPr>
      <w:t>/</w:t>
    </w:r>
    <w:r>
      <w:rPr>
        <w:b/>
        <w:color w:val="002060"/>
        <w:szCs w:val="24"/>
      </w:rPr>
      <w:t>21</w:t>
    </w:r>
  </w:p>
  <w:p w14:paraId="1D4FC719" w14:textId="77777777" w:rsidR="005C7D88" w:rsidRPr="004867B7" w:rsidRDefault="005C7D88" w:rsidP="009C569C">
    <w:pPr>
      <w:pStyle w:val="Encabezado"/>
      <w:framePr w:w="5383" w:hSpace="141" w:vSpace="141" w:wrap="auto" w:vAnchor="page" w:hAnchor="page" w:x="5890" w:y="331"/>
      <w:ind w:left="567" w:hanging="11"/>
      <w:jc w:val="right"/>
      <w:rPr>
        <w:b/>
        <w:color w:val="002060"/>
        <w:szCs w:val="24"/>
        <w:lang w:val="pt-BR"/>
      </w:rPr>
    </w:pPr>
    <w:r>
      <w:rPr>
        <w:b/>
        <w:color w:val="002060"/>
        <w:szCs w:val="24"/>
        <w:lang w:val="pt-BR"/>
      </w:rPr>
      <w:t>30</w:t>
    </w:r>
    <w:r w:rsidRPr="004867B7">
      <w:rPr>
        <w:b/>
        <w:color w:val="002060"/>
        <w:szCs w:val="24"/>
        <w:lang w:val="pt-BR"/>
      </w:rPr>
      <w:t xml:space="preserve"> DE </w:t>
    </w:r>
    <w:r>
      <w:rPr>
        <w:b/>
        <w:color w:val="002060"/>
        <w:szCs w:val="24"/>
        <w:lang w:val="pt-BR"/>
      </w:rPr>
      <w:t xml:space="preserve">JULIO </w:t>
    </w:r>
    <w:r w:rsidRPr="004867B7">
      <w:rPr>
        <w:b/>
        <w:color w:val="002060"/>
        <w:szCs w:val="24"/>
        <w:lang w:val="pt-BR"/>
      </w:rPr>
      <w:t>DE 20</w:t>
    </w:r>
    <w:r>
      <w:rPr>
        <w:b/>
        <w:color w:val="002060"/>
        <w:szCs w:val="24"/>
        <w:lang w:val="pt-BR"/>
      </w:rPr>
      <w:t>21</w:t>
    </w:r>
  </w:p>
  <w:p w14:paraId="1895B911" w14:textId="77777777" w:rsidR="005C7D88" w:rsidRPr="004867B7" w:rsidRDefault="005C7D88" w:rsidP="009C569C">
    <w:pPr>
      <w:pStyle w:val="Encabezado"/>
      <w:framePr w:w="5383" w:hSpace="141" w:vSpace="141" w:wrap="auto" w:vAnchor="page" w:hAnchor="page" w:x="5890" w:y="331"/>
      <w:ind w:left="567" w:hanging="11"/>
      <w:jc w:val="right"/>
      <w:rPr>
        <w:b/>
        <w:color w:val="002060"/>
        <w:szCs w:val="24"/>
        <w:lang w:val="pt-BR"/>
      </w:rPr>
    </w:pPr>
    <w:r w:rsidRPr="004867B7">
      <w:rPr>
        <w:b/>
        <w:color w:val="002060"/>
        <w:szCs w:val="24"/>
        <w:lang w:val="pt-BR"/>
      </w:rPr>
      <w:t xml:space="preserve">PÁGINA </w:t>
    </w:r>
    <w:r w:rsidRPr="004867B7">
      <w:rPr>
        <w:b/>
        <w:color w:val="002060"/>
        <w:szCs w:val="24"/>
      </w:rPr>
      <w:fldChar w:fldCharType="begin"/>
    </w:r>
    <w:r w:rsidRPr="004867B7">
      <w:rPr>
        <w:b/>
        <w:color w:val="002060"/>
        <w:szCs w:val="24"/>
        <w:lang w:val="pt-BR"/>
      </w:rPr>
      <w:instrText xml:space="preserve">\PAGE </w:instrText>
    </w:r>
    <w:r w:rsidRPr="004867B7">
      <w:rPr>
        <w:color w:val="002060"/>
        <w:szCs w:val="24"/>
      </w:rPr>
      <w:fldChar w:fldCharType="separate"/>
    </w:r>
    <w:r w:rsidRPr="004867B7">
      <w:rPr>
        <w:b/>
        <w:noProof/>
        <w:color w:val="002060"/>
        <w:szCs w:val="24"/>
        <w:lang w:val="pt-BR"/>
      </w:rPr>
      <w:t>2</w:t>
    </w:r>
    <w:r w:rsidRPr="004867B7">
      <w:rPr>
        <w:color w:val="002060"/>
        <w:szCs w:val="24"/>
      </w:rPr>
      <w:fldChar w:fldCharType="end"/>
    </w:r>
    <w:r w:rsidRPr="004867B7">
      <w:rPr>
        <w:b/>
        <w:color w:val="002060"/>
        <w:szCs w:val="24"/>
        <w:lang w:val="pt-BR"/>
      </w:rPr>
      <w:t>/2</w:t>
    </w:r>
  </w:p>
  <w:p w14:paraId="42E97061" w14:textId="77777777" w:rsidR="005C7D88" w:rsidRPr="00E0416A" w:rsidRDefault="005C7D88" w:rsidP="009C569C">
    <w:pPr>
      <w:pStyle w:val="Encabezado"/>
      <w:framePr w:w="5383" w:hSpace="141" w:vSpace="141" w:wrap="auto" w:vAnchor="page" w:hAnchor="page" w:x="5890" w:y="331"/>
      <w:spacing w:after="120"/>
      <w:ind w:left="567" w:hanging="11"/>
      <w:jc w:val="right"/>
      <w:rPr>
        <w:b/>
        <w:szCs w:val="24"/>
      </w:rPr>
    </w:pPr>
  </w:p>
  <w:p w14:paraId="108923B7" w14:textId="77777777" w:rsidR="005C7D88" w:rsidRPr="00040E4E" w:rsidRDefault="005C7D88" w:rsidP="009C569C">
    <w:pPr>
      <w:pStyle w:val="Encabezado"/>
      <w:framePr w:w="5383" w:hSpace="141" w:vSpace="141" w:wrap="auto" w:vAnchor="page" w:hAnchor="page" w:x="5890" w:y="331"/>
      <w:ind w:left="567" w:hanging="11"/>
      <w:rPr>
        <w:b/>
        <w:lang w:val="pt-BR"/>
      </w:rPr>
    </w:pPr>
  </w:p>
  <w:p w14:paraId="782BDB39" w14:textId="77777777" w:rsidR="005C7D88" w:rsidRDefault="005C7D88" w:rsidP="00D658D4">
    <w:pPr>
      <w:pStyle w:val="Encabezado"/>
      <w:tabs>
        <w:tab w:val="center" w:pos="4164"/>
        <w:tab w:val="center" w:pos="4537"/>
        <w:tab w:val="left" w:pos="7410"/>
      </w:tabs>
      <w:rPr>
        <w:b/>
        <w:color w:val="000000"/>
        <w:spacing w:val="5"/>
      </w:rPr>
    </w:pPr>
    <w:r>
      <w:rPr>
        <w:noProof/>
      </w:rPr>
      <w:drawing>
        <wp:inline distT="0" distB="0" distL="0" distR="0" wp14:anchorId="18D1BDA5" wp14:editId="08C4391E">
          <wp:extent cx="807892" cy="83918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163" cy="86751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5506" w14:textId="1EF2CA30" w:rsidR="00271F6D" w:rsidRDefault="00271F6D" w:rsidP="005C7D88">
    <w:pPr>
      <w:pStyle w:val="Encabezado"/>
      <w:jc w:val="center"/>
    </w:pPr>
    <w:r>
      <w:rPr>
        <w:noProof/>
        <w:lang w:val="es-MX" w:eastAsia="es-MX"/>
      </w:rPr>
      <w:drawing>
        <wp:inline distT="0" distB="0" distL="0" distR="0" wp14:anchorId="31CE9B4A" wp14:editId="5E284411">
          <wp:extent cx="928800" cy="964800"/>
          <wp:effectExtent l="0" t="0" r="5080" b="6985"/>
          <wp:docPr id="13" name="Imagen 1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F6154"/>
    <w:multiLevelType w:val="hybridMultilevel"/>
    <w:tmpl w:val="F8C2B67C"/>
    <w:lvl w:ilvl="0" w:tplc="0C0A000F">
      <w:start w:val="1"/>
      <w:numFmt w:val="decimal"/>
      <w:lvlText w:val="%1."/>
      <w:lvlJc w:val="left"/>
      <w:pPr>
        <w:tabs>
          <w:tab w:val="num" w:pos="1723"/>
        </w:tabs>
        <w:ind w:left="1723" w:hanging="360"/>
      </w:pPr>
      <w:rPr>
        <w:rFonts w:hint="default"/>
      </w:rPr>
    </w:lvl>
    <w:lvl w:ilvl="1" w:tplc="EE9A14EA" w:tentative="1">
      <w:start w:val="1"/>
      <w:numFmt w:val="bullet"/>
      <w:lvlText w:val="o"/>
      <w:lvlJc w:val="left"/>
      <w:pPr>
        <w:tabs>
          <w:tab w:val="num" w:pos="2443"/>
        </w:tabs>
        <w:ind w:left="2443" w:hanging="360"/>
      </w:pPr>
      <w:rPr>
        <w:rFonts w:ascii="Courier New" w:hAnsi="Courier New" w:hint="default"/>
      </w:rPr>
    </w:lvl>
    <w:lvl w:ilvl="2" w:tplc="9E268D0A" w:tentative="1">
      <w:start w:val="1"/>
      <w:numFmt w:val="bullet"/>
      <w:lvlText w:val=""/>
      <w:lvlJc w:val="left"/>
      <w:pPr>
        <w:tabs>
          <w:tab w:val="num" w:pos="3163"/>
        </w:tabs>
        <w:ind w:left="3163" w:hanging="360"/>
      </w:pPr>
      <w:rPr>
        <w:rFonts w:ascii="Wingdings" w:hAnsi="Wingdings" w:hint="default"/>
      </w:rPr>
    </w:lvl>
    <w:lvl w:ilvl="3" w:tplc="370071DA" w:tentative="1">
      <w:start w:val="1"/>
      <w:numFmt w:val="bullet"/>
      <w:lvlText w:val=""/>
      <w:lvlJc w:val="left"/>
      <w:pPr>
        <w:tabs>
          <w:tab w:val="num" w:pos="3883"/>
        </w:tabs>
        <w:ind w:left="3883" w:hanging="360"/>
      </w:pPr>
      <w:rPr>
        <w:rFonts w:ascii="Symbol" w:hAnsi="Symbol" w:hint="default"/>
      </w:rPr>
    </w:lvl>
    <w:lvl w:ilvl="4" w:tplc="10CA57F8" w:tentative="1">
      <w:start w:val="1"/>
      <w:numFmt w:val="bullet"/>
      <w:lvlText w:val="o"/>
      <w:lvlJc w:val="left"/>
      <w:pPr>
        <w:tabs>
          <w:tab w:val="num" w:pos="4603"/>
        </w:tabs>
        <w:ind w:left="4603" w:hanging="360"/>
      </w:pPr>
      <w:rPr>
        <w:rFonts w:ascii="Courier New" w:hAnsi="Courier New" w:hint="default"/>
      </w:rPr>
    </w:lvl>
    <w:lvl w:ilvl="5" w:tplc="265CFD90" w:tentative="1">
      <w:start w:val="1"/>
      <w:numFmt w:val="bullet"/>
      <w:lvlText w:val=""/>
      <w:lvlJc w:val="left"/>
      <w:pPr>
        <w:tabs>
          <w:tab w:val="num" w:pos="5323"/>
        </w:tabs>
        <w:ind w:left="5323" w:hanging="360"/>
      </w:pPr>
      <w:rPr>
        <w:rFonts w:ascii="Wingdings" w:hAnsi="Wingdings" w:hint="default"/>
      </w:rPr>
    </w:lvl>
    <w:lvl w:ilvl="6" w:tplc="329CE5B0" w:tentative="1">
      <w:start w:val="1"/>
      <w:numFmt w:val="bullet"/>
      <w:lvlText w:val=""/>
      <w:lvlJc w:val="left"/>
      <w:pPr>
        <w:tabs>
          <w:tab w:val="num" w:pos="6043"/>
        </w:tabs>
        <w:ind w:left="6043" w:hanging="360"/>
      </w:pPr>
      <w:rPr>
        <w:rFonts w:ascii="Symbol" w:hAnsi="Symbol" w:hint="default"/>
      </w:rPr>
    </w:lvl>
    <w:lvl w:ilvl="7" w:tplc="55307596" w:tentative="1">
      <w:start w:val="1"/>
      <w:numFmt w:val="bullet"/>
      <w:lvlText w:val="o"/>
      <w:lvlJc w:val="left"/>
      <w:pPr>
        <w:tabs>
          <w:tab w:val="num" w:pos="6763"/>
        </w:tabs>
        <w:ind w:left="6763" w:hanging="360"/>
      </w:pPr>
      <w:rPr>
        <w:rFonts w:ascii="Courier New" w:hAnsi="Courier New" w:hint="default"/>
      </w:rPr>
    </w:lvl>
    <w:lvl w:ilvl="8" w:tplc="90BC1C8A" w:tentative="1">
      <w:start w:val="1"/>
      <w:numFmt w:val="bullet"/>
      <w:lvlText w:val=""/>
      <w:lvlJc w:val="left"/>
      <w:pPr>
        <w:tabs>
          <w:tab w:val="num" w:pos="7483"/>
        </w:tabs>
        <w:ind w:left="7483" w:hanging="360"/>
      </w:pPr>
      <w:rPr>
        <w:rFonts w:ascii="Wingdings" w:hAnsi="Wingdings" w:hint="default"/>
      </w:rPr>
    </w:lvl>
  </w:abstractNum>
  <w:abstractNum w:abstractNumId="2" w15:restartNumberingAfterBreak="0">
    <w:nsid w:val="032E1C26"/>
    <w:multiLevelType w:val="hybridMultilevel"/>
    <w:tmpl w:val="135E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53D73"/>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4" w15:restartNumberingAfterBreak="0">
    <w:nsid w:val="0CEB3457"/>
    <w:multiLevelType w:val="singleLevel"/>
    <w:tmpl w:val="A0EE693E"/>
    <w:lvl w:ilvl="0">
      <w:start w:val="1"/>
      <w:numFmt w:val="bullet"/>
      <w:lvlText w:val=""/>
      <w:lvlJc w:val="left"/>
      <w:pPr>
        <w:tabs>
          <w:tab w:val="num" w:pos="425"/>
        </w:tabs>
        <w:ind w:left="425" w:hanging="425"/>
      </w:pPr>
      <w:rPr>
        <w:rFonts w:ascii="Symbol" w:hAnsi="Symbol" w:hint="default"/>
        <w:sz w:val="30"/>
      </w:rPr>
    </w:lvl>
  </w:abstractNum>
  <w:abstractNum w:abstractNumId="5" w15:restartNumberingAfterBreak="0">
    <w:nsid w:val="0EA577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51F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EE5E2F"/>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8" w15:restartNumberingAfterBreak="0">
    <w:nsid w:val="14DD10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A2C5D"/>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0" w15:restartNumberingAfterBreak="0">
    <w:nsid w:val="19C67F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AF561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AF5E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743E34"/>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4" w15:restartNumberingAfterBreak="0">
    <w:nsid w:val="382931C1"/>
    <w:multiLevelType w:val="hybridMultilevel"/>
    <w:tmpl w:val="D04C7B3A"/>
    <w:lvl w:ilvl="0" w:tplc="9F307A02">
      <w:start w:val="1"/>
      <w:numFmt w:val="bullet"/>
      <w:lvlText w:val=""/>
      <w:lvlJc w:val="left"/>
      <w:pPr>
        <w:tabs>
          <w:tab w:val="num" w:pos="1723"/>
        </w:tabs>
        <w:ind w:left="1723" w:hanging="360"/>
      </w:pPr>
      <w:rPr>
        <w:rFonts w:ascii="Symbol" w:hAnsi="Symbol" w:hint="default"/>
      </w:rPr>
    </w:lvl>
    <w:lvl w:ilvl="1" w:tplc="3EC69A4A" w:tentative="1">
      <w:start w:val="1"/>
      <w:numFmt w:val="bullet"/>
      <w:lvlText w:val="o"/>
      <w:lvlJc w:val="left"/>
      <w:pPr>
        <w:tabs>
          <w:tab w:val="num" w:pos="2443"/>
        </w:tabs>
        <w:ind w:left="2443" w:hanging="360"/>
      </w:pPr>
      <w:rPr>
        <w:rFonts w:ascii="Courier New" w:hAnsi="Courier New" w:hint="default"/>
      </w:rPr>
    </w:lvl>
    <w:lvl w:ilvl="2" w:tplc="96084CCA" w:tentative="1">
      <w:start w:val="1"/>
      <w:numFmt w:val="bullet"/>
      <w:lvlText w:val=""/>
      <w:lvlJc w:val="left"/>
      <w:pPr>
        <w:tabs>
          <w:tab w:val="num" w:pos="3163"/>
        </w:tabs>
        <w:ind w:left="3163" w:hanging="360"/>
      </w:pPr>
      <w:rPr>
        <w:rFonts w:ascii="Wingdings" w:hAnsi="Wingdings" w:hint="default"/>
      </w:rPr>
    </w:lvl>
    <w:lvl w:ilvl="3" w:tplc="5D2CBF9A" w:tentative="1">
      <w:start w:val="1"/>
      <w:numFmt w:val="bullet"/>
      <w:lvlText w:val=""/>
      <w:lvlJc w:val="left"/>
      <w:pPr>
        <w:tabs>
          <w:tab w:val="num" w:pos="3883"/>
        </w:tabs>
        <w:ind w:left="3883" w:hanging="360"/>
      </w:pPr>
      <w:rPr>
        <w:rFonts w:ascii="Symbol" w:hAnsi="Symbol" w:hint="default"/>
      </w:rPr>
    </w:lvl>
    <w:lvl w:ilvl="4" w:tplc="08F64AC0" w:tentative="1">
      <w:start w:val="1"/>
      <w:numFmt w:val="bullet"/>
      <w:lvlText w:val="o"/>
      <w:lvlJc w:val="left"/>
      <w:pPr>
        <w:tabs>
          <w:tab w:val="num" w:pos="4603"/>
        </w:tabs>
        <w:ind w:left="4603" w:hanging="360"/>
      </w:pPr>
      <w:rPr>
        <w:rFonts w:ascii="Courier New" w:hAnsi="Courier New" w:hint="default"/>
      </w:rPr>
    </w:lvl>
    <w:lvl w:ilvl="5" w:tplc="0D607026" w:tentative="1">
      <w:start w:val="1"/>
      <w:numFmt w:val="bullet"/>
      <w:lvlText w:val=""/>
      <w:lvlJc w:val="left"/>
      <w:pPr>
        <w:tabs>
          <w:tab w:val="num" w:pos="5323"/>
        </w:tabs>
        <w:ind w:left="5323" w:hanging="360"/>
      </w:pPr>
      <w:rPr>
        <w:rFonts w:ascii="Wingdings" w:hAnsi="Wingdings" w:hint="default"/>
      </w:rPr>
    </w:lvl>
    <w:lvl w:ilvl="6" w:tplc="C45EBF0E" w:tentative="1">
      <w:start w:val="1"/>
      <w:numFmt w:val="bullet"/>
      <w:lvlText w:val=""/>
      <w:lvlJc w:val="left"/>
      <w:pPr>
        <w:tabs>
          <w:tab w:val="num" w:pos="6043"/>
        </w:tabs>
        <w:ind w:left="6043" w:hanging="360"/>
      </w:pPr>
      <w:rPr>
        <w:rFonts w:ascii="Symbol" w:hAnsi="Symbol" w:hint="default"/>
      </w:rPr>
    </w:lvl>
    <w:lvl w:ilvl="7" w:tplc="0D24A3FE" w:tentative="1">
      <w:start w:val="1"/>
      <w:numFmt w:val="bullet"/>
      <w:lvlText w:val="o"/>
      <w:lvlJc w:val="left"/>
      <w:pPr>
        <w:tabs>
          <w:tab w:val="num" w:pos="6763"/>
        </w:tabs>
        <w:ind w:left="6763" w:hanging="360"/>
      </w:pPr>
      <w:rPr>
        <w:rFonts w:ascii="Courier New" w:hAnsi="Courier New" w:hint="default"/>
      </w:rPr>
    </w:lvl>
    <w:lvl w:ilvl="8" w:tplc="D5F828E4" w:tentative="1">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4FF23182"/>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6"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17" w15:restartNumberingAfterBreak="0">
    <w:nsid w:val="6DAE7813"/>
    <w:multiLevelType w:val="hybridMultilevel"/>
    <w:tmpl w:val="9CC4BB0A"/>
    <w:lvl w:ilvl="0" w:tplc="080A0001">
      <w:start w:val="1"/>
      <w:numFmt w:val="bullet"/>
      <w:lvlText w:val=""/>
      <w:lvlJc w:val="left"/>
      <w:pPr>
        <w:ind w:left="2443" w:hanging="360"/>
      </w:pPr>
      <w:rPr>
        <w:rFonts w:ascii="Symbol" w:hAnsi="Symbol" w:hint="default"/>
      </w:rPr>
    </w:lvl>
    <w:lvl w:ilvl="1" w:tplc="080A0003" w:tentative="1">
      <w:start w:val="1"/>
      <w:numFmt w:val="bullet"/>
      <w:lvlText w:val="o"/>
      <w:lvlJc w:val="left"/>
      <w:pPr>
        <w:ind w:left="3163" w:hanging="360"/>
      </w:pPr>
      <w:rPr>
        <w:rFonts w:ascii="Courier New" w:hAnsi="Courier New" w:cs="Courier New" w:hint="default"/>
      </w:rPr>
    </w:lvl>
    <w:lvl w:ilvl="2" w:tplc="080A0005" w:tentative="1">
      <w:start w:val="1"/>
      <w:numFmt w:val="bullet"/>
      <w:lvlText w:val=""/>
      <w:lvlJc w:val="left"/>
      <w:pPr>
        <w:ind w:left="3883" w:hanging="360"/>
      </w:pPr>
      <w:rPr>
        <w:rFonts w:ascii="Wingdings" w:hAnsi="Wingdings" w:hint="default"/>
      </w:rPr>
    </w:lvl>
    <w:lvl w:ilvl="3" w:tplc="080A0001" w:tentative="1">
      <w:start w:val="1"/>
      <w:numFmt w:val="bullet"/>
      <w:lvlText w:val=""/>
      <w:lvlJc w:val="left"/>
      <w:pPr>
        <w:ind w:left="4603" w:hanging="360"/>
      </w:pPr>
      <w:rPr>
        <w:rFonts w:ascii="Symbol" w:hAnsi="Symbol" w:hint="default"/>
      </w:rPr>
    </w:lvl>
    <w:lvl w:ilvl="4" w:tplc="080A0003" w:tentative="1">
      <w:start w:val="1"/>
      <w:numFmt w:val="bullet"/>
      <w:lvlText w:val="o"/>
      <w:lvlJc w:val="left"/>
      <w:pPr>
        <w:ind w:left="5323" w:hanging="360"/>
      </w:pPr>
      <w:rPr>
        <w:rFonts w:ascii="Courier New" w:hAnsi="Courier New" w:cs="Courier New" w:hint="default"/>
      </w:rPr>
    </w:lvl>
    <w:lvl w:ilvl="5" w:tplc="080A0005" w:tentative="1">
      <w:start w:val="1"/>
      <w:numFmt w:val="bullet"/>
      <w:lvlText w:val=""/>
      <w:lvlJc w:val="left"/>
      <w:pPr>
        <w:ind w:left="6043" w:hanging="360"/>
      </w:pPr>
      <w:rPr>
        <w:rFonts w:ascii="Wingdings" w:hAnsi="Wingdings" w:hint="default"/>
      </w:rPr>
    </w:lvl>
    <w:lvl w:ilvl="6" w:tplc="080A0001" w:tentative="1">
      <w:start w:val="1"/>
      <w:numFmt w:val="bullet"/>
      <w:lvlText w:val=""/>
      <w:lvlJc w:val="left"/>
      <w:pPr>
        <w:ind w:left="6763" w:hanging="360"/>
      </w:pPr>
      <w:rPr>
        <w:rFonts w:ascii="Symbol" w:hAnsi="Symbol" w:hint="default"/>
      </w:rPr>
    </w:lvl>
    <w:lvl w:ilvl="7" w:tplc="080A0003" w:tentative="1">
      <w:start w:val="1"/>
      <w:numFmt w:val="bullet"/>
      <w:lvlText w:val="o"/>
      <w:lvlJc w:val="left"/>
      <w:pPr>
        <w:ind w:left="7483" w:hanging="360"/>
      </w:pPr>
      <w:rPr>
        <w:rFonts w:ascii="Courier New" w:hAnsi="Courier New" w:cs="Courier New" w:hint="default"/>
      </w:rPr>
    </w:lvl>
    <w:lvl w:ilvl="8" w:tplc="080A0005" w:tentative="1">
      <w:start w:val="1"/>
      <w:numFmt w:val="bullet"/>
      <w:lvlText w:val=""/>
      <w:lvlJc w:val="left"/>
      <w:pPr>
        <w:ind w:left="8203" w:hanging="360"/>
      </w:pPr>
      <w:rPr>
        <w:rFonts w:ascii="Wingdings" w:hAnsi="Wingdings" w:hint="default"/>
      </w:rPr>
    </w:lvl>
  </w:abstractNum>
  <w:abstractNum w:abstractNumId="18" w15:restartNumberingAfterBreak="0">
    <w:nsid w:val="767C5387"/>
    <w:multiLevelType w:val="hybridMultilevel"/>
    <w:tmpl w:val="59A0C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874566"/>
    <w:multiLevelType w:val="hybridMultilevel"/>
    <w:tmpl w:val="5600A2FA"/>
    <w:lvl w:ilvl="0" w:tplc="080A0001">
      <w:start w:val="1"/>
      <w:numFmt w:val="bullet"/>
      <w:lvlText w:val=""/>
      <w:lvlJc w:val="left"/>
      <w:pPr>
        <w:ind w:left="2083" w:hanging="360"/>
      </w:pPr>
      <w:rPr>
        <w:rFonts w:ascii="Symbol" w:hAnsi="Symbol" w:hint="default"/>
      </w:rPr>
    </w:lvl>
    <w:lvl w:ilvl="1" w:tplc="080A0003" w:tentative="1">
      <w:start w:val="1"/>
      <w:numFmt w:val="bullet"/>
      <w:lvlText w:val="o"/>
      <w:lvlJc w:val="left"/>
      <w:pPr>
        <w:ind w:left="2803" w:hanging="360"/>
      </w:pPr>
      <w:rPr>
        <w:rFonts w:ascii="Courier New" w:hAnsi="Courier New" w:cs="Courier New" w:hint="default"/>
      </w:rPr>
    </w:lvl>
    <w:lvl w:ilvl="2" w:tplc="080A0005" w:tentative="1">
      <w:start w:val="1"/>
      <w:numFmt w:val="bullet"/>
      <w:lvlText w:val=""/>
      <w:lvlJc w:val="left"/>
      <w:pPr>
        <w:ind w:left="3523" w:hanging="360"/>
      </w:pPr>
      <w:rPr>
        <w:rFonts w:ascii="Wingdings" w:hAnsi="Wingdings" w:hint="default"/>
      </w:rPr>
    </w:lvl>
    <w:lvl w:ilvl="3" w:tplc="080A0001" w:tentative="1">
      <w:start w:val="1"/>
      <w:numFmt w:val="bullet"/>
      <w:lvlText w:val=""/>
      <w:lvlJc w:val="left"/>
      <w:pPr>
        <w:ind w:left="4243" w:hanging="360"/>
      </w:pPr>
      <w:rPr>
        <w:rFonts w:ascii="Symbol" w:hAnsi="Symbol" w:hint="default"/>
      </w:rPr>
    </w:lvl>
    <w:lvl w:ilvl="4" w:tplc="080A0003" w:tentative="1">
      <w:start w:val="1"/>
      <w:numFmt w:val="bullet"/>
      <w:lvlText w:val="o"/>
      <w:lvlJc w:val="left"/>
      <w:pPr>
        <w:ind w:left="4963" w:hanging="360"/>
      </w:pPr>
      <w:rPr>
        <w:rFonts w:ascii="Courier New" w:hAnsi="Courier New" w:cs="Courier New" w:hint="default"/>
      </w:rPr>
    </w:lvl>
    <w:lvl w:ilvl="5" w:tplc="080A0005" w:tentative="1">
      <w:start w:val="1"/>
      <w:numFmt w:val="bullet"/>
      <w:lvlText w:val=""/>
      <w:lvlJc w:val="left"/>
      <w:pPr>
        <w:ind w:left="5683" w:hanging="360"/>
      </w:pPr>
      <w:rPr>
        <w:rFonts w:ascii="Wingdings" w:hAnsi="Wingdings" w:hint="default"/>
      </w:rPr>
    </w:lvl>
    <w:lvl w:ilvl="6" w:tplc="080A0001" w:tentative="1">
      <w:start w:val="1"/>
      <w:numFmt w:val="bullet"/>
      <w:lvlText w:val=""/>
      <w:lvlJc w:val="left"/>
      <w:pPr>
        <w:ind w:left="6403" w:hanging="360"/>
      </w:pPr>
      <w:rPr>
        <w:rFonts w:ascii="Symbol" w:hAnsi="Symbol" w:hint="default"/>
      </w:rPr>
    </w:lvl>
    <w:lvl w:ilvl="7" w:tplc="080A0003" w:tentative="1">
      <w:start w:val="1"/>
      <w:numFmt w:val="bullet"/>
      <w:lvlText w:val="o"/>
      <w:lvlJc w:val="left"/>
      <w:pPr>
        <w:ind w:left="7123" w:hanging="360"/>
      </w:pPr>
      <w:rPr>
        <w:rFonts w:ascii="Courier New" w:hAnsi="Courier New" w:cs="Courier New" w:hint="default"/>
      </w:rPr>
    </w:lvl>
    <w:lvl w:ilvl="8" w:tplc="080A0005" w:tentative="1">
      <w:start w:val="1"/>
      <w:numFmt w:val="bullet"/>
      <w:lvlText w:val=""/>
      <w:lvlJc w:val="left"/>
      <w:pPr>
        <w:ind w:left="7843" w:hanging="360"/>
      </w:pPr>
      <w:rPr>
        <w:rFonts w:ascii="Wingdings" w:hAnsi="Wingdings" w:hint="default"/>
      </w:rPr>
    </w:lvl>
  </w:abstractNum>
  <w:abstractNum w:abstractNumId="20" w15:restartNumberingAfterBreak="0">
    <w:nsid w:val="7949275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
  </w:num>
  <w:num w:numId="3">
    <w:abstractNumId w:val="11"/>
  </w:num>
  <w:num w:numId="4">
    <w:abstractNumId w:val="15"/>
  </w:num>
  <w:num w:numId="5">
    <w:abstractNumId w:val="7"/>
  </w:num>
  <w:num w:numId="6">
    <w:abstractNumId w:val="3"/>
  </w:num>
  <w:num w:numId="7">
    <w:abstractNumId w:val="9"/>
  </w:num>
  <w:num w:numId="8">
    <w:abstractNumId w:val="13"/>
  </w:num>
  <w:num w:numId="9">
    <w:abstractNumId w:val="5"/>
  </w:num>
  <w:num w:numId="10">
    <w:abstractNumId w:val="8"/>
  </w:num>
  <w:num w:numId="11">
    <w:abstractNumId w:val="20"/>
  </w:num>
  <w:num w:numId="12">
    <w:abstractNumId w:val="6"/>
  </w:num>
  <w:num w:numId="13">
    <w:abstractNumId w:val="12"/>
  </w:num>
  <w:num w:numId="14">
    <w:abstractNumId w:val="14"/>
  </w:num>
  <w:num w:numId="15">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16">
    <w:abstractNumId w:val="1"/>
  </w:num>
  <w:num w:numId="17">
    <w:abstractNumId w:val="17"/>
  </w:num>
  <w:num w:numId="18">
    <w:abstractNumId w:val="2"/>
  </w:num>
  <w:num w:numId="19">
    <w:abstractNumId w:val="16"/>
  </w:num>
  <w:num w:numId="20">
    <w:abstractNumId w:val="16"/>
  </w:num>
  <w:num w:numId="21">
    <w:abstractNumId w:val="16"/>
  </w:num>
  <w:num w:numId="22">
    <w:abstractNumId w:val="16"/>
  </w:num>
  <w:num w:numId="2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24">
    <w:abstractNumId w:val="16"/>
  </w:num>
  <w:num w:numId="25">
    <w:abstractNumId w:val="16"/>
  </w:num>
  <w:num w:numId="26">
    <w:abstractNumId w:val="16"/>
  </w:num>
  <w:num w:numId="27">
    <w:abstractNumId w:val="16"/>
  </w:num>
  <w:num w:numId="28">
    <w:abstractNumId w:val="18"/>
  </w:num>
  <w:num w:numId="29">
    <w:abstractNumId w:val="19"/>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32"/>
    <w:rsid w:val="0000095D"/>
    <w:rsid w:val="00000B43"/>
    <w:rsid w:val="00000B7F"/>
    <w:rsid w:val="0000273F"/>
    <w:rsid w:val="00002743"/>
    <w:rsid w:val="00002C85"/>
    <w:rsid w:val="000031B0"/>
    <w:rsid w:val="00004215"/>
    <w:rsid w:val="000042EF"/>
    <w:rsid w:val="00004A7D"/>
    <w:rsid w:val="00004E4C"/>
    <w:rsid w:val="00006462"/>
    <w:rsid w:val="00006881"/>
    <w:rsid w:val="00006D11"/>
    <w:rsid w:val="00007BFF"/>
    <w:rsid w:val="0001024B"/>
    <w:rsid w:val="00010A17"/>
    <w:rsid w:val="00010E74"/>
    <w:rsid w:val="00011964"/>
    <w:rsid w:val="00011D5B"/>
    <w:rsid w:val="00011F1A"/>
    <w:rsid w:val="00012228"/>
    <w:rsid w:val="00014EAF"/>
    <w:rsid w:val="00015BE5"/>
    <w:rsid w:val="00016611"/>
    <w:rsid w:val="00017666"/>
    <w:rsid w:val="00020298"/>
    <w:rsid w:val="0002056D"/>
    <w:rsid w:val="00020A3F"/>
    <w:rsid w:val="00020F4E"/>
    <w:rsid w:val="00021C68"/>
    <w:rsid w:val="00022064"/>
    <w:rsid w:val="00022153"/>
    <w:rsid w:val="00022907"/>
    <w:rsid w:val="00023E91"/>
    <w:rsid w:val="00023F1F"/>
    <w:rsid w:val="000260FB"/>
    <w:rsid w:val="00026733"/>
    <w:rsid w:val="0002692A"/>
    <w:rsid w:val="00031C3F"/>
    <w:rsid w:val="00032184"/>
    <w:rsid w:val="00032383"/>
    <w:rsid w:val="00032439"/>
    <w:rsid w:val="0003385F"/>
    <w:rsid w:val="00035555"/>
    <w:rsid w:val="000355F6"/>
    <w:rsid w:val="00036F4A"/>
    <w:rsid w:val="00036FBF"/>
    <w:rsid w:val="000371B4"/>
    <w:rsid w:val="000378C0"/>
    <w:rsid w:val="00037A49"/>
    <w:rsid w:val="00040160"/>
    <w:rsid w:val="00040A88"/>
    <w:rsid w:val="000417FC"/>
    <w:rsid w:val="000421BC"/>
    <w:rsid w:val="000431DE"/>
    <w:rsid w:val="0004368D"/>
    <w:rsid w:val="00043CA0"/>
    <w:rsid w:val="0004453C"/>
    <w:rsid w:val="0004493F"/>
    <w:rsid w:val="000453DC"/>
    <w:rsid w:val="00045F5B"/>
    <w:rsid w:val="000463BE"/>
    <w:rsid w:val="00046715"/>
    <w:rsid w:val="00046B8A"/>
    <w:rsid w:val="00047C6D"/>
    <w:rsid w:val="00050F12"/>
    <w:rsid w:val="00051AA5"/>
    <w:rsid w:val="00051CEE"/>
    <w:rsid w:val="00053780"/>
    <w:rsid w:val="000538E2"/>
    <w:rsid w:val="00053A68"/>
    <w:rsid w:val="00054FD6"/>
    <w:rsid w:val="0005576F"/>
    <w:rsid w:val="00055E5F"/>
    <w:rsid w:val="00056554"/>
    <w:rsid w:val="00057885"/>
    <w:rsid w:val="00057C43"/>
    <w:rsid w:val="000608A0"/>
    <w:rsid w:val="0006111A"/>
    <w:rsid w:val="00062558"/>
    <w:rsid w:val="00063D1D"/>
    <w:rsid w:val="00064294"/>
    <w:rsid w:val="000646E7"/>
    <w:rsid w:val="0006516A"/>
    <w:rsid w:val="00065DAB"/>
    <w:rsid w:val="00065F7A"/>
    <w:rsid w:val="00066103"/>
    <w:rsid w:val="000665D9"/>
    <w:rsid w:val="00066D7E"/>
    <w:rsid w:val="00066EB6"/>
    <w:rsid w:val="00067BFC"/>
    <w:rsid w:val="00067FF9"/>
    <w:rsid w:val="00070209"/>
    <w:rsid w:val="0007097B"/>
    <w:rsid w:val="000716D7"/>
    <w:rsid w:val="0007442D"/>
    <w:rsid w:val="00075A18"/>
    <w:rsid w:val="000762F8"/>
    <w:rsid w:val="00076D9C"/>
    <w:rsid w:val="000774AA"/>
    <w:rsid w:val="00082002"/>
    <w:rsid w:val="00082918"/>
    <w:rsid w:val="000840A0"/>
    <w:rsid w:val="00084AB2"/>
    <w:rsid w:val="00084FD7"/>
    <w:rsid w:val="00085BD9"/>
    <w:rsid w:val="00085FDB"/>
    <w:rsid w:val="00086740"/>
    <w:rsid w:val="000904E6"/>
    <w:rsid w:val="0009082D"/>
    <w:rsid w:val="00091999"/>
    <w:rsid w:val="00092ACB"/>
    <w:rsid w:val="00092B83"/>
    <w:rsid w:val="00093F8F"/>
    <w:rsid w:val="00094417"/>
    <w:rsid w:val="00094591"/>
    <w:rsid w:val="000945F4"/>
    <w:rsid w:val="0009491E"/>
    <w:rsid w:val="00094C91"/>
    <w:rsid w:val="000957B9"/>
    <w:rsid w:val="00095DC6"/>
    <w:rsid w:val="00095EE6"/>
    <w:rsid w:val="00097371"/>
    <w:rsid w:val="000A01BF"/>
    <w:rsid w:val="000A05A1"/>
    <w:rsid w:val="000A0B27"/>
    <w:rsid w:val="000A0B69"/>
    <w:rsid w:val="000A1174"/>
    <w:rsid w:val="000A1488"/>
    <w:rsid w:val="000A14B3"/>
    <w:rsid w:val="000A1890"/>
    <w:rsid w:val="000A1FFB"/>
    <w:rsid w:val="000A2A4E"/>
    <w:rsid w:val="000A3380"/>
    <w:rsid w:val="000A3A2B"/>
    <w:rsid w:val="000A3F3E"/>
    <w:rsid w:val="000A6470"/>
    <w:rsid w:val="000A65FD"/>
    <w:rsid w:val="000A7204"/>
    <w:rsid w:val="000A79E7"/>
    <w:rsid w:val="000B0CE8"/>
    <w:rsid w:val="000B0EC9"/>
    <w:rsid w:val="000B139D"/>
    <w:rsid w:val="000B16EE"/>
    <w:rsid w:val="000B2120"/>
    <w:rsid w:val="000B3C5B"/>
    <w:rsid w:val="000B5D63"/>
    <w:rsid w:val="000B5E8A"/>
    <w:rsid w:val="000B6736"/>
    <w:rsid w:val="000B6AE5"/>
    <w:rsid w:val="000B7767"/>
    <w:rsid w:val="000B7BED"/>
    <w:rsid w:val="000C02F0"/>
    <w:rsid w:val="000C0467"/>
    <w:rsid w:val="000C0C8A"/>
    <w:rsid w:val="000C117A"/>
    <w:rsid w:val="000C1BE9"/>
    <w:rsid w:val="000C2420"/>
    <w:rsid w:val="000C2684"/>
    <w:rsid w:val="000C3595"/>
    <w:rsid w:val="000C3C44"/>
    <w:rsid w:val="000C4460"/>
    <w:rsid w:val="000C55BE"/>
    <w:rsid w:val="000C5B89"/>
    <w:rsid w:val="000C648E"/>
    <w:rsid w:val="000C66BE"/>
    <w:rsid w:val="000C6E1B"/>
    <w:rsid w:val="000C72D9"/>
    <w:rsid w:val="000C7599"/>
    <w:rsid w:val="000C7999"/>
    <w:rsid w:val="000D08BB"/>
    <w:rsid w:val="000D0CC8"/>
    <w:rsid w:val="000D0E61"/>
    <w:rsid w:val="000D1A8E"/>
    <w:rsid w:val="000D3385"/>
    <w:rsid w:val="000D3BA0"/>
    <w:rsid w:val="000D52A0"/>
    <w:rsid w:val="000D52C1"/>
    <w:rsid w:val="000D53AE"/>
    <w:rsid w:val="000D5529"/>
    <w:rsid w:val="000D598D"/>
    <w:rsid w:val="000D5B24"/>
    <w:rsid w:val="000D6074"/>
    <w:rsid w:val="000D65E2"/>
    <w:rsid w:val="000D689B"/>
    <w:rsid w:val="000E0A62"/>
    <w:rsid w:val="000E0B46"/>
    <w:rsid w:val="000E1443"/>
    <w:rsid w:val="000E2C66"/>
    <w:rsid w:val="000E3A78"/>
    <w:rsid w:val="000E43D5"/>
    <w:rsid w:val="000E47D3"/>
    <w:rsid w:val="000E4CA4"/>
    <w:rsid w:val="000F0896"/>
    <w:rsid w:val="000F09D4"/>
    <w:rsid w:val="000F09F8"/>
    <w:rsid w:val="000F14B9"/>
    <w:rsid w:val="000F1608"/>
    <w:rsid w:val="000F1839"/>
    <w:rsid w:val="000F2966"/>
    <w:rsid w:val="000F345E"/>
    <w:rsid w:val="000F3D4A"/>
    <w:rsid w:val="000F3F47"/>
    <w:rsid w:val="000F4540"/>
    <w:rsid w:val="000F4658"/>
    <w:rsid w:val="000F46A4"/>
    <w:rsid w:val="000F5879"/>
    <w:rsid w:val="000F5E17"/>
    <w:rsid w:val="000F5F3F"/>
    <w:rsid w:val="000F6657"/>
    <w:rsid w:val="000F682F"/>
    <w:rsid w:val="000F68F7"/>
    <w:rsid w:val="000F698B"/>
    <w:rsid w:val="000F79B9"/>
    <w:rsid w:val="000F7B11"/>
    <w:rsid w:val="001003A7"/>
    <w:rsid w:val="00100FC4"/>
    <w:rsid w:val="00101A58"/>
    <w:rsid w:val="00101BCD"/>
    <w:rsid w:val="001034D4"/>
    <w:rsid w:val="001048E4"/>
    <w:rsid w:val="00104C78"/>
    <w:rsid w:val="00104FCA"/>
    <w:rsid w:val="0010664E"/>
    <w:rsid w:val="001073D8"/>
    <w:rsid w:val="001076F8"/>
    <w:rsid w:val="00107921"/>
    <w:rsid w:val="0010797C"/>
    <w:rsid w:val="0011053D"/>
    <w:rsid w:val="00110B27"/>
    <w:rsid w:val="001115F7"/>
    <w:rsid w:val="001117A2"/>
    <w:rsid w:val="001137CE"/>
    <w:rsid w:val="0011434C"/>
    <w:rsid w:val="0011559E"/>
    <w:rsid w:val="001156DE"/>
    <w:rsid w:val="0011585D"/>
    <w:rsid w:val="00115C1E"/>
    <w:rsid w:val="00116918"/>
    <w:rsid w:val="00116947"/>
    <w:rsid w:val="00116D5D"/>
    <w:rsid w:val="00116D8E"/>
    <w:rsid w:val="001173B5"/>
    <w:rsid w:val="00117B09"/>
    <w:rsid w:val="00117C54"/>
    <w:rsid w:val="001222A7"/>
    <w:rsid w:val="0012290F"/>
    <w:rsid w:val="00122D3B"/>
    <w:rsid w:val="00123379"/>
    <w:rsid w:val="001234A8"/>
    <w:rsid w:val="00123B68"/>
    <w:rsid w:val="00123E27"/>
    <w:rsid w:val="00124A7D"/>
    <w:rsid w:val="00125C98"/>
    <w:rsid w:val="00126D65"/>
    <w:rsid w:val="00127101"/>
    <w:rsid w:val="001277D8"/>
    <w:rsid w:val="00131392"/>
    <w:rsid w:val="00131E1A"/>
    <w:rsid w:val="001322B7"/>
    <w:rsid w:val="0013258E"/>
    <w:rsid w:val="00133E3A"/>
    <w:rsid w:val="00133E9C"/>
    <w:rsid w:val="0013459D"/>
    <w:rsid w:val="00135030"/>
    <w:rsid w:val="001352E0"/>
    <w:rsid w:val="00135483"/>
    <w:rsid w:val="0013782A"/>
    <w:rsid w:val="00137E78"/>
    <w:rsid w:val="00140B6C"/>
    <w:rsid w:val="00141DAC"/>
    <w:rsid w:val="00142299"/>
    <w:rsid w:val="00143605"/>
    <w:rsid w:val="00143C27"/>
    <w:rsid w:val="0014557C"/>
    <w:rsid w:val="00145589"/>
    <w:rsid w:val="00145B63"/>
    <w:rsid w:val="00145FD2"/>
    <w:rsid w:val="001463C4"/>
    <w:rsid w:val="0014682B"/>
    <w:rsid w:val="0014693A"/>
    <w:rsid w:val="0014725A"/>
    <w:rsid w:val="00147908"/>
    <w:rsid w:val="00151522"/>
    <w:rsid w:val="001515FD"/>
    <w:rsid w:val="0015270C"/>
    <w:rsid w:val="00152D39"/>
    <w:rsid w:val="00152E6E"/>
    <w:rsid w:val="00153366"/>
    <w:rsid w:val="0015373F"/>
    <w:rsid w:val="00154177"/>
    <w:rsid w:val="00154C05"/>
    <w:rsid w:val="00154C3B"/>
    <w:rsid w:val="00156342"/>
    <w:rsid w:val="00156AAB"/>
    <w:rsid w:val="00156ABA"/>
    <w:rsid w:val="00156DF2"/>
    <w:rsid w:val="00160412"/>
    <w:rsid w:val="001605E8"/>
    <w:rsid w:val="00160FAF"/>
    <w:rsid w:val="0016118C"/>
    <w:rsid w:val="00162FEB"/>
    <w:rsid w:val="00163512"/>
    <w:rsid w:val="00163561"/>
    <w:rsid w:val="00163A8E"/>
    <w:rsid w:val="00163ADE"/>
    <w:rsid w:val="00163B85"/>
    <w:rsid w:val="00163BA6"/>
    <w:rsid w:val="00164DA3"/>
    <w:rsid w:val="00165501"/>
    <w:rsid w:val="001659D7"/>
    <w:rsid w:val="00165E9D"/>
    <w:rsid w:val="0016690F"/>
    <w:rsid w:val="0017122C"/>
    <w:rsid w:val="001727A6"/>
    <w:rsid w:val="00174978"/>
    <w:rsid w:val="0017503B"/>
    <w:rsid w:val="001755B3"/>
    <w:rsid w:val="0017620A"/>
    <w:rsid w:val="00176CA7"/>
    <w:rsid w:val="0017782A"/>
    <w:rsid w:val="00181FA7"/>
    <w:rsid w:val="00182595"/>
    <w:rsid w:val="00182A73"/>
    <w:rsid w:val="00184160"/>
    <w:rsid w:val="0018416A"/>
    <w:rsid w:val="001842C5"/>
    <w:rsid w:val="00184D49"/>
    <w:rsid w:val="001855A5"/>
    <w:rsid w:val="001872D0"/>
    <w:rsid w:val="00190B95"/>
    <w:rsid w:val="00191DEB"/>
    <w:rsid w:val="00193057"/>
    <w:rsid w:val="00193ED8"/>
    <w:rsid w:val="001941AB"/>
    <w:rsid w:val="00194480"/>
    <w:rsid w:val="001951D5"/>
    <w:rsid w:val="001952C4"/>
    <w:rsid w:val="0019532A"/>
    <w:rsid w:val="00195865"/>
    <w:rsid w:val="001959B6"/>
    <w:rsid w:val="00195FEE"/>
    <w:rsid w:val="001960DA"/>
    <w:rsid w:val="00196671"/>
    <w:rsid w:val="001968B9"/>
    <w:rsid w:val="00197417"/>
    <w:rsid w:val="00197630"/>
    <w:rsid w:val="001A0B6A"/>
    <w:rsid w:val="001A1299"/>
    <w:rsid w:val="001A191D"/>
    <w:rsid w:val="001A25CF"/>
    <w:rsid w:val="001A354D"/>
    <w:rsid w:val="001A37FC"/>
    <w:rsid w:val="001A445D"/>
    <w:rsid w:val="001A4713"/>
    <w:rsid w:val="001A7309"/>
    <w:rsid w:val="001B2B81"/>
    <w:rsid w:val="001B3A22"/>
    <w:rsid w:val="001B40CD"/>
    <w:rsid w:val="001B44BA"/>
    <w:rsid w:val="001B47AA"/>
    <w:rsid w:val="001B4F13"/>
    <w:rsid w:val="001B54C5"/>
    <w:rsid w:val="001B57EF"/>
    <w:rsid w:val="001B6801"/>
    <w:rsid w:val="001B7483"/>
    <w:rsid w:val="001B7536"/>
    <w:rsid w:val="001B7C15"/>
    <w:rsid w:val="001C0881"/>
    <w:rsid w:val="001C0B53"/>
    <w:rsid w:val="001C0E25"/>
    <w:rsid w:val="001C16C3"/>
    <w:rsid w:val="001C174A"/>
    <w:rsid w:val="001C1E2C"/>
    <w:rsid w:val="001C293A"/>
    <w:rsid w:val="001C2D93"/>
    <w:rsid w:val="001C2FAA"/>
    <w:rsid w:val="001C3DA9"/>
    <w:rsid w:val="001C4472"/>
    <w:rsid w:val="001C47A3"/>
    <w:rsid w:val="001C550E"/>
    <w:rsid w:val="001C5E65"/>
    <w:rsid w:val="001C5F5D"/>
    <w:rsid w:val="001C650B"/>
    <w:rsid w:val="001C6CD4"/>
    <w:rsid w:val="001C6FA7"/>
    <w:rsid w:val="001C7D21"/>
    <w:rsid w:val="001C7E8C"/>
    <w:rsid w:val="001D0373"/>
    <w:rsid w:val="001D0F1A"/>
    <w:rsid w:val="001D23B8"/>
    <w:rsid w:val="001D2489"/>
    <w:rsid w:val="001D285D"/>
    <w:rsid w:val="001D2B80"/>
    <w:rsid w:val="001D3DBA"/>
    <w:rsid w:val="001D4C6B"/>
    <w:rsid w:val="001D51FE"/>
    <w:rsid w:val="001D5AB0"/>
    <w:rsid w:val="001D717C"/>
    <w:rsid w:val="001D7480"/>
    <w:rsid w:val="001E037F"/>
    <w:rsid w:val="001E04EB"/>
    <w:rsid w:val="001E1370"/>
    <w:rsid w:val="001E1EC8"/>
    <w:rsid w:val="001E38C9"/>
    <w:rsid w:val="001E3B2F"/>
    <w:rsid w:val="001E4621"/>
    <w:rsid w:val="001E5A00"/>
    <w:rsid w:val="001E5C9B"/>
    <w:rsid w:val="001E62CE"/>
    <w:rsid w:val="001E63B3"/>
    <w:rsid w:val="001E7565"/>
    <w:rsid w:val="001F0892"/>
    <w:rsid w:val="001F2519"/>
    <w:rsid w:val="001F2EE5"/>
    <w:rsid w:val="001F3CE5"/>
    <w:rsid w:val="001F421F"/>
    <w:rsid w:val="001F4249"/>
    <w:rsid w:val="001F4AB0"/>
    <w:rsid w:val="001F4F7E"/>
    <w:rsid w:val="001F5242"/>
    <w:rsid w:val="001F562F"/>
    <w:rsid w:val="001F65DD"/>
    <w:rsid w:val="001F6D20"/>
    <w:rsid w:val="00200367"/>
    <w:rsid w:val="0020081F"/>
    <w:rsid w:val="002008C3"/>
    <w:rsid w:val="00201B54"/>
    <w:rsid w:val="002025F0"/>
    <w:rsid w:val="00203925"/>
    <w:rsid w:val="0020440D"/>
    <w:rsid w:val="0020475B"/>
    <w:rsid w:val="00204762"/>
    <w:rsid w:val="00205302"/>
    <w:rsid w:val="002056E1"/>
    <w:rsid w:val="002058BB"/>
    <w:rsid w:val="00205C16"/>
    <w:rsid w:val="00205D6F"/>
    <w:rsid w:val="00205EC7"/>
    <w:rsid w:val="0020717A"/>
    <w:rsid w:val="002107F6"/>
    <w:rsid w:val="00211056"/>
    <w:rsid w:val="0021228E"/>
    <w:rsid w:val="00212EAE"/>
    <w:rsid w:val="0021304F"/>
    <w:rsid w:val="002138EA"/>
    <w:rsid w:val="00213E5E"/>
    <w:rsid w:val="002146E9"/>
    <w:rsid w:val="00215360"/>
    <w:rsid w:val="002156F5"/>
    <w:rsid w:val="002162C6"/>
    <w:rsid w:val="002169BE"/>
    <w:rsid w:val="00220359"/>
    <w:rsid w:val="0022190B"/>
    <w:rsid w:val="00221C33"/>
    <w:rsid w:val="0022200C"/>
    <w:rsid w:val="002224F5"/>
    <w:rsid w:val="00223CFB"/>
    <w:rsid w:val="0022411B"/>
    <w:rsid w:val="002248CF"/>
    <w:rsid w:val="00224D9E"/>
    <w:rsid w:val="00224EB0"/>
    <w:rsid w:val="00224FB2"/>
    <w:rsid w:val="00224FB9"/>
    <w:rsid w:val="00225A0A"/>
    <w:rsid w:val="00226C7F"/>
    <w:rsid w:val="00227E7E"/>
    <w:rsid w:val="00231422"/>
    <w:rsid w:val="00231C99"/>
    <w:rsid w:val="00233847"/>
    <w:rsid w:val="00235175"/>
    <w:rsid w:val="00235FA3"/>
    <w:rsid w:val="002360C7"/>
    <w:rsid w:val="00236C6C"/>
    <w:rsid w:val="0023784B"/>
    <w:rsid w:val="00237E1C"/>
    <w:rsid w:val="0024100A"/>
    <w:rsid w:val="00241403"/>
    <w:rsid w:val="002424D2"/>
    <w:rsid w:val="00242B5F"/>
    <w:rsid w:val="00242C77"/>
    <w:rsid w:val="002435A0"/>
    <w:rsid w:val="00244BD7"/>
    <w:rsid w:val="00244E84"/>
    <w:rsid w:val="00245082"/>
    <w:rsid w:val="0024559C"/>
    <w:rsid w:val="002459F7"/>
    <w:rsid w:val="00246053"/>
    <w:rsid w:val="002466AB"/>
    <w:rsid w:val="00246C58"/>
    <w:rsid w:val="002470F9"/>
    <w:rsid w:val="00247E21"/>
    <w:rsid w:val="00250226"/>
    <w:rsid w:val="00250361"/>
    <w:rsid w:val="00250539"/>
    <w:rsid w:val="00250742"/>
    <w:rsid w:val="00250CC1"/>
    <w:rsid w:val="00250EAB"/>
    <w:rsid w:val="00251751"/>
    <w:rsid w:val="00252975"/>
    <w:rsid w:val="00252AEC"/>
    <w:rsid w:val="00252BD9"/>
    <w:rsid w:val="00253130"/>
    <w:rsid w:val="002547E9"/>
    <w:rsid w:val="00254DB3"/>
    <w:rsid w:val="00255291"/>
    <w:rsid w:val="00255713"/>
    <w:rsid w:val="00256396"/>
    <w:rsid w:val="0025719B"/>
    <w:rsid w:val="00257D9D"/>
    <w:rsid w:val="00257EBF"/>
    <w:rsid w:val="0026147C"/>
    <w:rsid w:val="00262139"/>
    <w:rsid w:val="00262B5A"/>
    <w:rsid w:val="00262D44"/>
    <w:rsid w:val="00263002"/>
    <w:rsid w:val="002630F9"/>
    <w:rsid w:val="00263FFB"/>
    <w:rsid w:val="00264275"/>
    <w:rsid w:val="0026446E"/>
    <w:rsid w:val="00264AA7"/>
    <w:rsid w:val="00264E1A"/>
    <w:rsid w:val="00265677"/>
    <w:rsid w:val="00266887"/>
    <w:rsid w:val="00266FF3"/>
    <w:rsid w:val="00267023"/>
    <w:rsid w:val="002675F1"/>
    <w:rsid w:val="002702AB"/>
    <w:rsid w:val="00270671"/>
    <w:rsid w:val="00270B53"/>
    <w:rsid w:val="00270D59"/>
    <w:rsid w:val="00271619"/>
    <w:rsid w:val="00271F6D"/>
    <w:rsid w:val="00273B19"/>
    <w:rsid w:val="00274992"/>
    <w:rsid w:val="00274C21"/>
    <w:rsid w:val="002756D9"/>
    <w:rsid w:val="00277459"/>
    <w:rsid w:val="00280516"/>
    <w:rsid w:val="00280DCC"/>
    <w:rsid w:val="002811AB"/>
    <w:rsid w:val="00282498"/>
    <w:rsid w:val="002827BF"/>
    <w:rsid w:val="00282BA0"/>
    <w:rsid w:val="00282F0A"/>
    <w:rsid w:val="002838A3"/>
    <w:rsid w:val="002839A5"/>
    <w:rsid w:val="00284B57"/>
    <w:rsid w:val="002850AD"/>
    <w:rsid w:val="00285648"/>
    <w:rsid w:val="00285776"/>
    <w:rsid w:val="00286FAB"/>
    <w:rsid w:val="002870CD"/>
    <w:rsid w:val="0028741B"/>
    <w:rsid w:val="002906CF"/>
    <w:rsid w:val="00291AED"/>
    <w:rsid w:val="00292FD6"/>
    <w:rsid w:val="002931C6"/>
    <w:rsid w:val="0029403F"/>
    <w:rsid w:val="00294709"/>
    <w:rsid w:val="00296374"/>
    <w:rsid w:val="00297DA6"/>
    <w:rsid w:val="002A010C"/>
    <w:rsid w:val="002A0FCC"/>
    <w:rsid w:val="002A11AE"/>
    <w:rsid w:val="002A193C"/>
    <w:rsid w:val="002A200D"/>
    <w:rsid w:val="002A2685"/>
    <w:rsid w:val="002A2EBD"/>
    <w:rsid w:val="002A30E5"/>
    <w:rsid w:val="002A319B"/>
    <w:rsid w:val="002A395E"/>
    <w:rsid w:val="002A3BC6"/>
    <w:rsid w:val="002A3C7A"/>
    <w:rsid w:val="002A3E2D"/>
    <w:rsid w:val="002A5436"/>
    <w:rsid w:val="002A5908"/>
    <w:rsid w:val="002A5CBA"/>
    <w:rsid w:val="002A7BB4"/>
    <w:rsid w:val="002A7D9C"/>
    <w:rsid w:val="002A7E45"/>
    <w:rsid w:val="002B0693"/>
    <w:rsid w:val="002B266D"/>
    <w:rsid w:val="002B2ED8"/>
    <w:rsid w:val="002B4D2B"/>
    <w:rsid w:val="002B5511"/>
    <w:rsid w:val="002B612F"/>
    <w:rsid w:val="002B62C3"/>
    <w:rsid w:val="002B7440"/>
    <w:rsid w:val="002B77C7"/>
    <w:rsid w:val="002C06DB"/>
    <w:rsid w:val="002C0B9D"/>
    <w:rsid w:val="002C145F"/>
    <w:rsid w:val="002C159E"/>
    <w:rsid w:val="002C1ADA"/>
    <w:rsid w:val="002C2B36"/>
    <w:rsid w:val="002C2C06"/>
    <w:rsid w:val="002C2D0F"/>
    <w:rsid w:val="002C42FE"/>
    <w:rsid w:val="002C47F9"/>
    <w:rsid w:val="002C49C6"/>
    <w:rsid w:val="002C4C23"/>
    <w:rsid w:val="002C4FDC"/>
    <w:rsid w:val="002C6220"/>
    <w:rsid w:val="002C6984"/>
    <w:rsid w:val="002C7CEE"/>
    <w:rsid w:val="002D0297"/>
    <w:rsid w:val="002D0776"/>
    <w:rsid w:val="002D095F"/>
    <w:rsid w:val="002D0B24"/>
    <w:rsid w:val="002D2BDF"/>
    <w:rsid w:val="002D32A6"/>
    <w:rsid w:val="002D4026"/>
    <w:rsid w:val="002D5B11"/>
    <w:rsid w:val="002D6429"/>
    <w:rsid w:val="002D674F"/>
    <w:rsid w:val="002D7483"/>
    <w:rsid w:val="002D7871"/>
    <w:rsid w:val="002E0016"/>
    <w:rsid w:val="002E0975"/>
    <w:rsid w:val="002E09D9"/>
    <w:rsid w:val="002E0D7C"/>
    <w:rsid w:val="002E16A8"/>
    <w:rsid w:val="002E338D"/>
    <w:rsid w:val="002E38A7"/>
    <w:rsid w:val="002E3AEF"/>
    <w:rsid w:val="002E3E75"/>
    <w:rsid w:val="002E5C03"/>
    <w:rsid w:val="002E666E"/>
    <w:rsid w:val="002E6992"/>
    <w:rsid w:val="002E69B1"/>
    <w:rsid w:val="002E6BF3"/>
    <w:rsid w:val="002E70A9"/>
    <w:rsid w:val="002F05D2"/>
    <w:rsid w:val="002F10D1"/>
    <w:rsid w:val="002F1AE8"/>
    <w:rsid w:val="002F1FB6"/>
    <w:rsid w:val="002F32B6"/>
    <w:rsid w:val="002F4B8A"/>
    <w:rsid w:val="002F54B1"/>
    <w:rsid w:val="002F5CBA"/>
    <w:rsid w:val="002F5D05"/>
    <w:rsid w:val="002F67FC"/>
    <w:rsid w:val="002F6CDC"/>
    <w:rsid w:val="002F7030"/>
    <w:rsid w:val="002F7084"/>
    <w:rsid w:val="002F71B9"/>
    <w:rsid w:val="002F7827"/>
    <w:rsid w:val="002F7886"/>
    <w:rsid w:val="00300CEC"/>
    <w:rsid w:val="00300F90"/>
    <w:rsid w:val="00301736"/>
    <w:rsid w:val="003017F3"/>
    <w:rsid w:val="003019B3"/>
    <w:rsid w:val="0030314C"/>
    <w:rsid w:val="00303261"/>
    <w:rsid w:val="0030365C"/>
    <w:rsid w:val="00303D92"/>
    <w:rsid w:val="0030466A"/>
    <w:rsid w:val="003047C8"/>
    <w:rsid w:val="00304C07"/>
    <w:rsid w:val="003051F6"/>
    <w:rsid w:val="00305ACD"/>
    <w:rsid w:val="00305B60"/>
    <w:rsid w:val="003064AC"/>
    <w:rsid w:val="00306FF1"/>
    <w:rsid w:val="003071C4"/>
    <w:rsid w:val="003078AC"/>
    <w:rsid w:val="00310117"/>
    <w:rsid w:val="00310639"/>
    <w:rsid w:val="003123B1"/>
    <w:rsid w:val="003126FC"/>
    <w:rsid w:val="00312F79"/>
    <w:rsid w:val="00313D69"/>
    <w:rsid w:val="00314084"/>
    <w:rsid w:val="00314695"/>
    <w:rsid w:val="00314909"/>
    <w:rsid w:val="00314BB8"/>
    <w:rsid w:val="00314FD2"/>
    <w:rsid w:val="0031533D"/>
    <w:rsid w:val="00315DFC"/>
    <w:rsid w:val="0031638A"/>
    <w:rsid w:val="003165DA"/>
    <w:rsid w:val="00320B4C"/>
    <w:rsid w:val="00321671"/>
    <w:rsid w:val="0032169F"/>
    <w:rsid w:val="003217EB"/>
    <w:rsid w:val="00321EBD"/>
    <w:rsid w:val="0032269F"/>
    <w:rsid w:val="00322A57"/>
    <w:rsid w:val="00324510"/>
    <w:rsid w:val="0032465C"/>
    <w:rsid w:val="00325403"/>
    <w:rsid w:val="00325EE1"/>
    <w:rsid w:val="00326948"/>
    <w:rsid w:val="00326C03"/>
    <w:rsid w:val="0032723B"/>
    <w:rsid w:val="00327B6E"/>
    <w:rsid w:val="003301B9"/>
    <w:rsid w:val="00330C6A"/>
    <w:rsid w:val="00330E94"/>
    <w:rsid w:val="00330EEF"/>
    <w:rsid w:val="00332CB3"/>
    <w:rsid w:val="00333136"/>
    <w:rsid w:val="003355A5"/>
    <w:rsid w:val="00337153"/>
    <w:rsid w:val="00337BF2"/>
    <w:rsid w:val="00340D98"/>
    <w:rsid w:val="00341B4F"/>
    <w:rsid w:val="0034311C"/>
    <w:rsid w:val="003436A1"/>
    <w:rsid w:val="00343806"/>
    <w:rsid w:val="0034408C"/>
    <w:rsid w:val="0034441B"/>
    <w:rsid w:val="0034499C"/>
    <w:rsid w:val="00344EEF"/>
    <w:rsid w:val="00345D63"/>
    <w:rsid w:val="00346F15"/>
    <w:rsid w:val="0034723F"/>
    <w:rsid w:val="00347C6B"/>
    <w:rsid w:val="00347CEC"/>
    <w:rsid w:val="00350252"/>
    <w:rsid w:val="00350744"/>
    <w:rsid w:val="003508A7"/>
    <w:rsid w:val="00351E22"/>
    <w:rsid w:val="003557A5"/>
    <w:rsid w:val="00355AA0"/>
    <w:rsid w:val="0035665F"/>
    <w:rsid w:val="003568BD"/>
    <w:rsid w:val="00356EA1"/>
    <w:rsid w:val="003607BA"/>
    <w:rsid w:val="00361A86"/>
    <w:rsid w:val="00362342"/>
    <w:rsid w:val="00363945"/>
    <w:rsid w:val="00364164"/>
    <w:rsid w:val="0036434F"/>
    <w:rsid w:val="003648E6"/>
    <w:rsid w:val="00364DD1"/>
    <w:rsid w:val="003654CE"/>
    <w:rsid w:val="0036725F"/>
    <w:rsid w:val="0036737B"/>
    <w:rsid w:val="0037142D"/>
    <w:rsid w:val="00372AA8"/>
    <w:rsid w:val="00372BC2"/>
    <w:rsid w:val="00372D16"/>
    <w:rsid w:val="00373A0D"/>
    <w:rsid w:val="00373B78"/>
    <w:rsid w:val="003740AF"/>
    <w:rsid w:val="003749F9"/>
    <w:rsid w:val="00375105"/>
    <w:rsid w:val="003756F0"/>
    <w:rsid w:val="003776A6"/>
    <w:rsid w:val="00377A2F"/>
    <w:rsid w:val="003800CE"/>
    <w:rsid w:val="003804D1"/>
    <w:rsid w:val="00380E3E"/>
    <w:rsid w:val="00381835"/>
    <w:rsid w:val="00382278"/>
    <w:rsid w:val="0038296A"/>
    <w:rsid w:val="00383B1E"/>
    <w:rsid w:val="00384033"/>
    <w:rsid w:val="00384567"/>
    <w:rsid w:val="00384C4B"/>
    <w:rsid w:val="00384C91"/>
    <w:rsid w:val="00385592"/>
    <w:rsid w:val="003862A1"/>
    <w:rsid w:val="00386B9D"/>
    <w:rsid w:val="00390474"/>
    <w:rsid w:val="00390E3D"/>
    <w:rsid w:val="003940F5"/>
    <w:rsid w:val="003942B3"/>
    <w:rsid w:val="00397686"/>
    <w:rsid w:val="003A089B"/>
    <w:rsid w:val="003A11AC"/>
    <w:rsid w:val="003A1460"/>
    <w:rsid w:val="003A1926"/>
    <w:rsid w:val="003A2DDF"/>
    <w:rsid w:val="003A2F34"/>
    <w:rsid w:val="003A3B70"/>
    <w:rsid w:val="003A4479"/>
    <w:rsid w:val="003A5CCC"/>
    <w:rsid w:val="003A68A0"/>
    <w:rsid w:val="003A6ADB"/>
    <w:rsid w:val="003B03BE"/>
    <w:rsid w:val="003B0AD6"/>
    <w:rsid w:val="003B0DD8"/>
    <w:rsid w:val="003B1119"/>
    <w:rsid w:val="003B1425"/>
    <w:rsid w:val="003B1DD8"/>
    <w:rsid w:val="003B2BF2"/>
    <w:rsid w:val="003B2FDF"/>
    <w:rsid w:val="003B34C1"/>
    <w:rsid w:val="003B3F7C"/>
    <w:rsid w:val="003B4D0E"/>
    <w:rsid w:val="003B4E4C"/>
    <w:rsid w:val="003B5744"/>
    <w:rsid w:val="003B5EFC"/>
    <w:rsid w:val="003B64E5"/>
    <w:rsid w:val="003B6A09"/>
    <w:rsid w:val="003B6D92"/>
    <w:rsid w:val="003B7917"/>
    <w:rsid w:val="003C05A9"/>
    <w:rsid w:val="003C0CBC"/>
    <w:rsid w:val="003C0DD4"/>
    <w:rsid w:val="003C0E46"/>
    <w:rsid w:val="003C0F02"/>
    <w:rsid w:val="003C11B7"/>
    <w:rsid w:val="003C1AAB"/>
    <w:rsid w:val="003C208B"/>
    <w:rsid w:val="003C2468"/>
    <w:rsid w:val="003C268B"/>
    <w:rsid w:val="003C26DF"/>
    <w:rsid w:val="003C2BB9"/>
    <w:rsid w:val="003C2CEF"/>
    <w:rsid w:val="003C2D5E"/>
    <w:rsid w:val="003C379E"/>
    <w:rsid w:val="003C3A86"/>
    <w:rsid w:val="003C3D52"/>
    <w:rsid w:val="003C41E9"/>
    <w:rsid w:val="003C49C0"/>
    <w:rsid w:val="003C59D0"/>
    <w:rsid w:val="003C642A"/>
    <w:rsid w:val="003C6D35"/>
    <w:rsid w:val="003C6E13"/>
    <w:rsid w:val="003C7068"/>
    <w:rsid w:val="003C79D1"/>
    <w:rsid w:val="003D2352"/>
    <w:rsid w:val="003D2E2E"/>
    <w:rsid w:val="003D4226"/>
    <w:rsid w:val="003D454B"/>
    <w:rsid w:val="003D4609"/>
    <w:rsid w:val="003D597A"/>
    <w:rsid w:val="003D5ABE"/>
    <w:rsid w:val="003D5D7E"/>
    <w:rsid w:val="003D6094"/>
    <w:rsid w:val="003D7ECB"/>
    <w:rsid w:val="003E0003"/>
    <w:rsid w:val="003E0538"/>
    <w:rsid w:val="003E0E64"/>
    <w:rsid w:val="003E21A3"/>
    <w:rsid w:val="003E5AB4"/>
    <w:rsid w:val="003E5B7F"/>
    <w:rsid w:val="003E6472"/>
    <w:rsid w:val="003E6CFE"/>
    <w:rsid w:val="003E78A4"/>
    <w:rsid w:val="003E7E9B"/>
    <w:rsid w:val="003F07C4"/>
    <w:rsid w:val="003F26EB"/>
    <w:rsid w:val="003F286D"/>
    <w:rsid w:val="003F3DDA"/>
    <w:rsid w:val="003F4213"/>
    <w:rsid w:val="003F454C"/>
    <w:rsid w:val="003F4A49"/>
    <w:rsid w:val="003F5F95"/>
    <w:rsid w:val="003F61DF"/>
    <w:rsid w:val="003F6F7F"/>
    <w:rsid w:val="003F7972"/>
    <w:rsid w:val="003F7F13"/>
    <w:rsid w:val="0040094D"/>
    <w:rsid w:val="00400D22"/>
    <w:rsid w:val="00402C6E"/>
    <w:rsid w:val="00403622"/>
    <w:rsid w:val="00404F61"/>
    <w:rsid w:val="00406CAE"/>
    <w:rsid w:val="00407D79"/>
    <w:rsid w:val="00410113"/>
    <w:rsid w:val="00410A26"/>
    <w:rsid w:val="004113EA"/>
    <w:rsid w:val="00411831"/>
    <w:rsid w:val="00411C84"/>
    <w:rsid w:val="00411E48"/>
    <w:rsid w:val="004128A9"/>
    <w:rsid w:val="00412A71"/>
    <w:rsid w:val="00414288"/>
    <w:rsid w:val="004149E3"/>
    <w:rsid w:val="00414C52"/>
    <w:rsid w:val="00414D41"/>
    <w:rsid w:val="00414D4F"/>
    <w:rsid w:val="00415642"/>
    <w:rsid w:val="00416EF5"/>
    <w:rsid w:val="00420D3A"/>
    <w:rsid w:val="00420FAA"/>
    <w:rsid w:val="00423301"/>
    <w:rsid w:val="0042396C"/>
    <w:rsid w:val="00423E11"/>
    <w:rsid w:val="00426210"/>
    <w:rsid w:val="004264D0"/>
    <w:rsid w:val="0042660A"/>
    <w:rsid w:val="004266CB"/>
    <w:rsid w:val="00426C76"/>
    <w:rsid w:val="0042702A"/>
    <w:rsid w:val="004271AE"/>
    <w:rsid w:val="00427339"/>
    <w:rsid w:val="00430446"/>
    <w:rsid w:val="00430F48"/>
    <w:rsid w:val="00431187"/>
    <w:rsid w:val="004312CE"/>
    <w:rsid w:val="00431471"/>
    <w:rsid w:val="00432123"/>
    <w:rsid w:val="00432AB8"/>
    <w:rsid w:val="00432D29"/>
    <w:rsid w:val="0043432F"/>
    <w:rsid w:val="004345E1"/>
    <w:rsid w:val="004348F2"/>
    <w:rsid w:val="0043529C"/>
    <w:rsid w:val="00435311"/>
    <w:rsid w:val="00435ABD"/>
    <w:rsid w:val="00435CE8"/>
    <w:rsid w:val="00435ED9"/>
    <w:rsid w:val="00436764"/>
    <w:rsid w:val="00436E75"/>
    <w:rsid w:val="00436F4C"/>
    <w:rsid w:val="004372B2"/>
    <w:rsid w:val="00437B81"/>
    <w:rsid w:val="00437CE9"/>
    <w:rsid w:val="00440333"/>
    <w:rsid w:val="00440C7D"/>
    <w:rsid w:val="00440DB2"/>
    <w:rsid w:val="004416AE"/>
    <w:rsid w:val="00441C8E"/>
    <w:rsid w:val="00441E7E"/>
    <w:rsid w:val="0044275F"/>
    <w:rsid w:val="004438D7"/>
    <w:rsid w:val="00443B66"/>
    <w:rsid w:val="00444081"/>
    <w:rsid w:val="0044476B"/>
    <w:rsid w:val="00445596"/>
    <w:rsid w:val="004472C5"/>
    <w:rsid w:val="0045072C"/>
    <w:rsid w:val="00450A1D"/>
    <w:rsid w:val="00451893"/>
    <w:rsid w:val="0045354A"/>
    <w:rsid w:val="00454C74"/>
    <w:rsid w:val="00454C88"/>
    <w:rsid w:val="00454E0B"/>
    <w:rsid w:val="0045542B"/>
    <w:rsid w:val="00455FD3"/>
    <w:rsid w:val="004562E0"/>
    <w:rsid w:val="00457B8E"/>
    <w:rsid w:val="00460009"/>
    <w:rsid w:val="0046041A"/>
    <w:rsid w:val="004608C4"/>
    <w:rsid w:val="004616D5"/>
    <w:rsid w:val="00462700"/>
    <w:rsid w:val="00462F9D"/>
    <w:rsid w:val="004631B0"/>
    <w:rsid w:val="00463896"/>
    <w:rsid w:val="0046434A"/>
    <w:rsid w:val="004646F6"/>
    <w:rsid w:val="0046476B"/>
    <w:rsid w:val="00464A2A"/>
    <w:rsid w:val="00464AE0"/>
    <w:rsid w:val="00464EA7"/>
    <w:rsid w:val="004660AB"/>
    <w:rsid w:val="00466947"/>
    <w:rsid w:val="00466DF3"/>
    <w:rsid w:val="00466F8E"/>
    <w:rsid w:val="00470194"/>
    <w:rsid w:val="00470A0A"/>
    <w:rsid w:val="00471966"/>
    <w:rsid w:val="00471D20"/>
    <w:rsid w:val="00472A29"/>
    <w:rsid w:val="00474197"/>
    <w:rsid w:val="0047428D"/>
    <w:rsid w:val="0047475A"/>
    <w:rsid w:val="00474BF0"/>
    <w:rsid w:val="00475636"/>
    <w:rsid w:val="00476753"/>
    <w:rsid w:val="00476B79"/>
    <w:rsid w:val="00477330"/>
    <w:rsid w:val="0047780A"/>
    <w:rsid w:val="00477C63"/>
    <w:rsid w:val="00477DA0"/>
    <w:rsid w:val="00480AFC"/>
    <w:rsid w:val="00480E28"/>
    <w:rsid w:val="004813A1"/>
    <w:rsid w:val="00482E6C"/>
    <w:rsid w:val="004834F3"/>
    <w:rsid w:val="004840CC"/>
    <w:rsid w:val="00484747"/>
    <w:rsid w:val="00484E27"/>
    <w:rsid w:val="00485190"/>
    <w:rsid w:val="0048557F"/>
    <w:rsid w:val="00485D93"/>
    <w:rsid w:val="00486A37"/>
    <w:rsid w:val="0048781F"/>
    <w:rsid w:val="00493879"/>
    <w:rsid w:val="00494A1D"/>
    <w:rsid w:val="00495B96"/>
    <w:rsid w:val="004966FD"/>
    <w:rsid w:val="00496DB2"/>
    <w:rsid w:val="00497E00"/>
    <w:rsid w:val="00497EEB"/>
    <w:rsid w:val="004A01B4"/>
    <w:rsid w:val="004A04AE"/>
    <w:rsid w:val="004A06EA"/>
    <w:rsid w:val="004A082D"/>
    <w:rsid w:val="004A0903"/>
    <w:rsid w:val="004A1070"/>
    <w:rsid w:val="004A15A1"/>
    <w:rsid w:val="004A1EB7"/>
    <w:rsid w:val="004A1F76"/>
    <w:rsid w:val="004A2DB7"/>
    <w:rsid w:val="004A2FD1"/>
    <w:rsid w:val="004A4CD4"/>
    <w:rsid w:val="004A55CE"/>
    <w:rsid w:val="004A57E5"/>
    <w:rsid w:val="004B07AA"/>
    <w:rsid w:val="004B07DD"/>
    <w:rsid w:val="004B14FA"/>
    <w:rsid w:val="004B179F"/>
    <w:rsid w:val="004B367F"/>
    <w:rsid w:val="004B37B8"/>
    <w:rsid w:val="004B3E14"/>
    <w:rsid w:val="004B415E"/>
    <w:rsid w:val="004B44B0"/>
    <w:rsid w:val="004B469B"/>
    <w:rsid w:val="004B46BD"/>
    <w:rsid w:val="004B5902"/>
    <w:rsid w:val="004B5A07"/>
    <w:rsid w:val="004B6896"/>
    <w:rsid w:val="004B6984"/>
    <w:rsid w:val="004B73D8"/>
    <w:rsid w:val="004B75E7"/>
    <w:rsid w:val="004B7EA1"/>
    <w:rsid w:val="004C0FFC"/>
    <w:rsid w:val="004C13D9"/>
    <w:rsid w:val="004C1A40"/>
    <w:rsid w:val="004C2120"/>
    <w:rsid w:val="004C215E"/>
    <w:rsid w:val="004C3128"/>
    <w:rsid w:val="004C31F9"/>
    <w:rsid w:val="004C33C5"/>
    <w:rsid w:val="004C3DCB"/>
    <w:rsid w:val="004C47B6"/>
    <w:rsid w:val="004C4ABF"/>
    <w:rsid w:val="004C4EFE"/>
    <w:rsid w:val="004C505A"/>
    <w:rsid w:val="004C5328"/>
    <w:rsid w:val="004C5D14"/>
    <w:rsid w:val="004D0BFA"/>
    <w:rsid w:val="004D20B4"/>
    <w:rsid w:val="004D33FE"/>
    <w:rsid w:val="004D4743"/>
    <w:rsid w:val="004D4CF8"/>
    <w:rsid w:val="004D523F"/>
    <w:rsid w:val="004D57C0"/>
    <w:rsid w:val="004D5A62"/>
    <w:rsid w:val="004D5CC0"/>
    <w:rsid w:val="004D6671"/>
    <w:rsid w:val="004D6A7C"/>
    <w:rsid w:val="004D71CA"/>
    <w:rsid w:val="004D7DFA"/>
    <w:rsid w:val="004E0EE9"/>
    <w:rsid w:val="004E1AD6"/>
    <w:rsid w:val="004E2258"/>
    <w:rsid w:val="004E2936"/>
    <w:rsid w:val="004E293F"/>
    <w:rsid w:val="004E2992"/>
    <w:rsid w:val="004E2C52"/>
    <w:rsid w:val="004E2D37"/>
    <w:rsid w:val="004E321A"/>
    <w:rsid w:val="004E41E8"/>
    <w:rsid w:val="004E4E26"/>
    <w:rsid w:val="004E5A25"/>
    <w:rsid w:val="004E5C23"/>
    <w:rsid w:val="004E5C2A"/>
    <w:rsid w:val="004F1204"/>
    <w:rsid w:val="004F158A"/>
    <w:rsid w:val="004F190D"/>
    <w:rsid w:val="004F2057"/>
    <w:rsid w:val="004F21E0"/>
    <w:rsid w:val="004F238A"/>
    <w:rsid w:val="004F277A"/>
    <w:rsid w:val="004F2B70"/>
    <w:rsid w:val="004F2ED1"/>
    <w:rsid w:val="004F32F0"/>
    <w:rsid w:val="004F3960"/>
    <w:rsid w:val="004F4CAC"/>
    <w:rsid w:val="004F6A71"/>
    <w:rsid w:val="004F72BD"/>
    <w:rsid w:val="004F7638"/>
    <w:rsid w:val="004F7B3B"/>
    <w:rsid w:val="00500541"/>
    <w:rsid w:val="0050108D"/>
    <w:rsid w:val="005011F5"/>
    <w:rsid w:val="005013C3"/>
    <w:rsid w:val="00501611"/>
    <w:rsid w:val="00501D3E"/>
    <w:rsid w:val="005026D0"/>
    <w:rsid w:val="00503893"/>
    <w:rsid w:val="00503D62"/>
    <w:rsid w:val="00503EFC"/>
    <w:rsid w:val="00504E55"/>
    <w:rsid w:val="00506152"/>
    <w:rsid w:val="00507AA6"/>
    <w:rsid w:val="005101E2"/>
    <w:rsid w:val="00510633"/>
    <w:rsid w:val="0051087F"/>
    <w:rsid w:val="00511843"/>
    <w:rsid w:val="00511B25"/>
    <w:rsid w:val="00512EF4"/>
    <w:rsid w:val="00513A35"/>
    <w:rsid w:val="00513D71"/>
    <w:rsid w:val="005147E0"/>
    <w:rsid w:val="00514AB6"/>
    <w:rsid w:val="005161AA"/>
    <w:rsid w:val="00516344"/>
    <w:rsid w:val="005164F4"/>
    <w:rsid w:val="005169E7"/>
    <w:rsid w:val="00516EA1"/>
    <w:rsid w:val="00517139"/>
    <w:rsid w:val="00517217"/>
    <w:rsid w:val="0051779D"/>
    <w:rsid w:val="00521189"/>
    <w:rsid w:val="00521E6C"/>
    <w:rsid w:val="0052203E"/>
    <w:rsid w:val="00522BA0"/>
    <w:rsid w:val="0052322B"/>
    <w:rsid w:val="0052376B"/>
    <w:rsid w:val="00523933"/>
    <w:rsid w:val="0052399C"/>
    <w:rsid w:val="00523D11"/>
    <w:rsid w:val="00525234"/>
    <w:rsid w:val="00527319"/>
    <w:rsid w:val="0052757F"/>
    <w:rsid w:val="005275BD"/>
    <w:rsid w:val="005279C9"/>
    <w:rsid w:val="00530039"/>
    <w:rsid w:val="0053018F"/>
    <w:rsid w:val="00530728"/>
    <w:rsid w:val="00531266"/>
    <w:rsid w:val="0053177C"/>
    <w:rsid w:val="0053212F"/>
    <w:rsid w:val="00532609"/>
    <w:rsid w:val="00532DD2"/>
    <w:rsid w:val="0053359D"/>
    <w:rsid w:val="0053384B"/>
    <w:rsid w:val="00533A64"/>
    <w:rsid w:val="00534000"/>
    <w:rsid w:val="00536AFA"/>
    <w:rsid w:val="00541409"/>
    <w:rsid w:val="00541B47"/>
    <w:rsid w:val="005433D1"/>
    <w:rsid w:val="00543641"/>
    <w:rsid w:val="0054406E"/>
    <w:rsid w:val="005442CF"/>
    <w:rsid w:val="0054437B"/>
    <w:rsid w:val="0054498B"/>
    <w:rsid w:val="0054547D"/>
    <w:rsid w:val="005457E0"/>
    <w:rsid w:val="005462DA"/>
    <w:rsid w:val="00547F39"/>
    <w:rsid w:val="00550B22"/>
    <w:rsid w:val="00550BD2"/>
    <w:rsid w:val="00550FE3"/>
    <w:rsid w:val="00551A14"/>
    <w:rsid w:val="00552FD7"/>
    <w:rsid w:val="0055305D"/>
    <w:rsid w:val="00553061"/>
    <w:rsid w:val="00553238"/>
    <w:rsid w:val="005537FB"/>
    <w:rsid w:val="00553B11"/>
    <w:rsid w:val="0055470C"/>
    <w:rsid w:val="005564D5"/>
    <w:rsid w:val="00557764"/>
    <w:rsid w:val="0056041A"/>
    <w:rsid w:val="00560786"/>
    <w:rsid w:val="00561451"/>
    <w:rsid w:val="0056212B"/>
    <w:rsid w:val="00563E1D"/>
    <w:rsid w:val="0056486F"/>
    <w:rsid w:val="00566E02"/>
    <w:rsid w:val="00567CF2"/>
    <w:rsid w:val="005700E4"/>
    <w:rsid w:val="00570A88"/>
    <w:rsid w:val="00570AD3"/>
    <w:rsid w:val="00570C56"/>
    <w:rsid w:val="00571094"/>
    <w:rsid w:val="0057122E"/>
    <w:rsid w:val="00572203"/>
    <w:rsid w:val="005722B3"/>
    <w:rsid w:val="00572AE8"/>
    <w:rsid w:val="005742E2"/>
    <w:rsid w:val="00574489"/>
    <w:rsid w:val="00574E79"/>
    <w:rsid w:val="005755AA"/>
    <w:rsid w:val="00575621"/>
    <w:rsid w:val="00576B4B"/>
    <w:rsid w:val="00576B53"/>
    <w:rsid w:val="00580F60"/>
    <w:rsid w:val="005810BA"/>
    <w:rsid w:val="00583115"/>
    <w:rsid w:val="005831AC"/>
    <w:rsid w:val="005836A0"/>
    <w:rsid w:val="005839E2"/>
    <w:rsid w:val="00584320"/>
    <w:rsid w:val="00584B17"/>
    <w:rsid w:val="0058512E"/>
    <w:rsid w:val="00585D34"/>
    <w:rsid w:val="0058659F"/>
    <w:rsid w:val="00586865"/>
    <w:rsid w:val="0058720B"/>
    <w:rsid w:val="005878DD"/>
    <w:rsid w:val="005912F3"/>
    <w:rsid w:val="005917F2"/>
    <w:rsid w:val="0059268E"/>
    <w:rsid w:val="005927A9"/>
    <w:rsid w:val="00592C7E"/>
    <w:rsid w:val="00592F4E"/>
    <w:rsid w:val="005931C4"/>
    <w:rsid w:val="00593452"/>
    <w:rsid w:val="00593FC3"/>
    <w:rsid w:val="005944D8"/>
    <w:rsid w:val="00594CCB"/>
    <w:rsid w:val="00595DF8"/>
    <w:rsid w:val="005966B4"/>
    <w:rsid w:val="00596D33"/>
    <w:rsid w:val="00597EBB"/>
    <w:rsid w:val="005A03EC"/>
    <w:rsid w:val="005A0BCC"/>
    <w:rsid w:val="005A1C93"/>
    <w:rsid w:val="005A207C"/>
    <w:rsid w:val="005A2537"/>
    <w:rsid w:val="005A2725"/>
    <w:rsid w:val="005A2B89"/>
    <w:rsid w:val="005A31D9"/>
    <w:rsid w:val="005A3442"/>
    <w:rsid w:val="005A374C"/>
    <w:rsid w:val="005A3B00"/>
    <w:rsid w:val="005A4335"/>
    <w:rsid w:val="005A553E"/>
    <w:rsid w:val="005A5930"/>
    <w:rsid w:val="005A690F"/>
    <w:rsid w:val="005A6915"/>
    <w:rsid w:val="005A70CD"/>
    <w:rsid w:val="005A7178"/>
    <w:rsid w:val="005A7320"/>
    <w:rsid w:val="005A7688"/>
    <w:rsid w:val="005A7814"/>
    <w:rsid w:val="005A7AF7"/>
    <w:rsid w:val="005A7BC7"/>
    <w:rsid w:val="005A7DB7"/>
    <w:rsid w:val="005B00EE"/>
    <w:rsid w:val="005B03C2"/>
    <w:rsid w:val="005B0E89"/>
    <w:rsid w:val="005B145C"/>
    <w:rsid w:val="005B1CD1"/>
    <w:rsid w:val="005B20E3"/>
    <w:rsid w:val="005B27C8"/>
    <w:rsid w:val="005B28CE"/>
    <w:rsid w:val="005B2EA1"/>
    <w:rsid w:val="005B3FC5"/>
    <w:rsid w:val="005B46BB"/>
    <w:rsid w:val="005B4B9E"/>
    <w:rsid w:val="005B72C2"/>
    <w:rsid w:val="005C00AD"/>
    <w:rsid w:val="005C0B83"/>
    <w:rsid w:val="005C0FDA"/>
    <w:rsid w:val="005C23FE"/>
    <w:rsid w:val="005C31CD"/>
    <w:rsid w:val="005C361A"/>
    <w:rsid w:val="005C39E0"/>
    <w:rsid w:val="005C4A03"/>
    <w:rsid w:val="005C4DAB"/>
    <w:rsid w:val="005C4DE6"/>
    <w:rsid w:val="005C557E"/>
    <w:rsid w:val="005C56CD"/>
    <w:rsid w:val="005C64E0"/>
    <w:rsid w:val="005C785E"/>
    <w:rsid w:val="005C78F0"/>
    <w:rsid w:val="005C7D88"/>
    <w:rsid w:val="005D0020"/>
    <w:rsid w:val="005D0B70"/>
    <w:rsid w:val="005D0ED9"/>
    <w:rsid w:val="005D1083"/>
    <w:rsid w:val="005D139A"/>
    <w:rsid w:val="005D2234"/>
    <w:rsid w:val="005D37EE"/>
    <w:rsid w:val="005D38FD"/>
    <w:rsid w:val="005D4EE7"/>
    <w:rsid w:val="005D5BC0"/>
    <w:rsid w:val="005D6D2D"/>
    <w:rsid w:val="005D6E55"/>
    <w:rsid w:val="005E0A4B"/>
    <w:rsid w:val="005E108A"/>
    <w:rsid w:val="005E1212"/>
    <w:rsid w:val="005E12CC"/>
    <w:rsid w:val="005E1AEF"/>
    <w:rsid w:val="005E203A"/>
    <w:rsid w:val="005E3D6A"/>
    <w:rsid w:val="005E3FC4"/>
    <w:rsid w:val="005E495F"/>
    <w:rsid w:val="005E4E0A"/>
    <w:rsid w:val="005F0583"/>
    <w:rsid w:val="005F0FE8"/>
    <w:rsid w:val="005F10C7"/>
    <w:rsid w:val="005F1825"/>
    <w:rsid w:val="005F1C8D"/>
    <w:rsid w:val="005F2242"/>
    <w:rsid w:val="005F2323"/>
    <w:rsid w:val="005F24F7"/>
    <w:rsid w:val="005F44B8"/>
    <w:rsid w:val="005F4E66"/>
    <w:rsid w:val="005F5BE0"/>
    <w:rsid w:val="005F6204"/>
    <w:rsid w:val="005F6EA2"/>
    <w:rsid w:val="005F71A0"/>
    <w:rsid w:val="005F74E5"/>
    <w:rsid w:val="00600970"/>
    <w:rsid w:val="00600C18"/>
    <w:rsid w:val="006030E3"/>
    <w:rsid w:val="00604C5D"/>
    <w:rsid w:val="0060516A"/>
    <w:rsid w:val="00605521"/>
    <w:rsid w:val="006055D1"/>
    <w:rsid w:val="00605AF7"/>
    <w:rsid w:val="006069DB"/>
    <w:rsid w:val="00607060"/>
    <w:rsid w:val="006074F5"/>
    <w:rsid w:val="0060791E"/>
    <w:rsid w:val="00607DB2"/>
    <w:rsid w:val="00607EE6"/>
    <w:rsid w:val="00607F08"/>
    <w:rsid w:val="00610305"/>
    <w:rsid w:val="00610BEB"/>
    <w:rsid w:val="006117A1"/>
    <w:rsid w:val="00611854"/>
    <w:rsid w:val="006121B6"/>
    <w:rsid w:val="006127F1"/>
    <w:rsid w:val="006137F7"/>
    <w:rsid w:val="00615056"/>
    <w:rsid w:val="006150D5"/>
    <w:rsid w:val="00615F98"/>
    <w:rsid w:val="00617B33"/>
    <w:rsid w:val="00617DD6"/>
    <w:rsid w:val="0062029E"/>
    <w:rsid w:val="00620FB4"/>
    <w:rsid w:val="0062100B"/>
    <w:rsid w:val="0062118C"/>
    <w:rsid w:val="00621E29"/>
    <w:rsid w:val="00622578"/>
    <w:rsid w:val="006230EF"/>
    <w:rsid w:val="00623130"/>
    <w:rsid w:val="00623D7C"/>
    <w:rsid w:val="00625C53"/>
    <w:rsid w:val="00625F58"/>
    <w:rsid w:val="006267F3"/>
    <w:rsid w:val="00626C5F"/>
    <w:rsid w:val="00627250"/>
    <w:rsid w:val="00627F10"/>
    <w:rsid w:val="00631A4A"/>
    <w:rsid w:val="00632CB2"/>
    <w:rsid w:val="00632F63"/>
    <w:rsid w:val="00633E58"/>
    <w:rsid w:val="0063430F"/>
    <w:rsid w:val="00636040"/>
    <w:rsid w:val="00636075"/>
    <w:rsid w:val="006367B0"/>
    <w:rsid w:val="00636F2F"/>
    <w:rsid w:val="00637F84"/>
    <w:rsid w:val="0064078A"/>
    <w:rsid w:val="00640DF7"/>
    <w:rsid w:val="0064258D"/>
    <w:rsid w:val="00642B3F"/>
    <w:rsid w:val="0064312C"/>
    <w:rsid w:val="006437D1"/>
    <w:rsid w:val="00644084"/>
    <w:rsid w:val="0064465A"/>
    <w:rsid w:val="00644753"/>
    <w:rsid w:val="00645560"/>
    <w:rsid w:val="006502A9"/>
    <w:rsid w:val="00650C57"/>
    <w:rsid w:val="00651924"/>
    <w:rsid w:val="0065250A"/>
    <w:rsid w:val="00652A1A"/>
    <w:rsid w:val="00653061"/>
    <w:rsid w:val="006533E4"/>
    <w:rsid w:val="0065362B"/>
    <w:rsid w:val="00653B08"/>
    <w:rsid w:val="0065455E"/>
    <w:rsid w:val="00655B25"/>
    <w:rsid w:val="006573AD"/>
    <w:rsid w:val="006579AB"/>
    <w:rsid w:val="00657ACC"/>
    <w:rsid w:val="006622ED"/>
    <w:rsid w:val="00662B33"/>
    <w:rsid w:val="00663848"/>
    <w:rsid w:val="00663A45"/>
    <w:rsid w:val="00663E20"/>
    <w:rsid w:val="00663E24"/>
    <w:rsid w:val="00663E52"/>
    <w:rsid w:val="00664412"/>
    <w:rsid w:val="00667F95"/>
    <w:rsid w:val="006701D0"/>
    <w:rsid w:val="00670395"/>
    <w:rsid w:val="006722F3"/>
    <w:rsid w:val="0067437C"/>
    <w:rsid w:val="006746FC"/>
    <w:rsid w:val="00674FC1"/>
    <w:rsid w:val="00675004"/>
    <w:rsid w:val="00675B56"/>
    <w:rsid w:val="00676E43"/>
    <w:rsid w:val="006779B9"/>
    <w:rsid w:val="00681209"/>
    <w:rsid w:val="006819A5"/>
    <w:rsid w:val="00682DD9"/>
    <w:rsid w:val="00683118"/>
    <w:rsid w:val="006840C4"/>
    <w:rsid w:val="006847DD"/>
    <w:rsid w:val="00684BC9"/>
    <w:rsid w:val="0068542E"/>
    <w:rsid w:val="00686624"/>
    <w:rsid w:val="00687B5C"/>
    <w:rsid w:val="00691C4E"/>
    <w:rsid w:val="0069304D"/>
    <w:rsid w:val="006937A9"/>
    <w:rsid w:val="00694362"/>
    <w:rsid w:val="00694975"/>
    <w:rsid w:val="00695AB9"/>
    <w:rsid w:val="006961C9"/>
    <w:rsid w:val="0069623B"/>
    <w:rsid w:val="00696C93"/>
    <w:rsid w:val="00696E69"/>
    <w:rsid w:val="00696F97"/>
    <w:rsid w:val="00697CA3"/>
    <w:rsid w:val="006A0138"/>
    <w:rsid w:val="006A03F8"/>
    <w:rsid w:val="006A0425"/>
    <w:rsid w:val="006A04BB"/>
    <w:rsid w:val="006A3CE8"/>
    <w:rsid w:val="006A423B"/>
    <w:rsid w:val="006A51DA"/>
    <w:rsid w:val="006B018B"/>
    <w:rsid w:val="006B0FC3"/>
    <w:rsid w:val="006B13DA"/>
    <w:rsid w:val="006B181A"/>
    <w:rsid w:val="006B20DD"/>
    <w:rsid w:val="006B2A22"/>
    <w:rsid w:val="006B32C8"/>
    <w:rsid w:val="006B3F32"/>
    <w:rsid w:val="006B433C"/>
    <w:rsid w:val="006B4590"/>
    <w:rsid w:val="006B45FA"/>
    <w:rsid w:val="006B507A"/>
    <w:rsid w:val="006B532A"/>
    <w:rsid w:val="006B742D"/>
    <w:rsid w:val="006C056A"/>
    <w:rsid w:val="006C0C2F"/>
    <w:rsid w:val="006C1138"/>
    <w:rsid w:val="006C12C9"/>
    <w:rsid w:val="006C1CE1"/>
    <w:rsid w:val="006C1EF4"/>
    <w:rsid w:val="006C28EB"/>
    <w:rsid w:val="006C4541"/>
    <w:rsid w:val="006C45AB"/>
    <w:rsid w:val="006C5E86"/>
    <w:rsid w:val="006C6016"/>
    <w:rsid w:val="006C6B2D"/>
    <w:rsid w:val="006C76B1"/>
    <w:rsid w:val="006C7ED9"/>
    <w:rsid w:val="006D0932"/>
    <w:rsid w:val="006D09E3"/>
    <w:rsid w:val="006D2107"/>
    <w:rsid w:val="006D21C8"/>
    <w:rsid w:val="006D243A"/>
    <w:rsid w:val="006D2621"/>
    <w:rsid w:val="006D2E69"/>
    <w:rsid w:val="006D39DF"/>
    <w:rsid w:val="006D46DD"/>
    <w:rsid w:val="006D4830"/>
    <w:rsid w:val="006D4C38"/>
    <w:rsid w:val="006D51B1"/>
    <w:rsid w:val="006D603B"/>
    <w:rsid w:val="006D6543"/>
    <w:rsid w:val="006D686E"/>
    <w:rsid w:val="006D766C"/>
    <w:rsid w:val="006E07CE"/>
    <w:rsid w:val="006E28B2"/>
    <w:rsid w:val="006E3293"/>
    <w:rsid w:val="006E32FF"/>
    <w:rsid w:val="006E4801"/>
    <w:rsid w:val="006E4F98"/>
    <w:rsid w:val="006E534E"/>
    <w:rsid w:val="006E5797"/>
    <w:rsid w:val="006E5FD1"/>
    <w:rsid w:val="006F049A"/>
    <w:rsid w:val="006F0B47"/>
    <w:rsid w:val="006F2593"/>
    <w:rsid w:val="006F2EB0"/>
    <w:rsid w:val="006F34B5"/>
    <w:rsid w:val="006F365B"/>
    <w:rsid w:val="006F48F0"/>
    <w:rsid w:val="006F4D99"/>
    <w:rsid w:val="006F550A"/>
    <w:rsid w:val="006F59CE"/>
    <w:rsid w:val="006F5B68"/>
    <w:rsid w:val="006F5FEC"/>
    <w:rsid w:val="006F65B7"/>
    <w:rsid w:val="006F679A"/>
    <w:rsid w:val="006F6DCA"/>
    <w:rsid w:val="006F7EF0"/>
    <w:rsid w:val="00700F08"/>
    <w:rsid w:val="00700FAA"/>
    <w:rsid w:val="00701130"/>
    <w:rsid w:val="00701AC8"/>
    <w:rsid w:val="007023C4"/>
    <w:rsid w:val="00702E27"/>
    <w:rsid w:val="00703A0C"/>
    <w:rsid w:val="00704792"/>
    <w:rsid w:val="00704E13"/>
    <w:rsid w:val="007053FC"/>
    <w:rsid w:val="00706053"/>
    <w:rsid w:val="00706A2F"/>
    <w:rsid w:val="007101B0"/>
    <w:rsid w:val="00711666"/>
    <w:rsid w:val="00711A23"/>
    <w:rsid w:val="00711DEC"/>
    <w:rsid w:val="00712CE6"/>
    <w:rsid w:val="00713D23"/>
    <w:rsid w:val="0071539A"/>
    <w:rsid w:val="00715EC4"/>
    <w:rsid w:val="0071650C"/>
    <w:rsid w:val="007204A4"/>
    <w:rsid w:val="00720BB1"/>
    <w:rsid w:val="00721FE0"/>
    <w:rsid w:val="007241D6"/>
    <w:rsid w:val="0072433D"/>
    <w:rsid w:val="00724DAC"/>
    <w:rsid w:val="0072547D"/>
    <w:rsid w:val="007257B2"/>
    <w:rsid w:val="007258D6"/>
    <w:rsid w:val="00727395"/>
    <w:rsid w:val="0072754A"/>
    <w:rsid w:val="00727717"/>
    <w:rsid w:val="007308B4"/>
    <w:rsid w:val="00732F75"/>
    <w:rsid w:val="007337FE"/>
    <w:rsid w:val="007350FE"/>
    <w:rsid w:val="00735958"/>
    <w:rsid w:val="00735FD9"/>
    <w:rsid w:val="0073614A"/>
    <w:rsid w:val="00736321"/>
    <w:rsid w:val="0073664C"/>
    <w:rsid w:val="00736975"/>
    <w:rsid w:val="00740823"/>
    <w:rsid w:val="00740E5D"/>
    <w:rsid w:val="007412A8"/>
    <w:rsid w:val="00741613"/>
    <w:rsid w:val="00743186"/>
    <w:rsid w:val="00743284"/>
    <w:rsid w:val="007439C5"/>
    <w:rsid w:val="00743E85"/>
    <w:rsid w:val="007449C3"/>
    <w:rsid w:val="0074566D"/>
    <w:rsid w:val="00745B2F"/>
    <w:rsid w:val="007460EF"/>
    <w:rsid w:val="007474DC"/>
    <w:rsid w:val="00747633"/>
    <w:rsid w:val="007478BB"/>
    <w:rsid w:val="00750C04"/>
    <w:rsid w:val="007510CC"/>
    <w:rsid w:val="00751F92"/>
    <w:rsid w:val="00752022"/>
    <w:rsid w:val="00752485"/>
    <w:rsid w:val="00752DBF"/>
    <w:rsid w:val="007532EA"/>
    <w:rsid w:val="00754959"/>
    <w:rsid w:val="00755472"/>
    <w:rsid w:val="00755735"/>
    <w:rsid w:val="00755B90"/>
    <w:rsid w:val="00756E31"/>
    <w:rsid w:val="007571D0"/>
    <w:rsid w:val="007604E5"/>
    <w:rsid w:val="007611B6"/>
    <w:rsid w:val="00761FA1"/>
    <w:rsid w:val="00762CEA"/>
    <w:rsid w:val="007643A1"/>
    <w:rsid w:val="0077086A"/>
    <w:rsid w:val="00771EE3"/>
    <w:rsid w:val="007721F2"/>
    <w:rsid w:val="007723EF"/>
    <w:rsid w:val="00772472"/>
    <w:rsid w:val="007726AC"/>
    <w:rsid w:val="00773701"/>
    <w:rsid w:val="007758E9"/>
    <w:rsid w:val="007759A3"/>
    <w:rsid w:val="00775D92"/>
    <w:rsid w:val="007802A0"/>
    <w:rsid w:val="00780366"/>
    <w:rsid w:val="00780411"/>
    <w:rsid w:val="007806B1"/>
    <w:rsid w:val="0078074B"/>
    <w:rsid w:val="00780B2D"/>
    <w:rsid w:val="007813EB"/>
    <w:rsid w:val="007826BC"/>
    <w:rsid w:val="007827D6"/>
    <w:rsid w:val="00782BC4"/>
    <w:rsid w:val="007832A3"/>
    <w:rsid w:val="007832AE"/>
    <w:rsid w:val="00783C8B"/>
    <w:rsid w:val="007845C3"/>
    <w:rsid w:val="00785EDB"/>
    <w:rsid w:val="0078707D"/>
    <w:rsid w:val="0078723F"/>
    <w:rsid w:val="00787848"/>
    <w:rsid w:val="00790628"/>
    <w:rsid w:val="00790677"/>
    <w:rsid w:val="0079123A"/>
    <w:rsid w:val="00792310"/>
    <w:rsid w:val="007924D8"/>
    <w:rsid w:val="00792D61"/>
    <w:rsid w:val="00794337"/>
    <w:rsid w:val="00794C9B"/>
    <w:rsid w:val="00794D61"/>
    <w:rsid w:val="00794EAF"/>
    <w:rsid w:val="007956FA"/>
    <w:rsid w:val="00796042"/>
    <w:rsid w:val="00796172"/>
    <w:rsid w:val="0079635D"/>
    <w:rsid w:val="00796733"/>
    <w:rsid w:val="007972EF"/>
    <w:rsid w:val="00797483"/>
    <w:rsid w:val="0079777D"/>
    <w:rsid w:val="00797B1F"/>
    <w:rsid w:val="007A074A"/>
    <w:rsid w:val="007A19EC"/>
    <w:rsid w:val="007A1B23"/>
    <w:rsid w:val="007A1FED"/>
    <w:rsid w:val="007A2330"/>
    <w:rsid w:val="007A274F"/>
    <w:rsid w:val="007A2853"/>
    <w:rsid w:val="007A2930"/>
    <w:rsid w:val="007A3B68"/>
    <w:rsid w:val="007A3D45"/>
    <w:rsid w:val="007A5CDB"/>
    <w:rsid w:val="007B0CFC"/>
    <w:rsid w:val="007B2474"/>
    <w:rsid w:val="007B4836"/>
    <w:rsid w:val="007B49B2"/>
    <w:rsid w:val="007B5847"/>
    <w:rsid w:val="007B74AD"/>
    <w:rsid w:val="007B792A"/>
    <w:rsid w:val="007C014F"/>
    <w:rsid w:val="007C02BB"/>
    <w:rsid w:val="007C1564"/>
    <w:rsid w:val="007C3D6F"/>
    <w:rsid w:val="007C50D5"/>
    <w:rsid w:val="007C538D"/>
    <w:rsid w:val="007C631D"/>
    <w:rsid w:val="007C670A"/>
    <w:rsid w:val="007C68EA"/>
    <w:rsid w:val="007C7A5E"/>
    <w:rsid w:val="007D03E5"/>
    <w:rsid w:val="007D056D"/>
    <w:rsid w:val="007D13A3"/>
    <w:rsid w:val="007D1C13"/>
    <w:rsid w:val="007D1FB1"/>
    <w:rsid w:val="007D1FB9"/>
    <w:rsid w:val="007D4DBE"/>
    <w:rsid w:val="007D646D"/>
    <w:rsid w:val="007D6533"/>
    <w:rsid w:val="007D68E5"/>
    <w:rsid w:val="007D6F65"/>
    <w:rsid w:val="007D722B"/>
    <w:rsid w:val="007D7812"/>
    <w:rsid w:val="007D78F4"/>
    <w:rsid w:val="007D7B86"/>
    <w:rsid w:val="007D7BAE"/>
    <w:rsid w:val="007E179D"/>
    <w:rsid w:val="007E1952"/>
    <w:rsid w:val="007E20BF"/>
    <w:rsid w:val="007E312B"/>
    <w:rsid w:val="007E464F"/>
    <w:rsid w:val="007E4E58"/>
    <w:rsid w:val="007E5C33"/>
    <w:rsid w:val="007E7338"/>
    <w:rsid w:val="007E74B0"/>
    <w:rsid w:val="007E757C"/>
    <w:rsid w:val="007E7CFD"/>
    <w:rsid w:val="007F0801"/>
    <w:rsid w:val="007F097A"/>
    <w:rsid w:val="007F103D"/>
    <w:rsid w:val="007F120B"/>
    <w:rsid w:val="007F14AD"/>
    <w:rsid w:val="007F18D2"/>
    <w:rsid w:val="007F1E23"/>
    <w:rsid w:val="007F1EE8"/>
    <w:rsid w:val="007F2527"/>
    <w:rsid w:val="007F27DB"/>
    <w:rsid w:val="007F33C3"/>
    <w:rsid w:val="007F4398"/>
    <w:rsid w:val="007F485F"/>
    <w:rsid w:val="007F4944"/>
    <w:rsid w:val="007F4C82"/>
    <w:rsid w:val="007F4CA3"/>
    <w:rsid w:val="007F5F56"/>
    <w:rsid w:val="007F632D"/>
    <w:rsid w:val="007F659A"/>
    <w:rsid w:val="007F6D0D"/>
    <w:rsid w:val="007F777C"/>
    <w:rsid w:val="007F7B7B"/>
    <w:rsid w:val="007F7F07"/>
    <w:rsid w:val="00800997"/>
    <w:rsid w:val="00800B8D"/>
    <w:rsid w:val="00800F4A"/>
    <w:rsid w:val="0080181F"/>
    <w:rsid w:val="008018B9"/>
    <w:rsid w:val="00802742"/>
    <w:rsid w:val="008037C0"/>
    <w:rsid w:val="00803CD7"/>
    <w:rsid w:val="00805B04"/>
    <w:rsid w:val="00807CE4"/>
    <w:rsid w:val="0081079D"/>
    <w:rsid w:val="008107ED"/>
    <w:rsid w:val="008108E6"/>
    <w:rsid w:val="00810D0B"/>
    <w:rsid w:val="00811E07"/>
    <w:rsid w:val="008123AD"/>
    <w:rsid w:val="0081290E"/>
    <w:rsid w:val="00813B73"/>
    <w:rsid w:val="00814593"/>
    <w:rsid w:val="008154C7"/>
    <w:rsid w:val="00816A34"/>
    <w:rsid w:val="008172AD"/>
    <w:rsid w:val="008176A5"/>
    <w:rsid w:val="008179DA"/>
    <w:rsid w:val="0082062B"/>
    <w:rsid w:val="00820E64"/>
    <w:rsid w:val="00821438"/>
    <w:rsid w:val="00821473"/>
    <w:rsid w:val="00821D7B"/>
    <w:rsid w:val="00823ED4"/>
    <w:rsid w:val="00824250"/>
    <w:rsid w:val="00824F7D"/>
    <w:rsid w:val="0082654E"/>
    <w:rsid w:val="008266A4"/>
    <w:rsid w:val="00827150"/>
    <w:rsid w:val="0083018E"/>
    <w:rsid w:val="008302E6"/>
    <w:rsid w:val="008305ED"/>
    <w:rsid w:val="00830ECC"/>
    <w:rsid w:val="008327AF"/>
    <w:rsid w:val="00832EFA"/>
    <w:rsid w:val="00833214"/>
    <w:rsid w:val="008332A1"/>
    <w:rsid w:val="008343AB"/>
    <w:rsid w:val="00834422"/>
    <w:rsid w:val="0083481E"/>
    <w:rsid w:val="00835077"/>
    <w:rsid w:val="00835EBD"/>
    <w:rsid w:val="008361BD"/>
    <w:rsid w:val="00836AB3"/>
    <w:rsid w:val="00836CBE"/>
    <w:rsid w:val="008377AB"/>
    <w:rsid w:val="00837C13"/>
    <w:rsid w:val="00837D77"/>
    <w:rsid w:val="00842C66"/>
    <w:rsid w:val="00844FDF"/>
    <w:rsid w:val="0084527E"/>
    <w:rsid w:val="0084664C"/>
    <w:rsid w:val="008469A7"/>
    <w:rsid w:val="00846B9A"/>
    <w:rsid w:val="0084752F"/>
    <w:rsid w:val="008477DE"/>
    <w:rsid w:val="00847B6F"/>
    <w:rsid w:val="00847CE2"/>
    <w:rsid w:val="00850574"/>
    <w:rsid w:val="00850902"/>
    <w:rsid w:val="0085151E"/>
    <w:rsid w:val="00851E37"/>
    <w:rsid w:val="00852456"/>
    <w:rsid w:val="008529BD"/>
    <w:rsid w:val="00852CAB"/>
    <w:rsid w:val="00852E45"/>
    <w:rsid w:val="00854171"/>
    <w:rsid w:val="00854398"/>
    <w:rsid w:val="008543E4"/>
    <w:rsid w:val="00854646"/>
    <w:rsid w:val="00856BDD"/>
    <w:rsid w:val="00856C9C"/>
    <w:rsid w:val="008579C6"/>
    <w:rsid w:val="008602B4"/>
    <w:rsid w:val="008605B6"/>
    <w:rsid w:val="00861B8C"/>
    <w:rsid w:val="00862EC8"/>
    <w:rsid w:val="00863772"/>
    <w:rsid w:val="00863D05"/>
    <w:rsid w:val="008644ED"/>
    <w:rsid w:val="00865706"/>
    <w:rsid w:val="00865BBE"/>
    <w:rsid w:val="00866157"/>
    <w:rsid w:val="00866B35"/>
    <w:rsid w:val="00867334"/>
    <w:rsid w:val="00867609"/>
    <w:rsid w:val="008701D9"/>
    <w:rsid w:val="00870318"/>
    <w:rsid w:val="00871BE4"/>
    <w:rsid w:val="0087222B"/>
    <w:rsid w:val="00873160"/>
    <w:rsid w:val="00875838"/>
    <w:rsid w:val="00876357"/>
    <w:rsid w:val="00877F0B"/>
    <w:rsid w:val="008804C4"/>
    <w:rsid w:val="008808F0"/>
    <w:rsid w:val="00880F11"/>
    <w:rsid w:val="008811CF"/>
    <w:rsid w:val="0088183E"/>
    <w:rsid w:val="00881B2D"/>
    <w:rsid w:val="0088231B"/>
    <w:rsid w:val="00883B32"/>
    <w:rsid w:val="00884574"/>
    <w:rsid w:val="0088484E"/>
    <w:rsid w:val="00885D63"/>
    <w:rsid w:val="0088683E"/>
    <w:rsid w:val="008868F1"/>
    <w:rsid w:val="0088690E"/>
    <w:rsid w:val="00887337"/>
    <w:rsid w:val="00887A2A"/>
    <w:rsid w:val="00887CDE"/>
    <w:rsid w:val="00891379"/>
    <w:rsid w:val="008916D6"/>
    <w:rsid w:val="00893483"/>
    <w:rsid w:val="00893749"/>
    <w:rsid w:val="00893A2D"/>
    <w:rsid w:val="00894572"/>
    <w:rsid w:val="00894D25"/>
    <w:rsid w:val="00894F3D"/>
    <w:rsid w:val="0089540A"/>
    <w:rsid w:val="00896124"/>
    <w:rsid w:val="0089796E"/>
    <w:rsid w:val="008A02D5"/>
    <w:rsid w:val="008A0977"/>
    <w:rsid w:val="008A09D6"/>
    <w:rsid w:val="008A19CB"/>
    <w:rsid w:val="008A2816"/>
    <w:rsid w:val="008A2923"/>
    <w:rsid w:val="008A2C0F"/>
    <w:rsid w:val="008A44AE"/>
    <w:rsid w:val="008A55A1"/>
    <w:rsid w:val="008A5AC7"/>
    <w:rsid w:val="008A5FE2"/>
    <w:rsid w:val="008A60D9"/>
    <w:rsid w:val="008A616A"/>
    <w:rsid w:val="008A62A1"/>
    <w:rsid w:val="008A6D03"/>
    <w:rsid w:val="008B002C"/>
    <w:rsid w:val="008B0B7B"/>
    <w:rsid w:val="008B12D5"/>
    <w:rsid w:val="008B133B"/>
    <w:rsid w:val="008B2BB1"/>
    <w:rsid w:val="008B2DAA"/>
    <w:rsid w:val="008B302F"/>
    <w:rsid w:val="008B35D5"/>
    <w:rsid w:val="008B37F3"/>
    <w:rsid w:val="008B407D"/>
    <w:rsid w:val="008B47C2"/>
    <w:rsid w:val="008B4B15"/>
    <w:rsid w:val="008B4D37"/>
    <w:rsid w:val="008B5024"/>
    <w:rsid w:val="008B52D6"/>
    <w:rsid w:val="008B5509"/>
    <w:rsid w:val="008B7324"/>
    <w:rsid w:val="008B759F"/>
    <w:rsid w:val="008B7AF1"/>
    <w:rsid w:val="008C057A"/>
    <w:rsid w:val="008C0D65"/>
    <w:rsid w:val="008C2059"/>
    <w:rsid w:val="008C2AFF"/>
    <w:rsid w:val="008C2BF9"/>
    <w:rsid w:val="008C32D6"/>
    <w:rsid w:val="008C39AB"/>
    <w:rsid w:val="008C3B91"/>
    <w:rsid w:val="008C4A22"/>
    <w:rsid w:val="008C4A93"/>
    <w:rsid w:val="008C4D23"/>
    <w:rsid w:val="008C4F4A"/>
    <w:rsid w:val="008C51ED"/>
    <w:rsid w:val="008C535F"/>
    <w:rsid w:val="008C6AB6"/>
    <w:rsid w:val="008C6DC4"/>
    <w:rsid w:val="008C73F3"/>
    <w:rsid w:val="008C7479"/>
    <w:rsid w:val="008C781B"/>
    <w:rsid w:val="008C7872"/>
    <w:rsid w:val="008C7F10"/>
    <w:rsid w:val="008D02FE"/>
    <w:rsid w:val="008D0690"/>
    <w:rsid w:val="008D0916"/>
    <w:rsid w:val="008D0C4B"/>
    <w:rsid w:val="008D25E0"/>
    <w:rsid w:val="008D299F"/>
    <w:rsid w:val="008D3546"/>
    <w:rsid w:val="008D3A9D"/>
    <w:rsid w:val="008D3B09"/>
    <w:rsid w:val="008D4121"/>
    <w:rsid w:val="008D4D10"/>
    <w:rsid w:val="008D5653"/>
    <w:rsid w:val="008D668E"/>
    <w:rsid w:val="008D6E0E"/>
    <w:rsid w:val="008D773F"/>
    <w:rsid w:val="008E00D2"/>
    <w:rsid w:val="008E03EF"/>
    <w:rsid w:val="008E0F46"/>
    <w:rsid w:val="008E1912"/>
    <w:rsid w:val="008E19BA"/>
    <w:rsid w:val="008E3634"/>
    <w:rsid w:val="008E3766"/>
    <w:rsid w:val="008E3893"/>
    <w:rsid w:val="008E45CB"/>
    <w:rsid w:val="008E4E78"/>
    <w:rsid w:val="008E6AF5"/>
    <w:rsid w:val="008E75E1"/>
    <w:rsid w:val="008E77AC"/>
    <w:rsid w:val="008F004C"/>
    <w:rsid w:val="008F0900"/>
    <w:rsid w:val="008F1E42"/>
    <w:rsid w:val="008F1F2F"/>
    <w:rsid w:val="008F20D7"/>
    <w:rsid w:val="008F2114"/>
    <w:rsid w:val="008F384F"/>
    <w:rsid w:val="008F4604"/>
    <w:rsid w:val="008F5EA2"/>
    <w:rsid w:val="008F692E"/>
    <w:rsid w:val="008F6C48"/>
    <w:rsid w:val="008F78C8"/>
    <w:rsid w:val="009007EF"/>
    <w:rsid w:val="009008D5"/>
    <w:rsid w:val="009009C6"/>
    <w:rsid w:val="00900B71"/>
    <w:rsid w:val="00900E95"/>
    <w:rsid w:val="0090166F"/>
    <w:rsid w:val="009026BB"/>
    <w:rsid w:val="00902C5E"/>
    <w:rsid w:val="00903027"/>
    <w:rsid w:val="00903418"/>
    <w:rsid w:val="0090418B"/>
    <w:rsid w:val="00904238"/>
    <w:rsid w:val="00904B6B"/>
    <w:rsid w:val="00904E5F"/>
    <w:rsid w:val="00905787"/>
    <w:rsid w:val="0090672B"/>
    <w:rsid w:val="00906E99"/>
    <w:rsid w:val="009075E8"/>
    <w:rsid w:val="009104C4"/>
    <w:rsid w:val="00911663"/>
    <w:rsid w:val="00911784"/>
    <w:rsid w:val="0091199C"/>
    <w:rsid w:val="009121E7"/>
    <w:rsid w:val="00912C62"/>
    <w:rsid w:val="0091362E"/>
    <w:rsid w:val="009141CB"/>
    <w:rsid w:val="00914978"/>
    <w:rsid w:val="00914B54"/>
    <w:rsid w:val="00914FE9"/>
    <w:rsid w:val="0091582B"/>
    <w:rsid w:val="00915F5C"/>
    <w:rsid w:val="009167E8"/>
    <w:rsid w:val="00920FE1"/>
    <w:rsid w:val="009217C5"/>
    <w:rsid w:val="00921E08"/>
    <w:rsid w:val="0092207B"/>
    <w:rsid w:val="009222DB"/>
    <w:rsid w:val="009226DC"/>
    <w:rsid w:val="00922C8C"/>
    <w:rsid w:val="00924742"/>
    <w:rsid w:val="00925194"/>
    <w:rsid w:val="00925E4E"/>
    <w:rsid w:val="009268AB"/>
    <w:rsid w:val="00927E5A"/>
    <w:rsid w:val="00930DED"/>
    <w:rsid w:val="00931600"/>
    <w:rsid w:val="00931959"/>
    <w:rsid w:val="00931ACC"/>
    <w:rsid w:val="0093252C"/>
    <w:rsid w:val="00933086"/>
    <w:rsid w:val="0093343B"/>
    <w:rsid w:val="00933C56"/>
    <w:rsid w:val="00935370"/>
    <w:rsid w:val="0093550D"/>
    <w:rsid w:val="009356D6"/>
    <w:rsid w:val="009357E9"/>
    <w:rsid w:val="00935A88"/>
    <w:rsid w:val="00936683"/>
    <w:rsid w:val="009376C4"/>
    <w:rsid w:val="0094006D"/>
    <w:rsid w:val="00944803"/>
    <w:rsid w:val="00944BFC"/>
    <w:rsid w:val="00944F0A"/>
    <w:rsid w:val="00945039"/>
    <w:rsid w:val="009465F2"/>
    <w:rsid w:val="00946F8B"/>
    <w:rsid w:val="00947EF0"/>
    <w:rsid w:val="009503F3"/>
    <w:rsid w:val="00950D29"/>
    <w:rsid w:val="009512DE"/>
    <w:rsid w:val="00951809"/>
    <w:rsid w:val="00951AC9"/>
    <w:rsid w:val="00951C7D"/>
    <w:rsid w:val="009539DB"/>
    <w:rsid w:val="00956926"/>
    <w:rsid w:val="00956F1C"/>
    <w:rsid w:val="00956FB6"/>
    <w:rsid w:val="00957400"/>
    <w:rsid w:val="00960176"/>
    <w:rsid w:val="00960879"/>
    <w:rsid w:val="00960E1C"/>
    <w:rsid w:val="0096144D"/>
    <w:rsid w:val="009614B5"/>
    <w:rsid w:val="00961587"/>
    <w:rsid w:val="00961D4F"/>
    <w:rsid w:val="009623EB"/>
    <w:rsid w:val="00962AB5"/>
    <w:rsid w:val="00963601"/>
    <w:rsid w:val="009644CD"/>
    <w:rsid w:val="0096534B"/>
    <w:rsid w:val="00967EDF"/>
    <w:rsid w:val="0097207D"/>
    <w:rsid w:val="00973C51"/>
    <w:rsid w:val="00973CC9"/>
    <w:rsid w:val="00974448"/>
    <w:rsid w:val="0097455F"/>
    <w:rsid w:val="009750C7"/>
    <w:rsid w:val="009751AD"/>
    <w:rsid w:val="00975B29"/>
    <w:rsid w:val="00976B06"/>
    <w:rsid w:val="00976FC2"/>
    <w:rsid w:val="0097702C"/>
    <w:rsid w:val="009770FE"/>
    <w:rsid w:val="00977DED"/>
    <w:rsid w:val="00980EE7"/>
    <w:rsid w:val="009814C1"/>
    <w:rsid w:val="009814E1"/>
    <w:rsid w:val="00981A18"/>
    <w:rsid w:val="00981C07"/>
    <w:rsid w:val="00982D0B"/>
    <w:rsid w:val="00983B18"/>
    <w:rsid w:val="00983FA0"/>
    <w:rsid w:val="009848EA"/>
    <w:rsid w:val="00984B61"/>
    <w:rsid w:val="009851E1"/>
    <w:rsid w:val="00985B85"/>
    <w:rsid w:val="00986BF4"/>
    <w:rsid w:val="0098740D"/>
    <w:rsid w:val="00987C1F"/>
    <w:rsid w:val="00990858"/>
    <w:rsid w:val="009910DB"/>
    <w:rsid w:val="00993C79"/>
    <w:rsid w:val="0099458F"/>
    <w:rsid w:val="0099476B"/>
    <w:rsid w:val="009949D1"/>
    <w:rsid w:val="0099676F"/>
    <w:rsid w:val="009967B1"/>
    <w:rsid w:val="009967D2"/>
    <w:rsid w:val="00997338"/>
    <w:rsid w:val="00997579"/>
    <w:rsid w:val="009A012E"/>
    <w:rsid w:val="009A0C1F"/>
    <w:rsid w:val="009A1815"/>
    <w:rsid w:val="009A26D3"/>
    <w:rsid w:val="009A3275"/>
    <w:rsid w:val="009A3850"/>
    <w:rsid w:val="009A4350"/>
    <w:rsid w:val="009A7355"/>
    <w:rsid w:val="009A73D5"/>
    <w:rsid w:val="009B02A3"/>
    <w:rsid w:val="009B09DF"/>
    <w:rsid w:val="009B0DCB"/>
    <w:rsid w:val="009B1905"/>
    <w:rsid w:val="009B1FB8"/>
    <w:rsid w:val="009B2060"/>
    <w:rsid w:val="009B250D"/>
    <w:rsid w:val="009B34E5"/>
    <w:rsid w:val="009B4A7A"/>
    <w:rsid w:val="009B5018"/>
    <w:rsid w:val="009B5986"/>
    <w:rsid w:val="009B5A45"/>
    <w:rsid w:val="009B71DD"/>
    <w:rsid w:val="009B7888"/>
    <w:rsid w:val="009C0249"/>
    <w:rsid w:val="009C0651"/>
    <w:rsid w:val="009C0C9C"/>
    <w:rsid w:val="009C103B"/>
    <w:rsid w:val="009C17C2"/>
    <w:rsid w:val="009C1837"/>
    <w:rsid w:val="009C1A14"/>
    <w:rsid w:val="009C1ECB"/>
    <w:rsid w:val="009C294F"/>
    <w:rsid w:val="009C2D8E"/>
    <w:rsid w:val="009C357D"/>
    <w:rsid w:val="009C3CFC"/>
    <w:rsid w:val="009C421E"/>
    <w:rsid w:val="009C447D"/>
    <w:rsid w:val="009C4BE7"/>
    <w:rsid w:val="009C4EDA"/>
    <w:rsid w:val="009C518C"/>
    <w:rsid w:val="009C63EA"/>
    <w:rsid w:val="009C63EB"/>
    <w:rsid w:val="009C6F9B"/>
    <w:rsid w:val="009C75A6"/>
    <w:rsid w:val="009C7A3D"/>
    <w:rsid w:val="009D0835"/>
    <w:rsid w:val="009D196A"/>
    <w:rsid w:val="009D1D6B"/>
    <w:rsid w:val="009D22CA"/>
    <w:rsid w:val="009D29BA"/>
    <w:rsid w:val="009D36C5"/>
    <w:rsid w:val="009D3E8A"/>
    <w:rsid w:val="009D4823"/>
    <w:rsid w:val="009D49D4"/>
    <w:rsid w:val="009D5386"/>
    <w:rsid w:val="009D5637"/>
    <w:rsid w:val="009D6E87"/>
    <w:rsid w:val="009D71FD"/>
    <w:rsid w:val="009D7925"/>
    <w:rsid w:val="009D7C64"/>
    <w:rsid w:val="009D7E9E"/>
    <w:rsid w:val="009E0412"/>
    <w:rsid w:val="009E09C3"/>
    <w:rsid w:val="009E0C0C"/>
    <w:rsid w:val="009E0E9E"/>
    <w:rsid w:val="009E1E14"/>
    <w:rsid w:val="009E2780"/>
    <w:rsid w:val="009E484F"/>
    <w:rsid w:val="009F00CB"/>
    <w:rsid w:val="009F07BD"/>
    <w:rsid w:val="009F0CBE"/>
    <w:rsid w:val="009F1721"/>
    <w:rsid w:val="009F1F34"/>
    <w:rsid w:val="009F2171"/>
    <w:rsid w:val="009F22AB"/>
    <w:rsid w:val="009F2A80"/>
    <w:rsid w:val="009F3FFD"/>
    <w:rsid w:val="009F45DE"/>
    <w:rsid w:val="009F6532"/>
    <w:rsid w:val="009F6D7C"/>
    <w:rsid w:val="009F7679"/>
    <w:rsid w:val="009F7CAD"/>
    <w:rsid w:val="00A00A68"/>
    <w:rsid w:val="00A00AE4"/>
    <w:rsid w:val="00A0204E"/>
    <w:rsid w:val="00A04322"/>
    <w:rsid w:val="00A050BD"/>
    <w:rsid w:val="00A06E5A"/>
    <w:rsid w:val="00A0708C"/>
    <w:rsid w:val="00A07227"/>
    <w:rsid w:val="00A0751B"/>
    <w:rsid w:val="00A079C7"/>
    <w:rsid w:val="00A10743"/>
    <w:rsid w:val="00A11B9A"/>
    <w:rsid w:val="00A11C09"/>
    <w:rsid w:val="00A11D52"/>
    <w:rsid w:val="00A12127"/>
    <w:rsid w:val="00A1278C"/>
    <w:rsid w:val="00A133B5"/>
    <w:rsid w:val="00A13668"/>
    <w:rsid w:val="00A1394A"/>
    <w:rsid w:val="00A13A11"/>
    <w:rsid w:val="00A1407C"/>
    <w:rsid w:val="00A14EB8"/>
    <w:rsid w:val="00A17318"/>
    <w:rsid w:val="00A1743E"/>
    <w:rsid w:val="00A20699"/>
    <w:rsid w:val="00A21968"/>
    <w:rsid w:val="00A21D03"/>
    <w:rsid w:val="00A22155"/>
    <w:rsid w:val="00A221A7"/>
    <w:rsid w:val="00A23BD0"/>
    <w:rsid w:val="00A24066"/>
    <w:rsid w:val="00A2502E"/>
    <w:rsid w:val="00A25073"/>
    <w:rsid w:val="00A2543D"/>
    <w:rsid w:val="00A26C45"/>
    <w:rsid w:val="00A3021B"/>
    <w:rsid w:val="00A323EB"/>
    <w:rsid w:val="00A32839"/>
    <w:rsid w:val="00A33694"/>
    <w:rsid w:val="00A33794"/>
    <w:rsid w:val="00A33F68"/>
    <w:rsid w:val="00A34764"/>
    <w:rsid w:val="00A34F88"/>
    <w:rsid w:val="00A35DB7"/>
    <w:rsid w:val="00A365B9"/>
    <w:rsid w:val="00A37C63"/>
    <w:rsid w:val="00A4047A"/>
    <w:rsid w:val="00A40EEA"/>
    <w:rsid w:val="00A41531"/>
    <w:rsid w:val="00A42283"/>
    <w:rsid w:val="00A4228B"/>
    <w:rsid w:val="00A43630"/>
    <w:rsid w:val="00A45421"/>
    <w:rsid w:val="00A45E5B"/>
    <w:rsid w:val="00A470E1"/>
    <w:rsid w:val="00A50380"/>
    <w:rsid w:val="00A50557"/>
    <w:rsid w:val="00A50DC8"/>
    <w:rsid w:val="00A50F13"/>
    <w:rsid w:val="00A537D0"/>
    <w:rsid w:val="00A57241"/>
    <w:rsid w:val="00A57412"/>
    <w:rsid w:val="00A60100"/>
    <w:rsid w:val="00A60220"/>
    <w:rsid w:val="00A60273"/>
    <w:rsid w:val="00A61E82"/>
    <w:rsid w:val="00A624D2"/>
    <w:rsid w:val="00A63C81"/>
    <w:rsid w:val="00A649C7"/>
    <w:rsid w:val="00A64A18"/>
    <w:rsid w:val="00A64DD5"/>
    <w:rsid w:val="00A6532A"/>
    <w:rsid w:val="00A65AB3"/>
    <w:rsid w:val="00A65D0E"/>
    <w:rsid w:val="00A66A54"/>
    <w:rsid w:val="00A675EB"/>
    <w:rsid w:val="00A677BA"/>
    <w:rsid w:val="00A67E64"/>
    <w:rsid w:val="00A67EDC"/>
    <w:rsid w:val="00A70E2A"/>
    <w:rsid w:val="00A70EC5"/>
    <w:rsid w:val="00A7182F"/>
    <w:rsid w:val="00A71A4B"/>
    <w:rsid w:val="00A73611"/>
    <w:rsid w:val="00A7369F"/>
    <w:rsid w:val="00A74255"/>
    <w:rsid w:val="00A74306"/>
    <w:rsid w:val="00A74CA8"/>
    <w:rsid w:val="00A7507B"/>
    <w:rsid w:val="00A75A26"/>
    <w:rsid w:val="00A76A5B"/>
    <w:rsid w:val="00A76CDC"/>
    <w:rsid w:val="00A77B29"/>
    <w:rsid w:val="00A80E1E"/>
    <w:rsid w:val="00A813F0"/>
    <w:rsid w:val="00A8232F"/>
    <w:rsid w:val="00A82402"/>
    <w:rsid w:val="00A82556"/>
    <w:rsid w:val="00A828D0"/>
    <w:rsid w:val="00A82EC1"/>
    <w:rsid w:val="00A838E9"/>
    <w:rsid w:val="00A84EE7"/>
    <w:rsid w:val="00A855D7"/>
    <w:rsid w:val="00A85C16"/>
    <w:rsid w:val="00A85D11"/>
    <w:rsid w:val="00A90031"/>
    <w:rsid w:val="00A900DF"/>
    <w:rsid w:val="00A90345"/>
    <w:rsid w:val="00A9156D"/>
    <w:rsid w:val="00A917CF"/>
    <w:rsid w:val="00A91D26"/>
    <w:rsid w:val="00A91DBC"/>
    <w:rsid w:val="00A91DE5"/>
    <w:rsid w:val="00A922FF"/>
    <w:rsid w:val="00A923FB"/>
    <w:rsid w:val="00A92BB0"/>
    <w:rsid w:val="00A93D9C"/>
    <w:rsid w:val="00A94178"/>
    <w:rsid w:val="00A946EA"/>
    <w:rsid w:val="00A95B33"/>
    <w:rsid w:val="00A96A1D"/>
    <w:rsid w:val="00A97888"/>
    <w:rsid w:val="00AA040A"/>
    <w:rsid w:val="00AA0467"/>
    <w:rsid w:val="00AA108D"/>
    <w:rsid w:val="00AA1B1D"/>
    <w:rsid w:val="00AA1F30"/>
    <w:rsid w:val="00AA2143"/>
    <w:rsid w:val="00AA2381"/>
    <w:rsid w:val="00AA23E3"/>
    <w:rsid w:val="00AA277E"/>
    <w:rsid w:val="00AA2B7A"/>
    <w:rsid w:val="00AA35C7"/>
    <w:rsid w:val="00AA35D7"/>
    <w:rsid w:val="00AA4BA3"/>
    <w:rsid w:val="00AA5BB4"/>
    <w:rsid w:val="00AA6101"/>
    <w:rsid w:val="00AA795D"/>
    <w:rsid w:val="00AB0C5C"/>
    <w:rsid w:val="00AB1143"/>
    <w:rsid w:val="00AB1165"/>
    <w:rsid w:val="00AB148B"/>
    <w:rsid w:val="00AB22B9"/>
    <w:rsid w:val="00AB2E3E"/>
    <w:rsid w:val="00AB37AE"/>
    <w:rsid w:val="00AB65B0"/>
    <w:rsid w:val="00AB6DE8"/>
    <w:rsid w:val="00AC06E2"/>
    <w:rsid w:val="00AC0DC9"/>
    <w:rsid w:val="00AC1BDC"/>
    <w:rsid w:val="00AC27AA"/>
    <w:rsid w:val="00AC3BC8"/>
    <w:rsid w:val="00AC4071"/>
    <w:rsid w:val="00AC4978"/>
    <w:rsid w:val="00AC5255"/>
    <w:rsid w:val="00AC53B1"/>
    <w:rsid w:val="00AC5737"/>
    <w:rsid w:val="00AC57B7"/>
    <w:rsid w:val="00AC58E1"/>
    <w:rsid w:val="00AC5A68"/>
    <w:rsid w:val="00AC6330"/>
    <w:rsid w:val="00AD01AD"/>
    <w:rsid w:val="00AD0660"/>
    <w:rsid w:val="00AD0742"/>
    <w:rsid w:val="00AD0B98"/>
    <w:rsid w:val="00AD0E14"/>
    <w:rsid w:val="00AD1FF0"/>
    <w:rsid w:val="00AD22B9"/>
    <w:rsid w:val="00AD3945"/>
    <w:rsid w:val="00AD4040"/>
    <w:rsid w:val="00AD43DB"/>
    <w:rsid w:val="00AD5231"/>
    <w:rsid w:val="00AD636F"/>
    <w:rsid w:val="00AD6BD2"/>
    <w:rsid w:val="00AD6DA1"/>
    <w:rsid w:val="00AD7621"/>
    <w:rsid w:val="00AD79EB"/>
    <w:rsid w:val="00AD7DB6"/>
    <w:rsid w:val="00AE0143"/>
    <w:rsid w:val="00AE0AFE"/>
    <w:rsid w:val="00AE1487"/>
    <w:rsid w:val="00AE1771"/>
    <w:rsid w:val="00AE1DF4"/>
    <w:rsid w:val="00AE247C"/>
    <w:rsid w:val="00AE278F"/>
    <w:rsid w:val="00AE3384"/>
    <w:rsid w:val="00AE3641"/>
    <w:rsid w:val="00AE37F6"/>
    <w:rsid w:val="00AE42FA"/>
    <w:rsid w:val="00AE46F9"/>
    <w:rsid w:val="00AE523D"/>
    <w:rsid w:val="00AE5C2B"/>
    <w:rsid w:val="00AE5E6A"/>
    <w:rsid w:val="00AE62EC"/>
    <w:rsid w:val="00AE670A"/>
    <w:rsid w:val="00AE7397"/>
    <w:rsid w:val="00AF0436"/>
    <w:rsid w:val="00AF11FA"/>
    <w:rsid w:val="00AF1431"/>
    <w:rsid w:val="00AF1633"/>
    <w:rsid w:val="00AF184D"/>
    <w:rsid w:val="00AF2911"/>
    <w:rsid w:val="00AF2D33"/>
    <w:rsid w:val="00AF4AB5"/>
    <w:rsid w:val="00AF56A9"/>
    <w:rsid w:val="00AF5C10"/>
    <w:rsid w:val="00AF5E4E"/>
    <w:rsid w:val="00AF6384"/>
    <w:rsid w:val="00AF6D57"/>
    <w:rsid w:val="00AF6E55"/>
    <w:rsid w:val="00AF79C9"/>
    <w:rsid w:val="00AF7EC9"/>
    <w:rsid w:val="00AF7F1D"/>
    <w:rsid w:val="00B0097B"/>
    <w:rsid w:val="00B0357C"/>
    <w:rsid w:val="00B038D9"/>
    <w:rsid w:val="00B03B42"/>
    <w:rsid w:val="00B03E31"/>
    <w:rsid w:val="00B04013"/>
    <w:rsid w:val="00B04401"/>
    <w:rsid w:val="00B04F60"/>
    <w:rsid w:val="00B05729"/>
    <w:rsid w:val="00B06AE9"/>
    <w:rsid w:val="00B06D54"/>
    <w:rsid w:val="00B0713E"/>
    <w:rsid w:val="00B105A5"/>
    <w:rsid w:val="00B107C4"/>
    <w:rsid w:val="00B10EEB"/>
    <w:rsid w:val="00B1248E"/>
    <w:rsid w:val="00B126DF"/>
    <w:rsid w:val="00B14340"/>
    <w:rsid w:val="00B17032"/>
    <w:rsid w:val="00B17536"/>
    <w:rsid w:val="00B20DC5"/>
    <w:rsid w:val="00B20E97"/>
    <w:rsid w:val="00B229F8"/>
    <w:rsid w:val="00B23821"/>
    <w:rsid w:val="00B23967"/>
    <w:rsid w:val="00B23BFF"/>
    <w:rsid w:val="00B24917"/>
    <w:rsid w:val="00B257FE"/>
    <w:rsid w:val="00B25993"/>
    <w:rsid w:val="00B30C58"/>
    <w:rsid w:val="00B33BB1"/>
    <w:rsid w:val="00B34888"/>
    <w:rsid w:val="00B34A54"/>
    <w:rsid w:val="00B35528"/>
    <w:rsid w:val="00B35D8E"/>
    <w:rsid w:val="00B36851"/>
    <w:rsid w:val="00B36BFF"/>
    <w:rsid w:val="00B371FB"/>
    <w:rsid w:val="00B3723E"/>
    <w:rsid w:val="00B373E8"/>
    <w:rsid w:val="00B40FD7"/>
    <w:rsid w:val="00B41353"/>
    <w:rsid w:val="00B414D0"/>
    <w:rsid w:val="00B41B6D"/>
    <w:rsid w:val="00B42CA5"/>
    <w:rsid w:val="00B42F23"/>
    <w:rsid w:val="00B43036"/>
    <w:rsid w:val="00B4314C"/>
    <w:rsid w:val="00B432A2"/>
    <w:rsid w:val="00B442A0"/>
    <w:rsid w:val="00B44898"/>
    <w:rsid w:val="00B452D4"/>
    <w:rsid w:val="00B4562D"/>
    <w:rsid w:val="00B45AF0"/>
    <w:rsid w:val="00B45B7F"/>
    <w:rsid w:val="00B46382"/>
    <w:rsid w:val="00B4691C"/>
    <w:rsid w:val="00B46AA9"/>
    <w:rsid w:val="00B50BA0"/>
    <w:rsid w:val="00B51E11"/>
    <w:rsid w:val="00B52824"/>
    <w:rsid w:val="00B545FD"/>
    <w:rsid w:val="00B549A4"/>
    <w:rsid w:val="00B54A16"/>
    <w:rsid w:val="00B54BE8"/>
    <w:rsid w:val="00B54F30"/>
    <w:rsid w:val="00B55267"/>
    <w:rsid w:val="00B55904"/>
    <w:rsid w:val="00B577E4"/>
    <w:rsid w:val="00B5798D"/>
    <w:rsid w:val="00B604CA"/>
    <w:rsid w:val="00B604F0"/>
    <w:rsid w:val="00B60F68"/>
    <w:rsid w:val="00B60F85"/>
    <w:rsid w:val="00B611A0"/>
    <w:rsid w:val="00B61341"/>
    <w:rsid w:val="00B61455"/>
    <w:rsid w:val="00B62596"/>
    <w:rsid w:val="00B6298C"/>
    <w:rsid w:val="00B62A45"/>
    <w:rsid w:val="00B63B63"/>
    <w:rsid w:val="00B63E15"/>
    <w:rsid w:val="00B63E8D"/>
    <w:rsid w:val="00B6440F"/>
    <w:rsid w:val="00B64E70"/>
    <w:rsid w:val="00B65619"/>
    <w:rsid w:val="00B67BE9"/>
    <w:rsid w:val="00B70532"/>
    <w:rsid w:val="00B71105"/>
    <w:rsid w:val="00B725EC"/>
    <w:rsid w:val="00B72AEB"/>
    <w:rsid w:val="00B739C4"/>
    <w:rsid w:val="00B73F25"/>
    <w:rsid w:val="00B741B2"/>
    <w:rsid w:val="00B744A2"/>
    <w:rsid w:val="00B74CCB"/>
    <w:rsid w:val="00B74F96"/>
    <w:rsid w:val="00B74FE8"/>
    <w:rsid w:val="00B75047"/>
    <w:rsid w:val="00B75E1A"/>
    <w:rsid w:val="00B768AB"/>
    <w:rsid w:val="00B7773B"/>
    <w:rsid w:val="00B77843"/>
    <w:rsid w:val="00B77FAA"/>
    <w:rsid w:val="00B80413"/>
    <w:rsid w:val="00B8050A"/>
    <w:rsid w:val="00B8151D"/>
    <w:rsid w:val="00B81D08"/>
    <w:rsid w:val="00B834C7"/>
    <w:rsid w:val="00B83D45"/>
    <w:rsid w:val="00B84363"/>
    <w:rsid w:val="00B85C39"/>
    <w:rsid w:val="00B8621B"/>
    <w:rsid w:val="00B864DE"/>
    <w:rsid w:val="00B868E3"/>
    <w:rsid w:val="00B86D85"/>
    <w:rsid w:val="00B86E1A"/>
    <w:rsid w:val="00B8732C"/>
    <w:rsid w:val="00B91D73"/>
    <w:rsid w:val="00B92F81"/>
    <w:rsid w:val="00B9313F"/>
    <w:rsid w:val="00B947A5"/>
    <w:rsid w:val="00B9563E"/>
    <w:rsid w:val="00B95D31"/>
    <w:rsid w:val="00B95F14"/>
    <w:rsid w:val="00B9626B"/>
    <w:rsid w:val="00BA12B1"/>
    <w:rsid w:val="00BA1611"/>
    <w:rsid w:val="00BA1694"/>
    <w:rsid w:val="00BA1D5E"/>
    <w:rsid w:val="00BA23AC"/>
    <w:rsid w:val="00BA23E6"/>
    <w:rsid w:val="00BA2F17"/>
    <w:rsid w:val="00BA3F13"/>
    <w:rsid w:val="00BA514D"/>
    <w:rsid w:val="00BA6B74"/>
    <w:rsid w:val="00BA799A"/>
    <w:rsid w:val="00BA7E4E"/>
    <w:rsid w:val="00BB02E1"/>
    <w:rsid w:val="00BB181D"/>
    <w:rsid w:val="00BB1A73"/>
    <w:rsid w:val="00BB1DD5"/>
    <w:rsid w:val="00BB1E16"/>
    <w:rsid w:val="00BB37BE"/>
    <w:rsid w:val="00BB488D"/>
    <w:rsid w:val="00BB559A"/>
    <w:rsid w:val="00BB69CF"/>
    <w:rsid w:val="00BB711D"/>
    <w:rsid w:val="00BB7DBE"/>
    <w:rsid w:val="00BB7E44"/>
    <w:rsid w:val="00BC0116"/>
    <w:rsid w:val="00BC11EC"/>
    <w:rsid w:val="00BC2269"/>
    <w:rsid w:val="00BC33FC"/>
    <w:rsid w:val="00BC4F6A"/>
    <w:rsid w:val="00BC509B"/>
    <w:rsid w:val="00BC64AE"/>
    <w:rsid w:val="00BC6BDB"/>
    <w:rsid w:val="00BC7EB4"/>
    <w:rsid w:val="00BD0ABB"/>
    <w:rsid w:val="00BD0EDA"/>
    <w:rsid w:val="00BD309B"/>
    <w:rsid w:val="00BD346D"/>
    <w:rsid w:val="00BD49BC"/>
    <w:rsid w:val="00BD4A08"/>
    <w:rsid w:val="00BD5700"/>
    <w:rsid w:val="00BD691D"/>
    <w:rsid w:val="00BD709C"/>
    <w:rsid w:val="00BD741E"/>
    <w:rsid w:val="00BD752B"/>
    <w:rsid w:val="00BD7F9B"/>
    <w:rsid w:val="00BE0493"/>
    <w:rsid w:val="00BE0544"/>
    <w:rsid w:val="00BE0849"/>
    <w:rsid w:val="00BE143A"/>
    <w:rsid w:val="00BE1FB9"/>
    <w:rsid w:val="00BE2799"/>
    <w:rsid w:val="00BE28FC"/>
    <w:rsid w:val="00BE3F99"/>
    <w:rsid w:val="00BE4745"/>
    <w:rsid w:val="00BE49C7"/>
    <w:rsid w:val="00BE6464"/>
    <w:rsid w:val="00BE6D77"/>
    <w:rsid w:val="00BE70CE"/>
    <w:rsid w:val="00BF02A7"/>
    <w:rsid w:val="00BF1092"/>
    <w:rsid w:val="00BF344B"/>
    <w:rsid w:val="00BF41AB"/>
    <w:rsid w:val="00BF4B02"/>
    <w:rsid w:val="00BF4CB2"/>
    <w:rsid w:val="00BF5A7B"/>
    <w:rsid w:val="00BF5BEA"/>
    <w:rsid w:val="00BF70F0"/>
    <w:rsid w:val="00BF7A5D"/>
    <w:rsid w:val="00BF7BAC"/>
    <w:rsid w:val="00C00EEA"/>
    <w:rsid w:val="00C010F8"/>
    <w:rsid w:val="00C01CAD"/>
    <w:rsid w:val="00C0247F"/>
    <w:rsid w:val="00C02C38"/>
    <w:rsid w:val="00C03FB9"/>
    <w:rsid w:val="00C044AA"/>
    <w:rsid w:val="00C04660"/>
    <w:rsid w:val="00C050D9"/>
    <w:rsid w:val="00C052FD"/>
    <w:rsid w:val="00C0585F"/>
    <w:rsid w:val="00C061BD"/>
    <w:rsid w:val="00C062F8"/>
    <w:rsid w:val="00C06C08"/>
    <w:rsid w:val="00C07472"/>
    <w:rsid w:val="00C07C8E"/>
    <w:rsid w:val="00C1063D"/>
    <w:rsid w:val="00C115FA"/>
    <w:rsid w:val="00C126E4"/>
    <w:rsid w:val="00C1329B"/>
    <w:rsid w:val="00C13399"/>
    <w:rsid w:val="00C143D4"/>
    <w:rsid w:val="00C1455C"/>
    <w:rsid w:val="00C14EB0"/>
    <w:rsid w:val="00C169C4"/>
    <w:rsid w:val="00C16B46"/>
    <w:rsid w:val="00C16F67"/>
    <w:rsid w:val="00C16FE3"/>
    <w:rsid w:val="00C1740D"/>
    <w:rsid w:val="00C17553"/>
    <w:rsid w:val="00C20175"/>
    <w:rsid w:val="00C2080C"/>
    <w:rsid w:val="00C214FE"/>
    <w:rsid w:val="00C21AE1"/>
    <w:rsid w:val="00C21EAA"/>
    <w:rsid w:val="00C2233F"/>
    <w:rsid w:val="00C23BD7"/>
    <w:rsid w:val="00C24C63"/>
    <w:rsid w:val="00C257C0"/>
    <w:rsid w:val="00C268EB"/>
    <w:rsid w:val="00C26DCF"/>
    <w:rsid w:val="00C27D3E"/>
    <w:rsid w:val="00C3159F"/>
    <w:rsid w:val="00C318C5"/>
    <w:rsid w:val="00C31AB3"/>
    <w:rsid w:val="00C321DD"/>
    <w:rsid w:val="00C32E2A"/>
    <w:rsid w:val="00C332A4"/>
    <w:rsid w:val="00C33324"/>
    <w:rsid w:val="00C337BF"/>
    <w:rsid w:val="00C34080"/>
    <w:rsid w:val="00C3471E"/>
    <w:rsid w:val="00C34859"/>
    <w:rsid w:val="00C35097"/>
    <w:rsid w:val="00C351AF"/>
    <w:rsid w:val="00C37AFB"/>
    <w:rsid w:val="00C40A89"/>
    <w:rsid w:val="00C41911"/>
    <w:rsid w:val="00C41D0F"/>
    <w:rsid w:val="00C41DAC"/>
    <w:rsid w:val="00C42352"/>
    <w:rsid w:val="00C42758"/>
    <w:rsid w:val="00C42E5D"/>
    <w:rsid w:val="00C44009"/>
    <w:rsid w:val="00C44241"/>
    <w:rsid w:val="00C44488"/>
    <w:rsid w:val="00C44F79"/>
    <w:rsid w:val="00C4550B"/>
    <w:rsid w:val="00C4598F"/>
    <w:rsid w:val="00C459EE"/>
    <w:rsid w:val="00C461BD"/>
    <w:rsid w:val="00C468B6"/>
    <w:rsid w:val="00C46A29"/>
    <w:rsid w:val="00C46B0E"/>
    <w:rsid w:val="00C46D3E"/>
    <w:rsid w:val="00C47B50"/>
    <w:rsid w:val="00C51942"/>
    <w:rsid w:val="00C54857"/>
    <w:rsid w:val="00C552CC"/>
    <w:rsid w:val="00C55533"/>
    <w:rsid w:val="00C557D1"/>
    <w:rsid w:val="00C55F06"/>
    <w:rsid w:val="00C57569"/>
    <w:rsid w:val="00C60517"/>
    <w:rsid w:val="00C60B95"/>
    <w:rsid w:val="00C60D23"/>
    <w:rsid w:val="00C61166"/>
    <w:rsid w:val="00C61720"/>
    <w:rsid w:val="00C62202"/>
    <w:rsid w:val="00C6231F"/>
    <w:rsid w:val="00C631BD"/>
    <w:rsid w:val="00C63E15"/>
    <w:rsid w:val="00C65189"/>
    <w:rsid w:val="00C6604F"/>
    <w:rsid w:val="00C6626E"/>
    <w:rsid w:val="00C66FE1"/>
    <w:rsid w:val="00C67FB4"/>
    <w:rsid w:val="00C7138B"/>
    <w:rsid w:val="00C71798"/>
    <w:rsid w:val="00C71D0B"/>
    <w:rsid w:val="00C72437"/>
    <w:rsid w:val="00C7402B"/>
    <w:rsid w:val="00C74031"/>
    <w:rsid w:val="00C740DD"/>
    <w:rsid w:val="00C74521"/>
    <w:rsid w:val="00C74EC2"/>
    <w:rsid w:val="00C7546E"/>
    <w:rsid w:val="00C759B6"/>
    <w:rsid w:val="00C77D70"/>
    <w:rsid w:val="00C805E8"/>
    <w:rsid w:val="00C81EAD"/>
    <w:rsid w:val="00C82A84"/>
    <w:rsid w:val="00C82D1B"/>
    <w:rsid w:val="00C869E6"/>
    <w:rsid w:val="00C872B9"/>
    <w:rsid w:val="00C879AC"/>
    <w:rsid w:val="00C9043C"/>
    <w:rsid w:val="00C90507"/>
    <w:rsid w:val="00C91147"/>
    <w:rsid w:val="00C922E1"/>
    <w:rsid w:val="00C92499"/>
    <w:rsid w:val="00C944DA"/>
    <w:rsid w:val="00C9486D"/>
    <w:rsid w:val="00C95123"/>
    <w:rsid w:val="00C954A9"/>
    <w:rsid w:val="00C957AF"/>
    <w:rsid w:val="00C962AF"/>
    <w:rsid w:val="00C96F30"/>
    <w:rsid w:val="00CA007E"/>
    <w:rsid w:val="00CA142C"/>
    <w:rsid w:val="00CA1601"/>
    <w:rsid w:val="00CA1EBD"/>
    <w:rsid w:val="00CA2078"/>
    <w:rsid w:val="00CA2802"/>
    <w:rsid w:val="00CA2CC1"/>
    <w:rsid w:val="00CA4312"/>
    <w:rsid w:val="00CA4D79"/>
    <w:rsid w:val="00CA539D"/>
    <w:rsid w:val="00CA57F7"/>
    <w:rsid w:val="00CA595A"/>
    <w:rsid w:val="00CA5A26"/>
    <w:rsid w:val="00CA5FFA"/>
    <w:rsid w:val="00CA65F7"/>
    <w:rsid w:val="00CA6A8B"/>
    <w:rsid w:val="00CA72E1"/>
    <w:rsid w:val="00CA7820"/>
    <w:rsid w:val="00CB0739"/>
    <w:rsid w:val="00CB0946"/>
    <w:rsid w:val="00CB1974"/>
    <w:rsid w:val="00CB2852"/>
    <w:rsid w:val="00CB2C6A"/>
    <w:rsid w:val="00CB3A88"/>
    <w:rsid w:val="00CB4C79"/>
    <w:rsid w:val="00CB4FD5"/>
    <w:rsid w:val="00CB5B9C"/>
    <w:rsid w:val="00CB6466"/>
    <w:rsid w:val="00CB70FE"/>
    <w:rsid w:val="00CB762A"/>
    <w:rsid w:val="00CC0001"/>
    <w:rsid w:val="00CC14F2"/>
    <w:rsid w:val="00CC333B"/>
    <w:rsid w:val="00CC395D"/>
    <w:rsid w:val="00CC3B26"/>
    <w:rsid w:val="00CC5B99"/>
    <w:rsid w:val="00CC61F1"/>
    <w:rsid w:val="00CC6F3D"/>
    <w:rsid w:val="00CC76A2"/>
    <w:rsid w:val="00CC7CF1"/>
    <w:rsid w:val="00CD0520"/>
    <w:rsid w:val="00CD2934"/>
    <w:rsid w:val="00CD346A"/>
    <w:rsid w:val="00CD3D1F"/>
    <w:rsid w:val="00CD62F6"/>
    <w:rsid w:val="00CD7682"/>
    <w:rsid w:val="00CD7840"/>
    <w:rsid w:val="00CD7C92"/>
    <w:rsid w:val="00CE08FC"/>
    <w:rsid w:val="00CE2FB3"/>
    <w:rsid w:val="00CE353E"/>
    <w:rsid w:val="00CE389B"/>
    <w:rsid w:val="00CE3AB1"/>
    <w:rsid w:val="00CE51BA"/>
    <w:rsid w:val="00CE552F"/>
    <w:rsid w:val="00CE58B9"/>
    <w:rsid w:val="00CE5D0C"/>
    <w:rsid w:val="00CE68F5"/>
    <w:rsid w:val="00CE6D03"/>
    <w:rsid w:val="00CE7286"/>
    <w:rsid w:val="00CF09D3"/>
    <w:rsid w:val="00CF0AEA"/>
    <w:rsid w:val="00CF0D24"/>
    <w:rsid w:val="00CF0DB7"/>
    <w:rsid w:val="00CF12D8"/>
    <w:rsid w:val="00CF135C"/>
    <w:rsid w:val="00CF2622"/>
    <w:rsid w:val="00CF31E1"/>
    <w:rsid w:val="00CF3612"/>
    <w:rsid w:val="00CF45A1"/>
    <w:rsid w:val="00CF4F52"/>
    <w:rsid w:val="00CF5FC5"/>
    <w:rsid w:val="00CF6A03"/>
    <w:rsid w:val="00CF6DEA"/>
    <w:rsid w:val="00CF73FB"/>
    <w:rsid w:val="00D00B67"/>
    <w:rsid w:val="00D01084"/>
    <w:rsid w:val="00D026EF"/>
    <w:rsid w:val="00D029F1"/>
    <w:rsid w:val="00D02B2D"/>
    <w:rsid w:val="00D02B97"/>
    <w:rsid w:val="00D02D31"/>
    <w:rsid w:val="00D02F94"/>
    <w:rsid w:val="00D04328"/>
    <w:rsid w:val="00D04570"/>
    <w:rsid w:val="00D04640"/>
    <w:rsid w:val="00D06455"/>
    <w:rsid w:val="00D07331"/>
    <w:rsid w:val="00D07EFE"/>
    <w:rsid w:val="00D11E8B"/>
    <w:rsid w:val="00D12381"/>
    <w:rsid w:val="00D13A19"/>
    <w:rsid w:val="00D16629"/>
    <w:rsid w:val="00D1720C"/>
    <w:rsid w:val="00D216AA"/>
    <w:rsid w:val="00D21C8C"/>
    <w:rsid w:val="00D224B9"/>
    <w:rsid w:val="00D22BDE"/>
    <w:rsid w:val="00D23812"/>
    <w:rsid w:val="00D247A6"/>
    <w:rsid w:val="00D24EBD"/>
    <w:rsid w:val="00D25591"/>
    <w:rsid w:val="00D2599F"/>
    <w:rsid w:val="00D25D4F"/>
    <w:rsid w:val="00D263E5"/>
    <w:rsid w:val="00D269ED"/>
    <w:rsid w:val="00D26A90"/>
    <w:rsid w:val="00D26E3D"/>
    <w:rsid w:val="00D2716C"/>
    <w:rsid w:val="00D272AC"/>
    <w:rsid w:val="00D27787"/>
    <w:rsid w:val="00D31078"/>
    <w:rsid w:val="00D31651"/>
    <w:rsid w:val="00D324A1"/>
    <w:rsid w:val="00D3254F"/>
    <w:rsid w:val="00D34BD4"/>
    <w:rsid w:val="00D34D29"/>
    <w:rsid w:val="00D351CE"/>
    <w:rsid w:val="00D35FF6"/>
    <w:rsid w:val="00D36496"/>
    <w:rsid w:val="00D373CC"/>
    <w:rsid w:val="00D404AA"/>
    <w:rsid w:val="00D41089"/>
    <w:rsid w:val="00D41527"/>
    <w:rsid w:val="00D41CB3"/>
    <w:rsid w:val="00D421C4"/>
    <w:rsid w:val="00D422F2"/>
    <w:rsid w:val="00D42736"/>
    <w:rsid w:val="00D43BC8"/>
    <w:rsid w:val="00D440B6"/>
    <w:rsid w:val="00D445AB"/>
    <w:rsid w:val="00D44698"/>
    <w:rsid w:val="00D4494F"/>
    <w:rsid w:val="00D4497F"/>
    <w:rsid w:val="00D449E3"/>
    <w:rsid w:val="00D46BA8"/>
    <w:rsid w:val="00D47537"/>
    <w:rsid w:val="00D477C5"/>
    <w:rsid w:val="00D4792F"/>
    <w:rsid w:val="00D50307"/>
    <w:rsid w:val="00D50C80"/>
    <w:rsid w:val="00D510BD"/>
    <w:rsid w:val="00D518DB"/>
    <w:rsid w:val="00D51A81"/>
    <w:rsid w:val="00D523DB"/>
    <w:rsid w:val="00D524B5"/>
    <w:rsid w:val="00D5293D"/>
    <w:rsid w:val="00D5307A"/>
    <w:rsid w:val="00D53DB6"/>
    <w:rsid w:val="00D542DA"/>
    <w:rsid w:val="00D551FF"/>
    <w:rsid w:val="00D55486"/>
    <w:rsid w:val="00D56A92"/>
    <w:rsid w:val="00D6089C"/>
    <w:rsid w:val="00D62CA1"/>
    <w:rsid w:val="00D63608"/>
    <w:rsid w:val="00D63C89"/>
    <w:rsid w:val="00D64926"/>
    <w:rsid w:val="00D64E42"/>
    <w:rsid w:val="00D65531"/>
    <w:rsid w:val="00D65795"/>
    <w:rsid w:val="00D658D4"/>
    <w:rsid w:val="00D66BDE"/>
    <w:rsid w:val="00D678A7"/>
    <w:rsid w:val="00D7117D"/>
    <w:rsid w:val="00D71DEC"/>
    <w:rsid w:val="00D737D1"/>
    <w:rsid w:val="00D748C7"/>
    <w:rsid w:val="00D7531B"/>
    <w:rsid w:val="00D7538E"/>
    <w:rsid w:val="00D754FF"/>
    <w:rsid w:val="00D75935"/>
    <w:rsid w:val="00D7600F"/>
    <w:rsid w:val="00D76670"/>
    <w:rsid w:val="00D76DBD"/>
    <w:rsid w:val="00D76EDA"/>
    <w:rsid w:val="00D7762A"/>
    <w:rsid w:val="00D802B8"/>
    <w:rsid w:val="00D8243D"/>
    <w:rsid w:val="00D83551"/>
    <w:rsid w:val="00D836E5"/>
    <w:rsid w:val="00D84F8F"/>
    <w:rsid w:val="00D851F3"/>
    <w:rsid w:val="00D85475"/>
    <w:rsid w:val="00D855EC"/>
    <w:rsid w:val="00D85C1E"/>
    <w:rsid w:val="00D85C65"/>
    <w:rsid w:val="00D86323"/>
    <w:rsid w:val="00D87283"/>
    <w:rsid w:val="00D8775A"/>
    <w:rsid w:val="00D87E69"/>
    <w:rsid w:val="00D9067A"/>
    <w:rsid w:val="00D90A17"/>
    <w:rsid w:val="00D91DEF"/>
    <w:rsid w:val="00D92138"/>
    <w:rsid w:val="00D925FB"/>
    <w:rsid w:val="00D92748"/>
    <w:rsid w:val="00D928F0"/>
    <w:rsid w:val="00D92A90"/>
    <w:rsid w:val="00D93225"/>
    <w:rsid w:val="00D93B3A"/>
    <w:rsid w:val="00D9403F"/>
    <w:rsid w:val="00D9454D"/>
    <w:rsid w:val="00D94F07"/>
    <w:rsid w:val="00D96014"/>
    <w:rsid w:val="00D973FF"/>
    <w:rsid w:val="00D97CD8"/>
    <w:rsid w:val="00D97F24"/>
    <w:rsid w:val="00DA152C"/>
    <w:rsid w:val="00DA1E29"/>
    <w:rsid w:val="00DA3176"/>
    <w:rsid w:val="00DA3326"/>
    <w:rsid w:val="00DA4D0D"/>
    <w:rsid w:val="00DA6073"/>
    <w:rsid w:val="00DA6C0F"/>
    <w:rsid w:val="00DA6ED2"/>
    <w:rsid w:val="00DA7164"/>
    <w:rsid w:val="00DB0B31"/>
    <w:rsid w:val="00DB1330"/>
    <w:rsid w:val="00DB13AB"/>
    <w:rsid w:val="00DB14B6"/>
    <w:rsid w:val="00DB1572"/>
    <w:rsid w:val="00DB19B9"/>
    <w:rsid w:val="00DB1B89"/>
    <w:rsid w:val="00DB2651"/>
    <w:rsid w:val="00DB3AD5"/>
    <w:rsid w:val="00DB3DC6"/>
    <w:rsid w:val="00DB40CB"/>
    <w:rsid w:val="00DB4AB3"/>
    <w:rsid w:val="00DB55E4"/>
    <w:rsid w:val="00DB5D81"/>
    <w:rsid w:val="00DB6065"/>
    <w:rsid w:val="00DB6535"/>
    <w:rsid w:val="00DB65C9"/>
    <w:rsid w:val="00DB6F97"/>
    <w:rsid w:val="00DC0041"/>
    <w:rsid w:val="00DC0597"/>
    <w:rsid w:val="00DC0E3A"/>
    <w:rsid w:val="00DC119F"/>
    <w:rsid w:val="00DC163B"/>
    <w:rsid w:val="00DC1CFB"/>
    <w:rsid w:val="00DC24BC"/>
    <w:rsid w:val="00DC2789"/>
    <w:rsid w:val="00DC3287"/>
    <w:rsid w:val="00DC3FCF"/>
    <w:rsid w:val="00DC4979"/>
    <w:rsid w:val="00DC4A70"/>
    <w:rsid w:val="00DC590F"/>
    <w:rsid w:val="00DC602E"/>
    <w:rsid w:val="00DC60AA"/>
    <w:rsid w:val="00DC6B41"/>
    <w:rsid w:val="00DC6CFE"/>
    <w:rsid w:val="00DC6F44"/>
    <w:rsid w:val="00DD0140"/>
    <w:rsid w:val="00DD1143"/>
    <w:rsid w:val="00DD139F"/>
    <w:rsid w:val="00DD1ADB"/>
    <w:rsid w:val="00DD201D"/>
    <w:rsid w:val="00DD2672"/>
    <w:rsid w:val="00DD2B7D"/>
    <w:rsid w:val="00DD2EAA"/>
    <w:rsid w:val="00DD300F"/>
    <w:rsid w:val="00DD33C5"/>
    <w:rsid w:val="00DD3681"/>
    <w:rsid w:val="00DD3C9D"/>
    <w:rsid w:val="00DD4734"/>
    <w:rsid w:val="00DD5D2A"/>
    <w:rsid w:val="00DD695C"/>
    <w:rsid w:val="00DE0696"/>
    <w:rsid w:val="00DE0DB7"/>
    <w:rsid w:val="00DE128F"/>
    <w:rsid w:val="00DE2383"/>
    <w:rsid w:val="00DE4EFA"/>
    <w:rsid w:val="00DE4F0B"/>
    <w:rsid w:val="00DE4FCA"/>
    <w:rsid w:val="00DE5230"/>
    <w:rsid w:val="00DE6078"/>
    <w:rsid w:val="00DE638E"/>
    <w:rsid w:val="00DE71A0"/>
    <w:rsid w:val="00DF0622"/>
    <w:rsid w:val="00DF117F"/>
    <w:rsid w:val="00DF1F89"/>
    <w:rsid w:val="00DF3EE9"/>
    <w:rsid w:val="00DF48FC"/>
    <w:rsid w:val="00DF5584"/>
    <w:rsid w:val="00DF5846"/>
    <w:rsid w:val="00DF6750"/>
    <w:rsid w:val="00DF76BF"/>
    <w:rsid w:val="00E00E10"/>
    <w:rsid w:val="00E00F34"/>
    <w:rsid w:val="00E01132"/>
    <w:rsid w:val="00E02078"/>
    <w:rsid w:val="00E0335F"/>
    <w:rsid w:val="00E034C5"/>
    <w:rsid w:val="00E0370E"/>
    <w:rsid w:val="00E03E4E"/>
    <w:rsid w:val="00E04058"/>
    <w:rsid w:val="00E042EC"/>
    <w:rsid w:val="00E04EBD"/>
    <w:rsid w:val="00E05836"/>
    <w:rsid w:val="00E063E7"/>
    <w:rsid w:val="00E06933"/>
    <w:rsid w:val="00E06C3C"/>
    <w:rsid w:val="00E07136"/>
    <w:rsid w:val="00E07524"/>
    <w:rsid w:val="00E07910"/>
    <w:rsid w:val="00E1016C"/>
    <w:rsid w:val="00E103DA"/>
    <w:rsid w:val="00E10825"/>
    <w:rsid w:val="00E10A9B"/>
    <w:rsid w:val="00E119BA"/>
    <w:rsid w:val="00E12064"/>
    <w:rsid w:val="00E12C7C"/>
    <w:rsid w:val="00E13118"/>
    <w:rsid w:val="00E1423D"/>
    <w:rsid w:val="00E1549C"/>
    <w:rsid w:val="00E15792"/>
    <w:rsid w:val="00E17C26"/>
    <w:rsid w:val="00E20CC2"/>
    <w:rsid w:val="00E20D88"/>
    <w:rsid w:val="00E2266D"/>
    <w:rsid w:val="00E22A69"/>
    <w:rsid w:val="00E22C14"/>
    <w:rsid w:val="00E23980"/>
    <w:rsid w:val="00E24688"/>
    <w:rsid w:val="00E24A7E"/>
    <w:rsid w:val="00E258D2"/>
    <w:rsid w:val="00E26128"/>
    <w:rsid w:val="00E2671C"/>
    <w:rsid w:val="00E27F89"/>
    <w:rsid w:val="00E3016A"/>
    <w:rsid w:val="00E306D7"/>
    <w:rsid w:val="00E309C5"/>
    <w:rsid w:val="00E31A29"/>
    <w:rsid w:val="00E3298B"/>
    <w:rsid w:val="00E32D81"/>
    <w:rsid w:val="00E330D7"/>
    <w:rsid w:val="00E342FA"/>
    <w:rsid w:val="00E345B4"/>
    <w:rsid w:val="00E352E2"/>
    <w:rsid w:val="00E35AFA"/>
    <w:rsid w:val="00E36082"/>
    <w:rsid w:val="00E36FA9"/>
    <w:rsid w:val="00E3716C"/>
    <w:rsid w:val="00E37D47"/>
    <w:rsid w:val="00E405CE"/>
    <w:rsid w:val="00E41F4E"/>
    <w:rsid w:val="00E4242D"/>
    <w:rsid w:val="00E43F22"/>
    <w:rsid w:val="00E446A1"/>
    <w:rsid w:val="00E44B2F"/>
    <w:rsid w:val="00E45B8A"/>
    <w:rsid w:val="00E467E5"/>
    <w:rsid w:val="00E46F5D"/>
    <w:rsid w:val="00E50402"/>
    <w:rsid w:val="00E51C8F"/>
    <w:rsid w:val="00E52A87"/>
    <w:rsid w:val="00E53C4E"/>
    <w:rsid w:val="00E5533B"/>
    <w:rsid w:val="00E55747"/>
    <w:rsid w:val="00E56957"/>
    <w:rsid w:val="00E56CBF"/>
    <w:rsid w:val="00E5788D"/>
    <w:rsid w:val="00E579BA"/>
    <w:rsid w:val="00E6183C"/>
    <w:rsid w:val="00E6281D"/>
    <w:rsid w:val="00E6413E"/>
    <w:rsid w:val="00E65343"/>
    <w:rsid w:val="00E655A8"/>
    <w:rsid w:val="00E66A30"/>
    <w:rsid w:val="00E673B7"/>
    <w:rsid w:val="00E67DDF"/>
    <w:rsid w:val="00E70634"/>
    <w:rsid w:val="00E70AA0"/>
    <w:rsid w:val="00E70B8D"/>
    <w:rsid w:val="00E71A07"/>
    <w:rsid w:val="00E726E8"/>
    <w:rsid w:val="00E7436A"/>
    <w:rsid w:val="00E75046"/>
    <w:rsid w:val="00E75954"/>
    <w:rsid w:val="00E75A8A"/>
    <w:rsid w:val="00E75E0E"/>
    <w:rsid w:val="00E766A6"/>
    <w:rsid w:val="00E7738C"/>
    <w:rsid w:val="00E7772E"/>
    <w:rsid w:val="00E81E9F"/>
    <w:rsid w:val="00E82D41"/>
    <w:rsid w:val="00E82D5D"/>
    <w:rsid w:val="00E8474D"/>
    <w:rsid w:val="00E84967"/>
    <w:rsid w:val="00E8523A"/>
    <w:rsid w:val="00E8730C"/>
    <w:rsid w:val="00E87585"/>
    <w:rsid w:val="00E9037E"/>
    <w:rsid w:val="00E91230"/>
    <w:rsid w:val="00E92718"/>
    <w:rsid w:val="00E93E14"/>
    <w:rsid w:val="00E948E8"/>
    <w:rsid w:val="00E94C4A"/>
    <w:rsid w:val="00E94F01"/>
    <w:rsid w:val="00E94F8A"/>
    <w:rsid w:val="00E94FE3"/>
    <w:rsid w:val="00E96203"/>
    <w:rsid w:val="00E968B3"/>
    <w:rsid w:val="00E96989"/>
    <w:rsid w:val="00E972C8"/>
    <w:rsid w:val="00E97495"/>
    <w:rsid w:val="00E977E2"/>
    <w:rsid w:val="00E97C1A"/>
    <w:rsid w:val="00EA0DAE"/>
    <w:rsid w:val="00EA144B"/>
    <w:rsid w:val="00EA1918"/>
    <w:rsid w:val="00EA3A82"/>
    <w:rsid w:val="00EA3CFD"/>
    <w:rsid w:val="00EA43CA"/>
    <w:rsid w:val="00EA467C"/>
    <w:rsid w:val="00EA4C5E"/>
    <w:rsid w:val="00EA5EA3"/>
    <w:rsid w:val="00EA643B"/>
    <w:rsid w:val="00EA6485"/>
    <w:rsid w:val="00EA6601"/>
    <w:rsid w:val="00EA6D7E"/>
    <w:rsid w:val="00EA6E53"/>
    <w:rsid w:val="00EA74DA"/>
    <w:rsid w:val="00EA7C02"/>
    <w:rsid w:val="00EA7FDB"/>
    <w:rsid w:val="00EB0898"/>
    <w:rsid w:val="00EB1162"/>
    <w:rsid w:val="00EB17F4"/>
    <w:rsid w:val="00EB1998"/>
    <w:rsid w:val="00EB32D4"/>
    <w:rsid w:val="00EB3362"/>
    <w:rsid w:val="00EB4F9F"/>
    <w:rsid w:val="00EB78B3"/>
    <w:rsid w:val="00EB7A9E"/>
    <w:rsid w:val="00EB7D96"/>
    <w:rsid w:val="00EC01B2"/>
    <w:rsid w:val="00EC03D5"/>
    <w:rsid w:val="00EC068B"/>
    <w:rsid w:val="00EC07D7"/>
    <w:rsid w:val="00EC154A"/>
    <w:rsid w:val="00EC1DD5"/>
    <w:rsid w:val="00EC1EB8"/>
    <w:rsid w:val="00EC2CBF"/>
    <w:rsid w:val="00EC362E"/>
    <w:rsid w:val="00EC472D"/>
    <w:rsid w:val="00EC4CF4"/>
    <w:rsid w:val="00EC526C"/>
    <w:rsid w:val="00EC5DB7"/>
    <w:rsid w:val="00EC6D57"/>
    <w:rsid w:val="00EC6D7A"/>
    <w:rsid w:val="00EC7213"/>
    <w:rsid w:val="00EC7229"/>
    <w:rsid w:val="00EC7ADA"/>
    <w:rsid w:val="00EC7E39"/>
    <w:rsid w:val="00ED03EE"/>
    <w:rsid w:val="00ED0C4E"/>
    <w:rsid w:val="00ED2193"/>
    <w:rsid w:val="00ED423A"/>
    <w:rsid w:val="00ED44FA"/>
    <w:rsid w:val="00ED692B"/>
    <w:rsid w:val="00ED78D3"/>
    <w:rsid w:val="00EE10B1"/>
    <w:rsid w:val="00EE1BD0"/>
    <w:rsid w:val="00EE21C3"/>
    <w:rsid w:val="00EE31A9"/>
    <w:rsid w:val="00EE3CF3"/>
    <w:rsid w:val="00EE58D1"/>
    <w:rsid w:val="00EE68B3"/>
    <w:rsid w:val="00EE6C14"/>
    <w:rsid w:val="00EE6C1F"/>
    <w:rsid w:val="00EE7321"/>
    <w:rsid w:val="00EE7449"/>
    <w:rsid w:val="00EF0435"/>
    <w:rsid w:val="00EF0598"/>
    <w:rsid w:val="00EF0F50"/>
    <w:rsid w:val="00EF1B3B"/>
    <w:rsid w:val="00EF1B73"/>
    <w:rsid w:val="00EF2182"/>
    <w:rsid w:val="00EF230A"/>
    <w:rsid w:val="00EF2BA8"/>
    <w:rsid w:val="00EF3793"/>
    <w:rsid w:val="00EF423C"/>
    <w:rsid w:val="00EF4CD3"/>
    <w:rsid w:val="00EF51A1"/>
    <w:rsid w:val="00EF68A3"/>
    <w:rsid w:val="00EF69AB"/>
    <w:rsid w:val="00EF6F02"/>
    <w:rsid w:val="00EF77DA"/>
    <w:rsid w:val="00F00358"/>
    <w:rsid w:val="00F01081"/>
    <w:rsid w:val="00F01348"/>
    <w:rsid w:val="00F01A8E"/>
    <w:rsid w:val="00F02562"/>
    <w:rsid w:val="00F0258E"/>
    <w:rsid w:val="00F029B8"/>
    <w:rsid w:val="00F02A21"/>
    <w:rsid w:val="00F0402D"/>
    <w:rsid w:val="00F04141"/>
    <w:rsid w:val="00F043AF"/>
    <w:rsid w:val="00F049C5"/>
    <w:rsid w:val="00F04AC3"/>
    <w:rsid w:val="00F05350"/>
    <w:rsid w:val="00F055F6"/>
    <w:rsid w:val="00F057FA"/>
    <w:rsid w:val="00F068FF"/>
    <w:rsid w:val="00F07423"/>
    <w:rsid w:val="00F078C4"/>
    <w:rsid w:val="00F10A66"/>
    <w:rsid w:val="00F11514"/>
    <w:rsid w:val="00F11725"/>
    <w:rsid w:val="00F12190"/>
    <w:rsid w:val="00F12396"/>
    <w:rsid w:val="00F133BA"/>
    <w:rsid w:val="00F138BF"/>
    <w:rsid w:val="00F13908"/>
    <w:rsid w:val="00F13FD6"/>
    <w:rsid w:val="00F143B8"/>
    <w:rsid w:val="00F144A4"/>
    <w:rsid w:val="00F16F2C"/>
    <w:rsid w:val="00F17BC1"/>
    <w:rsid w:val="00F17E02"/>
    <w:rsid w:val="00F203A4"/>
    <w:rsid w:val="00F21162"/>
    <w:rsid w:val="00F23803"/>
    <w:rsid w:val="00F23FBF"/>
    <w:rsid w:val="00F244ED"/>
    <w:rsid w:val="00F24B51"/>
    <w:rsid w:val="00F25E8E"/>
    <w:rsid w:val="00F26406"/>
    <w:rsid w:val="00F265CB"/>
    <w:rsid w:val="00F26717"/>
    <w:rsid w:val="00F27256"/>
    <w:rsid w:val="00F2745D"/>
    <w:rsid w:val="00F279D6"/>
    <w:rsid w:val="00F30C1F"/>
    <w:rsid w:val="00F32A2B"/>
    <w:rsid w:val="00F34F61"/>
    <w:rsid w:val="00F35051"/>
    <w:rsid w:val="00F36081"/>
    <w:rsid w:val="00F36AF5"/>
    <w:rsid w:val="00F3716E"/>
    <w:rsid w:val="00F37329"/>
    <w:rsid w:val="00F37D93"/>
    <w:rsid w:val="00F40013"/>
    <w:rsid w:val="00F410BF"/>
    <w:rsid w:val="00F41736"/>
    <w:rsid w:val="00F41B59"/>
    <w:rsid w:val="00F41FB4"/>
    <w:rsid w:val="00F42FE3"/>
    <w:rsid w:val="00F4350C"/>
    <w:rsid w:val="00F43F9E"/>
    <w:rsid w:val="00F4489E"/>
    <w:rsid w:val="00F45D9C"/>
    <w:rsid w:val="00F47493"/>
    <w:rsid w:val="00F47A7A"/>
    <w:rsid w:val="00F50888"/>
    <w:rsid w:val="00F520D7"/>
    <w:rsid w:val="00F52694"/>
    <w:rsid w:val="00F5364D"/>
    <w:rsid w:val="00F536EC"/>
    <w:rsid w:val="00F53C03"/>
    <w:rsid w:val="00F54B2D"/>
    <w:rsid w:val="00F5538C"/>
    <w:rsid w:val="00F56527"/>
    <w:rsid w:val="00F5699F"/>
    <w:rsid w:val="00F6062B"/>
    <w:rsid w:val="00F619B1"/>
    <w:rsid w:val="00F622F9"/>
    <w:rsid w:val="00F65775"/>
    <w:rsid w:val="00F66DFB"/>
    <w:rsid w:val="00F672FE"/>
    <w:rsid w:val="00F70434"/>
    <w:rsid w:val="00F716BD"/>
    <w:rsid w:val="00F71B97"/>
    <w:rsid w:val="00F72E09"/>
    <w:rsid w:val="00F7348F"/>
    <w:rsid w:val="00F75DCB"/>
    <w:rsid w:val="00F76145"/>
    <w:rsid w:val="00F76A42"/>
    <w:rsid w:val="00F76FAC"/>
    <w:rsid w:val="00F77197"/>
    <w:rsid w:val="00F77E7F"/>
    <w:rsid w:val="00F77FD8"/>
    <w:rsid w:val="00F80C2C"/>
    <w:rsid w:val="00F82897"/>
    <w:rsid w:val="00F84337"/>
    <w:rsid w:val="00F843EE"/>
    <w:rsid w:val="00F848B9"/>
    <w:rsid w:val="00F85F07"/>
    <w:rsid w:val="00F8604D"/>
    <w:rsid w:val="00F86818"/>
    <w:rsid w:val="00F87176"/>
    <w:rsid w:val="00F87C8E"/>
    <w:rsid w:val="00F90819"/>
    <w:rsid w:val="00F90C6C"/>
    <w:rsid w:val="00F91E2C"/>
    <w:rsid w:val="00F9242F"/>
    <w:rsid w:val="00F9283E"/>
    <w:rsid w:val="00F929FB"/>
    <w:rsid w:val="00F92A1E"/>
    <w:rsid w:val="00F92D95"/>
    <w:rsid w:val="00F930D5"/>
    <w:rsid w:val="00F93794"/>
    <w:rsid w:val="00F93A6E"/>
    <w:rsid w:val="00F9472A"/>
    <w:rsid w:val="00F94D66"/>
    <w:rsid w:val="00F94F7B"/>
    <w:rsid w:val="00F96130"/>
    <w:rsid w:val="00F97AD6"/>
    <w:rsid w:val="00F97BBA"/>
    <w:rsid w:val="00FA08EA"/>
    <w:rsid w:val="00FA17C5"/>
    <w:rsid w:val="00FA1CD1"/>
    <w:rsid w:val="00FA1D03"/>
    <w:rsid w:val="00FA1EF2"/>
    <w:rsid w:val="00FA3FB7"/>
    <w:rsid w:val="00FA6EA1"/>
    <w:rsid w:val="00FB0736"/>
    <w:rsid w:val="00FB0E18"/>
    <w:rsid w:val="00FB0E98"/>
    <w:rsid w:val="00FB0FA6"/>
    <w:rsid w:val="00FB0FF5"/>
    <w:rsid w:val="00FB1692"/>
    <w:rsid w:val="00FB18E3"/>
    <w:rsid w:val="00FB19CD"/>
    <w:rsid w:val="00FB1BBE"/>
    <w:rsid w:val="00FB26A6"/>
    <w:rsid w:val="00FB3C97"/>
    <w:rsid w:val="00FB4223"/>
    <w:rsid w:val="00FB4C2E"/>
    <w:rsid w:val="00FB5AA3"/>
    <w:rsid w:val="00FB5BFE"/>
    <w:rsid w:val="00FB6525"/>
    <w:rsid w:val="00FB6CB9"/>
    <w:rsid w:val="00FB7226"/>
    <w:rsid w:val="00FB784C"/>
    <w:rsid w:val="00FC073F"/>
    <w:rsid w:val="00FC18CC"/>
    <w:rsid w:val="00FC3CCC"/>
    <w:rsid w:val="00FC4C40"/>
    <w:rsid w:val="00FC5058"/>
    <w:rsid w:val="00FC694C"/>
    <w:rsid w:val="00FD0467"/>
    <w:rsid w:val="00FD0843"/>
    <w:rsid w:val="00FD34F6"/>
    <w:rsid w:val="00FD3FF7"/>
    <w:rsid w:val="00FD44CC"/>
    <w:rsid w:val="00FD4E7F"/>
    <w:rsid w:val="00FD57E2"/>
    <w:rsid w:val="00FD5A20"/>
    <w:rsid w:val="00FD5E22"/>
    <w:rsid w:val="00FD5FC7"/>
    <w:rsid w:val="00FD69C7"/>
    <w:rsid w:val="00FD6FCC"/>
    <w:rsid w:val="00FD74B1"/>
    <w:rsid w:val="00FD7930"/>
    <w:rsid w:val="00FE067B"/>
    <w:rsid w:val="00FE211A"/>
    <w:rsid w:val="00FE2683"/>
    <w:rsid w:val="00FE288E"/>
    <w:rsid w:val="00FE29D1"/>
    <w:rsid w:val="00FE30F1"/>
    <w:rsid w:val="00FE3720"/>
    <w:rsid w:val="00FE4030"/>
    <w:rsid w:val="00FE443D"/>
    <w:rsid w:val="00FE4734"/>
    <w:rsid w:val="00FE4F43"/>
    <w:rsid w:val="00FE5D5A"/>
    <w:rsid w:val="00FE6CAD"/>
    <w:rsid w:val="00FE7B57"/>
    <w:rsid w:val="00FF1359"/>
    <w:rsid w:val="00FF1D84"/>
    <w:rsid w:val="00FF2F71"/>
    <w:rsid w:val="00FF30C1"/>
    <w:rsid w:val="00FF4478"/>
    <w:rsid w:val="00FF45AA"/>
    <w:rsid w:val="00FF47E0"/>
    <w:rsid w:val="00FF54C6"/>
    <w:rsid w:val="00FF68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213D9"/>
  <w15:docId w15:val="{7CD8D420-C74C-47D6-BC9C-00BCA1EE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825"/>
    <w:pPr>
      <w:widowControl w:val="0"/>
    </w:pPr>
    <w:rPr>
      <w:rFonts w:ascii="Arial" w:hAnsi="Arial"/>
      <w:snapToGrid w:val="0"/>
      <w:sz w:val="24"/>
      <w:lang w:val="es-ES_tradnl"/>
    </w:rPr>
  </w:style>
  <w:style w:type="paragraph" w:styleId="Ttulo1">
    <w:name w:val="heading 1"/>
    <w:basedOn w:val="Normal"/>
    <w:next w:val="Normal"/>
    <w:qFormat/>
    <w:rsid w:val="005F1825"/>
    <w:pPr>
      <w:spacing w:before="240"/>
      <w:jc w:val="center"/>
      <w:outlineLvl w:val="0"/>
    </w:pPr>
    <w:rPr>
      <w:color w:val="000000"/>
    </w:rPr>
  </w:style>
  <w:style w:type="paragraph" w:styleId="Ttulo2">
    <w:name w:val="heading 2"/>
    <w:basedOn w:val="Normal"/>
    <w:next w:val="Normal"/>
    <w:link w:val="Ttulo2Car"/>
    <w:qFormat/>
    <w:rsid w:val="005F1825"/>
    <w:pPr>
      <w:spacing w:before="240"/>
      <w:jc w:val="center"/>
      <w:outlineLvl w:val="1"/>
    </w:pPr>
    <w:rPr>
      <w:b/>
      <w:color w:val="000000"/>
      <w:sz w:val="28"/>
    </w:rPr>
  </w:style>
  <w:style w:type="paragraph" w:styleId="Ttulo3">
    <w:name w:val="heading 3"/>
    <w:basedOn w:val="Normal"/>
    <w:next w:val="Sangranormal"/>
    <w:qFormat/>
    <w:rsid w:val="005F1825"/>
    <w:pPr>
      <w:keepNext/>
      <w:spacing w:before="240"/>
      <w:outlineLvl w:val="2"/>
    </w:pPr>
    <w:rPr>
      <w:b/>
      <w:color w:val="80808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5F1825"/>
    <w:pPr>
      <w:ind w:left="720"/>
    </w:pPr>
  </w:style>
  <w:style w:type="paragraph" w:styleId="Textonotaalfinal">
    <w:name w:val="endnote text"/>
    <w:basedOn w:val="Normal"/>
    <w:semiHidden/>
    <w:rsid w:val="005F1825"/>
    <w:rPr>
      <w:sz w:val="20"/>
    </w:rPr>
  </w:style>
  <w:style w:type="paragraph" w:customStyle="1" w:styleId="Asunto">
    <w:name w:val="Asunto"/>
    <w:basedOn w:val="Normal"/>
    <w:rsid w:val="005F1825"/>
    <w:pPr>
      <w:keepLines/>
      <w:spacing w:before="240"/>
      <w:ind w:left="5040" w:hanging="1267"/>
    </w:pPr>
    <w:rPr>
      <w:rFonts w:ascii="Univers" w:hAnsi="Univers"/>
      <w:color w:val="000000"/>
      <w:u w:val="single"/>
    </w:rPr>
  </w:style>
  <w:style w:type="paragraph" w:styleId="Piedepgina">
    <w:name w:val="footer"/>
    <w:basedOn w:val="Normal"/>
    <w:link w:val="PiedepginaCar"/>
    <w:uiPriority w:val="99"/>
    <w:rsid w:val="005F1825"/>
    <w:pPr>
      <w:tabs>
        <w:tab w:val="center" w:pos="4819"/>
        <w:tab w:val="right" w:pos="9071"/>
      </w:tabs>
    </w:pPr>
  </w:style>
  <w:style w:type="paragraph" w:styleId="Encabezado">
    <w:name w:val="header"/>
    <w:basedOn w:val="Normal"/>
    <w:link w:val="EncabezadoCar"/>
    <w:rsid w:val="005F1825"/>
    <w:pPr>
      <w:tabs>
        <w:tab w:val="center" w:pos="4819"/>
        <w:tab w:val="right" w:pos="9071"/>
      </w:tabs>
    </w:pPr>
  </w:style>
  <w:style w:type="paragraph" w:customStyle="1" w:styleId="p0">
    <w:name w:val="p0"/>
    <w:basedOn w:val="Normal"/>
    <w:rsid w:val="005F1825"/>
    <w:pPr>
      <w:keepLines/>
      <w:spacing w:before="240"/>
      <w:jc w:val="both"/>
    </w:pPr>
    <w:rPr>
      <w:color w:val="0000FF"/>
    </w:rPr>
  </w:style>
  <w:style w:type="paragraph" w:customStyle="1" w:styleId="n0">
    <w:name w:val="n0"/>
    <w:basedOn w:val="Normal"/>
    <w:rsid w:val="005F1825"/>
    <w:pPr>
      <w:keepLines/>
      <w:spacing w:before="240"/>
      <w:ind w:left="1080" w:hanging="1080"/>
      <w:jc w:val="both"/>
    </w:pPr>
    <w:rPr>
      <w:color w:val="800080"/>
    </w:rPr>
  </w:style>
  <w:style w:type="paragraph" w:customStyle="1" w:styleId="bullet">
    <w:name w:val="bullet"/>
    <w:basedOn w:val="Normal"/>
    <w:rsid w:val="005F1825"/>
    <w:pPr>
      <w:numPr>
        <w:numId w:val="19"/>
      </w:numPr>
      <w:spacing w:before="240"/>
      <w:ind w:right="1185"/>
      <w:jc w:val="both"/>
    </w:pPr>
    <w:rPr>
      <w:b/>
      <w:color w:val="000080"/>
      <w:sz w:val="22"/>
    </w:rPr>
  </w:style>
  <w:style w:type="paragraph" w:customStyle="1" w:styleId="fecha">
    <w:name w:val="fecha"/>
    <w:basedOn w:val="Normal"/>
    <w:rsid w:val="005F1825"/>
    <w:pPr>
      <w:jc w:val="right"/>
    </w:pPr>
  </w:style>
  <w:style w:type="paragraph" w:customStyle="1" w:styleId="parra-nota">
    <w:name w:val="parra-nota"/>
    <w:basedOn w:val="p0"/>
    <w:rsid w:val="005F1825"/>
    <w:pPr>
      <w:tabs>
        <w:tab w:val="left" w:pos="567"/>
      </w:tabs>
      <w:spacing w:before="600"/>
      <w:ind w:left="567" w:right="11" w:hanging="567"/>
    </w:pPr>
  </w:style>
  <w:style w:type="paragraph" w:customStyle="1" w:styleId="parra-nota1">
    <w:name w:val="parra-nota1"/>
    <w:basedOn w:val="parra-nota"/>
    <w:rsid w:val="005F1825"/>
    <w:pPr>
      <w:tabs>
        <w:tab w:val="clear" w:pos="567"/>
      </w:tabs>
      <w:ind w:firstLine="0"/>
    </w:pPr>
  </w:style>
  <w:style w:type="paragraph" w:customStyle="1" w:styleId="Normal1">
    <w:name w:val="Normal1"/>
    <w:rsid w:val="005F1825"/>
    <w:rPr>
      <w:rFonts w:ascii="CG Times" w:hAnsi="CG Times"/>
      <w:lang w:val="es-ES_tradnl"/>
    </w:rPr>
  </w:style>
  <w:style w:type="paragraph" w:styleId="Textoindependiente">
    <w:name w:val="Body Text"/>
    <w:basedOn w:val="Normal"/>
    <w:link w:val="TextoindependienteCar"/>
    <w:rsid w:val="005F1825"/>
    <w:pPr>
      <w:widowControl/>
    </w:pPr>
    <w:rPr>
      <w:color w:val="000000"/>
      <w:lang w:val="es-ES"/>
    </w:rPr>
  </w:style>
  <w:style w:type="character" w:styleId="Hipervnculo">
    <w:name w:val="Hyperlink"/>
    <w:basedOn w:val="Fuentedeprrafopredeter"/>
    <w:rsid w:val="005F1825"/>
    <w:rPr>
      <w:color w:val="0000FF"/>
      <w:u w:val="single"/>
    </w:rPr>
  </w:style>
  <w:style w:type="paragraph" w:styleId="Textodeglobo">
    <w:name w:val="Balloon Text"/>
    <w:basedOn w:val="Normal"/>
    <w:semiHidden/>
    <w:rsid w:val="005F1825"/>
    <w:rPr>
      <w:rFonts w:ascii="Tahoma" w:hAnsi="Tahoma" w:cs="Tahoma"/>
      <w:sz w:val="16"/>
      <w:szCs w:val="16"/>
    </w:rPr>
  </w:style>
  <w:style w:type="paragraph" w:styleId="NormalWeb">
    <w:name w:val="Normal (Web)"/>
    <w:basedOn w:val="Normal"/>
    <w:uiPriority w:val="99"/>
    <w:rsid w:val="002E5C03"/>
    <w:pPr>
      <w:widowControl/>
      <w:spacing w:before="100" w:beforeAutospacing="1" w:after="100" w:afterAutospacing="1"/>
    </w:pPr>
    <w:rPr>
      <w:rFonts w:cs="Arial"/>
      <w:snapToGrid/>
      <w:color w:val="000000"/>
      <w:sz w:val="16"/>
      <w:szCs w:val="16"/>
      <w:lang w:val="es-ES"/>
    </w:rPr>
  </w:style>
  <w:style w:type="paragraph" w:customStyle="1" w:styleId="parr2">
    <w:name w:val="parr2"/>
    <w:basedOn w:val="Normal"/>
    <w:rsid w:val="002A200D"/>
    <w:pPr>
      <w:widowControl/>
      <w:spacing w:before="600"/>
      <w:ind w:left="567" w:right="15"/>
      <w:jc w:val="both"/>
    </w:pPr>
    <w:rPr>
      <w:snapToGrid/>
    </w:rPr>
  </w:style>
  <w:style w:type="paragraph" w:customStyle="1" w:styleId="parrafo1">
    <w:name w:val="parrafo1"/>
    <w:basedOn w:val="p0"/>
    <w:rsid w:val="002D0297"/>
    <w:pPr>
      <w:keepLines w:val="0"/>
      <w:widowControl/>
      <w:spacing w:before="480"/>
      <w:ind w:left="426" w:right="443"/>
    </w:pPr>
    <w:rPr>
      <w:snapToGrid/>
      <w:color w:val="auto"/>
    </w:rPr>
  </w:style>
  <w:style w:type="paragraph" w:customStyle="1" w:styleId="titdoc">
    <w:name w:val="titdoc"/>
    <w:basedOn w:val="Normal"/>
    <w:rsid w:val="00E51C8F"/>
    <w:pPr>
      <w:widowControl/>
      <w:spacing w:before="120"/>
      <w:ind w:left="709" w:hanging="709"/>
      <w:jc w:val="both"/>
    </w:pPr>
    <w:rPr>
      <w:b/>
      <w:snapToGrid/>
    </w:rPr>
  </w:style>
  <w:style w:type="paragraph" w:styleId="Textoindependiente3">
    <w:name w:val="Body Text 3"/>
    <w:basedOn w:val="Normal"/>
    <w:link w:val="Textoindependiente3Car"/>
    <w:rsid w:val="00A00A68"/>
    <w:pPr>
      <w:spacing w:after="120"/>
    </w:pPr>
    <w:rPr>
      <w:sz w:val="16"/>
      <w:szCs w:val="16"/>
    </w:rPr>
  </w:style>
  <w:style w:type="character" w:customStyle="1" w:styleId="Textoindependiente3Car">
    <w:name w:val="Texto independiente 3 Car"/>
    <w:basedOn w:val="Fuentedeprrafopredeter"/>
    <w:link w:val="Textoindependiente3"/>
    <w:rsid w:val="00A00A68"/>
    <w:rPr>
      <w:rFonts w:ascii="Arial" w:hAnsi="Arial"/>
      <w:snapToGrid w:val="0"/>
      <w:sz w:val="16"/>
      <w:szCs w:val="16"/>
      <w:lang w:val="es-ES_tradnl"/>
    </w:rPr>
  </w:style>
  <w:style w:type="character" w:customStyle="1" w:styleId="EncabezadoCar">
    <w:name w:val="Encabezado Car"/>
    <w:basedOn w:val="Fuentedeprrafopredeter"/>
    <w:link w:val="Encabezado"/>
    <w:rsid w:val="00B06AE9"/>
    <w:rPr>
      <w:rFonts w:ascii="Arial" w:hAnsi="Arial"/>
      <w:snapToGrid w:val="0"/>
      <w:sz w:val="24"/>
      <w:lang w:val="es-ES_tradnl"/>
    </w:rPr>
  </w:style>
  <w:style w:type="paragraph" w:customStyle="1" w:styleId="p01">
    <w:name w:val="p01"/>
    <w:basedOn w:val="Normal1"/>
    <w:next w:val="p0"/>
    <w:rsid w:val="000C55BE"/>
    <w:pPr>
      <w:keepLines/>
      <w:spacing w:before="240"/>
      <w:jc w:val="both"/>
    </w:pPr>
    <w:rPr>
      <w:rFonts w:ascii="Univers" w:hAnsi="Univers"/>
      <w:color w:val="0000FF"/>
      <w:sz w:val="24"/>
    </w:rPr>
  </w:style>
  <w:style w:type="table" w:styleId="Tablaconcuadrcula">
    <w:name w:val="Table Grid"/>
    <w:basedOn w:val="Tablanormal"/>
    <w:rsid w:val="00663A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mbre">
    <w:name w:val="nombre"/>
    <w:basedOn w:val="Normal"/>
    <w:rsid w:val="003F26EB"/>
    <w:pPr>
      <w:keepLines/>
      <w:spacing w:before="240"/>
      <w:ind w:left="1080" w:hanging="1080"/>
    </w:pPr>
    <w:rPr>
      <w:rFonts w:ascii="Helvetica" w:hAnsi="Helvetica"/>
      <w:color w:val="0000FF"/>
    </w:rPr>
  </w:style>
  <w:style w:type="paragraph" w:styleId="Textonotapie">
    <w:name w:val="footnote text"/>
    <w:basedOn w:val="Normal"/>
    <w:link w:val="TextonotapieCar"/>
    <w:rsid w:val="0036725F"/>
    <w:pPr>
      <w:widowControl/>
    </w:pPr>
    <w:rPr>
      <w:rFonts w:ascii="Times New Roman" w:hAnsi="Times New Roman"/>
      <w:snapToGrid/>
      <w:sz w:val="20"/>
      <w:lang w:val="es-ES"/>
    </w:rPr>
  </w:style>
  <w:style w:type="character" w:customStyle="1" w:styleId="TextonotapieCar">
    <w:name w:val="Texto nota pie Car"/>
    <w:basedOn w:val="Fuentedeprrafopredeter"/>
    <w:link w:val="Textonotapie"/>
    <w:rsid w:val="0036725F"/>
  </w:style>
  <w:style w:type="character" w:styleId="Refdenotaalpie">
    <w:name w:val="footnote reference"/>
    <w:basedOn w:val="Fuentedeprrafopredeter"/>
    <w:rsid w:val="0036725F"/>
    <w:rPr>
      <w:rFonts w:cs="Arial"/>
      <w:b/>
      <w:smallCaps/>
      <w:sz w:val="22"/>
      <w:vertAlign w:val="superscript"/>
      <w:lang w:val="es-MX"/>
    </w:rPr>
  </w:style>
  <w:style w:type="character" w:customStyle="1" w:styleId="PiedepginaCar">
    <w:name w:val="Pie de página Car"/>
    <w:basedOn w:val="Fuentedeprrafopredeter"/>
    <w:link w:val="Piedepgina"/>
    <w:uiPriority w:val="99"/>
    <w:rsid w:val="00B577E4"/>
    <w:rPr>
      <w:rFonts w:ascii="Arial" w:hAnsi="Arial"/>
      <w:snapToGrid w:val="0"/>
      <w:sz w:val="24"/>
      <w:lang w:val="es-ES_tradnl" w:eastAsia="es-ES"/>
    </w:rPr>
  </w:style>
  <w:style w:type="character" w:styleId="Refdenotaalfinal">
    <w:name w:val="endnote reference"/>
    <w:basedOn w:val="Fuentedeprrafopredeter"/>
    <w:rsid w:val="00B577E4"/>
    <w:rPr>
      <w:vertAlign w:val="superscript"/>
    </w:rPr>
  </w:style>
  <w:style w:type="paragraph" w:customStyle="1" w:styleId="p02">
    <w:name w:val="p02"/>
    <w:basedOn w:val="Normal"/>
    <w:next w:val="p0"/>
    <w:rsid w:val="009C447D"/>
    <w:pPr>
      <w:keepLines/>
      <w:widowControl/>
      <w:spacing w:before="240"/>
      <w:ind w:right="11"/>
      <w:jc w:val="both"/>
    </w:pPr>
    <w:rPr>
      <w:rFonts w:ascii="Univers" w:hAnsi="Univers"/>
      <w:snapToGrid/>
      <w:color w:val="0000FF"/>
    </w:rPr>
  </w:style>
  <w:style w:type="paragraph" w:customStyle="1" w:styleId="Profesin">
    <w:name w:val="Profesión"/>
    <w:basedOn w:val="Normal"/>
    <w:rsid w:val="0005576F"/>
    <w:pPr>
      <w:widowControl/>
      <w:jc w:val="center"/>
    </w:pPr>
    <w:rPr>
      <w:b/>
      <w:caps/>
      <w:snapToGrid/>
      <w:spacing w:val="25"/>
      <w:sz w:val="28"/>
    </w:rPr>
  </w:style>
  <w:style w:type="paragraph" w:customStyle="1" w:styleId="n01">
    <w:name w:val="n01"/>
    <w:basedOn w:val="Normal"/>
    <w:rsid w:val="002169BE"/>
    <w:pPr>
      <w:keepLines/>
      <w:widowControl/>
      <w:spacing w:before="240"/>
      <w:ind w:left="720" w:hanging="720"/>
      <w:jc w:val="both"/>
    </w:pPr>
    <w:rPr>
      <w:rFonts w:ascii="Univers (W1)" w:hAnsi="Univers (W1)"/>
      <w:snapToGrid/>
      <w:color w:val="800080"/>
    </w:rPr>
  </w:style>
  <w:style w:type="paragraph" w:customStyle="1" w:styleId="Default">
    <w:name w:val="Default"/>
    <w:rsid w:val="002169BE"/>
    <w:pPr>
      <w:widowControl w:val="0"/>
      <w:autoSpaceDE w:val="0"/>
      <w:autoSpaceDN w:val="0"/>
      <w:adjustRightInd w:val="0"/>
    </w:pPr>
    <w:rPr>
      <w:rFonts w:ascii="Arial" w:eastAsiaTheme="minorEastAsia" w:hAnsi="Arial" w:cs="Arial"/>
      <w:color w:val="000000"/>
      <w:sz w:val="24"/>
      <w:szCs w:val="24"/>
    </w:rPr>
  </w:style>
  <w:style w:type="paragraph" w:styleId="Prrafodelista">
    <w:name w:val="List Paragraph"/>
    <w:basedOn w:val="Normal"/>
    <w:uiPriority w:val="34"/>
    <w:qFormat/>
    <w:rsid w:val="00A57241"/>
    <w:pPr>
      <w:ind w:left="720"/>
      <w:contextualSpacing/>
    </w:pPr>
  </w:style>
  <w:style w:type="character" w:styleId="Refdecomentario">
    <w:name w:val="annotation reference"/>
    <w:basedOn w:val="Fuentedeprrafopredeter"/>
    <w:rsid w:val="00C3471E"/>
    <w:rPr>
      <w:sz w:val="16"/>
      <w:szCs w:val="16"/>
    </w:rPr>
  </w:style>
  <w:style w:type="character" w:customStyle="1" w:styleId="tituloproy21">
    <w:name w:val="titulo_proy21"/>
    <w:basedOn w:val="Fuentedeprrafopredeter"/>
    <w:rsid w:val="002C2C06"/>
    <w:rPr>
      <w:rFonts w:ascii="Arial" w:hAnsi="Arial" w:cs="Arial" w:hint="default"/>
      <w:b/>
      <w:bCs/>
      <w:strike w:val="0"/>
      <w:dstrike w:val="0"/>
      <w:color w:val="000000"/>
      <w:sz w:val="30"/>
      <w:szCs w:val="30"/>
      <w:u w:val="none"/>
      <w:effect w:val="none"/>
    </w:rPr>
  </w:style>
  <w:style w:type="character" w:customStyle="1" w:styleId="st1">
    <w:name w:val="st1"/>
    <w:basedOn w:val="Fuentedeprrafopredeter"/>
    <w:rsid w:val="00610305"/>
  </w:style>
  <w:style w:type="paragraph" w:styleId="Textoindependiente2">
    <w:name w:val="Body Text 2"/>
    <w:basedOn w:val="Normal"/>
    <w:link w:val="Textoindependiente2Car"/>
    <w:unhideWhenUsed/>
    <w:rsid w:val="00607F08"/>
    <w:pPr>
      <w:spacing w:after="120" w:line="480" w:lineRule="auto"/>
    </w:pPr>
  </w:style>
  <w:style w:type="character" w:customStyle="1" w:styleId="Textoindependiente2Car">
    <w:name w:val="Texto independiente 2 Car"/>
    <w:basedOn w:val="Fuentedeprrafopredeter"/>
    <w:link w:val="Textoindependiente2"/>
    <w:rsid w:val="00607F08"/>
    <w:rPr>
      <w:rFonts w:ascii="Arial" w:hAnsi="Arial"/>
      <w:snapToGrid w:val="0"/>
      <w:sz w:val="24"/>
      <w:lang w:val="es-ES_tradnl"/>
    </w:rPr>
  </w:style>
  <w:style w:type="character" w:customStyle="1" w:styleId="TextoindependienteCar">
    <w:name w:val="Texto independiente Car"/>
    <w:basedOn w:val="Fuentedeprrafopredeter"/>
    <w:link w:val="Textoindependiente"/>
    <w:rsid w:val="00837C13"/>
    <w:rPr>
      <w:rFonts w:ascii="Arial" w:hAnsi="Arial"/>
      <w:snapToGrid w:val="0"/>
      <w:color w:val="000000"/>
      <w:sz w:val="24"/>
    </w:rPr>
  </w:style>
  <w:style w:type="character" w:customStyle="1" w:styleId="Ttulo2Car">
    <w:name w:val="Título 2 Car"/>
    <w:basedOn w:val="Fuentedeprrafopredeter"/>
    <w:link w:val="Ttulo2"/>
    <w:rsid w:val="00837C13"/>
    <w:rPr>
      <w:rFonts w:ascii="Arial" w:hAnsi="Arial"/>
      <w:b/>
      <w:snapToGrid w:val="0"/>
      <w:color w:val="000000"/>
      <w:sz w:val="28"/>
      <w:lang w:val="es-ES_tradnl"/>
    </w:rPr>
  </w:style>
  <w:style w:type="character" w:styleId="Hipervnculovisitado">
    <w:name w:val="FollowedHyperlink"/>
    <w:basedOn w:val="Fuentedeprrafopredeter"/>
    <w:semiHidden/>
    <w:unhideWhenUsed/>
    <w:rsid w:val="00350744"/>
    <w:rPr>
      <w:color w:val="800080" w:themeColor="followedHyperlink"/>
      <w:u w:val="single"/>
    </w:rPr>
  </w:style>
  <w:style w:type="paragraph" w:styleId="Textocomentario">
    <w:name w:val="annotation text"/>
    <w:basedOn w:val="Normal"/>
    <w:link w:val="TextocomentarioCar"/>
    <w:semiHidden/>
    <w:unhideWhenUsed/>
    <w:rsid w:val="004B179F"/>
    <w:rPr>
      <w:sz w:val="20"/>
    </w:rPr>
  </w:style>
  <w:style w:type="character" w:customStyle="1" w:styleId="TextocomentarioCar">
    <w:name w:val="Texto comentario Car"/>
    <w:basedOn w:val="Fuentedeprrafopredeter"/>
    <w:link w:val="Textocomentario"/>
    <w:semiHidden/>
    <w:rsid w:val="004B179F"/>
    <w:rPr>
      <w:rFonts w:ascii="Arial" w:hAnsi="Arial"/>
      <w:snapToGrid w:val="0"/>
      <w:lang w:val="es-ES_tradnl"/>
    </w:rPr>
  </w:style>
  <w:style w:type="paragraph" w:styleId="Asuntodelcomentario">
    <w:name w:val="annotation subject"/>
    <w:basedOn w:val="Textocomentario"/>
    <w:next w:val="Textocomentario"/>
    <w:link w:val="AsuntodelcomentarioCar"/>
    <w:semiHidden/>
    <w:unhideWhenUsed/>
    <w:rsid w:val="004B179F"/>
    <w:rPr>
      <w:b/>
      <w:bCs/>
    </w:rPr>
  </w:style>
  <w:style w:type="character" w:customStyle="1" w:styleId="AsuntodelcomentarioCar">
    <w:name w:val="Asunto del comentario Car"/>
    <w:basedOn w:val="TextocomentarioCar"/>
    <w:link w:val="Asuntodelcomentario"/>
    <w:semiHidden/>
    <w:rsid w:val="004B179F"/>
    <w:rPr>
      <w:rFonts w:ascii="Arial" w:hAnsi="Arial"/>
      <w:b/>
      <w:bCs/>
      <w:snapToGrid w:val="0"/>
      <w:lang w:val="es-ES_tradnl"/>
    </w:rPr>
  </w:style>
  <w:style w:type="character" w:customStyle="1" w:styleId="Mencinsinresolver1">
    <w:name w:val="Mención sin resolver1"/>
    <w:basedOn w:val="Fuentedeprrafopredeter"/>
    <w:uiPriority w:val="99"/>
    <w:semiHidden/>
    <w:unhideWhenUsed/>
    <w:rsid w:val="00386B9D"/>
    <w:rPr>
      <w:color w:val="605E5C"/>
      <w:shd w:val="clear" w:color="auto" w:fill="E1DFDD"/>
    </w:rPr>
  </w:style>
  <w:style w:type="paragraph" w:customStyle="1" w:styleId="xdefault">
    <w:name w:val="x_default"/>
    <w:basedOn w:val="Normal"/>
    <w:rsid w:val="00663E24"/>
    <w:pPr>
      <w:widowControl/>
      <w:spacing w:before="100" w:beforeAutospacing="1" w:after="100" w:afterAutospacing="1"/>
    </w:pPr>
    <w:rPr>
      <w:rFonts w:ascii="Times New Roman" w:hAnsi="Times New Roman"/>
      <w:snapToGrid/>
      <w:szCs w:val="24"/>
      <w:lang w:val="es-MX" w:eastAsia="es-MX"/>
    </w:rPr>
  </w:style>
  <w:style w:type="paragraph" w:customStyle="1" w:styleId="xmsonormal">
    <w:name w:val="x_msonormal"/>
    <w:basedOn w:val="Normal"/>
    <w:rsid w:val="00663E24"/>
    <w:pPr>
      <w:widowControl/>
      <w:spacing w:before="100" w:beforeAutospacing="1" w:after="100" w:afterAutospacing="1"/>
    </w:pPr>
    <w:rPr>
      <w:rFonts w:ascii="Times New Roman" w:hAnsi="Times New Roman"/>
      <w:snapToGrid/>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973">
      <w:bodyDiv w:val="1"/>
      <w:marLeft w:val="0"/>
      <w:marRight w:val="0"/>
      <w:marTop w:val="0"/>
      <w:marBottom w:val="0"/>
      <w:divBdr>
        <w:top w:val="none" w:sz="0" w:space="0" w:color="auto"/>
        <w:left w:val="none" w:sz="0" w:space="0" w:color="auto"/>
        <w:bottom w:val="none" w:sz="0" w:space="0" w:color="auto"/>
        <w:right w:val="none" w:sz="0" w:space="0" w:color="auto"/>
      </w:divBdr>
    </w:div>
    <w:div w:id="179663901">
      <w:bodyDiv w:val="1"/>
      <w:marLeft w:val="0"/>
      <w:marRight w:val="0"/>
      <w:marTop w:val="0"/>
      <w:marBottom w:val="0"/>
      <w:divBdr>
        <w:top w:val="none" w:sz="0" w:space="0" w:color="auto"/>
        <w:left w:val="none" w:sz="0" w:space="0" w:color="auto"/>
        <w:bottom w:val="none" w:sz="0" w:space="0" w:color="auto"/>
        <w:right w:val="none" w:sz="0" w:space="0" w:color="auto"/>
      </w:divBdr>
    </w:div>
    <w:div w:id="452095548">
      <w:bodyDiv w:val="1"/>
      <w:marLeft w:val="0"/>
      <w:marRight w:val="0"/>
      <w:marTop w:val="0"/>
      <w:marBottom w:val="0"/>
      <w:divBdr>
        <w:top w:val="none" w:sz="0" w:space="0" w:color="auto"/>
        <w:left w:val="none" w:sz="0" w:space="0" w:color="auto"/>
        <w:bottom w:val="none" w:sz="0" w:space="0" w:color="auto"/>
        <w:right w:val="none" w:sz="0" w:space="0" w:color="auto"/>
      </w:divBdr>
    </w:div>
    <w:div w:id="1048989487">
      <w:bodyDiv w:val="1"/>
      <w:marLeft w:val="0"/>
      <w:marRight w:val="0"/>
      <w:marTop w:val="0"/>
      <w:marBottom w:val="0"/>
      <w:divBdr>
        <w:top w:val="none" w:sz="0" w:space="0" w:color="auto"/>
        <w:left w:val="none" w:sz="0" w:space="0" w:color="auto"/>
        <w:bottom w:val="none" w:sz="0" w:space="0" w:color="auto"/>
        <w:right w:val="none" w:sz="0" w:space="0" w:color="auto"/>
      </w:divBdr>
    </w:div>
    <w:div w:id="1054545712">
      <w:bodyDiv w:val="1"/>
      <w:marLeft w:val="0"/>
      <w:marRight w:val="0"/>
      <w:marTop w:val="0"/>
      <w:marBottom w:val="0"/>
      <w:divBdr>
        <w:top w:val="none" w:sz="0" w:space="0" w:color="auto"/>
        <w:left w:val="none" w:sz="0" w:space="0" w:color="auto"/>
        <w:bottom w:val="none" w:sz="0" w:space="0" w:color="auto"/>
        <w:right w:val="none" w:sz="0" w:space="0" w:color="auto"/>
      </w:divBdr>
    </w:div>
    <w:div w:id="1605266309">
      <w:bodyDiv w:val="1"/>
      <w:marLeft w:val="0"/>
      <w:marRight w:val="0"/>
      <w:marTop w:val="0"/>
      <w:marBottom w:val="0"/>
      <w:divBdr>
        <w:top w:val="none" w:sz="0" w:space="0" w:color="auto"/>
        <w:left w:val="none" w:sz="0" w:space="0" w:color="auto"/>
        <w:bottom w:val="none" w:sz="0" w:space="0" w:color="auto"/>
        <w:right w:val="none" w:sz="0" w:space="0" w:color="auto"/>
      </w:divBdr>
    </w:div>
    <w:div w:id="1684865506">
      <w:bodyDiv w:val="1"/>
      <w:marLeft w:val="0"/>
      <w:marRight w:val="0"/>
      <w:marTop w:val="0"/>
      <w:marBottom w:val="0"/>
      <w:divBdr>
        <w:top w:val="none" w:sz="0" w:space="0" w:color="auto"/>
        <w:left w:val="none" w:sz="0" w:space="0" w:color="auto"/>
        <w:bottom w:val="none" w:sz="0" w:space="0" w:color="auto"/>
        <w:right w:val="none" w:sz="0" w:space="0" w:color="auto"/>
      </w:divBdr>
    </w:div>
    <w:div w:id="1830320886">
      <w:bodyDiv w:val="1"/>
      <w:marLeft w:val="0"/>
      <w:marRight w:val="0"/>
      <w:marTop w:val="0"/>
      <w:marBottom w:val="0"/>
      <w:divBdr>
        <w:top w:val="none" w:sz="0" w:space="0" w:color="auto"/>
        <w:left w:val="none" w:sz="0" w:space="0" w:color="auto"/>
        <w:bottom w:val="none" w:sz="0" w:space="0" w:color="auto"/>
        <w:right w:val="none" w:sz="0" w:space="0" w:color="auto"/>
      </w:divBdr>
    </w:div>
    <w:div w:id="1971550127">
      <w:bodyDiv w:val="1"/>
      <w:marLeft w:val="0"/>
      <w:marRight w:val="0"/>
      <w:marTop w:val="0"/>
      <w:marBottom w:val="0"/>
      <w:divBdr>
        <w:top w:val="none" w:sz="0" w:space="0" w:color="auto"/>
        <w:left w:val="none" w:sz="0" w:space="0" w:color="auto"/>
        <w:bottom w:val="none" w:sz="0" w:space="0" w:color="auto"/>
        <w:right w:val="none" w:sz="0" w:space="0" w:color="auto"/>
      </w:divBdr>
    </w:div>
    <w:div w:id="2118601402">
      <w:bodyDiv w:val="1"/>
      <w:marLeft w:val="0"/>
      <w:marRight w:val="0"/>
      <w:marTop w:val="0"/>
      <w:marBottom w:val="0"/>
      <w:divBdr>
        <w:top w:val="none" w:sz="0" w:space="0" w:color="auto"/>
        <w:left w:val="none" w:sz="0" w:space="0" w:color="auto"/>
        <w:bottom w:val="none" w:sz="0" w:space="0" w:color="auto"/>
        <w:right w:val="none" w:sz="0" w:space="0" w:color="auto"/>
      </w:divBdr>
    </w:div>
    <w:div w:id="2126850444">
      <w:bodyDiv w:val="1"/>
      <w:marLeft w:val="0"/>
      <w:marRight w:val="0"/>
      <w:marTop w:val="0"/>
      <w:marBottom w:val="0"/>
      <w:divBdr>
        <w:top w:val="none" w:sz="0" w:space="0" w:color="auto"/>
        <w:left w:val="none" w:sz="0" w:space="0" w:color="auto"/>
        <w:bottom w:val="none" w:sz="0" w:space="0" w:color="auto"/>
        <w:right w:val="none" w:sz="0" w:space="0" w:color="auto"/>
      </w:divBdr>
      <w:divsChild>
        <w:div w:id="469592732">
          <w:marLeft w:val="0"/>
          <w:marRight w:val="0"/>
          <w:marTop w:val="0"/>
          <w:marBottom w:val="0"/>
          <w:divBdr>
            <w:top w:val="none" w:sz="0" w:space="0" w:color="auto"/>
            <w:left w:val="none" w:sz="0" w:space="0" w:color="auto"/>
            <w:bottom w:val="none" w:sz="0" w:space="0" w:color="auto"/>
            <w:right w:val="none" w:sz="0" w:space="0" w:color="auto"/>
          </w:divBdr>
          <w:divsChild>
            <w:div w:id="671837456">
              <w:marLeft w:val="0"/>
              <w:marRight w:val="0"/>
              <w:marTop w:val="0"/>
              <w:marBottom w:val="0"/>
              <w:divBdr>
                <w:top w:val="none" w:sz="0" w:space="0" w:color="auto"/>
                <w:left w:val="none" w:sz="0" w:space="0" w:color="auto"/>
                <w:bottom w:val="none" w:sz="0" w:space="0" w:color="auto"/>
                <w:right w:val="none" w:sz="0" w:space="0" w:color="auto"/>
              </w:divBdr>
              <w:divsChild>
                <w:div w:id="537086065">
                  <w:marLeft w:val="15"/>
                  <w:marRight w:val="0"/>
                  <w:marTop w:val="0"/>
                  <w:marBottom w:val="0"/>
                  <w:divBdr>
                    <w:top w:val="none" w:sz="0" w:space="0" w:color="auto"/>
                    <w:left w:val="none" w:sz="0" w:space="0" w:color="auto"/>
                    <w:bottom w:val="none" w:sz="0" w:space="0" w:color="auto"/>
                    <w:right w:val="none" w:sz="0" w:space="0" w:color="auto"/>
                  </w:divBdr>
                  <w:divsChild>
                    <w:div w:id="799305079">
                      <w:marLeft w:val="0"/>
                      <w:marRight w:val="0"/>
                      <w:marTop w:val="0"/>
                      <w:marBottom w:val="0"/>
                      <w:divBdr>
                        <w:top w:val="none" w:sz="0" w:space="0" w:color="auto"/>
                        <w:left w:val="none" w:sz="0" w:space="0" w:color="auto"/>
                        <w:bottom w:val="none" w:sz="0" w:space="0" w:color="auto"/>
                        <w:right w:val="none" w:sz="0" w:space="0" w:color="auto"/>
                      </w:divBdr>
                      <w:divsChild>
                        <w:div w:id="2140996372">
                          <w:marLeft w:val="0"/>
                          <w:marRight w:val="0"/>
                          <w:marTop w:val="0"/>
                          <w:marBottom w:val="0"/>
                          <w:divBdr>
                            <w:top w:val="none" w:sz="0" w:space="0" w:color="auto"/>
                            <w:left w:val="none" w:sz="0" w:space="0" w:color="auto"/>
                            <w:bottom w:val="none" w:sz="0" w:space="0" w:color="auto"/>
                            <w:right w:val="none" w:sz="0" w:space="0" w:color="auto"/>
                          </w:divBdr>
                          <w:divsChild>
                            <w:div w:id="48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image" Target="media/image7.gif"/><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javascript:AddMetaDato('2951','Sistema%20de%20indicadores%20c&#237;clicos','');"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yperlink" Target="https://www.inegi.org.mx/app/biblioteca/ficha.html?upc=702825099060"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Notas%20Trabajo%202021\PIB%20Oportuno\2021\2do%20Trim2021\Graficas%20PIB%20constante%20(originales)_1er_T_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Notas%20Trabajo%202021\PIB%20Oportuno\2021\2do%20Trim2021\Graficas%20PIB%20constante%20(originales)_1er_T_2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20"/>
      <c:depthPercent val="50"/>
      <c:rAngAx val="1"/>
    </c:view3D>
    <c:floor>
      <c:thickness val="0"/>
      <c:spPr>
        <a:noFill/>
        <a:ln>
          <a:noFill/>
        </a:ln>
        <a:effectLst/>
        <a:sp3d/>
      </c:spPr>
    </c:floor>
    <c:sideWall>
      <c:thickness val="0"/>
      <c:spPr>
        <a:noFill/>
        <a:ln>
          <a:solidFill>
            <a:schemeClr val="bg1">
              <a:lumMod val="85000"/>
            </a:schemeClr>
          </a:solidFill>
        </a:ln>
        <a:effectLst/>
        <a:sp3d>
          <a:contourClr>
            <a:schemeClr val="bg1">
              <a:lumMod val="85000"/>
            </a:schemeClr>
          </a:contourClr>
        </a:sp3d>
      </c:spPr>
    </c:sideWall>
    <c:backWall>
      <c:thickness val="0"/>
      <c:spPr>
        <a:noFill/>
        <a:ln>
          <a:solidFill>
            <a:schemeClr val="bg1">
              <a:lumMod val="85000"/>
            </a:schemeClr>
          </a:solidFill>
        </a:ln>
        <a:effectLst/>
        <a:sp3d>
          <a:contourClr>
            <a:schemeClr val="bg1">
              <a:lumMod val="85000"/>
            </a:schemeClr>
          </a:contourClr>
        </a:sp3d>
      </c:spPr>
    </c:backWall>
    <c:plotArea>
      <c:layout/>
      <c:bar3DChart>
        <c:barDir val="col"/>
        <c:grouping val="clustered"/>
        <c:varyColors val="0"/>
        <c:ser>
          <c:idx val="0"/>
          <c:order val="0"/>
          <c:spPr>
            <a:solidFill>
              <a:schemeClr val="accent6"/>
            </a:solidFill>
            <a:ln>
              <a:noFill/>
            </a:ln>
            <a:effectLst/>
            <a:sp3d/>
          </c:spPr>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FBFB-4314-8ECD-916158457022}"/>
              </c:ext>
            </c:extLst>
          </c:dPt>
          <c:dPt>
            <c:idx val="1"/>
            <c:invertIfNegative val="0"/>
            <c:bubble3D val="0"/>
            <c:spPr>
              <a:solidFill>
                <a:schemeClr val="accent3"/>
              </a:solidFill>
              <a:ln>
                <a:noFill/>
              </a:ln>
              <a:effectLst/>
              <a:sp3d/>
            </c:spPr>
            <c:extLst>
              <c:ext xmlns:c16="http://schemas.microsoft.com/office/drawing/2014/chart" uri="{C3380CC4-5D6E-409C-BE32-E72D297353CC}">
                <c16:uniqueId val="{00000003-FBFB-4314-8ECD-916158457022}"/>
              </c:ext>
            </c:extLst>
          </c:dPt>
          <c:dPt>
            <c:idx val="2"/>
            <c:invertIfNegative val="0"/>
            <c:bubble3D val="0"/>
            <c:spPr>
              <a:solidFill>
                <a:schemeClr val="accent2"/>
              </a:solidFill>
              <a:ln>
                <a:noFill/>
              </a:ln>
              <a:effectLst/>
              <a:sp3d/>
            </c:spPr>
            <c:extLst>
              <c:ext xmlns:c16="http://schemas.microsoft.com/office/drawing/2014/chart" uri="{C3380CC4-5D6E-409C-BE32-E72D297353CC}">
                <c16:uniqueId val="{00000005-FBFB-4314-8ECD-916158457022}"/>
              </c:ext>
            </c:extLst>
          </c:dPt>
          <c:dPt>
            <c:idx val="3"/>
            <c:invertIfNegative val="0"/>
            <c:bubble3D val="0"/>
            <c:spPr>
              <a:solidFill>
                <a:srgbClr val="FFC000"/>
              </a:solidFill>
              <a:ln>
                <a:noFill/>
              </a:ln>
              <a:effectLst/>
              <a:sp3d/>
            </c:spPr>
            <c:extLst>
              <c:ext xmlns:c16="http://schemas.microsoft.com/office/drawing/2014/chart" uri="{C3380CC4-5D6E-409C-BE32-E72D297353CC}">
                <c16:uniqueId val="{00000007-FBFB-4314-8ECD-916158457022}"/>
              </c:ext>
            </c:extLst>
          </c:dPt>
          <c:dLbls>
            <c:dLbl>
              <c:idx val="0"/>
              <c:layout>
                <c:manualLayout>
                  <c:x val="2.1989136797554303E-2"/>
                  <c:y val="-1.0160739966863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FB-4314-8ECD-916158457022}"/>
                </c:ext>
              </c:extLst>
            </c:dLbl>
            <c:dLbl>
              <c:idx val="1"/>
              <c:layout>
                <c:manualLayout>
                  <c:x val="2.0520732634012565E-2"/>
                  <c:y val="-1.011983961886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BFB-4314-8ECD-916158457022}"/>
                </c:ext>
              </c:extLst>
            </c:dLbl>
            <c:dLbl>
              <c:idx val="2"/>
              <c:layout>
                <c:manualLayout>
                  <c:x val="8.7816745970108138E-3"/>
                  <c:y val="1.02790830581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BFB-4314-8ECD-916158457022}"/>
                </c:ext>
              </c:extLst>
            </c:dLbl>
            <c:dLbl>
              <c:idx val="3"/>
              <c:layout>
                <c:manualLayout>
                  <c:x val="1.6132770529016224E-2"/>
                  <c:y val="-4.08558021156453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BFB-4314-8ECD-9161584570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datos!$O$50:$O$53</c:f>
              <c:strCache>
                <c:ptCount val="4"/>
                <c:pt idx="0">
                  <c:v>PIB Total</c:v>
                </c:pt>
                <c:pt idx="1">
                  <c:v>Actividades Primarias</c:v>
                </c:pt>
                <c:pt idx="2">
                  <c:v>Actividades Secundarias</c:v>
                </c:pt>
                <c:pt idx="3">
                  <c:v>Actividades Terciarias</c:v>
                </c:pt>
              </c:strCache>
            </c:strRef>
          </c:cat>
          <c:val>
            <c:numRef>
              <c:f>datos!$P$50:$P$53</c:f>
              <c:numCache>
                <c:formatCode>0.0</c:formatCode>
                <c:ptCount val="4"/>
                <c:pt idx="0">
                  <c:v>19.698247071305076</c:v>
                </c:pt>
                <c:pt idx="1">
                  <c:v>6.7103740063510884</c:v>
                </c:pt>
                <c:pt idx="2">
                  <c:v>28.163777344823302</c:v>
                </c:pt>
                <c:pt idx="3">
                  <c:v>17.144747274881595</c:v>
                </c:pt>
              </c:numCache>
            </c:numRef>
          </c:val>
          <c:extLst>
            <c:ext xmlns:c16="http://schemas.microsoft.com/office/drawing/2014/chart" uri="{C3380CC4-5D6E-409C-BE32-E72D297353CC}">
              <c16:uniqueId val="{00000008-FBFB-4314-8ECD-916158457022}"/>
            </c:ext>
          </c:extLst>
        </c:ser>
        <c:dLbls>
          <c:showLegendKey val="0"/>
          <c:showVal val="0"/>
          <c:showCatName val="0"/>
          <c:showSerName val="0"/>
          <c:showPercent val="0"/>
          <c:showBubbleSize val="0"/>
        </c:dLbls>
        <c:gapWidth val="99"/>
        <c:gapDepth val="58"/>
        <c:shape val="box"/>
        <c:axId val="210413848"/>
        <c:axId val="210415808"/>
        <c:axId val="0"/>
      </c:bar3DChart>
      <c:catAx>
        <c:axId val="210413848"/>
        <c:scaling>
          <c:orientation val="minMax"/>
        </c:scaling>
        <c:delete val="0"/>
        <c:axPos val="b"/>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5808"/>
        <c:crossesAt val="0"/>
        <c:auto val="1"/>
        <c:lblAlgn val="ctr"/>
        <c:lblOffset val="100"/>
        <c:noMultiLvlLbl val="0"/>
      </c:catAx>
      <c:valAx>
        <c:axId val="210415808"/>
        <c:scaling>
          <c:orientation val="minMax"/>
          <c:max val="30"/>
          <c:min val="0"/>
        </c:scaling>
        <c:delete val="0"/>
        <c:axPos val="l"/>
        <c:majorGridlines>
          <c:spPr>
            <a:ln w="0" cap="flat" cmpd="sng" algn="ctr">
              <a:solidFill>
                <a:schemeClr val="bg1">
                  <a:lumMod val="85000"/>
                </a:schemeClr>
              </a:solidFill>
              <a:round/>
            </a:ln>
            <a:effectLst/>
          </c:spPr>
        </c:majorGridlines>
        <c:numFmt formatCode="0.0"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3848"/>
        <c:crosses val="autoZero"/>
        <c:crossBetween val="between"/>
        <c:majorUnit val="5"/>
      </c:valAx>
      <c:spPr>
        <a:noFill/>
        <a:ln>
          <a:noFill/>
        </a:ln>
        <a:effectLst/>
      </c:spPr>
    </c:plotArea>
    <c:plotVisOnly val="1"/>
    <c:dispBlanksAs val="gap"/>
    <c:showDLblsOverMax val="0"/>
  </c:chart>
  <c:spPr>
    <a:noFill/>
    <a:ln w="6350"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2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datos!$M$49</c:f>
              <c:strCache>
                <c:ptCount val="1"/>
                <c:pt idx="0">
                  <c:v>Crecimiento  Histórico</c:v>
                </c:pt>
              </c:strCache>
            </c:strRef>
          </c:tx>
          <c:spPr>
            <a:solidFill>
              <a:schemeClr val="tx2">
                <a:lumMod val="60000"/>
                <a:lumOff val="40000"/>
              </a:schemeClr>
            </a:solidFill>
            <a:ln>
              <a:noFill/>
            </a:ln>
            <a:effectLst/>
            <a:sp3d/>
          </c:spPr>
          <c:invertIfNegative val="0"/>
          <c:dPt>
            <c:idx val="12"/>
            <c:invertIfNegative val="0"/>
            <c:bubble3D val="0"/>
            <c:spPr>
              <a:solidFill>
                <a:schemeClr val="accent1"/>
              </a:solidFill>
              <a:ln>
                <a:noFill/>
              </a:ln>
              <a:effectLst/>
              <a:sp3d/>
            </c:spPr>
            <c:extLst>
              <c:ext xmlns:c16="http://schemas.microsoft.com/office/drawing/2014/chart" uri="{C3380CC4-5D6E-409C-BE32-E72D297353CC}">
                <c16:uniqueId val="{00000001-BAA8-4671-81E2-68B0BBC17503}"/>
              </c:ext>
            </c:extLst>
          </c:dPt>
          <c:dPt>
            <c:idx val="13"/>
            <c:invertIfNegative val="0"/>
            <c:bubble3D val="0"/>
            <c:spPr>
              <a:solidFill>
                <a:srgbClr val="C00000"/>
              </a:solidFill>
              <a:ln>
                <a:noFill/>
              </a:ln>
              <a:effectLst/>
              <a:sp3d/>
            </c:spPr>
            <c:extLst>
              <c:ext xmlns:c16="http://schemas.microsoft.com/office/drawing/2014/chart" uri="{C3380CC4-5D6E-409C-BE32-E72D297353CC}">
                <c16:uniqueId val="{00000003-BAA8-4671-81E2-68B0BBC17503}"/>
              </c:ext>
            </c:extLst>
          </c:dPt>
          <c:dPt>
            <c:idx val="14"/>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5-BAA8-4671-81E2-68B0BBC17503}"/>
              </c:ext>
            </c:extLst>
          </c:dPt>
          <c:dPt>
            <c:idx val="15"/>
            <c:invertIfNegative val="0"/>
            <c:bubble3D val="0"/>
            <c:spPr>
              <a:solidFill>
                <a:srgbClr val="C00000"/>
              </a:solidFill>
              <a:ln>
                <a:noFill/>
              </a:ln>
              <a:effectLst/>
              <a:sp3d/>
            </c:spPr>
            <c:extLst>
              <c:ext xmlns:c16="http://schemas.microsoft.com/office/drawing/2014/chart" uri="{C3380CC4-5D6E-409C-BE32-E72D297353CC}">
                <c16:uniqueId val="{00000007-BAA8-4671-81E2-68B0BBC17503}"/>
              </c:ext>
            </c:extLst>
          </c:dPt>
          <c:dPt>
            <c:idx val="16"/>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9-BAA8-4671-81E2-68B0BBC17503}"/>
              </c:ext>
            </c:extLst>
          </c:dPt>
          <c:dPt>
            <c:idx val="17"/>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B-BAA8-4671-81E2-68B0BBC17503}"/>
              </c:ext>
            </c:extLst>
          </c:dPt>
          <c:dPt>
            <c:idx val="18"/>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D-BAA8-4671-81E2-68B0BBC17503}"/>
              </c:ext>
            </c:extLst>
          </c:dPt>
          <c:dPt>
            <c:idx val="1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F-BAA8-4671-81E2-68B0BBC17503}"/>
              </c:ext>
            </c:extLst>
          </c:dPt>
          <c:dLbls>
            <c:dLbl>
              <c:idx val="13"/>
              <c:layout>
                <c:manualLayout>
                  <c:x val="5.4665553987878123E-3"/>
                  <c:y val="1.12871475742951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A8-4671-81E2-68B0BBC175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datos!$B$67:$D$80</c:f>
              <c:multiLvlStrCache>
                <c:ptCount val="1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lvl>
                <c:lvl>
                  <c:pt idx="0">
                    <c:v>2018</c:v>
                  </c:pt>
                  <c:pt idx="4">
                    <c:v>2019</c:v>
                  </c:pt>
                  <c:pt idx="8">
                    <c:v>2020</c:v>
                  </c:pt>
                  <c:pt idx="12">
                    <c:v>2021</c:v>
                  </c:pt>
                </c:lvl>
              </c:multiLvlStrCache>
            </c:multiLvlStrRef>
          </c:cat>
          <c:val>
            <c:numRef>
              <c:f>datos!$M$67:$M$80</c:f>
              <c:numCache>
                <c:formatCode>0.0</c:formatCode>
                <c:ptCount val="14"/>
                <c:pt idx="0">
                  <c:v>1.459890408373</c:v>
                </c:pt>
                <c:pt idx="1">
                  <c:v>3.2199291233579999</c:v>
                </c:pt>
                <c:pt idx="2">
                  <c:v>2.8206244829489999</c:v>
                </c:pt>
                <c:pt idx="3">
                  <c:v>1.3050581129509999</c:v>
                </c:pt>
                <c:pt idx="4">
                  <c:v>1.27913057788</c:v>
                </c:pt>
                <c:pt idx="5">
                  <c:v>-1.0333624579659999</c:v>
                </c:pt>
                <c:pt idx="6">
                  <c:v>-0.16076122644599999</c:v>
                </c:pt>
                <c:pt idx="7">
                  <c:v>-0.73088833450500001</c:v>
                </c:pt>
                <c:pt idx="8">
                  <c:v>-1.2852569955669999</c:v>
                </c:pt>
                <c:pt idx="9">
                  <c:v>-18.724787092551001</c:v>
                </c:pt>
                <c:pt idx="10">
                  <c:v>-8.7353756394920001</c:v>
                </c:pt>
                <c:pt idx="11">
                  <c:v>-4.484385535955</c:v>
                </c:pt>
                <c:pt idx="12">
                  <c:v>-3.6169645449719998</c:v>
                </c:pt>
                <c:pt idx="13">
                  <c:v>19.698247071305076</c:v>
                </c:pt>
              </c:numCache>
            </c:numRef>
          </c:val>
          <c:extLst>
            <c:ext xmlns:c16="http://schemas.microsoft.com/office/drawing/2014/chart" uri="{C3380CC4-5D6E-409C-BE32-E72D297353CC}">
              <c16:uniqueId val="{00000010-BAA8-4671-81E2-68B0BBC17503}"/>
            </c:ext>
          </c:extLst>
        </c:ser>
        <c:ser>
          <c:idx val="1"/>
          <c:order val="1"/>
          <c:tx>
            <c:strRef>
              <c:f>datos!$N$49</c:f>
              <c:strCache>
                <c:ptCount val="1"/>
                <c:pt idx="0">
                  <c:v>Estimación Oportuna</c:v>
                </c:pt>
              </c:strCache>
            </c:strRef>
          </c:tx>
          <c:spPr>
            <a:solidFill>
              <a:srgbClr val="FF0000"/>
            </a:solidFill>
            <a:ln>
              <a:noFill/>
            </a:ln>
            <a:effectLst/>
            <a:sp3d/>
          </c:spPr>
          <c:invertIfNegative val="0"/>
          <c:cat>
            <c:multiLvlStrRef>
              <c:f>datos!$B$67:$D$80</c:f>
              <c:multiLvlStrCache>
                <c:ptCount val="1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lvl>
                <c:lvl>
                  <c:pt idx="0">
                    <c:v>2018</c:v>
                  </c:pt>
                  <c:pt idx="4">
                    <c:v>2019</c:v>
                  </c:pt>
                  <c:pt idx="8">
                    <c:v>2020</c:v>
                  </c:pt>
                  <c:pt idx="12">
                    <c:v>2021</c:v>
                  </c:pt>
                </c:lvl>
              </c:multiLvlStrCache>
            </c:multiLvlStrRef>
          </c:cat>
          <c:val>
            <c:numRef>
              <c:f>datos!$N$67:$N$80</c:f>
              <c:numCache>
                <c:formatCode>General</c:formatCode>
                <c:ptCount val="14"/>
              </c:numCache>
            </c:numRef>
          </c:val>
          <c:extLst>
            <c:ext xmlns:c16="http://schemas.microsoft.com/office/drawing/2014/chart" uri="{C3380CC4-5D6E-409C-BE32-E72D297353CC}">
              <c16:uniqueId val="{00000011-BAA8-4671-81E2-68B0BBC17503}"/>
            </c:ext>
          </c:extLst>
        </c:ser>
        <c:dLbls>
          <c:showLegendKey val="0"/>
          <c:showVal val="0"/>
          <c:showCatName val="0"/>
          <c:showSerName val="0"/>
          <c:showPercent val="0"/>
          <c:showBubbleSize val="0"/>
        </c:dLbls>
        <c:gapWidth val="14"/>
        <c:gapDepth val="23"/>
        <c:shape val="box"/>
        <c:axId val="210415024"/>
        <c:axId val="210416592"/>
        <c:axId val="0"/>
      </c:bar3DChart>
      <c:catAx>
        <c:axId val="210415024"/>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6592"/>
        <c:crosses val="autoZero"/>
        <c:auto val="1"/>
        <c:lblAlgn val="ctr"/>
        <c:lblOffset val="100"/>
        <c:noMultiLvlLbl val="0"/>
      </c:catAx>
      <c:valAx>
        <c:axId val="210416592"/>
        <c:scaling>
          <c:orientation val="minMax"/>
          <c:max val="24"/>
          <c:min val="-24"/>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10415024"/>
        <c:crosses val="autoZero"/>
        <c:crossBetween val="between"/>
        <c:majorUnit val="8"/>
        <c:minorUnit val="0.5"/>
      </c:valAx>
      <c:spPr>
        <a:noFill/>
        <a:ln>
          <a:noFill/>
        </a:ln>
        <a:effectLst/>
      </c:spPr>
    </c:plotArea>
    <c:legend>
      <c:legendPos val="b"/>
      <c:layout>
        <c:manualLayout>
          <c:xMode val="edge"/>
          <c:yMode val="edge"/>
          <c:x val="0.15102370525487718"/>
          <c:y val="0.8850103981457963"/>
          <c:w val="0.81961121867760611"/>
          <c:h val="0.1028459963169926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F04FC-8A67-4BA9-8E32-076AB3E7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8</Pages>
  <Words>1862</Words>
  <Characters>10241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Comunicado de Prensa. Estimación Oportuna del Producto Interno Bruto en México. Segundo Trimestre de 2021</vt:lpstr>
    </vt:vector>
  </TitlesOfParts>
  <Company>DGCNES y P.  "INEGI"</Company>
  <LinksUpToDate>false</LinksUpToDate>
  <CharactersWithSpaces>12079</CharactersWithSpaces>
  <SharedDoc>false</SharedDoc>
  <HLinks>
    <vt:vector size="24" baseType="variant">
      <vt:variant>
        <vt:i4>262227</vt:i4>
      </vt:variant>
      <vt:variant>
        <vt:i4>0</vt:i4>
      </vt:variant>
      <vt:variant>
        <vt:i4>0</vt:i4>
      </vt:variant>
      <vt:variant>
        <vt:i4>5</vt:i4>
      </vt:variant>
      <vt:variant>
        <vt:lpwstr>http://www.inegi.org.mx/</vt:lpwstr>
      </vt:variant>
      <vt:variant>
        <vt:lpwstr/>
      </vt:variant>
      <vt:variant>
        <vt:i4>196687</vt:i4>
      </vt:variant>
      <vt:variant>
        <vt:i4>0</vt:i4>
      </vt:variant>
      <vt:variant>
        <vt:i4>0</vt:i4>
      </vt:variant>
      <vt:variant>
        <vt:i4>5</vt:i4>
      </vt:variant>
      <vt:variant>
        <vt:lpwstr>http://www.censo2010.org.mx/</vt:lpwstr>
      </vt:variant>
      <vt:variant>
        <vt:lpwstr/>
      </vt:variant>
      <vt:variant>
        <vt:i4>196687</vt:i4>
      </vt:variant>
      <vt:variant>
        <vt:i4>-1</vt:i4>
      </vt:variant>
      <vt:variant>
        <vt:i4>9217</vt:i4>
      </vt:variant>
      <vt:variant>
        <vt:i4>4</vt:i4>
      </vt:variant>
      <vt:variant>
        <vt:lpwstr>http://www.censo2010.org.mx/</vt:lpwstr>
      </vt:variant>
      <vt:variant>
        <vt:lpwstr/>
      </vt:variant>
      <vt:variant>
        <vt:i4>196687</vt:i4>
      </vt:variant>
      <vt:variant>
        <vt:i4>-1</vt:i4>
      </vt:variant>
      <vt:variant>
        <vt:i4>1026</vt:i4>
      </vt:variant>
      <vt:variant>
        <vt:i4>4</vt:i4>
      </vt:variant>
      <vt:variant>
        <vt:lpwstr>http://www.censo2010.org.mx/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Estimación Oportuna del Producto Interno Bruto en México. Segundo Trimestre de 2021</dc:title>
  <dc:creator>Laura Calles</dc:creator>
  <cp:lastModifiedBy>GUILLEN MEDINA MOISES</cp:lastModifiedBy>
  <cp:revision>475</cp:revision>
  <cp:lastPrinted>2020-10-29T19:25:00Z</cp:lastPrinted>
  <dcterms:created xsi:type="dcterms:W3CDTF">2018-01-29T21:14:00Z</dcterms:created>
  <dcterms:modified xsi:type="dcterms:W3CDTF">2021-07-29T23:24:00Z</dcterms:modified>
</cp:coreProperties>
</file>