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A8DA5" w14:textId="17C1418E" w:rsidR="001F51A6" w:rsidRDefault="001F51A6" w:rsidP="00DC21AE">
      <w:pPr>
        <w:ind w:left="-567" w:right="-518"/>
        <w:jc w:val="center"/>
        <w:rPr>
          <w:rFonts w:ascii="Arial" w:hAnsi="Arial"/>
          <w:b/>
          <w:bCs/>
          <w:sz w:val="24"/>
          <w:szCs w:val="24"/>
          <w:lang w:val="es-MX"/>
        </w:rPr>
      </w:pPr>
      <w:bookmarkStart w:id="0" w:name="_Hlk89887716"/>
      <w:bookmarkStart w:id="1" w:name="_GoBack"/>
      <w:r w:rsidRPr="001F51A6">
        <w:rPr>
          <w:rFonts w:ascii="Arial" w:hAnsi="Arial"/>
          <w:b/>
          <w:bCs/>
          <w:sz w:val="24"/>
          <w:szCs w:val="24"/>
          <w:lang w:val="es-MX"/>
        </w:rPr>
        <w:t>PRODUCTO INTERNO BRUT</w:t>
      </w:r>
      <w:r>
        <w:rPr>
          <w:rFonts w:ascii="Arial" w:hAnsi="Arial"/>
          <w:b/>
          <w:bCs/>
          <w:sz w:val="24"/>
          <w:szCs w:val="24"/>
          <w:lang w:val="es-MX"/>
        </w:rPr>
        <w:t>O</w:t>
      </w:r>
      <w:r w:rsidRPr="001F51A6">
        <w:rPr>
          <w:rFonts w:ascii="Arial" w:hAnsi="Arial"/>
          <w:b/>
          <w:bCs/>
          <w:sz w:val="24"/>
          <w:szCs w:val="24"/>
          <w:lang w:val="es-MX"/>
        </w:rPr>
        <w:t xml:space="preserve"> POR ENTIDAD FEDERATIVA 2020</w:t>
      </w:r>
      <w:bookmarkEnd w:id="0"/>
      <w:bookmarkEnd w:id="1"/>
    </w:p>
    <w:p w14:paraId="7BA8D6E4" w14:textId="77777777" w:rsidR="00DC21AE" w:rsidRPr="001F51A6" w:rsidRDefault="00DC21AE" w:rsidP="00DC21AE">
      <w:pPr>
        <w:ind w:left="-567" w:right="-518"/>
        <w:jc w:val="center"/>
        <w:rPr>
          <w:rFonts w:ascii="Arial" w:hAnsi="Arial"/>
          <w:b/>
          <w:bCs/>
          <w:sz w:val="24"/>
          <w:szCs w:val="24"/>
          <w:lang w:val="es-MX"/>
        </w:rPr>
      </w:pPr>
    </w:p>
    <w:p w14:paraId="1748F4DF" w14:textId="13921871" w:rsidR="00A10AF5" w:rsidRPr="00DC21AE" w:rsidRDefault="00A10AF5" w:rsidP="00925940">
      <w:pPr>
        <w:pStyle w:val="Prrafodelista"/>
        <w:numPr>
          <w:ilvl w:val="0"/>
          <w:numId w:val="1"/>
        </w:numPr>
        <w:ind w:left="-142" w:right="-234" w:hanging="425"/>
        <w:jc w:val="both"/>
        <w:rPr>
          <w:rFonts w:ascii="Arial" w:hAnsi="Arial" w:cs="Arial"/>
          <w:sz w:val="23"/>
          <w:szCs w:val="23"/>
          <w:lang w:val="es-MX" w:eastAsia="es-MX"/>
        </w:rPr>
      </w:pPr>
      <w:r w:rsidRPr="00DC21AE">
        <w:rPr>
          <w:rFonts w:ascii="Arial" w:hAnsi="Arial" w:cs="Arial"/>
          <w:sz w:val="23"/>
          <w:szCs w:val="23"/>
          <w:lang w:val="es-MX" w:eastAsia="es-MX"/>
        </w:rPr>
        <w:t xml:space="preserve">En 2020 el Producto Interno Bruto </w:t>
      </w:r>
      <w:r w:rsidR="001C7AC0">
        <w:rPr>
          <w:rFonts w:ascii="Arial" w:hAnsi="Arial" w:cs="Arial"/>
          <w:sz w:val="23"/>
          <w:szCs w:val="23"/>
          <w:lang w:val="es-MX" w:eastAsia="es-MX"/>
        </w:rPr>
        <w:t>por entidad federativ</w:t>
      </w:r>
      <w:r w:rsidRPr="00DC21AE">
        <w:rPr>
          <w:rFonts w:ascii="Arial" w:hAnsi="Arial" w:cs="Arial"/>
          <w:sz w:val="23"/>
          <w:szCs w:val="23"/>
          <w:lang w:val="es-MX" w:eastAsia="es-MX"/>
        </w:rPr>
        <w:t xml:space="preserve">a </w:t>
      </w:r>
      <w:r w:rsidR="001C7AC0">
        <w:rPr>
          <w:rFonts w:ascii="Arial" w:hAnsi="Arial" w:cs="Arial"/>
          <w:sz w:val="23"/>
          <w:szCs w:val="23"/>
          <w:lang w:val="es-MX" w:eastAsia="es-MX"/>
        </w:rPr>
        <w:t xml:space="preserve">total a </w:t>
      </w:r>
      <w:r w:rsidRPr="00DC21AE">
        <w:rPr>
          <w:rFonts w:ascii="Arial" w:hAnsi="Arial" w:cs="Arial"/>
          <w:sz w:val="23"/>
          <w:szCs w:val="23"/>
          <w:lang w:val="es-MX" w:eastAsia="es-MX"/>
        </w:rPr>
        <w:t xml:space="preserve">precios básicos fue de 21 884 029 millones de pesos corrientes. </w:t>
      </w:r>
    </w:p>
    <w:p w14:paraId="64E6D538" w14:textId="17D35DB4" w:rsidR="00A10AF5" w:rsidRDefault="00A10AF5" w:rsidP="00925940">
      <w:pPr>
        <w:pStyle w:val="Prrafodelista"/>
        <w:numPr>
          <w:ilvl w:val="0"/>
          <w:numId w:val="1"/>
        </w:numPr>
        <w:ind w:left="-142" w:right="-234" w:hanging="425"/>
        <w:jc w:val="both"/>
        <w:rPr>
          <w:rFonts w:ascii="Arial" w:hAnsi="Arial" w:cs="Arial"/>
          <w:bCs/>
          <w:sz w:val="23"/>
          <w:szCs w:val="23"/>
          <w:lang w:val="es-MX"/>
        </w:rPr>
      </w:pPr>
      <w:r w:rsidRPr="00DC21AE">
        <w:rPr>
          <w:rFonts w:ascii="Arial" w:hAnsi="Arial" w:cs="Arial"/>
          <w:bCs/>
          <w:sz w:val="23"/>
          <w:szCs w:val="23"/>
          <w:lang w:val="es-MX"/>
        </w:rPr>
        <w:t>En términos nominales, las entidades con mayor aportación al PIB nacional fueron: Ciudad de México, México</w:t>
      </w:r>
      <w:r w:rsidRPr="004E231E">
        <w:rPr>
          <w:rFonts w:ascii="Arial" w:hAnsi="Arial" w:cs="Arial"/>
          <w:bCs/>
          <w:sz w:val="23"/>
          <w:szCs w:val="23"/>
          <w:lang w:val="es-MX"/>
        </w:rPr>
        <w:t>,</w:t>
      </w:r>
      <w:r w:rsidRPr="00DC21AE">
        <w:rPr>
          <w:rFonts w:ascii="Arial" w:hAnsi="Arial" w:cs="Arial"/>
          <w:bCs/>
          <w:sz w:val="23"/>
          <w:szCs w:val="23"/>
          <w:lang w:val="es-MX"/>
        </w:rPr>
        <w:t xml:space="preserve"> Nuevo León, Jalisco, Veracruz de Ignacio de la Llave, Guanajuato, Baja California, Coahuila de Zaragoza, Chihuahua, Sonora, Puebla y Tamaulipas.</w:t>
      </w:r>
    </w:p>
    <w:p w14:paraId="068EA6C1" w14:textId="77777777" w:rsidR="00DC21AE" w:rsidRPr="00DC21AE" w:rsidRDefault="00DC21AE" w:rsidP="00DC21AE">
      <w:pPr>
        <w:pStyle w:val="Prrafodelista"/>
        <w:ind w:left="153" w:right="-234"/>
        <w:jc w:val="both"/>
        <w:rPr>
          <w:rFonts w:ascii="Arial" w:hAnsi="Arial" w:cs="Arial"/>
          <w:bCs/>
          <w:sz w:val="23"/>
          <w:szCs w:val="23"/>
          <w:lang w:val="es-MX"/>
        </w:rPr>
      </w:pPr>
    </w:p>
    <w:p w14:paraId="299FF2B0" w14:textId="77777777" w:rsidR="009027E4" w:rsidRPr="00EF1ADC" w:rsidRDefault="001F51A6" w:rsidP="00DC21AE">
      <w:pPr>
        <w:ind w:left="-567" w:right="-518"/>
        <w:jc w:val="both"/>
        <w:rPr>
          <w:rFonts w:ascii="Arial" w:hAnsi="Arial" w:cs="Arial"/>
          <w:bCs/>
          <w:sz w:val="23"/>
          <w:szCs w:val="23"/>
          <w:lang w:val="es-MX"/>
        </w:rPr>
      </w:pPr>
      <w:r w:rsidRPr="00EF1ADC">
        <w:rPr>
          <w:rFonts w:ascii="Arial" w:hAnsi="Arial" w:cs="Arial"/>
          <w:bCs/>
          <w:sz w:val="23"/>
          <w:szCs w:val="23"/>
          <w:lang w:val="es-MX"/>
        </w:rPr>
        <w:t xml:space="preserve">El INEGI presenta los resultados del Producto Interno Bruto por </w:t>
      </w:r>
      <w:r w:rsidR="00EF1ADC" w:rsidRPr="00EF1ADC">
        <w:rPr>
          <w:rFonts w:ascii="Arial" w:hAnsi="Arial" w:cs="Arial"/>
          <w:bCs/>
          <w:sz w:val="23"/>
          <w:szCs w:val="23"/>
          <w:lang w:val="es-MX"/>
        </w:rPr>
        <w:t>e</w:t>
      </w:r>
      <w:r w:rsidRPr="00EF1ADC">
        <w:rPr>
          <w:rFonts w:ascii="Arial" w:hAnsi="Arial" w:cs="Arial"/>
          <w:bCs/>
          <w:sz w:val="23"/>
          <w:szCs w:val="23"/>
          <w:lang w:val="es-MX"/>
        </w:rPr>
        <w:t xml:space="preserve">ntidad </w:t>
      </w:r>
      <w:r w:rsidR="00EF1ADC" w:rsidRPr="00EF1ADC">
        <w:rPr>
          <w:rFonts w:ascii="Arial" w:hAnsi="Arial" w:cs="Arial"/>
          <w:bCs/>
          <w:sz w:val="23"/>
          <w:szCs w:val="23"/>
          <w:lang w:val="es-MX"/>
        </w:rPr>
        <w:t>f</w:t>
      </w:r>
      <w:r w:rsidRPr="00EF1ADC">
        <w:rPr>
          <w:rFonts w:ascii="Arial" w:hAnsi="Arial" w:cs="Arial"/>
          <w:bCs/>
          <w:sz w:val="23"/>
          <w:szCs w:val="23"/>
          <w:lang w:val="es-MX"/>
        </w:rPr>
        <w:t xml:space="preserve">ederativa </w:t>
      </w:r>
      <w:r w:rsidR="00EF1ADC" w:rsidRPr="00EF1ADC">
        <w:rPr>
          <w:rFonts w:ascii="Arial" w:hAnsi="Arial" w:cs="Arial"/>
          <w:sz w:val="23"/>
          <w:szCs w:val="23"/>
        </w:rPr>
        <w:t xml:space="preserve">(PIBE) </w:t>
      </w:r>
      <w:r w:rsidRPr="00EF1ADC">
        <w:rPr>
          <w:rFonts w:ascii="Arial" w:hAnsi="Arial" w:cs="Arial"/>
          <w:bCs/>
          <w:sz w:val="23"/>
          <w:szCs w:val="23"/>
          <w:lang w:val="es-MX"/>
        </w:rPr>
        <w:t xml:space="preserve">2020, </w:t>
      </w:r>
      <w:r w:rsidR="009027E4" w:rsidRPr="00EF1ADC">
        <w:rPr>
          <w:rFonts w:ascii="Arial" w:hAnsi="Arial" w:cs="Arial"/>
          <w:bCs/>
          <w:sz w:val="23"/>
          <w:szCs w:val="23"/>
          <w:lang w:val="es-MX"/>
        </w:rPr>
        <w:t>que permiten a los usuarios</w:t>
      </w:r>
      <w:r w:rsidRPr="00EF1ADC">
        <w:rPr>
          <w:rFonts w:ascii="Arial" w:hAnsi="Arial" w:cs="Arial"/>
          <w:bCs/>
          <w:sz w:val="23"/>
          <w:szCs w:val="23"/>
          <w:lang w:val="es-MX"/>
        </w:rPr>
        <w:t xml:space="preserve"> dar seguimiento a la dinámica de las entidades federativas</w:t>
      </w:r>
      <w:r w:rsidR="00084C81" w:rsidRPr="00EF1ADC">
        <w:rPr>
          <w:rFonts w:ascii="Arial" w:hAnsi="Arial" w:cs="Arial"/>
          <w:bCs/>
          <w:sz w:val="23"/>
          <w:szCs w:val="23"/>
          <w:lang w:val="es-MX"/>
        </w:rPr>
        <w:t>, sus respectivas actividades económicas</w:t>
      </w:r>
      <w:r w:rsidRPr="00EF1ADC">
        <w:rPr>
          <w:rFonts w:ascii="Arial" w:hAnsi="Arial" w:cs="Arial"/>
          <w:bCs/>
          <w:sz w:val="23"/>
          <w:szCs w:val="23"/>
          <w:lang w:val="es-MX"/>
        </w:rPr>
        <w:t xml:space="preserve"> y su participación en el Producto Interno Bruto (PIB) nacional.</w:t>
      </w:r>
    </w:p>
    <w:p w14:paraId="782E02BB" w14:textId="77777777" w:rsidR="00DC21AE" w:rsidRPr="00C04D1A" w:rsidRDefault="00DC21AE" w:rsidP="00DC21AE">
      <w:pPr>
        <w:ind w:left="-567" w:right="-518"/>
        <w:jc w:val="both"/>
        <w:rPr>
          <w:rFonts w:ascii="Arial" w:hAnsi="Arial"/>
          <w:bCs/>
          <w:sz w:val="23"/>
          <w:szCs w:val="23"/>
          <w:lang w:val="es-MX"/>
        </w:rPr>
      </w:pPr>
    </w:p>
    <w:p w14:paraId="182BB400" w14:textId="77777777" w:rsidR="009027E4" w:rsidRDefault="009027E4" w:rsidP="00DC21AE">
      <w:pPr>
        <w:ind w:left="-567" w:right="-518"/>
        <w:jc w:val="both"/>
        <w:rPr>
          <w:rFonts w:ascii="Arial" w:hAnsi="Arial"/>
          <w:bCs/>
          <w:sz w:val="23"/>
          <w:szCs w:val="23"/>
          <w:lang w:val="es-MX"/>
        </w:rPr>
      </w:pPr>
      <w:r w:rsidRPr="00C04D1A">
        <w:rPr>
          <w:rFonts w:ascii="Arial" w:hAnsi="Arial"/>
          <w:bCs/>
          <w:sz w:val="23"/>
          <w:szCs w:val="23"/>
          <w:lang w:val="es-MX"/>
        </w:rPr>
        <w:t xml:space="preserve">El </w:t>
      </w:r>
      <w:r w:rsidR="00EF1ADC">
        <w:rPr>
          <w:rFonts w:ascii="Arial" w:hAnsi="Arial"/>
          <w:bCs/>
          <w:sz w:val="23"/>
          <w:szCs w:val="23"/>
          <w:lang w:val="es-MX"/>
        </w:rPr>
        <w:t>PIBE</w:t>
      </w:r>
      <w:r w:rsidRPr="00C04D1A">
        <w:rPr>
          <w:rFonts w:ascii="Arial" w:hAnsi="Arial"/>
          <w:bCs/>
          <w:sz w:val="23"/>
          <w:szCs w:val="23"/>
          <w:lang w:val="es-MX"/>
        </w:rPr>
        <w:t xml:space="preserve"> con año base 2013 se deriva del Sistema de Cuentas Nacionales de México y proporciona información en valores corrientes, a precios constantes, índices de precios implícitos e índices de volumen físico.</w:t>
      </w:r>
    </w:p>
    <w:p w14:paraId="5FA52569" w14:textId="77777777" w:rsidR="00DC21AE" w:rsidRPr="00C04D1A" w:rsidRDefault="00DC21AE" w:rsidP="00DC21AE">
      <w:pPr>
        <w:ind w:left="-567" w:right="-518"/>
        <w:jc w:val="both"/>
        <w:rPr>
          <w:rFonts w:ascii="Arial" w:hAnsi="Arial"/>
          <w:bCs/>
          <w:sz w:val="23"/>
          <w:szCs w:val="23"/>
          <w:lang w:val="es-MX"/>
        </w:rPr>
      </w:pPr>
    </w:p>
    <w:p w14:paraId="5D991CF0" w14:textId="77777777" w:rsidR="009027E4" w:rsidRDefault="009027E4" w:rsidP="00DC21AE">
      <w:pPr>
        <w:ind w:left="-567" w:right="-518"/>
        <w:jc w:val="both"/>
        <w:rPr>
          <w:rFonts w:ascii="Arial" w:hAnsi="Arial"/>
          <w:b/>
          <w:bCs/>
          <w:sz w:val="23"/>
          <w:szCs w:val="23"/>
          <w:lang w:val="es-MX"/>
        </w:rPr>
      </w:pPr>
      <w:r w:rsidRPr="00C04D1A">
        <w:rPr>
          <w:rFonts w:ascii="Arial" w:hAnsi="Arial"/>
          <w:b/>
          <w:bCs/>
          <w:sz w:val="23"/>
          <w:szCs w:val="23"/>
          <w:lang w:val="es-MX"/>
        </w:rPr>
        <w:t>PRINCIPALES RESULTADOS</w:t>
      </w:r>
    </w:p>
    <w:p w14:paraId="55F7FD53" w14:textId="77777777" w:rsidR="00DC21AE" w:rsidRDefault="00DC21AE" w:rsidP="00DC21AE">
      <w:pPr>
        <w:ind w:left="-567" w:right="-518"/>
        <w:jc w:val="both"/>
        <w:rPr>
          <w:rFonts w:ascii="Arial" w:hAnsi="Arial"/>
          <w:b/>
          <w:bCs/>
          <w:sz w:val="23"/>
          <w:szCs w:val="23"/>
          <w:lang w:val="es-MX"/>
        </w:rPr>
      </w:pPr>
    </w:p>
    <w:p w14:paraId="25BE46B3" w14:textId="77777777" w:rsidR="00A10AF5" w:rsidRDefault="00A10AF5" w:rsidP="00DC21AE">
      <w:pPr>
        <w:ind w:left="-567" w:right="-518"/>
        <w:jc w:val="both"/>
        <w:rPr>
          <w:rFonts w:ascii="Arial" w:hAnsi="Arial"/>
          <w:sz w:val="23"/>
          <w:szCs w:val="23"/>
          <w:lang w:val="es-MX" w:eastAsia="es-MX"/>
        </w:rPr>
      </w:pPr>
      <w:r w:rsidRPr="00A10AF5">
        <w:rPr>
          <w:rFonts w:ascii="Arial" w:hAnsi="Arial"/>
          <w:sz w:val="23"/>
          <w:szCs w:val="23"/>
          <w:lang w:val="es-MX" w:eastAsia="es-MX"/>
        </w:rPr>
        <w:t xml:space="preserve">En 2020 </w:t>
      </w:r>
      <w:r w:rsidR="00EF1ADC">
        <w:rPr>
          <w:rFonts w:ascii="Arial" w:hAnsi="Arial"/>
          <w:sz w:val="23"/>
          <w:szCs w:val="23"/>
          <w:lang w:val="es-MX" w:eastAsia="es-MX"/>
        </w:rPr>
        <w:t xml:space="preserve">el PIBE </w:t>
      </w:r>
      <w:r w:rsidRPr="00A10AF5">
        <w:rPr>
          <w:rFonts w:ascii="Arial" w:hAnsi="Arial"/>
          <w:sz w:val="23"/>
          <w:szCs w:val="23"/>
          <w:lang w:val="es-MX" w:eastAsia="es-MX"/>
        </w:rPr>
        <w:t xml:space="preserve">total a precios básicos </w:t>
      </w:r>
      <w:r>
        <w:rPr>
          <w:rFonts w:ascii="Arial" w:hAnsi="Arial"/>
          <w:sz w:val="23"/>
          <w:szCs w:val="23"/>
          <w:lang w:val="es-MX" w:eastAsia="es-MX"/>
        </w:rPr>
        <w:t xml:space="preserve">fue de </w:t>
      </w:r>
      <w:r w:rsidRPr="00A10AF5">
        <w:rPr>
          <w:rFonts w:ascii="Arial" w:hAnsi="Arial"/>
          <w:sz w:val="23"/>
          <w:szCs w:val="23"/>
          <w:lang w:val="es-MX" w:eastAsia="es-MX"/>
        </w:rPr>
        <w:t>21</w:t>
      </w:r>
      <w:r>
        <w:rPr>
          <w:rFonts w:ascii="Arial" w:hAnsi="Arial"/>
          <w:sz w:val="23"/>
          <w:szCs w:val="23"/>
          <w:lang w:val="es-MX" w:eastAsia="es-MX"/>
        </w:rPr>
        <w:t xml:space="preserve"> </w:t>
      </w:r>
      <w:r w:rsidRPr="00A10AF5">
        <w:rPr>
          <w:rFonts w:ascii="Arial" w:hAnsi="Arial"/>
          <w:sz w:val="23"/>
          <w:szCs w:val="23"/>
          <w:lang w:val="es-MX" w:eastAsia="es-MX"/>
        </w:rPr>
        <w:t>884</w:t>
      </w:r>
      <w:r>
        <w:rPr>
          <w:rFonts w:ascii="Arial" w:hAnsi="Arial"/>
          <w:sz w:val="23"/>
          <w:szCs w:val="23"/>
          <w:lang w:val="es-MX" w:eastAsia="es-MX"/>
        </w:rPr>
        <w:t xml:space="preserve"> </w:t>
      </w:r>
      <w:r w:rsidRPr="00A10AF5">
        <w:rPr>
          <w:rFonts w:ascii="Arial" w:hAnsi="Arial"/>
          <w:sz w:val="23"/>
          <w:szCs w:val="23"/>
          <w:lang w:val="es-MX" w:eastAsia="es-MX"/>
        </w:rPr>
        <w:t>029 millones de pesos corrientes</w:t>
      </w:r>
      <w:r>
        <w:rPr>
          <w:rFonts w:ascii="Arial" w:hAnsi="Arial"/>
          <w:sz w:val="23"/>
          <w:szCs w:val="23"/>
          <w:lang w:val="es-MX" w:eastAsia="es-MX"/>
        </w:rPr>
        <w:t xml:space="preserve">. </w:t>
      </w:r>
    </w:p>
    <w:p w14:paraId="0FAB09F0" w14:textId="77777777" w:rsidR="00DC21AE" w:rsidRDefault="00DC21AE" w:rsidP="00DC21AE">
      <w:pPr>
        <w:ind w:left="-567" w:right="-518"/>
        <w:jc w:val="both"/>
        <w:rPr>
          <w:rFonts w:ascii="Arial" w:hAnsi="Arial"/>
          <w:sz w:val="23"/>
          <w:szCs w:val="23"/>
          <w:lang w:val="es-MX" w:eastAsia="es-MX"/>
        </w:rPr>
      </w:pPr>
    </w:p>
    <w:p w14:paraId="2FA8E58D" w14:textId="77777777" w:rsidR="001F51A6" w:rsidRDefault="00A10AF5" w:rsidP="00DC21AE">
      <w:pPr>
        <w:ind w:left="-567" w:right="-518"/>
        <w:jc w:val="both"/>
        <w:rPr>
          <w:rFonts w:ascii="Arial" w:hAnsi="Arial"/>
          <w:bCs/>
          <w:sz w:val="23"/>
          <w:szCs w:val="23"/>
          <w:lang w:val="es-MX"/>
        </w:rPr>
      </w:pPr>
      <w:r>
        <w:rPr>
          <w:rFonts w:ascii="Arial" w:hAnsi="Arial"/>
          <w:sz w:val="23"/>
          <w:szCs w:val="23"/>
          <w:lang w:val="es-MX" w:eastAsia="es-MX"/>
        </w:rPr>
        <w:t xml:space="preserve">Este </w:t>
      </w:r>
      <w:r w:rsidRPr="00A10AF5">
        <w:rPr>
          <w:rFonts w:ascii="Arial" w:hAnsi="Arial"/>
          <w:sz w:val="23"/>
          <w:szCs w:val="23"/>
          <w:lang w:val="es-MX" w:eastAsia="es-MX"/>
        </w:rPr>
        <w:t xml:space="preserve">monto </w:t>
      </w:r>
      <w:r>
        <w:rPr>
          <w:rFonts w:ascii="Arial" w:hAnsi="Arial"/>
          <w:sz w:val="23"/>
          <w:szCs w:val="23"/>
          <w:lang w:val="es-MX" w:eastAsia="es-MX"/>
        </w:rPr>
        <w:t xml:space="preserve">se </w:t>
      </w:r>
      <w:r w:rsidRPr="00A10AF5">
        <w:rPr>
          <w:rFonts w:ascii="Arial" w:hAnsi="Arial"/>
          <w:sz w:val="23"/>
          <w:szCs w:val="23"/>
          <w:lang w:val="es-MX" w:eastAsia="es-MX"/>
        </w:rPr>
        <w:t>integr</w:t>
      </w:r>
      <w:r>
        <w:rPr>
          <w:rFonts w:ascii="Arial" w:hAnsi="Arial"/>
          <w:sz w:val="23"/>
          <w:szCs w:val="23"/>
          <w:lang w:val="es-MX" w:eastAsia="es-MX"/>
        </w:rPr>
        <w:t>ó</w:t>
      </w:r>
      <w:r w:rsidRPr="00A10AF5">
        <w:rPr>
          <w:rFonts w:ascii="Arial" w:hAnsi="Arial"/>
          <w:sz w:val="23"/>
          <w:szCs w:val="23"/>
          <w:lang w:val="es-MX" w:eastAsia="es-MX"/>
        </w:rPr>
        <w:t xml:space="preserve"> principalmente por la contribución de </w:t>
      </w:r>
      <w:r w:rsidR="00DC21AE">
        <w:rPr>
          <w:rFonts w:ascii="Arial" w:hAnsi="Arial"/>
          <w:bCs/>
          <w:sz w:val="23"/>
          <w:szCs w:val="23"/>
          <w:lang w:val="es-MX"/>
        </w:rPr>
        <w:t xml:space="preserve">la </w:t>
      </w:r>
      <w:r w:rsidR="001F51A6" w:rsidRPr="00C04D1A">
        <w:rPr>
          <w:rFonts w:ascii="Arial" w:hAnsi="Arial"/>
          <w:bCs/>
          <w:sz w:val="23"/>
          <w:szCs w:val="23"/>
          <w:lang w:val="es-MX"/>
        </w:rPr>
        <w:t>Ciudad de México, México</w:t>
      </w:r>
      <w:r w:rsidR="001F51A6" w:rsidRPr="00A10AF5">
        <w:rPr>
          <w:rFonts w:ascii="Arial" w:hAnsi="Arial"/>
          <w:bCs/>
          <w:sz w:val="23"/>
          <w:szCs w:val="23"/>
          <w:lang w:val="es-MX"/>
        </w:rPr>
        <w:t>,</w:t>
      </w:r>
      <w:r w:rsidR="001F51A6" w:rsidRPr="00C04D1A">
        <w:rPr>
          <w:rFonts w:ascii="Arial" w:hAnsi="Arial"/>
          <w:bCs/>
          <w:sz w:val="23"/>
          <w:szCs w:val="23"/>
          <w:lang w:val="es-MX"/>
        </w:rPr>
        <w:t xml:space="preserve"> Nuevo León, Jalisco, Veracruz de Ignacio de la Llave, Guanajuato, Baja California, Coahuila de Zaragoza, Chihuahua, Sonora, Puebla y Tamaulipas</w:t>
      </w:r>
      <w:r w:rsidR="00084C81">
        <w:rPr>
          <w:rFonts w:ascii="Arial" w:hAnsi="Arial"/>
          <w:bCs/>
          <w:sz w:val="23"/>
          <w:szCs w:val="23"/>
          <w:lang w:val="es-MX"/>
        </w:rPr>
        <w:t xml:space="preserve"> que, en conjunto,</w:t>
      </w:r>
      <w:r w:rsidR="00DC21AE">
        <w:rPr>
          <w:rFonts w:ascii="Arial" w:hAnsi="Arial"/>
          <w:bCs/>
          <w:sz w:val="23"/>
          <w:szCs w:val="23"/>
          <w:lang w:val="es-MX"/>
        </w:rPr>
        <w:t xml:space="preserve"> </w:t>
      </w:r>
      <w:r w:rsidR="001F51A6" w:rsidRPr="00C04D1A">
        <w:rPr>
          <w:rFonts w:ascii="Arial" w:hAnsi="Arial"/>
          <w:bCs/>
          <w:sz w:val="23"/>
          <w:szCs w:val="23"/>
          <w:lang w:val="es-MX"/>
        </w:rPr>
        <w:t>contribuyeron con 69.8% del PIB nacional a precios básicos</w:t>
      </w:r>
      <w:r w:rsidR="00DC21AE">
        <w:rPr>
          <w:rFonts w:ascii="Arial" w:hAnsi="Arial" w:cs="Arial"/>
          <w:bCs/>
          <w:smallCaps/>
          <w:sz w:val="23"/>
          <w:szCs w:val="23"/>
          <w:vertAlign w:val="superscript"/>
        </w:rPr>
        <w:t xml:space="preserve"> </w:t>
      </w:r>
      <w:r w:rsidR="001F51A6" w:rsidRPr="00C04D1A">
        <w:rPr>
          <w:rFonts w:ascii="Arial" w:hAnsi="Arial"/>
          <w:bCs/>
          <w:sz w:val="23"/>
          <w:szCs w:val="23"/>
          <w:lang w:val="es-MX"/>
        </w:rPr>
        <w:t>en 2020</w:t>
      </w:r>
      <w:r w:rsidR="00925940" w:rsidRPr="00DC21AE">
        <w:rPr>
          <w:rFonts w:ascii="Arial" w:hAnsi="Arial" w:cs="Arial"/>
          <w:smallCaps/>
          <w:sz w:val="23"/>
          <w:szCs w:val="23"/>
          <w:vertAlign w:val="superscript"/>
        </w:rPr>
        <w:footnoteReference w:id="1"/>
      </w:r>
      <w:r w:rsidR="001F51A6" w:rsidRPr="00C04D1A">
        <w:rPr>
          <w:rFonts w:ascii="Arial" w:hAnsi="Arial"/>
          <w:bCs/>
          <w:sz w:val="23"/>
          <w:szCs w:val="23"/>
          <w:lang w:val="es-MX"/>
        </w:rPr>
        <w:t>.</w:t>
      </w:r>
    </w:p>
    <w:p w14:paraId="7D7B0FE3" w14:textId="77777777" w:rsidR="00DC21AE" w:rsidRPr="00C04D1A" w:rsidRDefault="00DC21AE" w:rsidP="00DC21AE">
      <w:pPr>
        <w:ind w:left="-567" w:right="-518"/>
        <w:jc w:val="both"/>
        <w:rPr>
          <w:rFonts w:ascii="Arial" w:hAnsi="Arial"/>
          <w:bCs/>
          <w:sz w:val="23"/>
          <w:szCs w:val="23"/>
          <w:lang w:val="es-MX"/>
        </w:rPr>
      </w:pPr>
    </w:p>
    <w:p w14:paraId="751D641C" w14:textId="77777777" w:rsidR="001F51A6" w:rsidRDefault="001F51A6" w:rsidP="00DC21AE">
      <w:pPr>
        <w:ind w:left="-567" w:right="-518"/>
        <w:jc w:val="both"/>
        <w:rPr>
          <w:rFonts w:ascii="Arial" w:hAnsi="Arial"/>
          <w:bCs/>
          <w:sz w:val="23"/>
          <w:szCs w:val="23"/>
          <w:lang w:val="es-MX"/>
        </w:rPr>
      </w:pPr>
      <w:r w:rsidRPr="00C04D1A">
        <w:rPr>
          <w:rFonts w:ascii="Arial" w:hAnsi="Arial"/>
          <w:bCs/>
          <w:sz w:val="23"/>
          <w:szCs w:val="23"/>
          <w:lang w:val="es-MX"/>
        </w:rPr>
        <w:t>Durante el año en cuestión, las actividades terciarias (comercio y servicios) con más participación en el PIB total residieron en Ciudad de México, México, Nuevo León, Jalisco, Veracruz de Ignacio de la Llave, Guanajuato, Puebla, Baja California, Chihuahua, Tamaulipas y Michoacán de Ocampo agrupando 69.7% del producto total de estas actividades.</w:t>
      </w:r>
    </w:p>
    <w:p w14:paraId="03966EB3" w14:textId="77777777" w:rsidR="00DC21AE" w:rsidRPr="00C04D1A" w:rsidRDefault="00DC21AE" w:rsidP="00DC21AE">
      <w:pPr>
        <w:ind w:left="-567" w:right="-518"/>
        <w:jc w:val="both"/>
        <w:rPr>
          <w:rFonts w:ascii="Arial" w:hAnsi="Arial"/>
          <w:bCs/>
          <w:sz w:val="23"/>
          <w:szCs w:val="23"/>
          <w:lang w:val="es-MX"/>
        </w:rPr>
      </w:pPr>
    </w:p>
    <w:p w14:paraId="3D218B7D" w14:textId="77777777" w:rsidR="001F51A6" w:rsidRDefault="001F51A6" w:rsidP="00DC21AE">
      <w:pPr>
        <w:ind w:left="-567" w:right="-518"/>
        <w:jc w:val="both"/>
        <w:rPr>
          <w:rFonts w:ascii="Arial" w:hAnsi="Arial"/>
          <w:bCs/>
          <w:sz w:val="23"/>
          <w:szCs w:val="23"/>
          <w:lang w:val="es-MX"/>
        </w:rPr>
      </w:pPr>
      <w:r w:rsidRPr="00C04D1A">
        <w:rPr>
          <w:rFonts w:ascii="Arial" w:hAnsi="Arial"/>
          <w:bCs/>
          <w:sz w:val="23"/>
          <w:szCs w:val="23"/>
          <w:lang w:val="es-MX"/>
        </w:rPr>
        <w:t xml:space="preserve">En las actividades secundarias (sector industrial), las principales aportaciones fueron observadas en Nuevo León, Jalisco, México, Coahuila de Zaragoza, Sonora, Guanajuato, Baja California, Campeche, Chihuahua, Ciudad de México y Veracruz de Ignacio de la Llave </w:t>
      </w:r>
      <w:r w:rsidR="009027E4" w:rsidRPr="00C04D1A">
        <w:rPr>
          <w:rFonts w:ascii="Arial" w:hAnsi="Arial"/>
          <w:bCs/>
          <w:sz w:val="23"/>
          <w:szCs w:val="23"/>
          <w:lang w:val="es-MX"/>
        </w:rPr>
        <w:t>con un</w:t>
      </w:r>
      <w:r w:rsidR="00C04D1A" w:rsidRPr="00C04D1A">
        <w:rPr>
          <w:rFonts w:ascii="Arial" w:hAnsi="Arial"/>
          <w:bCs/>
          <w:sz w:val="23"/>
          <w:szCs w:val="23"/>
          <w:lang w:val="es-MX"/>
        </w:rPr>
        <w:t>a</w:t>
      </w:r>
      <w:r w:rsidR="009027E4" w:rsidRPr="00C04D1A">
        <w:rPr>
          <w:rFonts w:ascii="Arial" w:hAnsi="Arial"/>
          <w:bCs/>
          <w:sz w:val="23"/>
          <w:szCs w:val="23"/>
          <w:lang w:val="es-MX"/>
        </w:rPr>
        <w:t xml:space="preserve"> participación de </w:t>
      </w:r>
      <w:r w:rsidRPr="00C04D1A">
        <w:rPr>
          <w:rFonts w:ascii="Arial" w:hAnsi="Arial"/>
          <w:bCs/>
          <w:sz w:val="23"/>
          <w:szCs w:val="23"/>
          <w:lang w:val="es-MX"/>
        </w:rPr>
        <w:t>64.9 por ciento.</w:t>
      </w:r>
    </w:p>
    <w:p w14:paraId="4AF118AB" w14:textId="77777777" w:rsidR="00DC21AE" w:rsidRPr="00C04D1A" w:rsidRDefault="00DC21AE" w:rsidP="00DC21AE">
      <w:pPr>
        <w:ind w:left="-567" w:right="-518"/>
        <w:jc w:val="both"/>
        <w:rPr>
          <w:rFonts w:ascii="Arial" w:hAnsi="Arial"/>
          <w:bCs/>
          <w:sz w:val="23"/>
          <w:szCs w:val="23"/>
          <w:lang w:val="es-MX"/>
        </w:rPr>
      </w:pPr>
    </w:p>
    <w:p w14:paraId="1E4C454B" w14:textId="77777777" w:rsidR="001F51A6" w:rsidRDefault="001F51A6" w:rsidP="00DC21AE">
      <w:pPr>
        <w:ind w:left="-567" w:right="-518"/>
        <w:jc w:val="both"/>
        <w:rPr>
          <w:rFonts w:ascii="Arial" w:hAnsi="Arial"/>
          <w:bCs/>
          <w:sz w:val="23"/>
          <w:szCs w:val="23"/>
          <w:lang w:val="es-MX"/>
        </w:rPr>
      </w:pPr>
      <w:r w:rsidRPr="00C04D1A">
        <w:rPr>
          <w:rFonts w:ascii="Arial" w:hAnsi="Arial"/>
          <w:bCs/>
          <w:sz w:val="23"/>
          <w:szCs w:val="23"/>
          <w:lang w:val="es-MX"/>
        </w:rPr>
        <w:t>Jalisco, Michoacán de Ocampo, Sinaloa, Veracruz de Ignacio de la Llave, Sonora, Chihuahua, Guanajuato, Puebla, México, Chiapas y Durango agregar</w:t>
      </w:r>
      <w:r w:rsidR="00925940">
        <w:rPr>
          <w:rFonts w:ascii="Arial" w:hAnsi="Arial"/>
          <w:bCs/>
          <w:sz w:val="23"/>
          <w:szCs w:val="23"/>
          <w:lang w:val="es-MX"/>
        </w:rPr>
        <w:t>on en conjunto</w:t>
      </w:r>
      <w:r w:rsidRPr="00C04D1A">
        <w:rPr>
          <w:rFonts w:ascii="Arial" w:hAnsi="Arial"/>
          <w:bCs/>
          <w:sz w:val="23"/>
          <w:szCs w:val="23"/>
          <w:lang w:val="es-MX"/>
        </w:rPr>
        <w:t xml:space="preserve"> 68.0% del PIB en las actividades primarias (agricultura, cría y explotación de animales, aprovechamiento forestal, pesca y caza).</w:t>
      </w:r>
    </w:p>
    <w:p w14:paraId="6F0B1AAC" w14:textId="77777777" w:rsidR="00084C81" w:rsidRPr="00C04D1A" w:rsidRDefault="00084C81" w:rsidP="00DC21AE">
      <w:pPr>
        <w:ind w:left="-567" w:right="-518"/>
        <w:jc w:val="both"/>
        <w:rPr>
          <w:rFonts w:ascii="Arial" w:hAnsi="Arial"/>
          <w:bCs/>
          <w:sz w:val="23"/>
          <w:szCs w:val="23"/>
          <w:lang w:val="es-MX"/>
        </w:rPr>
      </w:pPr>
    </w:p>
    <w:p w14:paraId="180B1CD1" w14:textId="36246725" w:rsidR="001F51A6" w:rsidRDefault="00C04D1A" w:rsidP="00DC21AE">
      <w:pPr>
        <w:ind w:left="-567" w:right="-518"/>
        <w:jc w:val="both"/>
        <w:rPr>
          <w:rFonts w:ascii="Arial" w:hAnsi="Arial"/>
          <w:bCs/>
          <w:sz w:val="23"/>
          <w:szCs w:val="23"/>
          <w:lang w:val="es-MX"/>
        </w:rPr>
      </w:pPr>
      <w:r w:rsidRPr="00C04D1A">
        <w:rPr>
          <w:rFonts w:ascii="Arial" w:hAnsi="Arial"/>
          <w:bCs/>
          <w:sz w:val="23"/>
          <w:szCs w:val="23"/>
          <w:lang w:val="es-MX"/>
        </w:rPr>
        <w:t>De 2019 a 2020 los estados con mayor decremento anual en su PIB en términos reales fueron: Quintana Roo con una tasa de (-)24.1%, Baja California Sur (-)23.5%, Tlaxcala (-)12.1%,</w:t>
      </w:r>
      <w:r w:rsidRPr="00C04D1A">
        <w:rPr>
          <w:bCs/>
          <w:sz w:val="23"/>
          <w:szCs w:val="23"/>
        </w:rPr>
        <w:t xml:space="preserve"> </w:t>
      </w:r>
      <w:r w:rsidRPr="00C04D1A">
        <w:rPr>
          <w:rFonts w:ascii="Arial" w:hAnsi="Arial"/>
          <w:bCs/>
          <w:sz w:val="23"/>
          <w:szCs w:val="23"/>
          <w:lang w:val="es-MX"/>
        </w:rPr>
        <w:t>Nayarit y Coahuila de Zaragoza con (-)11.4% cada uno, Morelos (-)11.0%, Hidalgo y Puebla (-)10.9% en cada caso, Guerrero (-)9.9%, Ciudad de México (-)9.1% y Querétaro con (-)9.0 por ciento.</w:t>
      </w:r>
    </w:p>
    <w:p w14:paraId="2D95CF75" w14:textId="67448D40" w:rsidR="00F73422" w:rsidRDefault="00F73422" w:rsidP="00DC21AE">
      <w:pPr>
        <w:ind w:left="-567" w:right="-518"/>
        <w:jc w:val="both"/>
        <w:rPr>
          <w:rFonts w:ascii="Arial" w:hAnsi="Arial"/>
          <w:bCs/>
          <w:sz w:val="23"/>
          <w:szCs w:val="23"/>
          <w:lang w:val="es-MX"/>
        </w:rPr>
      </w:pPr>
    </w:p>
    <w:p w14:paraId="4BEBB09B" w14:textId="2BE31AC7" w:rsidR="00F73422" w:rsidRDefault="00F73422" w:rsidP="00DC21AE">
      <w:pPr>
        <w:ind w:left="-567" w:right="-518"/>
        <w:jc w:val="both"/>
        <w:rPr>
          <w:rFonts w:ascii="Arial" w:hAnsi="Arial"/>
          <w:bCs/>
          <w:sz w:val="23"/>
          <w:szCs w:val="23"/>
          <w:lang w:val="es-MX"/>
        </w:rPr>
      </w:pPr>
    </w:p>
    <w:p w14:paraId="4287106C" w14:textId="528DC7B0" w:rsidR="00F73422" w:rsidRDefault="00F73422" w:rsidP="00DC21AE">
      <w:pPr>
        <w:ind w:left="-567" w:right="-518"/>
        <w:jc w:val="both"/>
        <w:rPr>
          <w:rFonts w:ascii="Arial" w:hAnsi="Arial"/>
          <w:bCs/>
          <w:sz w:val="23"/>
          <w:szCs w:val="23"/>
          <w:lang w:val="es-MX"/>
        </w:rPr>
      </w:pPr>
    </w:p>
    <w:p w14:paraId="7D5D39CA" w14:textId="77777777" w:rsidR="001F51A6" w:rsidRPr="00925940" w:rsidRDefault="001F51A6" w:rsidP="001F51A6">
      <w:pPr>
        <w:pStyle w:val="n01"/>
        <w:keepLines w:val="0"/>
        <w:ind w:left="0" w:right="-263" w:firstLine="0"/>
        <w:jc w:val="center"/>
        <w:outlineLvl w:val="0"/>
        <w:rPr>
          <w:rFonts w:ascii="Arial" w:hAnsi="Arial" w:cs="Arial"/>
          <w:b/>
          <w:color w:val="auto"/>
          <w:spacing w:val="-6"/>
          <w:sz w:val="22"/>
          <w:szCs w:val="22"/>
        </w:rPr>
      </w:pPr>
      <w:r w:rsidRPr="00925940">
        <w:rPr>
          <w:rFonts w:ascii="Arial" w:hAnsi="Arial" w:cs="Arial"/>
          <w:b/>
          <w:smallCaps/>
          <w:color w:val="auto"/>
          <w:spacing w:val="-6"/>
          <w:sz w:val="22"/>
          <w:szCs w:val="22"/>
        </w:rPr>
        <w:lastRenderedPageBreak/>
        <w:t>Comportamiento del Producto Interno Bruto por Entidad Federativa en 2020</w:t>
      </w:r>
    </w:p>
    <w:p w14:paraId="7C7EFF9A" w14:textId="77777777" w:rsidR="001F51A6" w:rsidRDefault="001F51A6" w:rsidP="001F51A6">
      <w:pPr>
        <w:pStyle w:val="Textoindependiente"/>
        <w:tabs>
          <w:tab w:val="clear" w:pos="3348"/>
        </w:tabs>
        <w:spacing w:before="0"/>
        <w:ind w:right="-2"/>
        <w:jc w:val="center"/>
        <w:rPr>
          <w:rFonts w:cs="Arial"/>
          <w:spacing w:val="-6"/>
          <w:sz w:val="20"/>
          <w:szCs w:val="24"/>
        </w:rPr>
      </w:pPr>
      <w:r w:rsidRPr="00DC44B6">
        <w:rPr>
          <w:rFonts w:cs="Arial"/>
          <w:spacing w:val="-6"/>
          <w:sz w:val="20"/>
          <w:szCs w:val="24"/>
        </w:rPr>
        <w:t>(</w:t>
      </w:r>
      <w:r>
        <w:rPr>
          <w:rFonts w:cs="Arial"/>
          <w:spacing w:val="-6"/>
          <w:sz w:val="20"/>
          <w:szCs w:val="24"/>
        </w:rPr>
        <w:t>Variación porcentual anual)</w:t>
      </w:r>
    </w:p>
    <w:tbl>
      <w:tblPr>
        <w:tblW w:w="8262" w:type="dxa"/>
        <w:tblInd w:w="284" w:type="dxa"/>
        <w:tblLayout w:type="fixed"/>
        <w:tblCellMar>
          <w:left w:w="70" w:type="dxa"/>
          <w:right w:w="70" w:type="dxa"/>
        </w:tblCellMar>
        <w:tblLook w:val="0000" w:firstRow="0" w:lastRow="0" w:firstColumn="0" w:lastColumn="0" w:noHBand="0" w:noVBand="0"/>
      </w:tblPr>
      <w:tblGrid>
        <w:gridCol w:w="2888"/>
        <w:gridCol w:w="1359"/>
        <w:gridCol w:w="1328"/>
        <w:gridCol w:w="1344"/>
        <w:gridCol w:w="1343"/>
      </w:tblGrid>
      <w:tr w:rsidR="001F51A6" w:rsidRPr="008D55F9" w14:paraId="3988A52E" w14:textId="77777777" w:rsidTr="001F51A6">
        <w:trPr>
          <w:trHeight w:val="257"/>
        </w:trPr>
        <w:tc>
          <w:tcPr>
            <w:tcW w:w="2888" w:type="dxa"/>
            <w:vMerge w:val="restart"/>
            <w:tcBorders>
              <w:top w:val="single" w:sz="4" w:space="0" w:color="auto"/>
              <w:left w:val="single" w:sz="4" w:space="0" w:color="auto"/>
              <w:right w:val="single" w:sz="4" w:space="0" w:color="auto"/>
            </w:tcBorders>
            <w:shd w:val="clear" w:color="auto" w:fill="C45911" w:themeFill="accent2" w:themeFillShade="BF"/>
            <w:vAlign w:val="center"/>
          </w:tcPr>
          <w:p w14:paraId="2F20B5A7" w14:textId="77777777" w:rsidR="001F51A6" w:rsidRPr="008D55F9" w:rsidRDefault="001F51A6" w:rsidP="001F51A6">
            <w:pPr>
              <w:autoSpaceDE w:val="0"/>
              <w:autoSpaceDN w:val="0"/>
              <w:adjustRightInd w:val="0"/>
              <w:jc w:val="center"/>
              <w:rPr>
                <w:rFonts w:ascii="Arial" w:eastAsiaTheme="minorHAnsi" w:hAnsi="Arial" w:cs="Arial"/>
                <w:b/>
                <w:bCs/>
                <w:color w:val="FFFFFF"/>
                <w:sz w:val="18"/>
                <w:szCs w:val="18"/>
                <w:lang w:val="es-MX" w:eastAsia="en-US"/>
              </w:rPr>
            </w:pPr>
            <w:r w:rsidRPr="008D55F9">
              <w:rPr>
                <w:rFonts w:ascii="Arial" w:eastAsiaTheme="minorHAnsi" w:hAnsi="Arial" w:cs="Arial"/>
                <w:b/>
                <w:bCs/>
                <w:color w:val="FFFFFF"/>
                <w:sz w:val="18"/>
                <w:szCs w:val="18"/>
                <w:lang w:val="es-MX" w:eastAsia="en-US"/>
              </w:rPr>
              <w:t>Estado</w:t>
            </w:r>
          </w:p>
        </w:tc>
        <w:tc>
          <w:tcPr>
            <w:tcW w:w="1359" w:type="dxa"/>
            <w:vMerge w:val="restart"/>
            <w:tcBorders>
              <w:top w:val="single" w:sz="6" w:space="0" w:color="auto"/>
              <w:left w:val="single" w:sz="4" w:space="0" w:color="auto"/>
              <w:right w:val="single" w:sz="6" w:space="0" w:color="auto"/>
            </w:tcBorders>
            <w:shd w:val="clear" w:color="auto" w:fill="C45911" w:themeFill="accent2" w:themeFillShade="BF"/>
            <w:vAlign w:val="center"/>
          </w:tcPr>
          <w:p w14:paraId="14E58124" w14:textId="77777777" w:rsidR="001F51A6" w:rsidRPr="008D55F9" w:rsidRDefault="001F51A6" w:rsidP="001F51A6">
            <w:pPr>
              <w:autoSpaceDE w:val="0"/>
              <w:autoSpaceDN w:val="0"/>
              <w:adjustRightInd w:val="0"/>
              <w:jc w:val="center"/>
              <w:rPr>
                <w:rFonts w:ascii="Arial" w:eastAsiaTheme="minorHAnsi" w:hAnsi="Arial" w:cs="Arial"/>
                <w:b/>
                <w:bCs/>
                <w:color w:val="FFFFFF"/>
                <w:sz w:val="18"/>
                <w:szCs w:val="18"/>
                <w:lang w:val="es-MX" w:eastAsia="en-US"/>
              </w:rPr>
            </w:pPr>
            <w:r w:rsidRPr="008D55F9">
              <w:rPr>
                <w:rFonts w:ascii="Arial" w:eastAsiaTheme="minorHAnsi" w:hAnsi="Arial" w:cs="Arial"/>
                <w:b/>
                <w:bCs/>
                <w:color w:val="FFFFFF"/>
                <w:sz w:val="18"/>
                <w:szCs w:val="18"/>
                <w:lang w:val="es-MX" w:eastAsia="en-US"/>
              </w:rPr>
              <w:t>Total</w:t>
            </w:r>
          </w:p>
        </w:tc>
        <w:tc>
          <w:tcPr>
            <w:tcW w:w="4015" w:type="dxa"/>
            <w:gridSpan w:val="3"/>
            <w:tcBorders>
              <w:top w:val="single" w:sz="6" w:space="0" w:color="auto"/>
              <w:left w:val="single" w:sz="6" w:space="0" w:color="auto"/>
              <w:bottom w:val="single" w:sz="6" w:space="0" w:color="auto"/>
              <w:right w:val="single" w:sz="6" w:space="0" w:color="auto"/>
            </w:tcBorders>
            <w:shd w:val="clear" w:color="auto" w:fill="C45911" w:themeFill="accent2" w:themeFillShade="BF"/>
            <w:vAlign w:val="center"/>
          </w:tcPr>
          <w:p w14:paraId="439801C4" w14:textId="77777777" w:rsidR="001F51A6" w:rsidRPr="008D55F9" w:rsidRDefault="001F51A6" w:rsidP="001F51A6">
            <w:pPr>
              <w:autoSpaceDE w:val="0"/>
              <w:autoSpaceDN w:val="0"/>
              <w:adjustRightInd w:val="0"/>
              <w:jc w:val="center"/>
              <w:rPr>
                <w:rFonts w:ascii="Arial" w:eastAsiaTheme="minorHAnsi" w:hAnsi="Arial" w:cs="Arial"/>
                <w:b/>
                <w:bCs/>
                <w:color w:val="FFFFFF"/>
                <w:sz w:val="18"/>
                <w:szCs w:val="18"/>
                <w:lang w:val="es-MX" w:eastAsia="en-US"/>
              </w:rPr>
            </w:pPr>
            <w:r w:rsidRPr="008D55F9">
              <w:rPr>
                <w:rFonts w:ascii="Arial" w:eastAsiaTheme="minorHAnsi" w:hAnsi="Arial" w:cs="Arial"/>
                <w:b/>
                <w:bCs/>
                <w:color w:val="FFFFFF"/>
                <w:sz w:val="18"/>
                <w:szCs w:val="18"/>
                <w:lang w:val="es-MX" w:eastAsia="en-US"/>
              </w:rPr>
              <w:t>Actividades</w:t>
            </w:r>
          </w:p>
        </w:tc>
      </w:tr>
      <w:tr w:rsidR="001F51A6" w:rsidRPr="008D55F9" w14:paraId="1A2C1E65" w14:textId="77777777" w:rsidTr="001F51A6">
        <w:trPr>
          <w:trHeight w:val="297"/>
        </w:trPr>
        <w:tc>
          <w:tcPr>
            <w:tcW w:w="2888" w:type="dxa"/>
            <w:vMerge/>
            <w:tcBorders>
              <w:left w:val="single" w:sz="4" w:space="0" w:color="auto"/>
              <w:bottom w:val="single" w:sz="4" w:space="0" w:color="auto"/>
              <w:right w:val="single" w:sz="4" w:space="0" w:color="auto"/>
            </w:tcBorders>
            <w:shd w:val="clear" w:color="auto" w:fill="C45911" w:themeFill="accent2" w:themeFillShade="BF"/>
            <w:vAlign w:val="center"/>
          </w:tcPr>
          <w:p w14:paraId="4A359B8B" w14:textId="77777777" w:rsidR="001F51A6" w:rsidRPr="008D55F9" w:rsidRDefault="001F51A6" w:rsidP="001F51A6">
            <w:pPr>
              <w:autoSpaceDE w:val="0"/>
              <w:autoSpaceDN w:val="0"/>
              <w:adjustRightInd w:val="0"/>
              <w:rPr>
                <w:rFonts w:ascii="Arial" w:eastAsiaTheme="minorHAnsi" w:hAnsi="Arial" w:cs="Arial"/>
                <w:b/>
                <w:bCs/>
                <w:color w:val="FFFFFF"/>
                <w:sz w:val="18"/>
                <w:szCs w:val="18"/>
                <w:lang w:val="es-MX" w:eastAsia="en-US"/>
              </w:rPr>
            </w:pPr>
          </w:p>
        </w:tc>
        <w:tc>
          <w:tcPr>
            <w:tcW w:w="1359" w:type="dxa"/>
            <w:vMerge/>
            <w:tcBorders>
              <w:left w:val="single" w:sz="4" w:space="0" w:color="auto"/>
              <w:bottom w:val="single" w:sz="4" w:space="0" w:color="auto"/>
              <w:right w:val="single" w:sz="6" w:space="0" w:color="auto"/>
            </w:tcBorders>
            <w:shd w:val="clear" w:color="auto" w:fill="C45911" w:themeFill="accent2" w:themeFillShade="BF"/>
            <w:vAlign w:val="center"/>
          </w:tcPr>
          <w:p w14:paraId="059D086E" w14:textId="77777777" w:rsidR="001F51A6" w:rsidRPr="008D55F9" w:rsidRDefault="001F51A6" w:rsidP="001F51A6">
            <w:pPr>
              <w:autoSpaceDE w:val="0"/>
              <w:autoSpaceDN w:val="0"/>
              <w:adjustRightInd w:val="0"/>
              <w:jc w:val="center"/>
              <w:rPr>
                <w:rFonts w:ascii="Arial" w:eastAsiaTheme="minorHAnsi" w:hAnsi="Arial" w:cs="Arial"/>
                <w:b/>
                <w:bCs/>
                <w:color w:val="FFFFFF"/>
                <w:sz w:val="18"/>
                <w:szCs w:val="18"/>
                <w:lang w:val="es-MX" w:eastAsia="en-US"/>
              </w:rPr>
            </w:pPr>
          </w:p>
        </w:tc>
        <w:tc>
          <w:tcPr>
            <w:tcW w:w="1328" w:type="dxa"/>
            <w:tcBorders>
              <w:top w:val="single" w:sz="6" w:space="0" w:color="auto"/>
              <w:left w:val="single" w:sz="6" w:space="0" w:color="auto"/>
              <w:bottom w:val="single" w:sz="4" w:space="0" w:color="auto"/>
              <w:right w:val="single" w:sz="6" w:space="0" w:color="auto"/>
            </w:tcBorders>
            <w:shd w:val="clear" w:color="auto" w:fill="C45911" w:themeFill="accent2" w:themeFillShade="BF"/>
            <w:vAlign w:val="center"/>
          </w:tcPr>
          <w:p w14:paraId="74590AC5" w14:textId="77777777" w:rsidR="001F51A6" w:rsidRPr="008D55F9" w:rsidRDefault="001F51A6" w:rsidP="001F51A6">
            <w:pPr>
              <w:autoSpaceDE w:val="0"/>
              <w:autoSpaceDN w:val="0"/>
              <w:adjustRightInd w:val="0"/>
              <w:jc w:val="center"/>
              <w:rPr>
                <w:rFonts w:ascii="Arial" w:eastAsiaTheme="minorHAnsi" w:hAnsi="Arial" w:cs="Arial"/>
                <w:b/>
                <w:bCs/>
                <w:color w:val="FFFFFF"/>
                <w:sz w:val="18"/>
                <w:szCs w:val="18"/>
                <w:lang w:val="es-MX" w:eastAsia="en-US"/>
              </w:rPr>
            </w:pPr>
            <w:r w:rsidRPr="008D55F9">
              <w:rPr>
                <w:rFonts w:ascii="Arial" w:eastAsiaTheme="minorHAnsi" w:hAnsi="Arial" w:cs="Arial"/>
                <w:b/>
                <w:bCs/>
                <w:color w:val="FFFFFF"/>
                <w:sz w:val="18"/>
                <w:szCs w:val="18"/>
                <w:lang w:val="es-MX" w:eastAsia="en-US"/>
              </w:rPr>
              <w:t>Primarias</w:t>
            </w:r>
          </w:p>
        </w:tc>
        <w:tc>
          <w:tcPr>
            <w:tcW w:w="1344" w:type="dxa"/>
            <w:tcBorders>
              <w:top w:val="single" w:sz="6" w:space="0" w:color="auto"/>
              <w:left w:val="single" w:sz="6" w:space="0" w:color="auto"/>
              <w:bottom w:val="single" w:sz="4" w:space="0" w:color="auto"/>
              <w:right w:val="single" w:sz="6" w:space="0" w:color="auto"/>
            </w:tcBorders>
            <w:shd w:val="clear" w:color="auto" w:fill="C45911" w:themeFill="accent2" w:themeFillShade="BF"/>
            <w:vAlign w:val="center"/>
          </w:tcPr>
          <w:p w14:paraId="16FF2B38" w14:textId="77777777" w:rsidR="001F51A6" w:rsidRPr="008D55F9" w:rsidRDefault="001F51A6" w:rsidP="001F51A6">
            <w:pPr>
              <w:autoSpaceDE w:val="0"/>
              <w:autoSpaceDN w:val="0"/>
              <w:adjustRightInd w:val="0"/>
              <w:jc w:val="center"/>
              <w:rPr>
                <w:rFonts w:ascii="Arial" w:eastAsiaTheme="minorHAnsi" w:hAnsi="Arial" w:cs="Arial"/>
                <w:b/>
                <w:bCs/>
                <w:color w:val="FFFFFF"/>
                <w:sz w:val="18"/>
                <w:szCs w:val="18"/>
                <w:lang w:val="es-MX" w:eastAsia="en-US"/>
              </w:rPr>
            </w:pPr>
            <w:r w:rsidRPr="008D55F9">
              <w:rPr>
                <w:rFonts w:ascii="Arial" w:eastAsiaTheme="minorHAnsi" w:hAnsi="Arial" w:cs="Arial"/>
                <w:b/>
                <w:bCs/>
                <w:color w:val="FFFFFF"/>
                <w:sz w:val="18"/>
                <w:szCs w:val="18"/>
                <w:lang w:val="es-MX" w:eastAsia="en-US"/>
              </w:rPr>
              <w:t>Secundarias</w:t>
            </w:r>
          </w:p>
        </w:tc>
        <w:tc>
          <w:tcPr>
            <w:tcW w:w="1343" w:type="dxa"/>
            <w:tcBorders>
              <w:top w:val="single" w:sz="6" w:space="0" w:color="auto"/>
              <w:left w:val="single" w:sz="6" w:space="0" w:color="auto"/>
              <w:bottom w:val="single" w:sz="4" w:space="0" w:color="auto"/>
              <w:right w:val="single" w:sz="6" w:space="0" w:color="auto"/>
            </w:tcBorders>
            <w:shd w:val="clear" w:color="auto" w:fill="C45911" w:themeFill="accent2" w:themeFillShade="BF"/>
            <w:vAlign w:val="center"/>
          </w:tcPr>
          <w:p w14:paraId="5629BC5D" w14:textId="77777777" w:rsidR="001F51A6" w:rsidRPr="008D55F9" w:rsidRDefault="001F51A6" w:rsidP="001F51A6">
            <w:pPr>
              <w:autoSpaceDE w:val="0"/>
              <w:autoSpaceDN w:val="0"/>
              <w:adjustRightInd w:val="0"/>
              <w:jc w:val="center"/>
              <w:rPr>
                <w:rFonts w:ascii="Arial" w:eastAsiaTheme="minorHAnsi" w:hAnsi="Arial" w:cs="Arial"/>
                <w:b/>
                <w:bCs/>
                <w:color w:val="FFFFFF"/>
                <w:sz w:val="18"/>
                <w:szCs w:val="18"/>
                <w:lang w:val="es-MX" w:eastAsia="en-US"/>
              </w:rPr>
            </w:pPr>
            <w:r w:rsidRPr="008D55F9">
              <w:rPr>
                <w:rFonts w:ascii="Arial" w:eastAsiaTheme="minorHAnsi" w:hAnsi="Arial" w:cs="Arial"/>
                <w:b/>
                <w:bCs/>
                <w:color w:val="FFFFFF"/>
                <w:sz w:val="18"/>
                <w:szCs w:val="18"/>
                <w:lang w:val="es-MX" w:eastAsia="en-US"/>
              </w:rPr>
              <w:t>Terciarias</w:t>
            </w:r>
          </w:p>
        </w:tc>
      </w:tr>
      <w:tr w:rsidR="001F51A6" w:rsidRPr="008D55F9" w14:paraId="084EF6F2" w14:textId="77777777" w:rsidTr="001F51A6">
        <w:trPr>
          <w:trHeight w:val="243"/>
        </w:trPr>
        <w:tc>
          <w:tcPr>
            <w:tcW w:w="2888" w:type="dxa"/>
            <w:tcBorders>
              <w:top w:val="single" w:sz="4" w:space="0" w:color="auto"/>
              <w:left w:val="single" w:sz="4" w:space="0" w:color="auto"/>
              <w:right w:val="single" w:sz="4" w:space="0" w:color="auto"/>
            </w:tcBorders>
          </w:tcPr>
          <w:p w14:paraId="2996BDAB" w14:textId="77777777" w:rsidR="001F51A6" w:rsidRPr="008D55F9" w:rsidRDefault="001F51A6" w:rsidP="001F51A6">
            <w:pPr>
              <w:autoSpaceDE w:val="0"/>
              <w:autoSpaceDN w:val="0"/>
              <w:adjustRightInd w:val="0"/>
              <w:rPr>
                <w:rFonts w:ascii="Arial" w:eastAsiaTheme="minorHAnsi" w:hAnsi="Arial" w:cs="Arial"/>
                <w:b/>
                <w:bCs/>
                <w:color w:val="000000"/>
                <w:sz w:val="18"/>
                <w:szCs w:val="18"/>
                <w:lang w:val="es-MX" w:eastAsia="en-US"/>
              </w:rPr>
            </w:pPr>
            <w:r w:rsidRPr="008D55F9">
              <w:rPr>
                <w:rFonts w:ascii="Arial" w:eastAsiaTheme="minorHAnsi" w:hAnsi="Arial" w:cs="Arial"/>
                <w:b/>
                <w:bCs/>
                <w:color w:val="000000"/>
                <w:sz w:val="18"/>
                <w:szCs w:val="18"/>
                <w:lang w:val="es-MX" w:eastAsia="en-US"/>
              </w:rPr>
              <w:t>Estados Unidos Mexicanos</w:t>
            </w:r>
          </w:p>
        </w:tc>
        <w:tc>
          <w:tcPr>
            <w:tcW w:w="1359" w:type="dxa"/>
            <w:tcBorders>
              <w:top w:val="single" w:sz="4" w:space="0" w:color="auto"/>
              <w:left w:val="single" w:sz="4" w:space="0" w:color="auto"/>
            </w:tcBorders>
          </w:tcPr>
          <w:p w14:paraId="16F70CB6" w14:textId="77777777" w:rsidR="001F51A6" w:rsidRPr="008D55F9" w:rsidRDefault="001F51A6" w:rsidP="001F51A6">
            <w:pPr>
              <w:autoSpaceDE w:val="0"/>
              <w:autoSpaceDN w:val="0"/>
              <w:adjustRightInd w:val="0"/>
              <w:ind w:right="338"/>
              <w:jc w:val="right"/>
              <w:rPr>
                <w:rFonts w:ascii="Arial" w:eastAsiaTheme="minorHAnsi" w:hAnsi="Arial" w:cs="Arial"/>
                <w:b/>
                <w:bCs/>
                <w:color w:val="000000"/>
                <w:sz w:val="18"/>
                <w:szCs w:val="18"/>
                <w:lang w:val="es-MX" w:eastAsia="en-US"/>
              </w:rPr>
            </w:pPr>
            <w:r w:rsidRPr="008D55F9">
              <w:rPr>
                <w:rFonts w:ascii="Arial" w:eastAsiaTheme="minorHAnsi" w:hAnsi="Arial" w:cs="Arial"/>
                <w:b/>
                <w:bCs/>
                <w:color w:val="000000"/>
                <w:sz w:val="18"/>
                <w:szCs w:val="18"/>
                <w:lang w:val="es-MX" w:eastAsia="en-US"/>
              </w:rPr>
              <w:t xml:space="preserve">(-)   7.9 </w:t>
            </w:r>
          </w:p>
        </w:tc>
        <w:tc>
          <w:tcPr>
            <w:tcW w:w="1328" w:type="dxa"/>
            <w:tcBorders>
              <w:top w:val="single" w:sz="4" w:space="0" w:color="auto"/>
            </w:tcBorders>
          </w:tcPr>
          <w:p w14:paraId="1EAF4F73" w14:textId="77777777" w:rsidR="001F51A6" w:rsidRPr="008D55F9" w:rsidRDefault="001F51A6" w:rsidP="001F51A6">
            <w:pPr>
              <w:autoSpaceDE w:val="0"/>
              <w:autoSpaceDN w:val="0"/>
              <w:adjustRightInd w:val="0"/>
              <w:ind w:right="338"/>
              <w:jc w:val="right"/>
              <w:rPr>
                <w:rFonts w:ascii="Arial" w:eastAsiaTheme="minorHAnsi" w:hAnsi="Arial" w:cs="Arial"/>
                <w:b/>
                <w:bCs/>
                <w:color w:val="000000"/>
                <w:sz w:val="18"/>
                <w:szCs w:val="18"/>
                <w:lang w:val="es-MX" w:eastAsia="en-US"/>
              </w:rPr>
            </w:pPr>
            <w:r w:rsidRPr="008D55F9">
              <w:rPr>
                <w:rFonts w:ascii="Arial" w:eastAsiaTheme="minorHAnsi" w:hAnsi="Arial" w:cs="Arial"/>
                <w:b/>
                <w:bCs/>
                <w:color w:val="000000"/>
                <w:sz w:val="18"/>
                <w:szCs w:val="18"/>
                <w:lang w:val="es-MX" w:eastAsia="en-US"/>
              </w:rPr>
              <w:t xml:space="preserve">0.3 </w:t>
            </w:r>
          </w:p>
        </w:tc>
        <w:tc>
          <w:tcPr>
            <w:tcW w:w="1344" w:type="dxa"/>
            <w:tcBorders>
              <w:top w:val="single" w:sz="4" w:space="0" w:color="auto"/>
            </w:tcBorders>
          </w:tcPr>
          <w:p w14:paraId="4687C47F" w14:textId="77777777" w:rsidR="001F51A6" w:rsidRPr="008D55F9" w:rsidRDefault="001F51A6" w:rsidP="001F51A6">
            <w:pPr>
              <w:autoSpaceDE w:val="0"/>
              <w:autoSpaceDN w:val="0"/>
              <w:adjustRightInd w:val="0"/>
              <w:ind w:right="338"/>
              <w:jc w:val="right"/>
              <w:rPr>
                <w:rFonts w:ascii="Arial" w:eastAsiaTheme="minorHAnsi" w:hAnsi="Arial" w:cs="Arial"/>
                <w:b/>
                <w:bCs/>
                <w:color w:val="000000"/>
                <w:sz w:val="18"/>
                <w:szCs w:val="18"/>
                <w:lang w:val="es-MX" w:eastAsia="en-US"/>
              </w:rPr>
            </w:pPr>
            <w:r w:rsidRPr="008D55F9">
              <w:rPr>
                <w:rFonts w:ascii="Arial" w:eastAsiaTheme="minorHAnsi" w:hAnsi="Arial" w:cs="Arial"/>
                <w:b/>
                <w:bCs/>
                <w:color w:val="000000"/>
                <w:sz w:val="18"/>
                <w:szCs w:val="18"/>
                <w:lang w:val="es-MX" w:eastAsia="en-US"/>
              </w:rPr>
              <w:t xml:space="preserve">(-)   9.8 </w:t>
            </w:r>
          </w:p>
        </w:tc>
        <w:tc>
          <w:tcPr>
            <w:tcW w:w="1343" w:type="dxa"/>
            <w:tcBorders>
              <w:top w:val="single" w:sz="4" w:space="0" w:color="auto"/>
              <w:right w:val="single" w:sz="4" w:space="0" w:color="auto"/>
            </w:tcBorders>
          </w:tcPr>
          <w:p w14:paraId="618A0E2E" w14:textId="77777777" w:rsidR="001F51A6" w:rsidRPr="008D55F9" w:rsidRDefault="001F51A6" w:rsidP="001F51A6">
            <w:pPr>
              <w:autoSpaceDE w:val="0"/>
              <w:autoSpaceDN w:val="0"/>
              <w:adjustRightInd w:val="0"/>
              <w:ind w:right="338"/>
              <w:jc w:val="right"/>
              <w:rPr>
                <w:rFonts w:ascii="Arial" w:eastAsiaTheme="minorHAnsi" w:hAnsi="Arial" w:cs="Arial"/>
                <w:b/>
                <w:bCs/>
                <w:color w:val="000000"/>
                <w:sz w:val="18"/>
                <w:szCs w:val="18"/>
                <w:lang w:val="es-MX" w:eastAsia="en-US"/>
              </w:rPr>
            </w:pPr>
            <w:r w:rsidRPr="008D55F9">
              <w:rPr>
                <w:rFonts w:ascii="Arial" w:eastAsiaTheme="minorHAnsi" w:hAnsi="Arial" w:cs="Arial"/>
                <w:b/>
                <w:bCs/>
                <w:color w:val="000000"/>
                <w:sz w:val="18"/>
                <w:szCs w:val="18"/>
                <w:lang w:val="es-MX" w:eastAsia="en-US"/>
              </w:rPr>
              <w:t xml:space="preserve">(-)   7.5 </w:t>
            </w:r>
          </w:p>
        </w:tc>
      </w:tr>
      <w:tr w:rsidR="001F51A6" w:rsidRPr="008D55F9" w14:paraId="7FADE0E8" w14:textId="77777777" w:rsidTr="001F51A6">
        <w:trPr>
          <w:trHeight w:val="243"/>
        </w:trPr>
        <w:tc>
          <w:tcPr>
            <w:tcW w:w="2888" w:type="dxa"/>
            <w:tcBorders>
              <w:left w:val="single" w:sz="4" w:space="0" w:color="auto"/>
              <w:right w:val="single" w:sz="4" w:space="0" w:color="auto"/>
            </w:tcBorders>
          </w:tcPr>
          <w:p w14:paraId="58645B88" w14:textId="77777777" w:rsidR="001F51A6" w:rsidRPr="008D55F9" w:rsidRDefault="001F51A6" w:rsidP="001F51A6">
            <w:pPr>
              <w:autoSpaceDE w:val="0"/>
              <w:autoSpaceDN w:val="0"/>
              <w:adjustRightInd w:val="0"/>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Aguascalientes</w:t>
            </w:r>
          </w:p>
        </w:tc>
        <w:tc>
          <w:tcPr>
            <w:tcW w:w="1359" w:type="dxa"/>
            <w:tcBorders>
              <w:left w:val="single" w:sz="4" w:space="0" w:color="auto"/>
            </w:tcBorders>
          </w:tcPr>
          <w:p w14:paraId="1D186466"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8.2 </w:t>
            </w:r>
          </w:p>
        </w:tc>
        <w:tc>
          <w:tcPr>
            <w:tcW w:w="1328" w:type="dxa"/>
          </w:tcPr>
          <w:p w14:paraId="4BD0576C"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2.4 </w:t>
            </w:r>
          </w:p>
        </w:tc>
        <w:tc>
          <w:tcPr>
            <w:tcW w:w="1344" w:type="dxa"/>
          </w:tcPr>
          <w:p w14:paraId="12B6B72F"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12.0 </w:t>
            </w:r>
          </w:p>
        </w:tc>
        <w:tc>
          <w:tcPr>
            <w:tcW w:w="1343" w:type="dxa"/>
            <w:tcBorders>
              <w:right w:val="single" w:sz="4" w:space="0" w:color="auto"/>
            </w:tcBorders>
          </w:tcPr>
          <w:p w14:paraId="069E3D9A"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6.2 </w:t>
            </w:r>
          </w:p>
        </w:tc>
      </w:tr>
      <w:tr w:rsidR="001F51A6" w:rsidRPr="008D55F9" w14:paraId="701CBA30" w14:textId="77777777" w:rsidTr="001F51A6">
        <w:trPr>
          <w:trHeight w:val="243"/>
        </w:trPr>
        <w:tc>
          <w:tcPr>
            <w:tcW w:w="2888" w:type="dxa"/>
            <w:tcBorders>
              <w:left w:val="single" w:sz="4" w:space="0" w:color="auto"/>
              <w:right w:val="single" w:sz="4" w:space="0" w:color="auto"/>
            </w:tcBorders>
          </w:tcPr>
          <w:p w14:paraId="4C9A2BAD" w14:textId="77777777" w:rsidR="001F51A6" w:rsidRPr="008D55F9" w:rsidRDefault="001F51A6" w:rsidP="001F51A6">
            <w:pPr>
              <w:autoSpaceDE w:val="0"/>
              <w:autoSpaceDN w:val="0"/>
              <w:adjustRightInd w:val="0"/>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Baja California</w:t>
            </w:r>
          </w:p>
        </w:tc>
        <w:tc>
          <w:tcPr>
            <w:tcW w:w="1359" w:type="dxa"/>
            <w:tcBorders>
              <w:left w:val="single" w:sz="4" w:space="0" w:color="auto"/>
            </w:tcBorders>
          </w:tcPr>
          <w:p w14:paraId="518A6E61" w14:textId="77777777" w:rsidR="001F51A6" w:rsidRPr="008D55F9" w:rsidRDefault="001F51A6" w:rsidP="001F51A6">
            <w:pPr>
              <w:autoSpaceDE w:val="0"/>
              <w:autoSpaceDN w:val="0"/>
              <w:adjustRightInd w:val="0"/>
              <w:ind w:right="338"/>
              <w:jc w:val="center"/>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   3.7</w:t>
            </w:r>
          </w:p>
        </w:tc>
        <w:tc>
          <w:tcPr>
            <w:tcW w:w="1328" w:type="dxa"/>
          </w:tcPr>
          <w:p w14:paraId="46B9539C"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7.3 </w:t>
            </w:r>
          </w:p>
        </w:tc>
        <w:tc>
          <w:tcPr>
            <w:tcW w:w="1344" w:type="dxa"/>
          </w:tcPr>
          <w:p w14:paraId="4EC94F61"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3.4 </w:t>
            </w:r>
          </w:p>
        </w:tc>
        <w:tc>
          <w:tcPr>
            <w:tcW w:w="1343" w:type="dxa"/>
            <w:tcBorders>
              <w:right w:val="single" w:sz="4" w:space="0" w:color="auto"/>
            </w:tcBorders>
          </w:tcPr>
          <w:p w14:paraId="1BF70F90"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3.8 </w:t>
            </w:r>
          </w:p>
        </w:tc>
      </w:tr>
      <w:tr w:rsidR="001F51A6" w:rsidRPr="008D55F9" w14:paraId="0A7FE742" w14:textId="77777777" w:rsidTr="001F51A6">
        <w:trPr>
          <w:trHeight w:val="243"/>
        </w:trPr>
        <w:tc>
          <w:tcPr>
            <w:tcW w:w="2888" w:type="dxa"/>
            <w:tcBorders>
              <w:left w:val="single" w:sz="4" w:space="0" w:color="auto"/>
              <w:right w:val="single" w:sz="4" w:space="0" w:color="auto"/>
            </w:tcBorders>
          </w:tcPr>
          <w:p w14:paraId="191FAA18" w14:textId="77777777" w:rsidR="001F51A6" w:rsidRPr="008D55F9" w:rsidRDefault="001F51A6" w:rsidP="001F51A6">
            <w:pPr>
              <w:autoSpaceDE w:val="0"/>
              <w:autoSpaceDN w:val="0"/>
              <w:adjustRightInd w:val="0"/>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Baja California Sur</w:t>
            </w:r>
          </w:p>
        </w:tc>
        <w:tc>
          <w:tcPr>
            <w:tcW w:w="1359" w:type="dxa"/>
            <w:tcBorders>
              <w:left w:val="single" w:sz="4" w:space="0" w:color="auto"/>
            </w:tcBorders>
          </w:tcPr>
          <w:p w14:paraId="6ECD087F"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23.5 </w:t>
            </w:r>
          </w:p>
        </w:tc>
        <w:tc>
          <w:tcPr>
            <w:tcW w:w="1328" w:type="dxa"/>
          </w:tcPr>
          <w:p w14:paraId="4ACBEFAA"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3.5 </w:t>
            </w:r>
          </w:p>
        </w:tc>
        <w:tc>
          <w:tcPr>
            <w:tcW w:w="1344" w:type="dxa"/>
          </w:tcPr>
          <w:p w14:paraId="0CB62C98"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34.7 </w:t>
            </w:r>
          </w:p>
        </w:tc>
        <w:tc>
          <w:tcPr>
            <w:tcW w:w="1343" w:type="dxa"/>
            <w:tcBorders>
              <w:right w:val="single" w:sz="4" w:space="0" w:color="auto"/>
            </w:tcBorders>
          </w:tcPr>
          <w:p w14:paraId="43D982E8"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20.1 </w:t>
            </w:r>
          </w:p>
        </w:tc>
      </w:tr>
      <w:tr w:rsidR="001F51A6" w:rsidRPr="008D55F9" w14:paraId="2C62F27A" w14:textId="77777777" w:rsidTr="001F51A6">
        <w:trPr>
          <w:trHeight w:val="243"/>
        </w:trPr>
        <w:tc>
          <w:tcPr>
            <w:tcW w:w="2888" w:type="dxa"/>
            <w:tcBorders>
              <w:left w:val="single" w:sz="4" w:space="0" w:color="auto"/>
              <w:right w:val="single" w:sz="4" w:space="0" w:color="auto"/>
            </w:tcBorders>
          </w:tcPr>
          <w:p w14:paraId="67D794CF" w14:textId="77777777" w:rsidR="001F51A6" w:rsidRPr="008D55F9" w:rsidRDefault="001F51A6" w:rsidP="001F51A6">
            <w:pPr>
              <w:autoSpaceDE w:val="0"/>
              <w:autoSpaceDN w:val="0"/>
              <w:adjustRightInd w:val="0"/>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Campeche</w:t>
            </w:r>
          </w:p>
        </w:tc>
        <w:tc>
          <w:tcPr>
            <w:tcW w:w="1359" w:type="dxa"/>
            <w:tcBorders>
              <w:left w:val="single" w:sz="4" w:space="0" w:color="auto"/>
            </w:tcBorders>
          </w:tcPr>
          <w:p w14:paraId="5474AE20"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6.6 </w:t>
            </w:r>
          </w:p>
        </w:tc>
        <w:tc>
          <w:tcPr>
            <w:tcW w:w="1328" w:type="dxa"/>
          </w:tcPr>
          <w:p w14:paraId="1B48F52B"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0.1 </w:t>
            </w:r>
          </w:p>
        </w:tc>
        <w:tc>
          <w:tcPr>
            <w:tcW w:w="1344" w:type="dxa"/>
          </w:tcPr>
          <w:p w14:paraId="58F2298B"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6.6 </w:t>
            </w:r>
          </w:p>
        </w:tc>
        <w:tc>
          <w:tcPr>
            <w:tcW w:w="1343" w:type="dxa"/>
            <w:tcBorders>
              <w:right w:val="single" w:sz="4" w:space="0" w:color="auto"/>
            </w:tcBorders>
          </w:tcPr>
          <w:p w14:paraId="5D3098CE"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7.2 </w:t>
            </w:r>
          </w:p>
        </w:tc>
      </w:tr>
      <w:tr w:rsidR="001F51A6" w:rsidRPr="008D55F9" w14:paraId="58286D20" w14:textId="77777777" w:rsidTr="001F51A6">
        <w:trPr>
          <w:trHeight w:val="243"/>
        </w:trPr>
        <w:tc>
          <w:tcPr>
            <w:tcW w:w="2888" w:type="dxa"/>
            <w:tcBorders>
              <w:left w:val="single" w:sz="4" w:space="0" w:color="auto"/>
              <w:right w:val="single" w:sz="4" w:space="0" w:color="auto"/>
            </w:tcBorders>
          </w:tcPr>
          <w:p w14:paraId="6AFCEB6A" w14:textId="77777777" w:rsidR="001F51A6" w:rsidRPr="008D55F9" w:rsidRDefault="001F51A6" w:rsidP="001F51A6">
            <w:pPr>
              <w:autoSpaceDE w:val="0"/>
              <w:autoSpaceDN w:val="0"/>
              <w:adjustRightInd w:val="0"/>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Coahuila de Zaragoza</w:t>
            </w:r>
          </w:p>
        </w:tc>
        <w:tc>
          <w:tcPr>
            <w:tcW w:w="1359" w:type="dxa"/>
            <w:tcBorders>
              <w:left w:val="single" w:sz="4" w:space="0" w:color="auto"/>
            </w:tcBorders>
          </w:tcPr>
          <w:p w14:paraId="03E02B16"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11.4 </w:t>
            </w:r>
          </w:p>
        </w:tc>
        <w:tc>
          <w:tcPr>
            <w:tcW w:w="1328" w:type="dxa"/>
          </w:tcPr>
          <w:p w14:paraId="49E19BEC"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1.7 </w:t>
            </w:r>
          </w:p>
        </w:tc>
        <w:tc>
          <w:tcPr>
            <w:tcW w:w="1344" w:type="dxa"/>
          </w:tcPr>
          <w:p w14:paraId="6F2777A9"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15.5 </w:t>
            </w:r>
          </w:p>
        </w:tc>
        <w:tc>
          <w:tcPr>
            <w:tcW w:w="1343" w:type="dxa"/>
            <w:tcBorders>
              <w:right w:val="single" w:sz="4" w:space="0" w:color="auto"/>
            </w:tcBorders>
          </w:tcPr>
          <w:p w14:paraId="582680CF"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7.7 </w:t>
            </w:r>
          </w:p>
        </w:tc>
      </w:tr>
      <w:tr w:rsidR="001F51A6" w:rsidRPr="008D55F9" w14:paraId="506B8D42" w14:textId="77777777" w:rsidTr="001F51A6">
        <w:trPr>
          <w:trHeight w:val="243"/>
        </w:trPr>
        <w:tc>
          <w:tcPr>
            <w:tcW w:w="2888" w:type="dxa"/>
            <w:tcBorders>
              <w:left w:val="single" w:sz="4" w:space="0" w:color="auto"/>
              <w:right w:val="single" w:sz="4" w:space="0" w:color="auto"/>
            </w:tcBorders>
          </w:tcPr>
          <w:p w14:paraId="21EF3BFE" w14:textId="77777777" w:rsidR="001F51A6" w:rsidRPr="008D55F9" w:rsidRDefault="001F51A6" w:rsidP="001F51A6">
            <w:pPr>
              <w:autoSpaceDE w:val="0"/>
              <w:autoSpaceDN w:val="0"/>
              <w:adjustRightInd w:val="0"/>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Colima</w:t>
            </w:r>
          </w:p>
        </w:tc>
        <w:tc>
          <w:tcPr>
            <w:tcW w:w="1359" w:type="dxa"/>
            <w:tcBorders>
              <w:left w:val="single" w:sz="4" w:space="0" w:color="auto"/>
            </w:tcBorders>
          </w:tcPr>
          <w:p w14:paraId="71DD512B" w14:textId="77777777" w:rsidR="001F51A6" w:rsidRPr="008D55F9" w:rsidRDefault="001F51A6" w:rsidP="001F51A6">
            <w:pPr>
              <w:autoSpaceDE w:val="0"/>
              <w:autoSpaceDN w:val="0"/>
              <w:adjustRightInd w:val="0"/>
              <w:ind w:right="338"/>
              <w:jc w:val="center"/>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   7.4 </w:t>
            </w:r>
          </w:p>
        </w:tc>
        <w:tc>
          <w:tcPr>
            <w:tcW w:w="1328" w:type="dxa"/>
          </w:tcPr>
          <w:p w14:paraId="527FCCEA"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4.0 </w:t>
            </w:r>
          </w:p>
        </w:tc>
        <w:tc>
          <w:tcPr>
            <w:tcW w:w="1344" w:type="dxa"/>
          </w:tcPr>
          <w:p w14:paraId="0BE5153D"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15.6 </w:t>
            </w:r>
          </w:p>
        </w:tc>
        <w:tc>
          <w:tcPr>
            <w:tcW w:w="1343" w:type="dxa"/>
            <w:tcBorders>
              <w:right w:val="single" w:sz="4" w:space="0" w:color="auto"/>
            </w:tcBorders>
          </w:tcPr>
          <w:p w14:paraId="6E6C6BAC"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5.0 </w:t>
            </w:r>
          </w:p>
        </w:tc>
      </w:tr>
      <w:tr w:rsidR="001F51A6" w:rsidRPr="008D55F9" w14:paraId="5D5EC6FC" w14:textId="77777777" w:rsidTr="001F51A6">
        <w:trPr>
          <w:trHeight w:val="243"/>
        </w:trPr>
        <w:tc>
          <w:tcPr>
            <w:tcW w:w="2888" w:type="dxa"/>
            <w:tcBorders>
              <w:left w:val="single" w:sz="4" w:space="0" w:color="auto"/>
              <w:right w:val="single" w:sz="4" w:space="0" w:color="auto"/>
            </w:tcBorders>
          </w:tcPr>
          <w:p w14:paraId="49170CD8" w14:textId="77777777" w:rsidR="001F51A6" w:rsidRPr="008D55F9" w:rsidRDefault="001F51A6" w:rsidP="001F51A6">
            <w:pPr>
              <w:autoSpaceDE w:val="0"/>
              <w:autoSpaceDN w:val="0"/>
              <w:adjustRightInd w:val="0"/>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Chiapas</w:t>
            </w:r>
          </w:p>
        </w:tc>
        <w:tc>
          <w:tcPr>
            <w:tcW w:w="1359" w:type="dxa"/>
            <w:tcBorders>
              <w:left w:val="single" w:sz="4" w:space="0" w:color="auto"/>
            </w:tcBorders>
          </w:tcPr>
          <w:p w14:paraId="14549B94"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3.8 </w:t>
            </w:r>
          </w:p>
        </w:tc>
        <w:tc>
          <w:tcPr>
            <w:tcW w:w="1328" w:type="dxa"/>
          </w:tcPr>
          <w:p w14:paraId="0CE13FD4"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2.7 </w:t>
            </w:r>
          </w:p>
        </w:tc>
        <w:tc>
          <w:tcPr>
            <w:tcW w:w="1344" w:type="dxa"/>
          </w:tcPr>
          <w:p w14:paraId="385A714C"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2.0 </w:t>
            </w:r>
          </w:p>
        </w:tc>
        <w:tc>
          <w:tcPr>
            <w:tcW w:w="1343" w:type="dxa"/>
            <w:tcBorders>
              <w:right w:val="single" w:sz="4" w:space="0" w:color="auto"/>
            </w:tcBorders>
          </w:tcPr>
          <w:p w14:paraId="00B93CD1"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4.9 </w:t>
            </w:r>
          </w:p>
        </w:tc>
      </w:tr>
      <w:tr w:rsidR="001F51A6" w:rsidRPr="008D55F9" w14:paraId="54988D4A" w14:textId="77777777" w:rsidTr="001F51A6">
        <w:trPr>
          <w:trHeight w:val="243"/>
        </w:trPr>
        <w:tc>
          <w:tcPr>
            <w:tcW w:w="2888" w:type="dxa"/>
            <w:tcBorders>
              <w:left w:val="single" w:sz="4" w:space="0" w:color="auto"/>
              <w:right w:val="single" w:sz="4" w:space="0" w:color="auto"/>
            </w:tcBorders>
          </w:tcPr>
          <w:p w14:paraId="1804A012" w14:textId="77777777" w:rsidR="001F51A6" w:rsidRPr="008D55F9" w:rsidRDefault="001F51A6" w:rsidP="001F51A6">
            <w:pPr>
              <w:autoSpaceDE w:val="0"/>
              <w:autoSpaceDN w:val="0"/>
              <w:adjustRightInd w:val="0"/>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Chihuahua</w:t>
            </w:r>
          </w:p>
        </w:tc>
        <w:tc>
          <w:tcPr>
            <w:tcW w:w="1359" w:type="dxa"/>
            <w:tcBorders>
              <w:left w:val="single" w:sz="4" w:space="0" w:color="auto"/>
            </w:tcBorders>
          </w:tcPr>
          <w:p w14:paraId="047D8E69"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5.9 </w:t>
            </w:r>
          </w:p>
        </w:tc>
        <w:tc>
          <w:tcPr>
            <w:tcW w:w="1328" w:type="dxa"/>
          </w:tcPr>
          <w:p w14:paraId="5FCD0AA4"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5.8 </w:t>
            </w:r>
          </w:p>
        </w:tc>
        <w:tc>
          <w:tcPr>
            <w:tcW w:w="1344" w:type="dxa"/>
          </w:tcPr>
          <w:p w14:paraId="581E0DC5"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7.5 </w:t>
            </w:r>
          </w:p>
        </w:tc>
        <w:tc>
          <w:tcPr>
            <w:tcW w:w="1343" w:type="dxa"/>
            <w:tcBorders>
              <w:right w:val="single" w:sz="4" w:space="0" w:color="auto"/>
            </w:tcBorders>
          </w:tcPr>
          <w:p w14:paraId="14031064"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4.7 </w:t>
            </w:r>
          </w:p>
        </w:tc>
      </w:tr>
      <w:tr w:rsidR="001F51A6" w:rsidRPr="008D55F9" w14:paraId="72784F5D" w14:textId="77777777" w:rsidTr="001F51A6">
        <w:trPr>
          <w:trHeight w:val="243"/>
        </w:trPr>
        <w:tc>
          <w:tcPr>
            <w:tcW w:w="2888" w:type="dxa"/>
            <w:tcBorders>
              <w:left w:val="single" w:sz="4" w:space="0" w:color="auto"/>
              <w:right w:val="single" w:sz="4" w:space="0" w:color="auto"/>
            </w:tcBorders>
          </w:tcPr>
          <w:p w14:paraId="7B713C3A" w14:textId="77777777" w:rsidR="001F51A6" w:rsidRPr="008D55F9" w:rsidRDefault="001F51A6" w:rsidP="001F51A6">
            <w:pPr>
              <w:autoSpaceDE w:val="0"/>
              <w:autoSpaceDN w:val="0"/>
              <w:adjustRightInd w:val="0"/>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Ciudad de México</w:t>
            </w:r>
          </w:p>
        </w:tc>
        <w:tc>
          <w:tcPr>
            <w:tcW w:w="1359" w:type="dxa"/>
            <w:tcBorders>
              <w:left w:val="single" w:sz="4" w:space="0" w:color="auto"/>
            </w:tcBorders>
          </w:tcPr>
          <w:p w14:paraId="42206FF0"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9.1 </w:t>
            </w:r>
          </w:p>
        </w:tc>
        <w:tc>
          <w:tcPr>
            <w:tcW w:w="1328" w:type="dxa"/>
          </w:tcPr>
          <w:p w14:paraId="71730F32"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4.5 </w:t>
            </w:r>
          </w:p>
        </w:tc>
        <w:tc>
          <w:tcPr>
            <w:tcW w:w="1344" w:type="dxa"/>
          </w:tcPr>
          <w:p w14:paraId="661AD62A"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14.5 </w:t>
            </w:r>
          </w:p>
        </w:tc>
        <w:tc>
          <w:tcPr>
            <w:tcW w:w="1343" w:type="dxa"/>
            <w:tcBorders>
              <w:right w:val="single" w:sz="4" w:space="0" w:color="auto"/>
            </w:tcBorders>
          </w:tcPr>
          <w:p w14:paraId="2E9703C4"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8.5 </w:t>
            </w:r>
          </w:p>
        </w:tc>
      </w:tr>
      <w:tr w:rsidR="001F51A6" w:rsidRPr="008D55F9" w14:paraId="273BBF2C" w14:textId="77777777" w:rsidTr="001F51A6">
        <w:trPr>
          <w:trHeight w:val="243"/>
        </w:trPr>
        <w:tc>
          <w:tcPr>
            <w:tcW w:w="2888" w:type="dxa"/>
            <w:tcBorders>
              <w:left w:val="single" w:sz="4" w:space="0" w:color="auto"/>
              <w:right w:val="single" w:sz="4" w:space="0" w:color="auto"/>
            </w:tcBorders>
          </w:tcPr>
          <w:p w14:paraId="0C89A8D6" w14:textId="77777777" w:rsidR="001F51A6" w:rsidRPr="008D55F9" w:rsidRDefault="001F51A6" w:rsidP="001F51A6">
            <w:pPr>
              <w:autoSpaceDE w:val="0"/>
              <w:autoSpaceDN w:val="0"/>
              <w:adjustRightInd w:val="0"/>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Durango</w:t>
            </w:r>
          </w:p>
        </w:tc>
        <w:tc>
          <w:tcPr>
            <w:tcW w:w="1359" w:type="dxa"/>
            <w:tcBorders>
              <w:left w:val="single" w:sz="4" w:space="0" w:color="auto"/>
            </w:tcBorders>
          </w:tcPr>
          <w:p w14:paraId="181ECB93"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6.8 </w:t>
            </w:r>
          </w:p>
        </w:tc>
        <w:tc>
          <w:tcPr>
            <w:tcW w:w="1328" w:type="dxa"/>
          </w:tcPr>
          <w:p w14:paraId="707471DC"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2.1 </w:t>
            </w:r>
          </w:p>
        </w:tc>
        <w:tc>
          <w:tcPr>
            <w:tcW w:w="1344" w:type="dxa"/>
          </w:tcPr>
          <w:p w14:paraId="3E40EC40"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10.2 </w:t>
            </w:r>
          </w:p>
        </w:tc>
        <w:tc>
          <w:tcPr>
            <w:tcW w:w="1343" w:type="dxa"/>
            <w:tcBorders>
              <w:right w:val="single" w:sz="4" w:space="0" w:color="auto"/>
            </w:tcBorders>
          </w:tcPr>
          <w:p w14:paraId="5BB4194E"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5.8 </w:t>
            </w:r>
          </w:p>
        </w:tc>
      </w:tr>
      <w:tr w:rsidR="001F51A6" w:rsidRPr="008D55F9" w14:paraId="4BFD6556" w14:textId="77777777" w:rsidTr="001F51A6">
        <w:trPr>
          <w:trHeight w:val="243"/>
        </w:trPr>
        <w:tc>
          <w:tcPr>
            <w:tcW w:w="2888" w:type="dxa"/>
            <w:tcBorders>
              <w:left w:val="single" w:sz="4" w:space="0" w:color="auto"/>
              <w:right w:val="single" w:sz="4" w:space="0" w:color="auto"/>
            </w:tcBorders>
          </w:tcPr>
          <w:p w14:paraId="3A21BBCC" w14:textId="77777777" w:rsidR="001F51A6" w:rsidRPr="008D55F9" w:rsidRDefault="001F51A6" w:rsidP="001F51A6">
            <w:pPr>
              <w:autoSpaceDE w:val="0"/>
              <w:autoSpaceDN w:val="0"/>
              <w:adjustRightInd w:val="0"/>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Guanajuato</w:t>
            </w:r>
          </w:p>
        </w:tc>
        <w:tc>
          <w:tcPr>
            <w:tcW w:w="1359" w:type="dxa"/>
            <w:tcBorders>
              <w:left w:val="single" w:sz="4" w:space="0" w:color="auto"/>
            </w:tcBorders>
          </w:tcPr>
          <w:p w14:paraId="3B2E5F85"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7.0 </w:t>
            </w:r>
          </w:p>
        </w:tc>
        <w:tc>
          <w:tcPr>
            <w:tcW w:w="1328" w:type="dxa"/>
          </w:tcPr>
          <w:p w14:paraId="7D13460F"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0.5 </w:t>
            </w:r>
          </w:p>
        </w:tc>
        <w:tc>
          <w:tcPr>
            <w:tcW w:w="1344" w:type="dxa"/>
          </w:tcPr>
          <w:p w14:paraId="677397FF"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8.3 </w:t>
            </w:r>
          </w:p>
        </w:tc>
        <w:tc>
          <w:tcPr>
            <w:tcW w:w="1343" w:type="dxa"/>
            <w:tcBorders>
              <w:right w:val="single" w:sz="4" w:space="0" w:color="auto"/>
            </w:tcBorders>
          </w:tcPr>
          <w:p w14:paraId="589AF6DD"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6.7 </w:t>
            </w:r>
          </w:p>
        </w:tc>
      </w:tr>
      <w:tr w:rsidR="001F51A6" w:rsidRPr="008D55F9" w14:paraId="459ED0BA" w14:textId="77777777" w:rsidTr="001F51A6">
        <w:trPr>
          <w:trHeight w:val="243"/>
        </w:trPr>
        <w:tc>
          <w:tcPr>
            <w:tcW w:w="2888" w:type="dxa"/>
            <w:tcBorders>
              <w:left w:val="single" w:sz="4" w:space="0" w:color="auto"/>
              <w:right w:val="single" w:sz="4" w:space="0" w:color="auto"/>
            </w:tcBorders>
          </w:tcPr>
          <w:p w14:paraId="5325610B" w14:textId="77777777" w:rsidR="001F51A6" w:rsidRPr="008D55F9" w:rsidRDefault="001F51A6" w:rsidP="001F51A6">
            <w:pPr>
              <w:autoSpaceDE w:val="0"/>
              <w:autoSpaceDN w:val="0"/>
              <w:adjustRightInd w:val="0"/>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Guerrero</w:t>
            </w:r>
          </w:p>
        </w:tc>
        <w:tc>
          <w:tcPr>
            <w:tcW w:w="1359" w:type="dxa"/>
            <w:tcBorders>
              <w:left w:val="single" w:sz="4" w:space="0" w:color="auto"/>
            </w:tcBorders>
          </w:tcPr>
          <w:p w14:paraId="5C08C3CD"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9.9 </w:t>
            </w:r>
          </w:p>
        </w:tc>
        <w:tc>
          <w:tcPr>
            <w:tcW w:w="1328" w:type="dxa"/>
          </w:tcPr>
          <w:p w14:paraId="574C8363"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7.9 </w:t>
            </w:r>
          </w:p>
        </w:tc>
        <w:tc>
          <w:tcPr>
            <w:tcW w:w="1344" w:type="dxa"/>
          </w:tcPr>
          <w:p w14:paraId="2D5946BB"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10.6 </w:t>
            </w:r>
          </w:p>
        </w:tc>
        <w:tc>
          <w:tcPr>
            <w:tcW w:w="1343" w:type="dxa"/>
            <w:tcBorders>
              <w:right w:val="single" w:sz="4" w:space="0" w:color="auto"/>
            </w:tcBorders>
          </w:tcPr>
          <w:p w14:paraId="54FB3EA3"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10.9 </w:t>
            </w:r>
          </w:p>
        </w:tc>
      </w:tr>
      <w:tr w:rsidR="001F51A6" w:rsidRPr="008D55F9" w14:paraId="44C7D696" w14:textId="77777777" w:rsidTr="001F51A6">
        <w:trPr>
          <w:trHeight w:val="243"/>
        </w:trPr>
        <w:tc>
          <w:tcPr>
            <w:tcW w:w="2888" w:type="dxa"/>
            <w:tcBorders>
              <w:left w:val="single" w:sz="4" w:space="0" w:color="auto"/>
              <w:right w:val="single" w:sz="4" w:space="0" w:color="auto"/>
            </w:tcBorders>
          </w:tcPr>
          <w:p w14:paraId="78BA3D6B" w14:textId="77777777" w:rsidR="001F51A6" w:rsidRPr="008D55F9" w:rsidRDefault="001F51A6" w:rsidP="001F51A6">
            <w:pPr>
              <w:autoSpaceDE w:val="0"/>
              <w:autoSpaceDN w:val="0"/>
              <w:adjustRightInd w:val="0"/>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Hidalgo</w:t>
            </w:r>
          </w:p>
        </w:tc>
        <w:tc>
          <w:tcPr>
            <w:tcW w:w="1359" w:type="dxa"/>
            <w:tcBorders>
              <w:left w:val="single" w:sz="4" w:space="0" w:color="auto"/>
            </w:tcBorders>
          </w:tcPr>
          <w:p w14:paraId="1BD32783"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10.9 </w:t>
            </w:r>
          </w:p>
        </w:tc>
        <w:tc>
          <w:tcPr>
            <w:tcW w:w="1328" w:type="dxa"/>
          </w:tcPr>
          <w:p w14:paraId="0E9F86F6"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0.3 </w:t>
            </w:r>
          </w:p>
        </w:tc>
        <w:tc>
          <w:tcPr>
            <w:tcW w:w="1344" w:type="dxa"/>
          </w:tcPr>
          <w:p w14:paraId="190951F4"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17.2 </w:t>
            </w:r>
          </w:p>
        </w:tc>
        <w:tc>
          <w:tcPr>
            <w:tcW w:w="1343" w:type="dxa"/>
            <w:tcBorders>
              <w:right w:val="single" w:sz="4" w:space="0" w:color="auto"/>
            </w:tcBorders>
          </w:tcPr>
          <w:p w14:paraId="1599B52A"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8.5 </w:t>
            </w:r>
          </w:p>
        </w:tc>
      </w:tr>
      <w:tr w:rsidR="001F51A6" w:rsidRPr="008D55F9" w14:paraId="3F8287B6" w14:textId="77777777" w:rsidTr="001F51A6">
        <w:trPr>
          <w:trHeight w:val="243"/>
        </w:trPr>
        <w:tc>
          <w:tcPr>
            <w:tcW w:w="2888" w:type="dxa"/>
            <w:tcBorders>
              <w:left w:val="single" w:sz="4" w:space="0" w:color="auto"/>
              <w:right w:val="single" w:sz="4" w:space="0" w:color="auto"/>
            </w:tcBorders>
          </w:tcPr>
          <w:p w14:paraId="41801986" w14:textId="77777777" w:rsidR="001F51A6" w:rsidRPr="008D55F9" w:rsidRDefault="001F51A6" w:rsidP="001F51A6">
            <w:pPr>
              <w:autoSpaceDE w:val="0"/>
              <w:autoSpaceDN w:val="0"/>
              <w:adjustRightInd w:val="0"/>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Jalisco</w:t>
            </w:r>
          </w:p>
        </w:tc>
        <w:tc>
          <w:tcPr>
            <w:tcW w:w="1359" w:type="dxa"/>
            <w:tcBorders>
              <w:left w:val="single" w:sz="4" w:space="0" w:color="auto"/>
            </w:tcBorders>
          </w:tcPr>
          <w:p w14:paraId="6A600C22"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7.5 </w:t>
            </w:r>
          </w:p>
        </w:tc>
        <w:tc>
          <w:tcPr>
            <w:tcW w:w="1328" w:type="dxa"/>
          </w:tcPr>
          <w:p w14:paraId="01BE681F"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2.3 </w:t>
            </w:r>
          </w:p>
        </w:tc>
        <w:tc>
          <w:tcPr>
            <w:tcW w:w="1344" w:type="dxa"/>
          </w:tcPr>
          <w:p w14:paraId="00AD12BB"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9.9 </w:t>
            </w:r>
          </w:p>
        </w:tc>
        <w:tc>
          <w:tcPr>
            <w:tcW w:w="1343" w:type="dxa"/>
            <w:tcBorders>
              <w:right w:val="single" w:sz="4" w:space="0" w:color="auto"/>
            </w:tcBorders>
          </w:tcPr>
          <w:p w14:paraId="0AB43C86"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7.3 </w:t>
            </w:r>
          </w:p>
        </w:tc>
      </w:tr>
      <w:tr w:rsidR="001F51A6" w:rsidRPr="008D55F9" w14:paraId="06767643" w14:textId="77777777" w:rsidTr="001F51A6">
        <w:trPr>
          <w:trHeight w:val="243"/>
        </w:trPr>
        <w:tc>
          <w:tcPr>
            <w:tcW w:w="2888" w:type="dxa"/>
            <w:tcBorders>
              <w:left w:val="single" w:sz="4" w:space="0" w:color="auto"/>
              <w:right w:val="single" w:sz="4" w:space="0" w:color="auto"/>
            </w:tcBorders>
          </w:tcPr>
          <w:p w14:paraId="0D9D3030" w14:textId="77777777" w:rsidR="001F51A6" w:rsidRPr="008D55F9" w:rsidRDefault="001F51A6" w:rsidP="001F51A6">
            <w:pPr>
              <w:autoSpaceDE w:val="0"/>
              <w:autoSpaceDN w:val="0"/>
              <w:adjustRightInd w:val="0"/>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México</w:t>
            </w:r>
          </w:p>
        </w:tc>
        <w:tc>
          <w:tcPr>
            <w:tcW w:w="1359" w:type="dxa"/>
            <w:tcBorders>
              <w:left w:val="single" w:sz="4" w:space="0" w:color="auto"/>
            </w:tcBorders>
          </w:tcPr>
          <w:p w14:paraId="624E49AC"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5.9 </w:t>
            </w:r>
          </w:p>
        </w:tc>
        <w:tc>
          <w:tcPr>
            <w:tcW w:w="1328" w:type="dxa"/>
          </w:tcPr>
          <w:p w14:paraId="706D3A13"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2.4 </w:t>
            </w:r>
          </w:p>
        </w:tc>
        <w:tc>
          <w:tcPr>
            <w:tcW w:w="1344" w:type="dxa"/>
          </w:tcPr>
          <w:p w14:paraId="2959EF01"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9.8 </w:t>
            </w:r>
          </w:p>
        </w:tc>
        <w:tc>
          <w:tcPr>
            <w:tcW w:w="1343" w:type="dxa"/>
            <w:tcBorders>
              <w:right w:val="single" w:sz="4" w:space="0" w:color="auto"/>
            </w:tcBorders>
          </w:tcPr>
          <w:p w14:paraId="7A32B5D4"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4.7 </w:t>
            </w:r>
          </w:p>
        </w:tc>
      </w:tr>
      <w:tr w:rsidR="001F51A6" w:rsidRPr="008D55F9" w14:paraId="1E1448A1" w14:textId="77777777" w:rsidTr="001F51A6">
        <w:trPr>
          <w:trHeight w:val="243"/>
        </w:trPr>
        <w:tc>
          <w:tcPr>
            <w:tcW w:w="2888" w:type="dxa"/>
            <w:tcBorders>
              <w:left w:val="single" w:sz="4" w:space="0" w:color="auto"/>
              <w:right w:val="single" w:sz="4" w:space="0" w:color="auto"/>
            </w:tcBorders>
          </w:tcPr>
          <w:p w14:paraId="09A39FB7" w14:textId="77777777" w:rsidR="001F51A6" w:rsidRPr="008D55F9" w:rsidRDefault="001F51A6" w:rsidP="001F51A6">
            <w:pPr>
              <w:autoSpaceDE w:val="0"/>
              <w:autoSpaceDN w:val="0"/>
              <w:adjustRightInd w:val="0"/>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Michoacán de Ocampo</w:t>
            </w:r>
          </w:p>
        </w:tc>
        <w:tc>
          <w:tcPr>
            <w:tcW w:w="1359" w:type="dxa"/>
            <w:tcBorders>
              <w:left w:val="single" w:sz="4" w:space="0" w:color="auto"/>
            </w:tcBorders>
          </w:tcPr>
          <w:p w14:paraId="6532EBDF"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6.8 </w:t>
            </w:r>
          </w:p>
        </w:tc>
        <w:tc>
          <w:tcPr>
            <w:tcW w:w="1328" w:type="dxa"/>
          </w:tcPr>
          <w:p w14:paraId="6D8FB349"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   4.0 </w:t>
            </w:r>
          </w:p>
        </w:tc>
        <w:tc>
          <w:tcPr>
            <w:tcW w:w="1344" w:type="dxa"/>
          </w:tcPr>
          <w:p w14:paraId="3CDDD93A"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4.8 </w:t>
            </w:r>
          </w:p>
        </w:tc>
        <w:tc>
          <w:tcPr>
            <w:tcW w:w="1343" w:type="dxa"/>
            <w:tcBorders>
              <w:right w:val="single" w:sz="4" w:space="0" w:color="auto"/>
            </w:tcBorders>
          </w:tcPr>
          <w:p w14:paraId="25E35A84"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7.8 </w:t>
            </w:r>
          </w:p>
        </w:tc>
      </w:tr>
      <w:tr w:rsidR="001F51A6" w:rsidRPr="008D55F9" w14:paraId="494D0FCC" w14:textId="77777777" w:rsidTr="001F51A6">
        <w:trPr>
          <w:trHeight w:val="243"/>
        </w:trPr>
        <w:tc>
          <w:tcPr>
            <w:tcW w:w="2888" w:type="dxa"/>
            <w:tcBorders>
              <w:left w:val="single" w:sz="4" w:space="0" w:color="auto"/>
              <w:right w:val="single" w:sz="4" w:space="0" w:color="auto"/>
            </w:tcBorders>
          </w:tcPr>
          <w:p w14:paraId="0B3317B1" w14:textId="77777777" w:rsidR="001F51A6" w:rsidRPr="008D55F9" w:rsidRDefault="001F51A6" w:rsidP="001F51A6">
            <w:pPr>
              <w:autoSpaceDE w:val="0"/>
              <w:autoSpaceDN w:val="0"/>
              <w:adjustRightInd w:val="0"/>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Morelos</w:t>
            </w:r>
          </w:p>
        </w:tc>
        <w:tc>
          <w:tcPr>
            <w:tcW w:w="1359" w:type="dxa"/>
            <w:tcBorders>
              <w:left w:val="single" w:sz="4" w:space="0" w:color="auto"/>
            </w:tcBorders>
          </w:tcPr>
          <w:p w14:paraId="4220948D"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11.0 </w:t>
            </w:r>
          </w:p>
        </w:tc>
        <w:tc>
          <w:tcPr>
            <w:tcW w:w="1328" w:type="dxa"/>
          </w:tcPr>
          <w:p w14:paraId="76EFC85A"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2.8 </w:t>
            </w:r>
          </w:p>
        </w:tc>
        <w:tc>
          <w:tcPr>
            <w:tcW w:w="1344" w:type="dxa"/>
          </w:tcPr>
          <w:p w14:paraId="67E60A72"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20.7 </w:t>
            </w:r>
          </w:p>
        </w:tc>
        <w:tc>
          <w:tcPr>
            <w:tcW w:w="1343" w:type="dxa"/>
            <w:tcBorders>
              <w:right w:val="single" w:sz="4" w:space="0" w:color="auto"/>
            </w:tcBorders>
          </w:tcPr>
          <w:p w14:paraId="7F2BAB06"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7.2 </w:t>
            </w:r>
          </w:p>
        </w:tc>
      </w:tr>
      <w:tr w:rsidR="001F51A6" w:rsidRPr="008D55F9" w14:paraId="31B30A19" w14:textId="77777777" w:rsidTr="001F51A6">
        <w:trPr>
          <w:trHeight w:val="243"/>
        </w:trPr>
        <w:tc>
          <w:tcPr>
            <w:tcW w:w="2888" w:type="dxa"/>
            <w:tcBorders>
              <w:left w:val="single" w:sz="4" w:space="0" w:color="auto"/>
              <w:right w:val="single" w:sz="4" w:space="0" w:color="auto"/>
            </w:tcBorders>
          </w:tcPr>
          <w:p w14:paraId="2C63E073" w14:textId="77777777" w:rsidR="001F51A6" w:rsidRPr="008D55F9" w:rsidRDefault="001F51A6" w:rsidP="001F51A6">
            <w:pPr>
              <w:autoSpaceDE w:val="0"/>
              <w:autoSpaceDN w:val="0"/>
              <w:adjustRightInd w:val="0"/>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Nayarit</w:t>
            </w:r>
          </w:p>
        </w:tc>
        <w:tc>
          <w:tcPr>
            <w:tcW w:w="1359" w:type="dxa"/>
            <w:tcBorders>
              <w:left w:val="single" w:sz="4" w:space="0" w:color="auto"/>
            </w:tcBorders>
          </w:tcPr>
          <w:p w14:paraId="0EA65F5E"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11.4 </w:t>
            </w:r>
          </w:p>
        </w:tc>
        <w:tc>
          <w:tcPr>
            <w:tcW w:w="1328" w:type="dxa"/>
          </w:tcPr>
          <w:p w14:paraId="1FA5467B"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3.2 </w:t>
            </w:r>
          </w:p>
        </w:tc>
        <w:tc>
          <w:tcPr>
            <w:tcW w:w="1344" w:type="dxa"/>
          </w:tcPr>
          <w:p w14:paraId="228DB267"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13.7 </w:t>
            </w:r>
          </w:p>
        </w:tc>
        <w:tc>
          <w:tcPr>
            <w:tcW w:w="1343" w:type="dxa"/>
            <w:tcBorders>
              <w:right w:val="single" w:sz="4" w:space="0" w:color="auto"/>
            </w:tcBorders>
          </w:tcPr>
          <w:p w14:paraId="3101EB77"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12.2 </w:t>
            </w:r>
          </w:p>
        </w:tc>
      </w:tr>
      <w:tr w:rsidR="001F51A6" w:rsidRPr="008D55F9" w14:paraId="2DD1FF8F" w14:textId="77777777" w:rsidTr="001F51A6">
        <w:trPr>
          <w:trHeight w:val="243"/>
        </w:trPr>
        <w:tc>
          <w:tcPr>
            <w:tcW w:w="2888" w:type="dxa"/>
            <w:tcBorders>
              <w:left w:val="single" w:sz="4" w:space="0" w:color="auto"/>
              <w:right w:val="single" w:sz="4" w:space="0" w:color="auto"/>
            </w:tcBorders>
          </w:tcPr>
          <w:p w14:paraId="3C974111" w14:textId="77777777" w:rsidR="001F51A6" w:rsidRPr="008D55F9" w:rsidRDefault="001F51A6" w:rsidP="001F51A6">
            <w:pPr>
              <w:autoSpaceDE w:val="0"/>
              <w:autoSpaceDN w:val="0"/>
              <w:adjustRightInd w:val="0"/>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Nuevo León</w:t>
            </w:r>
          </w:p>
        </w:tc>
        <w:tc>
          <w:tcPr>
            <w:tcW w:w="1359" w:type="dxa"/>
            <w:tcBorders>
              <w:left w:val="single" w:sz="4" w:space="0" w:color="auto"/>
            </w:tcBorders>
          </w:tcPr>
          <w:p w14:paraId="11A7F6CE"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8.4 </w:t>
            </w:r>
          </w:p>
        </w:tc>
        <w:tc>
          <w:tcPr>
            <w:tcW w:w="1328" w:type="dxa"/>
          </w:tcPr>
          <w:p w14:paraId="73B3F734"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1.0 </w:t>
            </w:r>
          </w:p>
        </w:tc>
        <w:tc>
          <w:tcPr>
            <w:tcW w:w="1344" w:type="dxa"/>
          </w:tcPr>
          <w:p w14:paraId="5A1F72D6"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11.3 </w:t>
            </w:r>
          </w:p>
        </w:tc>
        <w:tc>
          <w:tcPr>
            <w:tcW w:w="1343" w:type="dxa"/>
            <w:tcBorders>
              <w:right w:val="single" w:sz="4" w:space="0" w:color="auto"/>
            </w:tcBorders>
          </w:tcPr>
          <w:p w14:paraId="038559C8"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6.8 </w:t>
            </w:r>
          </w:p>
        </w:tc>
      </w:tr>
      <w:tr w:rsidR="001F51A6" w:rsidRPr="008D55F9" w14:paraId="5C370152" w14:textId="77777777" w:rsidTr="001F51A6">
        <w:trPr>
          <w:trHeight w:val="243"/>
        </w:trPr>
        <w:tc>
          <w:tcPr>
            <w:tcW w:w="2888" w:type="dxa"/>
            <w:tcBorders>
              <w:left w:val="single" w:sz="4" w:space="0" w:color="auto"/>
              <w:right w:val="single" w:sz="4" w:space="0" w:color="auto"/>
            </w:tcBorders>
          </w:tcPr>
          <w:p w14:paraId="6C45E9BD" w14:textId="77777777" w:rsidR="001F51A6" w:rsidRPr="008D55F9" w:rsidRDefault="001F51A6" w:rsidP="001F51A6">
            <w:pPr>
              <w:autoSpaceDE w:val="0"/>
              <w:autoSpaceDN w:val="0"/>
              <w:adjustRightInd w:val="0"/>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Oaxaca</w:t>
            </w:r>
          </w:p>
        </w:tc>
        <w:tc>
          <w:tcPr>
            <w:tcW w:w="1359" w:type="dxa"/>
            <w:tcBorders>
              <w:left w:val="single" w:sz="4" w:space="0" w:color="auto"/>
            </w:tcBorders>
          </w:tcPr>
          <w:p w14:paraId="5124DADD"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5.8 </w:t>
            </w:r>
          </w:p>
        </w:tc>
        <w:tc>
          <w:tcPr>
            <w:tcW w:w="1328" w:type="dxa"/>
          </w:tcPr>
          <w:p w14:paraId="0DED3D02"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6.3 </w:t>
            </w:r>
          </w:p>
        </w:tc>
        <w:tc>
          <w:tcPr>
            <w:tcW w:w="1344" w:type="dxa"/>
          </w:tcPr>
          <w:p w14:paraId="614A3EB4"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4.9 </w:t>
            </w:r>
          </w:p>
        </w:tc>
        <w:tc>
          <w:tcPr>
            <w:tcW w:w="1343" w:type="dxa"/>
            <w:tcBorders>
              <w:right w:val="single" w:sz="4" w:space="0" w:color="auto"/>
            </w:tcBorders>
          </w:tcPr>
          <w:p w14:paraId="78547C71"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7.1 </w:t>
            </w:r>
          </w:p>
        </w:tc>
      </w:tr>
      <w:tr w:rsidR="001F51A6" w:rsidRPr="008D55F9" w14:paraId="0DF29800" w14:textId="77777777" w:rsidTr="001F51A6">
        <w:trPr>
          <w:trHeight w:val="243"/>
        </w:trPr>
        <w:tc>
          <w:tcPr>
            <w:tcW w:w="2888" w:type="dxa"/>
            <w:tcBorders>
              <w:left w:val="single" w:sz="4" w:space="0" w:color="auto"/>
              <w:right w:val="single" w:sz="4" w:space="0" w:color="auto"/>
            </w:tcBorders>
          </w:tcPr>
          <w:p w14:paraId="453A93CF" w14:textId="77777777" w:rsidR="001F51A6" w:rsidRPr="008D55F9" w:rsidRDefault="001F51A6" w:rsidP="001F51A6">
            <w:pPr>
              <w:autoSpaceDE w:val="0"/>
              <w:autoSpaceDN w:val="0"/>
              <w:adjustRightInd w:val="0"/>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Puebla</w:t>
            </w:r>
          </w:p>
        </w:tc>
        <w:tc>
          <w:tcPr>
            <w:tcW w:w="1359" w:type="dxa"/>
            <w:tcBorders>
              <w:left w:val="single" w:sz="4" w:space="0" w:color="auto"/>
            </w:tcBorders>
          </w:tcPr>
          <w:p w14:paraId="7345510D"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10.9 </w:t>
            </w:r>
          </w:p>
        </w:tc>
        <w:tc>
          <w:tcPr>
            <w:tcW w:w="1328" w:type="dxa"/>
          </w:tcPr>
          <w:p w14:paraId="45434C4B"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1.7 </w:t>
            </w:r>
          </w:p>
        </w:tc>
        <w:tc>
          <w:tcPr>
            <w:tcW w:w="1344" w:type="dxa"/>
          </w:tcPr>
          <w:p w14:paraId="41D2BABA"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17.4 </w:t>
            </w:r>
          </w:p>
        </w:tc>
        <w:tc>
          <w:tcPr>
            <w:tcW w:w="1343" w:type="dxa"/>
            <w:tcBorders>
              <w:right w:val="single" w:sz="4" w:space="0" w:color="auto"/>
            </w:tcBorders>
          </w:tcPr>
          <w:p w14:paraId="4C525779"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8.0 </w:t>
            </w:r>
          </w:p>
        </w:tc>
      </w:tr>
      <w:tr w:rsidR="001F51A6" w:rsidRPr="008D55F9" w14:paraId="3C5184A4" w14:textId="77777777" w:rsidTr="001F51A6">
        <w:trPr>
          <w:trHeight w:val="243"/>
        </w:trPr>
        <w:tc>
          <w:tcPr>
            <w:tcW w:w="2888" w:type="dxa"/>
            <w:tcBorders>
              <w:left w:val="single" w:sz="4" w:space="0" w:color="auto"/>
              <w:right w:val="single" w:sz="4" w:space="0" w:color="auto"/>
            </w:tcBorders>
          </w:tcPr>
          <w:p w14:paraId="2EBDDFB7" w14:textId="77777777" w:rsidR="001F51A6" w:rsidRPr="008D55F9" w:rsidRDefault="001F51A6" w:rsidP="001F51A6">
            <w:pPr>
              <w:autoSpaceDE w:val="0"/>
              <w:autoSpaceDN w:val="0"/>
              <w:adjustRightInd w:val="0"/>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Querétaro</w:t>
            </w:r>
          </w:p>
        </w:tc>
        <w:tc>
          <w:tcPr>
            <w:tcW w:w="1359" w:type="dxa"/>
            <w:tcBorders>
              <w:left w:val="single" w:sz="4" w:space="0" w:color="auto"/>
            </w:tcBorders>
          </w:tcPr>
          <w:p w14:paraId="453C2D4C"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9.0 </w:t>
            </w:r>
          </w:p>
        </w:tc>
        <w:tc>
          <w:tcPr>
            <w:tcW w:w="1328" w:type="dxa"/>
          </w:tcPr>
          <w:p w14:paraId="30A290D4"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5.9 </w:t>
            </w:r>
          </w:p>
        </w:tc>
        <w:tc>
          <w:tcPr>
            <w:tcW w:w="1344" w:type="dxa"/>
          </w:tcPr>
          <w:p w14:paraId="679AF526"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12.4 </w:t>
            </w:r>
          </w:p>
        </w:tc>
        <w:tc>
          <w:tcPr>
            <w:tcW w:w="1343" w:type="dxa"/>
            <w:tcBorders>
              <w:right w:val="single" w:sz="4" w:space="0" w:color="auto"/>
            </w:tcBorders>
          </w:tcPr>
          <w:p w14:paraId="3EBB8E5E"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7.3 </w:t>
            </w:r>
          </w:p>
        </w:tc>
      </w:tr>
      <w:tr w:rsidR="001F51A6" w:rsidRPr="008D55F9" w14:paraId="5DA22B2C" w14:textId="77777777" w:rsidTr="001F51A6">
        <w:trPr>
          <w:trHeight w:val="243"/>
        </w:trPr>
        <w:tc>
          <w:tcPr>
            <w:tcW w:w="2888" w:type="dxa"/>
            <w:tcBorders>
              <w:left w:val="single" w:sz="4" w:space="0" w:color="auto"/>
              <w:right w:val="single" w:sz="4" w:space="0" w:color="auto"/>
            </w:tcBorders>
          </w:tcPr>
          <w:p w14:paraId="1E5A4EEA" w14:textId="77777777" w:rsidR="001F51A6" w:rsidRPr="008D55F9" w:rsidRDefault="001F51A6" w:rsidP="001F51A6">
            <w:pPr>
              <w:autoSpaceDE w:val="0"/>
              <w:autoSpaceDN w:val="0"/>
              <w:adjustRightInd w:val="0"/>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Quintana Roo</w:t>
            </w:r>
          </w:p>
        </w:tc>
        <w:tc>
          <w:tcPr>
            <w:tcW w:w="1359" w:type="dxa"/>
            <w:tcBorders>
              <w:left w:val="single" w:sz="4" w:space="0" w:color="auto"/>
            </w:tcBorders>
          </w:tcPr>
          <w:p w14:paraId="0992177D"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24.1 </w:t>
            </w:r>
          </w:p>
        </w:tc>
        <w:tc>
          <w:tcPr>
            <w:tcW w:w="1328" w:type="dxa"/>
          </w:tcPr>
          <w:p w14:paraId="449BDDE4"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1.9 </w:t>
            </w:r>
          </w:p>
        </w:tc>
        <w:tc>
          <w:tcPr>
            <w:tcW w:w="1344" w:type="dxa"/>
          </w:tcPr>
          <w:p w14:paraId="2A9C589C"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24.3 </w:t>
            </w:r>
          </w:p>
        </w:tc>
        <w:tc>
          <w:tcPr>
            <w:tcW w:w="1343" w:type="dxa"/>
            <w:tcBorders>
              <w:right w:val="single" w:sz="4" w:space="0" w:color="auto"/>
            </w:tcBorders>
          </w:tcPr>
          <w:p w14:paraId="4B0017E9"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24.3 </w:t>
            </w:r>
          </w:p>
        </w:tc>
      </w:tr>
      <w:tr w:rsidR="001F51A6" w:rsidRPr="008D55F9" w14:paraId="364DF373" w14:textId="77777777" w:rsidTr="001F51A6">
        <w:trPr>
          <w:trHeight w:val="243"/>
        </w:trPr>
        <w:tc>
          <w:tcPr>
            <w:tcW w:w="2888" w:type="dxa"/>
            <w:tcBorders>
              <w:left w:val="single" w:sz="4" w:space="0" w:color="auto"/>
              <w:right w:val="single" w:sz="4" w:space="0" w:color="auto"/>
            </w:tcBorders>
          </w:tcPr>
          <w:p w14:paraId="315F158C" w14:textId="77777777" w:rsidR="001F51A6" w:rsidRPr="008D55F9" w:rsidRDefault="001F51A6" w:rsidP="001F51A6">
            <w:pPr>
              <w:autoSpaceDE w:val="0"/>
              <w:autoSpaceDN w:val="0"/>
              <w:adjustRightInd w:val="0"/>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San Luis Potosí</w:t>
            </w:r>
          </w:p>
        </w:tc>
        <w:tc>
          <w:tcPr>
            <w:tcW w:w="1359" w:type="dxa"/>
            <w:tcBorders>
              <w:left w:val="single" w:sz="4" w:space="0" w:color="auto"/>
            </w:tcBorders>
          </w:tcPr>
          <w:p w14:paraId="27CA582E"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7.6 </w:t>
            </w:r>
          </w:p>
        </w:tc>
        <w:tc>
          <w:tcPr>
            <w:tcW w:w="1328" w:type="dxa"/>
          </w:tcPr>
          <w:p w14:paraId="18A598A8"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5.5 </w:t>
            </w:r>
          </w:p>
        </w:tc>
        <w:tc>
          <w:tcPr>
            <w:tcW w:w="1344" w:type="dxa"/>
          </w:tcPr>
          <w:p w14:paraId="23DE247F"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9.5 </w:t>
            </w:r>
          </w:p>
        </w:tc>
        <w:tc>
          <w:tcPr>
            <w:tcW w:w="1343" w:type="dxa"/>
            <w:tcBorders>
              <w:right w:val="single" w:sz="4" w:space="0" w:color="auto"/>
            </w:tcBorders>
          </w:tcPr>
          <w:p w14:paraId="1C2AF035"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7.2 </w:t>
            </w:r>
          </w:p>
        </w:tc>
      </w:tr>
      <w:tr w:rsidR="001F51A6" w:rsidRPr="008D55F9" w14:paraId="5EA77DD5" w14:textId="77777777" w:rsidTr="001F51A6">
        <w:trPr>
          <w:trHeight w:val="243"/>
        </w:trPr>
        <w:tc>
          <w:tcPr>
            <w:tcW w:w="2888" w:type="dxa"/>
            <w:tcBorders>
              <w:left w:val="single" w:sz="4" w:space="0" w:color="auto"/>
              <w:right w:val="single" w:sz="4" w:space="0" w:color="auto"/>
            </w:tcBorders>
          </w:tcPr>
          <w:p w14:paraId="67816694" w14:textId="77777777" w:rsidR="001F51A6" w:rsidRPr="008D55F9" w:rsidRDefault="001F51A6" w:rsidP="001F51A6">
            <w:pPr>
              <w:autoSpaceDE w:val="0"/>
              <w:autoSpaceDN w:val="0"/>
              <w:adjustRightInd w:val="0"/>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Sinaloa</w:t>
            </w:r>
          </w:p>
        </w:tc>
        <w:tc>
          <w:tcPr>
            <w:tcW w:w="1359" w:type="dxa"/>
            <w:tcBorders>
              <w:left w:val="single" w:sz="4" w:space="0" w:color="auto"/>
            </w:tcBorders>
          </w:tcPr>
          <w:p w14:paraId="6A4939DE"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7.0 </w:t>
            </w:r>
          </w:p>
        </w:tc>
        <w:tc>
          <w:tcPr>
            <w:tcW w:w="1328" w:type="dxa"/>
          </w:tcPr>
          <w:p w14:paraId="163DEE64"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5.7 </w:t>
            </w:r>
          </w:p>
        </w:tc>
        <w:tc>
          <w:tcPr>
            <w:tcW w:w="1344" w:type="dxa"/>
          </w:tcPr>
          <w:p w14:paraId="60EF25A7"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8.4 </w:t>
            </w:r>
          </w:p>
        </w:tc>
        <w:tc>
          <w:tcPr>
            <w:tcW w:w="1343" w:type="dxa"/>
            <w:tcBorders>
              <w:right w:val="single" w:sz="4" w:space="0" w:color="auto"/>
            </w:tcBorders>
          </w:tcPr>
          <w:p w14:paraId="518461C4"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6.9 </w:t>
            </w:r>
          </w:p>
        </w:tc>
      </w:tr>
      <w:tr w:rsidR="001F51A6" w:rsidRPr="008D55F9" w14:paraId="123B8F63" w14:textId="77777777" w:rsidTr="001F51A6">
        <w:trPr>
          <w:trHeight w:val="243"/>
        </w:trPr>
        <w:tc>
          <w:tcPr>
            <w:tcW w:w="2888" w:type="dxa"/>
            <w:tcBorders>
              <w:left w:val="single" w:sz="4" w:space="0" w:color="auto"/>
              <w:right w:val="single" w:sz="4" w:space="0" w:color="auto"/>
            </w:tcBorders>
          </w:tcPr>
          <w:p w14:paraId="5A934837" w14:textId="77777777" w:rsidR="001F51A6" w:rsidRPr="008D55F9" w:rsidRDefault="001F51A6" w:rsidP="001F51A6">
            <w:pPr>
              <w:autoSpaceDE w:val="0"/>
              <w:autoSpaceDN w:val="0"/>
              <w:adjustRightInd w:val="0"/>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Sonora</w:t>
            </w:r>
          </w:p>
        </w:tc>
        <w:tc>
          <w:tcPr>
            <w:tcW w:w="1359" w:type="dxa"/>
            <w:tcBorders>
              <w:left w:val="single" w:sz="4" w:space="0" w:color="auto"/>
            </w:tcBorders>
          </w:tcPr>
          <w:p w14:paraId="5F465F23"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5.4 </w:t>
            </w:r>
          </w:p>
        </w:tc>
        <w:tc>
          <w:tcPr>
            <w:tcW w:w="1328" w:type="dxa"/>
          </w:tcPr>
          <w:p w14:paraId="29BCB6E8"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0.6 </w:t>
            </w:r>
          </w:p>
        </w:tc>
        <w:tc>
          <w:tcPr>
            <w:tcW w:w="1344" w:type="dxa"/>
          </w:tcPr>
          <w:p w14:paraId="47C1990E"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6.3 </w:t>
            </w:r>
          </w:p>
        </w:tc>
        <w:tc>
          <w:tcPr>
            <w:tcW w:w="1343" w:type="dxa"/>
            <w:tcBorders>
              <w:right w:val="single" w:sz="4" w:space="0" w:color="auto"/>
            </w:tcBorders>
          </w:tcPr>
          <w:p w14:paraId="69197F75"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5.4 </w:t>
            </w:r>
          </w:p>
        </w:tc>
      </w:tr>
      <w:tr w:rsidR="001F51A6" w:rsidRPr="008D55F9" w14:paraId="23920269" w14:textId="77777777" w:rsidTr="001F51A6">
        <w:trPr>
          <w:trHeight w:val="243"/>
        </w:trPr>
        <w:tc>
          <w:tcPr>
            <w:tcW w:w="2888" w:type="dxa"/>
            <w:tcBorders>
              <w:left w:val="single" w:sz="4" w:space="0" w:color="auto"/>
              <w:right w:val="single" w:sz="4" w:space="0" w:color="auto"/>
            </w:tcBorders>
          </w:tcPr>
          <w:p w14:paraId="11F88150" w14:textId="77777777" w:rsidR="001F51A6" w:rsidRPr="008D55F9" w:rsidRDefault="001F51A6" w:rsidP="001F51A6">
            <w:pPr>
              <w:autoSpaceDE w:val="0"/>
              <w:autoSpaceDN w:val="0"/>
              <w:adjustRightInd w:val="0"/>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Tabasco</w:t>
            </w:r>
          </w:p>
        </w:tc>
        <w:tc>
          <w:tcPr>
            <w:tcW w:w="1359" w:type="dxa"/>
            <w:tcBorders>
              <w:left w:val="single" w:sz="4" w:space="0" w:color="auto"/>
            </w:tcBorders>
          </w:tcPr>
          <w:p w14:paraId="0585A452"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3.5 </w:t>
            </w:r>
          </w:p>
        </w:tc>
        <w:tc>
          <w:tcPr>
            <w:tcW w:w="1328" w:type="dxa"/>
          </w:tcPr>
          <w:p w14:paraId="72FD917D"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1.8 </w:t>
            </w:r>
          </w:p>
        </w:tc>
        <w:tc>
          <w:tcPr>
            <w:tcW w:w="1344" w:type="dxa"/>
          </w:tcPr>
          <w:p w14:paraId="04C34EFE"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10.2 </w:t>
            </w:r>
          </w:p>
        </w:tc>
        <w:tc>
          <w:tcPr>
            <w:tcW w:w="1343" w:type="dxa"/>
            <w:tcBorders>
              <w:right w:val="single" w:sz="4" w:space="0" w:color="auto"/>
            </w:tcBorders>
          </w:tcPr>
          <w:p w14:paraId="53BA0D03"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6.6 </w:t>
            </w:r>
          </w:p>
        </w:tc>
      </w:tr>
      <w:tr w:rsidR="001F51A6" w:rsidRPr="008D55F9" w14:paraId="6DBDB53A" w14:textId="77777777" w:rsidTr="001F51A6">
        <w:trPr>
          <w:trHeight w:val="243"/>
        </w:trPr>
        <w:tc>
          <w:tcPr>
            <w:tcW w:w="2888" w:type="dxa"/>
            <w:tcBorders>
              <w:left w:val="single" w:sz="4" w:space="0" w:color="auto"/>
              <w:right w:val="single" w:sz="4" w:space="0" w:color="auto"/>
            </w:tcBorders>
          </w:tcPr>
          <w:p w14:paraId="33733336" w14:textId="77777777" w:rsidR="001F51A6" w:rsidRPr="008D55F9" w:rsidRDefault="001F51A6" w:rsidP="001F51A6">
            <w:pPr>
              <w:autoSpaceDE w:val="0"/>
              <w:autoSpaceDN w:val="0"/>
              <w:adjustRightInd w:val="0"/>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Tamaulipas</w:t>
            </w:r>
          </w:p>
        </w:tc>
        <w:tc>
          <w:tcPr>
            <w:tcW w:w="1359" w:type="dxa"/>
            <w:tcBorders>
              <w:left w:val="single" w:sz="4" w:space="0" w:color="auto"/>
            </w:tcBorders>
          </w:tcPr>
          <w:p w14:paraId="658079E1"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8.5 </w:t>
            </w:r>
          </w:p>
        </w:tc>
        <w:tc>
          <w:tcPr>
            <w:tcW w:w="1328" w:type="dxa"/>
          </w:tcPr>
          <w:p w14:paraId="0CD08FB9"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8.4 </w:t>
            </w:r>
          </w:p>
        </w:tc>
        <w:tc>
          <w:tcPr>
            <w:tcW w:w="1344" w:type="dxa"/>
          </w:tcPr>
          <w:p w14:paraId="38265DA9"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14.0 </w:t>
            </w:r>
          </w:p>
        </w:tc>
        <w:tc>
          <w:tcPr>
            <w:tcW w:w="1343" w:type="dxa"/>
            <w:tcBorders>
              <w:right w:val="single" w:sz="4" w:space="0" w:color="auto"/>
            </w:tcBorders>
          </w:tcPr>
          <w:p w14:paraId="32E3F1BD"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5.1 </w:t>
            </w:r>
          </w:p>
        </w:tc>
      </w:tr>
      <w:tr w:rsidR="001F51A6" w:rsidRPr="008D55F9" w14:paraId="08943477" w14:textId="77777777" w:rsidTr="001F51A6">
        <w:trPr>
          <w:trHeight w:val="243"/>
        </w:trPr>
        <w:tc>
          <w:tcPr>
            <w:tcW w:w="2888" w:type="dxa"/>
            <w:tcBorders>
              <w:left w:val="single" w:sz="4" w:space="0" w:color="auto"/>
              <w:right w:val="single" w:sz="4" w:space="0" w:color="auto"/>
            </w:tcBorders>
          </w:tcPr>
          <w:p w14:paraId="21DE5C8C" w14:textId="77777777" w:rsidR="001F51A6" w:rsidRPr="008D55F9" w:rsidRDefault="001F51A6" w:rsidP="001F51A6">
            <w:pPr>
              <w:autoSpaceDE w:val="0"/>
              <w:autoSpaceDN w:val="0"/>
              <w:adjustRightInd w:val="0"/>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Tlaxcala</w:t>
            </w:r>
          </w:p>
        </w:tc>
        <w:tc>
          <w:tcPr>
            <w:tcW w:w="1359" w:type="dxa"/>
            <w:tcBorders>
              <w:left w:val="single" w:sz="4" w:space="0" w:color="auto"/>
            </w:tcBorders>
          </w:tcPr>
          <w:p w14:paraId="6A911EAE"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12.1 </w:t>
            </w:r>
          </w:p>
        </w:tc>
        <w:tc>
          <w:tcPr>
            <w:tcW w:w="1328" w:type="dxa"/>
          </w:tcPr>
          <w:p w14:paraId="5C52DF69"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10.7 </w:t>
            </w:r>
          </w:p>
        </w:tc>
        <w:tc>
          <w:tcPr>
            <w:tcW w:w="1344" w:type="dxa"/>
          </w:tcPr>
          <w:p w14:paraId="7251B60E"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21.2 </w:t>
            </w:r>
          </w:p>
        </w:tc>
        <w:tc>
          <w:tcPr>
            <w:tcW w:w="1343" w:type="dxa"/>
            <w:tcBorders>
              <w:right w:val="single" w:sz="4" w:space="0" w:color="auto"/>
            </w:tcBorders>
          </w:tcPr>
          <w:p w14:paraId="43C21B0A"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6.3 </w:t>
            </w:r>
          </w:p>
        </w:tc>
      </w:tr>
      <w:tr w:rsidR="001F51A6" w:rsidRPr="008D55F9" w14:paraId="430264C6" w14:textId="77777777" w:rsidTr="001F51A6">
        <w:trPr>
          <w:trHeight w:val="243"/>
        </w:trPr>
        <w:tc>
          <w:tcPr>
            <w:tcW w:w="2888" w:type="dxa"/>
            <w:tcBorders>
              <w:left w:val="single" w:sz="4" w:space="0" w:color="auto"/>
              <w:right w:val="single" w:sz="4" w:space="0" w:color="auto"/>
            </w:tcBorders>
          </w:tcPr>
          <w:p w14:paraId="38AD66F0" w14:textId="77777777" w:rsidR="001F51A6" w:rsidRPr="008D55F9" w:rsidRDefault="001F51A6" w:rsidP="001F51A6">
            <w:pPr>
              <w:autoSpaceDE w:val="0"/>
              <w:autoSpaceDN w:val="0"/>
              <w:adjustRightInd w:val="0"/>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Veracruz de Ignacio de la Llave</w:t>
            </w:r>
          </w:p>
        </w:tc>
        <w:tc>
          <w:tcPr>
            <w:tcW w:w="1359" w:type="dxa"/>
            <w:tcBorders>
              <w:left w:val="single" w:sz="4" w:space="0" w:color="auto"/>
            </w:tcBorders>
          </w:tcPr>
          <w:p w14:paraId="6F52D762"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8.1 </w:t>
            </w:r>
          </w:p>
        </w:tc>
        <w:tc>
          <w:tcPr>
            <w:tcW w:w="1328" w:type="dxa"/>
          </w:tcPr>
          <w:p w14:paraId="581DAE68"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3.7 </w:t>
            </w:r>
          </w:p>
        </w:tc>
        <w:tc>
          <w:tcPr>
            <w:tcW w:w="1344" w:type="dxa"/>
          </w:tcPr>
          <w:p w14:paraId="05B8A387"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11.6 </w:t>
            </w:r>
          </w:p>
        </w:tc>
        <w:tc>
          <w:tcPr>
            <w:tcW w:w="1343" w:type="dxa"/>
            <w:tcBorders>
              <w:right w:val="single" w:sz="4" w:space="0" w:color="auto"/>
            </w:tcBorders>
          </w:tcPr>
          <w:p w14:paraId="17661A0F"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7.3 </w:t>
            </w:r>
          </w:p>
        </w:tc>
      </w:tr>
      <w:tr w:rsidR="001F51A6" w:rsidRPr="008D55F9" w14:paraId="7E06F314" w14:textId="77777777" w:rsidTr="001F51A6">
        <w:trPr>
          <w:trHeight w:val="243"/>
        </w:trPr>
        <w:tc>
          <w:tcPr>
            <w:tcW w:w="2888" w:type="dxa"/>
            <w:tcBorders>
              <w:left w:val="single" w:sz="4" w:space="0" w:color="auto"/>
              <w:right w:val="single" w:sz="4" w:space="0" w:color="auto"/>
            </w:tcBorders>
          </w:tcPr>
          <w:p w14:paraId="4DE0EA07" w14:textId="77777777" w:rsidR="001F51A6" w:rsidRPr="008D55F9" w:rsidRDefault="001F51A6" w:rsidP="001F51A6">
            <w:pPr>
              <w:autoSpaceDE w:val="0"/>
              <w:autoSpaceDN w:val="0"/>
              <w:adjustRightInd w:val="0"/>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Yucatán</w:t>
            </w:r>
          </w:p>
        </w:tc>
        <w:tc>
          <w:tcPr>
            <w:tcW w:w="1359" w:type="dxa"/>
            <w:tcBorders>
              <w:left w:val="single" w:sz="4" w:space="0" w:color="auto"/>
            </w:tcBorders>
          </w:tcPr>
          <w:p w14:paraId="487EF02D"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7.7 </w:t>
            </w:r>
          </w:p>
        </w:tc>
        <w:tc>
          <w:tcPr>
            <w:tcW w:w="1328" w:type="dxa"/>
          </w:tcPr>
          <w:p w14:paraId="48D0BBD3"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0.3 </w:t>
            </w:r>
          </w:p>
        </w:tc>
        <w:tc>
          <w:tcPr>
            <w:tcW w:w="1344" w:type="dxa"/>
          </w:tcPr>
          <w:p w14:paraId="0AC26074"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10.9 </w:t>
            </w:r>
          </w:p>
        </w:tc>
        <w:tc>
          <w:tcPr>
            <w:tcW w:w="1343" w:type="dxa"/>
            <w:tcBorders>
              <w:right w:val="single" w:sz="4" w:space="0" w:color="auto"/>
            </w:tcBorders>
          </w:tcPr>
          <w:p w14:paraId="5DFAEA9A"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6.9 </w:t>
            </w:r>
          </w:p>
        </w:tc>
      </w:tr>
      <w:tr w:rsidR="001F51A6" w:rsidRPr="008D55F9" w14:paraId="14DFC89D" w14:textId="77777777" w:rsidTr="001F51A6">
        <w:trPr>
          <w:trHeight w:val="243"/>
        </w:trPr>
        <w:tc>
          <w:tcPr>
            <w:tcW w:w="2888" w:type="dxa"/>
            <w:tcBorders>
              <w:left w:val="single" w:sz="4" w:space="0" w:color="auto"/>
              <w:bottom w:val="single" w:sz="4" w:space="0" w:color="auto"/>
              <w:right w:val="single" w:sz="4" w:space="0" w:color="auto"/>
            </w:tcBorders>
          </w:tcPr>
          <w:p w14:paraId="6BA83E00" w14:textId="77777777" w:rsidR="001F51A6" w:rsidRPr="008D55F9" w:rsidRDefault="001F51A6" w:rsidP="001F51A6">
            <w:pPr>
              <w:autoSpaceDE w:val="0"/>
              <w:autoSpaceDN w:val="0"/>
              <w:adjustRightInd w:val="0"/>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Zacatecas</w:t>
            </w:r>
          </w:p>
        </w:tc>
        <w:tc>
          <w:tcPr>
            <w:tcW w:w="1359" w:type="dxa"/>
            <w:tcBorders>
              <w:left w:val="single" w:sz="4" w:space="0" w:color="auto"/>
              <w:bottom w:val="single" w:sz="4" w:space="0" w:color="auto"/>
            </w:tcBorders>
          </w:tcPr>
          <w:p w14:paraId="305F6A08"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4.2 </w:t>
            </w:r>
          </w:p>
        </w:tc>
        <w:tc>
          <w:tcPr>
            <w:tcW w:w="1328" w:type="dxa"/>
            <w:tcBorders>
              <w:bottom w:val="single" w:sz="4" w:space="0" w:color="auto"/>
            </w:tcBorders>
          </w:tcPr>
          <w:p w14:paraId="57737B43"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17.6 </w:t>
            </w:r>
          </w:p>
        </w:tc>
        <w:tc>
          <w:tcPr>
            <w:tcW w:w="1344" w:type="dxa"/>
            <w:tcBorders>
              <w:bottom w:val="single" w:sz="4" w:space="0" w:color="auto"/>
            </w:tcBorders>
          </w:tcPr>
          <w:p w14:paraId="044CA8B0"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8.0 </w:t>
            </w:r>
          </w:p>
        </w:tc>
        <w:tc>
          <w:tcPr>
            <w:tcW w:w="1343" w:type="dxa"/>
            <w:tcBorders>
              <w:bottom w:val="single" w:sz="4" w:space="0" w:color="auto"/>
              <w:right w:val="single" w:sz="4" w:space="0" w:color="auto"/>
            </w:tcBorders>
          </w:tcPr>
          <w:p w14:paraId="0BF01845" w14:textId="77777777" w:rsidR="001F51A6" w:rsidRPr="008D55F9" w:rsidRDefault="001F51A6" w:rsidP="001F51A6">
            <w:pPr>
              <w:autoSpaceDE w:val="0"/>
              <w:autoSpaceDN w:val="0"/>
              <w:adjustRightInd w:val="0"/>
              <w:ind w:right="338"/>
              <w:jc w:val="right"/>
              <w:rPr>
                <w:rFonts w:ascii="Arial" w:eastAsiaTheme="minorHAnsi" w:hAnsi="Arial" w:cs="Arial"/>
                <w:color w:val="000000"/>
                <w:sz w:val="18"/>
                <w:szCs w:val="18"/>
                <w:lang w:val="es-MX" w:eastAsia="en-US"/>
              </w:rPr>
            </w:pPr>
            <w:r w:rsidRPr="008D55F9">
              <w:rPr>
                <w:rFonts w:ascii="Arial" w:eastAsiaTheme="minorHAnsi" w:hAnsi="Arial" w:cs="Arial"/>
                <w:color w:val="000000"/>
                <w:sz w:val="18"/>
                <w:szCs w:val="18"/>
                <w:lang w:val="es-MX" w:eastAsia="en-US"/>
              </w:rPr>
              <w:t xml:space="preserve">(-)   5.1 </w:t>
            </w:r>
          </w:p>
        </w:tc>
      </w:tr>
    </w:tbl>
    <w:p w14:paraId="681FF5B1" w14:textId="77777777" w:rsidR="001F51A6" w:rsidRDefault="001F51A6" w:rsidP="001F51A6">
      <w:pPr>
        <w:pStyle w:val="Textoindependiente2"/>
        <w:spacing w:before="0"/>
        <w:ind w:left="142"/>
        <w:rPr>
          <w:rFonts w:cs="Arial"/>
          <w:sz w:val="16"/>
          <w:szCs w:val="16"/>
        </w:rPr>
      </w:pPr>
      <w:r>
        <w:rPr>
          <w:rFonts w:cs="Arial"/>
          <w:sz w:val="16"/>
          <w:szCs w:val="16"/>
        </w:rPr>
        <w:t xml:space="preserve">   </w:t>
      </w:r>
      <w:r w:rsidRPr="00706D76">
        <w:rPr>
          <w:rFonts w:cs="Arial"/>
          <w:sz w:val="16"/>
          <w:szCs w:val="16"/>
        </w:rPr>
        <w:t>Fuente: INEGI.</w:t>
      </w:r>
    </w:p>
    <w:p w14:paraId="2D216C28" w14:textId="77777777" w:rsidR="00925940" w:rsidRDefault="00925940" w:rsidP="00DC21AE">
      <w:pPr>
        <w:ind w:left="-567" w:right="-518"/>
        <w:jc w:val="both"/>
        <w:rPr>
          <w:rFonts w:ascii="Arial" w:eastAsia="Calibri" w:hAnsi="Arial" w:cs="Arial"/>
          <w:b/>
          <w:sz w:val="23"/>
          <w:szCs w:val="23"/>
          <w:lang w:val="es-MX" w:eastAsia="en-US"/>
        </w:rPr>
      </w:pPr>
    </w:p>
    <w:p w14:paraId="763F00BC" w14:textId="77777777" w:rsidR="001F51A6" w:rsidRDefault="001F51A6" w:rsidP="001C7AC0">
      <w:pPr>
        <w:ind w:left="-709" w:right="-660"/>
        <w:jc w:val="both"/>
        <w:rPr>
          <w:rFonts w:ascii="Arial" w:eastAsia="Calibri" w:hAnsi="Arial" w:cs="Arial"/>
          <w:b/>
          <w:sz w:val="23"/>
          <w:szCs w:val="23"/>
          <w:lang w:val="es-MX" w:eastAsia="en-US"/>
        </w:rPr>
      </w:pPr>
      <w:r w:rsidRPr="00DC21AE">
        <w:rPr>
          <w:rFonts w:ascii="Arial" w:eastAsia="Calibri" w:hAnsi="Arial" w:cs="Arial"/>
          <w:b/>
          <w:sz w:val="23"/>
          <w:szCs w:val="23"/>
          <w:lang w:val="es-MX" w:eastAsia="en-US"/>
        </w:rPr>
        <w:t>Nota al Usuario</w:t>
      </w:r>
    </w:p>
    <w:p w14:paraId="6A0C3411" w14:textId="77777777" w:rsidR="00084C81" w:rsidRPr="00DC21AE" w:rsidRDefault="00084C81" w:rsidP="001C7AC0">
      <w:pPr>
        <w:ind w:left="-709" w:right="-660"/>
        <w:jc w:val="both"/>
        <w:rPr>
          <w:rFonts w:ascii="Arial" w:eastAsia="Calibri" w:hAnsi="Arial" w:cs="Arial"/>
          <w:b/>
          <w:sz w:val="23"/>
          <w:szCs w:val="23"/>
          <w:lang w:val="es-MX" w:eastAsia="en-US"/>
        </w:rPr>
      </w:pPr>
    </w:p>
    <w:p w14:paraId="71364F1B" w14:textId="77777777" w:rsidR="001F51A6" w:rsidRPr="00DC21AE" w:rsidRDefault="001F51A6" w:rsidP="001C7AC0">
      <w:pPr>
        <w:ind w:left="-709" w:right="-660"/>
        <w:jc w:val="both"/>
        <w:rPr>
          <w:rFonts w:ascii="Arial" w:hAnsi="Arial"/>
          <w:bCs/>
          <w:sz w:val="23"/>
          <w:szCs w:val="23"/>
          <w:lang w:val="es-MX"/>
        </w:rPr>
      </w:pPr>
      <w:r w:rsidRPr="00DC21AE">
        <w:rPr>
          <w:rFonts w:ascii="Arial" w:hAnsi="Arial"/>
          <w:bCs/>
          <w:sz w:val="23"/>
          <w:szCs w:val="23"/>
          <w:lang w:val="es-MX"/>
        </w:rPr>
        <w:t>Con base en los “Lineamientos de cambios a la información divulgada en las publicaciones estadísticas y geográficas del INEGI” al disponer de un dato más reciente generado por las Cuentas de Bienes y Servicios 2020 versión preliminar, así como la incorporación de la última información estadística disponible de 2019 y 2020 de las encuestas económicas, encuestas en hogares, registros administrativos y datos primarios y para las actividades agropecuarias, petroleras, de energía, gas y agua, de servicios financieros y del gobierno de los registros administrativos provenientes de las empresas y Unidades del Estado que se recibieron vía correo electrónico y captación por Internet, para su integración en el PIBE en los años de referencia, se identifican diferencias en los niveles de los valores y variaciones que fueron oportunamente publicados.</w:t>
      </w:r>
    </w:p>
    <w:p w14:paraId="42574C40" w14:textId="77777777" w:rsidR="00D41996" w:rsidRPr="00DC21AE" w:rsidRDefault="00D41996" w:rsidP="00084C81">
      <w:pPr>
        <w:pStyle w:val="consang"/>
        <w:spacing w:after="0" w:line="240" w:lineRule="auto"/>
        <w:ind w:right="20" w:firstLine="0"/>
        <w:jc w:val="center"/>
        <w:rPr>
          <w:rFonts w:ascii="Arial" w:hAnsi="Arial" w:cs="Arial"/>
          <w:b/>
          <w:smallCaps/>
          <w:sz w:val="23"/>
          <w:szCs w:val="23"/>
        </w:rPr>
      </w:pPr>
    </w:p>
    <w:p w14:paraId="5C5FA3B9" w14:textId="77777777" w:rsidR="00594109" w:rsidRDefault="001F51A6" w:rsidP="001C7AC0">
      <w:pPr>
        <w:tabs>
          <w:tab w:val="left" w:pos="8789"/>
        </w:tabs>
        <w:ind w:right="51"/>
        <w:jc w:val="center"/>
        <w:rPr>
          <w:rFonts w:ascii="Arial" w:hAnsi="Arial" w:cs="Arial"/>
          <w:b/>
          <w:sz w:val="23"/>
          <w:szCs w:val="23"/>
        </w:rPr>
        <w:sectPr w:rsidR="00594109" w:rsidSect="00594109">
          <w:headerReference w:type="default" r:id="rId7"/>
          <w:footerReference w:type="default" r:id="rId8"/>
          <w:type w:val="continuous"/>
          <w:pgSz w:w="12240" w:h="15840"/>
          <w:pgMar w:top="1714" w:right="1701" w:bottom="709" w:left="1701" w:header="426" w:footer="436" w:gutter="0"/>
          <w:cols w:space="708"/>
          <w:docGrid w:linePitch="360"/>
        </w:sectPr>
      </w:pPr>
      <w:r w:rsidRPr="00DC21AE">
        <w:rPr>
          <w:rFonts w:ascii="Arial" w:hAnsi="Arial" w:cs="Arial"/>
          <w:b/>
          <w:sz w:val="23"/>
          <w:szCs w:val="23"/>
        </w:rPr>
        <w:t>Se anexa Nota Técnica</w:t>
      </w:r>
    </w:p>
    <w:p w14:paraId="0E9A2ED8" w14:textId="14214BA5" w:rsidR="00D41996" w:rsidRDefault="00D41996" w:rsidP="001C7AC0">
      <w:pPr>
        <w:tabs>
          <w:tab w:val="left" w:pos="8789"/>
        </w:tabs>
        <w:ind w:right="51"/>
        <w:jc w:val="center"/>
        <w:rPr>
          <w:rFonts w:ascii="Arial" w:hAnsi="Arial" w:cs="Arial"/>
          <w:b/>
          <w:sz w:val="23"/>
          <w:szCs w:val="23"/>
        </w:rPr>
      </w:pPr>
    </w:p>
    <w:p w14:paraId="273460D7" w14:textId="301839CA" w:rsidR="001F51A6" w:rsidRDefault="001F51A6" w:rsidP="00BB4632">
      <w:pPr>
        <w:jc w:val="center"/>
        <w:rPr>
          <w:rFonts w:ascii="Arial" w:eastAsia="Calibri" w:hAnsi="Arial" w:cs="Arial"/>
          <w:b/>
          <w:sz w:val="24"/>
          <w:szCs w:val="28"/>
          <w:lang w:val="es-MX" w:eastAsia="en-US"/>
        </w:rPr>
      </w:pPr>
      <w:r>
        <w:rPr>
          <w:rFonts w:ascii="Arial" w:eastAsia="Calibri" w:hAnsi="Arial" w:cs="Arial"/>
          <w:b/>
          <w:sz w:val="24"/>
          <w:szCs w:val="28"/>
          <w:lang w:val="es-MX" w:eastAsia="en-US"/>
        </w:rPr>
        <w:lastRenderedPageBreak/>
        <w:t>NOTA TÉCNICA</w:t>
      </w:r>
    </w:p>
    <w:p w14:paraId="1F73D0C1" w14:textId="77777777" w:rsidR="00084C81" w:rsidRDefault="00084C81" w:rsidP="00BB4632">
      <w:pPr>
        <w:jc w:val="center"/>
        <w:rPr>
          <w:rFonts w:ascii="Arial" w:eastAsia="Calibri" w:hAnsi="Arial" w:cs="Arial"/>
          <w:b/>
          <w:sz w:val="24"/>
          <w:szCs w:val="28"/>
          <w:lang w:val="es-MX" w:eastAsia="en-US"/>
        </w:rPr>
      </w:pPr>
    </w:p>
    <w:p w14:paraId="391C3BE1" w14:textId="77777777" w:rsidR="001F51A6" w:rsidRDefault="001F51A6" w:rsidP="00BB4632">
      <w:pPr>
        <w:jc w:val="center"/>
        <w:rPr>
          <w:rFonts w:ascii="Arial" w:eastAsia="Calibri" w:hAnsi="Arial" w:cs="Arial"/>
          <w:b/>
          <w:sz w:val="24"/>
          <w:szCs w:val="28"/>
          <w:lang w:val="es-MX" w:eastAsia="en-US"/>
        </w:rPr>
      </w:pPr>
      <w:r>
        <w:rPr>
          <w:rFonts w:ascii="Arial" w:eastAsia="Calibri" w:hAnsi="Arial" w:cs="Arial"/>
          <w:b/>
          <w:sz w:val="24"/>
          <w:szCs w:val="28"/>
          <w:lang w:val="es-MX" w:eastAsia="en-US"/>
        </w:rPr>
        <w:t>SISTEMA DE CUENTAS NACIONALES DE MÉXICO</w:t>
      </w:r>
    </w:p>
    <w:p w14:paraId="0B31F052" w14:textId="77777777" w:rsidR="001F51A6" w:rsidRDefault="001F51A6" w:rsidP="00BB4632">
      <w:pPr>
        <w:jc w:val="center"/>
        <w:rPr>
          <w:rFonts w:ascii="Arial" w:eastAsia="Calibri" w:hAnsi="Arial" w:cs="Arial"/>
          <w:b/>
          <w:sz w:val="24"/>
          <w:szCs w:val="28"/>
          <w:lang w:val="es-MX" w:eastAsia="en-US"/>
        </w:rPr>
      </w:pPr>
      <w:r>
        <w:rPr>
          <w:rFonts w:ascii="Arial" w:eastAsia="Calibri" w:hAnsi="Arial" w:cs="Arial"/>
          <w:b/>
          <w:sz w:val="24"/>
          <w:szCs w:val="28"/>
          <w:lang w:val="es-MX" w:eastAsia="en-US"/>
        </w:rPr>
        <w:t>PRODUCTO INTERNO BRUTO POR ENTIDAD FEDERATIVA 2020</w:t>
      </w:r>
    </w:p>
    <w:p w14:paraId="15DD3B81" w14:textId="77777777" w:rsidR="00BB4632" w:rsidRDefault="00BB4632" w:rsidP="00BB4632">
      <w:pPr>
        <w:jc w:val="center"/>
        <w:rPr>
          <w:rFonts w:ascii="Arial" w:eastAsia="Calibri" w:hAnsi="Arial" w:cs="Arial"/>
          <w:b/>
          <w:sz w:val="24"/>
          <w:szCs w:val="28"/>
          <w:lang w:val="es-MX" w:eastAsia="en-US"/>
        </w:rPr>
      </w:pPr>
    </w:p>
    <w:p w14:paraId="634082CD" w14:textId="77777777" w:rsidR="001F51A6" w:rsidRDefault="001F51A6" w:rsidP="00BB4632">
      <w:pPr>
        <w:pStyle w:val="Textoindependiente"/>
        <w:spacing w:before="0"/>
        <w:ind w:left="-567" w:right="-518"/>
        <w:rPr>
          <w:sz w:val="23"/>
          <w:szCs w:val="23"/>
          <w:lang w:val="es-MX"/>
        </w:rPr>
      </w:pPr>
      <w:r w:rsidRPr="00BB4632">
        <w:rPr>
          <w:sz w:val="23"/>
          <w:szCs w:val="23"/>
          <w:lang w:val="es-MX"/>
        </w:rPr>
        <w:t xml:space="preserve">Como parte del Sistema de Cuentas Nacionales de México, el INEGI presenta los resultados del Producto Interno Bruto por </w:t>
      </w:r>
      <w:r w:rsidR="00EF1ADC">
        <w:rPr>
          <w:sz w:val="23"/>
          <w:szCs w:val="23"/>
          <w:lang w:val="es-MX"/>
        </w:rPr>
        <w:t>e</w:t>
      </w:r>
      <w:r w:rsidRPr="00BB4632">
        <w:rPr>
          <w:sz w:val="23"/>
          <w:szCs w:val="23"/>
          <w:lang w:val="es-MX"/>
        </w:rPr>
        <w:t xml:space="preserve">ntidad </w:t>
      </w:r>
      <w:r w:rsidR="00EF1ADC">
        <w:rPr>
          <w:sz w:val="23"/>
          <w:szCs w:val="23"/>
          <w:lang w:val="es-MX"/>
        </w:rPr>
        <w:t>f</w:t>
      </w:r>
      <w:r w:rsidRPr="00BB4632">
        <w:rPr>
          <w:sz w:val="23"/>
          <w:szCs w:val="23"/>
          <w:lang w:val="es-MX"/>
        </w:rPr>
        <w:t>ederativa</w:t>
      </w:r>
      <w:r w:rsidR="00904FE8">
        <w:rPr>
          <w:sz w:val="23"/>
          <w:szCs w:val="23"/>
          <w:lang w:val="es-MX"/>
        </w:rPr>
        <w:t xml:space="preserve"> (PIBE)</w:t>
      </w:r>
      <w:r w:rsidRPr="00BB4632">
        <w:rPr>
          <w:sz w:val="23"/>
          <w:szCs w:val="23"/>
          <w:lang w:val="es-MX"/>
        </w:rPr>
        <w:t xml:space="preserve"> 2020 preliminar, año base 2013, mediante los cuales se proporciona información para cada una de las entidades federativas y sus respectivas actividades económicas.</w:t>
      </w:r>
    </w:p>
    <w:p w14:paraId="3CE6E27E" w14:textId="77777777" w:rsidR="00BB4632" w:rsidRPr="00BB4632" w:rsidRDefault="00BB4632" w:rsidP="00BB4632">
      <w:pPr>
        <w:pStyle w:val="Textoindependiente"/>
        <w:spacing w:before="0"/>
        <w:ind w:left="-567" w:right="-518"/>
        <w:rPr>
          <w:sz w:val="23"/>
          <w:szCs w:val="23"/>
          <w:lang w:val="es-MX"/>
        </w:rPr>
      </w:pPr>
    </w:p>
    <w:p w14:paraId="008BC475" w14:textId="77777777" w:rsidR="001F51A6" w:rsidRPr="00BB4632" w:rsidRDefault="001F51A6" w:rsidP="00BB4632">
      <w:pPr>
        <w:pStyle w:val="Textoindependiente"/>
        <w:spacing w:before="0"/>
        <w:ind w:left="-567" w:right="-518"/>
        <w:rPr>
          <w:sz w:val="23"/>
          <w:szCs w:val="23"/>
          <w:lang w:val="es-MX"/>
        </w:rPr>
      </w:pPr>
      <w:r w:rsidRPr="00BB4632">
        <w:rPr>
          <w:sz w:val="23"/>
          <w:szCs w:val="23"/>
          <w:lang w:val="es-MX"/>
        </w:rPr>
        <w:t>La información contiene cifras en valores corrientes y a precios constantes de 2013, así como los índices de precios implícitos e índices de volumen físico correspondientes.</w:t>
      </w:r>
    </w:p>
    <w:p w14:paraId="0CFC7753" w14:textId="77777777" w:rsidR="00084C81" w:rsidRPr="00BB4632" w:rsidRDefault="00084C81" w:rsidP="00BB4632">
      <w:pPr>
        <w:pStyle w:val="Textoindependiente"/>
        <w:spacing w:before="0"/>
        <w:ind w:left="-567" w:right="-518"/>
        <w:rPr>
          <w:sz w:val="23"/>
          <w:szCs w:val="23"/>
          <w:lang w:val="es-MX"/>
        </w:rPr>
      </w:pPr>
    </w:p>
    <w:p w14:paraId="4C7A752F" w14:textId="77777777" w:rsidR="001F51A6" w:rsidRPr="00BB4632" w:rsidRDefault="001F51A6" w:rsidP="00BB4632">
      <w:pPr>
        <w:pStyle w:val="Textoindependiente"/>
        <w:spacing w:before="0"/>
        <w:ind w:left="-567" w:right="-518"/>
        <w:rPr>
          <w:b/>
          <w:smallCaps/>
          <w:sz w:val="23"/>
          <w:szCs w:val="23"/>
          <w:lang w:val="es-MX"/>
        </w:rPr>
      </w:pPr>
      <w:r w:rsidRPr="00BB4632">
        <w:rPr>
          <w:rFonts w:eastAsia="Calibri" w:cs="Arial"/>
          <w:b/>
          <w:sz w:val="23"/>
          <w:szCs w:val="23"/>
          <w:lang w:val="es-MX" w:eastAsia="en-US"/>
        </w:rPr>
        <w:t>Principales Resultados</w:t>
      </w:r>
      <w:r w:rsidRPr="00BB4632">
        <w:rPr>
          <w:b/>
          <w:smallCaps/>
          <w:sz w:val="23"/>
          <w:szCs w:val="23"/>
          <w:lang w:val="es-MX"/>
        </w:rPr>
        <w:t>:</w:t>
      </w:r>
    </w:p>
    <w:p w14:paraId="10EE5CBD" w14:textId="77777777" w:rsidR="00BB4632" w:rsidRPr="00BB4632" w:rsidRDefault="00BB4632" w:rsidP="00BB4632">
      <w:pPr>
        <w:pStyle w:val="Textoindependiente"/>
        <w:spacing w:before="0"/>
        <w:ind w:left="-567" w:right="-518"/>
        <w:rPr>
          <w:b/>
          <w:smallCaps/>
          <w:sz w:val="23"/>
          <w:szCs w:val="23"/>
          <w:lang w:val="es-MX"/>
        </w:rPr>
      </w:pPr>
    </w:p>
    <w:p w14:paraId="23687390" w14:textId="77777777" w:rsidR="001F51A6" w:rsidRPr="00BB4632" w:rsidRDefault="001F51A6" w:rsidP="00BB4632">
      <w:pPr>
        <w:pStyle w:val="Textoindependiente"/>
        <w:spacing w:before="0"/>
        <w:ind w:left="-567" w:right="-518"/>
        <w:rPr>
          <w:rFonts w:eastAsia="Calibri" w:cs="Arial"/>
          <w:b/>
          <w:sz w:val="23"/>
          <w:szCs w:val="23"/>
          <w:lang w:val="es-MX" w:eastAsia="en-US"/>
        </w:rPr>
      </w:pPr>
      <w:r w:rsidRPr="00BB4632">
        <w:rPr>
          <w:rFonts w:eastAsia="Calibri" w:cs="Arial"/>
          <w:b/>
          <w:sz w:val="23"/>
          <w:szCs w:val="23"/>
          <w:lang w:val="es-MX" w:eastAsia="en-US"/>
        </w:rPr>
        <w:t xml:space="preserve">Producto Interno Bruto por </w:t>
      </w:r>
      <w:r w:rsidR="00EF1ADC">
        <w:rPr>
          <w:rFonts w:eastAsia="Calibri" w:cs="Arial"/>
          <w:b/>
          <w:sz w:val="23"/>
          <w:szCs w:val="23"/>
          <w:lang w:val="es-MX" w:eastAsia="en-US"/>
        </w:rPr>
        <w:t>e</w:t>
      </w:r>
      <w:r w:rsidRPr="00BB4632">
        <w:rPr>
          <w:rFonts w:eastAsia="Calibri" w:cs="Arial"/>
          <w:b/>
          <w:sz w:val="23"/>
          <w:szCs w:val="23"/>
          <w:lang w:val="es-MX" w:eastAsia="en-US"/>
        </w:rPr>
        <w:t xml:space="preserve">ntidad </w:t>
      </w:r>
      <w:r w:rsidR="00EF1ADC">
        <w:rPr>
          <w:rFonts w:eastAsia="Calibri" w:cs="Arial"/>
          <w:b/>
          <w:sz w:val="23"/>
          <w:szCs w:val="23"/>
          <w:lang w:val="es-MX" w:eastAsia="en-US"/>
        </w:rPr>
        <w:t>f</w:t>
      </w:r>
      <w:r w:rsidRPr="00BB4632">
        <w:rPr>
          <w:rFonts w:eastAsia="Calibri" w:cs="Arial"/>
          <w:b/>
          <w:sz w:val="23"/>
          <w:szCs w:val="23"/>
          <w:lang w:val="es-MX" w:eastAsia="en-US"/>
        </w:rPr>
        <w:t>ederativa</w:t>
      </w:r>
    </w:p>
    <w:p w14:paraId="792617ED" w14:textId="77777777" w:rsidR="00BB4632" w:rsidRPr="00BB4632" w:rsidRDefault="00BB4632" w:rsidP="00BB4632">
      <w:pPr>
        <w:pStyle w:val="Textoindependiente"/>
        <w:spacing w:before="0"/>
        <w:ind w:left="-567" w:right="-518"/>
        <w:rPr>
          <w:b/>
          <w:smallCaps/>
          <w:sz w:val="23"/>
          <w:szCs w:val="23"/>
          <w:lang w:val="es-MX"/>
        </w:rPr>
      </w:pPr>
    </w:p>
    <w:p w14:paraId="4570DD47" w14:textId="77777777" w:rsidR="001F51A6" w:rsidRPr="00BB4632" w:rsidRDefault="001F51A6" w:rsidP="00BB4632">
      <w:pPr>
        <w:tabs>
          <w:tab w:val="center" w:pos="3348"/>
        </w:tabs>
        <w:ind w:left="-567" w:right="-518"/>
        <w:jc w:val="both"/>
        <w:rPr>
          <w:rFonts w:ascii="Arial" w:hAnsi="Arial"/>
          <w:sz w:val="23"/>
          <w:szCs w:val="23"/>
          <w:lang w:val="es-MX" w:eastAsia="es-MX"/>
        </w:rPr>
      </w:pPr>
      <w:r w:rsidRPr="00BB4632">
        <w:rPr>
          <w:rFonts w:ascii="Arial" w:hAnsi="Arial"/>
          <w:sz w:val="23"/>
          <w:szCs w:val="23"/>
          <w:lang w:val="es-MX" w:eastAsia="es-MX"/>
        </w:rPr>
        <w:tab/>
        <w:t>En 2020 el Producto Interno Bruto total a precios básicos resultó de 21</w:t>
      </w:r>
      <w:r w:rsidR="00084C81" w:rsidRPr="00BB4632">
        <w:rPr>
          <w:rFonts w:ascii="Arial" w:hAnsi="Arial"/>
          <w:sz w:val="23"/>
          <w:szCs w:val="23"/>
          <w:lang w:val="es-MX" w:eastAsia="es-MX"/>
        </w:rPr>
        <w:t xml:space="preserve"> </w:t>
      </w:r>
      <w:r w:rsidRPr="00BB4632">
        <w:rPr>
          <w:rFonts w:ascii="Arial" w:hAnsi="Arial"/>
          <w:sz w:val="23"/>
          <w:szCs w:val="23"/>
          <w:lang w:val="es-MX" w:eastAsia="es-MX"/>
        </w:rPr>
        <w:t>884</w:t>
      </w:r>
      <w:r w:rsidR="00084C81" w:rsidRPr="00BB4632">
        <w:rPr>
          <w:rFonts w:ascii="Arial" w:hAnsi="Arial"/>
          <w:sz w:val="23"/>
          <w:szCs w:val="23"/>
          <w:lang w:val="es-MX" w:eastAsia="es-MX"/>
        </w:rPr>
        <w:t xml:space="preserve"> </w:t>
      </w:r>
      <w:r w:rsidRPr="00BB4632">
        <w:rPr>
          <w:rFonts w:ascii="Arial" w:hAnsi="Arial"/>
          <w:sz w:val="23"/>
          <w:szCs w:val="23"/>
          <w:lang w:val="es-MX" w:eastAsia="es-MX"/>
        </w:rPr>
        <w:t>029 millones de pesos corrientes, monto integrado principalmente por la contribución de la Ciudad de México que participó con 3</w:t>
      </w:r>
      <w:r w:rsidR="00084C81" w:rsidRPr="00BB4632">
        <w:rPr>
          <w:rFonts w:ascii="Arial" w:hAnsi="Arial"/>
          <w:sz w:val="23"/>
          <w:szCs w:val="23"/>
          <w:lang w:val="es-MX" w:eastAsia="es-MX"/>
        </w:rPr>
        <w:t xml:space="preserve"> </w:t>
      </w:r>
      <w:r w:rsidRPr="00BB4632">
        <w:rPr>
          <w:rFonts w:ascii="Arial" w:hAnsi="Arial"/>
          <w:sz w:val="23"/>
          <w:szCs w:val="23"/>
          <w:lang w:val="es-MX" w:eastAsia="es-MX"/>
        </w:rPr>
        <w:t>464</w:t>
      </w:r>
      <w:r w:rsidR="00084C81" w:rsidRPr="00BB4632">
        <w:rPr>
          <w:rFonts w:ascii="Arial" w:hAnsi="Arial"/>
          <w:sz w:val="23"/>
          <w:szCs w:val="23"/>
          <w:lang w:val="es-MX" w:eastAsia="es-MX"/>
        </w:rPr>
        <w:t xml:space="preserve"> </w:t>
      </w:r>
      <w:r w:rsidRPr="00BB4632">
        <w:rPr>
          <w:rFonts w:ascii="Arial" w:hAnsi="Arial"/>
          <w:sz w:val="23"/>
          <w:szCs w:val="23"/>
          <w:lang w:val="es-MX" w:eastAsia="es-MX"/>
        </w:rPr>
        <w:t>828 millones, México con 1</w:t>
      </w:r>
      <w:r w:rsidR="00084C81" w:rsidRPr="00BB4632">
        <w:rPr>
          <w:rFonts w:ascii="Arial" w:hAnsi="Arial"/>
          <w:sz w:val="23"/>
          <w:szCs w:val="23"/>
          <w:lang w:val="es-MX" w:eastAsia="es-MX"/>
        </w:rPr>
        <w:t xml:space="preserve"> </w:t>
      </w:r>
      <w:r w:rsidRPr="00BB4632">
        <w:rPr>
          <w:rFonts w:ascii="Arial" w:hAnsi="Arial"/>
          <w:sz w:val="23"/>
          <w:szCs w:val="23"/>
          <w:lang w:val="es-MX" w:eastAsia="es-MX"/>
        </w:rPr>
        <w:t>993</w:t>
      </w:r>
      <w:r w:rsidR="00084C81" w:rsidRPr="00BB4632">
        <w:rPr>
          <w:rFonts w:ascii="Arial" w:hAnsi="Arial"/>
          <w:sz w:val="23"/>
          <w:szCs w:val="23"/>
          <w:lang w:val="es-MX" w:eastAsia="es-MX"/>
        </w:rPr>
        <w:t xml:space="preserve"> </w:t>
      </w:r>
      <w:r w:rsidRPr="00BB4632">
        <w:rPr>
          <w:rFonts w:ascii="Arial" w:hAnsi="Arial"/>
          <w:sz w:val="23"/>
          <w:szCs w:val="23"/>
          <w:lang w:val="es-MX" w:eastAsia="es-MX"/>
        </w:rPr>
        <w:t xml:space="preserve">874 millones, Nuevo León </w:t>
      </w:r>
      <w:r w:rsidR="00BB4632" w:rsidRPr="00BB4632">
        <w:rPr>
          <w:rFonts w:ascii="Arial" w:hAnsi="Arial"/>
          <w:sz w:val="23"/>
          <w:szCs w:val="23"/>
          <w:lang w:val="es-MX" w:eastAsia="es-MX"/>
        </w:rPr>
        <w:t xml:space="preserve">con </w:t>
      </w:r>
      <w:r w:rsidRPr="00BB4632">
        <w:rPr>
          <w:rFonts w:ascii="Arial" w:hAnsi="Arial"/>
          <w:sz w:val="23"/>
          <w:szCs w:val="23"/>
          <w:lang w:val="es-MX" w:eastAsia="es-MX"/>
        </w:rPr>
        <w:t>1</w:t>
      </w:r>
      <w:r w:rsidR="00BB4632" w:rsidRPr="00BB4632">
        <w:rPr>
          <w:rFonts w:ascii="Arial" w:hAnsi="Arial"/>
          <w:sz w:val="23"/>
          <w:szCs w:val="23"/>
          <w:lang w:val="es-MX" w:eastAsia="es-MX"/>
        </w:rPr>
        <w:t xml:space="preserve"> </w:t>
      </w:r>
      <w:r w:rsidRPr="00BB4632">
        <w:rPr>
          <w:rFonts w:ascii="Arial" w:hAnsi="Arial"/>
          <w:sz w:val="23"/>
          <w:szCs w:val="23"/>
          <w:lang w:val="es-MX" w:eastAsia="es-MX"/>
        </w:rPr>
        <w:t>744</w:t>
      </w:r>
      <w:r w:rsidR="00BB4632" w:rsidRPr="00BB4632">
        <w:rPr>
          <w:rFonts w:ascii="Arial" w:hAnsi="Arial"/>
          <w:sz w:val="23"/>
          <w:szCs w:val="23"/>
          <w:lang w:val="es-MX" w:eastAsia="es-MX"/>
        </w:rPr>
        <w:t xml:space="preserve"> </w:t>
      </w:r>
      <w:r w:rsidRPr="00BB4632">
        <w:rPr>
          <w:rFonts w:ascii="Arial" w:hAnsi="Arial"/>
          <w:sz w:val="23"/>
          <w:szCs w:val="23"/>
          <w:lang w:val="es-MX" w:eastAsia="es-MX"/>
        </w:rPr>
        <w:t xml:space="preserve">370 millones, Jalisco </w:t>
      </w:r>
      <w:r w:rsidR="00BB4632" w:rsidRPr="00BB4632">
        <w:rPr>
          <w:rFonts w:ascii="Arial" w:hAnsi="Arial"/>
          <w:sz w:val="23"/>
          <w:szCs w:val="23"/>
          <w:lang w:val="es-MX" w:eastAsia="es-MX"/>
        </w:rPr>
        <w:t xml:space="preserve">con </w:t>
      </w:r>
      <w:r w:rsidRPr="00BB4632">
        <w:rPr>
          <w:rFonts w:ascii="Arial" w:hAnsi="Arial"/>
          <w:sz w:val="23"/>
          <w:szCs w:val="23"/>
          <w:lang w:val="es-MX" w:eastAsia="es-MX"/>
        </w:rPr>
        <w:t>1</w:t>
      </w:r>
      <w:r w:rsidR="00BB4632" w:rsidRPr="00BB4632">
        <w:rPr>
          <w:rFonts w:ascii="Arial" w:hAnsi="Arial"/>
          <w:sz w:val="23"/>
          <w:szCs w:val="23"/>
          <w:lang w:val="es-MX" w:eastAsia="es-MX"/>
        </w:rPr>
        <w:t xml:space="preserve"> </w:t>
      </w:r>
      <w:r w:rsidRPr="00BB4632">
        <w:rPr>
          <w:rFonts w:ascii="Arial" w:hAnsi="Arial"/>
          <w:sz w:val="23"/>
          <w:szCs w:val="23"/>
          <w:lang w:val="es-MX" w:eastAsia="es-MX"/>
        </w:rPr>
        <w:t>591</w:t>
      </w:r>
      <w:r w:rsidR="00BB4632" w:rsidRPr="00BB4632">
        <w:rPr>
          <w:rFonts w:ascii="Arial" w:hAnsi="Arial"/>
          <w:sz w:val="23"/>
          <w:szCs w:val="23"/>
          <w:lang w:val="es-MX" w:eastAsia="es-MX"/>
        </w:rPr>
        <w:t xml:space="preserve"> </w:t>
      </w:r>
      <w:r w:rsidRPr="00BB4632">
        <w:rPr>
          <w:rFonts w:ascii="Arial" w:hAnsi="Arial"/>
          <w:sz w:val="23"/>
          <w:szCs w:val="23"/>
          <w:lang w:val="es-MX" w:eastAsia="es-MX"/>
        </w:rPr>
        <w:t xml:space="preserve">000 millones, Veracruz de Ignacio de la Llave </w:t>
      </w:r>
      <w:r w:rsidR="00BB4632" w:rsidRPr="00BB4632">
        <w:rPr>
          <w:rFonts w:ascii="Arial" w:hAnsi="Arial"/>
          <w:sz w:val="23"/>
          <w:szCs w:val="23"/>
          <w:lang w:val="es-MX" w:eastAsia="es-MX"/>
        </w:rPr>
        <w:t xml:space="preserve">con </w:t>
      </w:r>
      <w:r w:rsidRPr="00BB4632">
        <w:rPr>
          <w:rFonts w:ascii="Arial" w:hAnsi="Arial"/>
          <w:sz w:val="23"/>
          <w:szCs w:val="23"/>
          <w:lang w:val="es-MX" w:eastAsia="es-MX"/>
        </w:rPr>
        <w:t>988</w:t>
      </w:r>
      <w:r w:rsidR="00BB4632" w:rsidRPr="00BB4632">
        <w:rPr>
          <w:rFonts w:ascii="Arial" w:hAnsi="Arial"/>
          <w:sz w:val="23"/>
          <w:szCs w:val="23"/>
          <w:lang w:val="es-MX" w:eastAsia="es-MX"/>
        </w:rPr>
        <w:t xml:space="preserve"> </w:t>
      </w:r>
      <w:r w:rsidRPr="00BB4632">
        <w:rPr>
          <w:rFonts w:ascii="Arial" w:hAnsi="Arial"/>
          <w:sz w:val="23"/>
          <w:szCs w:val="23"/>
          <w:lang w:val="es-MX" w:eastAsia="es-MX"/>
        </w:rPr>
        <w:t xml:space="preserve">915 millones, Guanajuato </w:t>
      </w:r>
      <w:r w:rsidR="00BB4632" w:rsidRPr="00BB4632">
        <w:rPr>
          <w:rFonts w:ascii="Arial" w:hAnsi="Arial"/>
          <w:sz w:val="23"/>
          <w:szCs w:val="23"/>
          <w:lang w:val="es-MX" w:eastAsia="es-MX"/>
        </w:rPr>
        <w:t xml:space="preserve">con </w:t>
      </w:r>
      <w:r w:rsidRPr="00BB4632">
        <w:rPr>
          <w:rFonts w:ascii="Arial" w:hAnsi="Arial"/>
          <w:sz w:val="23"/>
          <w:szCs w:val="23"/>
          <w:lang w:val="es-MX" w:eastAsia="es-MX"/>
        </w:rPr>
        <w:t>949</w:t>
      </w:r>
      <w:r w:rsidR="00BB4632" w:rsidRPr="00BB4632">
        <w:rPr>
          <w:rFonts w:ascii="Arial" w:hAnsi="Arial"/>
          <w:sz w:val="23"/>
          <w:szCs w:val="23"/>
          <w:lang w:val="es-MX" w:eastAsia="es-MX"/>
        </w:rPr>
        <w:t xml:space="preserve"> </w:t>
      </w:r>
      <w:r w:rsidRPr="00BB4632">
        <w:rPr>
          <w:rFonts w:ascii="Arial" w:hAnsi="Arial"/>
          <w:sz w:val="23"/>
          <w:szCs w:val="23"/>
          <w:lang w:val="es-MX" w:eastAsia="es-MX"/>
        </w:rPr>
        <w:t xml:space="preserve">404 millones, Baja California </w:t>
      </w:r>
      <w:r w:rsidR="00BB4632" w:rsidRPr="00BB4632">
        <w:rPr>
          <w:rFonts w:ascii="Arial" w:hAnsi="Arial"/>
          <w:sz w:val="23"/>
          <w:szCs w:val="23"/>
          <w:lang w:val="es-MX" w:eastAsia="es-MX"/>
        </w:rPr>
        <w:t xml:space="preserve">con  </w:t>
      </w:r>
      <w:r w:rsidRPr="00BB4632">
        <w:rPr>
          <w:rFonts w:ascii="Arial" w:hAnsi="Arial"/>
          <w:sz w:val="23"/>
          <w:szCs w:val="23"/>
          <w:lang w:val="es-MX" w:eastAsia="es-MX"/>
        </w:rPr>
        <w:t>801</w:t>
      </w:r>
      <w:r w:rsidR="00BB4632" w:rsidRPr="00BB4632">
        <w:rPr>
          <w:rFonts w:ascii="Arial" w:hAnsi="Arial"/>
          <w:sz w:val="23"/>
          <w:szCs w:val="23"/>
          <w:lang w:val="es-MX" w:eastAsia="es-MX"/>
        </w:rPr>
        <w:t xml:space="preserve"> </w:t>
      </w:r>
      <w:r w:rsidRPr="00BB4632">
        <w:rPr>
          <w:rFonts w:ascii="Arial" w:hAnsi="Arial"/>
          <w:sz w:val="23"/>
          <w:szCs w:val="23"/>
          <w:lang w:val="es-MX" w:eastAsia="es-MX"/>
        </w:rPr>
        <w:t>564 millones, Coahuila de Zaragoza</w:t>
      </w:r>
      <w:r w:rsidR="00BB4632" w:rsidRPr="00BB4632">
        <w:rPr>
          <w:rFonts w:ascii="Arial" w:hAnsi="Arial"/>
          <w:sz w:val="23"/>
          <w:szCs w:val="23"/>
          <w:lang w:val="es-MX" w:eastAsia="es-MX"/>
        </w:rPr>
        <w:t xml:space="preserve"> con</w:t>
      </w:r>
      <w:r w:rsidRPr="00BB4632">
        <w:rPr>
          <w:rFonts w:ascii="Arial" w:hAnsi="Arial"/>
          <w:sz w:val="23"/>
          <w:szCs w:val="23"/>
          <w:lang w:val="es-MX" w:eastAsia="es-MX"/>
        </w:rPr>
        <w:t xml:space="preserve"> 789</w:t>
      </w:r>
      <w:r w:rsidR="00BB4632" w:rsidRPr="00BB4632">
        <w:rPr>
          <w:rFonts w:ascii="Arial" w:hAnsi="Arial"/>
          <w:sz w:val="23"/>
          <w:szCs w:val="23"/>
          <w:lang w:val="es-MX" w:eastAsia="es-MX"/>
        </w:rPr>
        <w:t xml:space="preserve"> </w:t>
      </w:r>
      <w:r w:rsidRPr="00BB4632">
        <w:rPr>
          <w:rFonts w:ascii="Arial" w:hAnsi="Arial"/>
          <w:sz w:val="23"/>
          <w:szCs w:val="23"/>
          <w:lang w:val="es-MX" w:eastAsia="es-MX"/>
        </w:rPr>
        <w:t xml:space="preserve">863 millones, Chihuahua </w:t>
      </w:r>
      <w:r w:rsidR="00BB4632" w:rsidRPr="00BB4632">
        <w:rPr>
          <w:rFonts w:ascii="Arial" w:hAnsi="Arial"/>
          <w:sz w:val="23"/>
          <w:szCs w:val="23"/>
          <w:lang w:val="es-MX" w:eastAsia="es-MX"/>
        </w:rPr>
        <w:t xml:space="preserve">con </w:t>
      </w:r>
      <w:r w:rsidRPr="00BB4632">
        <w:rPr>
          <w:rFonts w:ascii="Arial" w:hAnsi="Arial"/>
          <w:sz w:val="23"/>
          <w:szCs w:val="23"/>
          <w:lang w:val="es-MX" w:eastAsia="es-MX"/>
        </w:rPr>
        <w:t>786</w:t>
      </w:r>
      <w:r w:rsidR="00BB4632" w:rsidRPr="00BB4632">
        <w:rPr>
          <w:rFonts w:ascii="Arial" w:hAnsi="Arial"/>
          <w:sz w:val="23"/>
          <w:szCs w:val="23"/>
          <w:lang w:val="es-MX" w:eastAsia="es-MX"/>
        </w:rPr>
        <w:t xml:space="preserve"> </w:t>
      </w:r>
      <w:r w:rsidRPr="00BB4632">
        <w:rPr>
          <w:rFonts w:ascii="Arial" w:hAnsi="Arial"/>
          <w:sz w:val="23"/>
          <w:szCs w:val="23"/>
          <w:lang w:val="es-MX" w:eastAsia="es-MX"/>
        </w:rPr>
        <w:t xml:space="preserve">176 millones, Sonora </w:t>
      </w:r>
      <w:r w:rsidR="00BB4632" w:rsidRPr="00BB4632">
        <w:rPr>
          <w:rFonts w:ascii="Arial" w:hAnsi="Arial"/>
          <w:sz w:val="23"/>
          <w:szCs w:val="23"/>
          <w:lang w:val="es-MX" w:eastAsia="es-MX"/>
        </w:rPr>
        <w:t xml:space="preserve">con </w:t>
      </w:r>
      <w:r w:rsidRPr="00BB4632">
        <w:rPr>
          <w:rFonts w:ascii="Arial" w:hAnsi="Arial"/>
          <w:sz w:val="23"/>
          <w:szCs w:val="23"/>
          <w:lang w:val="es-MX" w:eastAsia="es-MX"/>
        </w:rPr>
        <w:t>784</w:t>
      </w:r>
      <w:r w:rsidR="00BB4632" w:rsidRPr="00BB4632">
        <w:rPr>
          <w:rFonts w:ascii="Arial" w:hAnsi="Arial"/>
          <w:sz w:val="23"/>
          <w:szCs w:val="23"/>
          <w:lang w:val="es-MX" w:eastAsia="es-MX"/>
        </w:rPr>
        <w:t xml:space="preserve"> </w:t>
      </w:r>
      <w:r w:rsidRPr="00BB4632">
        <w:rPr>
          <w:rFonts w:ascii="Arial" w:hAnsi="Arial"/>
          <w:sz w:val="23"/>
          <w:szCs w:val="23"/>
          <w:lang w:val="es-MX" w:eastAsia="es-MX"/>
        </w:rPr>
        <w:t>273 millones y Puebla con 710</w:t>
      </w:r>
      <w:r w:rsidR="00BB4632" w:rsidRPr="00BB4632">
        <w:rPr>
          <w:rFonts w:ascii="Arial" w:hAnsi="Arial"/>
          <w:sz w:val="23"/>
          <w:szCs w:val="23"/>
          <w:lang w:val="es-MX" w:eastAsia="es-MX"/>
        </w:rPr>
        <w:t xml:space="preserve"> </w:t>
      </w:r>
      <w:r w:rsidRPr="00BB4632">
        <w:rPr>
          <w:rFonts w:ascii="Arial" w:hAnsi="Arial"/>
          <w:sz w:val="23"/>
          <w:szCs w:val="23"/>
          <w:lang w:val="es-MX" w:eastAsia="es-MX"/>
        </w:rPr>
        <w:t>095 millones. Este grupo de entidades generó 66.7% del producto total.</w:t>
      </w:r>
    </w:p>
    <w:p w14:paraId="15E5C224" w14:textId="77777777" w:rsidR="001F51A6" w:rsidRPr="00BB4632" w:rsidRDefault="001F51A6" w:rsidP="001F51A6">
      <w:pPr>
        <w:pStyle w:val="n01"/>
        <w:keepLines w:val="0"/>
        <w:spacing w:before="0"/>
        <w:ind w:left="0" w:firstLine="0"/>
        <w:jc w:val="center"/>
        <w:outlineLvl w:val="0"/>
        <w:rPr>
          <w:rFonts w:ascii="Arial" w:eastAsia="Calibri" w:hAnsi="Arial" w:cs="Arial"/>
          <w:color w:val="auto"/>
          <w:sz w:val="23"/>
          <w:szCs w:val="23"/>
          <w:lang w:val="es-MX" w:eastAsia="en-US"/>
        </w:rPr>
      </w:pPr>
      <w:r w:rsidRPr="00BB4632">
        <w:rPr>
          <w:rFonts w:ascii="Arial" w:eastAsia="Calibri" w:hAnsi="Arial" w:cs="Arial"/>
          <w:color w:val="auto"/>
          <w:sz w:val="23"/>
          <w:szCs w:val="23"/>
          <w:lang w:val="es-MX" w:eastAsia="en-US"/>
        </w:rPr>
        <w:t>Gráfica 1</w:t>
      </w:r>
    </w:p>
    <w:p w14:paraId="2A558E49" w14:textId="77777777" w:rsidR="001F51A6" w:rsidRPr="00BB4632" w:rsidRDefault="001F51A6" w:rsidP="001F51A6">
      <w:pPr>
        <w:pStyle w:val="n01"/>
        <w:keepLines w:val="0"/>
        <w:spacing w:before="0" w:line="20" w:lineRule="atLeast"/>
        <w:ind w:left="851" w:right="900" w:firstLine="0"/>
        <w:jc w:val="center"/>
        <w:outlineLvl w:val="0"/>
        <w:rPr>
          <w:rFonts w:ascii="Arial" w:hAnsi="Arial" w:cs="Arial"/>
          <w:b/>
          <w:color w:val="auto"/>
          <w:spacing w:val="-6"/>
          <w:sz w:val="23"/>
          <w:szCs w:val="23"/>
        </w:rPr>
      </w:pPr>
      <w:r w:rsidRPr="00BB4632">
        <w:rPr>
          <w:rFonts w:ascii="Arial" w:hAnsi="Arial" w:cs="Arial"/>
          <w:b/>
          <w:smallCaps/>
          <w:color w:val="auto"/>
          <w:spacing w:val="-6"/>
          <w:sz w:val="23"/>
          <w:szCs w:val="23"/>
        </w:rPr>
        <w:t>Producto Interno Bruto por Entidad Federativa en 2020</w:t>
      </w:r>
    </w:p>
    <w:p w14:paraId="2F404AA1" w14:textId="77777777" w:rsidR="001F51A6" w:rsidRPr="00C17D58" w:rsidRDefault="001F51A6" w:rsidP="001F51A6">
      <w:pPr>
        <w:pStyle w:val="n01"/>
        <w:keepLines w:val="0"/>
        <w:spacing w:before="0" w:line="20" w:lineRule="atLeast"/>
        <w:ind w:left="0" w:firstLine="0"/>
        <w:jc w:val="center"/>
        <w:outlineLvl w:val="0"/>
        <w:rPr>
          <w:noProof/>
          <w:color w:val="auto"/>
        </w:rPr>
      </w:pPr>
      <w:r w:rsidRPr="00C17D58">
        <w:rPr>
          <w:rFonts w:ascii="Arial" w:hAnsi="Arial" w:cs="Arial"/>
          <w:color w:val="auto"/>
          <w:spacing w:val="-6"/>
          <w:sz w:val="20"/>
          <w:szCs w:val="24"/>
        </w:rPr>
        <w:t>(Estructura porcentual)</w:t>
      </w:r>
      <w:r w:rsidRPr="00C17D58">
        <w:rPr>
          <w:rFonts w:ascii="Times New Roman" w:hAnsi="Times New Roman"/>
          <w:noProof/>
          <w:color w:val="auto"/>
          <w:sz w:val="20"/>
        </w:rPr>
        <w:t xml:space="preserve"> </w:t>
      </w:r>
    </w:p>
    <w:p w14:paraId="507BE099" w14:textId="4812BAAD" w:rsidR="001F51A6" w:rsidRPr="00C52817" w:rsidRDefault="00C52817" w:rsidP="00C52817">
      <w:pPr>
        <w:jc w:val="center"/>
        <w:rPr>
          <w:rFonts w:ascii="Arial" w:hAnsi="Arial" w:cs="Arial"/>
          <w:sz w:val="24"/>
          <w:szCs w:val="24"/>
        </w:rPr>
      </w:pPr>
      <w:r w:rsidRPr="00C52817">
        <w:rPr>
          <w:noProof/>
        </w:rPr>
        <w:drawing>
          <wp:inline distT="0" distB="0" distL="0" distR="0" wp14:anchorId="11906760" wp14:editId="2074255C">
            <wp:extent cx="4674055" cy="3648075"/>
            <wp:effectExtent l="19050" t="19050" r="12700" b="9525"/>
            <wp:docPr id="5" name="Imagen 5"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Gráfico, Gráfico de barras&#10;&#10;Descripción generada automáticamente"/>
                    <pic:cNvPicPr/>
                  </pic:nvPicPr>
                  <pic:blipFill>
                    <a:blip r:embed="rId9"/>
                    <a:stretch>
                      <a:fillRect/>
                    </a:stretch>
                  </pic:blipFill>
                  <pic:spPr>
                    <a:xfrm>
                      <a:off x="0" y="0"/>
                      <a:ext cx="4690498" cy="3660908"/>
                    </a:xfrm>
                    <a:prstGeom prst="rect">
                      <a:avLst/>
                    </a:prstGeom>
                    <a:ln>
                      <a:solidFill>
                        <a:schemeClr val="tx1"/>
                      </a:solidFill>
                    </a:ln>
                  </pic:spPr>
                </pic:pic>
              </a:graphicData>
            </a:graphic>
          </wp:inline>
        </w:drawing>
      </w:r>
    </w:p>
    <w:p w14:paraId="3B642CD1" w14:textId="77777777" w:rsidR="001F51A6" w:rsidRDefault="001F51A6" w:rsidP="00EF1ADC">
      <w:pPr>
        <w:spacing w:before="60"/>
        <w:ind w:left="851"/>
        <w:rPr>
          <w:rFonts w:ascii="Arial" w:hAnsi="Arial" w:cs="Arial"/>
          <w:sz w:val="16"/>
          <w:szCs w:val="16"/>
        </w:rPr>
      </w:pPr>
      <w:r>
        <w:rPr>
          <w:rFonts w:ascii="Arial" w:hAnsi="Arial" w:cs="Arial"/>
          <w:sz w:val="16"/>
          <w:szCs w:val="16"/>
        </w:rPr>
        <w:t>NOTA: La suma de los parciales puede no coincidir con el total debido al redondeo.</w:t>
      </w:r>
    </w:p>
    <w:p w14:paraId="0D182299" w14:textId="77777777" w:rsidR="001F51A6" w:rsidRPr="00CA5ACC" w:rsidRDefault="001F51A6" w:rsidP="00EF1ADC">
      <w:pPr>
        <w:ind w:left="851"/>
        <w:rPr>
          <w:rFonts w:ascii="Arial" w:hAnsi="Arial" w:cs="Arial"/>
          <w:smallCaps/>
          <w:sz w:val="16"/>
          <w:szCs w:val="16"/>
        </w:rPr>
      </w:pPr>
      <w:r w:rsidRPr="00706D76">
        <w:rPr>
          <w:rFonts w:ascii="Arial" w:hAnsi="Arial" w:cs="Arial"/>
          <w:sz w:val="16"/>
          <w:szCs w:val="16"/>
        </w:rPr>
        <w:t xml:space="preserve">Fuente: INEGI. </w:t>
      </w:r>
    </w:p>
    <w:p w14:paraId="19C76E86" w14:textId="768D8A00" w:rsidR="0036047B" w:rsidRDefault="0036047B" w:rsidP="00951D69">
      <w:pPr>
        <w:pStyle w:val="n01"/>
        <w:keepLines w:val="0"/>
        <w:spacing w:before="0"/>
        <w:ind w:left="-567" w:right="-516" w:firstLine="0"/>
        <w:outlineLvl w:val="0"/>
        <w:rPr>
          <w:rFonts w:ascii="Arial" w:eastAsia="Calibri" w:hAnsi="Arial" w:cs="Arial"/>
          <w:b/>
          <w:color w:val="auto"/>
          <w:sz w:val="23"/>
          <w:szCs w:val="23"/>
          <w:lang w:val="es-MX" w:eastAsia="en-US"/>
        </w:rPr>
      </w:pPr>
    </w:p>
    <w:p w14:paraId="09B18471" w14:textId="77777777" w:rsidR="001F51A6" w:rsidRPr="00951D69" w:rsidRDefault="001F51A6" w:rsidP="00951D69">
      <w:pPr>
        <w:pStyle w:val="n01"/>
        <w:keepLines w:val="0"/>
        <w:spacing w:before="0"/>
        <w:ind w:left="-567" w:right="-516" w:firstLine="0"/>
        <w:outlineLvl w:val="0"/>
        <w:rPr>
          <w:rFonts w:ascii="Arial" w:eastAsia="Calibri" w:hAnsi="Arial" w:cs="Arial"/>
          <w:b/>
          <w:color w:val="auto"/>
          <w:sz w:val="23"/>
          <w:szCs w:val="23"/>
          <w:lang w:val="es-MX" w:eastAsia="en-US"/>
        </w:rPr>
      </w:pPr>
      <w:r w:rsidRPr="00951D69">
        <w:rPr>
          <w:rFonts w:ascii="Arial" w:eastAsia="Calibri" w:hAnsi="Arial" w:cs="Arial"/>
          <w:b/>
          <w:color w:val="auto"/>
          <w:sz w:val="23"/>
          <w:szCs w:val="23"/>
          <w:lang w:val="es-MX" w:eastAsia="en-US"/>
        </w:rPr>
        <w:t xml:space="preserve">Estructura del PIB </w:t>
      </w:r>
      <w:r w:rsidR="00EF1ADC">
        <w:rPr>
          <w:rFonts w:ascii="Arial" w:eastAsia="Calibri" w:hAnsi="Arial" w:cs="Arial"/>
          <w:b/>
          <w:color w:val="auto"/>
          <w:sz w:val="23"/>
          <w:szCs w:val="23"/>
          <w:lang w:val="es-MX" w:eastAsia="en-US"/>
        </w:rPr>
        <w:t>e</w:t>
      </w:r>
      <w:r w:rsidRPr="00951D69">
        <w:rPr>
          <w:rFonts w:ascii="Arial" w:eastAsia="Calibri" w:hAnsi="Arial" w:cs="Arial"/>
          <w:b/>
          <w:color w:val="auto"/>
          <w:sz w:val="23"/>
          <w:szCs w:val="23"/>
          <w:lang w:val="es-MX" w:eastAsia="en-US"/>
        </w:rPr>
        <w:t>statal por grupos de actividades económicas</w:t>
      </w:r>
    </w:p>
    <w:p w14:paraId="7A329540" w14:textId="77777777" w:rsidR="00951D69" w:rsidRPr="00951D69" w:rsidRDefault="00951D69" w:rsidP="00951D69">
      <w:pPr>
        <w:pStyle w:val="n01"/>
        <w:keepLines w:val="0"/>
        <w:spacing w:before="0"/>
        <w:ind w:left="-567" w:right="-516" w:firstLine="0"/>
        <w:outlineLvl w:val="0"/>
        <w:rPr>
          <w:rFonts w:ascii="Arial" w:eastAsia="Calibri" w:hAnsi="Arial" w:cs="Arial"/>
          <w:b/>
          <w:color w:val="auto"/>
          <w:sz w:val="23"/>
          <w:szCs w:val="23"/>
          <w:lang w:val="es-MX" w:eastAsia="en-US"/>
        </w:rPr>
      </w:pPr>
    </w:p>
    <w:p w14:paraId="0194ACEB" w14:textId="77777777" w:rsidR="00EF1ADC" w:rsidRDefault="00EF1ADC" w:rsidP="00951D69">
      <w:pPr>
        <w:pStyle w:val="Textoindependiente"/>
        <w:spacing w:before="0"/>
        <w:ind w:left="-567" w:right="-516"/>
        <w:rPr>
          <w:i/>
          <w:sz w:val="23"/>
          <w:szCs w:val="23"/>
          <w:lang w:val="es-MX"/>
        </w:rPr>
      </w:pPr>
    </w:p>
    <w:p w14:paraId="3FBA5FCE" w14:textId="77777777" w:rsidR="001F51A6" w:rsidRPr="00951D69" w:rsidRDefault="001F51A6" w:rsidP="00951D69">
      <w:pPr>
        <w:pStyle w:val="Textoindependiente"/>
        <w:spacing w:before="0"/>
        <w:ind w:left="-567" w:right="-516"/>
        <w:rPr>
          <w:i/>
          <w:sz w:val="23"/>
          <w:szCs w:val="23"/>
          <w:lang w:val="es-MX"/>
        </w:rPr>
      </w:pPr>
      <w:r w:rsidRPr="00951D69">
        <w:rPr>
          <w:i/>
          <w:sz w:val="23"/>
          <w:szCs w:val="23"/>
          <w:lang w:val="es-MX"/>
        </w:rPr>
        <w:t>Actividades primarias</w:t>
      </w:r>
    </w:p>
    <w:p w14:paraId="6BFA30A9" w14:textId="77777777" w:rsidR="00951D69" w:rsidRPr="00951D69" w:rsidRDefault="00951D69" w:rsidP="00951D69">
      <w:pPr>
        <w:pStyle w:val="Textoindependiente"/>
        <w:spacing w:before="0"/>
        <w:ind w:left="-567" w:right="-516"/>
        <w:rPr>
          <w:i/>
          <w:sz w:val="23"/>
          <w:szCs w:val="23"/>
          <w:lang w:val="es-MX"/>
        </w:rPr>
      </w:pPr>
    </w:p>
    <w:p w14:paraId="7829ABFE" w14:textId="77777777" w:rsidR="001F51A6" w:rsidRDefault="001F51A6" w:rsidP="00951D69">
      <w:pPr>
        <w:tabs>
          <w:tab w:val="center" w:pos="3348"/>
        </w:tabs>
        <w:ind w:left="-567" w:right="-516"/>
        <w:jc w:val="both"/>
        <w:rPr>
          <w:rFonts w:ascii="Arial" w:hAnsi="Arial"/>
          <w:sz w:val="23"/>
          <w:szCs w:val="23"/>
          <w:lang w:val="es-MX" w:eastAsia="es-MX"/>
        </w:rPr>
      </w:pPr>
      <w:r w:rsidRPr="00951D69">
        <w:rPr>
          <w:rFonts w:ascii="Arial" w:hAnsi="Arial"/>
          <w:sz w:val="23"/>
          <w:szCs w:val="23"/>
          <w:lang w:val="es-MX" w:eastAsia="es-MX"/>
        </w:rPr>
        <w:t>Durante 2020, el PIB de las actividades primarias integradas por la agricultura, cría y explotación de animales, aprovechamiento forestal, pesca y caza alcanzaron 887</w:t>
      </w:r>
      <w:r w:rsidR="00951D69" w:rsidRPr="00951D69">
        <w:rPr>
          <w:rFonts w:ascii="Arial" w:hAnsi="Arial"/>
          <w:sz w:val="23"/>
          <w:szCs w:val="23"/>
          <w:lang w:val="es-MX" w:eastAsia="es-MX"/>
        </w:rPr>
        <w:t xml:space="preserve"> </w:t>
      </w:r>
      <w:r w:rsidRPr="00951D69">
        <w:rPr>
          <w:rFonts w:ascii="Arial" w:hAnsi="Arial"/>
          <w:sz w:val="23"/>
          <w:szCs w:val="23"/>
          <w:lang w:val="es-MX" w:eastAsia="es-MX"/>
        </w:rPr>
        <w:t>229 millones de pesos corrientes, cifra en la que Jalisco contribuyó con la mayor proporción con 13.2 por ciento. Le siguieron: Michoacán de</w:t>
      </w:r>
      <w:r w:rsidR="00951D69" w:rsidRPr="00951D69">
        <w:rPr>
          <w:rFonts w:ascii="Arial" w:hAnsi="Arial"/>
          <w:sz w:val="23"/>
          <w:szCs w:val="23"/>
          <w:lang w:val="es-MX" w:eastAsia="es-MX"/>
        </w:rPr>
        <w:t xml:space="preserve"> </w:t>
      </w:r>
      <w:r w:rsidRPr="00951D69">
        <w:rPr>
          <w:rFonts w:ascii="Arial" w:hAnsi="Arial"/>
          <w:sz w:val="23"/>
          <w:szCs w:val="23"/>
          <w:lang w:val="es-MX" w:eastAsia="es-MX"/>
        </w:rPr>
        <w:t xml:space="preserve">Ocampo </w:t>
      </w:r>
      <w:r w:rsidR="00951D69" w:rsidRPr="00951D69">
        <w:rPr>
          <w:rFonts w:ascii="Arial" w:hAnsi="Arial"/>
          <w:sz w:val="23"/>
          <w:szCs w:val="23"/>
          <w:lang w:val="es-MX" w:eastAsia="es-MX"/>
        </w:rPr>
        <w:t xml:space="preserve">con </w:t>
      </w:r>
      <w:r w:rsidRPr="00951D69">
        <w:rPr>
          <w:rFonts w:ascii="Arial" w:hAnsi="Arial"/>
          <w:sz w:val="23"/>
          <w:szCs w:val="23"/>
          <w:lang w:val="es-MX" w:eastAsia="es-MX"/>
        </w:rPr>
        <w:t xml:space="preserve">9.9%, Sinaloa </w:t>
      </w:r>
      <w:r w:rsidR="00951D69" w:rsidRPr="00951D69">
        <w:rPr>
          <w:rFonts w:ascii="Arial" w:hAnsi="Arial"/>
          <w:sz w:val="23"/>
          <w:szCs w:val="23"/>
          <w:lang w:val="es-MX" w:eastAsia="es-MX"/>
        </w:rPr>
        <w:t xml:space="preserve">con </w:t>
      </w:r>
      <w:r w:rsidRPr="00951D69">
        <w:rPr>
          <w:rFonts w:ascii="Arial" w:hAnsi="Arial"/>
          <w:sz w:val="23"/>
          <w:szCs w:val="23"/>
          <w:lang w:val="es-MX" w:eastAsia="es-MX"/>
        </w:rPr>
        <w:t xml:space="preserve">7.5%, Veracruz de Ignacio de la Llave </w:t>
      </w:r>
      <w:r w:rsidR="00951D69" w:rsidRPr="00951D69">
        <w:rPr>
          <w:rFonts w:ascii="Arial" w:hAnsi="Arial"/>
          <w:sz w:val="23"/>
          <w:szCs w:val="23"/>
          <w:lang w:val="es-MX" w:eastAsia="es-MX"/>
        </w:rPr>
        <w:t xml:space="preserve">con </w:t>
      </w:r>
      <w:r w:rsidRPr="00951D69">
        <w:rPr>
          <w:rFonts w:ascii="Arial" w:hAnsi="Arial"/>
          <w:sz w:val="23"/>
          <w:szCs w:val="23"/>
          <w:lang w:val="es-MX" w:eastAsia="es-MX"/>
        </w:rPr>
        <w:t>7.4%, Sonora</w:t>
      </w:r>
      <w:r w:rsidR="00951D69" w:rsidRPr="00951D69">
        <w:rPr>
          <w:rFonts w:ascii="Arial" w:hAnsi="Arial"/>
          <w:sz w:val="23"/>
          <w:szCs w:val="23"/>
          <w:lang w:val="es-MX" w:eastAsia="es-MX"/>
        </w:rPr>
        <w:t xml:space="preserve"> con</w:t>
      </w:r>
      <w:r w:rsidRPr="00951D69">
        <w:rPr>
          <w:rFonts w:ascii="Arial" w:hAnsi="Arial"/>
          <w:sz w:val="23"/>
          <w:szCs w:val="23"/>
          <w:lang w:val="es-MX" w:eastAsia="es-MX"/>
        </w:rPr>
        <w:t xml:space="preserve"> 6.5%, Chihuahua </w:t>
      </w:r>
      <w:r w:rsidR="00951D69" w:rsidRPr="00951D69">
        <w:rPr>
          <w:rFonts w:ascii="Arial" w:hAnsi="Arial"/>
          <w:sz w:val="23"/>
          <w:szCs w:val="23"/>
          <w:lang w:val="es-MX" w:eastAsia="es-MX"/>
        </w:rPr>
        <w:t xml:space="preserve">con </w:t>
      </w:r>
      <w:r w:rsidRPr="00951D69">
        <w:rPr>
          <w:rFonts w:ascii="Arial" w:hAnsi="Arial"/>
          <w:sz w:val="23"/>
          <w:szCs w:val="23"/>
          <w:lang w:val="es-MX" w:eastAsia="es-MX"/>
        </w:rPr>
        <w:t xml:space="preserve">6.0%, Guanajuato </w:t>
      </w:r>
      <w:r w:rsidR="00951D69" w:rsidRPr="00951D69">
        <w:rPr>
          <w:rFonts w:ascii="Arial" w:hAnsi="Arial"/>
          <w:sz w:val="23"/>
          <w:szCs w:val="23"/>
          <w:lang w:val="es-MX" w:eastAsia="es-MX"/>
        </w:rPr>
        <w:t xml:space="preserve">con </w:t>
      </w:r>
      <w:r w:rsidRPr="00951D69">
        <w:rPr>
          <w:rFonts w:ascii="Arial" w:hAnsi="Arial"/>
          <w:sz w:val="23"/>
          <w:szCs w:val="23"/>
          <w:lang w:val="es-MX" w:eastAsia="es-MX"/>
        </w:rPr>
        <w:t xml:space="preserve">5.0%, Puebla </w:t>
      </w:r>
      <w:r w:rsidR="00951D69" w:rsidRPr="00951D69">
        <w:rPr>
          <w:rFonts w:ascii="Arial" w:hAnsi="Arial"/>
          <w:sz w:val="23"/>
          <w:szCs w:val="23"/>
          <w:lang w:val="es-MX" w:eastAsia="es-MX"/>
        </w:rPr>
        <w:t xml:space="preserve">con </w:t>
      </w:r>
      <w:r w:rsidRPr="00951D69">
        <w:rPr>
          <w:rFonts w:ascii="Arial" w:hAnsi="Arial"/>
          <w:sz w:val="23"/>
          <w:szCs w:val="23"/>
          <w:lang w:val="es-MX" w:eastAsia="es-MX"/>
        </w:rPr>
        <w:t xml:space="preserve">3.5%, México </w:t>
      </w:r>
      <w:r w:rsidR="00951D69" w:rsidRPr="00951D69">
        <w:rPr>
          <w:rFonts w:ascii="Arial" w:hAnsi="Arial"/>
          <w:sz w:val="23"/>
          <w:szCs w:val="23"/>
          <w:lang w:val="es-MX" w:eastAsia="es-MX"/>
        </w:rPr>
        <w:t xml:space="preserve">con </w:t>
      </w:r>
      <w:r w:rsidRPr="00951D69">
        <w:rPr>
          <w:rFonts w:ascii="Arial" w:hAnsi="Arial"/>
          <w:sz w:val="23"/>
          <w:szCs w:val="23"/>
          <w:lang w:val="es-MX" w:eastAsia="es-MX"/>
        </w:rPr>
        <w:t xml:space="preserve">3.1%, Chiapas </w:t>
      </w:r>
      <w:r w:rsidR="00951D69" w:rsidRPr="00951D69">
        <w:rPr>
          <w:rFonts w:ascii="Arial" w:hAnsi="Arial"/>
          <w:sz w:val="23"/>
          <w:szCs w:val="23"/>
          <w:lang w:val="es-MX" w:eastAsia="es-MX"/>
        </w:rPr>
        <w:t xml:space="preserve">con </w:t>
      </w:r>
      <w:r w:rsidRPr="00951D69">
        <w:rPr>
          <w:rFonts w:ascii="Arial" w:hAnsi="Arial"/>
          <w:sz w:val="23"/>
          <w:szCs w:val="23"/>
          <w:lang w:val="es-MX" w:eastAsia="es-MX"/>
        </w:rPr>
        <w:t>3% y Durango con 2.9 por ciento. El resto de los estados participó con 32 por ciento.</w:t>
      </w:r>
    </w:p>
    <w:p w14:paraId="71B81EFD" w14:textId="77777777" w:rsidR="00EF1ADC" w:rsidRPr="00951D69" w:rsidRDefault="00EF1ADC" w:rsidP="00951D69">
      <w:pPr>
        <w:tabs>
          <w:tab w:val="center" w:pos="3348"/>
        </w:tabs>
        <w:ind w:left="-567" w:right="-516"/>
        <w:jc w:val="both"/>
        <w:rPr>
          <w:rFonts w:ascii="Arial" w:hAnsi="Arial"/>
          <w:sz w:val="23"/>
          <w:szCs w:val="23"/>
          <w:lang w:val="es-MX" w:eastAsia="es-MX"/>
        </w:rPr>
      </w:pPr>
    </w:p>
    <w:p w14:paraId="3F89C985" w14:textId="77777777" w:rsidR="001F51A6" w:rsidRPr="00951D69" w:rsidRDefault="001F51A6" w:rsidP="00951D69">
      <w:pPr>
        <w:pStyle w:val="n01"/>
        <w:keepLines w:val="0"/>
        <w:spacing w:before="0"/>
        <w:ind w:left="0" w:firstLine="0"/>
        <w:jc w:val="center"/>
        <w:outlineLvl w:val="0"/>
        <w:rPr>
          <w:rFonts w:ascii="Arial" w:eastAsia="Calibri" w:hAnsi="Arial" w:cs="Arial"/>
          <w:color w:val="auto"/>
          <w:sz w:val="23"/>
          <w:szCs w:val="23"/>
          <w:lang w:val="es-MX" w:eastAsia="en-US"/>
        </w:rPr>
      </w:pPr>
      <w:r w:rsidRPr="00951D69">
        <w:rPr>
          <w:rFonts w:ascii="Arial" w:eastAsia="Calibri" w:hAnsi="Arial" w:cs="Arial"/>
          <w:color w:val="auto"/>
          <w:sz w:val="23"/>
          <w:szCs w:val="23"/>
          <w:lang w:val="es-MX" w:eastAsia="en-US"/>
        </w:rPr>
        <w:t>Gráfica 2</w:t>
      </w:r>
    </w:p>
    <w:p w14:paraId="2404C5AA" w14:textId="77777777" w:rsidR="001F51A6" w:rsidRPr="00951D69" w:rsidRDefault="001F51A6" w:rsidP="00951D69">
      <w:pPr>
        <w:pStyle w:val="n01"/>
        <w:keepLines w:val="0"/>
        <w:spacing w:before="0"/>
        <w:ind w:left="851" w:right="900" w:firstLine="0"/>
        <w:jc w:val="center"/>
        <w:outlineLvl w:val="0"/>
        <w:rPr>
          <w:rFonts w:ascii="Arial" w:hAnsi="Arial" w:cs="Arial"/>
          <w:b/>
          <w:color w:val="auto"/>
          <w:spacing w:val="-6"/>
          <w:sz w:val="23"/>
          <w:szCs w:val="23"/>
        </w:rPr>
      </w:pPr>
      <w:r w:rsidRPr="00951D69">
        <w:rPr>
          <w:rFonts w:ascii="Arial" w:hAnsi="Arial" w:cs="Arial"/>
          <w:b/>
          <w:smallCaps/>
          <w:color w:val="auto"/>
          <w:spacing w:val="-6"/>
          <w:sz w:val="23"/>
          <w:szCs w:val="23"/>
        </w:rPr>
        <w:t>Producto Interno Bruto de las actividades primarias en 2020</w:t>
      </w:r>
    </w:p>
    <w:p w14:paraId="661FD622" w14:textId="77777777" w:rsidR="001F51A6" w:rsidRPr="00951D69" w:rsidRDefault="001F51A6" w:rsidP="00951D69">
      <w:pPr>
        <w:pStyle w:val="n01"/>
        <w:keepLines w:val="0"/>
        <w:spacing w:before="0"/>
        <w:ind w:left="0" w:firstLine="0"/>
        <w:jc w:val="center"/>
        <w:outlineLvl w:val="0"/>
        <w:rPr>
          <w:rFonts w:ascii="Arial" w:hAnsi="Arial" w:cs="Arial"/>
          <w:b/>
          <w:smallCaps/>
          <w:color w:val="auto"/>
          <w:sz w:val="23"/>
          <w:szCs w:val="23"/>
        </w:rPr>
      </w:pPr>
      <w:r w:rsidRPr="00951D69">
        <w:rPr>
          <w:rFonts w:ascii="Arial" w:hAnsi="Arial" w:cs="Arial"/>
          <w:color w:val="auto"/>
          <w:spacing w:val="-6"/>
          <w:sz w:val="23"/>
          <w:szCs w:val="23"/>
        </w:rPr>
        <w:t>(Estructura porcentual)</w:t>
      </w:r>
    </w:p>
    <w:p w14:paraId="1483E1B0" w14:textId="54AF705F" w:rsidR="00142E08" w:rsidRDefault="00142E08" w:rsidP="00142E08">
      <w:pPr>
        <w:ind w:left="-567"/>
        <w:rPr>
          <w:rFonts w:ascii="Arial" w:hAnsi="Arial" w:cs="Arial"/>
          <w:sz w:val="16"/>
          <w:szCs w:val="16"/>
        </w:rPr>
      </w:pPr>
      <w:r w:rsidRPr="00142E08">
        <w:rPr>
          <w:noProof/>
        </w:rPr>
        <w:drawing>
          <wp:inline distT="0" distB="0" distL="0" distR="0" wp14:anchorId="3F823B11" wp14:editId="3409D39D">
            <wp:extent cx="6192000" cy="4282132"/>
            <wp:effectExtent l="19050" t="19050" r="18415" b="23495"/>
            <wp:docPr id="6" name="Imagen 6"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descr="Mapa&#10;&#10;Descripción generada automáticamente"/>
                    <pic:cNvPicPr/>
                  </pic:nvPicPr>
                  <pic:blipFill>
                    <a:blip r:embed="rId10"/>
                    <a:stretch>
                      <a:fillRect/>
                    </a:stretch>
                  </pic:blipFill>
                  <pic:spPr>
                    <a:xfrm>
                      <a:off x="0" y="0"/>
                      <a:ext cx="6192000" cy="4282132"/>
                    </a:xfrm>
                    <a:prstGeom prst="rect">
                      <a:avLst/>
                    </a:prstGeom>
                    <a:ln>
                      <a:solidFill>
                        <a:schemeClr val="tx1"/>
                      </a:solidFill>
                    </a:ln>
                  </pic:spPr>
                </pic:pic>
              </a:graphicData>
            </a:graphic>
          </wp:inline>
        </w:drawing>
      </w:r>
      <w:r>
        <w:rPr>
          <w:rFonts w:ascii="Arial" w:hAnsi="Arial" w:cs="Arial"/>
          <w:sz w:val="16"/>
          <w:szCs w:val="16"/>
        </w:rPr>
        <w:t xml:space="preserve"> </w:t>
      </w:r>
    </w:p>
    <w:p w14:paraId="78B5291A" w14:textId="5E691E80" w:rsidR="001F51A6" w:rsidRDefault="00142E08" w:rsidP="00142E08">
      <w:pPr>
        <w:ind w:left="-567"/>
        <w:rPr>
          <w:rFonts w:ascii="Arial" w:hAnsi="Arial" w:cs="Arial"/>
          <w:sz w:val="16"/>
          <w:szCs w:val="16"/>
        </w:rPr>
      </w:pPr>
      <w:r>
        <w:rPr>
          <w:rFonts w:ascii="Arial" w:hAnsi="Arial" w:cs="Arial"/>
          <w:sz w:val="16"/>
          <w:szCs w:val="16"/>
        </w:rPr>
        <w:t xml:space="preserve">    </w:t>
      </w:r>
      <w:r w:rsidR="001F51A6">
        <w:rPr>
          <w:rFonts w:ascii="Arial" w:hAnsi="Arial" w:cs="Arial"/>
          <w:sz w:val="16"/>
          <w:szCs w:val="16"/>
        </w:rPr>
        <w:t>Fuente</w:t>
      </w:r>
      <w:r w:rsidR="001F51A6" w:rsidRPr="00706D76">
        <w:rPr>
          <w:rFonts w:ascii="Arial" w:hAnsi="Arial" w:cs="Arial"/>
          <w:sz w:val="16"/>
          <w:szCs w:val="16"/>
        </w:rPr>
        <w:t>: INEGI.</w:t>
      </w:r>
    </w:p>
    <w:p w14:paraId="58F6C374" w14:textId="77777777" w:rsidR="00951D69" w:rsidRDefault="00951D69" w:rsidP="00951D69">
      <w:pPr>
        <w:pStyle w:val="Textoindependiente"/>
        <w:spacing w:before="0"/>
        <w:ind w:left="-567" w:right="-516"/>
        <w:rPr>
          <w:i/>
          <w:sz w:val="23"/>
          <w:szCs w:val="23"/>
          <w:lang w:val="es-MX"/>
        </w:rPr>
      </w:pPr>
    </w:p>
    <w:p w14:paraId="0DB52078" w14:textId="77777777" w:rsidR="00951D69" w:rsidRDefault="00951D69" w:rsidP="00951D69">
      <w:pPr>
        <w:pStyle w:val="Textoindependiente"/>
        <w:spacing w:before="0"/>
        <w:ind w:left="-567" w:right="-516"/>
        <w:rPr>
          <w:i/>
          <w:sz w:val="23"/>
          <w:szCs w:val="23"/>
          <w:lang w:val="es-MX"/>
        </w:rPr>
      </w:pPr>
    </w:p>
    <w:p w14:paraId="78AB6193" w14:textId="77777777" w:rsidR="00951D69" w:rsidRDefault="00951D69" w:rsidP="00951D69">
      <w:pPr>
        <w:pStyle w:val="Textoindependiente"/>
        <w:spacing w:before="0"/>
        <w:ind w:left="-567" w:right="-516"/>
        <w:rPr>
          <w:i/>
          <w:sz w:val="23"/>
          <w:szCs w:val="23"/>
          <w:lang w:val="es-MX"/>
        </w:rPr>
      </w:pPr>
    </w:p>
    <w:p w14:paraId="61CB3744" w14:textId="77777777" w:rsidR="00EF1ADC" w:rsidRDefault="00EF1ADC" w:rsidP="00951D69">
      <w:pPr>
        <w:pStyle w:val="Textoindependiente"/>
        <w:spacing w:before="0"/>
        <w:ind w:left="-567" w:right="-516"/>
        <w:rPr>
          <w:i/>
          <w:sz w:val="23"/>
          <w:szCs w:val="23"/>
          <w:lang w:val="es-MX"/>
        </w:rPr>
      </w:pPr>
    </w:p>
    <w:p w14:paraId="39C618E8" w14:textId="77777777" w:rsidR="00EF1ADC" w:rsidRDefault="00EF1ADC" w:rsidP="00951D69">
      <w:pPr>
        <w:pStyle w:val="Textoindependiente"/>
        <w:spacing w:before="0"/>
        <w:ind w:left="-567" w:right="-516"/>
        <w:rPr>
          <w:i/>
          <w:sz w:val="23"/>
          <w:szCs w:val="23"/>
          <w:lang w:val="es-MX"/>
        </w:rPr>
      </w:pPr>
    </w:p>
    <w:p w14:paraId="7FB6506C" w14:textId="77777777" w:rsidR="00EF1ADC" w:rsidRDefault="00EF1ADC" w:rsidP="00951D69">
      <w:pPr>
        <w:pStyle w:val="Textoindependiente"/>
        <w:spacing w:before="0"/>
        <w:ind w:left="-567" w:right="-516"/>
        <w:rPr>
          <w:i/>
          <w:sz w:val="23"/>
          <w:szCs w:val="23"/>
          <w:lang w:val="es-MX"/>
        </w:rPr>
      </w:pPr>
    </w:p>
    <w:p w14:paraId="4EC8D268" w14:textId="093CC4CA" w:rsidR="00D41996" w:rsidRDefault="00D41996" w:rsidP="00951D69">
      <w:pPr>
        <w:pStyle w:val="Textoindependiente"/>
        <w:spacing w:before="0"/>
        <w:ind w:left="-567" w:right="-516"/>
        <w:rPr>
          <w:i/>
          <w:sz w:val="23"/>
          <w:szCs w:val="23"/>
          <w:lang w:val="es-MX"/>
        </w:rPr>
      </w:pPr>
    </w:p>
    <w:p w14:paraId="7B562729" w14:textId="77777777" w:rsidR="00D41996" w:rsidRDefault="00D41996" w:rsidP="00951D69">
      <w:pPr>
        <w:pStyle w:val="Textoindependiente"/>
        <w:spacing w:before="0"/>
        <w:ind w:left="-567" w:right="-516"/>
        <w:rPr>
          <w:i/>
          <w:sz w:val="23"/>
          <w:szCs w:val="23"/>
          <w:lang w:val="es-MX"/>
        </w:rPr>
      </w:pPr>
    </w:p>
    <w:p w14:paraId="58CC9EAC" w14:textId="77777777" w:rsidR="001F51A6" w:rsidRDefault="001F51A6" w:rsidP="00951D69">
      <w:pPr>
        <w:pStyle w:val="Textoindependiente"/>
        <w:spacing w:before="0"/>
        <w:ind w:left="-567" w:right="-516"/>
        <w:rPr>
          <w:i/>
          <w:sz w:val="23"/>
          <w:szCs w:val="23"/>
          <w:lang w:val="es-MX"/>
        </w:rPr>
      </w:pPr>
      <w:r w:rsidRPr="00951D69">
        <w:rPr>
          <w:i/>
          <w:sz w:val="23"/>
          <w:szCs w:val="23"/>
          <w:lang w:val="es-MX"/>
        </w:rPr>
        <w:t>Actividades Secundarias</w:t>
      </w:r>
    </w:p>
    <w:p w14:paraId="3CF0128A" w14:textId="77777777" w:rsidR="00951D69" w:rsidRPr="00951D69" w:rsidRDefault="00951D69" w:rsidP="00951D69">
      <w:pPr>
        <w:pStyle w:val="Textoindependiente"/>
        <w:spacing w:before="0"/>
        <w:ind w:left="-567" w:right="-516"/>
        <w:rPr>
          <w:i/>
          <w:sz w:val="23"/>
          <w:szCs w:val="23"/>
          <w:lang w:val="es-MX"/>
        </w:rPr>
      </w:pPr>
    </w:p>
    <w:p w14:paraId="6103FABE" w14:textId="77777777" w:rsidR="00951D69" w:rsidRDefault="001F51A6" w:rsidP="00951D69">
      <w:pPr>
        <w:pStyle w:val="Textoindependiente"/>
        <w:spacing w:before="0"/>
        <w:ind w:left="-567" w:right="-518"/>
        <w:rPr>
          <w:sz w:val="23"/>
          <w:szCs w:val="23"/>
        </w:rPr>
      </w:pPr>
      <w:r w:rsidRPr="00951D69">
        <w:rPr>
          <w:sz w:val="23"/>
          <w:szCs w:val="23"/>
        </w:rPr>
        <w:t>Las actividades secundarias conformadas por la minería, las industrias manufactureras, la construcción y la generación, transmisión y distribución de energía eléctrica y suministro de gas por ductos al consumidor final, registraron en 2020 un monto de 6</w:t>
      </w:r>
      <w:r w:rsidR="00951D69">
        <w:rPr>
          <w:sz w:val="23"/>
          <w:szCs w:val="23"/>
        </w:rPr>
        <w:t xml:space="preserve"> </w:t>
      </w:r>
      <w:r w:rsidRPr="00951D69">
        <w:rPr>
          <w:sz w:val="23"/>
          <w:szCs w:val="23"/>
        </w:rPr>
        <w:t>918</w:t>
      </w:r>
      <w:r w:rsidR="00951D69">
        <w:rPr>
          <w:sz w:val="23"/>
          <w:szCs w:val="23"/>
        </w:rPr>
        <w:t xml:space="preserve"> </w:t>
      </w:r>
      <w:r w:rsidRPr="00951D69">
        <w:rPr>
          <w:sz w:val="23"/>
          <w:szCs w:val="23"/>
        </w:rPr>
        <w:t xml:space="preserve">601 millones de pesos corrientes. </w:t>
      </w:r>
    </w:p>
    <w:p w14:paraId="70B73738" w14:textId="77777777" w:rsidR="00951D69" w:rsidRDefault="00951D69" w:rsidP="00951D69">
      <w:pPr>
        <w:pStyle w:val="Textoindependiente"/>
        <w:spacing w:before="0"/>
        <w:ind w:left="-567" w:right="-518"/>
        <w:rPr>
          <w:sz w:val="23"/>
          <w:szCs w:val="23"/>
        </w:rPr>
      </w:pPr>
    </w:p>
    <w:p w14:paraId="3FCE4446" w14:textId="77777777" w:rsidR="001F51A6" w:rsidRDefault="001F51A6" w:rsidP="00951D69">
      <w:pPr>
        <w:pStyle w:val="Textoindependiente"/>
        <w:spacing w:before="0"/>
        <w:ind w:left="-567" w:right="-516"/>
        <w:rPr>
          <w:sz w:val="23"/>
          <w:szCs w:val="23"/>
        </w:rPr>
      </w:pPr>
      <w:r w:rsidRPr="00951D69">
        <w:rPr>
          <w:sz w:val="23"/>
          <w:szCs w:val="23"/>
        </w:rPr>
        <w:t xml:space="preserve">Las entidades que en mayor medida aportaron a esta cifra fueron: Nuevo León </w:t>
      </w:r>
      <w:r w:rsidR="00951D69">
        <w:rPr>
          <w:sz w:val="23"/>
          <w:szCs w:val="23"/>
        </w:rPr>
        <w:t>(</w:t>
      </w:r>
      <w:r w:rsidRPr="00951D69">
        <w:rPr>
          <w:sz w:val="23"/>
          <w:szCs w:val="23"/>
        </w:rPr>
        <w:t>9.9%</w:t>
      </w:r>
      <w:r w:rsidR="00951D69">
        <w:rPr>
          <w:sz w:val="23"/>
          <w:szCs w:val="23"/>
        </w:rPr>
        <w:t>)</w:t>
      </w:r>
      <w:r w:rsidRPr="00951D69">
        <w:rPr>
          <w:sz w:val="23"/>
          <w:szCs w:val="23"/>
        </w:rPr>
        <w:t xml:space="preserve">, Jalisco </w:t>
      </w:r>
      <w:r w:rsidR="00951D69">
        <w:rPr>
          <w:sz w:val="23"/>
          <w:szCs w:val="23"/>
        </w:rPr>
        <w:t>(</w:t>
      </w:r>
      <w:r w:rsidRPr="00951D69">
        <w:rPr>
          <w:sz w:val="23"/>
          <w:szCs w:val="23"/>
        </w:rPr>
        <w:t>7.1%</w:t>
      </w:r>
      <w:r w:rsidR="00951D69">
        <w:rPr>
          <w:sz w:val="23"/>
          <w:szCs w:val="23"/>
        </w:rPr>
        <w:t>)</w:t>
      </w:r>
      <w:r w:rsidRPr="00951D69">
        <w:rPr>
          <w:sz w:val="23"/>
          <w:szCs w:val="23"/>
        </w:rPr>
        <w:t xml:space="preserve">, México </w:t>
      </w:r>
      <w:r w:rsidR="00951D69">
        <w:rPr>
          <w:sz w:val="23"/>
          <w:szCs w:val="23"/>
        </w:rPr>
        <w:t>(</w:t>
      </w:r>
      <w:r w:rsidRPr="00951D69">
        <w:rPr>
          <w:sz w:val="23"/>
          <w:szCs w:val="23"/>
        </w:rPr>
        <w:t>7%</w:t>
      </w:r>
      <w:r w:rsidR="00951D69">
        <w:rPr>
          <w:sz w:val="23"/>
          <w:szCs w:val="23"/>
        </w:rPr>
        <w:t>)</w:t>
      </w:r>
      <w:r w:rsidRPr="00951D69">
        <w:rPr>
          <w:sz w:val="23"/>
          <w:szCs w:val="23"/>
        </w:rPr>
        <w:t xml:space="preserve">, Coahuila de Zaragoza </w:t>
      </w:r>
      <w:r w:rsidR="00951D69">
        <w:rPr>
          <w:sz w:val="23"/>
          <w:szCs w:val="23"/>
        </w:rPr>
        <w:t>(</w:t>
      </w:r>
      <w:r w:rsidRPr="00951D69">
        <w:rPr>
          <w:sz w:val="23"/>
          <w:szCs w:val="23"/>
        </w:rPr>
        <w:t>5.9%</w:t>
      </w:r>
      <w:r w:rsidR="00951D69">
        <w:rPr>
          <w:sz w:val="23"/>
          <w:szCs w:val="23"/>
        </w:rPr>
        <w:t>)</w:t>
      </w:r>
      <w:r w:rsidRPr="00951D69">
        <w:rPr>
          <w:sz w:val="23"/>
          <w:szCs w:val="23"/>
        </w:rPr>
        <w:t>, Sonora 5.4%,</w:t>
      </w:r>
      <w:r w:rsidR="00951D69">
        <w:rPr>
          <w:sz w:val="23"/>
          <w:szCs w:val="23"/>
        </w:rPr>
        <w:t xml:space="preserve"> </w:t>
      </w:r>
      <w:r w:rsidRPr="00951D69">
        <w:rPr>
          <w:sz w:val="23"/>
          <w:szCs w:val="23"/>
        </w:rPr>
        <w:t xml:space="preserve">Guanajuato </w:t>
      </w:r>
      <w:r w:rsidR="00951D69">
        <w:rPr>
          <w:sz w:val="23"/>
          <w:szCs w:val="23"/>
        </w:rPr>
        <w:t>(</w:t>
      </w:r>
      <w:r w:rsidRPr="00951D69">
        <w:rPr>
          <w:sz w:val="23"/>
          <w:szCs w:val="23"/>
        </w:rPr>
        <w:t>5.3%</w:t>
      </w:r>
      <w:r w:rsidR="00951D69">
        <w:rPr>
          <w:sz w:val="23"/>
          <w:szCs w:val="23"/>
        </w:rPr>
        <w:t>)</w:t>
      </w:r>
      <w:r w:rsidRPr="00951D69">
        <w:rPr>
          <w:sz w:val="23"/>
          <w:szCs w:val="23"/>
        </w:rPr>
        <w:t>, Baja California y Campeche</w:t>
      </w:r>
      <w:r w:rsidRPr="00951D69">
        <w:rPr>
          <w:rStyle w:val="Refdenotaalpie"/>
          <w:sz w:val="23"/>
          <w:szCs w:val="23"/>
        </w:rPr>
        <w:footnoteReference w:id="2"/>
      </w:r>
      <w:r w:rsidRPr="00951D69">
        <w:rPr>
          <w:sz w:val="23"/>
          <w:szCs w:val="23"/>
        </w:rPr>
        <w:t xml:space="preserve"> </w:t>
      </w:r>
      <w:r w:rsidR="00951D69">
        <w:rPr>
          <w:sz w:val="23"/>
          <w:szCs w:val="23"/>
        </w:rPr>
        <w:t>(</w:t>
      </w:r>
      <w:r w:rsidRPr="00951D69">
        <w:rPr>
          <w:sz w:val="23"/>
          <w:szCs w:val="23"/>
        </w:rPr>
        <w:t>5.1% en cada estado</w:t>
      </w:r>
      <w:r w:rsidR="00951D69">
        <w:rPr>
          <w:sz w:val="23"/>
          <w:szCs w:val="23"/>
        </w:rPr>
        <w:t>)</w:t>
      </w:r>
      <w:r w:rsidRPr="00951D69">
        <w:rPr>
          <w:sz w:val="23"/>
          <w:szCs w:val="23"/>
        </w:rPr>
        <w:t xml:space="preserve">, Chihuahua 5%, Ciudad de México </w:t>
      </w:r>
      <w:r w:rsidR="00951D69">
        <w:rPr>
          <w:sz w:val="23"/>
          <w:szCs w:val="23"/>
        </w:rPr>
        <w:t>(</w:t>
      </w:r>
      <w:r w:rsidRPr="00951D69">
        <w:rPr>
          <w:sz w:val="23"/>
          <w:szCs w:val="23"/>
        </w:rPr>
        <w:t>4.8%</w:t>
      </w:r>
      <w:r w:rsidR="00951D69">
        <w:rPr>
          <w:sz w:val="23"/>
          <w:szCs w:val="23"/>
        </w:rPr>
        <w:t>)</w:t>
      </w:r>
      <w:r w:rsidRPr="00951D69">
        <w:rPr>
          <w:sz w:val="23"/>
          <w:szCs w:val="23"/>
        </w:rPr>
        <w:t xml:space="preserve"> y Veracruz de Ignacio de la Llave </w:t>
      </w:r>
      <w:r w:rsidR="00951D69">
        <w:rPr>
          <w:sz w:val="23"/>
          <w:szCs w:val="23"/>
        </w:rPr>
        <w:t>(</w:t>
      </w:r>
      <w:r w:rsidRPr="00951D69">
        <w:rPr>
          <w:sz w:val="23"/>
          <w:szCs w:val="23"/>
        </w:rPr>
        <w:t>4.3</w:t>
      </w:r>
      <w:r w:rsidR="00951D69">
        <w:rPr>
          <w:sz w:val="23"/>
          <w:szCs w:val="23"/>
        </w:rPr>
        <w:t>%)</w:t>
      </w:r>
      <w:r w:rsidRPr="00951D69">
        <w:rPr>
          <w:sz w:val="23"/>
          <w:szCs w:val="23"/>
        </w:rPr>
        <w:t>. El resto de los estados participaron de manera agregada con 35.1 por ciento.</w:t>
      </w:r>
    </w:p>
    <w:p w14:paraId="671DFEAE" w14:textId="77777777" w:rsidR="00951D69" w:rsidRPr="00951D69" w:rsidRDefault="00951D69" w:rsidP="00951D69">
      <w:pPr>
        <w:pStyle w:val="Textoindependiente"/>
        <w:spacing w:before="0"/>
        <w:ind w:left="-567" w:right="-516"/>
        <w:rPr>
          <w:sz w:val="23"/>
          <w:szCs w:val="23"/>
        </w:rPr>
      </w:pPr>
    </w:p>
    <w:p w14:paraId="04C03D78" w14:textId="77777777" w:rsidR="001F51A6" w:rsidRPr="00951D69" w:rsidRDefault="001F51A6" w:rsidP="00951D69">
      <w:pPr>
        <w:pStyle w:val="n01"/>
        <w:keepLines w:val="0"/>
        <w:spacing w:before="0"/>
        <w:ind w:left="-567" w:right="-516" w:firstLine="0"/>
        <w:jc w:val="center"/>
        <w:outlineLvl w:val="0"/>
        <w:rPr>
          <w:rFonts w:ascii="Arial" w:eastAsia="Calibri" w:hAnsi="Arial" w:cs="Arial"/>
          <w:color w:val="auto"/>
          <w:sz w:val="23"/>
          <w:szCs w:val="23"/>
          <w:lang w:val="es-MX" w:eastAsia="en-US"/>
        </w:rPr>
      </w:pPr>
      <w:r w:rsidRPr="00951D69">
        <w:rPr>
          <w:rFonts w:ascii="Arial" w:eastAsia="Calibri" w:hAnsi="Arial" w:cs="Arial"/>
          <w:color w:val="auto"/>
          <w:sz w:val="23"/>
          <w:szCs w:val="23"/>
          <w:lang w:val="es-MX" w:eastAsia="en-US"/>
        </w:rPr>
        <w:t>Gráfica 3</w:t>
      </w:r>
    </w:p>
    <w:p w14:paraId="5E02D96B" w14:textId="77777777" w:rsidR="001F51A6" w:rsidRPr="00951D69" w:rsidRDefault="001F51A6" w:rsidP="00951D69">
      <w:pPr>
        <w:pStyle w:val="n01"/>
        <w:keepLines w:val="0"/>
        <w:spacing w:before="0"/>
        <w:ind w:left="-567" w:right="-516" w:firstLine="0"/>
        <w:jc w:val="center"/>
        <w:outlineLvl w:val="0"/>
        <w:rPr>
          <w:rFonts w:ascii="Arial" w:hAnsi="Arial" w:cs="Arial"/>
          <w:b/>
          <w:color w:val="auto"/>
          <w:spacing w:val="-6"/>
          <w:sz w:val="23"/>
          <w:szCs w:val="23"/>
        </w:rPr>
      </w:pPr>
      <w:r w:rsidRPr="00951D69">
        <w:rPr>
          <w:rFonts w:ascii="Arial" w:hAnsi="Arial" w:cs="Arial"/>
          <w:b/>
          <w:smallCaps/>
          <w:color w:val="auto"/>
          <w:spacing w:val="-6"/>
          <w:sz w:val="23"/>
          <w:szCs w:val="23"/>
        </w:rPr>
        <w:t>Producto Interno Bruto de las actividades secundarias en 2020</w:t>
      </w:r>
    </w:p>
    <w:p w14:paraId="2E5BB9E2" w14:textId="77777777" w:rsidR="001F51A6" w:rsidRPr="00951D69" w:rsidRDefault="001F51A6" w:rsidP="00951D69">
      <w:pPr>
        <w:pStyle w:val="Textoindependiente"/>
        <w:tabs>
          <w:tab w:val="clear" w:pos="3348"/>
        </w:tabs>
        <w:spacing w:before="0"/>
        <w:ind w:left="-567" w:right="-516"/>
        <w:jc w:val="center"/>
        <w:rPr>
          <w:rFonts w:cs="Arial"/>
          <w:spacing w:val="-6"/>
          <w:sz w:val="23"/>
          <w:szCs w:val="23"/>
        </w:rPr>
      </w:pPr>
      <w:r w:rsidRPr="00951D69">
        <w:rPr>
          <w:rFonts w:cs="Arial"/>
          <w:spacing w:val="-6"/>
          <w:sz w:val="23"/>
          <w:szCs w:val="23"/>
        </w:rPr>
        <w:t>(Estructura porcentual)</w:t>
      </w:r>
    </w:p>
    <w:p w14:paraId="0FF6EF0B" w14:textId="4A5C44F2" w:rsidR="001F51A6" w:rsidRDefault="00142E08" w:rsidP="00EF1ADC">
      <w:pPr>
        <w:pStyle w:val="Textoindependiente"/>
        <w:tabs>
          <w:tab w:val="clear" w:pos="3348"/>
        </w:tabs>
        <w:spacing w:before="0"/>
        <w:ind w:left="-567" w:right="-2"/>
        <w:jc w:val="center"/>
        <w:rPr>
          <w:rFonts w:cs="Arial"/>
          <w:spacing w:val="-6"/>
          <w:sz w:val="20"/>
          <w:szCs w:val="24"/>
        </w:rPr>
      </w:pPr>
      <w:r w:rsidRPr="00142E08">
        <w:rPr>
          <w:noProof/>
        </w:rPr>
        <w:drawing>
          <wp:inline distT="0" distB="0" distL="0" distR="0" wp14:anchorId="50CDD43A" wp14:editId="253CD63E">
            <wp:extent cx="6192000" cy="4271625"/>
            <wp:effectExtent l="19050" t="19050" r="18415" b="15240"/>
            <wp:docPr id="7" name="Imagen 7"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Mapa&#10;&#10;Descripción generada automáticamente"/>
                    <pic:cNvPicPr/>
                  </pic:nvPicPr>
                  <pic:blipFill>
                    <a:blip r:embed="rId11"/>
                    <a:stretch>
                      <a:fillRect/>
                    </a:stretch>
                  </pic:blipFill>
                  <pic:spPr>
                    <a:xfrm>
                      <a:off x="0" y="0"/>
                      <a:ext cx="6192000" cy="4271625"/>
                    </a:xfrm>
                    <a:prstGeom prst="rect">
                      <a:avLst/>
                    </a:prstGeom>
                    <a:ln>
                      <a:solidFill>
                        <a:schemeClr val="tx1"/>
                      </a:solidFill>
                    </a:ln>
                  </pic:spPr>
                </pic:pic>
              </a:graphicData>
            </a:graphic>
          </wp:inline>
        </w:drawing>
      </w:r>
    </w:p>
    <w:p w14:paraId="0F3D279B" w14:textId="77777777" w:rsidR="001F51A6" w:rsidRPr="00706D76" w:rsidRDefault="001F51A6" w:rsidP="00EF1ADC">
      <w:pPr>
        <w:pStyle w:val="Textoindependiente"/>
        <w:tabs>
          <w:tab w:val="clear" w:pos="3348"/>
        </w:tabs>
        <w:spacing w:before="0"/>
        <w:ind w:left="-567" w:right="-2"/>
        <w:jc w:val="left"/>
        <w:rPr>
          <w:rFonts w:cs="Arial"/>
          <w:smallCaps/>
          <w:sz w:val="16"/>
          <w:szCs w:val="16"/>
        </w:rPr>
      </w:pPr>
      <w:r>
        <w:rPr>
          <w:rFonts w:cs="Arial"/>
          <w:sz w:val="16"/>
          <w:szCs w:val="16"/>
        </w:rPr>
        <w:t xml:space="preserve">    </w:t>
      </w:r>
      <w:r w:rsidRPr="00706D76">
        <w:rPr>
          <w:rFonts w:cs="Arial"/>
          <w:sz w:val="16"/>
          <w:szCs w:val="16"/>
        </w:rPr>
        <w:t>Fuente: INEGI.</w:t>
      </w:r>
    </w:p>
    <w:p w14:paraId="38251809" w14:textId="77777777" w:rsidR="00951D69" w:rsidRDefault="00951D69" w:rsidP="00951D69">
      <w:pPr>
        <w:pStyle w:val="Textoindependiente"/>
        <w:spacing w:before="0"/>
        <w:ind w:left="-567" w:right="-516"/>
        <w:rPr>
          <w:i/>
          <w:szCs w:val="24"/>
          <w:lang w:val="es-MX"/>
        </w:rPr>
      </w:pPr>
    </w:p>
    <w:p w14:paraId="0217E9FD" w14:textId="77777777" w:rsidR="00951D69" w:rsidRDefault="00951D69" w:rsidP="00951D69">
      <w:pPr>
        <w:pStyle w:val="Textoindependiente"/>
        <w:spacing w:before="0"/>
        <w:ind w:left="-567" w:right="-516"/>
        <w:rPr>
          <w:i/>
          <w:szCs w:val="24"/>
          <w:lang w:val="es-MX"/>
        </w:rPr>
      </w:pPr>
    </w:p>
    <w:p w14:paraId="6A7844C8" w14:textId="77777777" w:rsidR="00951D69" w:rsidRDefault="00951D69" w:rsidP="00951D69">
      <w:pPr>
        <w:pStyle w:val="Textoindependiente"/>
        <w:spacing w:before="0"/>
        <w:ind w:left="-567" w:right="-516"/>
        <w:rPr>
          <w:i/>
          <w:szCs w:val="24"/>
          <w:lang w:val="es-MX"/>
        </w:rPr>
      </w:pPr>
    </w:p>
    <w:p w14:paraId="22F39D81" w14:textId="77777777" w:rsidR="00EF1ADC" w:rsidRDefault="00EF1ADC" w:rsidP="00951D69">
      <w:pPr>
        <w:pStyle w:val="Textoindependiente"/>
        <w:spacing w:before="0"/>
        <w:ind w:left="-567" w:right="-516"/>
        <w:rPr>
          <w:i/>
          <w:sz w:val="23"/>
          <w:szCs w:val="23"/>
          <w:lang w:val="es-MX"/>
        </w:rPr>
      </w:pPr>
    </w:p>
    <w:p w14:paraId="26F95E52" w14:textId="77777777" w:rsidR="00EF1ADC" w:rsidRDefault="00EF1ADC" w:rsidP="00951D69">
      <w:pPr>
        <w:pStyle w:val="Textoindependiente"/>
        <w:spacing w:before="0"/>
        <w:ind w:left="-567" w:right="-516"/>
        <w:rPr>
          <w:i/>
          <w:sz w:val="23"/>
          <w:szCs w:val="23"/>
          <w:lang w:val="es-MX"/>
        </w:rPr>
      </w:pPr>
    </w:p>
    <w:p w14:paraId="47A43ED7" w14:textId="77777777" w:rsidR="00EF1ADC" w:rsidRDefault="00EF1ADC" w:rsidP="00951D69">
      <w:pPr>
        <w:pStyle w:val="Textoindependiente"/>
        <w:spacing w:before="0"/>
        <w:ind w:left="-567" w:right="-516"/>
        <w:rPr>
          <w:i/>
          <w:sz w:val="23"/>
          <w:szCs w:val="23"/>
          <w:lang w:val="es-MX"/>
        </w:rPr>
      </w:pPr>
    </w:p>
    <w:p w14:paraId="030B89C9" w14:textId="77777777" w:rsidR="001F51A6" w:rsidRPr="00951D69" w:rsidRDefault="001F51A6" w:rsidP="00951D69">
      <w:pPr>
        <w:pStyle w:val="Textoindependiente"/>
        <w:spacing w:before="0"/>
        <w:ind w:left="-567" w:right="-516"/>
        <w:rPr>
          <w:i/>
          <w:sz w:val="23"/>
          <w:szCs w:val="23"/>
          <w:lang w:val="es-MX"/>
        </w:rPr>
      </w:pPr>
      <w:r w:rsidRPr="00951D69">
        <w:rPr>
          <w:i/>
          <w:sz w:val="23"/>
          <w:szCs w:val="23"/>
          <w:lang w:val="es-MX"/>
        </w:rPr>
        <w:t>Actividades secundarias sin considerar la minería petrolera</w:t>
      </w:r>
    </w:p>
    <w:p w14:paraId="6CB1A907" w14:textId="77777777" w:rsidR="00951D69" w:rsidRPr="00951D69" w:rsidRDefault="00951D69" w:rsidP="00951D69">
      <w:pPr>
        <w:pStyle w:val="Textoindependiente"/>
        <w:spacing w:before="0"/>
        <w:ind w:left="-567" w:right="-516"/>
        <w:rPr>
          <w:i/>
          <w:sz w:val="23"/>
          <w:szCs w:val="23"/>
          <w:lang w:val="es-MX"/>
        </w:rPr>
      </w:pPr>
    </w:p>
    <w:p w14:paraId="76AE568C" w14:textId="77777777" w:rsidR="001F51A6" w:rsidRPr="00951D69" w:rsidRDefault="001F51A6" w:rsidP="00951D69">
      <w:pPr>
        <w:pStyle w:val="Textoindependiente"/>
        <w:spacing w:before="0"/>
        <w:ind w:left="-567" w:right="-516"/>
        <w:rPr>
          <w:sz w:val="23"/>
          <w:szCs w:val="23"/>
          <w:lang w:val="es-MX"/>
        </w:rPr>
      </w:pPr>
      <w:r w:rsidRPr="00951D69">
        <w:rPr>
          <w:sz w:val="23"/>
          <w:szCs w:val="23"/>
          <w:lang w:val="es-MX"/>
        </w:rPr>
        <w:t>Es importante mencionar que en algunos estados la minería petrolera</w:t>
      </w:r>
      <w:r w:rsidRPr="00951D69">
        <w:rPr>
          <w:rStyle w:val="Refdenotaalpie"/>
          <w:sz w:val="23"/>
          <w:szCs w:val="23"/>
        </w:rPr>
        <w:footnoteReference w:id="3"/>
      </w:r>
      <w:r w:rsidRPr="00951D69">
        <w:rPr>
          <w:sz w:val="23"/>
          <w:szCs w:val="23"/>
          <w:lang w:val="es-MX"/>
        </w:rPr>
        <w:t xml:space="preserve"> incide significativamente en su Producto Interno Bruto. Con objeto de conocer este impacto, en la siguiente gráfica se presentan las participaciones estatales de las actividades secundarias sin considerar dicha minería.</w:t>
      </w:r>
    </w:p>
    <w:p w14:paraId="0CE410C6" w14:textId="77777777" w:rsidR="001F51A6" w:rsidRPr="00951D69" w:rsidRDefault="001F51A6" w:rsidP="00D41996">
      <w:pPr>
        <w:pStyle w:val="n01"/>
        <w:keepLines w:val="0"/>
        <w:spacing w:before="600"/>
        <w:ind w:left="-567" w:right="-516" w:firstLine="0"/>
        <w:jc w:val="center"/>
        <w:outlineLvl w:val="0"/>
        <w:rPr>
          <w:rFonts w:ascii="Arial" w:eastAsia="Calibri" w:hAnsi="Arial" w:cs="Arial"/>
          <w:color w:val="auto"/>
          <w:sz w:val="23"/>
          <w:szCs w:val="23"/>
          <w:lang w:val="es-MX" w:eastAsia="en-US"/>
        </w:rPr>
      </w:pPr>
      <w:r w:rsidRPr="00951D69">
        <w:rPr>
          <w:rFonts w:ascii="Arial" w:eastAsia="Calibri" w:hAnsi="Arial" w:cs="Arial"/>
          <w:color w:val="auto"/>
          <w:sz w:val="23"/>
          <w:szCs w:val="23"/>
          <w:lang w:val="es-MX" w:eastAsia="en-US"/>
        </w:rPr>
        <w:t>Gráfica 4</w:t>
      </w:r>
    </w:p>
    <w:p w14:paraId="246438EC" w14:textId="77777777" w:rsidR="001F51A6" w:rsidRPr="00951D69" w:rsidRDefault="001F51A6" w:rsidP="001F51A6">
      <w:pPr>
        <w:pStyle w:val="n01"/>
        <w:keepLines w:val="0"/>
        <w:spacing w:before="0" w:line="20" w:lineRule="atLeast"/>
        <w:ind w:left="851" w:right="900" w:firstLine="0"/>
        <w:jc w:val="center"/>
        <w:outlineLvl w:val="0"/>
        <w:rPr>
          <w:rFonts w:ascii="Arial" w:hAnsi="Arial" w:cs="Arial"/>
          <w:b/>
          <w:smallCaps/>
          <w:color w:val="auto"/>
          <w:spacing w:val="-6"/>
          <w:sz w:val="23"/>
          <w:szCs w:val="23"/>
        </w:rPr>
      </w:pPr>
      <w:r w:rsidRPr="00951D69">
        <w:rPr>
          <w:rFonts w:ascii="Arial" w:hAnsi="Arial" w:cs="Arial"/>
          <w:b/>
          <w:smallCaps/>
          <w:color w:val="auto"/>
          <w:spacing w:val="-6"/>
          <w:sz w:val="23"/>
          <w:szCs w:val="23"/>
        </w:rPr>
        <w:t>Producto Interno Bruto de las actividades secundarias en 2020</w:t>
      </w:r>
    </w:p>
    <w:p w14:paraId="33E88A08" w14:textId="77777777" w:rsidR="001F51A6" w:rsidRPr="00951D69" w:rsidRDefault="001F51A6" w:rsidP="001F51A6">
      <w:pPr>
        <w:pStyle w:val="n01"/>
        <w:keepLines w:val="0"/>
        <w:spacing w:before="0" w:line="20" w:lineRule="atLeast"/>
        <w:ind w:left="851" w:right="900" w:firstLine="0"/>
        <w:jc w:val="center"/>
        <w:outlineLvl w:val="0"/>
        <w:rPr>
          <w:rFonts w:ascii="Arial" w:hAnsi="Arial" w:cs="Arial"/>
          <w:b/>
          <w:color w:val="auto"/>
          <w:spacing w:val="-6"/>
          <w:sz w:val="23"/>
          <w:szCs w:val="23"/>
        </w:rPr>
      </w:pPr>
      <w:r w:rsidRPr="00951D69">
        <w:rPr>
          <w:rFonts w:ascii="Arial" w:hAnsi="Arial" w:cs="Arial"/>
          <w:b/>
          <w:smallCaps/>
          <w:color w:val="auto"/>
          <w:spacing w:val="-6"/>
          <w:sz w:val="23"/>
          <w:szCs w:val="23"/>
        </w:rPr>
        <w:t>sin considerar la minería petrolera</w:t>
      </w:r>
    </w:p>
    <w:p w14:paraId="7B0415A4" w14:textId="77777777" w:rsidR="001F51A6" w:rsidRPr="00951D69" w:rsidRDefault="001F51A6" w:rsidP="001F51A6">
      <w:pPr>
        <w:pStyle w:val="Textoindependiente"/>
        <w:tabs>
          <w:tab w:val="clear" w:pos="3348"/>
        </w:tabs>
        <w:spacing w:before="0"/>
        <w:ind w:right="-2"/>
        <w:jc w:val="center"/>
        <w:rPr>
          <w:rFonts w:cs="Arial"/>
          <w:spacing w:val="-6"/>
          <w:sz w:val="23"/>
          <w:szCs w:val="23"/>
        </w:rPr>
      </w:pPr>
      <w:r w:rsidRPr="00951D69">
        <w:rPr>
          <w:rFonts w:cs="Arial"/>
          <w:spacing w:val="-6"/>
          <w:sz w:val="23"/>
          <w:szCs w:val="23"/>
        </w:rPr>
        <w:t>(Estructura porcentual)</w:t>
      </w:r>
    </w:p>
    <w:p w14:paraId="66BF3261" w14:textId="77777777" w:rsidR="001F51A6" w:rsidRDefault="001F51A6" w:rsidP="001F51A6">
      <w:pPr>
        <w:pStyle w:val="Textoindependiente"/>
        <w:spacing w:before="0"/>
        <w:jc w:val="center"/>
        <w:rPr>
          <w:lang w:val="es-MX"/>
        </w:rPr>
      </w:pPr>
      <w:r w:rsidRPr="008E2D02">
        <w:rPr>
          <w:noProof/>
        </w:rPr>
        <w:drawing>
          <wp:inline distT="0" distB="0" distL="0" distR="0" wp14:anchorId="09D4492E" wp14:editId="30081A0A">
            <wp:extent cx="5612130" cy="4423410"/>
            <wp:effectExtent l="19050" t="19050" r="26670" b="15240"/>
            <wp:docPr id="1" name="Imagen 1"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Gráfico, Gráfico de barras&#10;&#10;Descripción generada automáticamente"/>
                    <pic:cNvPicPr/>
                  </pic:nvPicPr>
                  <pic:blipFill>
                    <a:blip r:embed="rId12"/>
                    <a:stretch>
                      <a:fillRect/>
                    </a:stretch>
                  </pic:blipFill>
                  <pic:spPr>
                    <a:xfrm>
                      <a:off x="0" y="0"/>
                      <a:ext cx="5612130" cy="4423410"/>
                    </a:xfrm>
                    <a:prstGeom prst="rect">
                      <a:avLst/>
                    </a:prstGeom>
                    <a:ln>
                      <a:solidFill>
                        <a:schemeClr val="tx1"/>
                      </a:solidFill>
                    </a:ln>
                  </pic:spPr>
                </pic:pic>
              </a:graphicData>
            </a:graphic>
          </wp:inline>
        </w:drawing>
      </w:r>
    </w:p>
    <w:p w14:paraId="4FFCB28A" w14:textId="77777777" w:rsidR="001F51A6" w:rsidRDefault="001F51A6" w:rsidP="001F51A6">
      <w:pPr>
        <w:pStyle w:val="Textoindependiente"/>
        <w:tabs>
          <w:tab w:val="clear" w:pos="3348"/>
          <w:tab w:val="left" w:pos="851"/>
        </w:tabs>
        <w:spacing w:before="0"/>
        <w:rPr>
          <w:rFonts w:cs="Arial"/>
          <w:sz w:val="16"/>
          <w:szCs w:val="16"/>
        </w:rPr>
      </w:pPr>
      <w:r>
        <w:rPr>
          <w:rFonts w:cs="Arial"/>
          <w:sz w:val="16"/>
          <w:szCs w:val="16"/>
        </w:rPr>
        <w:t xml:space="preserve">   </w:t>
      </w:r>
      <w:r w:rsidRPr="00706D76">
        <w:rPr>
          <w:rFonts w:cs="Arial"/>
          <w:sz w:val="16"/>
          <w:szCs w:val="16"/>
        </w:rPr>
        <w:t>Fuente: INEGI.</w:t>
      </w:r>
    </w:p>
    <w:p w14:paraId="2C5A4947" w14:textId="77777777" w:rsidR="001F51A6" w:rsidRDefault="001F51A6" w:rsidP="00D41996">
      <w:pPr>
        <w:jc w:val="both"/>
        <w:rPr>
          <w:rFonts w:ascii="Arial" w:eastAsia="Calibri" w:hAnsi="Arial" w:cs="Arial"/>
          <w:bCs/>
          <w:i/>
          <w:iCs/>
          <w:smallCaps/>
          <w:sz w:val="24"/>
          <w:szCs w:val="28"/>
          <w:lang w:val="es-MX" w:eastAsia="en-US"/>
        </w:rPr>
      </w:pPr>
    </w:p>
    <w:p w14:paraId="1EB9E6E9" w14:textId="36D9D032" w:rsidR="00EF1ADC" w:rsidRDefault="00EF1ADC" w:rsidP="00D41996">
      <w:pPr>
        <w:pStyle w:val="Textoindependiente"/>
        <w:tabs>
          <w:tab w:val="clear" w:pos="3348"/>
          <w:tab w:val="left" w:pos="851"/>
        </w:tabs>
        <w:spacing w:before="0"/>
        <w:rPr>
          <w:i/>
          <w:lang w:val="es-MX"/>
        </w:rPr>
      </w:pPr>
    </w:p>
    <w:p w14:paraId="5D14CCBA" w14:textId="01FEEF1D" w:rsidR="00D41996" w:rsidRDefault="00D41996" w:rsidP="00D41996">
      <w:pPr>
        <w:pStyle w:val="Textoindependiente"/>
        <w:tabs>
          <w:tab w:val="clear" w:pos="3348"/>
          <w:tab w:val="left" w:pos="851"/>
        </w:tabs>
        <w:spacing w:before="0"/>
        <w:rPr>
          <w:i/>
          <w:lang w:val="es-MX"/>
        </w:rPr>
      </w:pPr>
    </w:p>
    <w:p w14:paraId="2C27E276" w14:textId="112781D1" w:rsidR="00D41996" w:rsidRDefault="00D41996" w:rsidP="00D41996">
      <w:pPr>
        <w:pStyle w:val="Textoindependiente"/>
        <w:tabs>
          <w:tab w:val="clear" w:pos="3348"/>
          <w:tab w:val="left" w:pos="851"/>
        </w:tabs>
        <w:spacing w:before="0"/>
        <w:rPr>
          <w:i/>
          <w:lang w:val="es-MX"/>
        </w:rPr>
      </w:pPr>
    </w:p>
    <w:p w14:paraId="33ABFB34" w14:textId="67D0D048" w:rsidR="00D41996" w:rsidRDefault="00D41996" w:rsidP="00D41996">
      <w:pPr>
        <w:pStyle w:val="Textoindependiente"/>
        <w:tabs>
          <w:tab w:val="clear" w:pos="3348"/>
          <w:tab w:val="left" w:pos="851"/>
        </w:tabs>
        <w:spacing w:before="0"/>
        <w:rPr>
          <w:i/>
          <w:lang w:val="es-MX"/>
        </w:rPr>
      </w:pPr>
    </w:p>
    <w:p w14:paraId="50D3448E" w14:textId="53F9D2BA" w:rsidR="00D41996" w:rsidRDefault="00D41996" w:rsidP="00D41996">
      <w:pPr>
        <w:pStyle w:val="Textoindependiente"/>
        <w:tabs>
          <w:tab w:val="clear" w:pos="3348"/>
          <w:tab w:val="left" w:pos="851"/>
        </w:tabs>
        <w:spacing w:before="0"/>
        <w:rPr>
          <w:i/>
          <w:lang w:val="es-MX"/>
        </w:rPr>
      </w:pPr>
    </w:p>
    <w:p w14:paraId="32160CED" w14:textId="12FAB465" w:rsidR="00D41996" w:rsidRDefault="00D41996" w:rsidP="00D41996">
      <w:pPr>
        <w:pStyle w:val="Textoindependiente"/>
        <w:tabs>
          <w:tab w:val="clear" w:pos="3348"/>
          <w:tab w:val="left" w:pos="851"/>
        </w:tabs>
        <w:spacing w:before="0"/>
        <w:rPr>
          <w:i/>
          <w:lang w:val="es-MX"/>
        </w:rPr>
      </w:pPr>
    </w:p>
    <w:p w14:paraId="7397011D" w14:textId="77777777" w:rsidR="00D41996" w:rsidRDefault="00D41996" w:rsidP="00D41996">
      <w:pPr>
        <w:pStyle w:val="Textoindependiente"/>
        <w:tabs>
          <w:tab w:val="clear" w:pos="3348"/>
          <w:tab w:val="left" w:pos="851"/>
        </w:tabs>
        <w:spacing w:before="0"/>
        <w:rPr>
          <w:i/>
          <w:lang w:val="es-MX"/>
        </w:rPr>
      </w:pPr>
    </w:p>
    <w:p w14:paraId="5CDC425F" w14:textId="77777777" w:rsidR="00EF1ADC" w:rsidRDefault="00EF1ADC" w:rsidP="00D41996">
      <w:pPr>
        <w:pStyle w:val="Textoindependiente"/>
        <w:tabs>
          <w:tab w:val="clear" w:pos="3348"/>
          <w:tab w:val="left" w:pos="851"/>
        </w:tabs>
        <w:spacing w:before="0"/>
        <w:rPr>
          <w:i/>
          <w:lang w:val="es-MX"/>
        </w:rPr>
      </w:pPr>
    </w:p>
    <w:p w14:paraId="08EB2C87" w14:textId="77777777" w:rsidR="001F51A6" w:rsidRPr="00EF1ADC" w:rsidRDefault="001F51A6" w:rsidP="00EF1ADC">
      <w:pPr>
        <w:pStyle w:val="Textoindependiente"/>
        <w:tabs>
          <w:tab w:val="clear" w:pos="3348"/>
          <w:tab w:val="left" w:pos="851"/>
        </w:tabs>
        <w:spacing w:before="0"/>
        <w:ind w:left="-567" w:right="-518"/>
        <w:rPr>
          <w:i/>
          <w:sz w:val="23"/>
          <w:szCs w:val="23"/>
          <w:lang w:val="es-MX"/>
        </w:rPr>
      </w:pPr>
      <w:r w:rsidRPr="00EF1ADC">
        <w:rPr>
          <w:i/>
          <w:sz w:val="23"/>
          <w:szCs w:val="23"/>
          <w:lang w:val="es-MX"/>
        </w:rPr>
        <w:t>Actividades Terciarias</w:t>
      </w:r>
    </w:p>
    <w:p w14:paraId="4117EDBE" w14:textId="77777777" w:rsidR="00EF1ADC" w:rsidRPr="00EF1ADC" w:rsidRDefault="00EF1ADC" w:rsidP="00EF1ADC">
      <w:pPr>
        <w:pStyle w:val="Textoindependiente"/>
        <w:tabs>
          <w:tab w:val="clear" w:pos="3348"/>
          <w:tab w:val="left" w:pos="851"/>
        </w:tabs>
        <w:spacing w:before="0"/>
        <w:ind w:left="-567" w:right="-518"/>
        <w:rPr>
          <w:i/>
          <w:sz w:val="23"/>
          <w:szCs w:val="23"/>
          <w:lang w:val="es-MX"/>
        </w:rPr>
      </w:pPr>
    </w:p>
    <w:p w14:paraId="4E085C6D" w14:textId="77777777" w:rsidR="001F51A6" w:rsidRPr="00EF1ADC" w:rsidRDefault="001F51A6" w:rsidP="00EF1ADC">
      <w:pPr>
        <w:pStyle w:val="Textoindependiente"/>
        <w:spacing w:before="0"/>
        <w:ind w:left="-567" w:right="-518"/>
        <w:rPr>
          <w:sz w:val="23"/>
          <w:szCs w:val="23"/>
        </w:rPr>
      </w:pPr>
      <w:r w:rsidRPr="00EF1ADC">
        <w:rPr>
          <w:sz w:val="23"/>
          <w:szCs w:val="23"/>
        </w:rPr>
        <w:t>Este grupo de actividades</w:t>
      </w:r>
      <w:r w:rsidRPr="00EF1ADC">
        <w:rPr>
          <w:rStyle w:val="Refdenotaalpie"/>
          <w:sz w:val="23"/>
          <w:szCs w:val="23"/>
        </w:rPr>
        <w:footnoteReference w:id="4"/>
      </w:r>
      <w:r w:rsidRPr="00EF1ADC">
        <w:rPr>
          <w:sz w:val="23"/>
          <w:szCs w:val="23"/>
        </w:rPr>
        <w:t xml:space="preserve"> generó en 2020 un Producto Interno Bruto de 14</w:t>
      </w:r>
      <w:r w:rsidR="00EF1ADC" w:rsidRPr="00EF1ADC">
        <w:rPr>
          <w:sz w:val="23"/>
          <w:szCs w:val="23"/>
        </w:rPr>
        <w:t xml:space="preserve"> </w:t>
      </w:r>
      <w:r w:rsidRPr="00EF1ADC">
        <w:rPr>
          <w:sz w:val="23"/>
          <w:szCs w:val="23"/>
        </w:rPr>
        <w:t>078</w:t>
      </w:r>
      <w:r w:rsidR="00EF1ADC" w:rsidRPr="00EF1ADC">
        <w:rPr>
          <w:sz w:val="23"/>
          <w:szCs w:val="23"/>
        </w:rPr>
        <w:t xml:space="preserve"> </w:t>
      </w:r>
      <w:r w:rsidRPr="00EF1ADC">
        <w:rPr>
          <w:sz w:val="23"/>
          <w:szCs w:val="23"/>
        </w:rPr>
        <w:t xml:space="preserve">199 millones de pesos corrientes, de los cuales la Ciudad de México </w:t>
      </w:r>
      <w:r w:rsidR="00EF1ADC" w:rsidRPr="00EF1ADC">
        <w:rPr>
          <w:sz w:val="23"/>
          <w:szCs w:val="23"/>
        </w:rPr>
        <w:t>participó con</w:t>
      </w:r>
      <w:r w:rsidRPr="00EF1ADC">
        <w:rPr>
          <w:sz w:val="23"/>
          <w:szCs w:val="23"/>
        </w:rPr>
        <w:t xml:space="preserve"> 22.3% del total, México </w:t>
      </w:r>
      <w:r w:rsidR="00EF1ADC" w:rsidRPr="00EF1ADC">
        <w:rPr>
          <w:sz w:val="23"/>
          <w:szCs w:val="23"/>
        </w:rPr>
        <w:t xml:space="preserve">con </w:t>
      </w:r>
      <w:r w:rsidRPr="00EF1ADC">
        <w:rPr>
          <w:sz w:val="23"/>
          <w:szCs w:val="23"/>
        </w:rPr>
        <w:t xml:space="preserve">10.5%, Nuevo León </w:t>
      </w:r>
      <w:r w:rsidR="00EF1ADC" w:rsidRPr="00EF1ADC">
        <w:rPr>
          <w:sz w:val="23"/>
          <w:szCs w:val="23"/>
        </w:rPr>
        <w:t xml:space="preserve">con </w:t>
      </w:r>
      <w:r w:rsidRPr="00EF1ADC">
        <w:rPr>
          <w:sz w:val="23"/>
          <w:szCs w:val="23"/>
        </w:rPr>
        <w:t>7.4%, Jalisco</w:t>
      </w:r>
      <w:r w:rsidR="00EF1ADC" w:rsidRPr="00EF1ADC">
        <w:rPr>
          <w:sz w:val="23"/>
          <w:szCs w:val="23"/>
        </w:rPr>
        <w:t xml:space="preserve"> con</w:t>
      </w:r>
      <w:r w:rsidRPr="00EF1ADC">
        <w:rPr>
          <w:sz w:val="23"/>
          <w:szCs w:val="23"/>
        </w:rPr>
        <w:t xml:space="preserve"> 7%, Veracruz de Ignacio de la Llave </w:t>
      </w:r>
      <w:r w:rsidR="00EF1ADC" w:rsidRPr="00EF1ADC">
        <w:rPr>
          <w:sz w:val="23"/>
          <w:szCs w:val="23"/>
        </w:rPr>
        <w:t xml:space="preserve">con </w:t>
      </w:r>
      <w:r w:rsidRPr="00EF1ADC">
        <w:rPr>
          <w:sz w:val="23"/>
          <w:szCs w:val="23"/>
        </w:rPr>
        <w:t>4.4%, Guanajuato</w:t>
      </w:r>
      <w:r w:rsidR="00EF1ADC" w:rsidRPr="00EF1ADC">
        <w:rPr>
          <w:sz w:val="23"/>
          <w:szCs w:val="23"/>
        </w:rPr>
        <w:t xml:space="preserve"> con </w:t>
      </w:r>
      <w:r w:rsidRPr="00EF1ADC">
        <w:rPr>
          <w:sz w:val="23"/>
          <w:szCs w:val="23"/>
        </w:rPr>
        <w:t xml:space="preserve">3.8%, Puebla </w:t>
      </w:r>
      <w:r w:rsidR="00EF1ADC" w:rsidRPr="00EF1ADC">
        <w:rPr>
          <w:sz w:val="23"/>
          <w:szCs w:val="23"/>
        </w:rPr>
        <w:t xml:space="preserve">con </w:t>
      </w:r>
      <w:r w:rsidRPr="00EF1ADC">
        <w:rPr>
          <w:sz w:val="23"/>
          <w:szCs w:val="23"/>
        </w:rPr>
        <w:t xml:space="preserve">3.1%, Baja California </w:t>
      </w:r>
      <w:r w:rsidR="00EF1ADC" w:rsidRPr="00EF1ADC">
        <w:rPr>
          <w:sz w:val="23"/>
          <w:szCs w:val="23"/>
        </w:rPr>
        <w:t xml:space="preserve">con </w:t>
      </w:r>
      <w:r w:rsidRPr="00EF1ADC">
        <w:rPr>
          <w:sz w:val="23"/>
          <w:szCs w:val="23"/>
        </w:rPr>
        <w:t xml:space="preserve">3%, Chihuahua </w:t>
      </w:r>
      <w:r w:rsidR="00EF1ADC" w:rsidRPr="00EF1ADC">
        <w:rPr>
          <w:sz w:val="23"/>
          <w:szCs w:val="23"/>
        </w:rPr>
        <w:t xml:space="preserve">con </w:t>
      </w:r>
      <w:r w:rsidRPr="00EF1ADC">
        <w:rPr>
          <w:sz w:val="23"/>
          <w:szCs w:val="23"/>
        </w:rPr>
        <w:t xml:space="preserve">2.8%, Tamaulipas y Michoacán de Ocampo </w:t>
      </w:r>
      <w:r w:rsidR="00EF1ADC" w:rsidRPr="00EF1ADC">
        <w:rPr>
          <w:sz w:val="23"/>
          <w:szCs w:val="23"/>
        </w:rPr>
        <w:t xml:space="preserve">con </w:t>
      </w:r>
      <w:r w:rsidRPr="00EF1ADC">
        <w:rPr>
          <w:sz w:val="23"/>
          <w:szCs w:val="23"/>
        </w:rPr>
        <w:t>2.7</w:t>
      </w:r>
      <w:r w:rsidR="00EF1ADC" w:rsidRPr="00EF1ADC">
        <w:rPr>
          <w:sz w:val="23"/>
          <w:szCs w:val="23"/>
        </w:rPr>
        <w:t xml:space="preserve"> cada uno</w:t>
      </w:r>
      <w:r w:rsidRPr="00EF1ADC">
        <w:rPr>
          <w:sz w:val="23"/>
          <w:szCs w:val="23"/>
        </w:rPr>
        <w:t>. El 30.3% complementario se integró con el resto de los estados.</w:t>
      </w:r>
    </w:p>
    <w:p w14:paraId="31CEA999" w14:textId="77777777" w:rsidR="001F51A6" w:rsidRPr="00EF1ADC" w:rsidRDefault="001F51A6" w:rsidP="001F51A6">
      <w:pPr>
        <w:pStyle w:val="n01"/>
        <w:keepLines w:val="0"/>
        <w:spacing w:before="600"/>
        <w:ind w:left="0" w:firstLine="0"/>
        <w:jc w:val="center"/>
        <w:outlineLvl w:val="0"/>
        <w:rPr>
          <w:rFonts w:ascii="Arial" w:eastAsia="Calibri" w:hAnsi="Arial" w:cs="Arial"/>
          <w:color w:val="auto"/>
          <w:sz w:val="23"/>
          <w:szCs w:val="23"/>
          <w:lang w:val="es-MX" w:eastAsia="en-US"/>
        </w:rPr>
      </w:pPr>
      <w:r w:rsidRPr="00EF1ADC">
        <w:rPr>
          <w:rFonts w:ascii="Arial" w:eastAsia="Calibri" w:hAnsi="Arial" w:cs="Arial"/>
          <w:color w:val="auto"/>
          <w:sz w:val="23"/>
          <w:szCs w:val="23"/>
          <w:lang w:val="es-MX" w:eastAsia="en-US"/>
        </w:rPr>
        <w:t>Gráfica 5</w:t>
      </w:r>
    </w:p>
    <w:p w14:paraId="604D30EA" w14:textId="77777777" w:rsidR="001F51A6" w:rsidRPr="00EF1ADC" w:rsidRDefault="001F51A6" w:rsidP="001F51A6">
      <w:pPr>
        <w:pStyle w:val="n01"/>
        <w:keepLines w:val="0"/>
        <w:spacing w:before="0" w:line="20" w:lineRule="atLeast"/>
        <w:ind w:left="851" w:right="900" w:firstLine="0"/>
        <w:jc w:val="center"/>
        <w:outlineLvl w:val="0"/>
        <w:rPr>
          <w:rFonts w:ascii="Arial" w:hAnsi="Arial" w:cs="Arial"/>
          <w:b/>
          <w:color w:val="auto"/>
          <w:spacing w:val="-6"/>
          <w:sz w:val="23"/>
          <w:szCs w:val="23"/>
        </w:rPr>
      </w:pPr>
      <w:r w:rsidRPr="00EF1ADC">
        <w:rPr>
          <w:rFonts w:ascii="Arial" w:hAnsi="Arial" w:cs="Arial"/>
          <w:b/>
          <w:smallCaps/>
          <w:color w:val="auto"/>
          <w:spacing w:val="-6"/>
          <w:sz w:val="23"/>
          <w:szCs w:val="23"/>
        </w:rPr>
        <w:t>Producto Interno Bruto de las actividades terciarias en 2020</w:t>
      </w:r>
    </w:p>
    <w:p w14:paraId="0C5A7526" w14:textId="77777777" w:rsidR="001F51A6" w:rsidRPr="00EF1ADC" w:rsidRDefault="001F51A6" w:rsidP="001F51A6">
      <w:pPr>
        <w:pStyle w:val="Textoindependiente"/>
        <w:tabs>
          <w:tab w:val="clear" w:pos="3348"/>
        </w:tabs>
        <w:spacing w:before="0"/>
        <w:ind w:right="-2"/>
        <w:jc w:val="center"/>
        <w:rPr>
          <w:rFonts w:cs="Arial"/>
          <w:spacing w:val="-6"/>
          <w:sz w:val="23"/>
          <w:szCs w:val="23"/>
        </w:rPr>
      </w:pPr>
      <w:r w:rsidRPr="00EF1ADC">
        <w:rPr>
          <w:rFonts w:cs="Arial"/>
          <w:spacing w:val="-6"/>
          <w:sz w:val="23"/>
          <w:szCs w:val="23"/>
        </w:rPr>
        <w:t>(Estructura porcentual)</w:t>
      </w:r>
    </w:p>
    <w:p w14:paraId="054CFB1D" w14:textId="78499744" w:rsidR="001F51A6" w:rsidRPr="005C2995" w:rsidRDefault="00142E08" w:rsidP="001F51A6">
      <w:pPr>
        <w:tabs>
          <w:tab w:val="left" w:pos="284"/>
        </w:tabs>
        <w:ind w:left="-284" w:right="-2" w:firstLine="1"/>
        <w:jc w:val="center"/>
        <w:rPr>
          <w:szCs w:val="16"/>
          <w:lang w:val="es-MX"/>
        </w:rPr>
      </w:pPr>
      <w:r w:rsidRPr="00142E08">
        <w:rPr>
          <w:noProof/>
        </w:rPr>
        <w:drawing>
          <wp:inline distT="0" distB="0" distL="0" distR="0" wp14:anchorId="3A3CF4D4" wp14:editId="705D7FED">
            <wp:extent cx="6192000" cy="4277236"/>
            <wp:effectExtent l="19050" t="19050" r="18415" b="28575"/>
            <wp:docPr id="9" name="Imagen 9" descr="Map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descr="Mapa&#10;&#10;Descripción generada automáticamente"/>
                    <pic:cNvPicPr/>
                  </pic:nvPicPr>
                  <pic:blipFill>
                    <a:blip r:embed="rId13"/>
                    <a:stretch>
                      <a:fillRect/>
                    </a:stretch>
                  </pic:blipFill>
                  <pic:spPr>
                    <a:xfrm>
                      <a:off x="0" y="0"/>
                      <a:ext cx="6192000" cy="4277236"/>
                    </a:xfrm>
                    <a:prstGeom prst="rect">
                      <a:avLst/>
                    </a:prstGeom>
                    <a:ln>
                      <a:solidFill>
                        <a:schemeClr val="tx1"/>
                      </a:solidFill>
                    </a:ln>
                  </pic:spPr>
                </pic:pic>
              </a:graphicData>
            </a:graphic>
          </wp:inline>
        </w:drawing>
      </w:r>
    </w:p>
    <w:p w14:paraId="754A45DF" w14:textId="77777777" w:rsidR="001F51A6" w:rsidRPr="005C02DD" w:rsidRDefault="001F51A6" w:rsidP="001F51A6">
      <w:pPr>
        <w:ind w:left="-284"/>
        <w:rPr>
          <w:rFonts w:ascii="Arial" w:hAnsi="Arial" w:cs="Arial"/>
          <w:sz w:val="16"/>
          <w:szCs w:val="16"/>
        </w:rPr>
      </w:pPr>
      <w:r>
        <w:rPr>
          <w:rFonts w:ascii="Arial" w:hAnsi="Arial" w:cs="Arial"/>
          <w:sz w:val="16"/>
          <w:szCs w:val="16"/>
        </w:rPr>
        <w:t xml:space="preserve">    Fuente: INEGI.</w:t>
      </w:r>
    </w:p>
    <w:p w14:paraId="17F98EDA" w14:textId="6CC953DF" w:rsidR="0036047B" w:rsidRDefault="0036047B" w:rsidP="00EF1ADC">
      <w:pPr>
        <w:pStyle w:val="n01"/>
        <w:keepLines w:val="0"/>
        <w:spacing w:before="0"/>
        <w:ind w:left="-567" w:right="-518" w:firstLine="0"/>
        <w:outlineLvl w:val="0"/>
        <w:rPr>
          <w:rFonts w:ascii="Arial" w:eastAsia="Calibri" w:hAnsi="Arial" w:cs="Arial"/>
          <w:b/>
          <w:color w:val="auto"/>
          <w:sz w:val="23"/>
          <w:szCs w:val="23"/>
          <w:lang w:val="es-MX" w:eastAsia="en-US"/>
        </w:rPr>
      </w:pPr>
    </w:p>
    <w:p w14:paraId="02A37E4A" w14:textId="55307C20" w:rsidR="0036047B" w:rsidRDefault="0036047B" w:rsidP="00EF1ADC">
      <w:pPr>
        <w:pStyle w:val="n01"/>
        <w:keepLines w:val="0"/>
        <w:spacing w:before="0"/>
        <w:ind w:left="-567" w:right="-518" w:firstLine="0"/>
        <w:outlineLvl w:val="0"/>
        <w:rPr>
          <w:rFonts w:ascii="Arial" w:eastAsia="Calibri" w:hAnsi="Arial" w:cs="Arial"/>
          <w:b/>
          <w:color w:val="auto"/>
          <w:sz w:val="23"/>
          <w:szCs w:val="23"/>
          <w:lang w:val="es-MX" w:eastAsia="en-US"/>
        </w:rPr>
      </w:pPr>
    </w:p>
    <w:p w14:paraId="4016CE04" w14:textId="77777777" w:rsidR="0036047B" w:rsidRDefault="0036047B" w:rsidP="00EF1ADC">
      <w:pPr>
        <w:pStyle w:val="n01"/>
        <w:keepLines w:val="0"/>
        <w:spacing w:before="0"/>
        <w:ind w:left="-567" w:right="-518" w:firstLine="0"/>
        <w:outlineLvl w:val="0"/>
        <w:rPr>
          <w:rFonts w:ascii="Arial" w:eastAsia="Calibri" w:hAnsi="Arial" w:cs="Arial"/>
          <w:b/>
          <w:color w:val="auto"/>
          <w:sz w:val="23"/>
          <w:szCs w:val="23"/>
          <w:lang w:val="es-MX" w:eastAsia="en-US"/>
        </w:rPr>
      </w:pPr>
    </w:p>
    <w:p w14:paraId="387EE61D" w14:textId="77777777" w:rsidR="0036047B" w:rsidRDefault="0036047B" w:rsidP="00EF1ADC">
      <w:pPr>
        <w:pStyle w:val="n01"/>
        <w:keepLines w:val="0"/>
        <w:spacing w:before="0"/>
        <w:ind w:left="-567" w:right="-518" w:firstLine="0"/>
        <w:outlineLvl w:val="0"/>
        <w:rPr>
          <w:rFonts w:ascii="Arial" w:eastAsia="Calibri" w:hAnsi="Arial" w:cs="Arial"/>
          <w:b/>
          <w:color w:val="auto"/>
          <w:sz w:val="23"/>
          <w:szCs w:val="23"/>
          <w:lang w:val="es-MX" w:eastAsia="en-US"/>
        </w:rPr>
      </w:pPr>
    </w:p>
    <w:p w14:paraId="5E75BE40" w14:textId="66107F08" w:rsidR="00236EDD" w:rsidRPr="00236EDD" w:rsidRDefault="00236EDD" w:rsidP="00EF1ADC">
      <w:pPr>
        <w:pStyle w:val="n01"/>
        <w:keepLines w:val="0"/>
        <w:spacing w:before="0"/>
        <w:ind w:left="-567" w:right="-518" w:firstLine="0"/>
        <w:outlineLvl w:val="0"/>
        <w:rPr>
          <w:rFonts w:ascii="Arial" w:eastAsia="Calibri" w:hAnsi="Arial" w:cs="Arial"/>
          <w:bCs/>
          <w:color w:val="auto"/>
          <w:sz w:val="23"/>
          <w:szCs w:val="23"/>
          <w:lang w:val="es-MX" w:eastAsia="en-US"/>
        </w:rPr>
      </w:pPr>
    </w:p>
    <w:p w14:paraId="21E63152" w14:textId="77777777" w:rsidR="00236EDD" w:rsidRPr="00236EDD" w:rsidRDefault="00236EDD" w:rsidP="00EF1ADC">
      <w:pPr>
        <w:pStyle w:val="n01"/>
        <w:keepLines w:val="0"/>
        <w:spacing w:before="0"/>
        <w:ind w:left="-567" w:right="-518" w:firstLine="0"/>
        <w:outlineLvl w:val="0"/>
        <w:rPr>
          <w:rFonts w:ascii="Arial" w:eastAsia="Calibri" w:hAnsi="Arial" w:cs="Arial"/>
          <w:bCs/>
          <w:color w:val="auto"/>
          <w:sz w:val="23"/>
          <w:szCs w:val="23"/>
          <w:lang w:val="es-MX" w:eastAsia="en-US"/>
        </w:rPr>
      </w:pPr>
    </w:p>
    <w:p w14:paraId="46CD1373" w14:textId="23FBB8BC" w:rsidR="001F51A6" w:rsidRDefault="001F51A6" w:rsidP="00EF1ADC">
      <w:pPr>
        <w:pStyle w:val="n01"/>
        <w:keepLines w:val="0"/>
        <w:spacing w:before="0"/>
        <w:ind w:left="-567" w:right="-518" w:firstLine="0"/>
        <w:outlineLvl w:val="0"/>
        <w:rPr>
          <w:rFonts w:ascii="Arial" w:eastAsia="Calibri" w:hAnsi="Arial" w:cs="Arial"/>
          <w:b/>
          <w:color w:val="auto"/>
          <w:sz w:val="23"/>
          <w:szCs w:val="23"/>
          <w:lang w:val="es-MX" w:eastAsia="en-US"/>
        </w:rPr>
      </w:pPr>
      <w:r w:rsidRPr="00EF1ADC">
        <w:rPr>
          <w:rFonts w:ascii="Arial" w:eastAsia="Calibri" w:hAnsi="Arial" w:cs="Arial"/>
          <w:b/>
          <w:color w:val="auto"/>
          <w:sz w:val="23"/>
          <w:szCs w:val="23"/>
          <w:lang w:val="es-MX" w:eastAsia="en-US"/>
        </w:rPr>
        <w:t xml:space="preserve">Dinámica de los </w:t>
      </w:r>
      <w:r w:rsidR="00EF1ADC">
        <w:rPr>
          <w:rFonts w:ascii="Arial" w:eastAsia="Calibri" w:hAnsi="Arial" w:cs="Arial"/>
          <w:b/>
          <w:color w:val="auto"/>
          <w:sz w:val="23"/>
          <w:szCs w:val="23"/>
          <w:lang w:val="es-MX" w:eastAsia="en-US"/>
        </w:rPr>
        <w:t>e</w:t>
      </w:r>
      <w:r w:rsidRPr="00EF1ADC">
        <w:rPr>
          <w:rFonts w:ascii="Arial" w:eastAsia="Calibri" w:hAnsi="Arial" w:cs="Arial"/>
          <w:b/>
          <w:color w:val="auto"/>
          <w:sz w:val="23"/>
          <w:szCs w:val="23"/>
          <w:lang w:val="es-MX" w:eastAsia="en-US"/>
        </w:rPr>
        <w:t xml:space="preserve">stados en la </w:t>
      </w:r>
      <w:r w:rsidR="00EF1ADC">
        <w:rPr>
          <w:rFonts w:ascii="Arial" w:eastAsia="Calibri" w:hAnsi="Arial" w:cs="Arial"/>
          <w:b/>
          <w:color w:val="auto"/>
          <w:sz w:val="23"/>
          <w:szCs w:val="23"/>
          <w:lang w:val="es-MX" w:eastAsia="en-US"/>
        </w:rPr>
        <w:t>e</w:t>
      </w:r>
      <w:r w:rsidRPr="00EF1ADC">
        <w:rPr>
          <w:rFonts w:ascii="Arial" w:eastAsia="Calibri" w:hAnsi="Arial" w:cs="Arial"/>
          <w:b/>
          <w:color w:val="auto"/>
          <w:sz w:val="23"/>
          <w:szCs w:val="23"/>
          <w:lang w:val="es-MX" w:eastAsia="en-US"/>
        </w:rPr>
        <w:t xml:space="preserve">conomía </w:t>
      </w:r>
      <w:r w:rsidR="00EF1ADC">
        <w:rPr>
          <w:rFonts w:ascii="Arial" w:eastAsia="Calibri" w:hAnsi="Arial" w:cs="Arial"/>
          <w:b/>
          <w:color w:val="auto"/>
          <w:sz w:val="23"/>
          <w:szCs w:val="23"/>
          <w:lang w:val="es-MX" w:eastAsia="en-US"/>
        </w:rPr>
        <w:t>n</w:t>
      </w:r>
      <w:r w:rsidRPr="00EF1ADC">
        <w:rPr>
          <w:rFonts w:ascii="Arial" w:eastAsia="Calibri" w:hAnsi="Arial" w:cs="Arial"/>
          <w:b/>
          <w:color w:val="auto"/>
          <w:sz w:val="23"/>
          <w:szCs w:val="23"/>
          <w:lang w:val="es-MX" w:eastAsia="en-US"/>
        </w:rPr>
        <w:t>acional</w:t>
      </w:r>
    </w:p>
    <w:p w14:paraId="447007EE" w14:textId="77777777" w:rsidR="00EF1ADC" w:rsidRPr="00EF1ADC" w:rsidRDefault="00EF1ADC" w:rsidP="00EF1ADC">
      <w:pPr>
        <w:pStyle w:val="n01"/>
        <w:keepLines w:val="0"/>
        <w:spacing w:before="0"/>
        <w:ind w:left="-567" w:right="-518" w:firstLine="0"/>
        <w:outlineLvl w:val="0"/>
        <w:rPr>
          <w:rFonts w:ascii="Arial" w:eastAsia="Calibri" w:hAnsi="Arial" w:cs="Arial"/>
          <w:b/>
          <w:color w:val="auto"/>
          <w:sz w:val="23"/>
          <w:szCs w:val="23"/>
          <w:lang w:val="es-MX" w:eastAsia="en-US"/>
        </w:rPr>
      </w:pPr>
    </w:p>
    <w:p w14:paraId="18ED178B" w14:textId="77777777" w:rsidR="001F51A6" w:rsidRDefault="001F51A6" w:rsidP="00EF1ADC">
      <w:pPr>
        <w:pStyle w:val="Textoindependiente"/>
        <w:widowControl w:val="0"/>
        <w:spacing w:before="0"/>
        <w:ind w:left="-567" w:right="-518"/>
        <w:rPr>
          <w:sz w:val="23"/>
          <w:szCs w:val="23"/>
        </w:rPr>
      </w:pPr>
      <w:r w:rsidRPr="00EF1ADC">
        <w:rPr>
          <w:sz w:val="23"/>
          <w:szCs w:val="23"/>
        </w:rPr>
        <w:t>Durante 2020 el Producto Interno Bruto total registró una variación anual de (-)7.9% en términos reales con relación a 2019.</w:t>
      </w:r>
    </w:p>
    <w:p w14:paraId="2A042669" w14:textId="77777777" w:rsidR="00EF1ADC" w:rsidRDefault="00EF1ADC" w:rsidP="00EF1ADC">
      <w:pPr>
        <w:pStyle w:val="Textoindependiente"/>
        <w:tabs>
          <w:tab w:val="left" w:pos="1680"/>
        </w:tabs>
        <w:spacing w:before="0"/>
        <w:ind w:left="-567" w:right="-518"/>
        <w:rPr>
          <w:sz w:val="23"/>
          <w:szCs w:val="23"/>
        </w:rPr>
      </w:pPr>
    </w:p>
    <w:p w14:paraId="7C425226" w14:textId="77777777" w:rsidR="00EF1ADC" w:rsidRDefault="001F51A6" w:rsidP="00EF1ADC">
      <w:pPr>
        <w:pStyle w:val="Textoindependiente"/>
        <w:tabs>
          <w:tab w:val="left" w:pos="1680"/>
        </w:tabs>
        <w:spacing w:before="0"/>
        <w:ind w:left="-567" w:right="-518"/>
        <w:rPr>
          <w:sz w:val="23"/>
          <w:szCs w:val="23"/>
        </w:rPr>
      </w:pPr>
      <w:r w:rsidRPr="00EF1ADC">
        <w:rPr>
          <w:sz w:val="23"/>
          <w:szCs w:val="23"/>
        </w:rPr>
        <w:t xml:space="preserve">En el periodo en cuestión, Tabasco es el único estado con una variación positiva de 3.5 por ciento. </w:t>
      </w:r>
    </w:p>
    <w:p w14:paraId="17566B00" w14:textId="77777777" w:rsidR="00EF1ADC" w:rsidRDefault="00EF1ADC" w:rsidP="00EF1ADC">
      <w:pPr>
        <w:pStyle w:val="Textoindependiente"/>
        <w:tabs>
          <w:tab w:val="left" w:pos="1680"/>
        </w:tabs>
        <w:spacing w:before="0"/>
        <w:ind w:left="-567" w:right="-518"/>
        <w:rPr>
          <w:sz w:val="23"/>
          <w:szCs w:val="23"/>
        </w:rPr>
      </w:pPr>
    </w:p>
    <w:p w14:paraId="6953A7C1" w14:textId="77B8C605" w:rsidR="001F51A6" w:rsidRDefault="001F51A6" w:rsidP="00EF1ADC">
      <w:pPr>
        <w:pStyle w:val="Textoindependiente"/>
        <w:tabs>
          <w:tab w:val="left" w:pos="1680"/>
        </w:tabs>
        <w:spacing w:before="0"/>
        <w:ind w:left="-567" w:right="-518"/>
        <w:rPr>
          <w:sz w:val="23"/>
          <w:szCs w:val="23"/>
        </w:rPr>
      </w:pPr>
      <w:r w:rsidRPr="00EF1ADC">
        <w:rPr>
          <w:sz w:val="23"/>
          <w:szCs w:val="23"/>
        </w:rPr>
        <w:t xml:space="preserve">Los estados que presentaron caídas menores a la del nivel nacional fueron: </w:t>
      </w:r>
      <w:r w:rsidRPr="00EF1ADC">
        <w:rPr>
          <w:sz w:val="23"/>
          <w:szCs w:val="23"/>
          <w:lang w:val="es-MX"/>
        </w:rPr>
        <w:t>Baja California con una tasa de (-)3.7%, Chiapas (-)3.8%, Zacatecas (-)4.2%,</w:t>
      </w:r>
      <w:r w:rsidRPr="00EF1ADC">
        <w:rPr>
          <w:sz w:val="23"/>
          <w:szCs w:val="23"/>
        </w:rPr>
        <w:t xml:space="preserve"> </w:t>
      </w:r>
      <w:r w:rsidRPr="00EF1ADC">
        <w:rPr>
          <w:sz w:val="23"/>
          <w:szCs w:val="23"/>
          <w:lang w:val="es-MX"/>
        </w:rPr>
        <w:t>Sonora (-)5.4%, Oaxaca (-)5.8%, México y Chihuahua con (-)5.9% en cada entidad, Campeche (-)6.6%, Durango y Michoacán de Ocampo (-)6.8%</w:t>
      </w:r>
      <w:r w:rsidR="00EF1ADC">
        <w:rPr>
          <w:sz w:val="23"/>
          <w:szCs w:val="23"/>
          <w:lang w:val="es-MX"/>
        </w:rPr>
        <w:t xml:space="preserve"> cada uno</w:t>
      </w:r>
      <w:r w:rsidRPr="00EF1ADC">
        <w:rPr>
          <w:sz w:val="23"/>
          <w:szCs w:val="23"/>
          <w:lang w:val="es-MX"/>
        </w:rPr>
        <w:t>, Guanajuato y Sinaloa (-)7% en cada caso, Colima (-)7.4%, Jalisco (-)7.5%, San Luis Potosí (-)7.6% y Yucatán (-)7.7 por ciento. El resto</w:t>
      </w:r>
      <w:r w:rsidRPr="00EF1ADC">
        <w:rPr>
          <w:sz w:val="23"/>
          <w:szCs w:val="23"/>
        </w:rPr>
        <w:t xml:space="preserve"> de las entidades mostraron </w:t>
      </w:r>
      <w:r w:rsidR="00EF1ADC">
        <w:rPr>
          <w:sz w:val="23"/>
          <w:szCs w:val="23"/>
        </w:rPr>
        <w:t>variaciones</w:t>
      </w:r>
      <w:r w:rsidRPr="00EF1ADC">
        <w:rPr>
          <w:sz w:val="23"/>
          <w:szCs w:val="23"/>
        </w:rPr>
        <w:t xml:space="preserve"> porcentuales de (-)8.1% a (-)24.1%</w:t>
      </w:r>
      <w:r w:rsidR="00EF1ADC">
        <w:rPr>
          <w:sz w:val="23"/>
          <w:szCs w:val="23"/>
        </w:rPr>
        <w:t>,</w:t>
      </w:r>
      <w:r w:rsidRPr="00EF1ADC">
        <w:rPr>
          <w:sz w:val="23"/>
          <w:szCs w:val="23"/>
        </w:rPr>
        <w:t xml:space="preserve"> destacando los descensos anuales de Quintana Roo, Baja California Sur, Tlaxcala, Nayarit, Coahuila de Zaragoza, Morelos, Hidalgo y Puebla.</w:t>
      </w:r>
    </w:p>
    <w:p w14:paraId="49577F43" w14:textId="77777777" w:rsidR="001F51A6" w:rsidRPr="00EF1ADC" w:rsidRDefault="001F51A6" w:rsidP="00D41996">
      <w:pPr>
        <w:pStyle w:val="n01"/>
        <w:keepLines w:val="0"/>
        <w:spacing w:before="600"/>
        <w:ind w:left="-567" w:right="-516" w:firstLine="0"/>
        <w:jc w:val="center"/>
        <w:outlineLvl w:val="0"/>
        <w:rPr>
          <w:rFonts w:ascii="Arial" w:eastAsia="Calibri" w:hAnsi="Arial" w:cs="Arial"/>
          <w:color w:val="auto"/>
          <w:sz w:val="23"/>
          <w:szCs w:val="23"/>
          <w:lang w:val="es-MX" w:eastAsia="en-US"/>
        </w:rPr>
      </w:pPr>
      <w:r w:rsidRPr="00EF1ADC">
        <w:rPr>
          <w:rFonts w:ascii="Arial" w:eastAsia="Calibri" w:hAnsi="Arial" w:cs="Arial"/>
          <w:color w:val="auto"/>
          <w:sz w:val="23"/>
          <w:szCs w:val="23"/>
          <w:lang w:val="es-MX" w:eastAsia="en-US"/>
        </w:rPr>
        <w:t>Gráfica 6</w:t>
      </w:r>
    </w:p>
    <w:p w14:paraId="3CBA199D" w14:textId="77777777" w:rsidR="001F51A6" w:rsidRPr="00EF1ADC" w:rsidRDefault="001F51A6" w:rsidP="00EF1ADC">
      <w:pPr>
        <w:pStyle w:val="n01"/>
        <w:keepLines w:val="0"/>
        <w:spacing w:before="0"/>
        <w:ind w:left="-567" w:right="-518" w:firstLine="0"/>
        <w:jc w:val="center"/>
        <w:outlineLvl w:val="0"/>
        <w:rPr>
          <w:rFonts w:ascii="Arial" w:hAnsi="Arial" w:cs="Arial"/>
          <w:b/>
          <w:color w:val="auto"/>
          <w:spacing w:val="-6"/>
          <w:sz w:val="23"/>
          <w:szCs w:val="23"/>
        </w:rPr>
      </w:pPr>
      <w:r w:rsidRPr="00EF1ADC">
        <w:rPr>
          <w:rFonts w:ascii="Arial" w:hAnsi="Arial" w:cs="Arial"/>
          <w:b/>
          <w:smallCaps/>
          <w:color w:val="auto"/>
          <w:spacing w:val="-6"/>
          <w:sz w:val="23"/>
          <w:szCs w:val="23"/>
        </w:rPr>
        <w:t xml:space="preserve">Comportamiento del </w:t>
      </w:r>
      <w:bookmarkStart w:id="2" w:name="_Hlk89887581"/>
      <w:r w:rsidRPr="00EF1ADC">
        <w:rPr>
          <w:rFonts w:ascii="Arial" w:hAnsi="Arial" w:cs="Arial"/>
          <w:b/>
          <w:smallCaps/>
          <w:color w:val="auto"/>
          <w:spacing w:val="-6"/>
          <w:sz w:val="23"/>
          <w:szCs w:val="23"/>
        </w:rPr>
        <w:t>Producto Interno Bruto por Entidad Federativa 2020</w:t>
      </w:r>
      <w:bookmarkEnd w:id="2"/>
    </w:p>
    <w:p w14:paraId="4A756191" w14:textId="77777777" w:rsidR="001F51A6" w:rsidRPr="00EF1ADC" w:rsidRDefault="001F51A6" w:rsidP="00EF1ADC">
      <w:pPr>
        <w:pStyle w:val="Textoindependiente"/>
        <w:tabs>
          <w:tab w:val="clear" w:pos="3348"/>
        </w:tabs>
        <w:spacing w:before="0"/>
        <w:ind w:left="-567" w:right="-518"/>
        <w:jc w:val="center"/>
        <w:rPr>
          <w:rFonts w:cs="Arial"/>
          <w:spacing w:val="-6"/>
          <w:sz w:val="23"/>
          <w:szCs w:val="23"/>
        </w:rPr>
      </w:pPr>
      <w:r w:rsidRPr="00EF1ADC">
        <w:rPr>
          <w:rFonts w:cs="Arial"/>
          <w:spacing w:val="-6"/>
          <w:sz w:val="23"/>
          <w:szCs w:val="23"/>
        </w:rPr>
        <w:t>(Variación porcentual anual)</w:t>
      </w:r>
    </w:p>
    <w:p w14:paraId="142CE719" w14:textId="32429BAB" w:rsidR="001F51A6" w:rsidRDefault="00C52817" w:rsidP="00CB3D91">
      <w:pPr>
        <w:pStyle w:val="Textoindependiente"/>
        <w:spacing w:before="0"/>
        <w:ind w:left="-567" w:right="-518"/>
        <w:jc w:val="center"/>
        <w:rPr>
          <w:lang w:val="es-MX"/>
        </w:rPr>
      </w:pPr>
      <w:r w:rsidRPr="00C52817">
        <w:rPr>
          <w:noProof/>
        </w:rPr>
        <w:drawing>
          <wp:inline distT="0" distB="0" distL="0" distR="0" wp14:anchorId="405ABCAC" wp14:editId="0E1932A6">
            <wp:extent cx="5612130" cy="4490085"/>
            <wp:effectExtent l="19050" t="19050" r="26670" b="24765"/>
            <wp:docPr id="3" name="Imagen 3" descr="Gráfico, Gráfico de bar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Gráfico, Gráfico de barras&#10;&#10;Descripción generada automáticamente"/>
                    <pic:cNvPicPr/>
                  </pic:nvPicPr>
                  <pic:blipFill>
                    <a:blip r:embed="rId14"/>
                    <a:stretch>
                      <a:fillRect/>
                    </a:stretch>
                  </pic:blipFill>
                  <pic:spPr>
                    <a:xfrm>
                      <a:off x="0" y="0"/>
                      <a:ext cx="5612130" cy="4490085"/>
                    </a:xfrm>
                    <a:prstGeom prst="rect">
                      <a:avLst/>
                    </a:prstGeom>
                    <a:ln>
                      <a:solidFill>
                        <a:schemeClr val="tx1"/>
                      </a:solidFill>
                    </a:ln>
                  </pic:spPr>
                </pic:pic>
              </a:graphicData>
            </a:graphic>
          </wp:inline>
        </w:drawing>
      </w:r>
    </w:p>
    <w:p w14:paraId="19AA6162" w14:textId="77777777" w:rsidR="001F51A6" w:rsidRDefault="001F51A6" w:rsidP="00EF1ADC">
      <w:pPr>
        <w:tabs>
          <w:tab w:val="left" w:pos="1134"/>
        </w:tabs>
        <w:ind w:left="284" w:hanging="284"/>
        <w:rPr>
          <w:rFonts w:ascii="Arial" w:hAnsi="Arial" w:cs="Arial"/>
          <w:sz w:val="16"/>
          <w:szCs w:val="16"/>
        </w:rPr>
      </w:pPr>
      <w:r>
        <w:rPr>
          <w:rFonts w:ascii="Arial" w:hAnsi="Arial" w:cs="Arial"/>
          <w:sz w:val="16"/>
          <w:szCs w:val="16"/>
        </w:rPr>
        <w:t xml:space="preserve">  Fuente: INEGI.</w:t>
      </w:r>
    </w:p>
    <w:p w14:paraId="3866A207" w14:textId="77777777" w:rsidR="00EF1ADC" w:rsidRPr="00C52817" w:rsidRDefault="00EF1ADC" w:rsidP="00EF1ADC">
      <w:pPr>
        <w:tabs>
          <w:tab w:val="left" w:pos="1134"/>
        </w:tabs>
        <w:ind w:left="284" w:hanging="284"/>
        <w:rPr>
          <w:rFonts w:ascii="Arial" w:hAnsi="Arial" w:cs="Arial"/>
          <w:sz w:val="24"/>
          <w:szCs w:val="24"/>
        </w:rPr>
      </w:pPr>
    </w:p>
    <w:p w14:paraId="5462AD93" w14:textId="77777777" w:rsidR="00EF1ADC" w:rsidRPr="00C52817" w:rsidRDefault="00EF1ADC" w:rsidP="00EF1ADC">
      <w:pPr>
        <w:tabs>
          <w:tab w:val="left" w:pos="1134"/>
        </w:tabs>
        <w:ind w:left="284" w:hanging="284"/>
        <w:rPr>
          <w:rFonts w:ascii="Arial" w:hAnsi="Arial" w:cs="Arial"/>
          <w:sz w:val="24"/>
          <w:szCs w:val="24"/>
        </w:rPr>
      </w:pPr>
    </w:p>
    <w:p w14:paraId="0F5AEAA0" w14:textId="77777777" w:rsidR="00EF1ADC" w:rsidRPr="00C52817" w:rsidRDefault="00EF1ADC" w:rsidP="00EF1ADC">
      <w:pPr>
        <w:tabs>
          <w:tab w:val="left" w:pos="1134"/>
        </w:tabs>
        <w:ind w:left="284" w:hanging="284"/>
        <w:rPr>
          <w:rFonts w:ascii="Arial" w:hAnsi="Arial" w:cs="Arial"/>
          <w:sz w:val="24"/>
          <w:szCs w:val="24"/>
        </w:rPr>
      </w:pPr>
    </w:p>
    <w:p w14:paraId="2DE7A317" w14:textId="77777777" w:rsidR="00EF1ADC" w:rsidRPr="00C52817" w:rsidRDefault="00EF1ADC" w:rsidP="00EF1ADC">
      <w:pPr>
        <w:tabs>
          <w:tab w:val="left" w:pos="1134"/>
        </w:tabs>
        <w:ind w:left="284" w:hanging="284"/>
        <w:rPr>
          <w:rFonts w:ascii="Arial" w:hAnsi="Arial" w:cs="Arial"/>
          <w:sz w:val="24"/>
          <w:szCs w:val="24"/>
        </w:rPr>
      </w:pPr>
    </w:p>
    <w:p w14:paraId="6C8C6EBD" w14:textId="77777777" w:rsidR="001F51A6" w:rsidRPr="009E2FCB" w:rsidRDefault="001F51A6" w:rsidP="00D41996">
      <w:pPr>
        <w:pStyle w:val="n01"/>
        <w:keepLines w:val="0"/>
        <w:spacing w:before="0"/>
        <w:ind w:left="0" w:firstLine="0"/>
        <w:jc w:val="center"/>
        <w:outlineLvl w:val="0"/>
        <w:rPr>
          <w:rFonts w:ascii="Arial" w:eastAsia="Calibri" w:hAnsi="Arial" w:cs="Arial"/>
          <w:color w:val="auto"/>
          <w:szCs w:val="28"/>
          <w:lang w:val="es-MX" w:eastAsia="en-US"/>
        </w:rPr>
      </w:pPr>
      <w:bookmarkStart w:id="3" w:name="_Hlk57984167"/>
      <w:r>
        <w:rPr>
          <w:rFonts w:ascii="Arial" w:eastAsia="Calibri" w:hAnsi="Arial" w:cs="Arial"/>
          <w:color w:val="auto"/>
          <w:szCs w:val="28"/>
          <w:lang w:val="es-MX" w:eastAsia="en-US"/>
        </w:rPr>
        <w:t>Cuadro 1</w:t>
      </w:r>
    </w:p>
    <w:p w14:paraId="628147F6" w14:textId="77777777" w:rsidR="001F51A6" w:rsidRPr="00DC44B6" w:rsidRDefault="001F51A6" w:rsidP="001F51A6">
      <w:pPr>
        <w:pStyle w:val="n01"/>
        <w:keepLines w:val="0"/>
        <w:spacing w:before="0" w:line="20" w:lineRule="atLeast"/>
        <w:ind w:left="851" w:right="900" w:firstLine="0"/>
        <w:jc w:val="center"/>
        <w:outlineLvl w:val="0"/>
        <w:rPr>
          <w:rFonts w:ascii="Arial" w:hAnsi="Arial" w:cs="Arial"/>
          <w:b/>
          <w:color w:val="auto"/>
          <w:spacing w:val="-6"/>
          <w:szCs w:val="24"/>
        </w:rPr>
      </w:pPr>
      <w:r>
        <w:rPr>
          <w:rFonts w:ascii="Arial" w:hAnsi="Arial" w:cs="Arial"/>
          <w:b/>
          <w:smallCaps/>
          <w:color w:val="auto"/>
          <w:spacing w:val="-6"/>
          <w:szCs w:val="24"/>
        </w:rPr>
        <w:t>Comportamiento del Producto Interno Bruto por Entidad Federativa 2020</w:t>
      </w:r>
    </w:p>
    <w:p w14:paraId="14B29996" w14:textId="77777777" w:rsidR="001F51A6" w:rsidRDefault="001F51A6" w:rsidP="001F51A6">
      <w:pPr>
        <w:pStyle w:val="Textoindependiente"/>
        <w:tabs>
          <w:tab w:val="clear" w:pos="3348"/>
        </w:tabs>
        <w:spacing w:before="0"/>
        <w:ind w:right="-2"/>
        <w:jc w:val="center"/>
        <w:rPr>
          <w:rFonts w:cs="Arial"/>
          <w:spacing w:val="-6"/>
          <w:sz w:val="20"/>
          <w:szCs w:val="24"/>
        </w:rPr>
      </w:pPr>
      <w:r w:rsidRPr="00DC44B6">
        <w:rPr>
          <w:rFonts w:cs="Arial"/>
          <w:spacing w:val="-6"/>
          <w:sz w:val="20"/>
          <w:szCs w:val="24"/>
        </w:rPr>
        <w:t>(</w:t>
      </w:r>
      <w:r>
        <w:rPr>
          <w:rFonts w:cs="Arial"/>
          <w:spacing w:val="-6"/>
          <w:sz w:val="20"/>
          <w:szCs w:val="24"/>
        </w:rPr>
        <w:t>Variación porcentual anual)</w:t>
      </w:r>
    </w:p>
    <w:tbl>
      <w:tblPr>
        <w:tblW w:w="8262" w:type="dxa"/>
        <w:tblInd w:w="284" w:type="dxa"/>
        <w:tblLayout w:type="fixed"/>
        <w:tblCellMar>
          <w:left w:w="70" w:type="dxa"/>
          <w:right w:w="70" w:type="dxa"/>
        </w:tblCellMar>
        <w:tblLook w:val="0000" w:firstRow="0" w:lastRow="0" w:firstColumn="0" w:lastColumn="0" w:noHBand="0" w:noVBand="0"/>
      </w:tblPr>
      <w:tblGrid>
        <w:gridCol w:w="2888"/>
        <w:gridCol w:w="1359"/>
        <w:gridCol w:w="1328"/>
        <w:gridCol w:w="1344"/>
        <w:gridCol w:w="1343"/>
      </w:tblGrid>
      <w:tr w:rsidR="001F51A6" w:rsidRPr="004C59DE" w14:paraId="459A6A18" w14:textId="77777777" w:rsidTr="001F51A6">
        <w:trPr>
          <w:trHeight w:val="353"/>
        </w:trPr>
        <w:tc>
          <w:tcPr>
            <w:tcW w:w="2888" w:type="dxa"/>
            <w:vMerge w:val="restart"/>
            <w:tcBorders>
              <w:top w:val="single" w:sz="4" w:space="0" w:color="auto"/>
              <w:left w:val="single" w:sz="4" w:space="0" w:color="auto"/>
              <w:right w:val="single" w:sz="4" w:space="0" w:color="auto"/>
            </w:tcBorders>
            <w:shd w:val="clear" w:color="auto" w:fill="C45911" w:themeFill="accent2" w:themeFillShade="BF"/>
            <w:vAlign w:val="center"/>
          </w:tcPr>
          <w:bookmarkEnd w:id="3"/>
          <w:p w14:paraId="22BAD494" w14:textId="77777777" w:rsidR="001F51A6" w:rsidRPr="004C59DE" w:rsidRDefault="001F51A6" w:rsidP="001F51A6">
            <w:pPr>
              <w:autoSpaceDE w:val="0"/>
              <w:autoSpaceDN w:val="0"/>
              <w:adjustRightInd w:val="0"/>
              <w:jc w:val="center"/>
              <w:rPr>
                <w:rFonts w:ascii="Arial" w:eastAsiaTheme="minorHAnsi" w:hAnsi="Arial" w:cs="Arial"/>
                <w:b/>
                <w:bCs/>
                <w:color w:val="FFFFFF"/>
                <w:lang w:val="es-MX" w:eastAsia="en-US"/>
              </w:rPr>
            </w:pPr>
            <w:r w:rsidRPr="004C59DE">
              <w:rPr>
                <w:rFonts w:ascii="Arial" w:eastAsiaTheme="minorHAnsi" w:hAnsi="Arial" w:cs="Arial"/>
                <w:b/>
                <w:bCs/>
                <w:color w:val="FFFFFF"/>
                <w:lang w:val="es-MX" w:eastAsia="en-US"/>
              </w:rPr>
              <w:t>Estado</w:t>
            </w:r>
          </w:p>
        </w:tc>
        <w:tc>
          <w:tcPr>
            <w:tcW w:w="1359" w:type="dxa"/>
            <w:vMerge w:val="restart"/>
            <w:tcBorders>
              <w:top w:val="single" w:sz="6" w:space="0" w:color="auto"/>
              <w:left w:val="single" w:sz="4" w:space="0" w:color="auto"/>
              <w:right w:val="single" w:sz="6" w:space="0" w:color="auto"/>
            </w:tcBorders>
            <w:shd w:val="clear" w:color="auto" w:fill="C45911" w:themeFill="accent2" w:themeFillShade="BF"/>
            <w:vAlign w:val="center"/>
          </w:tcPr>
          <w:p w14:paraId="7479F75F" w14:textId="77777777" w:rsidR="001F51A6" w:rsidRPr="004C59DE" w:rsidRDefault="001F51A6" w:rsidP="001F51A6">
            <w:pPr>
              <w:autoSpaceDE w:val="0"/>
              <w:autoSpaceDN w:val="0"/>
              <w:adjustRightInd w:val="0"/>
              <w:jc w:val="center"/>
              <w:rPr>
                <w:rFonts w:ascii="Arial" w:eastAsiaTheme="minorHAnsi" w:hAnsi="Arial" w:cs="Arial"/>
                <w:b/>
                <w:bCs/>
                <w:color w:val="FFFFFF"/>
                <w:lang w:val="es-MX" w:eastAsia="en-US"/>
              </w:rPr>
            </w:pPr>
            <w:r w:rsidRPr="004C59DE">
              <w:rPr>
                <w:rFonts w:ascii="Arial" w:eastAsiaTheme="minorHAnsi" w:hAnsi="Arial" w:cs="Arial"/>
                <w:b/>
                <w:bCs/>
                <w:color w:val="FFFFFF"/>
                <w:lang w:val="es-MX" w:eastAsia="en-US"/>
              </w:rPr>
              <w:t>Total</w:t>
            </w:r>
          </w:p>
        </w:tc>
        <w:tc>
          <w:tcPr>
            <w:tcW w:w="4015" w:type="dxa"/>
            <w:gridSpan w:val="3"/>
            <w:tcBorders>
              <w:top w:val="single" w:sz="6" w:space="0" w:color="auto"/>
              <w:left w:val="single" w:sz="6" w:space="0" w:color="auto"/>
              <w:bottom w:val="single" w:sz="6" w:space="0" w:color="auto"/>
              <w:right w:val="single" w:sz="6" w:space="0" w:color="auto"/>
            </w:tcBorders>
            <w:shd w:val="clear" w:color="auto" w:fill="C45911" w:themeFill="accent2" w:themeFillShade="BF"/>
            <w:vAlign w:val="center"/>
          </w:tcPr>
          <w:p w14:paraId="0613EDE7" w14:textId="77777777" w:rsidR="001F51A6" w:rsidRPr="004C59DE" w:rsidRDefault="001F51A6" w:rsidP="001F51A6">
            <w:pPr>
              <w:autoSpaceDE w:val="0"/>
              <w:autoSpaceDN w:val="0"/>
              <w:adjustRightInd w:val="0"/>
              <w:jc w:val="center"/>
              <w:rPr>
                <w:rFonts w:ascii="Arial" w:eastAsiaTheme="minorHAnsi" w:hAnsi="Arial" w:cs="Arial"/>
                <w:b/>
                <w:bCs/>
                <w:color w:val="FFFFFF"/>
                <w:lang w:val="es-MX" w:eastAsia="en-US"/>
              </w:rPr>
            </w:pPr>
            <w:r w:rsidRPr="004C59DE">
              <w:rPr>
                <w:rFonts w:ascii="Arial" w:eastAsiaTheme="minorHAnsi" w:hAnsi="Arial" w:cs="Arial"/>
                <w:b/>
                <w:bCs/>
                <w:color w:val="FFFFFF"/>
                <w:lang w:val="es-MX" w:eastAsia="en-US"/>
              </w:rPr>
              <w:t>Actividades</w:t>
            </w:r>
          </w:p>
        </w:tc>
      </w:tr>
      <w:tr w:rsidR="001F51A6" w:rsidRPr="004C59DE" w14:paraId="447F7BA4" w14:textId="77777777" w:rsidTr="001F51A6">
        <w:trPr>
          <w:trHeight w:val="297"/>
        </w:trPr>
        <w:tc>
          <w:tcPr>
            <w:tcW w:w="2888" w:type="dxa"/>
            <w:vMerge/>
            <w:tcBorders>
              <w:left w:val="single" w:sz="4" w:space="0" w:color="auto"/>
              <w:bottom w:val="single" w:sz="4" w:space="0" w:color="auto"/>
              <w:right w:val="single" w:sz="4" w:space="0" w:color="auto"/>
            </w:tcBorders>
            <w:shd w:val="clear" w:color="auto" w:fill="C45911" w:themeFill="accent2" w:themeFillShade="BF"/>
            <w:vAlign w:val="center"/>
          </w:tcPr>
          <w:p w14:paraId="4FE4F6E1" w14:textId="77777777" w:rsidR="001F51A6" w:rsidRPr="004C59DE" w:rsidRDefault="001F51A6" w:rsidP="001F51A6">
            <w:pPr>
              <w:autoSpaceDE w:val="0"/>
              <w:autoSpaceDN w:val="0"/>
              <w:adjustRightInd w:val="0"/>
              <w:jc w:val="center"/>
              <w:rPr>
                <w:rFonts w:ascii="Arial" w:eastAsiaTheme="minorHAnsi" w:hAnsi="Arial" w:cs="Arial"/>
                <w:b/>
                <w:bCs/>
                <w:color w:val="FFFFFF"/>
                <w:lang w:val="es-MX" w:eastAsia="en-US"/>
              </w:rPr>
            </w:pPr>
          </w:p>
        </w:tc>
        <w:tc>
          <w:tcPr>
            <w:tcW w:w="1359" w:type="dxa"/>
            <w:vMerge/>
            <w:tcBorders>
              <w:left w:val="single" w:sz="4" w:space="0" w:color="auto"/>
              <w:bottom w:val="single" w:sz="4" w:space="0" w:color="auto"/>
              <w:right w:val="single" w:sz="6" w:space="0" w:color="auto"/>
            </w:tcBorders>
            <w:shd w:val="clear" w:color="auto" w:fill="C45911" w:themeFill="accent2" w:themeFillShade="BF"/>
            <w:vAlign w:val="center"/>
          </w:tcPr>
          <w:p w14:paraId="1DDFFF9D" w14:textId="77777777" w:rsidR="001F51A6" w:rsidRPr="004C59DE" w:rsidRDefault="001F51A6" w:rsidP="001F51A6">
            <w:pPr>
              <w:autoSpaceDE w:val="0"/>
              <w:autoSpaceDN w:val="0"/>
              <w:adjustRightInd w:val="0"/>
              <w:jc w:val="center"/>
              <w:rPr>
                <w:rFonts w:ascii="Arial" w:eastAsiaTheme="minorHAnsi" w:hAnsi="Arial" w:cs="Arial"/>
                <w:b/>
                <w:bCs/>
                <w:color w:val="FFFFFF"/>
                <w:lang w:val="es-MX" w:eastAsia="en-US"/>
              </w:rPr>
            </w:pPr>
          </w:p>
        </w:tc>
        <w:tc>
          <w:tcPr>
            <w:tcW w:w="1328" w:type="dxa"/>
            <w:tcBorders>
              <w:top w:val="single" w:sz="6" w:space="0" w:color="auto"/>
              <w:left w:val="single" w:sz="6" w:space="0" w:color="auto"/>
              <w:bottom w:val="single" w:sz="4" w:space="0" w:color="auto"/>
              <w:right w:val="single" w:sz="6" w:space="0" w:color="auto"/>
            </w:tcBorders>
            <w:shd w:val="clear" w:color="auto" w:fill="C45911" w:themeFill="accent2" w:themeFillShade="BF"/>
            <w:vAlign w:val="center"/>
          </w:tcPr>
          <w:p w14:paraId="355DF6C3" w14:textId="77777777" w:rsidR="001F51A6" w:rsidRPr="004C59DE" w:rsidRDefault="001F51A6" w:rsidP="001F51A6">
            <w:pPr>
              <w:autoSpaceDE w:val="0"/>
              <w:autoSpaceDN w:val="0"/>
              <w:adjustRightInd w:val="0"/>
              <w:jc w:val="center"/>
              <w:rPr>
                <w:rFonts w:ascii="Arial" w:eastAsiaTheme="minorHAnsi" w:hAnsi="Arial" w:cs="Arial"/>
                <w:b/>
                <w:bCs/>
                <w:color w:val="FFFFFF"/>
                <w:lang w:val="es-MX" w:eastAsia="en-US"/>
              </w:rPr>
            </w:pPr>
            <w:r w:rsidRPr="004C59DE">
              <w:rPr>
                <w:rFonts w:ascii="Arial" w:eastAsiaTheme="minorHAnsi" w:hAnsi="Arial" w:cs="Arial"/>
                <w:b/>
                <w:bCs/>
                <w:color w:val="FFFFFF"/>
                <w:lang w:val="es-MX" w:eastAsia="en-US"/>
              </w:rPr>
              <w:t>Primarias</w:t>
            </w:r>
          </w:p>
        </w:tc>
        <w:tc>
          <w:tcPr>
            <w:tcW w:w="1344" w:type="dxa"/>
            <w:tcBorders>
              <w:top w:val="single" w:sz="6" w:space="0" w:color="auto"/>
              <w:left w:val="single" w:sz="6" w:space="0" w:color="auto"/>
              <w:bottom w:val="single" w:sz="4" w:space="0" w:color="auto"/>
              <w:right w:val="single" w:sz="6" w:space="0" w:color="auto"/>
            </w:tcBorders>
            <w:shd w:val="clear" w:color="auto" w:fill="C45911" w:themeFill="accent2" w:themeFillShade="BF"/>
            <w:vAlign w:val="center"/>
          </w:tcPr>
          <w:p w14:paraId="70D070AD" w14:textId="77777777" w:rsidR="001F51A6" w:rsidRPr="004C59DE" w:rsidRDefault="001F51A6" w:rsidP="001F51A6">
            <w:pPr>
              <w:autoSpaceDE w:val="0"/>
              <w:autoSpaceDN w:val="0"/>
              <w:adjustRightInd w:val="0"/>
              <w:jc w:val="center"/>
              <w:rPr>
                <w:rFonts w:ascii="Arial" w:eastAsiaTheme="minorHAnsi" w:hAnsi="Arial" w:cs="Arial"/>
                <w:b/>
                <w:bCs/>
                <w:color w:val="FFFFFF"/>
                <w:lang w:val="es-MX" w:eastAsia="en-US"/>
              </w:rPr>
            </w:pPr>
            <w:r w:rsidRPr="004C59DE">
              <w:rPr>
                <w:rFonts w:ascii="Arial" w:eastAsiaTheme="minorHAnsi" w:hAnsi="Arial" w:cs="Arial"/>
                <w:b/>
                <w:bCs/>
                <w:color w:val="FFFFFF"/>
                <w:lang w:val="es-MX" w:eastAsia="en-US"/>
              </w:rPr>
              <w:t>Secundarias</w:t>
            </w:r>
          </w:p>
        </w:tc>
        <w:tc>
          <w:tcPr>
            <w:tcW w:w="1343" w:type="dxa"/>
            <w:tcBorders>
              <w:top w:val="single" w:sz="6" w:space="0" w:color="auto"/>
              <w:left w:val="single" w:sz="6" w:space="0" w:color="auto"/>
              <w:bottom w:val="single" w:sz="4" w:space="0" w:color="auto"/>
              <w:right w:val="single" w:sz="6" w:space="0" w:color="auto"/>
            </w:tcBorders>
            <w:shd w:val="clear" w:color="auto" w:fill="C45911" w:themeFill="accent2" w:themeFillShade="BF"/>
            <w:vAlign w:val="center"/>
          </w:tcPr>
          <w:p w14:paraId="077F94E3" w14:textId="77777777" w:rsidR="001F51A6" w:rsidRPr="004C59DE" w:rsidRDefault="001F51A6" w:rsidP="001F51A6">
            <w:pPr>
              <w:autoSpaceDE w:val="0"/>
              <w:autoSpaceDN w:val="0"/>
              <w:adjustRightInd w:val="0"/>
              <w:jc w:val="center"/>
              <w:rPr>
                <w:rFonts w:ascii="Arial" w:eastAsiaTheme="minorHAnsi" w:hAnsi="Arial" w:cs="Arial"/>
                <w:b/>
                <w:bCs/>
                <w:color w:val="FFFFFF"/>
                <w:lang w:val="es-MX" w:eastAsia="en-US"/>
              </w:rPr>
            </w:pPr>
            <w:r w:rsidRPr="004C59DE">
              <w:rPr>
                <w:rFonts w:ascii="Arial" w:eastAsiaTheme="minorHAnsi" w:hAnsi="Arial" w:cs="Arial"/>
                <w:b/>
                <w:bCs/>
                <w:color w:val="FFFFFF"/>
                <w:lang w:val="es-MX" w:eastAsia="en-US"/>
              </w:rPr>
              <w:t>Terciarias</w:t>
            </w:r>
          </w:p>
        </w:tc>
      </w:tr>
      <w:tr w:rsidR="001F51A6" w:rsidRPr="004C59DE" w14:paraId="74DBF229" w14:textId="77777777" w:rsidTr="001F51A6">
        <w:trPr>
          <w:trHeight w:val="243"/>
        </w:trPr>
        <w:tc>
          <w:tcPr>
            <w:tcW w:w="2888" w:type="dxa"/>
            <w:tcBorders>
              <w:top w:val="single" w:sz="4" w:space="0" w:color="auto"/>
              <w:left w:val="single" w:sz="4" w:space="0" w:color="auto"/>
              <w:right w:val="single" w:sz="4" w:space="0" w:color="auto"/>
            </w:tcBorders>
          </w:tcPr>
          <w:p w14:paraId="69B71EBD" w14:textId="77777777" w:rsidR="001F51A6" w:rsidRPr="004C59DE" w:rsidRDefault="001F51A6" w:rsidP="001F51A6">
            <w:pPr>
              <w:autoSpaceDE w:val="0"/>
              <w:autoSpaceDN w:val="0"/>
              <w:adjustRightInd w:val="0"/>
              <w:rPr>
                <w:rFonts w:ascii="Arial" w:eastAsiaTheme="minorHAnsi" w:hAnsi="Arial" w:cs="Arial"/>
                <w:b/>
                <w:bCs/>
                <w:color w:val="000000"/>
                <w:lang w:val="es-MX" w:eastAsia="en-US"/>
              </w:rPr>
            </w:pPr>
            <w:r w:rsidRPr="004C59DE">
              <w:rPr>
                <w:rFonts w:ascii="Arial" w:eastAsiaTheme="minorHAnsi" w:hAnsi="Arial" w:cs="Arial"/>
                <w:b/>
                <w:bCs/>
                <w:color w:val="000000"/>
                <w:lang w:val="es-MX" w:eastAsia="en-US"/>
              </w:rPr>
              <w:t>Estados Unidos Mexicanos</w:t>
            </w:r>
          </w:p>
        </w:tc>
        <w:tc>
          <w:tcPr>
            <w:tcW w:w="1359" w:type="dxa"/>
            <w:tcBorders>
              <w:top w:val="single" w:sz="4" w:space="0" w:color="auto"/>
              <w:left w:val="single" w:sz="4" w:space="0" w:color="auto"/>
            </w:tcBorders>
          </w:tcPr>
          <w:p w14:paraId="31232289" w14:textId="77777777" w:rsidR="001F51A6" w:rsidRPr="004C59DE" w:rsidRDefault="001F51A6" w:rsidP="001F51A6">
            <w:pPr>
              <w:autoSpaceDE w:val="0"/>
              <w:autoSpaceDN w:val="0"/>
              <w:adjustRightInd w:val="0"/>
              <w:ind w:right="338"/>
              <w:jc w:val="right"/>
              <w:rPr>
                <w:rFonts w:ascii="Arial" w:eastAsiaTheme="minorHAnsi" w:hAnsi="Arial" w:cs="Arial"/>
                <w:b/>
                <w:bCs/>
                <w:color w:val="000000"/>
                <w:lang w:val="es-MX" w:eastAsia="en-US"/>
              </w:rPr>
            </w:pPr>
            <w:r w:rsidRPr="004C59DE">
              <w:rPr>
                <w:rFonts w:ascii="Arial" w:eastAsiaTheme="minorHAnsi" w:hAnsi="Arial" w:cs="Arial"/>
                <w:b/>
                <w:bCs/>
                <w:color w:val="000000"/>
                <w:lang w:val="es-MX" w:eastAsia="en-US"/>
              </w:rPr>
              <w:t xml:space="preserve">(-)   </w:t>
            </w:r>
            <w:r>
              <w:rPr>
                <w:rFonts w:ascii="Arial" w:eastAsiaTheme="minorHAnsi" w:hAnsi="Arial" w:cs="Arial"/>
                <w:b/>
                <w:bCs/>
                <w:color w:val="000000"/>
                <w:lang w:val="es-MX" w:eastAsia="en-US"/>
              </w:rPr>
              <w:t>7.9</w:t>
            </w:r>
            <w:r w:rsidRPr="004C59DE">
              <w:rPr>
                <w:rFonts w:ascii="Arial" w:eastAsiaTheme="minorHAnsi" w:hAnsi="Arial" w:cs="Arial"/>
                <w:b/>
                <w:bCs/>
                <w:color w:val="000000"/>
                <w:lang w:val="es-MX" w:eastAsia="en-US"/>
              </w:rPr>
              <w:t xml:space="preserve"> </w:t>
            </w:r>
          </w:p>
        </w:tc>
        <w:tc>
          <w:tcPr>
            <w:tcW w:w="1328" w:type="dxa"/>
            <w:tcBorders>
              <w:top w:val="single" w:sz="4" w:space="0" w:color="auto"/>
            </w:tcBorders>
          </w:tcPr>
          <w:p w14:paraId="2BF0AE7F" w14:textId="77777777" w:rsidR="001F51A6" w:rsidRPr="004C59DE" w:rsidRDefault="001F51A6" w:rsidP="001F51A6">
            <w:pPr>
              <w:autoSpaceDE w:val="0"/>
              <w:autoSpaceDN w:val="0"/>
              <w:adjustRightInd w:val="0"/>
              <w:ind w:right="338"/>
              <w:jc w:val="right"/>
              <w:rPr>
                <w:rFonts w:ascii="Arial" w:eastAsiaTheme="minorHAnsi" w:hAnsi="Arial" w:cs="Arial"/>
                <w:b/>
                <w:bCs/>
                <w:color w:val="000000"/>
                <w:lang w:val="es-MX" w:eastAsia="en-US"/>
              </w:rPr>
            </w:pPr>
            <w:r w:rsidRPr="004C59DE">
              <w:rPr>
                <w:rFonts w:ascii="Arial" w:eastAsiaTheme="minorHAnsi" w:hAnsi="Arial" w:cs="Arial"/>
                <w:b/>
                <w:bCs/>
                <w:color w:val="000000"/>
                <w:lang w:val="es-MX" w:eastAsia="en-US"/>
              </w:rPr>
              <w:t xml:space="preserve">0.3 </w:t>
            </w:r>
          </w:p>
        </w:tc>
        <w:tc>
          <w:tcPr>
            <w:tcW w:w="1344" w:type="dxa"/>
            <w:tcBorders>
              <w:top w:val="single" w:sz="4" w:space="0" w:color="auto"/>
            </w:tcBorders>
          </w:tcPr>
          <w:p w14:paraId="4B6317FA" w14:textId="77777777" w:rsidR="001F51A6" w:rsidRPr="004C59DE" w:rsidRDefault="001F51A6" w:rsidP="001F51A6">
            <w:pPr>
              <w:autoSpaceDE w:val="0"/>
              <w:autoSpaceDN w:val="0"/>
              <w:adjustRightInd w:val="0"/>
              <w:ind w:right="338"/>
              <w:jc w:val="right"/>
              <w:rPr>
                <w:rFonts w:ascii="Arial" w:eastAsiaTheme="minorHAnsi" w:hAnsi="Arial" w:cs="Arial"/>
                <w:b/>
                <w:bCs/>
                <w:color w:val="000000"/>
                <w:lang w:val="es-MX" w:eastAsia="en-US"/>
              </w:rPr>
            </w:pPr>
            <w:r w:rsidRPr="004C59DE">
              <w:rPr>
                <w:rFonts w:ascii="Arial" w:eastAsiaTheme="minorHAnsi" w:hAnsi="Arial" w:cs="Arial"/>
                <w:b/>
                <w:bCs/>
                <w:color w:val="000000"/>
                <w:lang w:val="es-MX" w:eastAsia="en-US"/>
              </w:rPr>
              <w:t xml:space="preserve">(-)   </w:t>
            </w:r>
            <w:r>
              <w:rPr>
                <w:rFonts w:ascii="Arial" w:eastAsiaTheme="minorHAnsi" w:hAnsi="Arial" w:cs="Arial"/>
                <w:b/>
                <w:bCs/>
                <w:color w:val="000000"/>
                <w:lang w:val="es-MX" w:eastAsia="en-US"/>
              </w:rPr>
              <w:t>9.8</w:t>
            </w:r>
            <w:r w:rsidRPr="004C59DE">
              <w:rPr>
                <w:rFonts w:ascii="Arial" w:eastAsiaTheme="minorHAnsi" w:hAnsi="Arial" w:cs="Arial"/>
                <w:b/>
                <w:bCs/>
                <w:color w:val="000000"/>
                <w:lang w:val="es-MX" w:eastAsia="en-US"/>
              </w:rPr>
              <w:t xml:space="preserve"> </w:t>
            </w:r>
          </w:p>
        </w:tc>
        <w:tc>
          <w:tcPr>
            <w:tcW w:w="1343" w:type="dxa"/>
            <w:tcBorders>
              <w:top w:val="single" w:sz="4" w:space="0" w:color="auto"/>
              <w:right w:val="single" w:sz="4" w:space="0" w:color="auto"/>
            </w:tcBorders>
          </w:tcPr>
          <w:p w14:paraId="339BA37E" w14:textId="77777777" w:rsidR="001F51A6" w:rsidRPr="004C59DE" w:rsidRDefault="001F51A6" w:rsidP="001F51A6">
            <w:pPr>
              <w:autoSpaceDE w:val="0"/>
              <w:autoSpaceDN w:val="0"/>
              <w:adjustRightInd w:val="0"/>
              <w:ind w:right="338"/>
              <w:jc w:val="right"/>
              <w:rPr>
                <w:rFonts w:ascii="Arial" w:eastAsiaTheme="minorHAnsi" w:hAnsi="Arial" w:cs="Arial"/>
                <w:b/>
                <w:bCs/>
                <w:color w:val="000000"/>
                <w:lang w:val="es-MX" w:eastAsia="en-US"/>
              </w:rPr>
            </w:pPr>
            <w:r>
              <w:rPr>
                <w:rFonts w:ascii="Arial" w:eastAsiaTheme="minorHAnsi" w:hAnsi="Arial" w:cs="Arial"/>
                <w:b/>
                <w:bCs/>
                <w:color w:val="000000"/>
                <w:lang w:val="es-MX" w:eastAsia="en-US"/>
              </w:rPr>
              <w:t>(-)   7.5</w:t>
            </w:r>
            <w:r w:rsidRPr="004C59DE">
              <w:rPr>
                <w:rFonts w:ascii="Arial" w:eastAsiaTheme="minorHAnsi" w:hAnsi="Arial" w:cs="Arial"/>
                <w:b/>
                <w:bCs/>
                <w:color w:val="000000"/>
                <w:lang w:val="es-MX" w:eastAsia="en-US"/>
              </w:rPr>
              <w:t xml:space="preserve"> </w:t>
            </w:r>
          </w:p>
        </w:tc>
      </w:tr>
      <w:tr w:rsidR="001F51A6" w:rsidRPr="004C59DE" w14:paraId="6C0E9C6E" w14:textId="77777777" w:rsidTr="001F51A6">
        <w:trPr>
          <w:trHeight w:val="243"/>
        </w:trPr>
        <w:tc>
          <w:tcPr>
            <w:tcW w:w="2888" w:type="dxa"/>
            <w:tcBorders>
              <w:left w:val="single" w:sz="4" w:space="0" w:color="auto"/>
              <w:right w:val="single" w:sz="4" w:space="0" w:color="auto"/>
            </w:tcBorders>
          </w:tcPr>
          <w:p w14:paraId="34E6037C" w14:textId="77777777" w:rsidR="001F51A6" w:rsidRPr="004C59DE" w:rsidRDefault="001F51A6" w:rsidP="001F51A6">
            <w:pPr>
              <w:autoSpaceDE w:val="0"/>
              <w:autoSpaceDN w:val="0"/>
              <w:adjustRightInd w:val="0"/>
              <w:rPr>
                <w:rFonts w:ascii="Arial" w:eastAsiaTheme="minorHAnsi" w:hAnsi="Arial" w:cs="Arial"/>
                <w:color w:val="000000"/>
                <w:lang w:val="es-MX" w:eastAsia="en-US"/>
              </w:rPr>
            </w:pPr>
            <w:r w:rsidRPr="004C59DE">
              <w:rPr>
                <w:rFonts w:ascii="Arial" w:eastAsiaTheme="minorHAnsi" w:hAnsi="Arial" w:cs="Arial"/>
                <w:color w:val="000000"/>
                <w:lang w:val="es-MX" w:eastAsia="en-US"/>
              </w:rPr>
              <w:t>Aguascalientes</w:t>
            </w:r>
          </w:p>
        </w:tc>
        <w:tc>
          <w:tcPr>
            <w:tcW w:w="1359" w:type="dxa"/>
            <w:tcBorders>
              <w:left w:val="single" w:sz="4" w:space="0" w:color="auto"/>
            </w:tcBorders>
          </w:tcPr>
          <w:p w14:paraId="772077CC"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sidRPr="004C59DE">
              <w:rPr>
                <w:rFonts w:ascii="Arial" w:eastAsiaTheme="minorHAnsi" w:hAnsi="Arial" w:cs="Arial"/>
                <w:color w:val="000000"/>
                <w:lang w:val="es-MX" w:eastAsia="en-US"/>
              </w:rPr>
              <w:t xml:space="preserve">(-)   </w:t>
            </w:r>
            <w:r>
              <w:rPr>
                <w:rFonts w:ascii="Arial" w:eastAsiaTheme="minorHAnsi" w:hAnsi="Arial" w:cs="Arial"/>
                <w:color w:val="000000"/>
                <w:lang w:val="es-MX" w:eastAsia="en-US"/>
              </w:rPr>
              <w:t>8.2</w:t>
            </w:r>
            <w:r w:rsidRPr="004C59DE">
              <w:rPr>
                <w:rFonts w:ascii="Arial" w:eastAsiaTheme="minorHAnsi" w:hAnsi="Arial" w:cs="Arial"/>
                <w:color w:val="000000"/>
                <w:lang w:val="es-MX" w:eastAsia="en-US"/>
              </w:rPr>
              <w:t xml:space="preserve"> </w:t>
            </w:r>
          </w:p>
        </w:tc>
        <w:tc>
          <w:tcPr>
            <w:tcW w:w="1328" w:type="dxa"/>
          </w:tcPr>
          <w:p w14:paraId="33A0BF73"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2.4</w:t>
            </w:r>
            <w:r w:rsidRPr="004C59DE">
              <w:rPr>
                <w:rFonts w:ascii="Arial" w:eastAsiaTheme="minorHAnsi" w:hAnsi="Arial" w:cs="Arial"/>
                <w:color w:val="000000"/>
                <w:lang w:val="es-MX" w:eastAsia="en-US"/>
              </w:rPr>
              <w:t xml:space="preserve"> </w:t>
            </w:r>
          </w:p>
        </w:tc>
        <w:tc>
          <w:tcPr>
            <w:tcW w:w="1344" w:type="dxa"/>
          </w:tcPr>
          <w:p w14:paraId="38DD7FCF"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sidRPr="004C59DE">
              <w:rPr>
                <w:rFonts w:ascii="Arial" w:eastAsiaTheme="minorHAnsi" w:hAnsi="Arial" w:cs="Arial"/>
                <w:color w:val="000000"/>
                <w:lang w:val="es-MX" w:eastAsia="en-US"/>
              </w:rPr>
              <w:t xml:space="preserve">(-) </w:t>
            </w:r>
            <w:r>
              <w:rPr>
                <w:rFonts w:ascii="Arial" w:eastAsiaTheme="minorHAnsi" w:hAnsi="Arial" w:cs="Arial"/>
                <w:color w:val="000000"/>
                <w:lang w:val="es-MX" w:eastAsia="en-US"/>
              </w:rPr>
              <w:t>1</w:t>
            </w:r>
            <w:r w:rsidRPr="004C59DE">
              <w:rPr>
                <w:rFonts w:ascii="Arial" w:eastAsiaTheme="minorHAnsi" w:hAnsi="Arial" w:cs="Arial"/>
                <w:color w:val="000000"/>
                <w:lang w:val="es-MX" w:eastAsia="en-US"/>
              </w:rPr>
              <w:t xml:space="preserve">2.0 </w:t>
            </w:r>
          </w:p>
        </w:tc>
        <w:tc>
          <w:tcPr>
            <w:tcW w:w="1343" w:type="dxa"/>
            <w:tcBorders>
              <w:right w:val="single" w:sz="4" w:space="0" w:color="auto"/>
            </w:tcBorders>
          </w:tcPr>
          <w:p w14:paraId="247D0AA8"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   6.2</w:t>
            </w:r>
            <w:r w:rsidRPr="004C59DE">
              <w:rPr>
                <w:rFonts w:ascii="Arial" w:eastAsiaTheme="minorHAnsi" w:hAnsi="Arial" w:cs="Arial"/>
                <w:color w:val="000000"/>
                <w:lang w:val="es-MX" w:eastAsia="en-US"/>
              </w:rPr>
              <w:t xml:space="preserve"> </w:t>
            </w:r>
          </w:p>
        </w:tc>
      </w:tr>
      <w:tr w:rsidR="001F51A6" w:rsidRPr="004C59DE" w14:paraId="42DD1C62" w14:textId="77777777" w:rsidTr="001F51A6">
        <w:trPr>
          <w:trHeight w:val="243"/>
        </w:trPr>
        <w:tc>
          <w:tcPr>
            <w:tcW w:w="2888" w:type="dxa"/>
            <w:tcBorders>
              <w:left w:val="single" w:sz="4" w:space="0" w:color="auto"/>
              <w:right w:val="single" w:sz="4" w:space="0" w:color="auto"/>
            </w:tcBorders>
          </w:tcPr>
          <w:p w14:paraId="07941A28" w14:textId="77777777" w:rsidR="001F51A6" w:rsidRPr="004C59DE" w:rsidRDefault="001F51A6" w:rsidP="001F51A6">
            <w:pPr>
              <w:autoSpaceDE w:val="0"/>
              <w:autoSpaceDN w:val="0"/>
              <w:adjustRightInd w:val="0"/>
              <w:rPr>
                <w:rFonts w:ascii="Arial" w:eastAsiaTheme="minorHAnsi" w:hAnsi="Arial" w:cs="Arial"/>
                <w:color w:val="000000"/>
                <w:lang w:val="es-MX" w:eastAsia="en-US"/>
              </w:rPr>
            </w:pPr>
            <w:r w:rsidRPr="004C59DE">
              <w:rPr>
                <w:rFonts w:ascii="Arial" w:eastAsiaTheme="minorHAnsi" w:hAnsi="Arial" w:cs="Arial"/>
                <w:color w:val="000000"/>
                <w:lang w:val="es-MX" w:eastAsia="en-US"/>
              </w:rPr>
              <w:t>Baja California</w:t>
            </w:r>
          </w:p>
        </w:tc>
        <w:tc>
          <w:tcPr>
            <w:tcW w:w="1359" w:type="dxa"/>
            <w:tcBorders>
              <w:left w:val="single" w:sz="4" w:space="0" w:color="auto"/>
            </w:tcBorders>
          </w:tcPr>
          <w:p w14:paraId="57BC1D1D" w14:textId="77777777" w:rsidR="001F51A6" w:rsidRPr="004C59DE" w:rsidRDefault="001F51A6" w:rsidP="001F51A6">
            <w:pPr>
              <w:autoSpaceDE w:val="0"/>
              <w:autoSpaceDN w:val="0"/>
              <w:adjustRightInd w:val="0"/>
              <w:ind w:right="338"/>
              <w:jc w:val="center"/>
              <w:rPr>
                <w:rFonts w:ascii="Arial" w:eastAsiaTheme="minorHAnsi" w:hAnsi="Arial" w:cs="Arial"/>
                <w:color w:val="000000"/>
                <w:lang w:val="es-MX" w:eastAsia="en-US"/>
              </w:rPr>
            </w:pPr>
            <w:r>
              <w:rPr>
                <w:rFonts w:ascii="Arial" w:eastAsiaTheme="minorHAnsi" w:hAnsi="Arial" w:cs="Arial"/>
                <w:color w:val="000000"/>
                <w:lang w:val="es-MX" w:eastAsia="en-US"/>
              </w:rPr>
              <w:t xml:space="preserve">    (-)   3.7</w:t>
            </w:r>
            <w:r w:rsidRPr="004C59DE">
              <w:rPr>
                <w:rFonts w:ascii="Arial" w:eastAsiaTheme="minorHAnsi" w:hAnsi="Arial" w:cs="Arial"/>
                <w:color w:val="000000"/>
                <w:lang w:val="es-MX" w:eastAsia="en-US"/>
              </w:rPr>
              <w:t xml:space="preserve"> </w:t>
            </w:r>
          </w:p>
        </w:tc>
        <w:tc>
          <w:tcPr>
            <w:tcW w:w="1328" w:type="dxa"/>
          </w:tcPr>
          <w:p w14:paraId="66B5BE4B"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   7.3</w:t>
            </w:r>
            <w:r w:rsidRPr="004C59DE">
              <w:rPr>
                <w:rFonts w:ascii="Arial" w:eastAsiaTheme="minorHAnsi" w:hAnsi="Arial" w:cs="Arial"/>
                <w:color w:val="000000"/>
                <w:lang w:val="es-MX" w:eastAsia="en-US"/>
              </w:rPr>
              <w:t xml:space="preserve"> </w:t>
            </w:r>
          </w:p>
        </w:tc>
        <w:tc>
          <w:tcPr>
            <w:tcW w:w="1344" w:type="dxa"/>
          </w:tcPr>
          <w:p w14:paraId="65523E80"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   3.4</w:t>
            </w:r>
            <w:r w:rsidRPr="004C59DE">
              <w:rPr>
                <w:rFonts w:ascii="Arial" w:eastAsiaTheme="minorHAnsi" w:hAnsi="Arial" w:cs="Arial"/>
                <w:color w:val="000000"/>
                <w:lang w:val="es-MX" w:eastAsia="en-US"/>
              </w:rPr>
              <w:t xml:space="preserve"> </w:t>
            </w:r>
          </w:p>
        </w:tc>
        <w:tc>
          <w:tcPr>
            <w:tcW w:w="1343" w:type="dxa"/>
            <w:tcBorders>
              <w:right w:val="single" w:sz="4" w:space="0" w:color="auto"/>
            </w:tcBorders>
          </w:tcPr>
          <w:p w14:paraId="1F34ACFD"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   3.8</w:t>
            </w:r>
            <w:r w:rsidRPr="004C59DE">
              <w:rPr>
                <w:rFonts w:ascii="Arial" w:eastAsiaTheme="minorHAnsi" w:hAnsi="Arial" w:cs="Arial"/>
                <w:color w:val="000000"/>
                <w:lang w:val="es-MX" w:eastAsia="en-US"/>
              </w:rPr>
              <w:t xml:space="preserve"> </w:t>
            </w:r>
          </w:p>
        </w:tc>
      </w:tr>
      <w:tr w:rsidR="001F51A6" w:rsidRPr="004C59DE" w14:paraId="27BAD8F7" w14:textId="77777777" w:rsidTr="001F51A6">
        <w:trPr>
          <w:trHeight w:val="243"/>
        </w:trPr>
        <w:tc>
          <w:tcPr>
            <w:tcW w:w="2888" w:type="dxa"/>
            <w:tcBorders>
              <w:left w:val="single" w:sz="4" w:space="0" w:color="auto"/>
              <w:right w:val="single" w:sz="4" w:space="0" w:color="auto"/>
            </w:tcBorders>
          </w:tcPr>
          <w:p w14:paraId="3796B777" w14:textId="77777777" w:rsidR="001F51A6" w:rsidRPr="004C59DE" w:rsidRDefault="001F51A6" w:rsidP="001F51A6">
            <w:pPr>
              <w:autoSpaceDE w:val="0"/>
              <w:autoSpaceDN w:val="0"/>
              <w:adjustRightInd w:val="0"/>
              <w:rPr>
                <w:rFonts w:ascii="Arial" w:eastAsiaTheme="minorHAnsi" w:hAnsi="Arial" w:cs="Arial"/>
                <w:color w:val="000000"/>
                <w:lang w:val="es-MX" w:eastAsia="en-US"/>
              </w:rPr>
            </w:pPr>
            <w:r w:rsidRPr="004C59DE">
              <w:rPr>
                <w:rFonts w:ascii="Arial" w:eastAsiaTheme="minorHAnsi" w:hAnsi="Arial" w:cs="Arial"/>
                <w:color w:val="000000"/>
                <w:lang w:val="es-MX" w:eastAsia="en-US"/>
              </w:rPr>
              <w:t>Baja California Sur</w:t>
            </w:r>
          </w:p>
        </w:tc>
        <w:tc>
          <w:tcPr>
            <w:tcW w:w="1359" w:type="dxa"/>
            <w:tcBorders>
              <w:left w:val="single" w:sz="4" w:space="0" w:color="auto"/>
            </w:tcBorders>
          </w:tcPr>
          <w:p w14:paraId="2C091E3B"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sidRPr="004C59DE">
              <w:rPr>
                <w:rFonts w:ascii="Arial" w:eastAsiaTheme="minorHAnsi" w:hAnsi="Arial" w:cs="Arial"/>
                <w:color w:val="000000"/>
                <w:lang w:val="es-MX" w:eastAsia="en-US"/>
              </w:rPr>
              <w:t xml:space="preserve">(-) </w:t>
            </w:r>
            <w:r>
              <w:rPr>
                <w:rFonts w:ascii="Arial" w:eastAsiaTheme="minorHAnsi" w:hAnsi="Arial" w:cs="Arial"/>
                <w:color w:val="000000"/>
                <w:lang w:val="es-MX" w:eastAsia="en-US"/>
              </w:rPr>
              <w:t>23.5</w:t>
            </w:r>
            <w:r w:rsidRPr="004C59DE">
              <w:rPr>
                <w:rFonts w:ascii="Arial" w:eastAsiaTheme="minorHAnsi" w:hAnsi="Arial" w:cs="Arial"/>
                <w:color w:val="000000"/>
                <w:lang w:val="es-MX" w:eastAsia="en-US"/>
              </w:rPr>
              <w:t xml:space="preserve"> </w:t>
            </w:r>
          </w:p>
        </w:tc>
        <w:tc>
          <w:tcPr>
            <w:tcW w:w="1328" w:type="dxa"/>
          </w:tcPr>
          <w:p w14:paraId="74D99AA4"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sidRPr="004C59DE">
              <w:rPr>
                <w:rFonts w:ascii="Arial" w:eastAsiaTheme="minorHAnsi" w:hAnsi="Arial" w:cs="Arial"/>
                <w:color w:val="000000"/>
                <w:lang w:val="es-MX" w:eastAsia="en-US"/>
              </w:rPr>
              <w:t>3.</w:t>
            </w:r>
            <w:r>
              <w:rPr>
                <w:rFonts w:ascii="Arial" w:eastAsiaTheme="minorHAnsi" w:hAnsi="Arial" w:cs="Arial"/>
                <w:color w:val="000000"/>
                <w:lang w:val="es-MX" w:eastAsia="en-US"/>
              </w:rPr>
              <w:t>5</w:t>
            </w:r>
            <w:r w:rsidRPr="004C59DE">
              <w:rPr>
                <w:rFonts w:ascii="Arial" w:eastAsiaTheme="minorHAnsi" w:hAnsi="Arial" w:cs="Arial"/>
                <w:color w:val="000000"/>
                <w:lang w:val="es-MX" w:eastAsia="en-US"/>
              </w:rPr>
              <w:t xml:space="preserve"> </w:t>
            </w:r>
          </w:p>
        </w:tc>
        <w:tc>
          <w:tcPr>
            <w:tcW w:w="1344" w:type="dxa"/>
          </w:tcPr>
          <w:p w14:paraId="5B0E8448"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sidRPr="004C59DE">
              <w:rPr>
                <w:rFonts w:ascii="Arial" w:eastAsiaTheme="minorHAnsi" w:hAnsi="Arial" w:cs="Arial"/>
                <w:color w:val="000000"/>
                <w:lang w:val="es-MX" w:eastAsia="en-US"/>
              </w:rPr>
              <w:t xml:space="preserve">(-) </w:t>
            </w:r>
            <w:r>
              <w:rPr>
                <w:rFonts w:ascii="Arial" w:eastAsiaTheme="minorHAnsi" w:hAnsi="Arial" w:cs="Arial"/>
                <w:color w:val="000000"/>
                <w:lang w:val="es-MX" w:eastAsia="en-US"/>
              </w:rPr>
              <w:t>34.7</w:t>
            </w:r>
            <w:r w:rsidRPr="004C59DE">
              <w:rPr>
                <w:rFonts w:ascii="Arial" w:eastAsiaTheme="minorHAnsi" w:hAnsi="Arial" w:cs="Arial"/>
                <w:color w:val="000000"/>
                <w:lang w:val="es-MX" w:eastAsia="en-US"/>
              </w:rPr>
              <w:t xml:space="preserve"> </w:t>
            </w:r>
          </w:p>
        </w:tc>
        <w:tc>
          <w:tcPr>
            <w:tcW w:w="1343" w:type="dxa"/>
            <w:tcBorders>
              <w:right w:val="single" w:sz="4" w:space="0" w:color="auto"/>
            </w:tcBorders>
          </w:tcPr>
          <w:p w14:paraId="56F59DFD"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 20.1</w:t>
            </w:r>
            <w:r w:rsidRPr="004C59DE">
              <w:rPr>
                <w:rFonts w:ascii="Arial" w:eastAsiaTheme="minorHAnsi" w:hAnsi="Arial" w:cs="Arial"/>
                <w:color w:val="000000"/>
                <w:lang w:val="es-MX" w:eastAsia="en-US"/>
              </w:rPr>
              <w:t xml:space="preserve"> </w:t>
            </w:r>
          </w:p>
        </w:tc>
      </w:tr>
      <w:tr w:rsidR="001F51A6" w:rsidRPr="004C59DE" w14:paraId="1163602D" w14:textId="77777777" w:rsidTr="001F51A6">
        <w:trPr>
          <w:trHeight w:val="243"/>
        </w:trPr>
        <w:tc>
          <w:tcPr>
            <w:tcW w:w="2888" w:type="dxa"/>
            <w:tcBorders>
              <w:left w:val="single" w:sz="4" w:space="0" w:color="auto"/>
              <w:right w:val="single" w:sz="4" w:space="0" w:color="auto"/>
            </w:tcBorders>
          </w:tcPr>
          <w:p w14:paraId="46223E57" w14:textId="77777777" w:rsidR="001F51A6" w:rsidRPr="004C59DE" w:rsidRDefault="001F51A6" w:rsidP="001F51A6">
            <w:pPr>
              <w:autoSpaceDE w:val="0"/>
              <w:autoSpaceDN w:val="0"/>
              <w:adjustRightInd w:val="0"/>
              <w:rPr>
                <w:rFonts w:ascii="Arial" w:eastAsiaTheme="minorHAnsi" w:hAnsi="Arial" w:cs="Arial"/>
                <w:color w:val="000000"/>
                <w:lang w:val="es-MX" w:eastAsia="en-US"/>
              </w:rPr>
            </w:pPr>
            <w:r w:rsidRPr="004C59DE">
              <w:rPr>
                <w:rFonts w:ascii="Arial" w:eastAsiaTheme="minorHAnsi" w:hAnsi="Arial" w:cs="Arial"/>
                <w:color w:val="000000"/>
                <w:lang w:val="es-MX" w:eastAsia="en-US"/>
              </w:rPr>
              <w:t>Campeche</w:t>
            </w:r>
          </w:p>
        </w:tc>
        <w:tc>
          <w:tcPr>
            <w:tcW w:w="1359" w:type="dxa"/>
            <w:tcBorders>
              <w:left w:val="single" w:sz="4" w:space="0" w:color="auto"/>
            </w:tcBorders>
          </w:tcPr>
          <w:p w14:paraId="2ABE7BCE"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sidRPr="004C59DE">
              <w:rPr>
                <w:rFonts w:ascii="Arial" w:eastAsiaTheme="minorHAnsi" w:hAnsi="Arial" w:cs="Arial"/>
                <w:color w:val="000000"/>
                <w:lang w:val="es-MX" w:eastAsia="en-US"/>
              </w:rPr>
              <w:t xml:space="preserve">(-) </w:t>
            </w:r>
            <w:r>
              <w:rPr>
                <w:rFonts w:ascii="Arial" w:eastAsiaTheme="minorHAnsi" w:hAnsi="Arial" w:cs="Arial"/>
                <w:color w:val="000000"/>
                <w:lang w:val="es-MX" w:eastAsia="en-US"/>
              </w:rPr>
              <w:t xml:space="preserve">  6.6</w:t>
            </w:r>
            <w:r w:rsidRPr="004C59DE">
              <w:rPr>
                <w:rFonts w:ascii="Arial" w:eastAsiaTheme="minorHAnsi" w:hAnsi="Arial" w:cs="Arial"/>
                <w:color w:val="000000"/>
                <w:lang w:val="es-MX" w:eastAsia="en-US"/>
              </w:rPr>
              <w:t xml:space="preserve"> </w:t>
            </w:r>
          </w:p>
        </w:tc>
        <w:tc>
          <w:tcPr>
            <w:tcW w:w="1328" w:type="dxa"/>
          </w:tcPr>
          <w:p w14:paraId="68A04C66"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0.1</w:t>
            </w:r>
            <w:r w:rsidRPr="004C59DE">
              <w:rPr>
                <w:rFonts w:ascii="Arial" w:eastAsiaTheme="minorHAnsi" w:hAnsi="Arial" w:cs="Arial"/>
                <w:color w:val="000000"/>
                <w:lang w:val="es-MX" w:eastAsia="en-US"/>
              </w:rPr>
              <w:t xml:space="preserve"> </w:t>
            </w:r>
          </w:p>
        </w:tc>
        <w:tc>
          <w:tcPr>
            <w:tcW w:w="1344" w:type="dxa"/>
          </w:tcPr>
          <w:p w14:paraId="689FD898"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sidRPr="004C59DE">
              <w:rPr>
                <w:rFonts w:ascii="Arial" w:eastAsiaTheme="minorHAnsi" w:hAnsi="Arial" w:cs="Arial"/>
                <w:color w:val="000000"/>
                <w:lang w:val="es-MX" w:eastAsia="en-US"/>
              </w:rPr>
              <w:t xml:space="preserve">(-)   </w:t>
            </w:r>
            <w:r>
              <w:rPr>
                <w:rFonts w:ascii="Arial" w:eastAsiaTheme="minorHAnsi" w:hAnsi="Arial" w:cs="Arial"/>
                <w:color w:val="000000"/>
                <w:lang w:val="es-MX" w:eastAsia="en-US"/>
              </w:rPr>
              <w:t>6.6</w:t>
            </w:r>
            <w:r w:rsidRPr="004C59DE">
              <w:rPr>
                <w:rFonts w:ascii="Arial" w:eastAsiaTheme="minorHAnsi" w:hAnsi="Arial" w:cs="Arial"/>
                <w:color w:val="000000"/>
                <w:lang w:val="es-MX" w:eastAsia="en-US"/>
              </w:rPr>
              <w:t xml:space="preserve"> </w:t>
            </w:r>
          </w:p>
        </w:tc>
        <w:tc>
          <w:tcPr>
            <w:tcW w:w="1343" w:type="dxa"/>
            <w:tcBorders>
              <w:right w:val="single" w:sz="4" w:space="0" w:color="auto"/>
            </w:tcBorders>
          </w:tcPr>
          <w:p w14:paraId="57451C81"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sidRPr="004C59DE">
              <w:rPr>
                <w:rFonts w:ascii="Arial" w:eastAsiaTheme="minorHAnsi" w:hAnsi="Arial" w:cs="Arial"/>
                <w:color w:val="000000"/>
                <w:lang w:val="es-MX" w:eastAsia="en-US"/>
              </w:rPr>
              <w:t xml:space="preserve">(-)   </w:t>
            </w:r>
            <w:r>
              <w:rPr>
                <w:rFonts w:ascii="Arial" w:eastAsiaTheme="minorHAnsi" w:hAnsi="Arial" w:cs="Arial"/>
                <w:color w:val="000000"/>
                <w:lang w:val="es-MX" w:eastAsia="en-US"/>
              </w:rPr>
              <w:t>7.2</w:t>
            </w:r>
            <w:r w:rsidRPr="004C59DE">
              <w:rPr>
                <w:rFonts w:ascii="Arial" w:eastAsiaTheme="minorHAnsi" w:hAnsi="Arial" w:cs="Arial"/>
                <w:color w:val="000000"/>
                <w:lang w:val="es-MX" w:eastAsia="en-US"/>
              </w:rPr>
              <w:t xml:space="preserve"> </w:t>
            </w:r>
          </w:p>
        </w:tc>
      </w:tr>
      <w:tr w:rsidR="001F51A6" w:rsidRPr="004C59DE" w14:paraId="2EF138DD" w14:textId="77777777" w:rsidTr="001F51A6">
        <w:trPr>
          <w:trHeight w:val="243"/>
        </w:trPr>
        <w:tc>
          <w:tcPr>
            <w:tcW w:w="2888" w:type="dxa"/>
            <w:tcBorders>
              <w:left w:val="single" w:sz="4" w:space="0" w:color="auto"/>
              <w:right w:val="single" w:sz="4" w:space="0" w:color="auto"/>
            </w:tcBorders>
          </w:tcPr>
          <w:p w14:paraId="2C6D53A0" w14:textId="77777777" w:rsidR="001F51A6" w:rsidRPr="004C59DE" w:rsidRDefault="001F51A6" w:rsidP="001F51A6">
            <w:pPr>
              <w:autoSpaceDE w:val="0"/>
              <w:autoSpaceDN w:val="0"/>
              <w:adjustRightInd w:val="0"/>
              <w:rPr>
                <w:rFonts w:ascii="Arial" w:eastAsiaTheme="minorHAnsi" w:hAnsi="Arial" w:cs="Arial"/>
                <w:color w:val="000000"/>
                <w:lang w:val="es-MX" w:eastAsia="en-US"/>
              </w:rPr>
            </w:pPr>
            <w:r w:rsidRPr="004C59DE">
              <w:rPr>
                <w:rFonts w:ascii="Arial" w:eastAsiaTheme="minorHAnsi" w:hAnsi="Arial" w:cs="Arial"/>
                <w:color w:val="000000"/>
                <w:lang w:val="es-MX" w:eastAsia="en-US"/>
              </w:rPr>
              <w:t>Coahuila de Zaragoza</w:t>
            </w:r>
          </w:p>
        </w:tc>
        <w:tc>
          <w:tcPr>
            <w:tcW w:w="1359" w:type="dxa"/>
            <w:tcBorders>
              <w:left w:val="single" w:sz="4" w:space="0" w:color="auto"/>
            </w:tcBorders>
          </w:tcPr>
          <w:p w14:paraId="792DDA38"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sidRPr="004C59DE">
              <w:rPr>
                <w:rFonts w:ascii="Arial" w:eastAsiaTheme="minorHAnsi" w:hAnsi="Arial" w:cs="Arial"/>
                <w:color w:val="000000"/>
                <w:lang w:val="es-MX" w:eastAsia="en-US"/>
              </w:rPr>
              <w:t xml:space="preserve">(-) </w:t>
            </w:r>
            <w:r>
              <w:rPr>
                <w:rFonts w:ascii="Arial" w:eastAsiaTheme="minorHAnsi" w:hAnsi="Arial" w:cs="Arial"/>
                <w:color w:val="000000"/>
                <w:lang w:val="es-MX" w:eastAsia="en-US"/>
              </w:rPr>
              <w:t>11.4</w:t>
            </w:r>
            <w:r w:rsidRPr="004C59DE">
              <w:rPr>
                <w:rFonts w:ascii="Arial" w:eastAsiaTheme="minorHAnsi" w:hAnsi="Arial" w:cs="Arial"/>
                <w:color w:val="000000"/>
                <w:lang w:val="es-MX" w:eastAsia="en-US"/>
              </w:rPr>
              <w:t xml:space="preserve"> </w:t>
            </w:r>
          </w:p>
        </w:tc>
        <w:tc>
          <w:tcPr>
            <w:tcW w:w="1328" w:type="dxa"/>
          </w:tcPr>
          <w:p w14:paraId="6F197FEA"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1.7</w:t>
            </w:r>
            <w:r w:rsidRPr="004C59DE">
              <w:rPr>
                <w:rFonts w:ascii="Arial" w:eastAsiaTheme="minorHAnsi" w:hAnsi="Arial" w:cs="Arial"/>
                <w:color w:val="000000"/>
                <w:lang w:val="es-MX" w:eastAsia="en-US"/>
              </w:rPr>
              <w:t xml:space="preserve"> </w:t>
            </w:r>
          </w:p>
        </w:tc>
        <w:tc>
          <w:tcPr>
            <w:tcW w:w="1344" w:type="dxa"/>
          </w:tcPr>
          <w:p w14:paraId="404D31AA"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sidRPr="004C59DE">
              <w:rPr>
                <w:rFonts w:ascii="Arial" w:eastAsiaTheme="minorHAnsi" w:hAnsi="Arial" w:cs="Arial"/>
                <w:color w:val="000000"/>
                <w:lang w:val="es-MX" w:eastAsia="en-US"/>
              </w:rPr>
              <w:t xml:space="preserve">(-) </w:t>
            </w:r>
            <w:r>
              <w:rPr>
                <w:rFonts w:ascii="Arial" w:eastAsiaTheme="minorHAnsi" w:hAnsi="Arial" w:cs="Arial"/>
                <w:color w:val="000000"/>
                <w:lang w:val="es-MX" w:eastAsia="en-US"/>
              </w:rPr>
              <w:t>15.5</w:t>
            </w:r>
            <w:r w:rsidRPr="004C59DE">
              <w:rPr>
                <w:rFonts w:ascii="Arial" w:eastAsiaTheme="minorHAnsi" w:hAnsi="Arial" w:cs="Arial"/>
                <w:color w:val="000000"/>
                <w:lang w:val="es-MX" w:eastAsia="en-US"/>
              </w:rPr>
              <w:t xml:space="preserve"> </w:t>
            </w:r>
          </w:p>
        </w:tc>
        <w:tc>
          <w:tcPr>
            <w:tcW w:w="1343" w:type="dxa"/>
            <w:tcBorders>
              <w:right w:val="single" w:sz="4" w:space="0" w:color="auto"/>
            </w:tcBorders>
          </w:tcPr>
          <w:p w14:paraId="6C7711C2"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   7.7</w:t>
            </w:r>
            <w:r w:rsidRPr="004C59DE">
              <w:rPr>
                <w:rFonts w:ascii="Arial" w:eastAsiaTheme="minorHAnsi" w:hAnsi="Arial" w:cs="Arial"/>
                <w:color w:val="000000"/>
                <w:lang w:val="es-MX" w:eastAsia="en-US"/>
              </w:rPr>
              <w:t xml:space="preserve"> </w:t>
            </w:r>
          </w:p>
        </w:tc>
      </w:tr>
      <w:tr w:rsidR="001F51A6" w:rsidRPr="004C59DE" w14:paraId="4C306AE2" w14:textId="77777777" w:rsidTr="001F51A6">
        <w:trPr>
          <w:trHeight w:val="243"/>
        </w:trPr>
        <w:tc>
          <w:tcPr>
            <w:tcW w:w="2888" w:type="dxa"/>
            <w:tcBorders>
              <w:left w:val="single" w:sz="4" w:space="0" w:color="auto"/>
              <w:right w:val="single" w:sz="4" w:space="0" w:color="auto"/>
            </w:tcBorders>
          </w:tcPr>
          <w:p w14:paraId="771F33A6" w14:textId="77777777" w:rsidR="001F51A6" w:rsidRPr="004C59DE" w:rsidRDefault="001F51A6" w:rsidP="001F51A6">
            <w:pPr>
              <w:autoSpaceDE w:val="0"/>
              <w:autoSpaceDN w:val="0"/>
              <w:adjustRightInd w:val="0"/>
              <w:rPr>
                <w:rFonts w:ascii="Arial" w:eastAsiaTheme="minorHAnsi" w:hAnsi="Arial" w:cs="Arial"/>
                <w:color w:val="000000"/>
                <w:lang w:val="es-MX" w:eastAsia="en-US"/>
              </w:rPr>
            </w:pPr>
            <w:r w:rsidRPr="004C59DE">
              <w:rPr>
                <w:rFonts w:ascii="Arial" w:eastAsiaTheme="minorHAnsi" w:hAnsi="Arial" w:cs="Arial"/>
                <w:color w:val="000000"/>
                <w:lang w:val="es-MX" w:eastAsia="en-US"/>
              </w:rPr>
              <w:t>Colima</w:t>
            </w:r>
          </w:p>
        </w:tc>
        <w:tc>
          <w:tcPr>
            <w:tcW w:w="1359" w:type="dxa"/>
            <w:tcBorders>
              <w:left w:val="single" w:sz="4" w:space="0" w:color="auto"/>
            </w:tcBorders>
          </w:tcPr>
          <w:p w14:paraId="030D5E72" w14:textId="77777777" w:rsidR="001F51A6" w:rsidRPr="004C59DE" w:rsidRDefault="001F51A6" w:rsidP="001F51A6">
            <w:pPr>
              <w:autoSpaceDE w:val="0"/>
              <w:autoSpaceDN w:val="0"/>
              <w:adjustRightInd w:val="0"/>
              <w:ind w:right="338"/>
              <w:jc w:val="center"/>
              <w:rPr>
                <w:rFonts w:ascii="Arial" w:eastAsiaTheme="minorHAnsi" w:hAnsi="Arial" w:cs="Arial"/>
                <w:color w:val="000000"/>
                <w:lang w:val="es-MX" w:eastAsia="en-US"/>
              </w:rPr>
            </w:pPr>
            <w:r>
              <w:rPr>
                <w:rFonts w:ascii="Arial" w:eastAsiaTheme="minorHAnsi" w:hAnsi="Arial" w:cs="Arial"/>
                <w:color w:val="000000"/>
                <w:lang w:val="es-MX" w:eastAsia="en-US"/>
              </w:rPr>
              <w:t xml:space="preserve">    (-)   7.4</w:t>
            </w:r>
            <w:r w:rsidRPr="004C59DE">
              <w:rPr>
                <w:rFonts w:ascii="Arial" w:eastAsiaTheme="minorHAnsi" w:hAnsi="Arial" w:cs="Arial"/>
                <w:color w:val="000000"/>
                <w:lang w:val="es-MX" w:eastAsia="en-US"/>
              </w:rPr>
              <w:t xml:space="preserve"> </w:t>
            </w:r>
          </w:p>
        </w:tc>
        <w:tc>
          <w:tcPr>
            <w:tcW w:w="1328" w:type="dxa"/>
          </w:tcPr>
          <w:p w14:paraId="32ECE7B3"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4.0</w:t>
            </w:r>
            <w:r w:rsidRPr="004C59DE">
              <w:rPr>
                <w:rFonts w:ascii="Arial" w:eastAsiaTheme="minorHAnsi" w:hAnsi="Arial" w:cs="Arial"/>
                <w:color w:val="000000"/>
                <w:lang w:val="es-MX" w:eastAsia="en-US"/>
              </w:rPr>
              <w:t xml:space="preserve"> </w:t>
            </w:r>
          </w:p>
        </w:tc>
        <w:tc>
          <w:tcPr>
            <w:tcW w:w="1344" w:type="dxa"/>
          </w:tcPr>
          <w:p w14:paraId="45817EEB"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 15.6</w:t>
            </w:r>
            <w:r w:rsidRPr="004C59DE">
              <w:rPr>
                <w:rFonts w:ascii="Arial" w:eastAsiaTheme="minorHAnsi" w:hAnsi="Arial" w:cs="Arial"/>
                <w:color w:val="000000"/>
                <w:lang w:val="es-MX" w:eastAsia="en-US"/>
              </w:rPr>
              <w:t xml:space="preserve"> </w:t>
            </w:r>
          </w:p>
        </w:tc>
        <w:tc>
          <w:tcPr>
            <w:tcW w:w="1343" w:type="dxa"/>
            <w:tcBorders>
              <w:right w:val="single" w:sz="4" w:space="0" w:color="auto"/>
            </w:tcBorders>
          </w:tcPr>
          <w:p w14:paraId="13EED364"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   5.0</w:t>
            </w:r>
            <w:r w:rsidRPr="004C59DE">
              <w:rPr>
                <w:rFonts w:ascii="Arial" w:eastAsiaTheme="minorHAnsi" w:hAnsi="Arial" w:cs="Arial"/>
                <w:color w:val="000000"/>
                <w:lang w:val="es-MX" w:eastAsia="en-US"/>
              </w:rPr>
              <w:t xml:space="preserve"> </w:t>
            </w:r>
          </w:p>
        </w:tc>
      </w:tr>
      <w:tr w:rsidR="001F51A6" w:rsidRPr="004C59DE" w14:paraId="011E5BF7" w14:textId="77777777" w:rsidTr="001F51A6">
        <w:trPr>
          <w:trHeight w:val="243"/>
        </w:trPr>
        <w:tc>
          <w:tcPr>
            <w:tcW w:w="2888" w:type="dxa"/>
            <w:tcBorders>
              <w:left w:val="single" w:sz="4" w:space="0" w:color="auto"/>
              <w:right w:val="single" w:sz="4" w:space="0" w:color="auto"/>
            </w:tcBorders>
          </w:tcPr>
          <w:p w14:paraId="78814BD8" w14:textId="77777777" w:rsidR="001F51A6" w:rsidRPr="004C59DE" w:rsidRDefault="001F51A6" w:rsidP="001F51A6">
            <w:pPr>
              <w:autoSpaceDE w:val="0"/>
              <w:autoSpaceDN w:val="0"/>
              <w:adjustRightInd w:val="0"/>
              <w:rPr>
                <w:rFonts w:ascii="Arial" w:eastAsiaTheme="minorHAnsi" w:hAnsi="Arial" w:cs="Arial"/>
                <w:color w:val="000000"/>
                <w:lang w:val="es-MX" w:eastAsia="en-US"/>
              </w:rPr>
            </w:pPr>
            <w:r w:rsidRPr="004C59DE">
              <w:rPr>
                <w:rFonts w:ascii="Arial" w:eastAsiaTheme="minorHAnsi" w:hAnsi="Arial" w:cs="Arial"/>
                <w:color w:val="000000"/>
                <w:lang w:val="es-MX" w:eastAsia="en-US"/>
              </w:rPr>
              <w:t>Chiapas</w:t>
            </w:r>
          </w:p>
        </w:tc>
        <w:tc>
          <w:tcPr>
            <w:tcW w:w="1359" w:type="dxa"/>
            <w:tcBorders>
              <w:left w:val="single" w:sz="4" w:space="0" w:color="auto"/>
            </w:tcBorders>
          </w:tcPr>
          <w:p w14:paraId="1347A551"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sidRPr="004C59DE">
              <w:rPr>
                <w:rFonts w:ascii="Arial" w:eastAsiaTheme="minorHAnsi" w:hAnsi="Arial" w:cs="Arial"/>
                <w:color w:val="000000"/>
                <w:lang w:val="es-MX" w:eastAsia="en-US"/>
              </w:rPr>
              <w:t xml:space="preserve">(-)   </w:t>
            </w:r>
            <w:r>
              <w:rPr>
                <w:rFonts w:ascii="Arial" w:eastAsiaTheme="minorHAnsi" w:hAnsi="Arial" w:cs="Arial"/>
                <w:color w:val="000000"/>
                <w:lang w:val="es-MX" w:eastAsia="en-US"/>
              </w:rPr>
              <w:t>3.8</w:t>
            </w:r>
            <w:r w:rsidRPr="004C59DE">
              <w:rPr>
                <w:rFonts w:ascii="Arial" w:eastAsiaTheme="minorHAnsi" w:hAnsi="Arial" w:cs="Arial"/>
                <w:color w:val="000000"/>
                <w:lang w:val="es-MX" w:eastAsia="en-US"/>
              </w:rPr>
              <w:t xml:space="preserve"> </w:t>
            </w:r>
          </w:p>
        </w:tc>
        <w:tc>
          <w:tcPr>
            <w:tcW w:w="1328" w:type="dxa"/>
          </w:tcPr>
          <w:p w14:paraId="3E9DD40A"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2.7</w:t>
            </w:r>
            <w:r w:rsidRPr="004C59DE">
              <w:rPr>
                <w:rFonts w:ascii="Arial" w:eastAsiaTheme="minorHAnsi" w:hAnsi="Arial" w:cs="Arial"/>
                <w:color w:val="000000"/>
                <w:lang w:val="es-MX" w:eastAsia="en-US"/>
              </w:rPr>
              <w:t xml:space="preserve"> </w:t>
            </w:r>
          </w:p>
        </w:tc>
        <w:tc>
          <w:tcPr>
            <w:tcW w:w="1344" w:type="dxa"/>
          </w:tcPr>
          <w:p w14:paraId="47DC65A4"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sidRPr="004C59DE">
              <w:rPr>
                <w:rFonts w:ascii="Arial" w:eastAsiaTheme="minorHAnsi" w:hAnsi="Arial" w:cs="Arial"/>
                <w:color w:val="000000"/>
                <w:lang w:val="es-MX" w:eastAsia="en-US"/>
              </w:rPr>
              <w:t xml:space="preserve">(-) </w:t>
            </w:r>
            <w:r>
              <w:rPr>
                <w:rFonts w:ascii="Arial" w:eastAsiaTheme="minorHAnsi" w:hAnsi="Arial" w:cs="Arial"/>
                <w:color w:val="000000"/>
                <w:lang w:val="es-MX" w:eastAsia="en-US"/>
              </w:rPr>
              <w:t xml:space="preserve">  2.0</w:t>
            </w:r>
            <w:r w:rsidRPr="004C59DE">
              <w:rPr>
                <w:rFonts w:ascii="Arial" w:eastAsiaTheme="minorHAnsi" w:hAnsi="Arial" w:cs="Arial"/>
                <w:color w:val="000000"/>
                <w:lang w:val="es-MX" w:eastAsia="en-US"/>
              </w:rPr>
              <w:t xml:space="preserve"> </w:t>
            </w:r>
          </w:p>
        </w:tc>
        <w:tc>
          <w:tcPr>
            <w:tcW w:w="1343" w:type="dxa"/>
            <w:tcBorders>
              <w:right w:val="single" w:sz="4" w:space="0" w:color="auto"/>
            </w:tcBorders>
          </w:tcPr>
          <w:p w14:paraId="6D340E88"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sidRPr="004C59DE">
              <w:rPr>
                <w:rFonts w:ascii="Arial" w:eastAsiaTheme="minorHAnsi" w:hAnsi="Arial" w:cs="Arial"/>
                <w:color w:val="000000"/>
                <w:lang w:val="es-MX" w:eastAsia="en-US"/>
              </w:rPr>
              <w:t xml:space="preserve">(-)   </w:t>
            </w:r>
            <w:r>
              <w:rPr>
                <w:rFonts w:ascii="Arial" w:eastAsiaTheme="minorHAnsi" w:hAnsi="Arial" w:cs="Arial"/>
                <w:color w:val="000000"/>
                <w:lang w:val="es-MX" w:eastAsia="en-US"/>
              </w:rPr>
              <w:t>4.9</w:t>
            </w:r>
            <w:r w:rsidRPr="004C59DE">
              <w:rPr>
                <w:rFonts w:ascii="Arial" w:eastAsiaTheme="minorHAnsi" w:hAnsi="Arial" w:cs="Arial"/>
                <w:color w:val="000000"/>
                <w:lang w:val="es-MX" w:eastAsia="en-US"/>
              </w:rPr>
              <w:t xml:space="preserve"> </w:t>
            </w:r>
          </w:p>
        </w:tc>
      </w:tr>
      <w:tr w:rsidR="001F51A6" w:rsidRPr="004C59DE" w14:paraId="7DDD73FE" w14:textId="77777777" w:rsidTr="001F51A6">
        <w:trPr>
          <w:trHeight w:val="243"/>
        </w:trPr>
        <w:tc>
          <w:tcPr>
            <w:tcW w:w="2888" w:type="dxa"/>
            <w:tcBorders>
              <w:left w:val="single" w:sz="4" w:space="0" w:color="auto"/>
              <w:right w:val="single" w:sz="4" w:space="0" w:color="auto"/>
            </w:tcBorders>
          </w:tcPr>
          <w:p w14:paraId="04BABD38" w14:textId="77777777" w:rsidR="001F51A6" w:rsidRPr="004C59DE" w:rsidRDefault="001F51A6" w:rsidP="001F51A6">
            <w:pPr>
              <w:autoSpaceDE w:val="0"/>
              <w:autoSpaceDN w:val="0"/>
              <w:adjustRightInd w:val="0"/>
              <w:rPr>
                <w:rFonts w:ascii="Arial" w:eastAsiaTheme="minorHAnsi" w:hAnsi="Arial" w:cs="Arial"/>
                <w:color w:val="000000"/>
                <w:lang w:val="es-MX" w:eastAsia="en-US"/>
              </w:rPr>
            </w:pPr>
            <w:r w:rsidRPr="004C59DE">
              <w:rPr>
                <w:rFonts w:ascii="Arial" w:eastAsiaTheme="minorHAnsi" w:hAnsi="Arial" w:cs="Arial"/>
                <w:color w:val="000000"/>
                <w:lang w:val="es-MX" w:eastAsia="en-US"/>
              </w:rPr>
              <w:t>Chihuahua</w:t>
            </w:r>
          </w:p>
        </w:tc>
        <w:tc>
          <w:tcPr>
            <w:tcW w:w="1359" w:type="dxa"/>
            <w:tcBorders>
              <w:left w:val="single" w:sz="4" w:space="0" w:color="auto"/>
            </w:tcBorders>
          </w:tcPr>
          <w:p w14:paraId="0AF9C073"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   5.9</w:t>
            </w:r>
            <w:r w:rsidRPr="004C59DE">
              <w:rPr>
                <w:rFonts w:ascii="Arial" w:eastAsiaTheme="minorHAnsi" w:hAnsi="Arial" w:cs="Arial"/>
                <w:color w:val="000000"/>
                <w:lang w:val="es-MX" w:eastAsia="en-US"/>
              </w:rPr>
              <w:t xml:space="preserve"> </w:t>
            </w:r>
          </w:p>
        </w:tc>
        <w:tc>
          <w:tcPr>
            <w:tcW w:w="1328" w:type="dxa"/>
          </w:tcPr>
          <w:p w14:paraId="2A58B61B"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sidRPr="004C59DE">
              <w:rPr>
                <w:rFonts w:ascii="Arial" w:eastAsiaTheme="minorHAnsi" w:hAnsi="Arial" w:cs="Arial"/>
                <w:color w:val="000000"/>
                <w:lang w:val="es-MX" w:eastAsia="en-US"/>
              </w:rPr>
              <w:t>(-)   5.</w:t>
            </w:r>
            <w:r>
              <w:rPr>
                <w:rFonts w:ascii="Arial" w:eastAsiaTheme="minorHAnsi" w:hAnsi="Arial" w:cs="Arial"/>
                <w:color w:val="000000"/>
                <w:lang w:val="es-MX" w:eastAsia="en-US"/>
              </w:rPr>
              <w:t>8</w:t>
            </w:r>
            <w:r w:rsidRPr="004C59DE">
              <w:rPr>
                <w:rFonts w:ascii="Arial" w:eastAsiaTheme="minorHAnsi" w:hAnsi="Arial" w:cs="Arial"/>
                <w:color w:val="000000"/>
                <w:lang w:val="es-MX" w:eastAsia="en-US"/>
              </w:rPr>
              <w:t xml:space="preserve"> </w:t>
            </w:r>
          </w:p>
        </w:tc>
        <w:tc>
          <w:tcPr>
            <w:tcW w:w="1344" w:type="dxa"/>
          </w:tcPr>
          <w:p w14:paraId="284EF877"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   7.5</w:t>
            </w:r>
            <w:r w:rsidRPr="004C59DE">
              <w:rPr>
                <w:rFonts w:ascii="Arial" w:eastAsiaTheme="minorHAnsi" w:hAnsi="Arial" w:cs="Arial"/>
                <w:color w:val="000000"/>
                <w:lang w:val="es-MX" w:eastAsia="en-US"/>
              </w:rPr>
              <w:t xml:space="preserve"> </w:t>
            </w:r>
          </w:p>
        </w:tc>
        <w:tc>
          <w:tcPr>
            <w:tcW w:w="1343" w:type="dxa"/>
            <w:tcBorders>
              <w:right w:val="single" w:sz="4" w:space="0" w:color="auto"/>
            </w:tcBorders>
          </w:tcPr>
          <w:p w14:paraId="789EC44B"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   4.7</w:t>
            </w:r>
            <w:r w:rsidRPr="004C59DE">
              <w:rPr>
                <w:rFonts w:ascii="Arial" w:eastAsiaTheme="minorHAnsi" w:hAnsi="Arial" w:cs="Arial"/>
                <w:color w:val="000000"/>
                <w:lang w:val="es-MX" w:eastAsia="en-US"/>
              </w:rPr>
              <w:t xml:space="preserve"> </w:t>
            </w:r>
          </w:p>
        </w:tc>
      </w:tr>
      <w:tr w:rsidR="001F51A6" w:rsidRPr="004C59DE" w14:paraId="1F282C28" w14:textId="77777777" w:rsidTr="001F51A6">
        <w:trPr>
          <w:trHeight w:val="243"/>
        </w:trPr>
        <w:tc>
          <w:tcPr>
            <w:tcW w:w="2888" w:type="dxa"/>
            <w:tcBorders>
              <w:left w:val="single" w:sz="4" w:space="0" w:color="auto"/>
              <w:right w:val="single" w:sz="4" w:space="0" w:color="auto"/>
            </w:tcBorders>
          </w:tcPr>
          <w:p w14:paraId="33B7D621" w14:textId="77777777" w:rsidR="001F51A6" w:rsidRPr="004C59DE" w:rsidRDefault="001F51A6" w:rsidP="001F51A6">
            <w:pPr>
              <w:autoSpaceDE w:val="0"/>
              <w:autoSpaceDN w:val="0"/>
              <w:adjustRightInd w:val="0"/>
              <w:rPr>
                <w:rFonts w:ascii="Arial" w:eastAsiaTheme="minorHAnsi" w:hAnsi="Arial" w:cs="Arial"/>
                <w:color w:val="000000"/>
                <w:lang w:val="es-MX" w:eastAsia="en-US"/>
              </w:rPr>
            </w:pPr>
            <w:r w:rsidRPr="004C59DE">
              <w:rPr>
                <w:rFonts w:ascii="Arial" w:eastAsiaTheme="minorHAnsi" w:hAnsi="Arial" w:cs="Arial"/>
                <w:color w:val="000000"/>
                <w:lang w:val="es-MX" w:eastAsia="en-US"/>
              </w:rPr>
              <w:t>Ciudad de México</w:t>
            </w:r>
          </w:p>
        </w:tc>
        <w:tc>
          <w:tcPr>
            <w:tcW w:w="1359" w:type="dxa"/>
            <w:tcBorders>
              <w:left w:val="single" w:sz="4" w:space="0" w:color="auto"/>
            </w:tcBorders>
          </w:tcPr>
          <w:p w14:paraId="2E9E7765"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   9.1</w:t>
            </w:r>
            <w:r w:rsidRPr="004C59DE">
              <w:rPr>
                <w:rFonts w:ascii="Arial" w:eastAsiaTheme="minorHAnsi" w:hAnsi="Arial" w:cs="Arial"/>
                <w:color w:val="000000"/>
                <w:lang w:val="es-MX" w:eastAsia="en-US"/>
              </w:rPr>
              <w:t xml:space="preserve"> </w:t>
            </w:r>
          </w:p>
        </w:tc>
        <w:tc>
          <w:tcPr>
            <w:tcW w:w="1328" w:type="dxa"/>
          </w:tcPr>
          <w:p w14:paraId="10573B81"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   4.5</w:t>
            </w:r>
            <w:r w:rsidRPr="004C59DE">
              <w:rPr>
                <w:rFonts w:ascii="Arial" w:eastAsiaTheme="minorHAnsi" w:hAnsi="Arial" w:cs="Arial"/>
                <w:color w:val="000000"/>
                <w:lang w:val="es-MX" w:eastAsia="en-US"/>
              </w:rPr>
              <w:t xml:space="preserve"> </w:t>
            </w:r>
          </w:p>
        </w:tc>
        <w:tc>
          <w:tcPr>
            <w:tcW w:w="1344" w:type="dxa"/>
          </w:tcPr>
          <w:p w14:paraId="7D928738"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sidRPr="004C59DE">
              <w:rPr>
                <w:rFonts w:ascii="Arial" w:eastAsiaTheme="minorHAnsi" w:hAnsi="Arial" w:cs="Arial"/>
                <w:color w:val="000000"/>
                <w:lang w:val="es-MX" w:eastAsia="en-US"/>
              </w:rPr>
              <w:t xml:space="preserve">(-) </w:t>
            </w:r>
            <w:r>
              <w:rPr>
                <w:rFonts w:ascii="Arial" w:eastAsiaTheme="minorHAnsi" w:hAnsi="Arial" w:cs="Arial"/>
                <w:color w:val="000000"/>
                <w:lang w:val="es-MX" w:eastAsia="en-US"/>
              </w:rPr>
              <w:t>14.5</w:t>
            </w:r>
            <w:r w:rsidRPr="004C59DE">
              <w:rPr>
                <w:rFonts w:ascii="Arial" w:eastAsiaTheme="minorHAnsi" w:hAnsi="Arial" w:cs="Arial"/>
                <w:color w:val="000000"/>
                <w:lang w:val="es-MX" w:eastAsia="en-US"/>
              </w:rPr>
              <w:t xml:space="preserve"> </w:t>
            </w:r>
          </w:p>
        </w:tc>
        <w:tc>
          <w:tcPr>
            <w:tcW w:w="1343" w:type="dxa"/>
            <w:tcBorders>
              <w:right w:val="single" w:sz="4" w:space="0" w:color="auto"/>
            </w:tcBorders>
          </w:tcPr>
          <w:p w14:paraId="795A7ADB"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   8.5</w:t>
            </w:r>
            <w:r w:rsidRPr="004C59DE">
              <w:rPr>
                <w:rFonts w:ascii="Arial" w:eastAsiaTheme="minorHAnsi" w:hAnsi="Arial" w:cs="Arial"/>
                <w:color w:val="000000"/>
                <w:lang w:val="es-MX" w:eastAsia="en-US"/>
              </w:rPr>
              <w:t xml:space="preserve"> </w:t>
            </w:r>
          </w:p>
        </w:tc>
      </w:tr>
      <w:tr w:rsidR="001F51A6" w:rsidRPr="004C59DE" w14:paraId="6D964A7E" w14:textId="77777777" w:rsidTr="001F51A6">
        <w:trPr>
          <w:trHeight w:val="243"/>
        </w:trPr>
        <w:tc>
          <w:tcPr>
            <w:tcW w:w="2888" w:type="dxa"/>
            <w:tcBorders>
              <w:left w:val="single" w:sz="4" w:space="0" w:color="auto"/>
              <w:right w:val="single" w:sz="4" w:space="0" w:color="auto"/>
            </w:tcBorders>
          </w:tcPr>
          <w:p w14:paraId="6332B31A" w14:textId="77777777" w:rsidR="001F51A6" w:rsidRPr="004C59DE" w:rsidRDefault="001F51A6" w:rsidP="001F51A6">
            <w:pPr>
              <w:autoSpaceDE w:val="0"/>
              <w:autoSpaceDN w:val="0"/>
              <w:adjustRightInd w:val="0"/>
              <w:rPr>
                <w:rFonts w:ascii="Arial" w:eastAsiaTheme="minorHAnsi" w:hAnsi="Arial" w:cs="Arial"/>
                <w:color w:val="000000"/>
                <w:lang w:val="es-MX" w:eastAsia="en-US"/>
              </w:rPr>
            </w:pPr>
            <w:r w:rsidRPr="004C59DE">
              <w:rPr>
                <w:rFonts w:ascii="Arial" w:eastAsiaTheme="minorHAnsi" w:hAnsi="Arial" w:cs="Arial"/>
                <w:color w:val="000000"/>
                <w:lang w:val="es-MX" w:eastAsia="en-US"/>
              </w:rPr>
              <w:t>Durango</w:t>
            </w:r>
          </w:p>
        </w:tc>
        <w:tc>
          <w:tcPr>
            <w:tcW w:w="1359" w:type="dxa"/>
            <w:tcBorders>
              <w:left w:val="single" w:sz="4" w:space="0" w:color="auto"/>
            </w:tcBorders>
          </w:tcPr>
          <w:p w14:paraId="2B0DCB9B"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   6.8</w:t>
            </w:r>
            <w:r w:rsidRPr="004C59DE">
              <w:rPr>
                <w:rFonts w:ascii="Arial" w:eastAsiaTheme="minorHAnsi" w:hAnsi="Arial" w:cs="Arial"/>
                <w:color w:val="000000"/>
                <w:lang w:val="es-MX" w:eastAsia="en-US"/>
              </w:rPr>
              <w:t xml:space="preserve"> </w:t>
            </w:r>
          </w:p>
        </w:tc>
        <w:tc>
          <w:tcPr>
            <w:tcW w:w="1328" w:type="dxa"/>
          </w:tcPr>
          <w:p w14:paraId="4B48C702"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sidRPr="004C59DE">
              <w:rPr>
                <w:rFonts w:ascii="Arial" w:eastAsiaTheme="minorHAnsi" w:hAnsi="Arial" w:cs="Arial"/>
                <w:color w:val="000000"/>
                <w:lang w:val="es-MX" w:eastAsia="en-US"/>
              </w:rPr>
              <w:t xml:space="preserve">(-)   </w:t>
            </w:r>
            <w:r>
              <w:rPr>
                <w:rFonts w:ascii="Arial" w:eastAsiaTheme="minorHAnsi" w:hAnsi="Arial" w:cs="Arial"/>
                <w:color w:val="000000"/>
                <w:lang w:val="es-MX" w:eastAsia="en-US"/>
              </w:rPr>
              <w:t>2.1</w:t>
            </w:r>
            <w:r w:rsidRPr="004C59DE">
              <w:rPr>
                <w:rFonts w:ascii="Arial" w:eastAsiaTheme="minorHAnsi" w:hAnsi="Arial" w:cs="Arial"/>
                <w:color w:val="000000"/>
                <w:lang w:val="es-MX" w:eastAsia="en-US"/>
              </w:rPr>
              <w:t xml:space="preserve"> </w:t>
            </w:r>
          </w:p>
        </w:tc>
        <w:tc>
          <w:tcPr>
            <w:tcW w:w="1344" w:type="dxa"/>
          </w:tcPr>
          <w:p w14:paraId="42077F6D"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 10.2</w:t>
            </w:r>
            <w:r w:rsidRPr="004C59DE">
              <w:rPr>
                <w:rFonts w:ascii="Arial" w:eastAsiaTheme="minorHAnsi" w:hAnsi="Arial" w:cs="Arial"/>
                <w:color w:val="000000"/>
                <w:lang w:val="es-MX" w:eastAsia="en-US"/>
              </w:rPr>
              <w:t xml:space="preserve"> </w:t>
            </w:r>
          </w:p>
        </w:tc>
        <w:tc>
          <w:tcPr>
            <w:tcW w:w="1343" w:type="dxa"/>
            <w:tcBorders>
              <w:right w:val="single" w:sz="4" w:space="0" w:color="auto"/>
            </w:tcBorders>
          </w:tcPr>
          <w:p w14:paraId="34B0616C"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sidRPr="004C59DE">
              <w:rPr>
                <w:rFonts w:ascii="Arial" w:eastAsiaTheme="minorHAnsi" w:hAnsi="Arial" w:cs="Arial"/>
                <w:color w:val="000000"/>
                <w:lang w:val="es-MX" w:eastAsia="en-US"/>
              </w:rPr>
              <w:t xml:space="preserve">(-)   </w:t>
            </w:r>
            <w:r>
              <w:rPr>
                <w:rFonts w:ascii="Arial" w:eastAsiaTheme="minorHAnsi" w:hAnsi="Arial" w:cs="Arial"/>
                <w:color w:val="000000"/>
                <w:lang w:val="es-MX" w:eastAsia="en-US"/>
              </w:rPr>
              <w:t>5.8</w:t>
            </w:r>
            <w:r w:rsidRPr="004C59DE">
              <w:rPr>
                <w:rFonts w:ascii="Arial" w:eastAsiaTheme="minorHAnsi" w:hAnsi="Arial" w:cs="Arial"/>
                <w:color w:val="000000"/>
                <w:lang w:val="es-MX" w:eastAsia="en-US"/>
              </w:rPr>
              <w:t xml:space="preserve"> </w:t>
            </w:r>
          </w:p>
        </w:tc>
      </w:tr>
      <w:tr w:rsidR="001F51A6" w:rsidRPr="004C59DE" w14:paraId="68B77095" w14:textId="77777777" w:rsidTr="001F51A6">
        <w:trPr>
          <w:trHeight w:val="243"/>
        </w:trPr>
        <w:tc>
          <w:tcPr>
            <w:tcW w:w="2888" w:type="dxa"/>
            <w:tcBorders>
              <w:left w:val="single" w:sz="4" w:space="0" w:color="auto"/>
              <w:right w:val="single" w:sz="4" w:space="0" w:color="auto"/>
            </w:tcBorders>
          </w:tcPr>
          <w:p w14:paraId="39B4B0F2" w14:textId="77777777" w:rsidR="001F51A6" w:rsidRPr="004C59DE" w:rsidRDefault="001F51A6" w:rsidP="001F51A6">
            <w:pPr>
              <w:autoSpaceDE w:val="0"/>
              <w:autoSpaceDN w:val="0"/>
              <w:adjustRightInd w:val="0"/>
              <w:rPr>
                <w:rFonts w:ascii="Arial" w:eastAsiaTheme="minorHAnsi" w:hAnsi="Arial" w:cs="Arial"/>
                <w:color w:val="000000"/>
                <w:lang w:val="es-MX" w:eastAsia="en-US"/>
              </w:rPr>
            </w:pPr>
            <w:r w:rsidRPr="004C59DE">
              <w:rPr>
                <w:rFonts w:ascii="Arial" w:eastAsiaTheme="minorHAnsi" w:hAnsi="Arial" w:cs="Arial"/>
                <w:color w:val="000000"/>
                <w:lang w:val="es-MX" w:eastAsia="en-US"/>
              </w:rPr>
              <w:t>Guanajuato</w:t>
            </w:r>
          </w:p>
        </w:tc>
        <w:tc>
          <w:tcPr>
            <w:tcW w:w="1359" w:type="dxa"/>
            <w:tcBorders>
              <w:left w:val="single" w:sz="4" w:space="0" w:color="auto"/>
            </w:tcBorders>
          </w:tcPr>
          <w:p w14:paraId="63F5006A"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sidRPr="004C59DE">
              <w:rPr>
                <w:rFonts w:ascii="Arial" w:eastAsiaTheme="minorHAnsi" w:hAnsi="Arial" w:cs="Arial"/>
                <w:color w:val="000000"/>
                <w:lang w:val="es-MX" w:eastAsia="en-US"/>
              </w:rPr>
              <w:t xml:space="preserve">(-)   </w:t>
            </w:r>
            <w:r>
              <w:rPr>
                <w:rFonts w:ascii="Arial" w:eastAsiaTheme="minorHAnsi" w:hAnsi="Arial" w:cs="Arial"/>
                <w:color w:val="000000"/>
                <w:lang w:val="es-MX" w:eastAsia="en-US"/>
              </w:rPr>
              <w:t>7.0</w:t>
            </w:r>
            <w:r w:rsidRPr="004C59DE">
              <w:rPr>
                <w:rFonts w:ascii="Arial" w:eastAsiaTheme="minorHAnsi" w:hAnsi="Arial" w:cs="Arial"/>
                <w:color w:val="000000"/>
                <w:lang w:val="es-MX" w:eastAsia="en-US"/>
              </w:rPr>
              <w:t xml:space="preserve"> </w:t>
            </w:r>
          </w:p>
        </w:tc>
        <w:tc>
          <w:tcPr>
            <w:tcW w:w="1328" w:type="dxa"/>
          </w:tcPr>
          <w:p w14:paraId="491DCDCE"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   0.5</w:t>
            </w:r>
            <w:r w:rsidRPr="004C59DE">
              <w:rPr>
                <w:rFonts w:ascii="Arial" w:eastAsiaTheme="minorHAnsi" w:hAnsi="Arial" w:cs="Arial"/>
                <w:color w:val="000000"/>
                <w:lang w:val="es-MX" w:eastAsia="en-US"/>
              </w:rPr>
              <w:t xml:space="preserve"> </w:t>
            </w:r>
          </w:p>
        </w:tc>
        <w:tc>
          <w:tcPr>
            <w:tcW w:w="1344" w:type="dxa"/>
          </w:tcPr>
          <w:p w14:paraId="176D35E0"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sidRPr="004C59DE">
              <w:rPr>
                <w:rFonts w:ascii="Arial" w:eastAsiaTheme="minorHAnsi" w:hAnsi="Arial" w:cs="Arial"/>
                <w:color w:val="000000"/>
                <w:lang w:val="es-MX" w:eastAsia="en-US"/>
              </w:rPr>
              <w:t xml:space="preserve">(-)   </w:t>
            </w:r>
            <w:r>
              <w:rPr>
                <w:rFonts w:ascii="Arial" w:eastAsiaTheme="minorHAnsi" w:hAnsi="Arial" w:cs="Arial"/>
                <w:color w:val="000000"/>
                <w:lang w:val="es-MX" w:eastAsia="en-US"/>
              </w:rPr>
              <w:t>8.3</w:t>
            </w:r>
            <w:r w:rsidRPr="004C59DE">
              <w:rPr>
                <w:rFonts w:ascii="Arial" w:eastAsiaTheme="minorHAnsi" w:hAnsi="Arial" w:cs="Arial"/>
                <w:color w:val="000000"/>
                <w:lang w:val="es-MX" w:eastAsia="en-US"/>
              </w:rPr>
              <w:t xml:space="preserve"> </w:t>
            </w:r>
          </w:p>
        </w:tc>
        <w:tc>
          <w:tcPr>
            <w:tcW w:w="1343" w:type="dxa"/>
            <w:tcBorders>
              <w:right w:val="single" w:sz="4" w:space="0" w:color="auto"/>
            </w:tcBorders>
          </w:tcPr>
          <w:p w14:paraId="53B88447"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   6.7</w:t>
            </w:r>
            <w:r w:rsidRPr="004C59DE">
              <w:rPr>
                <w:rFonts w:ascii="Arial" w:eastAsiaTheme="minorHAnsi" w:hAnsi="Arial" w:cs="Arial"/>
                <w:color w:val="000000"/>
                <w:lang w:val="es-MX" w:eastAsia="en-US"/>
              </w:rPr>
              <w:t xml:space="preserve"> </w:t>
            </w:r>
          </w:p>
        </w:tc>
      </w:tr>
      <w:tr w:rsidR="001F51A6" w:rsidRPr="004C59DE" w14:paraId="58183EE7" w14:textId="77777777" w:rsidTr="001F51A6">
        <w:trPr>
          <w:trHeight w:val="243"/>
        </w:trPr>
        <w:tc>
          <w:tcPr>
            <w:tcW w:w="2888" w:type="dxa"/>
            <w:tcBorders>
              <w:left w:val="single" w:sz="4" w:space="0" w:color="auto"/>
              <w:right w:val="single" w:sz="4" w:space="0" w:color="auto"/>
            </w:tcBorders>
          </w:tcPr>
          <w:p w14:paraId="6066E755" w14:textId="77777777" w:rsidR="001F51A6" w:rsidRPr="004C59DE" w:rsidRDefault="001F51A6" w:rsidP="001F51A6">
            <w:pPr>
              <w:autoSpaceDE w:val="0"/>
              <w:autoSpaceDN w:val="0"/>
              <w:adjustRightInd w:val="0"/>
              <w:rPr>
                <w:rFonts w:ascii="Arial" w:eastAsiaTheme="minorHAnsi" w:hAnsi="Arial" w:cs="Arial"/>
                <w:color w:val="000000"/>
                <w:lang w:val="es-MX" w:eastAsia="en-US"/>
              </w:rPr>
            </w:pPr>
            <w:r w:rsidRPr="004C59DE">
              <w:rPr>
                <w:rFonts w:ascii="Arial" w:eastAsiaTheme="minorHAnsi" w:hAnsi="Arial" w:cs="Arial"/>
                <w:color w:val="000000"/>
                <w:lang w:val="es-MX" w:eastAsia="en-US"/>
              </w:rPr>
              <w:t>Guerrero</w:t>
            </w:r>
          </w:p>
        </w:tc>
        <w:tc>
          <w:tcPr>
            <w:tcW w:w="1359" w:type="dxa"/>
            <w:tcBorders>
              <w:left w:val="single" w:sz="4" w:space="0" w:color="auto"/>
            </w:tcBorders>
          </w:tcPr>
          <w:p w14:paraId="66C59499"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sidRPr="004C59DE">
              <w:rPr>
                <w:rFonts w:ascii="Arial" w:eastAsiaTheme="minorHAnsi" w:hAnsi="Arial" w:cs="Arial"/>
                <w:color w:val="000000"/>
                <w:lang w:val="es-MX" w:eastAsia="en-US"/>
              </w:rPr>
              <w:t xml:space="preserve">(-) </w:t>
            </w:r>
            <w:r>
              <w:rPr>
                <w:rFonts w:ascii="Arial" w:eastAsiaTheme="minorHAnsi" w:hAnsi="Arial" w:cs="Arial"/>
                <w:color w:val="000000"/>
                <w:lang w:val="es-MX" w:eastAsia="en-US"/>
              </w:rPr>
              <w:t xml:space="preserve">  9.9</w:t>
            </w:r>
            <w:r w:rsidRPr="004C59DE">
              <w:rPr>
                <w:rFonts w:ascii="Arial" w:eastAsiaTheme="minorHAnsi" w:hAnsi="Arial" w:cs="Arial"/>
                <w:color w:val="000000"/>
                <w:lang w:val="es-MX" w:eastAsia="en-US"/>
              </w:rPr>
              <w:t xml:space="preserve"> </w:t>
            </w:r>
          </w:p>
        </w:tc>
        <w:tc>
          <w:tcPr>
            <w:tcW w:w="1328" w:type="dxa"/>
          </w:tcPr>
          <w:p w14:paraId="44E2A0ED"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sidRPr="004C59DE">
              <w:rPr>
                <w:rFonts w:ascii="Arial" w:eastAsiaTheme="minorHAnsi" w:hAnsi="Arial" w:cs="Arial"/>
                <w:color w:val="000000"/>
                <w:lang w:val="es-MX" w:eastAsia="en-US"/>
              </w:rPr>
              <w:t xml:space="preserve">   </w:t>
            </w:r>
            <w:r>
              <w:rPr>
                <w:rFonts w:ascii="Arial" w:eastAsiaTheme="minorHAnsi" w:hAnsi="Arial" w:cs="Arial"/>
                <w:color w:val="000000"/>
                <w:lang w:val="es-MX" w:eastAsia="en-US"/>
              </w:rPr>
              <w:t>7.9</w:t>
            </w:r>
            <w:r w:rsidRPr="004C59DE">
              <w:rPr>
                <w:rFonts w:ascii="Arial" w:eastAsiaTheme="minorHAnsi" w:hAnsi="Arial" w:cs="Arial"/>
                <w:color w:val="000000"/>
                <w:lang w:val="es-MX" w:eastAsia="en-US"/>
              </w:rPr>
              <w:t xml:space="preserve"> </w:t>
            </w:r>
          </w:p>
        </w:tc>
        <w:tc>
          <w:tcPr>
            <w:tcW w:w="1344" w:type="dxa"/>
          </w:tcPr>
          <w:p w14:paraId="45447ACA"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sidRPr="004C59DE">
              <w:rPr>
                <w:rFonts w:ascii="Arial" w:eastAsiaTheme="minorHAnsi" w:hAnsi="Arial" w:cs="Arial"/>
                <w:color w:val="000000"/>
                <w:lang w:val="es-MX" w:eastAsia="en-US"/>
              </w:rPr>
              <w:t>(-) 1</w:t>
            </w:r>
            <w:r>
              <w:rPr>
                <w:rFonts w:ascii="Arial" w:eastAsiaTheme="minorHAnsi" w:hAnsi="Arial" w:cs="Arial"/>
                <w:color w:val="000000"/>
                <w:lang w:val="es-MX" w:eastAsia="en-US"/>
              </w:rPr>
              <w:t>0</w:t>
            </w:r>
            <w:r w:rsidRPr="004C59DE">
              <w:rPr>
                <w:rFonts w:ascii="Arial" w:eastAsiaTheme="minorHAnsi" w:hAnsi="Arial" w:cs="Arial"/>
                <w:color w:val="000000"/>
                <w:lang w:val="es-MX" w:eastAsia="en-US"/>
              </w:rPr>
              <w:t>.</w:t>
            </w:r>
            <w:r>
              <w:rPr>
                <w:rFonts w:ascii="Arial" w:eastAsiaTheme="minorHAnsi" w:hAnsi="Arial" w:cs="Arial"/>
                <w:color w:val="000000"/>
                <w:lang w:val="es-MX" w:eastAsia="en-US"/>
              </w:rPr>
              <w:t>6</w:t>
            </w:r>
            <w:r w:rsidRPr="004C59DE">
              <w:rPr>
                <w:rFonts w:ascii="Arial" w:eastAsiaTheme="minorHAnsi" w:hAnsi="Arial" w:cs="Arial"/>
                <w:color w:val="000000"/>
                <w:lang w:val="es-MX" w:eastAsia="en-US"/>
              </w:rPr>
              <w:t xml:space="preserve"> </w:t>
            </w:r>
          </w:p>
        </w:tc>
        <w:tc>
          <w:tcPr>
            <w:tcW w:w="1343" w:type="dxa"/>
            <w:tcBorders>
              <w:right w:val="single" w:sz="4" w:space="0" w:color="auto"/>
            </w:tcBorders>
          </w:tcPr>
          <w:p w14:paraId="6F27774A"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 10.9</w:t>
            </w:r>
            <w:r w:rsidRPr="004C59DE">
              <w:rPr>
                <w:rFonts w:ascii="Arial" w:eastAsiaTheme="minorHAnsi" w:hAnsi="Arial" w:cs="Arial"/>
                <w:color w:val="000000"/>
                <w:lang w:val="es-MX" w:eastAsia="en-US"/>
              </w:rPr>
              <w:t xml:space="preserve"> </w:t>
            </w:r>
          </w:p>
        </w:tc>
      </w:tr>
      <w:tr w:rsidR="001F51A6" w:rsidRPr="004C59DE" w14:paraId="69F907C2" w14:textId="77777777" w:rsidTr="001F51A6">
        <w:trPr>
          <w:trHeight w:val="243"/>
        </w:trPr>
        <w:tc>
          <w:tcPr>
            <w:tcW w:w="2888" w:type="dxa"/>
            <w:tcBorders>
              <w:left w:val="single" w:sz="4" w:space="0" w:color="auto"/>
              <w:right w:val="single" w:sz="4" w:space="0" w:color="auto"/>
            </w:tcBorders>
          </w:tcPr>
          <w:p w14:paraId="353208D9" w14:textId="77777777" w:rsidR="001F51A6" w:rsidRPr="004C59DE" w:rsidRDefault="001F51A6" w:rsidP="001F51A6">
            <w:pPr>
              <w:autoSpaceDE w:val="0"/>
              <w:autoSpaceDN w:val="0"/>
              <w:adjustRightInd w:val="0"/>
              <w:rPr>
                <w:rFonts w:ascii="Arial" w:eastAsiaTheme="minorHAnsi" w:hAnsi="Arial" w:cs="Arial"/>
                <w:color w:val="000000"/>
                <w:lang w:val="es-MX" w:eastAsia="en-US"/>
              </w:rPr>
            </w:pPr>
            <w:r w:rsidRPr="004C59DE">
              <w:rPr>
                <w:rFonts w:ascii="Arial" w:eastAsiaTheme="minorHAnsi" w:hAnsi="Arial" w:cs="Arial"/>
                <w:color w:val="000000"/>
                <w:lang w:val="es-MX" w:eastAsia="en-US"/>
              </w:rPr>
              <w:t>Hidalgo</w:t>
            </w:r>
          </w:p>
        </w:tc>
        <w:tc>
          <w:tcPr>
            <w:tcW w:w="1359" w:type="dxa"/>
            <w:tcBorders>
              <w:left w:val="single" w:sz="4" w:space="0" w:color="auto"/>
            </w:tcBorders>
          </w:tcPr>
          <w:p w14:paraId="5B8A3A02"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sidRPr="004C59DE">
              <w:rPr>
                <w:rFonts w:ascii="Arial" w:eastAsiaTheme="minorHAnsi" w:hAnsi="Arial" w:cs="Arial"/>
                <w:color w:val="000000"/>
                <w:lang w:val="es-MX" w:eastAsia="en-US"/>
              </w:rPr>
              <w:t>(-</w:t>
            </w:r>
            <w:r>
              <w:rPr>
                <w:rFonts w:ascii="Arial" w:eastAsiaTheme="minorHAnsi" w:hAnsi="Arial" w:cs="Arial"/>
                <w:color w:val="000000"/>
                <w:lang w:val="es-MX" w:eastAsia="en-US"/>
              </w:rPr>
              <w:t>) 10.9</w:t>
            </w:r>
            <w:r w:rsidRPr="004C59DE">
              <w:rPr>
                <w:rFonts w:ascii="Arial" w:eastAsiaTheme="minorHAnsi" w:hAnsi="Arial" w:cs="Arial"/>
                <w:color w:val="000000"/>
                <w:lang w:val="es-MX" w:eastAsia="en-US"/>
              </w:rPr>
              <w:t xml:space="preserve"> </w:t>
            </w:r>
          </w:p>
        </w:tc>
        <w:tc>
          <w:tcPr>
            <w:tcW w:w="1328" w:type="dxa"/>
          </w:tcPr>
          <w:p w14:paraId="60E03C03"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sidRPr="004C59DE">
              <w:rPr>
                <w:rFonts w:ascii="Arial" w:eastAsiaTheme="minorHAnsi" w:hAnsi="Arial" w:cs="Arial"/>
                <w:color w:val="000000"/>
                <w:lang w:val="es-MX" w:eastAsia="en-US"/>
              </w:rPr>
              <w:t xml:space="preserve">(-)   </w:t>
            </w:r>
            <w:r>
              <w:rPr>
                <w:rFonts w:ascii="Arial" w:eastAsiaTheme="minorHAnsi" w:hAnsi="Arial" w:cs="Arial"/>
                <w:color w:val="000000"/>
                <w:lang w:val="es-MX" w:eastAsia="en-US"/>
              </w:rPr>
              <w:t>0.3</w:t>
            </w:r>
            <w:r w:rsidRPr="004C59DE">
              <w:rPr>
                <w:rFonts w:ascii="Arial" w:eastAsiaTheme="minorHAnsi" w:hAnsi="Arial" w:cs="Arial"/>
                <w:color w:val="000000"/>
                <w:lang w:val="es-MX" w:eastAsia="en-US"/>
              </w:rPr>
              <w:t xml:space="preserve"> </w:t>
            </w:r>
          </w:p>
        </w:tc>
        <w:tc>
          <w:tcPr>
            <w:tcW w:w="1344" w:type="dxa"/>
          </w:tcPr>
          <w:p w14:paraId="156B1E67"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sidRPr="004C59DE">
              <w:rPr>
                <w:rFonts w:ascii="Arial" w:eastAsiaTheme="minorHAnsi" w:hAnsi="Arial" w:cs="Arial"/>
                <w:color w:val="000000"/>
                <w:lang w:val="es-MX" w:eastAsia="en-US"/>
              </w:rPr>
              <w:t xml:space="preserve">(-) </w:t>
            </w:r>
            <w:r>
              <w:rPr>
                <w:rFonts w:ascii="Arial" w:eastAsiaTheme="minorHAnsi" w:hAnsi="Arial" w:cs="Arial"/>
                <w:color w:val="000000"/>
                <w:lang w:val="es-MX" w:eastAsia="en-US"/>
              </w:rPr>
              <w:t>17.2</w:t>
            </w:r>
            <w:r w:rsidRPr="004C59DE">
              <w:rPr>
                <w:rFonts w:ascii="Arial" w:eastAsiaTheme="minorHAnsi" w:hAnsi="Arial" w:cs="Arial"/>
                <w:color w:val="000000"/>
                <w:lang w:val="es-MX" w:eastAsia="en-US"/>
              </w:rPr>
              <w:t xml:space="preserve"> </w:t>
            </w:r>
          </w:p>
        </w:tc>
        <w:tc>
          <w:tcPr>
            <w:tcW w:w="1343" w:type="dxa"/>
            <w:tcBorders>
              <w:right w:val="single" w:sz="4" w:space="0" w:color="auto"/>
            </w:tcBorders>
          </w:tcPr>
          <w:p w14:paraId="497A0AB1"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sidRPr="004C59DE">
              <w:rPr>
                <w:rFonts w:ascii="Arial" w:eastAsiaTheme="minorHAnsi" w:hAnsi="Arial" w:cs="Arial"/>
                <w:color w:val="000000"/>
                <w:lang w:val="es-MX" w:eastAsia="en-US"/>
              </w:rPr>
              <w:t xml:space="preserve">(-)   </w:t>
            </w:r>
            <w:r>
              <w:rPr>
                <w:rFonts w:ascii="Arial" w:eastAsiaTheme="minorHAnsi" w:hAnsi="Arial" w:cs="Arial"/>
                <w:color w:val="000000"/>
                <w:lang w:val="es-MX" w:eastAsia="en-US"/>
              </w:rPr>
              <w:t>8.5</w:t>
            </w:r>
            <w:r w:rsidRPr="004C59DE">
              <w:rPr>
                <w:rFonts w:ascii="Arial" w:eastAsiaTheme="minorHAnsi" w:hAnsi="Arial" w:cs="Arial"/>
                <w:color w:val="000000"/>
                <w:lang w:val="es-MX" w:eastAsia="en-US"/>
              </w:rPr>
              <w:t xml:space="preserve"> </w:t>
            </w:r>
          </w:p>
        </w:tc>
      </w:tr>
      <w:tr w:rsidR="001F51A6" w:rsidRPr="004C59DE" w14:paraId="20F03363" w14:textId="77777777" w:rsidTr="001F51A6">
        <w:trPr>
          <w:trHeight w:val="243"/>
        </w:trPr>
        <w:tc>
          <w:tcPr>
            <w:tcW w:w="2888" w:type="dxa"/>
            <w:tcBorders>
              <w:left w:val="single" w:sz="4" w:space="0" w:color="auto"/>
              <w:right w:val="single" w:sz="4" w:space="0" w:color="auto"/>
            </w:tcBorders>
          </w:tcPr>
          <w:p w14:paraId="11AB870E" w14:textId="77777777" w:rsidR="001F51A6" w:rsidRPr="004C59DE" w:rsidRDefault="001F51A6" w:rsidP="001F51A6">
            <w:pPr>
              <w:autoSpaceDE w:val="0"/>
              <w:autoSpaceDN w:val="0"/>
              <w:adjustRightInd w:val="0"/>
              <w:rPr>
                <w:rFonts w:ascii="Arial" w:eastAsiaTheme="minorHAnsi" w:hAnsi="Arial" w:cs="Arial"/>
                <w:color w:val="000000"/>
                <w:lang w:val="es-MX" w:eastAsia="en-US"/>
              </w:rPr>
            </w:pPr>
            <w:r w:rsidRPr="004C59DE">
              <w:rPr>
                <w:rFonts w:ascii="Arial" w:eastAsiaTheme="minorHAnsi" w:hAnsi="Arial" w:cs="Arial"/>
                <w:color w:val="000000"/>
                <w:lang w:val="es-MX" w:eastAsia="en-US"/>
              </w:rPr>
              <w:t>Jalisco</w:t>
            </w:r>
          </w:p>
        </w:tc>
        <w:tc>
          <w:tcPr>
            <w:tcW w:w="1359" w:type="dxa"/>
            <w:tcBorders>
              <w:left w:val="single" w:sz="4" w:space="0" w:color="auto"/>
            </w:tcBorders>
          </w:tcPr>
          <w:p w14:paraId="7C68D4F0"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   7.5</w:t>
            </w:r>
            <w:r w:rsidRPr="004C59DE">
              <w:rPr>
                <w:rFonts w:ascii="Arial" w:eastAsiaTheme="minorHAnsi" w:hAnsi="Arial" w:cs="Arial"/>
                <w:color w:val="000000"/>
                <w:lang w:val="es-MX" w:eastAsia="en-US"/>
              </w:rPr>
              <w:t xml:space="preserve"> </w:t>
            </w:r>
          </w:p>
        </w:tc>
        <w:tc>
          <w:tcPr>
            <w:tcW w:w="1328" w:type="dxa"/>
          </w:tcPr>
          <w:p w14:paraId="5CBDE582"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2.3</w:t>
            </w:r>
            <w:r w:rsidRPr="004C59DE">
              <w:rPr>
                <w:rFonts w:ascii="Arial" w:eastAsiaTheme="minorHAnsi" w:hAnsi="Arial" w:cs="Arial"/>
                <w:color w:val="000000"/>
                <w:lang w:val="es-MX" w:eastAsia="en-US"/>
              </w:rPr>
              <w:t xml:space="preserve"> </w:t>
            </w:r>
          </w:p>
        </w:tc>
        <w:tc>
          <w:tcPr>
            <w:tcW w:w="1344" w:type="dxa"/>
          </w:tcPr>
          <w:p w14:paraId="7C1AA2D6"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   9.9</w:t>
            </w:r>
            <w:r w:rsidRPr="004C59DE">
              <w:rPr>
                <w:rFonts w:ascii="Arial" w:eastAsiaTheme="minorHAnsi" w:hAnsi="Arial" w:cs="Arial"/>
                <w:color w:val="000000"/>
                <w:lang w:val="es-MX" w:eastAsia="en-US"/>
              </w:rPr>
              <w:t xml:space="preserve"> </w:t>
            </w:r>
          </w:p>
        </w:tc>
        <w:tc>
          <w:tcPr>
            <w:tcW w:w="1343" w:type="dxa"/>
            <w:tcBorders>
              <w:right w:val="single" w:sz="4" w:space="0" w:color="auto"/>
            </w:tcBorders>
          </w:tcPr>
          <w:p w14:paraId="24E5DA30"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   7.3</w:t>
            </w:r>
            <w:r w:rsidRPr="004C59DE">
              <w:rPr>
                <w:rFonts w:ascii="Arial" w:eastAsiaTheme="minorHAnsi" w:hAnsi="Arial" w:cs="Arial"/>
                <w:color w:val="000000"/>
                <w:lang w:val="es-MX" w:eastAsia="en-US"/>
              </w:rPr>
              <w:t xml:space="preserve"> </w:t>
            </w:r>
          </w:p>
        </w:tc>
      </w:tr>
      <w:tr w:rsidR="001F51A6" w:rsidRPr="004C59DE" w14:paraId="08429FCB" w14:textId="77777777" w:rsidTr="001F51A6">
        <w:trPr>
          <w:trHeight w:val="243"/>
        </w:trPr>
        <w:tc>
          <w:tcPr>
            <w:tcW w:w="2888" w:type="dxa"/>
            <w:tcBorders>
              <w:left w:val="single" w:sz="4" w:space="0" w:color="auto"/>
              <w:right w:val="single" w:sz="4" w:space="0" w:color="auto"/>
            </w:tcBorders>
          </w:tcPr>
          <w:p w14:paraId="39F02F89" w14:textId="2495CE86" w:rsidR="001F51A6" w:rsidRPr="004C59DE" w:rsidRDefault="001F51A6" w:rsidP="001F51A6">
            <w:pPr>
              <w:autoSpaceDE w:val="0"/>
              <w:autoSpaceDN w:val="0"/>
              <w:adjustRightInd w:val="0"/>
              <w:rPr>
                <w:rFonts w:ascii="Arial" w:eastAsiaTheme="minorHAnsi" w:hAnsi="Arial" w:cs="Arial"/>
                <w:color w:val="000000"/>
                <w:lang w:val="es-MX" w:eastAsia="en-US"/>
              </w:rPr>
            </w:pPr>
            <w:r w:rsidRPr="004C59DE">
              <w:rPr>
                <w:rFonts w:ascii="Arial" w:eastAsiaTheme="minorHAnsi" w:hAnsi="Arial" w:cs="Arial"/>
                <w:color w:val="000000"/>
                <w:lang w:val="es-MX" w:eastAsia="en-US"/>
              </w:rPr>
              <w:t>México</w:t>
            </w:r>
          </w:p>
        </w:tc>
        <w:tc>
          <w:tcPr>
            <w:tcW w:w="1359" w:type="dxa"/>
            <w:tcBorders>
              <w:left w:val="single" w:sz="4" w:space="0" w:color="auto"/>
            </w:tcBorders>
          </w:tcPr>
          <w:p w14:paraId="4E5C7B0D"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sidRPr="004C59DE">
              <w:rPr>
                <w:rFonts w:ascii="Arial" w:eastAsiaTheme="minorHAnsi" w:hAnsi="Arial" w:cs="Arial"/>
                <w:color w:val="000000"/>
                <w:lang w:val="es-MX" w:eastAsia="en-US"/>
              </w:rPr>
              <w:t xml:space="preserve">(-)   </w:t>
            </w:r>
            <w:r>
              <w:rPr>
                <w:rFonts w:ascii="Arial" w:eastAsiaTheme="minorHAnsi" w:hAnsi="Arial" w:cs="Arial"/>
                <w:color w:val="000000"/>
                <w:lang w:val="es-MX" w:eastAsia="en-US"/>
              </w:rPr>
              <w:t>5.9</w:t>
            </w:r>
            <w:r w:rsidRPr="004C59DE">
              <w:rPr>
                <w:rFonts w:ascii="Arial" w:eastAsiaTheme="minorHAnsi" w:hAnsi="Arial" w:cs="Arial"/>
                <w:color w:val="000000"/>
                <w:lang w:val="es-MX" w:eastAsia="en-US"/>
              </w:rPr>
              <w:t xml:space="preserve"> </w:t>
            </w:r>
          </w:p>
        </w:tc>
        <w:tc>
          <w:tcPr>
            <w:tcW w:w="1328" w:type="dxa"/>
          </w:tcPr>
          <w:p w14:paraId="4CE98B39"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sidRPr="004C59DE">
              <w:rPr>
                <w:rFonts w:ascii="Arial" w:eastAsiaTheme="minorHAnsi" w:hAnsi="Arial" w:cs="Arial"/>
                <w:color w:val="000000"/>
                <w:lang w:val="es-MX" w:eastAsia="en-US"/>
              </w:rPr>
              <w:t xml:space="preserve">   </w:t>
            </w:r>
            <w:r>
              <w:rPr>
                <w:rFonts w:ascii="Arial" w:eastAsiaTheme="minorHAnsi" w:hAnsi="Arial" w:cs="Arial"/>
                <w:color w:val="000000"/>
                <w:lang w:val="es-MX" w:eastAsia="en-US"/>
              </w:rPr>
              <w:t>2.4</w:t>
            </w:r>
            <w:r w:rsidRPr="004C59DE">
              <w:rPr>
                <w:rFonts w:ascii="Arial" w:eastAsiaTheme="minorHAnsi" w:hAnsi="Arial" w:cs="Arial"/>
                <w:color w:val="000000"/>
                <w:lang w:val="es-MX" w:eastAsia="en-US"/>
              </w:rPr>
              <w:t xml:space="preserve"> </w:t>
            </w:r>
          </w:p>
        </w:tc>
        <w:tc>
          <w:tcPr>
            <w:tcW w:w="1344" w:type="dxa"/>
          </w:tcPr>
          <w:p w14:paraId="368ED9F5"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sidRPr="004C59DE">
              <w:rPr>
                <w:rFonts w:ascii="Arial" w:eastAsiaTheme="minorHAnsi" w:hAnsi="Arial" w:cs="Arial"/>
                <w:color w:val="000000"/>
                <w:lang w:val="es-MX" w:eastAsia="en-US"/>
              </w:rPr>
              <w:t xml:space="preserve">(-)   </w:t>
            </w:r>
            <w:r>
              <w:rPr>
                <w:rFonts w:ascii="Arial" w:eastAsiaTheme="minorHAnsi" w:hAnsi="Arial" w:cs="Arial"/>
                <w:color w:val="000000"/>
                <w:lang w:val="es-MX" w:eastAsia="en-US"/>
              </w:rPr>
              <w:t>9.8</w:t>
            </w:r>
            <w:r w:rsidRPr="004C59DE">
              <w:rPr>
                <w:rFonts w:ascii="Arial" w:eastAsiaTheme="minorHAnsi" w:hAnsi="Arial" w:cs="Arial"/>
                <w:color w:val="000000"/>
                <w:lang w:val="es-MX" w:eastAsia="en-US"/>
              </w:rPr>
              <w:t xml:space="preserve"> </w:t>
            </w:r>
          </w:p>
        </w:tc>
        <w:tc>
          <w:tcPr>
            <w:tcW w:w="1343" w:type="dxa"/>
            <w:tcBorders>
              <w:right w:val="single" w:sz="4" w:space="0" w:color="auto"/>
            </w:tcBorders>
          </w:tcPr>
          <w:p w14:paraId="214C5416"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   4.7</w:t>
            </w:r>
            <w:r w:rsidRPr="004C59DE">
              <w:rPr>
                <w:rFonts w:ascii="Arial" w:eastAsiaTheme="minorHAnsi" w:hAnsi="Arial" w:cs="Arial"/>
                <w:color w:val="000000"/>
                <w:lang w:val="es-MX" w:eastAsia="en-US"/>
              </w:rPr>
              <w:t xml:space="preserve"> </w:t>
            </w:r>
          </w:p>
        </w:tc>
      </w:tr>
      <w:tr w:rsidR="001F51A6" w:rsidRPr="004C59DE" w14:paraId="326B698E" w14:textId="77777777" w:rsidTr="001F51A6">
        <w:trPr>
          <w:trHeight w:val="243"/>
        </w:trPr>
        <w:tc>
          <w:tcPr>
            <w:tcW w:w="2888" w:type="dxa"/>
            <w:tcBorders>
              <w:left w:val="single" w:sz="4" w:space="0" w:color="auto"/>
              <w:right w:val="single" w:sz="4" w:space="0" w:color="auto"/>
            </w:tcBorders>
          </w:tcPr>
          <w:p w14:paraId="7EF8F360" w14:textId="77777777" w:rsidR="001F51A6" w:rsidRPr="004C59DE" w:rsidRDefault="001F51A6" w:rsidP="001F51A6">
            <w:pPr>
              <w:autoSpaceDE w:val="0"/>
              <w:autoSpaceDN w:val="0"/>
              <w:adjustRightInd w:val="0"/>
              <w:rPr>
                <w:rFonts w:ascii="Arial" w:eastAsiaTheme="minorHAnsi" w:hAnsi="Arial" w:cs="Arial"/>
                <w:color w:val="000000"/>
                <w:lang w:val="es-MX" w:eastAsia="en-US"/>
              </w:rPr>
            </w:pPr>
            <w:r w:rsidRPr="004C59DE">
              <w:rPr>
                <w:rFonts w:ascii="Arial" w:eastAsiaTheme="minorHAnsi" w:hAnsi="Arial" w:cs="Arial"/>
                <w:color w:val="000000"/>
                <w:lang w:val="es-MX" w:eastAsia="en-US"/>
              </w:rPr>
              <w:t>Michoacán de Ocampo</w:t>
            </w:r>
          </w:p>
        </w:tc>
        <w:tc>
          <w:tcPr>
            <w:tcW w:w="1359" w:type="dxa"/>
            <w:tcBorders>
              <w:left w:val="single" w:sz="4" w:space="0" w:color="auto"/>
            </w:tcBorders>
          </w:tcPr>
          <w:p w14:paraId="2F9DB8C4"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sidRPr="004C59DE">
              <w:rPr>
                <w:rFonts w:ascii="Arial" w:eastAsiaTheme="minorHAnsi" w:hAnsi="Arial" w:cs="Arial"/>
                <w:color w:val="000000"/>
                <w:lang w:val="es-MX" w:eastAsia="en-US"/>
              </w:rPr>
              <w:t>(-)</w:t>
            </w:r>
            <w:r>
              <w:rPr>
                <w:rFonts w:ascii="Arial" w:eastAsiaTheme="minorHAnsi" w:hAnsi="Arial" w:cs="Arial"/>
                <w:color w:val="000000"/>
                <w:lang w:val="es-MX" w:eastAsia="en-US"/>
              </w:rPr>
              <w:t xml:space="preserve">  </w:t>
            </w:r>
            <w:r w:rsidRPr="004C59DE">
              <w:rPr>
                <w:rFonts w:ascii="Arial" w:eastAsiaTheme="minorHAnsi" w:hAnsi="Arial" w:cs="Arial"/>
                <w:color w:val="000000"/>
                <w:lang w:val="es-MX" w:eastAsia="en-US"/>
              </w:rPr>
              <w:t xml:space="preserve"> </w:t>
            </w:r>
            <w:r>
              <w:rPr>
                <w:rFonts w:ascii="Arial" w:eastAsiaTheme="minorHAnsi" w:hAnsi="Arial" w:cs="Arial"/>
                <w:color w:val="000000"/>
                <w:lang w:val="es-MX" w:eastAsia="en-US"/>
              </w:rPr>
              <w:t>6.8</w:t>
            </w:r>
            <w:r w:rsidRPr="004C59DE">
              <w:rPr>
                <w:rFonts w:ascii="Arial" w:eastAsiaTheme="minorHAnsi" w:hAnsi="Arial" w:cs="Arial"/>
                <w:color w:val="000000"/>
                <w:lang w:val="es-MX" w:eastAsia="en-US"/>
              </w:rPr>
              <w:t xml:space="preserve"> </w:t>
            </w:r>
          </w:p>
        </w:tc>
        <w:tc>
          <w:tcPr>
            <w:tcW w:w="1328" w:type="dxa"/>
          </w:tcPr>
          <w:p w14:paraId="50C5F9AA"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 xml:space="preserve">   (-)   4.0</w:t>
            </w:r>
            <w:r w:rsidRPr="004C59DE">
              <w:rPr>
                <w:rFonts w:ascii="Arial" w:eastAsiaTheme="minorHAnsi" w:hAnsi="Arial" w:cs="Arial"/>
                <w:color w:val="000000"/>
                <w:lang w:val="es-MX" w:eastAsia="en-US"/>
              </w:rPr>
              <w:t xml:space="preserve"> </w:t>
            </w:r>
          </w:p>
        </w:tc>
        <w:tc>
          <w:tcPr>
            <w:tcW w:w="1344" w:type="dxa"/>
          </w:tcPr>
          <w:p w14:paraId="5607CD04"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sidRPr="004C59DE">
              <w:rPr>
                <w:rFonts w:ascii="Arial" w:eastAsiaTheme="minorHAnsi" w:hAnsi="Arial" w:cs="Arial"/>
                <w:color w:val="000000"/>
                <w:lang w:val="es-MX" w:eastAsia="en-US"/>
              </w:rPr>
              <w:t xml:space="preserve">(-)   </w:t>
            </w:r>
            <w:r>
              <w:rPr>
                <w:rFonts w:ascii="Arial" w:eastAsiaTheme="minorHAnsi" w:hAnsi="Arial" w:cs="Arial"/>
                <w:color w:val="000000"/>
                <w:lang w:val="es-MX" w:eastAsia="en-US"/>
              </w:rPr>
              <w:t>4.8</w:t>
            </w:r>
            <w:r w:rsidRPr="004C59DE">
              <w:rPr>
                <w:rFonts w:ascii="Arial" w:eastAsiaTheme="minorHAnsi" w:hAnsi="Arial" w:cs="Arial"/>
                <w:color w:val="000000"/>
                <w:lang w:val="es-MX" w:eastAsia="en-US"/>
              </w:rPr>
              <w:t xml:space="preserve"> </w:t>
            </w:r>
          </w:p>
        </w:tc>
        <w:tc>
          <w:tcPr>
            <w:tcW w:w="1343" w:type="dxa"/>
            <w:tcBorders>
              <w:right w:val="single" w:sz="4" w:space="0" w:color="auto"/>
            </w:tcBorders>
          </w:tcPr>
          <w:p w14:paraId="0450FFA1"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   7.8</w:t>
            </w:r>
            <w:r w:rsidRPr="004C59DE">
              <w:rPr>
                <w:rFonts w:ascii="Arial" w:eastAsiaTheme="minorHAnsi" w:hAnsi="Arial" w:cs="Arial"/>
                <w:color w:val="000000"/>
                <w:lang w:val="es-MX" w:eastAsia="en-US"/>
              </w:rPr>
              <w:t xml:space="preserve"> </w:t>
            </w:r>
          </w:p>
        </w:tc>
      </w:tr>
      <w:tr w:rsidR="001F51A6" w:rsidRPr="004C59DE" w14:paraId="7BCAFAB7" w14:textId="77777777" w:rsidTr="001F51A6">
        <w:trPr>
          <w:trHeight w:val="243"/>
        </w:trPr>
        <w:tc>
          <w:tcPr>
            <w:tcW w:w="2888" w:type="dxa"/>
            <w:tcBorders>
              <w:left w:val="single" w:sz="4" w:space="0" w:color="auto"/>
              <w:right w:val="single" w:sz="4" w:space="0" w:color="auto"/>
            </w:tcBorders>
          </w:tcPr>
          <w:p w14:paraId="5DBD2A8D" w14:textId="77777777" w:rsidR="001F51A6" w:rsidRPr="004C59DE" w:rsidRDefault="001F51A6" w:rsidP="001F51A6">
            <w:pPr>
              <w:autoSpaceDE w:val="0"/>
              <w:autoSpaceDN w:val="0"/>
              <w:adjustRightInd w:val="0"/>
              <w:rPr>
                <w:rFonts w:ascii="Arial" w:eastAsiaTheme="minorHAnsi" w:hAnsi="Arial" w:cs="Arial"/>
                <w:color w:val="000000"/>
                <w:lang w:val="es-MX" w:eastAsia="en-US"/>
              </w:rPr>
            </w:pPr>
            <w:r w:rsidRPr="004C59DE">
              <w:rPr>
                <w:rFonts w:ascii="Arial" w:eastAsiaTheme="minorHAnsi" w:hAnsi="Arial" w:cs="Arial"/>
                <w:color w:val="000000"/>
                <w:lang w:val="es-MX" w:eastAsia="en-US"/>
              </w:rPr>
              <w:t>Morelos</w:t>
            </w:r>
          </w:p>
        </w:tc>
        <w:tc>
          <w:tcPr>
            <w:tcW w:w="1359" w:type="dxa"/>
            <w:tcBorders>
              <w:left w:val="single" w:sz="4" w:space="0" w:color="auto"/>
            </w:tcBorders>
          </w:tcPr>
          <w:p w14:paraId="3D164561"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sidRPr="004C59DE">
              <w:rPr>
                <w:rFonts w:ascii="Arial" w:eastAsiaTheme="minorHAnsi" w:hAnsi="Arial" w:cs="Arial"/>
                <w:color w:val="000000"/>
                <w:lang w:val="es-MX" w:eastAsia="en-US"/>
              </w:rPr>
              <w:t xml:space="preserve">(-) </w:t>
            </w:r>
            <w:r>
              <w:rPr>
                <w:rFonts w:ascii="Arial" w:eastAsiaTheme="minorHAnsi" w:hAnsi="Arial" w:cs="Arial"/>
                <w:color w:val="000000"/>
                <w:lang w:val="es-MX" w:eastAsia="en-US"/>
              </w:rPr>
              <w:t>11.0</w:t>
            </w:r>
            <w:r w:rsidRPr="004C59DE">
              <w:rPr>
                <w:rFonts w:ascii="Arial" w:eastAsiaTheme="minorHAnsi" w:hAnsi="Arial" w:cs="Arial"/>
                <w:color w:val="000000"/>
                <w:lang w:val="es-MX" w:eastAsia="en-US"/>
              </w:rPr>
              <w:t xml:space="preserve"> </w:t>
            </w:r>
          </w:p>
        </w:tc>
        <w:tc>
          <w:tcPr>
            <w:tcW w:w="1328" w:type="dxa"/>
          </w:tcPr>
          <w:p w14:paraId="1A707222"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sidRPr="004C59DE">
              <w:rPr>
                <w:rFonts w:ascii="Arial" w:eastAsiaTheme="minorHAnsi" w:hAnsi="Arial" w:cs="Arial"/>
                <w:color w:val="000000"/>
                <w:lang w:val="es-MX" w:eastAsia="en-US"/>
              </w:rPr>
              <w:t xml:space="preserve">   </w:t>
            </w:r>
            <w:r>
              <w:rPr>
                <w:rFonts w:ascii="Arial" w:eastAsiaTheme="minorHAnsi" w:hAnsi="Arial" w:cs="Arial"/>
                <w:color w:val="000000"/>
                <w:lang w:val="es-MX" w:eastAsia="en-US"/>
              </w:rPr>
              <w:t xml:space="preserve">  2.8</w:t>
            </w:r>
            <w:r w:rsidRPr="004C59DE">
              <w:rPr>
                <w:rFonts w:ascii="Arial" w:eastAsiaTheme="minorHAnsi" w:hAnsi="Arial" w:cs="Arial"/>
                <w:color w:val="000000"/>
                <w:lang w:val="es-MX" w:eastAsia="en-US"/>
              </w:rPr>
              <w:t xml:space="preserve"> </w:t>
            </w:r>
          </w:p>
        </w:tc>
        <w:tc>
          <w:tcPr>
            <w:tcW w:w="1344" w:type="dxa"/>
          </w:tcPr>
          <w:p w14:paraId="66D7384C"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sidRPr="004C59DE">
              <w:rPr>
                <w:rFonts w:ascii="Arial" w:eastAsiaTheme="minorHAnsi" w:hAnsi="Arial" w:cs="Arial"/>
                <w:color w:val="000000"/>
                <w:lang w:val="es-MX" w:eastAsia="en-US"/>
              </w:rPr>
              <w:t xml:space="preserve">(-) </w:t>
            </w:r>
            <w:r>
              <w:rPr>
                <w:rFonts w:ascii="Arial" w:eastAsiaTheme="minorHAnsi" w:hAnsi="Arial" w:cs="Arial"/>
                <w:color w:val="000000"/>
                <w:lang w:val="es-MX" w:eastAsia="en-US"/>
              </w:rPr>
              <w:t>20.7</w:t>
            </w:r>
            <w:r w:rsidRPr="004C59DE">
              <w:rPr>
                <w:rFonts w:ascii="Arial" w:eastAsiaTheme="minorHAnsi" w:hAnsi="Arial" w:cs="Arial"/>
                <w:color w:val="000000"/>
                <w:lang w:val="es-MX" w:eastAsia="en-US"/>
              </w:rPr>
              <w:t xml:space="preserve"> </w:t>
            </w:r>
          </w:p>
        </w:tc>
        <w:tc>
          <w:tcPr>
            <w:tcW w:w="1343" w:type="dxa"/>
            <w:tcBorders>
              <w:right w:val="single" w:sz="4" w:space="0" w:color="auto"/>
            </w:tcBorders>
          </w:tcPr>
          <w:p w14:paraId="6997B36B"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sidRPr="004C59DE">
              <w:rPr>
                <w:rFonts w:ascii="Arial" w:eastAsiaTheme="minorHAnsi" w:hAnsi="Arial" w:cs="Arial"/>
                <w:color w:val="000000"/>
                <w:lang w:val="es-MX" w:eastAsia="en-US"/>
              </w:rPr>
              <w:t xml:space="preserve">(-)   </w:t>
            </w:r>
            <w:r>
              <w:rPr>
                <w:rFonts w:ascii="Arial" w:eastAsiaTheme="minorHAnsi" w:hAnsi="Arial" w:cs="Arial"/>
                <w:color w:val="000000"/>
                <w:lang w:val="es-MX" w:eastAsia="en-US"/>
              </w:rPr>
              <w:t>7.2</w:t>
            </w:r>
            <w:r w:rsidRPr="004C59DE">
              <w:rPr>
                <w:rFonts w:ascii="Arial" w:eastAsiaTheme="minorHAnsi" w:hAnsi="Arial" w:cs="Arial"/>
                <w:color w:val="000000"/>
                <w:lang w:val="es-MX" w:eastAsia="en-US"/>
              </w:rPr>
              <w:t xml:space="preserve"> </w:t>
            </w:r>
          </w:p>
        </w:tc>
      </w:tr>
      <w:tr w:rsidR="001F51A6" w:rsidRPr="004C59DE" w14:paraId="3E1CF573" w14:textId="77777777" w:rsidTr="001F51A6">
        <w:trPr>
          <w:trHeight w:val="243"/>
        </w:trPr>
        <w:tc>
          <w:tcPr>
            <w:tcW w:w="2888" w:type="dxa"/>
            <w:tcBorders>
              <w:left w:val="single" w:sz="4" w:space="0" w:color="auto"/>
              <w:right w:val="single" w:sz="4" w:space="0" w:color="auto"/>
            </w:tcBorders>
          </w:tcPr>
          <w:p w14:paraId="35013F6F" w14:textId="77777777" w:rsidR="001F51A6" w:rsidRPr="004C59DE" w:rsidRDefault="001F51A6" w:rsidP="001F51A6">
            <w:pPr>
              <w:autoSpaceDE w:val="0"/>
              <w:autoSpaceDN w:val="0"/>
              <w:adjustRightInd w:val="0"/>
              <w:rPr>
                <w:rFonts w:ascii="Arial" w:eastAsiaTheme="minorHAnsi" w:hAnsi="Arial" w:cs="Arial"/>
                <w:color w:val="000000"/>
                <w:lang w:val="es-MX" w:eastAsia="en-US"/>
              </w:rPr>
            </w:pPr>
            <w:r w:rsidRPr="004C59DE">
              <w:rPr>
                <w:rFonts w:ascii="Arial" w:eastAsiaTheme="minorHAnsi" w:hAnsi="Arial" w:cs="Arial"/>
                <w:color w:val="000000"/>
                <w:lang w:val="es-MX" w:eastAsia="en-US"/>
              </w:rPr>
              <w:t>Nayarit</w:t>
            </w:r>
          </w:p>
        </w:tc>
        <w:tc>
          <w:tcPr>
            <w:tcW w:w="1359" w:type="dxa"/>
            <w:tcBorders>
              <w:left w:val="single" w:sz="4" w:space="0" w:color="auto"/>
            </w:tcBorders>
          </w:tcPr>
          <w:p w14:paraId="0BEB5008"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 11.4</w:t>
            </w:r>
            <w:r w:rsidRPr="004C59DE">
              <w:rPr>
                <w:rFonts w:ascii="Arial" w:eastAsiaTheme="minorHAnsi" w:hAnsi="Arial" w:cs="Arial"/>
                <w:color w:val="000000"/>
                <w:lang w:val="es-MX" w:eastAsia="en-US"/>
              </w:rPr>
              <w:t xml:space="preserve"> </w:t>
            </w:r>
          </w:p>
        </w:tc>
        <w:tc>
          <w:tcPr>
            <w:tcW w:w="1328" w:type="dxa"/>
          </w:tcPr>
          <w:p w14:paraId="5D69FA0D"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3.2</w:t>
            </w:r>
            <w:r w:rsidRPr="004C59DE">
              <w:rPr>
                <w:rFonts w:ascii="Arial" w:eastAsiaTheme="minorHAnsi" w:hAnsi="Arial" w:cs="Arial"/>
                <w:color w:val="000000"/>
                <w:lang w:val="es-MX" w:eastAsia="en-US"/>
              </w:rPr>
              <w:t xml:space="preserve"> </w:t>
            </w:r>
          </w:p>
        </w:tc>
        <w:tc>
          <w:tcPr>
            <w:tcW w:w="1344" w:type="dxa"/>
          </w:tcPr>
          <w:p w14:paraId="45AAB8F0"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 13.7</w:t>
            </w:r>
            <w:r w:rsidRPr="004C59DE">
              <w:rPr>
                <w:rFonts w:ascii="Arial" w:eastAsiaTheme="minorHAnsi" w:hAnsi="Arial" w:cs="Arial"/>
                <w:color w:val="000000"/>
                <w:lang w:val="es-MX" w:eastAsia="en-US"/>
              </w:rPr>
              <w:t xml:space="preserve"> </w:t>
            </w:r>
          </w:p>
        </w:tc>
        <w:tc>
          <w:tcPr>
            <w:tcW w:w="1343" w:type="dxa"/>
            <w:tcBorders>
              <w:right w:val="single" w:sz="4" w:space="0" w:color="auto"/>
            </w:tcBorders>
          </w:tcPr>
          <w:p w14:paraId="41859E76"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sidRPr="004C59DE">
              <w:rPr>
                <w:rFonts w:ascii="Arial" w:eastAsiaTheme="minorHAnsi" w:hAnsi="Arial" w:cs="Arial"/>
                <w:color w:val="000000"/>
                <w:lang w:val="es-MX" w:eastAsia="en-US"/>
              </w:rPr>
              <w:t xml:space="preserve">(-) </w:t>
            </w:r>
            <w:r>
              <w:rPr>
                <w:rFonts w:ascii="Arial" w:eastAsiaTheme="minorHAnsi" w:hAnsi="Arial" w:cs="Arial"/>
                <w:color w:val="000000"/>
                <w:lang w:val="es-MX" w:eastAsia="en-US"/>
              </w:rPr>
              <w:t>12.2</w:t>
            </w:r>
            <w:r w:rsidRPr="004C59DE">
              <w:rPr>
                <w:rFonts w:ascii="Arial" w:eastAsiaTheme="minorHAnsi" w:hAnsi="Arial" w:cs="Arial"/>
                <w:color w:val="000000"/>
                <w:lang w:val="es-MX" w:eastAsia="en-US"/>
              </w:rPr>
              <w:t xml:space="preserve"> </w:t>
            </w:r>
          </w:p>
        </w:tc>
      </w:tr>
      <w:tr w:rsidR="001F51A6" w:rsidRPr="004C59DE" w14:paraId="473A461A" w14:textId="77777777" w:rsidTr="001F51A6">
        <w:trPr>
          <w:trHeight w:val="243"/>
        </w:trPr>
        <w:tc>
          <w:tcPr>
            <w:tcW w:w="2888" w:type="dxa"/>
            <w:tcBorders>
              <w:left w:val="single" w:sz="4" w:space="0" w:color="auto"/>
              <w:right w:val="single" w:sz="4" w:space="0" w:color="auto"/>
            </w:tcBorders>
          </w:tcPr>
          <w:p w14:paraId="78011BC9" w14:textId="77777777" w:rsidR="001F51A6" w:rsidRPr="004C59DE" w:rsidRDefault="001F51A6" w:rsidP="001F51A6">
            <w:pPr>
              <w:autoSpaceDE w:val="0"/>
              <w:autoSpaceDN w:val="0"/>
              <w:adjustRightInd w:val="0"/>
              <w:rPr>
                <w:rFonts w:ascii="Arial" w:eastAsiaTheme="minorHAnsi" w:hAnsi="Arial" w:cs="Arial"/>
                <w:color w:val="000000"/>
                <w:lang w:val="es-MX" w:eastAsia="en-US"/>
              </w:rPr>
            </w:pPr>
            <w:r w:rsidRPr="004C59DE">
              <w:rPr>
                <w:rFonts w:ascii="Arial" w:eastAsiaTheme="minorHAnsi" w:hAnsi="Arial" w:cs="Arial"/>
                <w:color w:val="000000"/>
                <w:lang w:val="es-MX" w:eastAsia="en-US"/>
              </w:rPr>
              <w:t>Nuevo León</w:t>
            </w:r>
          </w:p>
        </w:tc>
        <w:tc>
          <w:tcPr>
            <w:tcW w:w="1359" w:type="dxa"/>
            <w:tcBorders>
              <w:left w:val="single" w:sz="4" w:space="0" w:color="auto"/>
            </w:tcBorders>
          </w:tcPr>
          <w:p w14:paraId="5D93D425"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   8.4</w:t>
            </w:r>
            <w:r w:rsidRPr="004C59DE">
              <w:rPr>
                <w:rFonts w:ascii="Arial" w:eastAsiaTheme="minorHAnsi" w:hAnsi="Arial" w:cs="Arial"/>
                <w:color w:val="000000"/>
                <w:lang w:val="es-MX" w:eastAsia="en-US"/>
              </w:rPr>
              <w:t xml:space="preserve"> </w:t>
            </w:r>
          </w:p>
        </w:tc>
        <w:tc>
          <w:tcPr>
            <w:tcW w:w="1328" w:type="dxa"/>
          </w:tcPr>
          <w:p w14:paraId="0B3E7F76"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1.0</w:t>
            </w:r>
            <w:r w:rsidRPr="004C59DE">
              <w:rPr>
                <w:rFonts w:ascii="Arial" w:eastAsiaTheme="minorHAnsi" w:hAnsi="Arial" w:cs="Arial"/>
                <w:color w:val="000000"/>
                <w:lang w:val="es-MX" w:eastAsia="en-US"/>
              </w:rPr>
              <w:t xml:space="preserve"> </w:t>
            </w:r>
          </w:p>
        </w:tc>
        <w:tc>
          <w:tcPr>
            <w:tcW w:w="1344" w:type="dxa"/>
          </w:tcPr>
          <w:p w14:paraId="77AC9A8B"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 11.3</w:t>
            </w:r>
            <w:r w:rsidRPr="004C59DE">
              <w:rPr>
                <w:rFonts w:ascii="Arial" w:eastAsiaTheme="minorHAnsi" w:hAnsi="Arial" w:cs="Arial"/>
                <w:color w:val="000000"/>
                <w:lang w:val="es-MX" w:eastAsia="en-US"/>
              </w:rPr>
              <w:t xml:space="preserve"> </w:t>
            </w:r>
          </w:p>
        </w:tc>
        <w:tc>
          <w:tcPr>
            <w:tcW w:w="1343" w:type="dxa"/>
            <w:tcBorders>
              <w:right w:val="single" w:sz="4" w:space="0" w:color="auto"/>
            </w:tcBorders>
          </w:tcPr>
          <w:p w14:paraId="33B1CE0B"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   6.8</w:t>
            </w:r>
            <w:r w:rsidRPr="004C59DE">
              <w:rPr>
                <w:rFonts w:ascii="Arial" w:eastAsiaTheme="minorHAnsi" w:hAnsi="Arial" w:cs="Arial"/>
                <w:color w:val="000000"/>
                <w:lang w:val="es-MX" w:eastAsia="en-US"/>
              </w:rPr>
              <w:t xml:space="preserve"> </w:t>
            </w:r>
          </w:p>
        </w:tc>
      </w:tr>
      <w:tr w:rsidR="001F51A6" w:rsidRPr="004C59DE" w14:paraId="2F6BA9B6" w14:textId="77777777" w:rsidTr="001F51A6">
        <w:trPr>
          <w:trHeight w:val="243"/>
        </w:trPr>
        <w:tc>
          <w:tcPr>
            <w:tcW w:w="2888" w:type="dxa"/>
            <w:tcBorders>
              <w:left w:val="single" w:sz="4" w:space="0" w:color="auto"/>
              <w:right w:val="single" w:sz="4" w:space="0" w:color="auto"/>
            </w:tcBorders>
          </w:tcPr>
          <w:p w14:paraId="21A01F93" w14:textId="77777777" w:rsidR="001F51A6" w:rsidRPr="004C59DE" w:rsidRDefault="001F51A6" w:rsidP="001F51A6">
            <w:pPr>
              <w:autoSpaceDE w:val="0"/>
              <w:autoSpaceDN w:val="0"/>
              <w:adjustRightInd w:val="0"/>
              <w:rPr>
                <w:rFonts w:ascii="Arial" w:eastAsiaTheme="minorHAnsi" w:hAnsi="Arial" w:cs="Arial"/>
                <w:color w:val="000000"/>
                <w:lang w:val="es-MX" w:eastAsia="en-US"/>
              </w:rPr>
            </w:pPr>
            <w:r w:rsidRPr="004C59DE">
              <w:rPr>
                <w:rFonts w:ascii="Arial" w:eastAsiaTheme="minorHAnsi" w:hAnsi="Arial" w:cs="Arial"/>
                <w:color w:val="000000"/>
                <w:lang w:val="es-MX" w:eastAsia="en-US"/>
              </w:rPr>
              <w:t>Oaxaca</w:t>
            </w:r>
          </w:p>
        </w:tc>
        <w:tc>
          <w:tcPr>
            <w:tcW w:w="1359" w:type="dxa"/>
            <w:tcBorders>
              <w:left w:val="single" w:sz="4" w:space="0" w:color="auto"/>
            </w:tcBorders>
          </w:tcPr>
          <w:p w14:paraId="16E812DC"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sidRPr="004C59DE">
              <w:rPr>
                <w:rFonts w:ascii="Arial" w:eastAsiaTheme="minorHAnsi" w:hAnsi="Arial" w:cs="Arial"/>
                <w:color w:val="000000"/>
                <w:lang w:val="es-MX" w:eastAsia="en-US"/>
              </w:rPr>
              <w:t xml:space="preserve">(-) </w:t>
            </w:r>
            <w:r>
              <w:rPr>
                <w:rFonts w:ascii="Arial" w:eastAsiaTheme="minorHAnsi" w:hAnsi="Arial" w:cs="Arial"/>
                <w:color w:val="000000"/>
                <w:lang w:val="es-MX" w:eastAsia="en-US"/>
              </w:rPr>
              <w:t xml:space="preserve">  5.8</w:t>
            </w:r>
            <w:r w:rsidRPr="004C59DE">
              <w:rPr>
                <w:rFonts w:ascii="Arial" w:eastAsiaTheme="minorHAnsi" w:hAnsi="Arial" w:cs="Arial"/>
                <w:color w:val="000000"/>
                <w:lang w:val="es-MX" w:eastAsia="en-US"/>
              </w:rPr>
              <w:t xml:space="preserve"> </w:t>
            </w:r>
          </w:p>
        </w:tc>
        <w:tc>
          <w:tcPr>
            <w:tcW w:w="1328" w:type="dxa"/>
          </w:tcPr>
          <w:p w14:paraId="60284E32"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sidRPr="004C59DE">
              <w:rPr>
                <w:rFonts w:ascii="Arial" w:eastAsiaTheme="minorHAnsi" w:hAnsi="Arial" w:cs="Arial"/>
                <w:color w:val="000000"/>
                <w:lang w:val="es-MX" w:eastAsia="en-US"/>
              </w:rPr>
              <w:t xml:space="preserve">   </w:t>
            </w:r>
            <w:r>
              <w:rPr>
                <w:rFonts w:ascii="Arial" w:eastAsiaTheme="minorHAnsi" w:hAnsi="Arial" w:cs="Arial"/>
                <w:color w:val="000000"/>
                <w:lang w:val="es-MX" w:eastAsia="en-US"/>
              </w:rPr>
              <w:t>6.3</w:t>
            </w:r>
            <w:r w:rsidRPr="004C59DE">
              <w:rPr>
                <w:rFonts w:ascii="Arial" w:eastAsiaTheme="minorHAnsi" w:hAnsi="Arial" w:cs="Arial"/>
                <w:color w:val="000000"/>
                <w:lang w:val="es-MX" w:eastAsia="en-US"/>
              </w:rPr>
              <w:t xml:space="preserve"> </w:t>
            </w:r>
          </w:p>
        </w:tc>
        <w:tc>
          <w:tcPr>
            <w:tcW w:w="1344" w:type="dxa"/>
          </w:tcPr>
          <w:p w14:paraId="054CD0EC"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sidRPr="004C59DE">
              <w:rPr>
                <w:rFonts w:ascii="Arial" w:eastAsiaTheme="minorHAnsi" w:hAnsi="Arial" w:cs="Arial"/>
                <w:color w:val="000000"/>
                <w:lang w:val="es-MX" w:eastAsia="en-US"/>
              </w:rPr>
              <w:t xml:space="preserve">(-) </w:t>
            </w:r>
            <w:r>
              <w:rPr>
                <w:rFonts w:ascii="Arial" w:eastAsiaTheme="minorHAnsi" w:hAnsi="Arial" w:cs="Arial"/>
                <w:color w:val="000000"/>
                <w:lang w:val="es-MX" w:eastAsia="en-US"/>
              </w:rPr>
              <w:t xml:space="preserve">  4.9</w:t>
            </w:r>
            <w:r w:rsidRPr="004C59DE">
              <w:rPr>
                <w:rFonts w:ascii="Arial" w:eastAsiaTheme="minorHAnsi" w:hAnsi="Arial" w:cs="Arial"/>
                <w:color w:val="000000"/>
                <w:lang w:val="es-MX" w:eastAsia="en-US"/>
              </w:rPr>
              <w:t xml:space="preserve"> </w:t>
            </w:r>
          </w:p>
        </w:tc>
        <w:tc>
          <w:tcPr>
            <w:tcW w:w="1343" w:type="dxa"/>
            <w:tcBorders>
              <w:right w:val="single" w:sz="4" w:space="0" w:color="auto"/>
            </w:tcBorders>
          </w:tcPr>
          <w:p w14:paraId="6EF7B1C4"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   7.1</w:t>
            </w:r>
            <w:r w:rsidRPr="004C59DE">
              <w:rPr>
                <w:rFonts w:ascii="Arial" w:eastAsiaTheme="minorHAnsi" w:hAnsi="Arial" w:cs="Arial"/>
                <w:color w:val="000000"/>
                <w:lang w:val="es-MX" w:eastAsia="en-US"/>
              </w:rPr>
              <w:t xml:space="preserve"> </w:t>
            </w:r>
          </w:p>
        </w:tc>
      </w:tr>
      <w:tr w:rsidR="001F51A6" w:rsidRPr="004C59DE" w14:paraId="34EE9BC0" w14:textId="77777777" w:rsidTr="001F51A6">
        <w:trPr>
          <w:trHeight w:val="243"/>
        </w:trPr>
        <w:tc>
          <w:tcPr>
            <w:tcW w:w="2888" w:type="dxa"/>
            <w:tcBorders>
              <w:left w:val="single" w:sz="4" w:space="0" w:color="auto"/>
              <w:right w:val="single" w:sz="4" w:space="0" w:color="auto"/>
            </w:tcBorders>
          </w:tcPr>
          <w:p w14:paraId="505A682F" w14:textId="77777777" w:rsidR="001F51A6" w:rsidRPr="004C59DE" w:rsidRDefault="001F51A6" w:rsidP="001F51A6">
            <w:pPr>
              <w:autoSpaceDE w:val="0"/>
              <w:autoSpaceDN w:val="0"/>
              <w:adjustRightInd w:val="0"/>
              <w:rPr>
                <w:rFonts w:ascii="Arial" w:eastAsiaTheme="minorHAnsi" w:hAnsi="Arial" w:cs="Arial"/>
                <w:color w:val="000000"/>
                <w:lang w:val="es-MX" w:eastAsia="en-US"/>
              </w:rPr>
            </w:pPr>
            <w:r w:rsidRPr="004C59DE">
              <w:rPr>
                <w:rFonts w:ascii="Arial" w:eastAsiaTheme="minorHAnsi" w:hAnsi="Arial" w:cs="Arial"/>
                <w:color w:val="000000"/>
                <w:lang w:val="es-MX" w:eastAsia="en-US"/>
              </w:rPr>
              <w:t>Puebla</w:t>
            </w:r>
          </w:p>
        </w:tc>
        <w:tc>
          <w:tcPr>
            <w:tcW w:w="1359" w:type="dxa"/>
            <w:tcBorders>
              <w:left w:val="single" w:sz="4" w:space="0" w:color="auto"/>
            </w:tcBorders>
          </w:tcPr>
          <w:p w14:paraId="375BAE56"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sidRPr="004C59DE">
              <w:rPr>
                <w:rFonts w:ascii="Arial" w:eastAsiaTheme="minorHAnsi" w:hAnsi="Arial" w:cs="Arial"/>
                <w:color w:val="000000"/>
                <w:lang w:val="es-MX" w:eastAsia="en-US"/>
              </w:rPr>
              <w:t xml:space="preserve">(-) </w:t>
            </w:r>
            <w:r>
              <w:rPr>
                <w:rFonts w:ascii="Arial" w:eastAsiaTheme="minorHAnsi" w:hAnsi="Arial" w:cs="Arial"/>
                <w:color w:val="000000"/>
                <w:lang w:val="es-MX" w:eastAsia="en-US"/>
              </w:rPr>
              <w:t>10.9</w:t>
            </w:r>
            <w:r w:rsidRPr="004C59DE">
              <w:rPr>
                <w:rFonts w:ascii="Arial" w:eastAsiaTheme="minorHAnsi" w:hAnsi="Arial" w:cs="Arial"/>
                <w:color w:val="000000"/>
                <w:lang w:val="es-MX" w:eastAsia="en-US"/>
              </w:rPr>
              <w:t xml:space="preserve"> </w:t>
            </w:r>
          </w:p>
        </w:tc>
        <w:tc>
          <w:tcPr>
            <w:tcW w:w="1328" w:type="dxa"/>
          </w:tcPr>
          <w:p w14:paraId="533BFC39"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sidRPr="004C59DE">
              <w:rPr>
                <w:rFonts w:ascii="Arial" w:eastAsiaTheme="minorHAnsi" w:hAnsi="Arial" w:cs="Arial"/>
                <w:color w:val="000000"/>
                <w:lang w:val="es-MX" w:eastAsia="en-US"/>
              </w:rPr>
              <w:t xml:space="preserve">   </w:t>
            </w:r>
            <w:r>
              <w:rPr>
                <w:rFonts w:ascii="Arial" w:eastAsiaTheme="minorHAnsi" w:hAnsi="Arial" w:cs="Arial"/>
                <w:color w:val="000000"/>
                <w:lang w:val="es-MX" w:eastAsia="en-US"/>
              </w:rPr>
              <w:t>1.7</w:t>
            </w:r>
            <w:r w:rsidRPr="004C59DE">
              <w:rPr>
                <w:rFonts w:ascii="Arial" w:eastAsiaTheme="minorHAnsi" w:hAnsi="Arial" w:cs="Arial"/>
                <w:color w:val="000000"/>
                <w:lang w:val="es-MX" w:eastAsia="en-US"/>
              </w:rPr>
              <w:t xml:space="preserve"> </w:t>
            </w:r>
          </w:p>
        </w:tc>
        <w:tc>
          <w:tcPr>
            <w:tcW w:w="1344" w:type="dxa"/>
          </w:tcPr>
          <w:p w14:paraId="3F47EE86"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sidRPr="004C59DE">
              <w:rPr>
                <w:rFonts w:ascii="Arial" w:eastAsiaTheme="minorHAnsi" w:hAnsi="Arial" w:cs="Arial"/>
                <w:color w:val="000000"/>
                <w:lang w:val="es-MX" w:eastAsia="en-US"/>
              </w:rPr>
              <w:t xml:space="preserve">(-) </w:t>
            </w:r>
            <w:r>
              <w:rPr>
                <w:rFonts w:ascii="Arial" w:eastAsiaTheme="minorHAnsi" w:hAnsi="Arial" w:cs="Arial"/>
                <w:color w:val="000000"/>
                <w:lang w:val="es-MX" w:eastAsia="en-US"/>
              </w:rPr>
              <w:t>17.4</w:t>
            </w:r>
            <w:r w:rsidRPr="004C59DE">
              <w:rPr>
                <w:rFonts w:ascii="Arial" w:eastAsiaTheme="minorHAnsi" w:hAnsi="Arial" w:cs="Arial"/>
                <w:color w:val="000000"/>
                <w:lang w:val="es-MX" w:eastAsia="en-US"/>
              </w:rPr>
              <w:t xml:space="preserve"> </w:t>
            </w:r>
          </w:p>
        </w:tc>
        <w:tc>
          <w:tcPr>
            <w:tcW w:w="1343" w:type="dxa"/>
            <w:tcBorders>
              <w:right w:val="single" w:sz="4" w:space="0" w:color="auto"/>
            </w:tcBorders>
          </w:tcPr>
          <w:p w14:paraId="45966006"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sidRPr="004C59DE">
              <w:rPr>
                <w:rFonts w:ascii="Arial" w:eastAsiaTheme="minorHAnsi" w:hAnsi="Arial" w:cs="Arial"/>
                <w:color w:val="000000"/>
                <w:lang w:val="es-MX" w:eastAsia="en-US"/>
              </w:rPr>
              <w:t xml:space="preserve">(-)   </w:t>
            </w:r>
            <w:r>
              <w:rPr>
                <w:rFonts w:ascii="Arial" w:eastAsiaTheme="minorHAnsi" w:hAnsi="Arial" w:cs="Arial"/>
                <w:color w:val="000000"/>
                <w:lang w:val="es-MX" w:eastAsia="en-US"/>
              </w:rPr>
              <w:t>8.0</w:t>
            </w:r>
            <w:r w:rsidRPr="004C59DE">
              <w:rPr>
                <w:rFonts w:ascii="Arial" w:eastAsiaTheme="minorHAnsi" w:hAnsi="Arial" w:cs="Arial"/>
                <w:color w:val="000000"/>
                <w:lang w:val="es-MX" w:eastAsia="en-US"/>
              </w:rPr>
              <w:t xml:space="preserve"> </w:t>
            </w:r>
          </w:p>
        </w:tc>
      </w:tr>
      <w:tr w:rsidR="001F51A6" w:rsidRPr="004C59DE" w14:paraId="7246D719" w14:textId="77777777" w:rsidTr="001F51A6">
        <w:trPr>
          <w:trHeight w:val="243"/>
        </w:trPr>
        <w:tc>
          <w:tcPr>
            <w:tcW w:w="2888" w:type="dxa"/>
            <w:tcBorders>
              <w:left w:val="single" w:sz="4" w:space="0" w:color="auto"/>
              <w:right w:val="single" w:sz="4" w:space="0" w:color="auto"/>
            </w:tcBorders>
          </w:tcPr>
          <w:p w14:paraId="40D9D8DC" w14:textId="77777777" w:rsidR="001F51A6" w:rsidRPr="004C59DE" w:rsidRDefault="001F51A6" w:rsidP="001F51A6">
            <w:pPr>
              <w:autoSpaceDE w:val="0"/>
              <w:autoSpaceDN w:val="0"/>
              <w:adjustRightInd w:val="0"/>
              <w:rPr>
                <w:rFonts w:ascii="Arial" w:eastAsiaTheme="minorHAnsi" w:hAnsi="Arial" w:cs="Arial"/>
                <w:color w:val="000000"/>
                <w:lang w:val="es-MX" w:eastAsia="en-US"/>
              </w:rPr>
            </w:pPr>
            <w:r w:rsidRPr="004C59DE">
              <w:rPr>
                <w:rFonts w:ascii="Arial" w:eastAsiaTheme="minorHAnsi" w:hAnsi="Arial" w:cs="Arial"/>
                <w:color w:val="000000"/>
                <w:lang w:val="es-MX" w:eastAsia="en-US"/>
              </w:rPr>
              <w:t>Querétaro</w:t>
            </w:r>
          </w:p>
        </w:tc>
        <w:tc>
          <w:tcPr>
            <w:tcW w:w="1359" w:type="dxa"/>
            <w:tcBorders>
              <w:left w:val="single" w:sz="4" w:space="0" w:color="auto"/>
            </w:tcBorders>
          </w:tcPr>
          <w:p w14:paraId="00614E09"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sidRPr="004C59DE">
              <w:rPr>
                <w:rFonts w:ascii="Arial" w:eastAsiaTheme="minorHAnsi" w:hAnsi="Arial" w:cs="Arial"/>
                <w:color w:val="000000"/>
                <w:lang w:val="es-MX" w:eastAsia="en-US"/>
              </w:rPr>
              <w:t xml:space="preserve">(-)   </w:t>
            </w:r>
            <w:r>
              <w:rPr>
                <w:rFonts w:ascii="Arial" w:eastAsiaTheme="minorHAnsi" w:hAnsi="Arial" w:cs="Arial"/>
                <w:color w:val="000000"/>
                <w:lang w:val="es-MX" w:eastAsia="en-US"/>
              </w:rPr>
              <w:t>9.0</w:t>
            </w:r>
            <w:r w:rsidRPr="004C59DE">
              <w:rPr>
                <w:rFonts w:ascii="Arial" w:eastAsiaTheme="minorHAnsi" w:hAnsi="Arial" w:cs="Arial"/>
                <w:color w:val="000000"/>
                <w:lang w:val="es-MX" w:eastAsia="en-US"/>
              </w:rPr>
              <w:t xml:space="preserve"> </w:t>
            </w:r>
          </w:p>
        </w:tc>
        <w:tc>
          <w:tcPr>
            <w:tcW w:w="1328" w:type="dxa"/>
          </w:tcPr>
          <w:p w14:paraId="2FFB6824"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sidRPr="004C59DE">
              <w:rPr>
                <w:rFonts w:ascii="Arial" w:eastAsiaTheme="minorHAnsi" w:hAnsi="Arial" w:cs="Arial"/>
                <w:color w:val="000000"/>
                <w:lang w:val="es-MX" w:eastAsia="en-US"/>
              </w:rPr>
              <w:t xml:space="preserve">   </w:t>
            </w:r>
            <w:r>
              <w:rPr>
                <w:rFonts w:ascii="Arial" w:eastAsiaTheme="minorHAnsi" w:hAnsi="Arial" w:cs="Arial"/>
                <w:color w:val="000000"/>
                <w:lang w:val="es-MX" w:eastAsia="en-US"/>
              </w:rPr>
              <w:t>5.9</w:t>
            </w:r>
            <w:r w:rsidRPr="004C59DE">
              <w:rPr>
                <w:rFonts w:ascii="Arial" w:eastAsiaTheme="minorHAnsi" w:hAnsi="Arial" w:cs="Arial"/>
                <w:color w:val="000000"/>
                <w:lang w:val="es-MX" w:eastAsia="en-US"/>
              </w:rPr>
              <w:t xml:space="preserve"> </w:t>
            </w:r>
          </w:p>
        </w:tc>
        <w:tc>
          <w:tcPr>
            <w:tcW w:w="1344" w:type="dxa"/>
          </w:tcPr>
          <w:p w14:paraId="5AD701BF"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sidRPr="004C59DE">
              <w:rPr>
                <w:rFonts w:ascii="Arial" w:eastAsiaTheme="minorHAnsi" w:hAnsi="Arial" w:cs="Arial"/>
                <w:color w:val="000000"/>
                <w:lang w:val="es-MX" w:eastAsia="en-US"/>
              </w:rPr>
              <w:t xml:space="preserve">(-) </w:t>
            </w:r>
            <w:r>
              <w:rPr>
                <w:rFonts w:ascii="Arial" w:eastAsiaTheme="minorHAnsi" w:hAnsi="Arial" w:cs="Arial"/>
                <w:color w:val="000000"/>
                <w:lang w:val="es-MX" w:eastAsia="en-US"/>
              </w:rPr>
              <w:t>12.4</w:t>
            </w:r>
            <w:r w:rsidRPr="004C59DE">
              <w:rPr>
                <w:rFonts w:ascii="Arial" w:eastAsiaTheme="minorHAnsi" w:hAnsi="Arial" w:cs="Arial"/>
                <w:color w:val="000000"/>
                <w:lang w:val="es-MX" w:eastAsia="en-US"/>
              </w:rPr>
              <w:t xml:space="preserve"> </w:t>
            </w:r>
          </w:p>
        </w:tc>
        <w:tc>
          <w:tcPr>
            <w:tcW w:w="1343" w:type="dxa"/>
            <w:tcBorders>
              <w:right w:val="single" w:sz="4" w:space="0" w:color="auto"/>
            </w:tcBorders>
          </w:tcPr>
          <w:p w14:paraId="056AEE5B"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sidRPr="004C59DE">
              <w:rPr>
                <w:rFonts w:ascii="Arial" w:eastAsiaTheme="minorHAnsi" w:hAnsi="Arial" w:cs="Arial"/>
                <w:color w:val="000000"/>
                <w:lang w:val="es-MX" w:eastAsia="en-US"/>
              </w:rPr>
              <w:t xml:space="preserve">(-)   </w:t>
            </w:r>
            <w:r>
              <w:rPr>
                <w:rFonts w:ascii="Arial" w:eastAsiaTheme="minorHAnsi" w:hAnsi="Arial" w:cs="Arial"/>
                <w:color w:val="000000"/>
                <w:lang w:val="es-MX" w:eastAsia="en-US"/>
              </w:rPr>
              <w:t>7.3</w:t>
            </w:r>
            <w:r w:rsidRPr="004C59DE">
              <w:rPr>
                <w:rFonts w:ascii="Arial" w:eastAsiaTheme="minorHAnsi" w:hAnsi="Arial" w:cs="Arial"/>
                <w:color w:val="000000"/>
                <w:lang w:val="es-MX" w:eastAsia="en-US"/>
              </w:rPr>
              <w:t xml:space="preserve"> </w:t>
            </w:r>
          </w:p>
        </w:tc>
      </w:tr>
      <w:tr w:rsidR="001F51A6" w:rsidRPr="004C59DE" w14:paraId="1B27FEC6" w14:textId="77777777" w:rsidTr="001F51A6">
        <w:trPr>
          <w:trHeight w:val="243"/>
        </w:trPr>
        <w:tc>
          <w:tcPr>
            <w:tcW w:w="2888" w:type="dxa"/>
            <w:tcBorders>
              <w:left w:val="single" w:sz="4" w:space="0" w:color="auto"/>
              <w:right w:val="single" w:sz="4" w:space="0" w:color="auto"/>
            </w:tcBorders>
          </w:tcPr>
          <w:p w14:paraId="22B6C335" w14:textId="77777777" w:rsidR="001F51A6" w:rsidRPr="004C59DE" w:rsidRDefault="001F51A6" w:rsidP="001F51A6">
            <w:pPr>
              <w:autoSpaceDE w:val="0"/>
              <w:autoSpaceDN w:val="0"/>
              <w:adjustRightInd w:val="0"/>
              <w:rPr>
                <w:rFonts w:ascii="Arial" w:eastAsiaTheme="minorHAnsi" w:hAnsi="Arial" w:cs="Arial"/>
                <w:color w:val="000000"/>
                <w:lang w:val="es-MX" w:eastAsia="en-US"/>
              </w:rPr>
            </w:pPr>
            <w:r w:rsidRPr="004C59DE">
              <w:rPr>
                <w:rFonts w:ascii="Arial" w:eastAsiaTheme="minorHAnsi" w:hAnsi="Arial" w:cs="Arial"/>
                <w:color w:val="000000"/>
                <w:lang w:val="es-MX" w:eastAsia="en-US"/>
              </w:rPr>
              <w:t>Quintana Roo</w:t>
            </w:r>
          </w:p>
        </w:tc>
        <w:tc>
          <w:tcPr>
            <w:tcW w:w="1359" w:type="dxa"/>
            <w:tcBorders>
              <w:left w:val="single" w:sz="4" w:space="0" w:color="auto"/>
            </w:tcBorders>
          </w:tcPr>
          <w:p w14:paraId="586B9C19"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 24.1</w:t>
            </w:r>
            <w:r w:rsidRPr="004C59DE">
              <w:rPr>
                <w:rFonts w:ascii="Arial" w:eastAsiaTheme="minorHAnsi" w:hAnsi="Arial" w:cs="Arial"/>
                <w:color w:val="000000"/>
                <w:lang w:val="es-MX" w:eastAsia="en-US"/>
              </w:rPr>
              <w:t xml:space="preserve"> </w:t>
            </w:r>
          </w:p>
        </w:tc>
        <w:tc>
          <w:tcPr>
            <w:tcW w:w="1328" w:type="dxa"/>
          </w:tcPr>
          <w:p w14:paraId="33504EBD"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sidRPr="004C59DE">
              <w:rPr>
                <w:rFonts w:ascii="Arial" w:eastAsiaTheme="minorHAnsi" w:hAnsi="Arial" w:cs="Arial"/>
                <w:color w:val="000000"/>
                <w:lang w:val="es-MX" w:eastAsia="en-US"/>
              </w:rPr>
              <w:t xml:space="preserve">(-) </w:t>
            </w:r>
            <w:r>
              <w:rPr>
                <w:rFonts w:ascii="Arial" w:eastAsiaTheme="minorHAnsi" w:hAnsi="Arial" w:cs="Arial"/>
                <w:color w:val="000000"/>
                <w:lang w:val="es-MX" w:eastAsia="en-US"/>
              </w:rPr>
              <w:t xml:space="preserve">  1.9</w:t>
            </w:r>
            <w:r w:rsidRPr="004C59DE">
              <w:rPr>
                <w:rFonts w:ascii="Arial" w:eastAsiaTheme="minorHAnsi" w:hAnsi="Arial" w:cs="Arial"/>
                <w:color w:val="000000"/>
                <w:lang w:val="es-MX" w:eastAsia="en-US"/>
              </w:rPr>
              <w:t xml:space="preserve"> </w:t>
            </w:r>
          </w:p>
        </w:tc>
        <w:tc>
          <w:tcPr>
            <w:tcW w:w="1344" w:type="dxa"/>
          </w:tcPr>
          <w:p w14:paraId="2AE97277"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 24.3</w:t>
            </w:r>
            <w:r w:rsidRPr="004C59DE">
              <w:rPr>
                <w:rFonts w:ascii="Arial" w:eastAsiaTheme="minorHAnsi" w:hAnsi="Arial" w:cs="Arial"/>
                <w:color w:val="000000"/>
                <w:lang w:val="es-MX" w:eastAsia="en-US"/>
              </w:rPr>
              <w:t xml:space="preserve"> </w:t>
            </w:r>
          </w:p>
        </w:tc>
        <w:tc>
          <w:tcPr>
            <w:tcW w:w="1343" w:type="dxa"/>
            <w:tcBorders>
              <w:right w:val="single" w:sz="4" w:space="0" w:color="auto"/>
            </w:tcBorders>
          </w:tcPr>
          <w:p w14:paraId="58D915D9"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 24.3</w:t>
            </w:r>
            <w:r w:rsidRPr="004C59DE">
              <w:rPr>
                <w:rFonts w:ascii="Arial" w:eastAsiaTheme="minorHAnsi" w:hAnsi="Arial" w:cs="Arial"/>
                <w:color w:val="000000"/>
                <w:lang w:val="es-MX" w:eastAsia="en-US"/>
              </w:rPr>
              <w:t xml:space="preserve"> </w:t>
            </w:r>
          </w:p>
        </w:tc>
      </w:tr>
      <w:tr w:rsidR="001F51A6" w:rsidRPr="004C59DE" w14:paraId="71D9BE56" w14:textId="77777777" w:rsidTr="001F51A6">
        <w:trPr>
          <w:trHeight w:val="243"/>
        </w:trPr>
        <w:tc>
          <w:tcPr>
            <w:tcW w:w="2888" w:type="dxa"/>
            <w:tcBorders>
              <w:left w:val="single" w:sz="4" w:space="0" w:color="auto"/>
              <w:right w:val="single" w:sz="4" w:space="0" w:color="auto"/>
            </w:tcBorders>
          </w:tcPr>
          <w:p w14:paraId="6865BCB5" w14:textId="77777777" w:rsidR="001F51A6" w:rsidRPr="004C59DE" w:rsidRDefault="001F51A6" w:rsidP="001F51A6">
            <w:pPr>
              <w:autoSpaceDE w:val="0"/>
              <w:autoSpaceDN w:val="0"/>
              <w:adjustRightInd w:val="0"/>
              <w:rPr>
                <w:rFonts w:ascii="Arial" w:eastAsiaTheme="minorHAnsi" w:hAnsi="Arial" w:cs="Arial"/>
                <w:color w:val="000000"/>
                <w:lang w:val="es-MX" w:eastAsia="en-US"/>
              </w:rPr>
            </w:pPr>
            <w:r w:rsidRPr="004C59DE">
              <w:rPr>
                <w:rFonts w:ascii="Arial" w:eastAsiaTheme="minorHAnsi" w:hAnsi="Arial" w:cs="Arial"/>
                <w:color w:val="000000"/>
                <w:lang w:val="es-MX" w:eastAsia="en-US"/>
              </w:rPr>
              <w:t>San Luis Potosí</w:t>
            </w:r>
          </w:p>
        </w:tc>
        <w:tc>
          <w:tcPr>
            <w:tcW w:w="1359" w:type="dxa"/>
            <w:tcBorders>
              <w:left w:val="single" w:sz="4" w:space="0" w:color="auto"/>
            </w:tcBorders>
          </w:tcPr>
          <w:p w14:paraId="2205503C"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sidRPr="004C59DE">
              <w:rPr>
                <w:rFonts w:ascii="Arial" w:eastAsiaTheme="minorHAnsi" w:hAnsi="Arial" w:cs="Arial"/>
                <w:color w:val="000000"/>
                <w:lang w:val="es-MX" w:eastAsia="en-US"/>
              </w:rPr>
              <w:t xml:space="preserve">(-)   </w:t>
            </w:r>
            <w:r>
              <w:rPr>
                <w:rFonts w:ascii="Arial" w:eastAsiaTheme="minorHAnsi" w:hAnsi="Arial" w:cs="Arial"/>
                <w:color w:val="000000"/>
                <w:lang w:val="es-MX" w:eastAsia="en-US"/>
              </w:rPr>
              <w:t>7.6</w:t>
            </w:r>
            <w:r w:rsidRPr="004C59DE">
              <w:rPr>
                <w:rFonts w:ascii="Arial" w:eastAsiaTheme="minorHAnsi" w:hAnsi="Arial" w:cs="Arial"/>
                <w:color w:val="000000"/>
                <w:lang w:val="es-MX" w:eastAsia="en-US"/>
              </w:rPr>
              <w:t xml:space="preserve"> </w:t>
            </w:r>
          </w:p>
        </w:tc>
        <w:tc>
          <w:tcPr>
            <w:tcW w:w="1328" w:type="dxa"/>
          </w:tcPr>
          <w:p w14:paraId="40E3D787"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sidRPr="004C59DE">
              <w:rPr>
                <w:rFonts w:ascii="Arial" w:eastAsiaTheme="minorHAnsi" w:hAnsi="Arial" w:cs="Arial"/>
                <w:color w:val="000000"/>
                <w:lang w:val="es-MX" w:eastAsia="en-US"/>
              </w:rPr>
              <w:t xml:space="preserve">   </w:t>
            </w:r>
            <w:r>
              <w:rPr>
                <w:rFonts w:ascii="Arial" w:eastAsiaTheme="minorHAnsi" w:hAnsi="Arial" w:cs="Arial"/>
                <w:color w:val="000000"/>
                <w:lang w:val="es-MX" w:eastAsia="en-US"/>
              </w:rPr>
              <w:t>5.5</w:t>
            </w:r>
            <w:r w:rsidRPr="004C59DE">
              <w:rPr>
                <w:rFonts w:ascii="Arial" w:eastAsiaTheme="minorHAnsi" w:hAnsi="Arial" w:cs="Arial"/>
                <w:color w:val="000000"/>
                <w:lang w:val="es-MX" w:eastAsia="en-US"/>
              </w:rPr>
              <w:t xml:space="preserve"> </w:t>
            </w:r>
          </w:p>
        </w:tc>
        <w:tc>
          <w:tcPr>
            <w:tcW w:w="1344" w:type="dxa"/>
          </w:tcPr>
          <w:p w14:paraId="7FD025B0"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sidRPr="004C59DE">
              <w:rPr>
                <w:rFonts w:ascii="Arial" w:eastAsiaTheme="minorHAnsi" w:hAnsi="Arial" w:cs="Arial"/>
                <w:color w:val="000000"/>
                <w:lang w:val="es-MX" w:eastAsia="en-US"/>
              </w:rPr>
              <w:t xml:space="preserve">(-)   </w:t>
            </w:r>
            <w:r>
              <w:rPr>
                <w:rFonts w:ascii="Arial" w:eastAsiaTheme="minorHAnsi" w:hAnsi="Arial" w:cs="Arial"/>
                <w:color w:val="000000"/>
                <w:lang w:val="es-MX" w:eastAsia="en-US"/>
              </w:rPr>
              <w:t>9.5</w:t>
            </w:r>
            <w:r w:rsidRPr="004C59DE">
              <w:rPr>
                <w:rFonts w:ascii="Arial" w:eastAsiaTheme="minorHAnsi" w:hAnsi="Arial" w:cs="Arial"/>
                <w:color w:val="000000"/>
                <w:lang w:val="es-MX" w:eastAsia="en-US"/>
              </w:rPr>
              <w:t xml:space="preserve"> </w:t>
            </w:r>
          </w:p>
        </w:tc>
        <w:tc>
          <w:tcPr>
            <w:tcW w:w="1343" w:type="dxa"/>
            <w:tcBorders>
              <w:right w:val="single" w:sz="4" w:space="0" w:color="auto"/>
            </w:tcBorders>
          </w:tcPr>
          <w:p w14:paraId="6F42D45C"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   7.2</w:t>
            </w:r>
            <w:r w:rsidRPr="004C59DE">
              <w:rPr>
                <w:rFonts w:ascii="Arial" w:eastAsiaTheme="minorHAnsi" w:hAnsi="Arial" w:cs="Arial"/>
                <w:color w:val="000000"/>
                <w:lang w:val="es-MX" w:eastAsia="en-US"/>
              </w:rPr>
              <w:t xml:space="preserve"> </w:t>
            </w:r>
          </w:p>
        </w:tc>
      </w:tr>
      <w:tr w:rsidR="001F51A6" w:rsidRPr="004C59DE" w14:paraId="4FC8231A" w14:textId="77777777" w:rsidTr="001F51A6">
        <w:trPr>
          <w:trHeight w:val="243"/>
        </w:trPr>
        <w:tc>
          <w:tcPr>
            <w:tcW w:w="2888" w:type="dxa"/>
            <w:tcBorders>
              <w:left w:val="single" w:sz="4" w:space="0" w:color="auto"/>
              <w:right w:val="single" w:sz="4" w:space="0" w:color="auto"/>
            </w:tcBorders>
          </w:tcPr>
          <w:p w14:paraId="4967DF41" w14:textId="77777777" w:rsidR="001F51A6" w:rsidRPr="004C59DE" w:rsidRDefault="001F51A6" w:rsidP="001F51A6">
            <w:pPr>
              <w:autoSpaceDE w:val="0"/>
              <w:autoSpaceDN w:val="0"/>
              <w:adjustRightInd w:val="0"/>
              <w:rPr>
                <w:rFonts w:ascii="Arial" w:eastAsiaTheme="minorHAnsi" w:hAnsi="Arial" w:cs="Arial"/>
                <w:color w:val="000000"/>
                <w:lang w:val="es-MX" w:eastAsia="en-US"/>
              </w:rPr>
            </w:pPr>
            <w:r w:rsidRPr="004C59DE">
              <w:rPr>
                <w:rFonts w:ascii="Arial" w:eastAsiaTheme="minorHAnsi" w:hAnsi="Arial" w:cs="Arial"/>
                <w:color w:val="000000"/>
                <w:lang w:val="es-MX" w:eastAsia="en-US"/>
              </w:rPr>
              <w:t>Sinaloa</w:t>
            </w:r>
          </w:p>
        </w:tc>
        <w:tc>
          <w:tcPr>
            <w:tcW w:w="1359" w:type="dxa"/>
            <w:tcBorders>
              <w:left w:val="single" w:sz="4" w:space="0" w:color="auto"/>
            </w:tcBorders>
          </w:tcPr>
          <w:p w14:paraId="30EC9DC0"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   7.0</w:t>
            </w:r>
            <w:r w:rsidRPr="004C59DE">
              <w:rPr>
                <w:rFonts w:ascii="Arial" w:eastAsiaTheme="minorHAnsi" w:hAnsi="Arial" w:cs="Arial"/>
                <w:color w:val="000000"/>
                <w:lang w:val="es-MX" w:eastAsia="en-US"/>
              </w:rPr>
              <w:t xml:space="preserve"> </w:t>
            </w:r>
          </w:p>
        </w:tc>
        <w:tc>
          <w:tcPr>
            <w:tcW w:w="1328" w:type="dxa"/>
          </w:tcPr>
          <w:p w14:paraId="006CA020"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   5.7</w:t>
            </w:r>
            <w:r w:rsidRPr="004C59DE">
              <w:rPr>
                <w:rFonts w:ascii="Arial" w:eastAsiaTheme="minorHAnsi" w:hAnsi="Arial" w:cs="Arial"/>
                <w:color w:val="000000"/>
                <w:lang w:val="es-MX" w:eastAsia="en-US"/>
              </w:rPr>
              <w:t xml:space="preserve"> </w:t>
            </w:r>
          </w:p>
        </w:tc>
        <w:tc>
          <w:tcPr>
            <w:tcW w:w="1344" w:type="dxa"/>
          </w:tcPr>
          <w:p w14:paraId="6247A924"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sidRPr="004C59DE">
              <w:rPr>
                <w:rFonts w:ascii="Arial" w:eastAsiaTheme="minorHAnsi" w:hAnsi="Arial" w:cs="Arial"/>
                <w:color w:val="000000"/>
                <w:lang w:val="es-MX" w:eastAsia="en-US"/>
              </w:rPr>
              <w:t xml:space="preserve">(-)   </w:t>
            </w:r>
            <w:r>
              <w:rPr>
                <w:rFonts w:ascii="Arial" w:eastAsiaTheme="minorHAnsi" w:hAnsi="Arial" w:cs="Arial"/>
                <w:color w:val="000000"/>
                <w:lang w:val="es-MX" w:eastAsia="en-US"/>
              </w:rPr>
              <w:t>8.4</w:t>
            </w:r>
            <w:r w:rsidRPr="004C59DE">
              <w:rPr>
                <w:rFonts w:ascii="Arial" w:eastAsiaTheme="minorHAnsi" w:hAnsi="Arial" w:cs="Arial"/>
                <w:color w:val="000000"/>
                <w:lang w:val="es-MX" w:eastAsia="en-US"/>
              </w:rPr>
              <w:t xml:space="preserve"> </w:t>
            </w:r>
          </w:p>
        </w:tc>
        <w:tc>
          <w:tcPr>
            <w:tcW w:w="1343" w:type="dxa"/>
            <w:tcBorders>
              <w:right w:val="single" w:sz="4" w:space="0" w:color="auto"/>
            </w:tcBorders>
          </w:tcPr>
          <w:p w14:paraId="7230A8C9"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   6.9</w:t>
            </w:r>
            <w:r w:rsidRPr="004C59DE">
              <w:rPr>
                <w:rFonts w:ascii="Arial" w:eastAsiaTheme="minorHAnsi" w:hAnsi="Arial" w:cs="Arial"/>
                <w:color w:val="000000"/>
                <w:lang w:val="es-MX" w:eastAsia="en-US"/>
              </w:rPr>
              <w:t xml:space="preserve"> </w:t>
            </w:r>
          </w:p>
        </w:tc>
      </w:tr>
      <w:tr w:rsidR="001F51A6" w:rsidRPr="004C59DE" w14:paraId="5FAB4E35" w14:textId="77777777" w:rsidTr="001F51A6">
        <w:trPr>
          <w:trHeight w:val="243"/>
        </w:trPr>
        <w:tc>
          <w:tcPr>
            <w:tcW w:w="2888" w:type="dxa"/>
            <w:tcBorders>
              <w:left w:val="single" w:sz="4" w:space="0" w:color="auto"/>
              <w:right w:val="single" w:sz="4" w:space="0" w:color="auto"/>
            </w:tcBorders>
          </w:tcPr>
          <w:p w14:paraId="4BF76E7E" w14:textId="77777777" w:rsidR="001F51A6" w:rsidRPr="004C59DE" w:rsidRDefault="001F51A6" w:rsidP="001F51A6">
            <w:pPr>
              <w:autoSpaceDE w:val="0"/>
              <w:autoSpaceDN w:val="0"/>
              <w:adjustRightInd w:val="0"/>
              <w:rPr>
                <w:rFonts w:ascii="Arial" w:eastAsiaTheme="minorHAnsi" w:hAnsi="Arial" w:cs="Arial"/>
                <w:color w:val="000000"/>
                <w:lang w:val="es-MX" w:eastAsia="en-US"/>
              </w:rPr>
            </w:pPr>
            <w:r w:rsidRPr="004C59DE">
              <w:rPr>
                <w:rFonts w:ascii="Arial" w:eastAsiaTheme="minorHAnsi" w:hAnsi="Arial" w:cs="Arial"/>
                <w:color w:val="000000"/>
                <w:lang w:val="es-MX" w:eastAsia="en-US"/>
              </w:rPr>
              <w:t>Sonora</w:t>
            </w:r>
          </w:p>
        </w:tc>
        <w:tc>
          <w:tcPr>
            <w:tcW w:w="1359" w:type="dxa"/>
            <w:tcBorders>
              <w:left w:val="single" w:sz="4" w:space="0" w:color="auto"/>
            </w:tcBorders>
          </w:tcPr>
          <w:p w14:paraId="6E56ADA4"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sidRPr="004C59DE">
              <w:rPr>
                <w:rFonts w:ascii="Arial" w:eastAsiaTheme="minorHAnsi" w:hAnsi="Arial" w:cs="Arial"/>
                <w:color w:val="000000"/>
                <w:lang w:val="es-MX" w:eastAsia="en-US"/>
              </w:rPr>
              <w:t xml:space="preserve">(-)   </w:t>
            </w:r>
            <w:r>
              <w:rPr>
                <w:rFonts w:ascii="Arial" w:eastAsiaTheme="minorHAnsi" w:hAnsi="Arial" w:cs="Arial"/>
                <w:color w:val="000000"/>
                <w:lang w:val="es-MX" w:eastAsia="en-US"/>
              </w:rPr>
              <w:t>5.4</w:t>
            </w:r>
            <w:r w:rsidRPr="004C59DE">
              <w:rPr>
                <w:rFonts w:ascii="Arial" w:eastAsiaTheme="minorHAnsi" w:hAnsi="Arial" w:cs="Arial"/>
                <w:color w:val="000000"/>
                <w:lang w:val="es-MX" w:eastAsia="en-US"/>
              </w:rPr>
              <w:t xml:space="preserve"> </w:t>
            </w:r>
          </w:p>
        </w:tc>
        <w:tc>
          <w:tcPr>
            <w:tcW w:w="1328" w:type="dxa"/>
          </w:tcPr>
          <w:p w14:paraId="0E504C91"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0.6</w:t>
            </w:r>
            <w:r w:rsidRPr="004C59DE">
              <w:rPr>
                <w:rFonts w:ascii="Arial" w:eastAsiaTheme="minorHAnsi" w:hAnsi="Arial" w:cs="Arial"/>
                <w:color w:val="000000"/>
                <w:lang w:val="es-MX" w:eastAsia="en-US"/>
              </w:rPr>
              <w:t xml:space="preserve"> </w:t>
            </w:r>
          </w:p>
        </w:tc>
        <w:tc>
          <w:tcPr>
            <w:tcW w:w="1344" w:type="dxa"/>
          </w:tcPr>
          <w:p w14:paraId="3995FE04"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sidRPr="004C59DE">
              <w:rPr>
                <w:rFonts w:ascii="Arial" w:eastAsiaTheme="minorHAnsi" w:hAnsi="Arial" w:cs="Arial"/>
                <w:color w:val="000000"/>
                <w:lang w:val="es-MX" w:eastAsia="en-US"/>
              </w:rPr>
              <w:t xml:space="preserve">(-)   </w:t>
            </w:r>
            <w:r>
              <w:rPr>
                <w:rFonts w:ascii="Arial" w:eastAsiaTheme="minorHAnsi" w:hAnsi="Arial" w:cs="Arial"/>
                <w:color w:val="000000"/>
                <w:lang w:val="es-MX" w:eastAsia="en-US"/>
              </w:rPr>
              <w:t>6.3</w:t>
            </w:r>
            <w:r w:rsidRPr="004C59DE">
              <w:rPr>
                <w:rFonts w:ascii="Arial" w:eastAsiaTheme="minorHAnsi" w:hAnsi="Arial" w:cs="Arial"/>
                <w:color w:val="000000"/>
                <w:lang w:val="es-MX" w:eastAsia="en-US"/>
              </w:rPr>
              <w:t xml:space="preserve"> </w:t>
            </w:r>
          </w:p>
        </w:tc>
        <w:tc>
          <w:tcPr>
            <w:tcW w:w="1343" w:type="dxa"/>
            <w:tcBorders>
              <w:right w:val="single" w:sz="4" w:space="0" w:color="auto"/>
            </w:tcBorders>
          </w:tcPr>
          <w:p w14:paraId="4A3EA0CA"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sidRPr="004C59DE">
              <w:rPr>
                <w:rFonts w:ascii="Arial" w:eastAsiaTheme="minorHAnsi" w:hAnsi="Arial" w:cs="Arial"/>
                <w:color w:val="000000"/>
                <w:lang w:val="es-MX" w:eastAsia="en-US"/>
              </w:rPr>
              <w:t xml:space="preserve">(-)   </w:t>
            </w:r>
            <w:r>
              <w:rPr>
                <w:rFonts w:ascii="Arial" w:eastAsiaTheme="minorHAnsi" w:hAnsi="Arial" w:cs="Arial"/>
                <w:color w:val="000000"/>
                <w:lang w:val="es-MX" w:eastAsia="en-US"/>
              </w:rPr>
              <w:t>5.4</w:t>
            </w:r>
            <w:r w:rsidRPr="004C59DE">
              <w:rPr>
                <w:rFonts w:ascii="Arial" w:eastAsiaTheme="minorHAnsi" w:hAnsi="Arial" w:cs="Arial"/>
                <w:color w:val="000000"/>
                <w:lang w:val="es-MX" w:eastAsia="en-US"/>
              </w:rPr>
              <w:t xml:space="preserve"> </w:t>
            </w:r>
          </w:p>
        </w:tc>
      </w:tr>
      <w:tr w:rsidR="001F51A6" w:rsidRPr="004C59DE" w14:paraId="13BDA3B5" w14:textId="77777777" w:rsidTr="001F51A6">
        <w:trPr>
          <w:trHeight w:val="243"/>
        </w:trPr>
        <w:tc>
          <w:tcPr>
            <w:tcW w:w="2888" w:type="dxa"/>
            <w:tcBorders>
              <w:left w:val="single" w:sz="4" w:space="0" w:color="auto"/>
              <w:right w:val="single" w:sz="4" w:space="0" w:color="auto"/>
            </w:tcBorders>
          </w:tcPr>
          <w:p w14:paraId="49E42583" w14:textId="77777777" w:rsidR="001F51A6" w:rsidRPr="004C59DE" w:rsidRDefault="001F51A6" w:rsidP="001F51A6">
            <w:pPr>
              <w:autoSpaceDE w:val="0"/>
              <w:autoSpaceDN w:val="0"/>
              <w:adjustRightInd w:val="0"/>
              <w:rPr>
                <w:rFonts w:ascii="Arial" w:eastAsiaTheme="minorHAnsi" w:hAnsi="Arial" w:cs="Arial"/>
                <w:color w:val="000000"/>
                <w:lang w:val="es-MX" w:eastAsia="en-US"/>
              </w:rPr>
            </w:pPr>
            <w:r w:rsidRPr="004C59DE">
              <w:rPr>
                <w:rFonts w:ascii="Arial" w:eastAsiaTheme="minorHAnsi" w:hAnsi="Arial" w:cs="Arial"/>
                <w:color w:val="000000"/>
                <w:lang w:val="es-MX" w:eastAsia="en-US"/>
              </w:rPr>
              <w:t>Tabasco</w:t>
            </w:r>
          </w:p>
        </w:tc>
        <w:tc>
          <w:tcPr>
            <w:tcW w:w="1359" w:type="dxa"/>
            <w:tcBorders>
              <w:left w:val="single" w:sz="4" w:space="0" w:color="auto"/>
            </w:tcBorders>
          </w:tcPr>
          <w:p w14:paraId="507FFFC2"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sidRPr="004C59DE">
              <w:rPr>
                <w:rFonts w:ascii="Arial" w:eastAsiaTheme="minorHAnsi" w:hAnsi="Arial" w:cs="Arial"/>
                <w:color w:val="000000"/>
                <w:lang w:val="es-MX" w:eastAsia="en-US"/>
              </w:rPr>
              <w:t xml:space="preserve">   </w:t>
            </w:r>
            <w:r>
              <w:rPr>
                <w:rFonts w:ascii="Arial" w:eastAsiaTheme="minorHAnsi" w:hAnsi="Arial" w:cs="Arial"/>
                <w:color w:val="000000"/>
                <w:lang w:val="es-MX" w:eastAsia="en-US"/>
              </w:rPr>
              <w:t>3.5</w:t>
            </w:r>
            <w:r w:rsidRPr="004C59DE">
              <w:rPr>
                <w:rFonts w:ascii="Arial" w:eastAsiaTheme="minorHAnsi" w:hAnsi="Arial" w:cs="Arial"/>
                <w:color w:val="000000"/>
                <w:lang w:val="es-MX" w:eastAsia="en-US"/>
              </w:rPr>
              <w:t xml:space="preserve"> </w:t>
            </w:r>
          </w:p>
        </w:tc>
        <w:tc>
          <w:tcPr>
            <w:tcW w:w="1328" w:type="dxa"/>
          </w:tcPr>
          <w:p w14:paraId="5983A844"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sidRPr="004C59DE">
              <w:rPr>
                <w:rFonts w:ascii="Arial" w:eastAsiaTheme="minorHAnsi" w:hAnsi="Arial" w:cs="Arial"/>
                <w:color w:val="000000"/>
                <w:lang w:val="es-MX" w:eastAsia="en-US"/>
              </w:rPr>
              <w:t xml:space="preserve">   </w:t>
            </w:r>
            <w:r>
              <w:rPr>
                <w:rFonts w:ascii="Arial" w:eastAsiaTheme="minorHAnsi" w:hAnsi="Arial" w:cs="Arial"/>
                <w:color w:val="000000"/>
                <w:lang w:val="es-MX" w:eastAsia="en-US"/>
              </w:rPr>
              <w:t>1.8</w:t>
            </w:r>
            <w:r w:rsidRPr="004C59DE">
              <w:rPr>
                <w:rFonts w:ascii="Arial" w:eastAsiaTheme="minorHAnsi" w:hAnsi="Arial" w:cs="Arial"/>
                <w:color w:val="000000"/>
                <w:lang w:val="es-MX" w:eastAsia="en-US"/>
              </w:rPr>
              <w:t xml:space="preserve"> </w:t>
            </w:r>
          </w:p>
        </w:tc>
        <w:tc>
          <w:tcPr>
            <w:tcW w:w="1344" w:type="dxa"/>
          </w:tcPr>
          <w:p w14:paraId="2ADB1D09"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10.2</w:t>
            </w:r>
            <w:r w:rsidRPr="004C59DE">
              <w:rPr>
                <w:rFonts w:ascii="Arial" w:eastAsiaTheme="minorHAnsi" w:hAnsi="Arial" w:cs="Arial"/>
                <w:color w:val="000000"/>
                <w:lang w:val="es-MX" w:eastAsia="en-US"/>
              </w:rPr>
              <w:t xml:space="preserve"> </w:t>
            </w:r>
          </w:p>
        </w:tc>
        <w:tc>
          <w:tcPr>
            <w:tcW w:w="1343" w:type="dxa"/>
            <w:tcBorders>
              <w:right w:val="single" w:sz="4" w:space="0" w:color="auto"/>
            </w:tcBorders>
          </w:tcPr>
          <w:p w14:paraId="32F59E10"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   6.6</w:t>
            </w:r>
            <w:r w:rsidRPr="004C59DE">
              <w:rPr>
                <w:rFonts w:ascii="Arial" w:eastAsiaTheme="minorHAnsi" w:hAnsi="Arial" w:cs="Arial"/>
                <w:color w:val="000000"/>
                <w:lang w:val="es-MX" w:eastAsia="en-US"/>
              </w:rPr>
              <w:t xml:space="preserve"> </w:t>
            </w:r>
          </w:p>
        </w:tc>
      </w:tr>
      <w:tr w:rsidR="001F51A6" w:rsidRPr="004C59DE" w14:paraId="589B7DF4" w14:textId="77777777" w:rsidTr="001F51A6">
        <w:trPr>
          <w:trHeight w:val="243"/>
        </w:trPr>
        <w:tc>
          <w:tcPr>
            <w:tcW w:w="2888" w:type="dxa"/>
            <w:tcBorders>
              <w:left w:val="single" w:sz="4" w:space="0" w:color="auto"/>
              <w:right w:val="single" w:sz="4" w:space="0" w:color="auto"/>
            </w:tcBorders>
          </w:tcPr>
          <w:p w14:paraId="6D3E0CB3" w14:textId="77777777" w:rsidR="001F51A6" w:rsidRPr="004C59DE" w:rsidRDefault="001F51A6" w:rsidP="001F51A6">
            <w:pPr>
              <w:autoSpaceDE w:val="0"/>
              <w:autoSpaceDN w:val="0"/>
              <w:adjustRightInd w:val="0"/>
              <w:rPr>
                <w:rFonts w:ascii="Arial" w:eastAsiaTheme="minorHAnsi" w:hAnsi="Arial" w:cs="Arial"/>
                <w:color w:val="000000"/>
                <w:lang w:val="es-MX" w:eastAsia="en-US"/>
              </w:rPr>
            </w:pPr>
            <w:r w:rsidRPr="004C59DE">
              <w:rPr>
                <w:rFonts w:ascii="Arial" w:eastAsiaTheme="minorHAnsi" w:hAnsi="Arial" w:cs="Arial"/>
                <w:color w:val="000000"/>
                <w:lang w:val="es-MX" w:eastAsia="en-US"/>
              </w:rPr>
              <w:t>Tamaulipas</w:t>
            </w:r>
          </w:p>
        </w:tc>
        <w:tc>
          <w:tcPr>
            <w:tcW w:w="1359" w:type="dxa"/>
            <w:tcBorders>
              <w:left w:val="single" w:sz="4" w:space="0" w:color="auto"/>
            </w:tcBorders>
          </w:tcPr>
          <w:p w14:paraId="007A26D8"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   8.5</w:t>
            </w:r>
            <w:r w:rsidRPr="004C59DE">
              <w:rPr>
                <w:rFonts w:ascii="Arial" w:eastAsiaTheme="minorHAnsi" w:hAnsi="Arial" w:cs="Arial"/>
                <w:color w:val="000000"/>
                <w:lang w:val="es-MX" w:eastAsia="en-US"/>
              </w:rPr>
              <w:t xml:space="preserve"> </w:t>
            </w:r>
          </w:p>
        </w:tc>
        <w:tc>
          <w:tcPr>
            <w:tcW w:w="1328" w:type="dxa"/>
          </w:tcPr>
          <w:p w14:paraId="6930CAAA"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   8.4</w:t>
            </w:r>
            <w:r w:rsidRPr="004C59DE">
              <w:rPr>
                <w:rFonts w:ascii="Arial" w:eastAsiaTheme="minorHAnsi" w:hAnsi="Arial" w:cs="Arial"/>
                <w:color w:val="000000"/>
                <w:lang w:val="es-MX" w:eastAsia="en-US"/>
              </w:rPr>
              <w:t xml:space="preserve"> </w:t>
            </w:r>
          </w:p>
        </w:tc>
        <w:tc>
          <w:tcPr>
            <w:tcW w:w="1344" w:type="dxa"/>
          </w:tcPr>
          <w:p w14:paraId="0FDBBD52"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 14.0</w:t>
            </w:r>
            <w:r w:rsidRPr="004C59DE">
              <w:rPr>
                <w:rFonts w:ascii="Arial" w:eastAsiaTheme="minorHAnsi" w:hAnsi="Arial" w:cs="Arial"/>
                <w:color w:val="000000"/>
                <w:lang w:val="es-MX" w:eastAsia="en-US"/>
              </w:rPr>
              <w:t xml:space="preserve"> </w:t>
            </w:r>
          </w:p>
        </w:tc>
        <w:tc>
          <w:tcPr>
            <w:tcW w:w="1343" w:type="dxa"/>
            <w:tcBorders>
              <w:right w:val="single" w:sz="4" w:space="0" w:color="auto"/>
            </w:tcBorders>
          </w:tcPr>
          <w:p w14:paraId="7BFA9E65"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   5.1</w:t>
            </w:r>
            <w:r w:rsidRPr="004C59DE">
              <w:rPr>
                <w:rFonts w:ascii="Arial" w:eastAsiaTheme="minorHAnsi" w:hAnsi="Arial" w:cs="Arial"/>
                <w:color w:val="000000"/>
                <w:lang w:val="es-MX" w:eastAsia="en-US"/>
              </w:rPr>
              <w:t xml:space="preserve"> </w:t>
            </w:r>
          </w:p>
        </w:tc>
      </w:tr>
      <w:tr w:rsidR="001F51A6" w:rsidRPr="004C59DE" w14:paraId="520D8CDB" w14:textId="77777777" w:rsidTr="001F51A6">
        <w:trPr>
          <w:trHeight w:val="243"/>
        </w:trPr>
        <w:tc>
          <w:tcPr>
            <w:tcW w:w="2888" w:type="dxa"/>
            <w:tcBorders>
              <w:left w:val="single" w:sz="4" w:space="0" w:color="auto"/>
              <w:right w:val="single" w:sz="4" w:space="0" w:color="auto"/>
            </w:tcBorders>
          </w:tcPr>
          <w:p w14:paraId="603BDDD1" w14:textId="77777777" w:rsidR="001F51A6" w:rsidRPr="004C59DE" w:rsidRDefault="001F51A6" w:rsidP="001F51A6">
            <w:pPr>
              <w:autoSpaceDE w:val="0"/>
              <w:autoSpaceDN w:val="0"/>
              <w:adjustRightInd w:val="0"/>
              <w:rPr>
                <w:rFonts w:ascii="Arial" w:eastAsiaTheme="minorHAnsi" w:hAnsi="Arial" w:cs="Arial"/>
                <w:color w:val="000000"/>
                <w:lang w:val="es-MX" w:eastAsia="en-US"/>
              </w:rPr>
            </w:pPr>
            <w:r w:rsidRPr="004C59DE">
              <w:rPr>
                <w:rFonts w:ascii="Arial" w:eastAsiaTheme="minorHAnsi" w:hAnsi="Arial" w:cs="Arial"/>
                <w:color w:val="000000"/>
                <w:lang w:val="es-MX" w:eastAsia="en-US"/>
              </w:rPr>
              <w:t>Tlaxcala</w:t>
            </w:r>
          </w:p>
        </w:tc>
        <w:tc>
          <w:tcPr>
            <w:tcW w:w="1359" w:type="dxa"/>
            <w:tcBorders>
              <w:left w:val="single" w:sz="4" w:space="0" w:color="auto"/>
            </w:tcBorders>
          </w:tcPr>
          <w:p w14:paraId="73B99581"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 12.1</w:t>
            </w:r>
            <w:r w:rsidRPr="004C59DE">
              <w:rPr>
                <w:rFonts w:ascii="Arial" w:eastAsiaTheme="minorHAnsi" w:hAnsi="Arial" w:cs="Arial"/>
                <w:color w:val="000000"/>
                <w:lang w:val="es-MX" w:eastAsia="en-US"/>
              </w:rPr>
              <w:t xml:space="preserve"> </w:t>
            </w:r>
          </w:p>
        </w:tc>
        <w:tc>
          <w:tcPr>
            <w:tcW w:w="1328" w:type="dxa"/>
          </w:tcPr>
          <w:p w14:paraId="31A97C5C"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 10.7</w:t>
            </w:r>
            <w:r w:rsidRPr="004C59DE">
              <w:rPr>
                <w:rFonts w:ascii="Arial" w:eastAsiaTheme="minorHAnsi" w:hAnsi="Arial" w:cs="Arial"/>
                <w:color w:val="000000"/>
                <w:lang w:val="es-MX" w:eastAsia="en-US"/>
              </w:rPr>
              <w:t xml:space="preserve"> </w:t>
            </w:r>
          </w:p>
        </w:tc>
        <w:tc>
          <w:tcPr>
            <w:tcW w:w="1344" w:type="dxa"/>
          </w:tcPr>
          <w:p w14:paraId="4E14B10F"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 21.2</w:t>
            </w:r>
            <w:r w:rsidRPr="004C59DE">
              <w:rPr>
                <w:rFonts w:ascii="Arial" w:eastAsiaTheme="minorHAnsi" w:hAnsi="Arial" w:cs="Arial"/>
                <w:color w:val="000000"/>
                <w:lang w:val="es-MX" w:eastAsia="en-US"/>
              </w:rPr>
              <w:t xml:space="preserve"> </w:t>
            </w:r>
          </w:p>
        </w:tc>
        <w:tc>
          <w:tcPr>
            <w:tcW w:w="1343" w:type="dxa"/>
            <w:tcBorders>
              <w:right w:val="single" w:sz="4" w:space="0" w:color="auto"/>
            </w:tcBorders>
          </w:tcPr>
          <w:p w14:paraId="0AD96BE9"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   6.3</w:t>
            </w:r>
            <w:r w:rsidRPr="004C59DE">
              <w:rPr>
                <w:rFonts w:ascii="Arial" w:eastAsiaTheme="minorHAnsi" w:hAnsi="Arial" w:cs="Arial"/>
                <w:color w:val="000000"/>
                <w:lang w:val="es-MX" w:eastAsia="en-US"/>
              </w:rPr>
              <w:t xml:space="preserve"> </w:t>
            </w:r>
          </w:p>
        </w:tc>
      </w:tr>
      <w:tr w:rsidR="001F51A6" w:rsidRPr="004C59DE" w14:paraId="543A60E9" w14:textId="77777777" w:rsidTr="001F51A6">
        <w:trPr>
          <w:trHeight w:val="243"/>
        </w:trPr>
        <w:tc>
          <w:tcPr>
            <w:tcW w:w="2888" w:type="dxa"/>
            <w:tcBorders>
              <w:left w:val="single" w:sz="4" w:space="0" w:color="auto"/>
              <w:right w:val="single" w:sz="4" w:space="0" w:color="auto"/>
            </w:tcBorders>
          </w:tcPr>
          <w:p w14:paraId="6CE184C6" w14:textId="77777777" w:rsidR="001F51A6" w:rsidRPr="004C59DE" w:rsidRDefault="001F51A6" w:rsidP="001F51A6">
            <w:pPr>
              <w:autoSpaceDE w:val="0"/>
              <w:autoSpaceDN w:val="0"/>
              <w:adjustRightInd w:val="0"/>
              <w:rPr>
                <w:rFonts w:ascii="Arial" w:eastAsiaTheme="minorHAnsi" w:hAnsi="Arial" w:cs="Arial"/>
                <w:color w:val="000000"/>
                <w:lang w:val="es-MX" w:eastAsia="en-US"/>
              </w:rPr>
            </w:pPr>
            <w:r w:rsidRPr="004C59DE">
              <w:rPr>
                <w:rFonts w:ascii="Arial" w:eastAsiaTheme="minorHAnsi" w:hAnsi="Arial" w:cs="Arial"/>
                <w:color w:val="000000"/>
                <w:lang w:val="es-MX" w:eastAsia="en-US"/>
              </w:rPr>
              <w:t>Veracruz de Ignacio de la Llave</w:t>
            </w:r>
          </w:p>
        </w:tc>
        <w:tc>
          <w:tcPr>
            <w:tcW w:w="1359" w:type="dxa"/>
            <w:tcBorders>
              <w:left w:val="single" w:sz="4" w:space="0" w:color="auto"/>
            </w:tcBorders>
          </w:tcPr>
          <w:p w14:paraId="22AF8A41"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   8.1</w:t>
            </w:r>
            <w:r w:rsidRPr="004C59DE">
              <w:rPr>
                <w:rFonts w:ascii="Arial" w:eastAsiaTheme="minorHAnsi" w:hAnsi="Arial" w:cs="Arial"/>
                <w:color w:val="000000"/>
                <w:lang w:val="es-MX" w:eastAsia="en-US"/>
              </w:rPr>
              <w:t xml:space="preserve"> </w:t>
            </w:r>
          </w:p>
        </w:tc>
        <w:tc>
          <w:tcPr>
            <w:tcW w:w="1328" w:type="dxa"/>
          </w:tcPr>
          <w:p w14:paraId="4357AFDD"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sidRPr="004C59DE">
              <w:rPr>
                <w:rFonts w:ascii="Arial" w:eastAsiaTheme="minorHAnsi" w:hAnsi="Arial" w:cs="Arial"/>
                <w:color w:val="000000"/>
                <w:lang w:val="es-MX" w:eastAsia="en-US"/>
              </w:rPr>
              <w:t xml:space="preserve">   </w:t>
            </w:r>
            <w:r>
              <w:rPr>
                <w:rFonts w:ascii="Arial" w:eastAsiaTheme="minorHAnsi" w:hAnsi="Arial" w:cs="Arial"/>
                <w:color w:val="000000"/>
                <w:lang w:val="es-MX" w:eastAsia="en-US"/>
              </w:rPr>
              <w:t>3.7</w:t>
            </w:r>
            <w:r w:rsidRPr="004C59DE">
              <w:rPr>
                <w:rFonts w:ascii="Arial" w:eastAsiaTheme="minorHAnsi" w:hAnsi="Arial" w:cs="Arial"/>
                <w:color w:val="000000"/>
                <w:lang w:val="es-MX" w:eastAsia="en-US"/>
              </w:rPr>
              <w:t xml:space="preserve"> </w:t>
            </w:r>
          </w:p>
        </w:tc>
        <w:tc>
          <w:tcPr>
            <w:tcW w:w="1344" w:type="dxa"/>
          </w:tcPr>
          <w:p w14:paraId="1602795E"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sidRPr="004C59DE">
              <w:rPr>
                <w:rFonts w:ascii="Arial" w:eastAsiaTheme="minorHAnsi" w:hAnsi="Arial" w:cs="Arial"/>
                <w:color w:val="000000"/>
                <w:lang w:val="es-MX" w:eastAsia="en-US"/>
              </w:rPr>
              <w:t xml:space="preserve">(-) </w:t>
            </w:r>
            <w:r>
              <w:rPr>
                <w:rFonts w:ascii="Arial" w:eastAsiaTheme="minorHAnsi" w:hAnsi="Arial" w:cs="Arial"/>
                <w:color w:val="000000"/>
                <w:lang w:val="es-MX" w:eastAsia="en-US"/>
              </w:rPr>
              <w:t>11.6</w:t>
            </w:r>
            <w:r w:rsidRPr="004C59DE">
              <w:rPr>
                <w:rFonts w:ascii="Arial" w:eastAsiaTheme="minorHAnsi" w:hAnsi="Arial" w:cs="Arial"/>
                <w:color w:val="000000"/>
                <w:lang w:val="es-MX" w:eastAsia="en-US"/>
              </w:rPr>
              <w:t xml:space="preserve"> </w:t>
            </w:r>
          </w:p>
        </w:tc>
        <w:tc>
          <w:tcPr>
            <w:tcW w:w="1343" w:type="dxa"/>
            <w:tcBorders>
              <w:right w:val="single" w:sz="4" w:space="0" w:color="auto"/>
            </w:tcBorders>
          </w:tcPr>
          <w:p w14:paraId="77F6DAF2"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   7.3</w:t>
            </w:r>
            <w:r w:rsidRPr="004C59DE">
              <w:rPr>
                <w:rFonts w:ascii="Arial" w:eastAsiaTheme="minorHAnsi" w:hAnsi="Arial" w:cs="Arial"/>
                <w:color w:val="000000"/>
                <w:lang w:val="es-MX" w:eastAsia="en-US"/>
              </w:rPr>
              <w:t xml:space="preserve"> </w:t>
            </w:r>
          </w:p>
        </w:tc>
      </w:tr>
      <w:tr w:rsidR="001F51A6" w:rsidRPr="004C59DE" w14:paraId="096CEF5C" w14:textId="77777777" w:rsidTr="001F51A6">
        <w:trPr>
          <w:trHeight w:val="243"/>
        </w:trPr>
        <w:tc>
          <w:tcPr>
            <w:tcW w:w="2888" w:type="dxa"/>
            <w:tcBorders>
              <w:left w:val="single" w:sz="4" w:space="0" w:color="auto"/>
              <w:right w:val="single" w:sz="4" w:space="0" w:color="auto"/>
            </w:tcBorders>
          </w:tcPr>
          <w:p w14:paraId="5EA4B32B" w14:textId="77777777" w:rsidR="001F51A6" w:rsidRPr="004C59DE" w:rsidRDefault="001F51A6" w:rsidP="001F51A6">
            <w:pPr>
              <w:autoSpaceDE w:val="0"/>
              <w:autoSpaceDN w:val="0"/>
              <w:adjustRightInd w:val="0"/>
              <w:rPr>
                <w:rFonts w:ascii="Arial" w:eastAsiaTheme="minorHAnsi" w:hAnsi="Arial" w:cs="Arial"/>
                <w:color w:val="000000"/>
                <w:lang w:val="es-MX" w:eastAsia="en-US"/>
              </w:rPr>
            </w:pPr>
            <w:r w:rsidRPr="004C59DE">
              <w:rPr>
                <w:rFonts w:ascii="Arial" w:eastAsiaTheme="minorHAnsi" w:hAnsi="Arial" w:cs="Arial"/>
                <w:color w:val="000000"/>
                <w:lang w:val="es-MX" w:eastAsia="en-US"/>
              </w:rPr>
              <w:t>Yucatán</w:t>
            </w:r>
          </w:p>
        </w:tc>
        <w:tc>
          <w:tcPr>
            <w:tcW w:w="1359" w:type="dxa"/>
            <w:tcBorders>
              <w:left w:val="single" w:sz="4" w:space="0" w:color="auto"/>
            </w:tcBorders>
          </w:tcPr>
          <w:p w14:paraId="6F7A615E"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   7.7</w:t>
            </w:r>
            <w:r w:rsidRPr="004C59DE">
              <w:rPr>
                <w:rFonts w:ascii="Arial" w:eastAsiaTheme="minorHAnsi" w:hAnsi="Arial" w:cs="Arial"/>
                <w:color w:val="000000"/>
                <w:lang w:val="es-MX" w:eastAsia="en-US"/>
              </w:rPr>
              <w:t xml:space="preserve"> </w:t>
            </w:r>
          </w:p>
        </w:tc>
        <w:tc>
          <w:tcPr>
            <w:tcW w:w="1328" w:type="dxa"/>
          </w:tcPr>
          <w:p w14:paraId="44F650CE"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0.3</w:t>
            </w:r>
            <w:r w:rsidRPr="004C59DE">
              <w:rPr>
                <w:rFonts w:ascii="Arial" w:eastAsiaTheme="minorHAnsi" w:hAnsi="Arial" w:cs="Arial"/>
                <w:color w:val="000000"/>
                <w:lang w:val="es-MX" w:eastAsia="en-US"/>
              </w:rPr>
              <w:t xml:space="preserve"> </w:t>
            </w:r>
          </w:p>
        </w:tc>
        <w:tc>
          <w:tcPr>
            <w:tcW w:w="1344" w:type="dxa"/>
          </w:tcPr>
          <w:p w14:paraId="3886B9D7"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 10.9</w:t>
            </w:r>
            <w:r w:rsidRPr="004C59DE">
              <w:rPr>
                <w:rFonts w:ascii="Arial" w:eastAsiaTheme="minorHAnsi" w:hAnsi="Arial" w:cs="Arial"/>
                <w:color w:val="000000"/>
                <w:lang w:val="es-MX" w:eastAsia="en-US"/>
              </w:rPr>
              <w:t xml:space="preserve"> </w:t>
            </w:r>
          </w:p>
        </w:tc>
        <w:tc>
          <w:tcPr>
            <w:tcW w:w="1343" w:type="dxa"/>
            <w:tcBorders>
              <w:right w:val="single" w:sz="4" w:space="0" w:color="auto"/>
            </w:tcBorders>
          </w:tcPr>
          <w:p w14:paraId="23944021"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   6.9</w:t>
            </w:r>
            <w:r w:rsidRPr="004C59DE">
              <w:rPr>
                <w:rFonts w:ascii="Arial" w:eastAsiaTheme="minorHAnsi" w:hAnsi="Arial" w:cs="Arial"/>
                <w:color w:val="000000"/>
                <w:lang w:val="es-MX" w:eastAsia="en-US"/>
              </w:rPr>
              <w:t xml:space="preserve"> </w:t>
            </w:r>
          </w:p>
        </w:tc>
      </w:tr>
      <w:tr w:rsidR="001F51A6" w:rsidRPr="004C59DE" w14:paraId="136C40C2" w14:textId="77777777" w:rsidTr="001F51A6">
        <w:trPr>
          <w:trHeight w:val="243"/>
        </w:trPr>
        <w:tc>
          <w:tcPr>
            <w:tcW w:w="2888" w:type="dxa"/>
            <w:tcBorders>
              <w:left w:val="single" w:sz="4" w:space="0" w:color="auto"/>
              <w:bottom w:val="single" w:sz="4" w:space="0" w:color="auto"/>
              <w:right w:val="single" w:sz="4" w:space="0" w:color="auto"/>
            </w:tcBorders>
          </w:tcPr>
          <w:p w14:paraId="332746D5" w14:textId="77777777" w:rsidR="001F51A6" w:rsidRPr="004C59DE" w:rsidRDefault="001F51A6" w:rsidP="001F51A6">
            <w:pPr>
              <w:autoSpaceDE w:val="0"/>
              <w:autoSpaceDN w:val="0"/>
              <w:adjustRightInd w:val="0"/>
              <w:rPr>
                <w:rFonts w:ascii="Arial" w:eastAsiaTheme="minorHAnsi" w:hAnsi="Arial" w:cs="Arial"/>
                <w:color w:val="000000"/>
                <w:lang w:val="es-MX" w:eastAsia="en-US"/>
              </w:rPr>
            </w:pPr>
            <w:r w:rsidRPr="004C59DE">
              <w:rPr>
                <w:rFonts w:ascii="Arial" w:eastAsiaTheme="minorHAnsi" w:hAnsi="Arial" w:cs="Arial"/>
                <w:color w:val="000000"/>
                <w:lang w:val="es-MX" w:eastAsia="en-US"/>
              </w:rPr>
              <w:t>Zacatecas</w:t>
            </w:r>
          </w:p>
        </w:tc>
        <w:tc>
          <w:tcPr>
            <w:tcW w:w="1359" w:type="dxa"/>
            <w:tcBorders>
              <w:left w:val="single" w:sz="4" w:space="0" w:color="auto"/>
              <w:bottom w:val="single" w:sz="4" w:space="0" w:color="auto"/>
            </w:tcBorders>
          </w:tcPr>
          <w:p w14:paraId="04D52BE1"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sidRPr="004C59DE">
              <w:rPr>
                <w:rFonts w:ascii="Arial" w:eastAsiaTheme="minorHAnsi" w:hAnsi="Arial" w:cs="Arial"/>
                <w:color w:val="000000"/>
                <w:lang w:val="es-MX" w:eastAsia="en-US"/>
              </w:rPr>
              <w:t xml:space="preserve">(-)   </w:t>
            </w:r>
            <w:r>
              <w:rPr>
                <w:rFonts w:ascii="Arial" w:eastAsiaTheme="minorHAnsi" w:hAnsi="Arial" w:cs="Arial"/>
                <w:color w:val="000000"/>
                <w:lang w:val="es-MX" w:eastAsia="en-US"/>
              </w:rPr>
              <w:t>4.2</w:t>
            </w:r>
            <w:r w:rsidRPr="004C59DE">
              <w:rPr>
                <w:rFonts w:ascii="Arial" w:eastAsiaTheme="minorHAnsi" w:hAnsi="Arial" w:cs="Arial"/>
                <w:color w:val="000000"/>
                <w:lang w:val="es-MX" w:eastAsia="en-US"/>
              </w:rPr>
              <w:t xml:space="preserve"> </w:t>
            </w:r>
          </w:p>
        </w:tc>
        <w:tc>
          <w:tcPr>
            <w:tcW w:w="1328" w:type="dxa"/>
            <w:tcBorders>
              <w:bottom w:val="single" w:sz="4" w:space="0" w:color="auto"/>
            </w:tcBorders>
          </w:tcPr>
          <w:p w14:paraId="010109B2"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17.6</w:t>
            </w:r>
            <w:r w:rsidRPr="004C59DE">
              <w:rPr>
                <w:rFonts w:ascii="Arial" w:eastAsiaTheme="minorHAnsi" w:hAnsi="Arial" w:cs="Arial"/>
                <w:color w:val="000000"/>
                <w:lang w:val="es-MX" w:eastAsia="en-US"/>
              </w:rPr>
              <w:t xml:space="preserve"> </w:t>
            </w:r>
          </w:p>
        </w:tc>
        <w:tc>
          <w:tcPr>
            <w:tcW w:w="1344" w:type="dxa"/>
            <w:tcBorders>
              <w:bottom w:val="single" w:sz="4" w:space="0" w:color="auto"/>
            </w:tcBorders>
          </w:tcPr>
          <w:p w14:paraId="1FDD928F"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sidRPr="004C59DE">
              <w:rPr>
                <w:rFonts w:ascii="Arial" w:eastAsiaTheme="minorHAnsi" w:hAnsi="Arial" w:cs="Arial"/>
                <w:color w:val="000000"/>
                <w:lang w:val="es-MX" w:eastAsia="en-US"/>
              </w:rPr>
              <w:t xml:space="preserve">(-)   8.0 </w:t>
            </w:r>
          </w:p>
        </w:tc>
        <w:tc>
          <w:tcPr>
            <w:tcW w:w="1343" w:type="dxa"/>
            <w:tcBorders>
              <w:bottom w:val="single" w:sz="4" w:space="0" w:color="auto"/>
              <w:right w:val="single" w:sz="4" w:space="0" w:color="auto"/>
            </w:tcBorders>
          </w:tcPr>
          <w:p w14:paraId="124C47D4" w14:textId="77777777" w:rsidR="001F51A6" w:rsidRPr="004C59DE" w:rsidRDefault="001F51A6" w:rsidP="001F51A6">
            <w:pPr>
              <w:autoSpaceDE w:val="0"/>
              <w:autoSpaceDN w:val="0"/>
              <w:adjustRightInd w:val="0"/>
              <w:ind w:right="338"/>
              <w:jc w:val="right"/>
              <w:rPr>
                <w:rFonts w:ascii="Arial" w:eastAsiaTheme="minorHAnsi" w:hAnsi="Arial" w:cs="Arial"/>
                <w:color w:val="000000"/>
                <w:lang w:val="es-MX" w:eastAsia="en-US"/>
              </w:rPr>
            </w:pPr>
            <w:r>
              <w:rPr>
                <w:rFonts w:ascii="Arial" w:eastAsiaTheme="minorHAnsi" w:hAnsi="Arial" w:cs="Arial"/>
                <w:color w:val="000000"/>
                <w:lang w:val="es-MX" w:eastAsia="en-US"/>
              </w:rPr>
              <w:t>(-)   5.1</w:t>
            </w:r>
            <w:r w:rsidRPr="004C59DE">
              <w:rPr>
                <w:rFonts w:ascii="Arial" w:eastAsiaTheme="minorHAnsi" w:hAnsi="Arial" w:cs="Arial"/>
                <w:color w:val="000000"/>
                <w:lang w:val="es-MX" w:eastAsia="en-US"/>
              </w:rPr>
              <w:t xml:space="preserve"> </w:t>
            </w:r>
          </w:p>
        </w:tc>
      </w:tr>
    </w:tbl>
    <w:p w14:paraId="3AFD1F2B" w14:textId="77777777" w:rsidR="001F51A6" w:rsidRDefault="001F51A6" w:rsidP="001F51A6">
      <w:pPr>
        <w:pStyle w:val="Textoindependiente2"/>
        <w:spacing w:before="0"/>
        <w:ind w:left="284"/>
        <w:rPr>
          <w:rFonts w:cs="Arial"/>
          <w:sz w:val="16"/>
          <w:szCs w:val="16"/>
        </w:rPr>
      </w:pPr>
      <w:r>
        <w:rPr>
          <w:rFonts w:cs="Arial"/>
          <w:sz w:val="16"/>
          <w:szCs w:val="16"/>
        </w:rPr>
        <w:t xml:space="preserve">   </w:t>
      </w:r>
      <w:r w:rsidRPr="00706D76">
        <w:rPr>
          <w:rFonts w:cs="Arial"/>
          <w:sz w:val="16"/>
          <w:szCs w:val="16"/>
        </w:rPr>
        <w:t>Fuente: INEGI.</w:t>
      </w:r>
    </w:p>
    <w:p w14:paraId="1BA177CC" w14:textId="77777777" w:rsidR="001F51A6" w:rsidRDefault="001F51A6" w:rsidP="001F51A6">
      <w:pPr>
        <w:rPr>
          <w:rFonts w:ascii="Arial" w:hAnsi="Arial" w:cs="Arial"/>
          <w:color w:val="000000"/>
          <w:sz w:val="16"/>
          <w:szCs w:val="16"/>
        </w:rPr>
      </w:pPr>
      <w:r>
        <w:rPr>
          <w:rFonts w:cs="Arial"/>
          <w:sz w:val="16"/>
          <w:szCs w:val="16"/>
        </w:rPr>
        <w:br w:type="page"/>
      </w:r>
    </w:p>
    <w:p w14:paraId="1C7D8DB3" w14:textId="16FEE158" w:rsidR="00EF1ADC" w:rsidRDefault="00EF1ADC" w:rsidP="00D41996">
      <w:pPr>
        <w:pStyle w:val="Textoindependiente2"/>
        <w:spacing w:before="240"/>
        <w:ind w:left="-567"/>
        <w:rPr>
          <w:b/>
          <w:smallCaps/>
          <w:lang w:val="es-MX"/>
        </w:rPr>
      </w:pPr>
    </w:p>
    <w:p w14:paraId="4B17BC8B" w14:textId="77777777" w:rsidR="00236EDD" w:rsidRDefault="00236EDD" w:rsidP="00236EDD">
      <w:pPr>
        <w:pStyle w:val="Textoindependiente2"/>
        <w:spacing w:before="0"/>
        <w:ind w:left="-567"/>
        <w:rPr>
          <w:b/>
          <w:smallCaps/>
          <w:lang w:val="es-MX"/>
        </w:rPr>
      </w:pPr>
    </w:p>
    <w:p w14:paraId="17B1D589" w14:textId="77777777" w:rsidR="001F51A6" w:rsidRDefault="001F51A6" w:rsidP="00904FE8">
      <w:pPr>
        <w:pStyle w:val="Textoindependiente2"/>
        <w:spacing w:before="0"/>
        <w:ind w:left="-567" w:right="-516"/>
        <w:rPr>
          <w:b/>
          <w:smallCaps/>
          <w:sz w:val="23"/>
          <w:szCs w:val="23"/>
          <w:lang w:val="es-MX"/>
        </w:rPr>
      </w:pPr>
      <w:r w:rsidRPr="00904FE8">
        <w:rPr>
          <w:b/>
          <w:smallCaps/>
          <w:sz w:val="23"/>
          <w:szCs w:val="23"/>
          <w:lang w:val="es-MX"/>
        </w:rPr>
        <w:t>Nota al Usuario</w:t>
      </w:r>
    </w:p>
    <w:p w14:paraId="1C59A384" w14:textId="77777777" w:rsidR="00904FE8" w:rsidRPr="00904FE8" w:rsidRDefault="00904FE8" w:rsidP="00904FE8">
      <w:pPr>
        <w:pStyle w:val="Textoindependiente2"/>
        <w:spacing w:before="0"/>
        <w:ind w:left="-567" w:right="-516"/>
        <w:rPr>
          <w:b/>
          <w:smallCaps/>
          <w:sz w:val="23"/>
          <w:szCs w:val="23"/>
          <w:lang w:val="es-MX"/>
        </w:rPr>
      </w:pPr>
    </w:p>
    <w:p w14:paraId="35E2C204" w14:textId="77777777" w:rsidR="001F51A6" w:rsidRDefault="001F51A6" w:rsidP="00904FE8">
      <w:pPr>
        <w:pStyle w:val="Textoindependiente"/>
        <w:spacing w:before="0"/>
        <w:ind w:left="-567" w:right="-516"/>
        <w:rPr>
          <w:sz w:val="23"/>
          <w:szCs w:val="23"/>
        </w:rPr>
      </w:pPr>
      <w:r w:rsidRPr="00904FE8">
        <w:rPr>
          <w:sz w:val="23"/>
          <w:szCs w:val="23"/>
        </w:rPr>
        <w:t xml:space="preserve">Con base en los “Lineamientos de cambios a la información divulgada en las publicaciones estadísticas y geográficas del INEGI” al disponer de un dato más reciente generado por las Cuentas de Bienes y Servicios 2020 versión preliminar, así como la incorporación de la última información estadística disponible de los años 2019 y 2020 de las encuestas económicas, encuestas en hogares, registros administrativos y datos primarios y para las actividades agropecuarias, petroleras, de energía, gas y agua, de servicios financieros y del gobierno de los registros administrativos provenientes de las empresas y Unidades del Estado que se recibieron vía correo electrónico y captación por Internet, para su integración en el Producto Interno Bruto por </w:t>
      </w:r>
      <w:r w:rsidR="00904FE8" w:rsidRPr="00904FE8">
        <w:rPr>
          <w:sz w:val="23"/>
          <w:szCs w:val="23"/>
        </w:rPr>
        <w:t>e</w:t>
      </w:r>
      <w:r w:rsidRPr="00904FE8">
        <w:rPr>
          <w:sz w:val="23"/>
          <w:szCs w:val="23"/>
        </w:rPr>
        <w:t xml:space="preserve">ntidad </w:t>
      </w:r>
      <w:r w:rsidR="00904FE8" w:rsidRPr="00904FE8">
        <w:rPr>
          <w:sz w:val="23"/>
          <w:szCs w:val="23"/>
        </w:rPr>
        <w:t>f</w:t>
      </w:r>
      <w:r w:rsidRPr="00904FE8">
        <w:rPr>
          <w:sz w:val="23"/>
          <w:szCs w:val="23"/>
        </w:rPr>
        <w:t>ederativa (PIBE) en los años de referencia, se identifican diferencias en los niveles de los valores y variaciones que fueron oportunamente publicados.</w:t>
      </w:r>
    </w:p>
    <w:p w14:paraId="5739DCBB" w14:textId="77777777" w:rsidR="00904FE8" w:rsidRPr="00904FE8" w:rsidRDefault="00904FE8" w:rsidP="00904FE8">
      <w:pPr>
        <w:pStyle w:val="Textoindependiente"/>
        <w:spacing w:before="0"/>
        <w:ind w:left="-567" w:right="-516"/>
        <w:rPr>
          <w:sz w:val="23"/>
          <w:szCs w:val="23"/>
        </w:rPr>
      </w:pPr>
    </w:p>
    <w:p w14:paraId="61D5E47F" w14:textId="77777777" w:rsidR="001F51A6" w:rsidRDefault="001F51A6" w:rsidP="00904FE8">
      <w:pPr>
        <w:pStyle w:val="Textoindependiente2"/>
        <w:spacing w:before="0"/>
        <w:ind w:left="-567" w:right="-516"/>
        <w:rPr>
          <w:b/>
          <w:smallCaps/>
          <w:sz w:val="23"/>
          <w:szCs w:val="23"/>
          <w:lang w:val="es-MX"/>
        </w:rPr>
      </w:pPr>
      <w:r w:rsidRPr="00904FE8">
        <w:rPr>
          <w:b/>
          <w:smallCaps/>
          <w:sz w:val="23"/>
          <w:szCs w:val="23"/>
          <w:lang w:val="es-MX"/>
        </w:rPr>
        <w:t>Aspectos Metodológicos</w:t>
      </w:r>
    </w:p>
    <w:p w14:paraId="65ABD1EC" w14:textId="77777777" w:rsidR="00904FE8" w:rsidRPr="00904FE8" w:rsidRDefault="00904FE8" w:rsidP="00904FE8">
      <w:pPr>
        <w:pStyle w:val="Textoindependiente2"/>
        <w:spacing w:before="0"/>
        <w:ind w:left="-567" w:right="-516"/>
        <w:rPr>
          <w:b/>
          <w:smallCaps/>
          <w:sz w:val="23"/>
          <w:szCs w:val="23"/>
          <w:lang w:val="es-MX"/>
        </w:rPr>
      </w:pPr>
    </w:p>
    <w:p w14:paraId="0BA13942" w14:textId="77777777" w:rsidR="001F51A6" w:rsidRDefault="001F51A6" w:rsidP="00904FE8">
      <w:pPr>
        <w:pStyle w:val="Textoindependiente"/>
        <w:spacing w:before="0"/>
        <w:ind w:left="-567" w:right="-516"/>
        <w:rPr>
          <w:sz w:val="23"/>
          <w:szCs w:val="23"/>
        </w:rPr>
      </w:pPr>
      <w:r w:rsidRPr="00904FE8">
        <w:rPr>
          <w:sz w:val="23"/>
          <w:szCs w:val="23"/>
        </w:rPr>
        <w:t>Los resultados del PIBE parten de las cifras a nivel nacional por sectores económicos del Sistema de Cuentas Nacionales de México (SCNM), cuyo año base fue actualizado al año 2013 con el fin de garantizar la comparabilidad regional y nacional. Esto se logró mediante la utilización del SCIAN y la aplicación, en la medida en que la información estadística básica lo permitió, de las mismas metodologías de cálculo que se utilizan en el ámbito nacional para la medición de los agregados macroeconómicos.</w:t>
      </w:r>
    </w:p>
    <w:p w14:paraId="431E4961" w14:textId="77777777" w:rsidR="00904FE8" w:rsidRPr="00904FE8" w:rsidRDefault="00904FE8" w:rsidP="00904FE8">
      <w:pPr>
        <w:pStyle w:val="Textoindependiente"/>
        <w:spacing w:before="0"/>
        <w:ind w:left="-567" w:right="-516"/>
        <w:rPr>
          <w:sz w:val="23"/>
          <w:szCs w:val="23"/>
        </w:rPr>
      </w:pPr>
    </w:p>
    <w:p w14:paraId="7BF1F51D" w14:textId="77777777" w:rsidR="001F51A6" w:rsidRDefault="001F51A6" w:rsidP="00904FE8">
      <w:pPr>
        <w:pStyle w:val="Textoindependiente"/>
        <w:spacing w:before="0"/>
        <w:ind w:left="-567" w:right="-516"/>
        <w:rPr>
          <w:sz w:val="23"/>
          <w:szCs w:val="23"/>
        </w:rPr>
      </w:pPr>
      <w:r w:rsidRPr="00904FE8">
        <w:rPr>
          <w:sz w:val="23"/>
          <w:szCs w:val="23"/>
        </w:rPr>
        <w:t xml:space="preserve">Al igual que el resto de los productos derivados del SCNM, se incorporaron los conceptos en materia de contabilidad nacional, sugeridos por la Organización de las Naciones Unidas (ONU), la Organización para la Cooperación y el Desarrollo Económicos (OCDE), el Banco Mundial (BM), el Fondo Monetario Internacional (FMI), y la Oficina Estadística de la Unión Europea (EUROSTAT), que se encuentran plasmados en el manual del Sistema de Cuentas Nacionales 2008. </w:t>
      </w:r>
    </w:p>
    <w:p w14:paraId="0C554270" w14:textId="77777777" w:rsidR="00904FE8" w:rsidRPr="00904FE8" w:rsidRDefault="00904FE8" w:rsidP="00904FE8">
      <w:pPr>
        <w:pStyle w:val="Textoindependiente"/>
        <w:spacing w:before="0"/>
        <w:ind w:left="-567" w:right="-516"/>
        <w:rPr>
          <w:sz w:val="23"/>
          <w:szCs w:val="23"/>
        </w:rPr>
      </w:pPr>
    </w:p>
    <w:p w14:paraId="3DE2818E" w14:textId="77777777" w:rsidR="001F51A6" w:rsidRDefault="001F51A6" w:rsidP="00904FE8">
      <w:pPr>
        <w:pStyle w:val="Textoindependiente"/>
        <w:spacing w:before="0"/>
        <w:ind w:left="-567" w:right="-516"/>
        <w:rPr>
          <w:sz w:val="23"/>
          <w:szCs w:val="23"/>
        </w:rPr>
      </w:pPr>
      <w:r w:rsidRPr="00904FE8">
        <w:rPr>
          <w:sz w:val="23"/>
          <w:szCs w:val="23"/>
        </w:rPr>
        <w:t>El ordenamiento de las actividades económicas se realizó de acuerdo con el Sistema de Clasificación Industrial de América del Norte (SCIAN) 2013, el cual fue adoptado por los socios firmantes del Tratado de Libre Comercio para América del Norte (TLCAN): Canadá, Estados Unidos y México, con la finalidad de coadyuvar en la comparabilidad de los indicadores económicos en la región. Además, se desarrolló una tabla de convergencia con la Clasificación Internacional Industrial Uniforme de todas las actividades económicas (CIIU), Serie M, Número 4, revisión 4, de la ONU, con la finalidad de facilitar la comparación internacional.</w:t>
      </w:r>
    </w:p>
    <w:p w14:paraId="3590E746" w14:textId="77777777" w:rsidR="00904FE8" w:rsidRPr="00904FE8" w:rsidRDefault="00904FE8" w:rsidP="00904FE8">
      <w:pPr>
        <w:pStyle w:val="Textoindependiente"/>
        <w:spacing w:before="0"/>
        <w:ind w:left="-567" w:right="-516"/>
        <w:rPr>
          <w:sz w:val="23"/>
          <w:szCs w:val="23"/>
        </w:rPr>
      </w:pPr>
    </w:p>
    <w:p w14:paraId="1305353C" w14:textId="77777777" w:rsidR="001F51A6" w:rsidRDefault="001F51A6" w:rsidP="00904FE8">
      <w:pPr>
        <w:pStyle w:val="Textoindependiente"/>
        <w:spacing w:before="0"/>
        <w:ind w:left="-567" w:right="-516"/>
        <w:rPr>
          <w:sz w:val="23"/>
          <w:szCs w:val="23"/>
        </w:rPr>
      </w:pPr>
      <w:r w:rsidRPr="00904FE8">
        <w:rPr>
          <w:sz w:val="23"/>
          <w:szCs w:val="23"/>
        </w:rPr>
        <w:t>Los cálculos estatales que efectúa el SCNM tienen su base en agregaciones de la información estadística que proporcionan los Censos Económicos, las encuestas que implementa el INEGI, la información proporcionada por las diversas cámaras y asociaciones industriales, además de los registros administrativos de empresas públicas y privadas. Así, los resultados del PIB por Entidad Federativa se elaboran con base en un amplio acervo estadístico por sector y entidad.</w:t>
      </w:r>
    </w:p>
    <w:p w14:paraId="49D7F93E" w14:textId="77777777" w:rsidR="00904FE8" w:rsidRPr="00904FE8" w:rsidRDefault="00904FE8" w:rsidP="00904FE8">
      <w:pPr>
        <w:pStyle w:val="Textoindependiente"/>
        <w:spacing w:before="0"/>
        <w:ind w:left="-567" w:right="-516"/>
        <w:rPr>
          <w:sz w:val="23"/>
          <w:szCs w:val="23"/>
        </w:rPr>
      </w:pPr>
    </w:p>
    <w:p w14:paraId="7D818D12" w14:textId="77777777" w:rsidR="001F51A6" w:rsidRDefault="001F51A6" w:rsidP="00904FE8">
      <w:pPr>
        <w:pStyle w:val="Textoindependiente"/>
        <w:spacing w:before="0"/>
        <w:ind w:left="-567" w:right="-516"/>
        <w:rPr>
          <w:sz w:val="23"/>
          <w:szCs w:val="23"/>
        </w:rPr>
      </w:pPr>
      <w:r w:rsidRPr="00904FE8">
        <w:rPr>
          <w:sz w:val="23"/>
          <w:szCs w:val="23"/>
        </w:rPr>
        <w:t>Entre la información obtenida de fuentes externas al Instituto, se destaca la que fue suministrada por la Secretaría de Agricultura y Desarrollo Rural (SADER), que a través del Servicio de Información Agroalimentaria y Pesquera (SIAP) proporcionó datos de los anuarios de la agricultura, ganadería, acuacultura y pesca. Por su parte, la Secretaría del Medio Ambiente y Recursos Naturales (SEMARNAT) facilitó información sobre el subsector forestal.</w:t>
      </w:r>
    </w:p>
    <w:p w14:paraId="6E0DEBAA" w14:textId="77777777" w:rsidR="00904FE8" w:rsidRDefault="00904FE8" w:rsidP="00904FE8">
      <w:pPr>
        <w:pStyle w:val="Textoindependiente"/>
        <w:spacing w:before="0"/>
        <w:ind w:left="-567" w:right="-516"/>
        <w:rPr>
          <w:sz w:val="23"/>
          <w:szCs w:val="23"/>
        </w:rPr>
      </w:pPr>
    </w:p>
    <w:p w14:paraId="2716C9FA" w14:textId="77777777" w:rsidR="00904FE8" w:rsidRPr="00904FE8" w:rsidRDefault="00904FE8" w:rsidP="00904FE8">
      <w:pPr>
        <w:pStyle w:val="Textoindependiente"/>
        <w:spacing w:before="0"/>
        <w:ind w:left="-567" w:right="-516"/>
        <w:rPr>
          <w:sz w:val="23"/>
          <w:szCs w:val="23"/>
        </w:rPr>
      </w:pPr>
    </w:p>
    <w:p w14:paraId="304F40FB" w14:textId="77777777" w:rsidR="00904FE8" w:rsidRDefault="00904FE8" w:rsidP="00904FE8">
      <w:pPr>
        <w:pStyle w:val="Textoindependiente"/>
        <w:spacing w:before="0"/>
        <w:ind w:left="-567" w:right="-516"/>
        <w:rPr>
          <w:sz w:val="23"/>
          <w:szCs w:val="23"/>
        </w:rPr>
      </w:pPr>
    </w:p>
    <w:p w14:paraId="6B7CA9C2" w14:textId="77777777" w:rsidR="00904FE8" w:rsidRDefault="00904FE8" w:rsidP="00904FE8">
      <w:pPr>
        <w:pStyle w:val="Textoindependiente"/>
        <w:spacing w:before="0"/>
        <w:ind w:left="-567" w:right="-516"/>
        <w:rPr>
          <w:sz w:val="23"/>
          <w:szCs w:val="23"/>
        </w:rPr>
      </w:pPr>
    </w:p>
    <w:p w14:paraId="288969BE" w14:textId="77777777" w:rsidR="001F51A6" w:rsidRDefault="001F51A6" w:rsidP="00904FE8">
      <w:pPr>
        <w:pStyle w:val="Textoindependiente"/>
        <w:spacing w:before="0"/>
        <w:ind w:left="-567" w:right="-516"/>
        <w:rPr>
          <w:sz w:val="23"/>
          <w:szCs w:val="23"/>
        </w:rPr>
      </w:pPr>
      <w:r w:rsidRPr="00904FE8">
        <w:rPr>
          <w:sz w:val="23"/>
          <w:szCs w:val="23"/>
        </w:rPr>
        <w:t>La Secretaría de Economía, a través del Servicio Geológico Mexicano, suministró datos de la minería mexicana. Mención especial merece el cálculo de la extracción de petróleo crudo y gas natural, puesto que PEMEX suministró información de registros administrativos asociados con toda la industria petrolera para cada una de las actividades que realiza. Ésta se complementa con los datos de la Comisión Nacional de Hidrocarburos (CNH), tanto para la extracción de petróleo crudo y gas natural, como para las actividades de prospección.</w:t>
      </w:r>
    </w:p>
    <w:p w14:paraId="3AAA7803" w14:textId="77777777" w:rsidR="00904FE8" w:rsidRPr="00904FE8" w:rsidRDefault="00904FE8" w:rsidP="00904FE8">
      <w:pPr>
        <w:pStyle w:val="Textoindependiente"/>
        <w:spacing w:before="0"/>
        <w:ind w:left="-567" w:right="-516"/>
        <w:rPr>
          <w:sz w:val="23"/>
          <w:szCs w:val="23"/>
        </w:rPr>
      </w:pPr>
    </w:p>
    <w:p w14:paraId="38CAEAB3" w14:textId="77777777" w:rsidR="001F51A6" w:rsidRDefault="001F51A6" w:rsidP="00904FE8">
      <w:pPr>
        <w:pStyle w:val="Textoindependiente"/>
        <w:spacing w:before="0"/>
        <w:ind w:left="-567" w:right="-516"/>
        <w:rPr>
          <w:sz w:val="23"/>
          <w:szCs w:val="23"/>
        </w:rPr>
      </w:pPr>
      <w:r w:rsidRPr="00904FE8">
        <w:rPr>
          <w:sz w:val="23"/>
          <w:szCs w:val="23"/>
        </w:rPr>
        <w:t>La Comisión Federal de Electricidad (CFE) y la Compañía de Luz y Fuerza del Centro (</w:t>
      </w:r>
      <w:proofErr w:type="spellStart"/>
      <w:r w:rsidRPr="00904FE8">
        <w:rPr>
          <w:sz w:val="23"/>
          <w:szCs w:val="23"/>
        </w:rPr>
        <w:t>CLyFC</w:t>
      </w:r>
      <w:proofErr w:type="spellEnd"/>
      <w:r w:rsidRPr="00904FE8">
        <w:rPr>
          <w:sz w:val="23"/>
          <w:szCs w:val="23"/>
        </w:rPr>
        <w:t xml:space="preserve">) -hasta su extinción en el mes de octubre de 2009-, proporcionaron estadísticas de ventas de energía eléctrica, el Centro Nacional de Control de Energía (CENACE) que proporcionó datos sobre la generación neta de electricidad, pública y privada, inyectada al Sistema Eléctrico Nacional; también se contó con registros administrativos de la Comisión Reguladora de Energía (CRE), que facilitó los volúmenes de generación de electricidad emprendida por permisionarios privados. La Secretaría de Energía (SENER) dio información del suministro de gas por ductos al consumidor final y la Comisión Nacional del Agua (CONAGUA), sobre la recaudación de los organismos operadores de agua municipales. También se consultaron estadísticas de vivienda, proporcionadas por la Comisión Nacional de Vivienda (CONAVI). </w:t>
      </w:r>
    </w:p>
    <w:p w14:paraId="5B9AA62C" w14:textId="77777777" w:rsidR="00904FE8" w:rsidRPr="00904FE8" w:rsidRDefault="00904FE8" w:rsidP="00904FE8">
      <w:pPr>
        <w:pStyle w:val="Textoindependiente"/>
        <w:spacing w:before="0"/>
        <w:ind w:left="-567" w:right="-516"/>
        <w:rPr>
          <w:sz w:val="23"/>
          <w:szCs w:val="23"/>
        </w:rPr>
      </w:pPr>
    </w:p>
    <w:p w14:paraId="56E5DB52" w14:textId="77777777" w:rsidR="001F51A6" w:rsidRDefault="001F51A6" w:rsidP="00904FE8">
      <w:pPr>
        <w:pStyle w:val="Textoindependiente"/>
        <w:spacing w:before="0"/>
        <w:ind w:left="-567" w:right="-516"/>
        <w:rPr>
          <w:sz w:val="23"/>
          <w:szCs w:val="23"/>
        </w:rPr>
      </w:pPr>
      <w:r w:rsidRPr="00904FE8">
        <w:rPr>
          <w:sz w:val="23"/>
          <w:szCs w:val="23"/>
        </w:rPr>
        <w:t>El Instituto Mexicano del Seguro Social (IMSS) facilitó información de asegurados permanentes y eventuales, por fracción de actividad económica y entidad federativa. La Secretaría de Comunicaciones y Transportes (SCT) suministró datos detallados del transporte terrestre, aéreo y marítimo del país, así como información sobre las telecomunicaciones.</w:t>
      </w:r>
    </w:p>
    <w:p w14:paraId="4B1BC3DC" w14:textId="77777777" w:rsidR="00904FE8" w:rsidRPr="00904FE8" w:rsidRDefault="00904FE8" w:rsidP="00904FE8">
      <w:pPr>
        <w:pStyle w:val="Textoindependiente"/>
        <w:spacing w:before="0"/>
        <w:ind w:left="-567" w:right="-516"/>
        <w:rPr>
          <w:sz w:val="23"/>
          <w:szCs w:val="23"/>
        </w:rPr>
      </w:pPr>
    </w:p>
    <w:p w14:paraId="0335BE6B" w14:textId="77777777" w:rsidR="001F51A6" w:rsidRDefault="001F51A6" w:rsidP="00904FE8">
      <w:pPr>
        <w:pStyle w:val="Textoindependiente"/>
        <w:spacing w:before="0"/>
        <w:ind w:left="-567" w:right="-516"/>
        <w:rPr>
          <w:sz w:val="23"/>
          <w:szCs w:val="23"/>
        </w:rPr>
      </w:pPr>
      <w:r w:rsidRPr="00904FE8">
        <w:rPr>
          <w:sz w:val="23"/>
          <w:szCs w:val="23"/>
        </w:rPr>
        <w:t>Por su parte, el Banco de México, la Comisión Nacional Bancaria y de Valores (CNBV) y la Comisión Nacional de Seguros y Fianzas (CNSF), aportaron datos de la banca comercial y de las instituciones de seguros. La Secretaría de Educación Pública (SEP) hizo llegar datos asociados al sector educativo desde preescolar hasta posgrado; también se consultaron estadísticas de los servicios médicos proporcionadas por el Instituto Mexicano del Seguro Social (IMSS), el Instituto de Seguridad y Servicios Sociales de los Trabajadores del Estado (ISSSTE) y de diversos organismos de la seguridad social en los estados; de la Secretaría de Turismo (SECTUR) se consultaron estadísticas sobre hoteles y restaurantes.</w:t>
      </w:r>
    </w:p>
    <w:p w14:paraId="3FD6CD23" w14:textId="77777777" w:rsidR="00904FE8" w:rsidRPr="00904FE8" w:rsidRDefault="00904FE8" w:rsidP="00904FE8">
      <w:pPr>
        <w:pStyle w:val="Textoindependiente"/>
        <w:spacing w:before="0"/>
        <w:ind w:left="-567" w:right="-516"/>
        <w:rPr>
          <w:sz w:val="23"/>
          <w:szCs w:val="23"/>
        </w:rPr>
      </w:pPr>
    </w:p>
    <w:p w14:paraId="2E888F62" w14:textId="77777777" w:rsidR="001F51A6" w:rsidRDefault="001F51A6" w:rsidP="00904FE8">
      <w:pPr>
        <w:pStyle w:val="p0"/>
        <w:keepLines w:val="0"/>
        <w:spacing w:before="0"/>
        <w:ind w:left="-567" w:right="-516"/>
        <w:rPr>
          <w:sz w:val="23"/>
          <w:szCs w:val="23"/>
        </w:rPr>
      </w:pPr>
      <w:r w:rsidRPr="00904FE8">
        <w:rPr>
          <w:sz w:val="23"/>
          <w:szCs w:val="23"/>
        </w:rPr>
        <w:t>Para los cálculos del Sector Público se consultaron las Cuentas de la Hacienda Pública tanto del Gobierno Federal como las de los Gobiernos Locales (Estatales), de registros administrativos de los tres ámbitos de Gobierno: Federal, Estatal y Municipal, así como información de los estados financieros de Empresas Públicas, Organismos Descentralizados e Instituciones de Seguridad Social.</w:t>
      </w:r>
    </w:p>
    <w:p w14:paraId="47F18103" w14:textId="77777777" w:rsidR="00904FE8" w:rsidRPr="00904FE8" w:rsidRDefault="00904FE8" w:rsidP="00904FE8">
      <w:pPr>
        <w:pStyle w:val="p0"/>
        <w:keepLines w:val="0"/>
        <w:spacing w:before="0"/>
        <w:ind w:left="-567" w:right="-516"/>
        <w:rPr>
          <w:sz w:val="23"/>
          <w:szCs w:val="23"/>
        </w:rPr>
      </w:pPr>
    </w:p>
    <w:p w14:paraId="16EF24D6" w14:textId="77777777" w:rsidR="001F51A6" w:rsidRDefault="001F51A6" w:rsidP="00904FE8">
      <w:pPr>
        <w:ind w:left="-567" w:right="-516"/>
        <w:jc w:val="both"/>
        <w:rPr>
          <w:rFonts w:ascii="Arial" w:hAnsi="Arial"/>
          <w:sz w:val="23"/>
          <w:szCs w:val="23"/>
        </w:rPr>
      </w:pPr>
      <w:r w:rsidRPr="00904FE8">
        <w:rPr>
          <w:rFonts w:ascii="Arial" w:hAnsi="Arial"/>
          <w:sz w:val="23"/>
          <w:szCs w:val="23"/>
        </w:rPr>
        <w:t>Es importante destacar que, en los cálculos del año base 2013, los Servicios de Intermediación Financiera Medidos Indirectamente (SIFMI) se asignaron por actividad económica, siguiendo las recomendaciones del Manual del Sistema de Cuentas Nacionales 2008.</w:t>
      </w:r>
    </w:p>
    <w:p w14:paraId="6F64E9ED" w14:textId="77777777" w:rsidR="00904FE8" w:rsidRPr="00904FE8" w:rsidRDefault="00904FE8" w:rsidP="00904FE8">
      <w:pPr>
        <w:ind w:left="-567" w:right="-516"/>
        <w:jc w:val="both"/>
        <w:rPr>
          <w:rFonts w:ascii="Arial" w:hAnsi="Arial"/>
          <w:sz w:val="23"/>
          <w:szCs w:val="23"/>
        </w:rPr>
      </w:pPr>
    </w:p>
    <w:p w14:paraId="0D6F0E2E" w14:textId="77777777" w:rsidR="001F51A6" w:rsidRPr="00904FE8" w:rsidRDefault="001F51A6" w:rsidP="00904FE8">
      <w:pPr>
        <w:pStyle w:val="p0"/>
        <w:keepLines w:val="0"/>
        <w:spacing w:before="0"/>
        <w:ind w:left="-567" w:right="-516"/>
        <w:rPr>
          <w:sz w:val="23"/>
          <w:szCs w:val="23"/>
        </w:rPr>
      </w:pPr>
      <w:r w:rsidRPr="00904FE8">
        <w:rPr>
          <w:sz w:val="23"/>
          <w:szCs w:val="23"/>
        </w:rPr>
        <w:t xml:space="preserve">Finalmente, la información contenida aquí representa sólo una muestra de este acervo informativo que puede ser consultado en la página del Instituto en </w:t>
      </w:r>
      <w:r w:rsidR="00904FE8">
        <w:rPr>
          <w:sz w:val="23"/>
          <w:szCs w:val="23"/>
        </w:rPr>
        <w:t>i</w:t>
      </w:r>
      <w:r w:rsidRPr="00904FE8">
        <w:rPr>
          <w:sz w:val="23"/>
          <w:szCs w:val="23"/>
        </w:rPr>
        <w:t>nternet</w:t>
      </w:r>
      <w:r w:rsidR="00904FE8">
        <w:rPr>
          <w:sz w:val="23"/>
          <w:szCs w:val="23"/>
        </w:rPr>
        <w:t>:</w:t>
      </w:r>
    </w:p>
    <w:p w14:paraId="787FAF88" w14:textId="77777777" w:rsidR="001F51A6" w:rsidRPr="00904FE8" w:rsidRDefault="001D1114" w:rsidP="00904FE8">
      <w:pPr>
        <w:ind w:left="-567" w:right="-516"/>
        <w:rPr>
          <w:sz w:val="23"/>
          <w:szCs w:val="23"/>
        </w:rPr>
      </w:pPr>
      <w:hyperlink r:id="rId15" w:history="1">
        <w:r w:rsidR="001F51A6" w:rsidRPr="00904FE8">
          <w:rPr>
            <w:rStyle w:val="Hipervnculo"/>
            <w:rFonts w:ascii="Arial" w:hAnsi="Arial"/>
            <w:sz w:val="23"/>
            <w:szCs w:val="23"/>
          </w:rPr>
          <w:t>https://www.inegi.org.mx/programas/pibent/2013/</w:t>
        </w:r>
      </w:hyperlink>
      <w:r w:rsidR="001F51A6" w:rsidRPr="00904FE8">
        <w:rPr>
          <w:rStyle w:val="Hipervnculo"/>
          <w:rFonts w:ascii="Arial" w:hAnsi="Arial"/>
          <w:sz w:val="23"/>
          <w:szCs w:val="23"/>
        </w:rPr>
        <w:t xml:space="preserve"> </w:t>
      </w:r>
    </w:p>
    <w:p w14:paraId="557DF6C8" w14:textId="77777777" w:rsidR="00FB45D7" w:rsidRPr="00236EDD" w:rsidRDefault="00FB45D7" w:rsidP="00904FE8">
      <w:pPr>
        <w:ind w:left="-567" w:right="-516"/>
        <w:rPr>
          <w:rFonts w:ascii="Arial" w:hAnsi="Arial" w:cs="Arial"/>
          <w:sz w:val="24"/>
          <w:szCs w:val="24"/>
        </w:rPr>
      </w:pPr>
    </w:p>
    <w:sectPr w:rsidR="00FB45D7" w:rsidRPr="00236EDD" w:rsidSect="00BB4632">
      <w:headerReference w:type="default" r:id="rId16"/>
      <w:type w:val="continuous"/>
      <w:pgSz w:w="12240" w:h="15840"/>
      <w:pgMar w:top="1418" w:right="1701" w:bottom="709" w:left="1701" w:header="426" w:footer="43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603EC8" w14:textId="77777777" w:rsidR="001D1114" w:rsidRDefault="001D1114" w:rsidP="001F51A6">
      <w:r>
        <w:separator/>
      </w:r>
    </w:p>
  </w:endnote>
  <w:endnote w:type="continuationSeparator" w:id="0">
    <w:p w14:paraId="2E891453" w14:textId="77777777" w:rsidR="001D1114" w:rsidRDefault="001D1114" w:rsidP="001F5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1)">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D4A3BA" w14:textId="711955BD" w:rsidR="001C7AC0" w:rsidRPr="001C7AC0" w:rsidRDefault="001C7AC0" w:rsidP="001C7AC0">
    <w:pPr>
      <w:pStyle w:val="Piedepgina"/>
      <w:tabs>
        <w:tab w:val="clear" w:pos="4419"/>
        <w:tab w:val="clear" w:pos="8838"/>
      </w:tabs>
      <w:ind w:left="-567" w:right="-518"/>
      <w:jc w:val="center"/>
      <w:rPr>
        <w:rFonts w:ascii="Arial" w:hAnsi="Arial" w:cs="Arial"/>
        <w:b/>
        <w:color w:val="002060"/>
      </w:rPr>
    </w:pPr>
    <w:r w:rsidRPr="001C7AC0">
      <w:rPr>
        <w:rFonts w:ascii="Arial" w:hAnsi="Arial" w:cs="Arial"/>
        <w:b/>
        <w:color w:val="002060"/>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4D6156" w14:textId="77777777" w:rsidR="001D1114" w:rsidRDefault="001D1114" w:rsidP="001F51A6">
      <w:r>
        <w:separator/>
      </w:r>
    </w:p>
  </w:footnote>
  <w:footnote w:type="continuationSeparator" w:id="0">
    <w:p w14:paraId="53FAA517" w14:textId="77777777" w:rsidR="001D1114" w:rsidRDefault="001D1114" w:rsidP="001F51A6">
      <w:r>
        <w:continuationSeparator/>
      </w:r>
    </w:p>
  </w:footnote>
  <w:footnote w:id="1">
    <w:p w14:paraId="414DBE10" w14:textId="77777777" w:rsidR="00925940" w:rsidRDefault="00925940" w:rsidP="00925940">
      <w:pPr>
        <w:pStyle w:val="Textonotapie"/>
        <w:ind w:left="-426" w:right="-263" w:hanging="141"/>
        <w:jc w:val="both"/>
        <w:rPr>
          <w:rFonts w:ascii="Arial" w:hAnsi="Arial" w:cs="Arial"/>
          <w:sz w:val="16"/>
          <w:szCs w:val="16"/>
        </w:rPr>
      </w:pPr>
      <w:r w:rsidRPr="00577E27">
        <w:rPr>
          <w:rStyle w:val="Refdenotaalpie"/>
          <w:rFonts w:ascii="Arial" w:hAnsi="Arial"/>
          <w:sz w:val="16"/>
          <w:szCs w:val="16"/>
        </w:rPr>
        <w:footnoteRef/>
      </w:r>
      <w:r w:rsidRPr="00577E27">
        <w:rPr>
          <w:sz w:val="16"/>
          <w:szCs w:val="16"/>
        </w:rPr>
        <w:tab/>
      </w:r>
      <w:r w:rsidRPr="00577E27">
        <w:rPr>
          <w:rFonts w:ascii="Arial" w:hAnsi="Arial" w:cs="Arial"/>
          <w:sz w:val="16"/>
          <w:szCs w:val="16"/>
        </w:rPr>
        <w:t>Se excluyen los impuestos netos a los productos.</w:t>
      </w:r>
    </w:p>
    <w:p w14:paraId="5E814B32" w14:textId="77777777" w:rsidR="00925940" w:rsidRDefault="00925940" w:rsidP="00925940">
      <w:pPr>
        <w:pStyle w:val="Textonotapie"/>
        <w:ind w:left="142" w:right="-263" w:hanging="142"/>
        <w:jc w:val="both"/>
        <w:rPr>
          <w:rFonts w:ascii="Arial" w:hAnsi="Arial" w:cs="Arial"/>
          <w:sz w:val="16"/>
          <w:szCs w:val="16"/>
        </w:rPr>
      </w:pPr>
    </w:p>
    <w:p w14:paraId="212E9FC6" w14:textId="77777777" w:rsidR="00925940" w:rsidRPr="00577E27" w:rsidRDefault="00925940" w:rsidP="00925940">
      <w:pPr>
        <w:pStyle w:val="Textonotapie"/>
        <w:ind w:left="142" w:hanging="142"/>
        <w:jc w:val="both"/>
        <w:rPr>
          <w:sz w:val="16"/>
          <w:szCs w:val="16"/>
        </w:rPr>
      </w:pPr>
    </w:p>
  </w:footnote>
  <w:footnote w:id="2">
    <w:p w14:paraId="14B423E8" w14:textId="77777777" w:rsidR="001F51A6" w:rsidRPr="00577E27" w:rsidRDefault="001F51A6" w:rsidP="00951D69">
      <w:pPr>
        <w:pStyle w:val="Textonotapie"/>
        <w:ind w:left="-426" w:right="-518" w:hanging="141"/>
        <w:jc w:val="both"/>
        <w:rPr>
          <w:sz w:val="16"/>
          <w:szCs w:val="16"/>
        </w:rPr>
      </w:pPr>
      <w:r w:rsidRPr="00577E27">
        <w:rPr>
          <w:rStyle w:val="Refdenotaalpie"/>
          <w:rFonts w:ascii="Arial" w:hAnsi="Arial"/>
          <w:sz w:val="16"/>
          <w:szCs w:val="16"/>
        </w:rPr>
        <w:footnoteRef/>
      </w:r>
      <w:r w:rsidRPr="00577E27">
        <w:rPr>
          <w:sz w:val="16"/>
          <w:szCs w:val="16"/>
        </w:rPr>
        <w:tab/>
      </w:r>
      <w:r w:rsidRPr="00240508">
        <w:rPr>
          <w:rFonts w:ascii="Arial" w:hAnsi="Arial" w:cs="Arial"/>
          <w:sz w:val="16"/>
          <w:szCs w:val="16"/>
        </w:rPr>
        <w:t xml:space="preserve">Para Campeche la Extracción de petróleo y gas, y la Perforación de pozos petroleros y de gas, representaron </w:t>
      </w:r>
      <w:r>
        <w:rPr>
          <w:rFonts w:ascii="Arial" w:hAnsi="Arial" w:cs="Arial"/>
          <w:sz w:val="16"/>
          <w:szCs w:val="16"/>
        </w:rPr>
        <w:t>91</w:t>
      </w:r>
      <w:r w:rsidRPr="00240508">
        <w:rPr>
          <w:rFonts w:ascii="Arial" w:hAnsi="Arial" w:cs="Arial"/>
          <w:sz w:val="16"/>
          <w:szCs w:val="16"/>
        </w:rPr>
        <w:t xml:space="preserve">% del total de las actividades secundarias; mientras que en Tabasco estas actividades aportaron </w:t>
      </w:r>
      <w:r>
        <w:rPr>
          <w:rFonts w:ascii="Arial" w:hAnsi="Arial" w:cs="Arial"/>
          <w:sz w:val="16"/>
          <w:szCs w:val="16"/>
        </w:rPr>
        <w:t>78.1</w:t>
      </w:r>
      <w:r w:rsidRPr="00240508">
        <w:rPr>
          <w:rFonts w:ascii="Arial" w:hAnsi="Arial" w:cs="Arial"/>
          <w:sz w:val="16"/>
          <w:szCs w:val="16"/>
        </w:rPr>
        <w:t>% del total de su actividad secundaria.</w:t>
      </w:r>
    </w:p>
  </w:footnote>
  <w:footnote w:id="3">
    <w:p w14:paraId="5DD23EDD" w14:textId="77777777" w:rsidR="001F51A6" w:rsidRPr="00577E27" w:rsidRDefault="001F51A6" w:rsidP="00951D69">
      <w:pPr>
        <w:pStyle w:val="Textonotapie"/>
        <w:tabs>
          <w:tab w:val="left" w:pos="142"/>
        </w:tabs>
        <w:ind w:left="-426" w:right="-518" w:hanging="141"/>
        <w:jc w:val="both"/>
        <w:rPr>
          <w:sz w:val="16"/>
          <w:szCs w:val="16"/>
          <w:lang w:val="es-MX"/>
        </w:rPr>
      </w:pPr>
      <w:r w:rsidRPr="00577E27">
        <w:rPr>
          <w:rStyle w:val="Refdenotaalpie"/>
          <w:rFonts w:ascii="Arial" w:hAnsi="Arial"/>
          <w:sz w:val="16"/>
          <w:szCs w:val="16"/>
        </w:rPr>
        <w:footnoteRef/>
      </w:r>
      <w:r w:rsidRPr="00577E27">
        <w:rPr>
          <w:b/>
          <w:sz w:val="16"/>
          <w:szCs w:val="16"/>
        </w:rPr>
        <w:tab/>
      </w:r>
      <w:r w:rsidRPr="00577E27">
        <w:rPr>
          <w:rFonts w:ascii="Arial" w:hAnsi="Arial" w:cs="Arial"/>
          <w:sz w:val="16"/>
          <w:szCs w:val="16"/>
        </w:rPr>
        <w:t>La minería petrolera se conforma por la Extracción de petróleo y gas, y la Perforación de pozos petroleros y de gas.</w:t>
      </w:r>
    </w:p>
  </w:footnote>
  <w:footnote w:id="4">
    <w:p w14:paraId="65C29E57" w14:textId="77777777" w:rsidR="001F51A6" w:rsidRPr="00577E27" w:rsidRDefault="001F51A6" w:rsidP="00EF1ADC">
      <w:pPr>
        <w:pStyle w:val="Textonotapie"/>
        <w:ind w:left="-426" w:right="-518" w:hanging="141"/>
        <w:jc w:val="both"/>
        <w:rPr>
          <w:sz w:val="16"/>
          <w:szCs w:val="16"/>
          <w:lang w:val="es-MX"/>
        </w:rPr>
      </w:pPr>
      <w:r w:rsidRPr="00577E27">
        <w:rPr>
          <w:rStyle w:val="Refdenotaalpie"/>
          <w:rFonts w:ascii="Arial" w:hAnsi="Arial"/>
          <w:sz w:val="16"/>
          <w:szCs w:val="16"/>
        </w:rPr>
        <w:footnoteRef/>
      </w:r>
      <w:r w:rsidRPr="00577E27">
        <w:rPr>
          <w:sz w:val="16"/>
          <w:szCs w:val="16"/>
        </w:rPr>
        <w:t xml:space="preserve"> </w:t>
      </w:r>
      <w:r w:rsidRPr="00577E27">
        <w:rPr>
          <w:sz w:val="16"/>
          <w:szCs w:val="16"/>
        </w:rPr>
        <w:tab/>
      </w:r>
      <w:r w:rsidRPr="00577E27">
        <w:rPr>
          <w:rFonts w:ascii="Arial" w:hAnsi="Arial" w:cs="Arial"/>
          <w:sz w:val="16"/>
          <w:szCs w:val="16"/>
        </w:rPr>
        <w:t>Incluye: comercio; transportes, correos, y almacenamiento; información en medios masivos; servicios financieros y de seguros; servicios inmobiliarios y de alquiler de bienes muebles e intangibles; servicios profesionales, científicos y técnicos; corporativos; servicios de apoyo a los negocios y manejo de desechos y servicios de remediación; servicios educativos; servicios de salud y de asistencia social; servicios de esparcimiento, culturales y deportivos, y otros servicios recreativos; servicios de alojamiento temporal y de preparación de alimentos y bebidas; otros servicios excepto actividades del gobierno, y actividades legislativas, gubernamentales, de impartición de justicia y de organismos internacionales y extraterritoriales.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062494" w14:textId="1F557CF6" w:rsidR="00594109" w:rsidRPr="00594109" w:rsidRDefault="00594109" w:rsidP="00594109">
    <w:pPr>
      <w:pStyle w:val="Encabezado"/>
      <w:framePr w:w="5529" w:h="871" w:hRule="exact" w:hSpace="141" w:wrap="auto" w:vAnchor="text" w:hAnchor="page" w:x="5590" w:y="130"/>
      <w:ind w:left="567" w:hanging="11"/>
      <w:jc w:val="right"/>
      <w:rPr>
        <w:rFonts w:ascii="Arial" w:hAnsi="Arial" w:cs="Arial"/>
        <w:b/>
        <w:color w:val="002060"/>
        <w:sz w:val="24"/>
        <w:szCs w:val="24"/>
        <w:lang w:val="pt-BR"/>
      </w:rPr>
    </w:pPr>
    <w:r w:rsidRPr="00594109">
      <w:rPr>
        <w:rFonts w:ascii="Arial" w:hAnsi="Arial" w:cs="Arial"/>
        <w:b/>
        <w:color w:val="002060"/>
        <w:sz w:val="24"/>
        <w:szCs w:val="24"/>
      </w:rPr>
      <w:t>COMUNICADO DE PRENSA NÚM. 72</w:t>
    </w:r>
    <w:r w:rsidR="00AB5797">
      <w:rPr>
        <w:rFonts w:ascii="Arial" w:hAnsi="Arial" w:cs="Arial"/>
        <w:b/>
        <w:color w:val="002060"/>
        <w:sz w:val="24"/>
        <w:szCs w:val="24"/>
      </w:rPr>
      <w:t>7</w:t>
    </w:r>
    <w:r w:rsidRPr="00594109">
      <w:rPr>
        <w:rFonts w:ascii="Arial" w:hAnsi="Arial" w:cs="Arial"/>
        <w:b/>
        <w:color w:val="002060"/>
        <w:sz w:val="24"/>
        <w:szCs w:val="24"/>
      </w:rPr>
      <w:t>/21</w:t>
    </w:r>
  </w:p>
  <w:p w14:paraId="57B5FBC2" w14:textId="537F0B63" w:rsidR="00594109" w:rsidRPr="00594109" w:rsidRDefault="00594109" w:rsidP="00594109">
    <w:pPr>
      <w:pStyle w:val="Encabezado"/>
      <w:framePr w:w="5529" w:h="871" w:hRule="exact" w:hSpace="141" w:wrap="auto" w:vAnchor="text" w:hAnchor="page" w:x="5590" w:y="130"/>
      <w:ind w:left="567" w:hanging="11"/>
      <w:jc w:val="right"/>
      <w:rPr>
        <w:rFonts w:ascii="Arial" w:hAnsi="Arial" w:cs="Arial"/>
        <w:b/>
        <w:color w:val="002060"/>
        <w:sz w:val="24"/>
        <w:szCs w:val="24"/>
      </w:rPr>
    </w:pPr>
    <w:r>
      <w:rPr>
        <w:rFonts w:ascii="Arial" w:hAnsi="Arial" w:cs="Arial"/>
        <w:b/>
        <w:color w:val="002060"/>
        <w:sz w:val="24"/>
        <w:szCs w:val="24"/>
        <w:lang w:val="pt-BR"/>
      </w:rPr>
      <w:t>9</w:t>
    </w:r>
    <w:r w:rsidRPr="00594109">
      <w:rPr>
        <w:rFonts w:ascii="Arial" w:hAnsi="Arial" w:cs="Arial"/>
        <w:b/>
        <w:color w:val="002060"/>
        <w:sz w:val="24"/>
        <w:szCs w:val="24"/>
        <w:lang w:val="pt-BR"/>
      </w:rPr>
      <w:t xml:space="preserve"> DE DICIEMBRE DE 2021</w:t>
    </w:r>
  </w:p>
  <w:p w14:paraId="7B8831F1" w14:textId="1D74F922" w:rsidR="00594109" w:rsidRPr="00594109" w:rsidRDefault="00594109" w:rsidP="00594109">
    <w:pPr>
      <w:pStyle w:val="Encabezado"/>
      <w:framePr w:w="5529" w:h="871" w:hRule="exact" w:hSpace="141" w:wrap="auto" w:vAnchor="text" w:hAnchor="page" w:x="5590" w:y="130"/>
      <w:ind w:left="567" w:hanging="11"/>
      <w:jc w:val="right"/>
      <w:rPr>
        <w:rFonts w:ascii="Arial" w:hAnsi="Arial" w:cs="Arial"/>
        <w:b/>
        <w:color w:val="002060"/>
        <w:sz w:val="24"/>
        <w:szCs w:val="24"/>
        <w:lang w:val="pt-BR"/>
      </w:rPr>
    </w:pPr>
    <w:r w:rsidRPr="00594109">
      <w:rPr>
        <w:rFonts w:ascii="Arial" w:hAnsi="Arial" w:cs="Arial"/>
        <w:b/>
        <w:color w:val="002060"/>
        <w:sz w:val="24"/>
        <w:szCs w:val="24"/>
        <w:lang w:val="pt-BR"/>
      </w:rPr>
      <w:t xml:space="preserve">PÁGINA </w:t>
    </w:r>
    <w:r w:rsidRPr="00594109">
      <w:rPr>
        <w:rFonts w:ascii="Arial" w:hAnsi="Arial" w:cs="Arial"/>
        <w:b/>
        <w:color w:val="002060"/>
        <w:sz w:val="24"/>
        <w:szCs w:val="24"/>
      </w:rPr>
      <w:fldChar w:fldCharType="begin"/>
    </w:r>
    <w:r w:rsidRPr="00594109">
      <w:rPr>
        <w:rFonts w:ascii="Arial" w:hAnsi="Arial" w:cs="Arial"/>
        <w:b/>
        <w:color w:val="002060"/>
        <w:sz w:val="24"/>
        <w:szCs w:val="24"/>
        <w:lang w:val="pt-BR"/>
      </w:rPr>
      <w:instrText xml:space="preserve">\PAGE </w:instrText>
    </w:r>
    <w:r w:rsidRPr="00594109">
      <w:rPr>
        <w:rFonts w:ascii="Arial" w:hAnsi="Arial" w:cs="Arial"/>
        <w:color w:val="002060"/>
        <w:sz w:val="24"/>
        <w:szCs w:val="24"/>
      </w:rPr>
      <w:fldChar w:fldCharType="separate"/>
    </w:r>
    <w:r w:rsidRPr="00594109">
      <w:rPr>
        <w:rFonts w:ascii="Arial" w:hAnsi="Arial" w:cs="Arial"/>
        <w:color w:val="002060"/>
        <w:sz w:val="24"/>
        <w:szCs w:val="24"/>
      </w:rPr>
      <w:t>1</w:t>
    </w:r>
    <w:r w:rsidRPr="00594109">
      <w:rPr>
        <w:rFonts w:ascii="Arial" w:hAnsi="Arial" w:cs="Arial"/>
        <w:color w:val="002060"/>
        <w:sz w:val="24"/>
        <w:szCs w:val="24"/>
      </w:rPr>
      <w:fldChar w:fldCharType="end"/>
    </w:r>
    <w:r w:rsidRPr="00594109">
      <w:rPr>
        <w:rFonts w:ascii="Arial" w:hAnsi="Arial" w:cs="Arial"/>
        <w:b/>
        <w:color w:val="002060"/>
        <w:sz w:val="24"/>
        <w:szCs w:val="24"/>
        <w:lang w:val="pt-BR"/>
      </w:rPr>
      <w:t>/</w:t>
    </w:r>
    <w:r>
      <w:rPr>
        <w:rFonts w:ascii="Arial" w:hAnsi="Arial" w:cs="Arial"/>
        <w:b/>
        <w:color w:val="002060"/>
        <w:sz w:val="24"/>
        <w:szCs w:val="24"/>
        <w:lang w:val="pt-BR"/>
      </w:rPr>
      <w:t>2</w:t>
    </w:r>
  </w:p>
  <w:p w14:paraId="32F0DD0B" w14:textId="77777777" w:rsidR="00594109" w:rsidRDefault="00594109" w:rsidP="00594109">
    <w:pPr>
      <w:pStyle w:val="Encabezado"/>
    </w:pPr>
    <w:r>
      <w:rPr>
        <w:noProof/>
      </w:rPr>
      <w:drawing>
        <wp:anchor distT="0" distB="0" distL="114300" distR="114300" simplePos="0" relativeHeight="251659264" behindDoc="0" locked="0" layoutInCell="1" allowOverlap="1" wp14:anchorId="5D5CB773" wp14:editId="500A241D">
          <wp:simplePos x="0" y="0"/>
          <wp:positionH relativeFrom="margin">
            <wp:posOffset>-314325</wp:posOffset>
          </wp:positionH>
          <wp:positionV relativeFrom="margin">
            <wp:posOffset>-885825</wp:posOffset>
          </wp:positionV>
          <wp:extent cx="742950" cy="771728"/>
          <wp:effectExtent l="0" t="0" r="0" b="9525"/>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771728"/>
                  </a:xfrm>
                  <a:prstGeom prst="rect">
                    <a:avLst/>
                  </a:prstGeom>
                  <a:noFill/>
                  <a:ln>
                    <a:noFill/>
                  </a:ln>
                </pic:spPr>
              </pic:pic>
            </a:graphicData>
          </a:graphic>
        </wp:anchor>
      </w:drawing>
    </w:r>
  </w:p>
  <w:p w14:paraId="1E341CA1" w14:textId="307148E4" w:rsidR="00084C81" w:rsidRDefault="00084C81" w:rsidP="00084C81">
    <w:pPr>
      <w:pStyle w:val="Encabezado"/>
      <w:tabs>
        <w:tab w:val="clear" w:pos="4419"/>
        <w:tab w:val="clear" w:pos="8838"/>
      </w:tabs>
      <w:ind w:left="-567" w:right="-518"/>
      <w:jc w:val="center"/>
      <w:rPr>
        <w:noProof/>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59D4D5" w14:textId="77777777" w:rsidR="00594109" w:rsidRDefault="00594109" w:rsidP="00084C81">
    <w:pPr>
      <w:pStyle w:val="Encabezado"/>
      <w:tabs>
        <w:tab w:val="clear" w:pos="4419"/>
        <w:tab w:val="clear" w:pos="8838"/>
      </w:tabs>
      <w:ind w:left="-567" w:right="-518"/>
      <w:jc w:val="center"/>
      <w:rPr>
        <w:noProof/>
      </w:rPr>
    </w:pPr>
    <w:r>
      <w:rPr>
        <w:noProof/>
      </w:rPr>
      <w:drawing>
        <wp:inline distT="0" distB="0" distL="0" distR="0" wp14:anchorId="7D46D641" wp14:editId="21966484">
          <wp:extent cx="678606" cy="704850"/>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pic:nvPicPr>
                <pic:blipFill>
                  <a:blip r:embed="rId1">
                    <a:extLst>
                      <a:ext uri="{28A0092B-C50C-407E-A947-70E740481C1C}">
                        <a14:useLocalDpi xmlns:a14="http://schemas.microsoft.com/office/drawing/2010/main" val="0"/>
                      </a:ext>
                    </a:extLst>
                  </a:blip>
                  <a:stretch>
                    <a:fillRect/>
                  </a:stretch>
                </pic:blipFill>
                <pic:spPr>
                  <a:xfrm>
                    <a:off x="0" y="0"/>
                    <a:ext cx="686623" cy="71317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D9E4E87"/>
    <w:multiLevelType w:val="hybridMultilevel"/>
    <w:tmpl w:val="B1D24306"/>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1A6"/>
    <w:rsid w:val="00084C81"/>
    <w:rsid w:val="00142E08"/>
    <w:rsid w:val="001C7AC0"/>
    <w:rsid w:val="001D1114"/>
    <w:rsid w:val="001F51A6"/>
    <w:rsid w:val="00236EDD"/>
    <w:rsid w:val="00241D65"/>
    <w:rsid w:val="0036047B"/>
    <w:rsid w:val="004E231E"/>
    <w:rsid w:val="005827E8"/>
    <w:rsid w:val="00594109"/>
    <w:rsid w:val="009027E4"/>
    <w:rsid w:val="00904FE8"/>
    <w:rsid w:val="009100C9"/>
    <w:rsid w:val="00925940"/>
    <w:rsid w:val="0093345D"/>
    <w:rsid w:val="00951D69"/>
    <w:rsid w:val="00A10AF5"/>
    <w:rsid w:val="00A1175B"/>
    <w:rsid w:val="00AB5797"/>
    <w:rsid w:val="00AF3502"/>
    <w:rsid w:val="00BB4632"/>
    <w:rsid w:val="00C04D1A"/>
    <w:rsid w:val="00C52817"/>
    <w:rsid w:val="00CB3D91"/>
    <w:rsid w:val="00CB5F96"/>
    <w:rsid w:val="00D41996"/>
    <w:rsid w:val="00DC21AE"/>
    <w:rsid w:val="00DF26E4"/>
    <w:rsid w:val="00E76AA8"/>
    <w:rsid w:val="00EF1ADC"/>
    <w:rsid w:val="00F500B8"/>
    <w:rsid w:val="00F73422"/>
    <w:rsid w:val="00FB45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11697D"/>
  <w15:chartTrackingRefBased/>
  <w15:docId w15:val="{E1951F79-FC2E-494B-BFB1-7B476E8A1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51A6"/>
    <w:pPr>
      <w:spacing w:after="0" w:line="240" w:lineRule="auto"/>
    </w:pPr>
    <w:rPr>
      <w:rFonts w:ascii="Times New Roman" w:eastAsia="Times New Roman" w:hAnsi="Times New Roman" w:cs="Times New Roman"/>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1F51A6"/>
    <w:pPr>
      <w:tabs>
        <w:tab w:val="center" w:pos="4419"/>
        <w:tab w:val="right" w:pos="8838"/>
      </w:tabs>
    </w:pPr>
  </w:style>
  <w:style w:type="character" w:customStyle="1" w:styleId="EncabezadoCar">
    <w:name w:val="Encabezado Car"/>
    <w:basedOn w:val="Fuentedeprrafopredeter"/>
    <w:link w:val="Encabezado"/>
    <w:rsid w:val="001F51A6"/>
    <w:rPr>
      <w:rFonts w:ascii="Times New Roman" w:eastAsia="Times New Roman" w:hAnsi="Times New Roman" w:cs="Times New Roman"/>
      <w:sz w:val="20"/>
      <w:szCs w:val="20"/>
      <w:lang w:val="es-ES_tradnl" w:eastAsia="es-ES"/>
    </w:rPr>
  </w:style>
  <w:style w:type="paragraph" w:customStyle="1" w:styleId="p0">
    <w:name w:val="p0"/>
    <w:basedOn w:val="Normal"/>
    <w:rsid w:val="001F51A6"/>
    <w:pPr>
      <w:keepLines/>
      <w:spacing w:before="240"/>
      <w:jc w:val="both"/>
    </w:pPr>
    <w:rPr>
      <w:rFonts w:ascii="Arial" w:hAnsi="Arial"/>
      <w:sz w:val="24"/>
    </w:rPr>
  </w:style>
  <w:style w:type="paragraph" w:styleId="Textoindependiente">
    <w:name w:val="Body Text"/>
    <w:basedOn w:val="Normal"/>
    <w:link w:val="TextoindependienteCar"/>
    <w:rsid w:val="001F51A6"/>
    <w:pPr>
      <w:tabs>
        <w:tab w:val="center" w:pos="3348"/>
      </w:tabs>
      <w:spacing w:before="240"/>
      <w:jc w:val="both"/>
    </w:pPr>
    <w:rPr>
      <w:rFonts w:ascii="Arial" w:hAnsi="Arial"/>
      <w:sz w:val="24"/>
    </w:rPr>
  </w:style>
  <w:style w:type="character" w:customStyle="1" w:styleId="TextoindependienteCar">
    <w:name w:val="Texto independiente Car"/>
    <w:basedOn w:val="Fuentedeprrafopredeter"/>
    <w:link w:val="Textoindependiente"/>
    <w:rsid w:val="001F51A6"/>
    <w:rPr>
      <w:rFonts w:ascii="Arial" w:eastAsia="Times New Roman" w:hAnsi="Arial" w:cs="Times New Roman"/>
      <w:sz w:val="24"/>
      <w:szCs w:val="20"/>
      <w:lang w:val="es-ES_tradnl" w:eastAsia="es-ES"/>
    </w:rPr>
  </w:style>
  <w:style w:type="paragraph" w:styleId="Textoindependiente2">
    <w:name w:val="Body Text 2"/>
    <w:basedOn w:val="Normal"/>
    <w:link w:val="Textoindependiente2Car"/>
    <w:rsid w:val="001F51A6"/>
    <w:pPr>
      <w:spacing w:before="360"/>
      <w:jc w:val="both"/>
    </w:pPr>
    <w:rPr>
      <w:rFonts w:ascii="Arial" w:hAnsi="Arial"/>
      <w:color w:val="000000"/>
      <w:sz w:val="24"/>
    </w:rPr>
  </w:style>
  <w:style w:type="character" w:customStyle="1" w:styleId="Textoindependiente2Car">
    <w:name w:val="Texto independiente 2 Car"/>
    <w:basedOn w:val="Fuentedeprrafopredeter"/>
    <w:link w:val="Textoindependiente2"/>
    <w:rsid w:val="001F51A6"/>
    <w:rPr>
      <w:rFonts w:ascii="Arial" w:eastAsia="Times New Roman" w:hAnsi="Arial" w:cs="Times New Roman"/>
      <w:color w:val="000000"/>
      <w:sz w:val="24"/>
      <w:szCs w:val="20"/>
      <w:lang w:val="es-ES_tradnl" w:eastAsia="es-ES"/>
    </w:rPr>
  </w:style>
  <w:style w:type="character" w:styleId="Hipervnculo">
    <w:name w:val="Hyperlink"/>
    <w:rsid w:val="001F51A6"/>
    <w:rPr>
      <w:color w:val="0000FF"/>
      <w:u w:val="single"/>
    </w:rPr>
  </w:style>
  <w:style w:type="paragraph" w:styleId="Textonotapie">
    <w:name w:val="footnote text"/>
    <w:basedOn w:val="Normal"/>
    <w:link w:val="TextonotapieCar"/>
    <w:rsid w:val="001F51A6"/>
    <w:rPr>
      <w:lang w:val="es-ES"/>
    </w:rPr>
  </w:style>
  <w:style w:type="character" w:customStyle="1" w:styleId="TextonotapieCar">
    <w:name w:val="Texto nota pie Car"/>
    <w:basedOn w:val="Fuentedeprrafopredeter"/>
    <w:link w:val="Textonotapie"/>
    <w:rsid w:val="001F51A6"/>
    <w:rPr>
      <w:rFonts w:ascii="Times New Roman" w:eastAsia="Times New Roman" w:hAnsi="Times New Roman" w:cs="Times New Roman"/>
      <w:sz w:val="20"/>
      <w:szCs w:val="20"/>
      <w:lang w:val="es-ES" w:eastAsia="es-ES"/>
    </w:rPr>
  </w:style>
  <w:style w:type="character" w:styleId="Refdenotaalpie">
    <w:name w:val="footnote reference"/>
    <w:rsid w:val="001F51A6"/>
    <w:rPr>
      <w:rFonts w:cs="Arial"/>
      <w:b/>
      <w:smallCaps/>
      <w:sz w:val="22"/>
      <w:vertAlign w:val="superscript"/>
      <w:lang w:val="es-MX"/>
    </w:rPr>
  </w:style>
  <w:style w:type="paragraph" w:customStyle="1" w:styleId="n01">
    <w:name w:val="n01"/>
    <w:basedOn w:val="Normal"/>
    <w:rsid w:val="001F51A6"/>
    <w:pPr>
      <w:keepLines/>
      <w:spacing w:before="240"/>
      <w:ind w:left="720" w:hanging="720"/>
      <w:jc w:val="both"/>
    </w:pPr>
    <w:rPr>
      <w:rFonts w:ascii="Univers (W1)" w:hAnsi="Univers (W1)"/>
      <w:color w:val="800080"/>
      <w:sz w:val="24"/>
    </w:rPr>
  </w:style>
  <w:style w:type="paragraph" w:styleId="NormalWeb">
    <w:name w:val="Normal (Web)"/>
    <w:basedOn w:val="Normal"/>
    <w:uiPriority w:val="99"/>
    <w:rsid w:val="001F51A6"/>
    <w:pPr>
      <w:spacing w:before="100" w:beforeAutospacing="1" w:after="100" w:afterAutospacing="1"/>
    </w:pPr>
    <w:rPr>
      <w:rFonts w:ascii="Arial" w:hAnsi="Arial" w:cs="Arial"/>
      <w:color w:val="000000"/>
      <w:sz w:val="16"/>
      <w:szCs w:val="16"/>
      <w:lang w:val="es-ES"/>
    </w:rPr>
  </w:style>
  <w:style w:type="paragraph" w:customStyle="1" w:styleId="consang">
    <w:name w:val="con sang"/>
    <w:basedOn w:val="Normal"/>
    <w:link w:val="consangCar"/>
    <w:qFormat/>
    <w:rsid w:val="001F51A6"/>
    <w:pPr>
      <w:spacing w:after="200" w:line="276" w:lineRule="auto"/>
      <w:ind w:firstLine="426"/>
      <w:jc w:val="both"/>
    </w:pPr>
    <w:rPr>
      <w:rFonts w:eastAsia="Calibri"/>
      <w:sz w:val="24"/>
      <w:szCs w:val="22"/>
      <w:lang w:val="es-MX" w:eastAsia="en-US"/>
    </w:rPr>
  </w:style>
  <w:style w:type="character" w:customStyle="1" w:styleId="consangCar">
    <w:name w:val="con sang Car"/>
    <w:basedOn w:val="Fuentedeprrafopredeter"/>
    <w:link w:val="consang"/>
    <w:rsid w:val="001F51A6"/>
    <w:rPr>
      <w:rFonts w:ascii="Times New Roman" w:eastAsia="Calibri" w:hAnsi="Times New Roman" w:cs="Times New Roman"/>
      <w:sz w:val="24"/>
    </w:rPr>
  </w:style>
  <w:style w:type="paragraph" w:styleId="Piedepgina">
    <w:name w:val="footer"/>
    <w:basedOn w:val="Normal"/>
    <w:link w:val="PiedepginaCar"/>
    <w:uiPriority w:val="99"/>
    <w:unhideWhenUsed/>
    <w:rsid w:val="001F51A6"/>
    <w:pPr>
      <w:tabs>
        <w:tab w:val="center" w:pos="4419"/>
        <w:tab w:val="right" w:pos="8838"/>
      </w:tabs>
    </w:pPr>
  </w:style>
  <w:style w:type="character" w:customStyle="1" w:styleId="PiedepginaCar">
    <w:name w:val="Pie de página Car"/>
    <w:basedOn w:val="Fuentedeprrafopredeter"/>
    <w:link w:val="Piedepgina"/>
    <w:uiPriority w:val="99"/>
    <w:rsid w:val="001F51A6"/>
    <w:rPr>
      <w:rFonts w:ascii="Times New Roman" w:eastAsia="Times New Roman" w:hAnsi="Times New Roman" w:cs="Times New Roman"/>
      <w:sz w:val="20"/>
      <w:szCs w:val="20"/>
      <w:lang w:val="es-ES_tradnl" w:eastAsia="es-ES"/>
    </w:rPr>
  </w:style>
  <w:style w:type="paragraph" w:styleId="Prrafodelista">
    <w:name w:val="List Paragraph"/>
    <w:basedOn w:val="Normal"/>
    <w:uiPriority w:val="34"/>
    <w:qFormat/>
    <w:rsid w:val="00A10A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hyperlink" Target="https://www.inegi.org.mx/programas/pibent/2013/" TargetMode="Externa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3016</Words>
  <Characters>16592</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Comunicado. Producto Interno Bruto por Entidad Federativa 2020</vt:lpstr>
    </vt:vector>
  </TitlesOfParts>
  <Company/>
  <LinksUpToDate>false</LinksUpToDate>
  <CharactersWithSpaces>19569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Producto Interno Bruto por Entidad Federativa 2020</dc:title>
  <dc:subject/>
  <dc:creator>INEGI</dc:creator>
  <cp:keywords/>
  <dc:description/>
  <cp:lastModifiedBy>GUILLEN MEDINA MOISES</cp:lastModifiedBy>
  <cp:revision>8</cp:revision>
  <dcterms:created xsi:type="dcterms:W3CDTF">2021-12-08T15:26:00Z</dcterms:created>
  <dcterms:modified xsi:type="dcterms:W3CDTF">2021-12-09T02:30:00Z</dcterms:modified>
</cp:coreProperties>
</file>