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6CE6F" w14:textId="3CA7FE77" w:rsidR="00086D8C" w:rsidRDefault="00E47F72" w:rsidP="001D7190">
      <w:pPr>
        <w:pStyle w:val="Textoindependiente"/>
        <w:ind w:right="-516" w:hanging="567"/>
        <w:jc w:val="center"/>
        <w:rPr>
          <w:rFonts w:ascii="Arial" w:hAnsi="Arial" w:cs="Arial"/>
          <w:b/>
          <w:lang w:val="es-MX"/>
        </w:rPr>
      </w:pPr>
      <w:bookmarkStart w:id="0" w:name="_GoBack"/>
      <w:bookmarkEnd w:id="0"/>
      <w:r>
        <w:rPr>
          <w:rFonts w:ascii="Arial" w:hAnsi="Arial" w:cs="Arial"/>
          <w:b/>
          <w:lang w:val="es-MX"/>
        </w:rPr>
        <w:t>C</w:t>
      </w:r>
      <w:r w:rsidR="00086D8C" w:rsidRPr="00086D8C">
        <w:rPr>
          <w:rFonts w:ascii="Arial" w:hAnsi="Arial" w:cs="Arial"/>
          <w:b/>
          <w:lang w:val="es-MX"/>
        </w:rPr>
        <w:t>UENTA SATÉLITE DEL SECTOR SALUD DE MÉXICO 2020</w:t>
      </w:r>
    </w:p>
    <w:p w14:paraId="0D716DB9" w14:textId="538B07C8" w:rsidR="001D7190" w:rsidRDefault="001D7190" w:rsidP="00E26278">
      <w:pPr>
        <w:pStyle w:val="Textoindependiente"/>
        <w:ind w:right="191" w:hanging="567"/>
        <w:jc w:val="center"/>
        <w:rPr>
          <w:rFonts w:ascii="Arial" w:hAnsi="Arial" w:cs="Arial"/>
          <w:b/>
          <w:lang w:val="es-MX"/>
        </w:rPr>
      </w:pPr>
    </w:p>
    <w:p w14:paraId="2D83DDB3" w14:textId="78C0A948" w:rsidR="00C80D33" w:rsidRPr="00746FAE" w:rsidRDefault="001D7190" w:rsidP="00C80D33">
      <w:pPr>
        <w:pStyle w:val="Textoindependiente"/>
        <w:numPr>
          <w:ilvl w:val="0"/>
          <w:numId w:val="3"/>
        </w:numPr>
        <w:ind w:left="284" w:right="191" w:hanging="284"/>
        <w:rPr>
          <w:rFonts w:ascii="Arial" w:hAnsi="Arial" w:cs="Arial"/>
          <w:b/>
          <w:sz w:val="22"/>
          <w:szCs w:val="22"/>
          <w:lang w:val="es-MX"/>
        </w:rPr>
      </w:pPr>
      <w:r w:rsidRPr="00E26278">
        <w:rPr>
          <w:rFonts w:ascii="Arial" w:hAnsi="Arial" w:cs="Arial"/>
          <w:sz w:val="22"/>
          <w:szCs w:val="22"/>
          <w:lang w:val="es-MX"/>
        </w:rPr>
        <w:t>El Producto Interno Bruto Ampliado del sector salud en México</w:t>
      </w:r>
      <w:r w:rsidR="00A843DA" w:rsidRPr="00E26278">
        <w:rPr>
          <w:rFonts w:ascii="Arial" w:hAnsi="Arial" w:cs="Arial"/>
          <w:sz w:val="22"/>
          <w:szCs w:val="22"/>
          <w:lang w:val="es-MX"/>
        </w:rPr>
        <w:t xml:space="preserve"> </w:t>
      </w:r>
      <w:r w:rsidRPr="00E26278">
        <w:rPr>
          <w:rFonts w:ascii="Arial" w:hAnsi="Arial" w:cs="Arial"/>
          <w:sz w:val="22"/>
          <w:szCs w:val="22"/>
          <w:lang w:val="es-MX"/>
        </w:rPr>
        <w:t xml:space="preserve">reportó </w:t>
      </w:r>
      <w:r w:rsidRPr="00CA37E3">
        <w:rPr>
          <w:rFonts w:ascii="Arial" w:hAnsi="Arial" w:cs="Arial"/>
          <w:sz w:val="22"/>
          <w:szCs w:val="22"/>
          <w:lang w:val="es-MX"/>
        </w:rPr>
        <w:t>un monto de 1.5 billones de pesos en 2020, equivalente a 6.5% del PIB nacional</w:t>
      </w:r>
      <w:r w:rsidR="00723CD8">
        <w:rPr>
          <w:rFonts w:ascii="Arial" w:hAnsi="Arial" w:cs="Arial"/>
          <w:sz w:val="22"/>
          <w:szCs w:val="22"/>
          <w:lang w:val="es-MX"/>
        </w:rPr>
        <w:t xml:space="preserve">, </w:t>
      </w:r>
      <w:r w:rsidR="00723CD8" w:rsidRPr="00746FAE">
        <w:rPr>
          <w:rFonts w:ascii="Arial" w:hAnsi="Arial" w:cs="Arial"/>
          <w:sz w:val="22"/>
          <w:szCs w:val="22"/>
          <w:lang w:val="es-MX"/>
        </w:rPr>
        <w:t>e</w:t>
      </w:r>
      <w:r w:rsidR="0051055D" w:rsidRPr="00746FAE">
        <w:rPr>
          <w:rFonts w:ascii="Arial" w:hAnsi="Arial" w:cs="Arial"/>
          <w:sz w:val="22"/>
          <w:szCs w:val="22"/>
          <w:lang w:val="es-MX"/>
        </w:rPr>
        <w:t>n contraste con el 5.6% que representó en 2019</w:t>
      </w:r>
      <w:r w:rsidR="007F1748" w:rsidRPr="00746FAE">
        <w:rPr>
          <w:rFonts w:ascii="Arial" w:hAnsi="Arial" w:cs="Arial"/>
          <w:sz w:val="22"/>
          <w:szCs w:val="22"/>
          <w:lang w:val="es-MX"/>
        </w:rPr>
        <w:t xml:space="preserve">, </w:t>
      </w:r>
      <w:r w:rsidR="00B9212B">
        <w:rPr>
          <w:rFonts w:ascii="Arial" w:hAnsi="Arial" w:cs="Arial"/>
          <w:sz w:val="22"/>
          <w:szCs w:val="22"/>
          <w:lang w:val="es-MX"/>
        </w:rPr>
        <w:t xml:space="preserve">año anterior al </w:t>
      </w:r>
      <w:r w:rsidR="00FA5F7D" w:rsidRPr="00746FAE">
        <w:rPr>
          <w:rFonts w:ascii="Arial" w:hAnsi="Arial" w:cs="Arial"/>
          <w:sz w:val="22"/>
          <w:szCs w:val="22"/>
          <w:lang w:val="es-MX"/>
        </w:rPr>
        <w:t xml:space="preserve">inicio de la pandemia </w:t>
      </w:r>
      <w:r w:rsidR="00E42945" w:rsidRPr="00746FAE">
        <w:rPr>
          <w:rFonts w:ascii="Arial" w:hAnsi="Arial" w:cs="Arial"/>
          <w:sz w:val="22"/>
          <w:szCs w:val="22"/>
          <w:lang w:val="es-MX"/>
        </w:rPr>
        <w:t>por SARS COV2.</w:t>
      </w:r>
    </w:p>
    <w:p w14:paraId="4DE3428C" w14:textId="1986ED37" w:rsidR="00E47F72" w:rsidRPr="00746FAE" w:rsidRDefault="00C80D33" w:rsidP="00595502">
      <w:pPr>
        <w:pStyle w:val="Textoindependiente"/>
        <w:numPr>
          <w:ilvl w:val="0"/>
          <w:numId w:val="3"/>
        </w:numPr>
        <w:ind w:left="284" w:right="191" w:hanging="284"/>
        <w:rPr>
          <w:rFonts w:ascii="Arial" w:hAnsi="Arial" w:cs="Arial"/>
          <w:b/>
          <w:sz w:val="22"/>
          <w:szCs w:val="22"/>
          <w:lang w:val="es-MX"/>
        </w:rPr>
      </w:pPr>
      <w:r w:rsidRPr="00746FAE">
        <w:rPr>
          <w:rFonts w:ascii="Arial" w:hAnsi="Arial" w:cs="Arial"/>
          <w:sz w:val="22"/>
          <w:szCs w:val="22"/>
        </w:rPr>
        <w:t>A precios de 2013, el PIB ampliado del sector salud presentó un incremento de 3.1%</w:t>
      </w:r>
      <w:r w:rsidR="00723CD8" w:rsidRPr="00746FAE">
        <w:rPr>
          <w:rFonts w:ascii="Arial" w:hAnsi="Arial" w:cs="Arial"/>
          <w:sz w:val="22"/>
          <w:szCs w:val="22"/>
          <w:lang w:val="es-MX"/>
        </w:rPr>
        <w:t xml:space="preserve"> </w:t>
      </w:r>
      <w:r w:rsidRPr="00746FAE">
        <w:rPr>
          <w:rFonts w:ascii="Arial" w:hAnsi="Arial" w:cs="Arial"/>
          <w:sz w:val="22"/>
          <w:szCs w:val="22"/>
        </w:rPr>
        <w:t xml:space="preserve">respecto </w:t>
      </w:r>
      <w:r w:rsidR="004C4070" w:rsidRPr="00746FAE">
        <w:rPr>
          <w:rFonts w:ascii="Arial" w:hAnsi="Arial" w:cs="Arial"/>
          <w:sz w:val="22"/>
          <w:szCs w:val="22"/>
          <w:lang w:val="es-MX"/>
        </w:rPr>
        <w:t>de 2019.</w:t>
      </w:r>
    </w:p>
    <w:p w14:paraId="5D8615D1" w14:textId="73E7EA72" w:rsidR="005D1653" w:rsidRPr="00F06DBB" w:rsidRDefault="005D1653" w:rsidP="00E26278">
      <w:pPr>
        <w:pStyle w:val="Textoindependiente"/>
        <w:numPr>
          <w:ilvl w:val="0"/>
          <w:numId w:val="3"/>
        </w:numPr>
        <w:ind w:left="284" w:right="191" w:hanging="284"/>
        <w:rPr>
          <w:rFonts w:ascii="Arial" w:hAnsi="Arial" w:cs="Arial"/>
          <w:b/>
          <w:sz w:val="22"/>
          <w:szCs w:val="22"/>
          <w:lang w:val="es-MX"/>
        </w:rPr>
      </w:pPr>
      <w:r w:rsidRPr="00F06DBB">
        <w:rPr>
          <w:rFonts w:ascii="Arial" w:hAnsi="Arial" w:cs="Arial"/>
          <w:bCs/>
          <w:sz w:val="22"/>
          <w:szCs w:val="22"/>
          <w:lang w:val="es-MX"/>
        </w:rPr>
        <w:t>E</w:t>
      </w:r>
      <w:r w:rsidR="00723CD8">
        <w:rPr>
          <w:rFonts w:ascii="Arial" w:hAnsi="Arial" w:cs="Arial"/>
          <w:bCs/>
          <w:sz w:val="22"/>
          <w:szCs w:val="22"/>
          <w:lang w:val="es-MX"/>
        </w:rPr>
        <w:t>n 2020, e</w:t>
      </w:r>
      <w:r w:rsidRPr="00F06DBB">
        <w:rPr>
          <w:rFonts w:ascii="Arial" w:hAnsi="Arial" w:cs="Arial"/>
          <w:bCs/>
          <w:sz w:val="22"/>
          <w:szCs w:val="22"/>
          <w:lang w:val="es-MX"/>
        </w:rPr>
        <w:t xml:space="preserve">l sector salud </w:t>
      </w:r>
      <w:r w:rsidRPr="00F06DBB">
        <w:rPr>
          <w:rFonts w:ascii="Arial" w:hAnsi="Arial" w:cs="Arial"/>
          <w:bCs/>
          <w:sz w:val="22"/>
          <w:szCs w:val="22"/>
        </w:rPr>
        <w:t>registr</w:t>
      </w:r>
      <w:r w:rsidR="00CB780E" w:rsidRPr="00F06DBB">
        <w:rPr>
          <w:rFonts w:ascii="Arial" w:hAnsi="Arial" w:cs="Arial"/>
          <w:bCs/>
          <w:sz w:val="22"/>
          <w:szCs w:val="22"/>
          <w:lang w:val="es-MX"/>
        </w:rPr>
        <w:t>ó</w:t>
      </w:r>
      <w:r w:rsidRPr="00F06DBB">
        <w:rPr>
          <w:rFonts w:ascii="Arial" w:hAnsi="Arial" w:cs="Arial"/>
          <w:bCs/>
          <w:sz w:val="22"/>
          <w:szCs w:val="22"/>
          <w:lang w:val="es-MX"/>
        </w:rPr>
        <w:t xml:space="preserve"> </w:t>
      </w:r>
      <w:r w:rsidRPr="00F06DBB">
        <w:rPr>
          <w:rFonts w:ascii="Arial" w:hAnsi="Arial" w:cs="Arial"/>
          <w:bCs/>
          <w:sz w:val="22"/>
          <w:szCs w:val="22"/>
        </w:rPr>
        <w:t>2</w:t>
      </w:r>
      <w:r w:rsidR="00CB780E" w:rsidRPr="00F06DBB">
        <w:rPr>
          <w:rFonts w:ascii="Arial" w:hAnsi="Arial" w:cs="Arial"/>
          <w:bCs/>
          <w:sz w:val="22"/>
          <w:szCs w:val="22"/>
          <w:lang w:val="es-MX"/>
        </w:rPr>
        <w:t>.3</w:t>
      </w:r>
      <w:r w:rsidRPr="00F06DBB">
        <w:rPr>
          <w:rFonts w:ascii="Arial" w:hAnsi="Arial" w:cs="Arial"/>
          <w:bCs/>
          <w:sz w:val="22"/>
          <w:szCs w:val="22"/>
          <w:lang w:val="es-MX"/>
        </w:rPr>
        <w:t xml:space="preserve"> millones</w:t>
      </w:r>
      <w:r w:rsidR="00CB780E" w:rsidRPr="00F06DBB">
        <w:rPr>
          <w:rFonts w:ascii="Arial" w:hAnsi="Arial" w:cs="Arial"/>
          <w:bCs/>
          <w:sz w:val="22"/>
          <w:szCs w:val="22"/>
          <w:lang w:val="es-MX"/>
        </w:rPr>
        <w:t xml:space="preserve"> de </w:t>
      </w:r>
      <w:r w:rsidRPr="00F06DBB">
        <w:rPr>
          <w:rFonts w:ascii="Arial" w:hAnsi="Arial" w:cs="Arial"/>
          <w:bCs/>
          <w:sz w:val="22"/>
          <w:szCs w:val="22"/>
        </w:rPr>
        <w:t xml:space="preserve">puestos de trabajo remunerados, </w:t>
      </w:r>
      <w:r w:rsidR="00FE7F6E">
        <w:rPr>
          <w:rFonts w:ascii="Arial" w:hAnsi="Arial" w:cs="Arial"/>
          <w:bCs/>
          <w:sz w:val="22"/>
          <w:szCs w:val="22"/>
          <w:lang w:val="es-MX"/>
        </w:rPr>
        <w:t xml:space="preserve">lo </w:t>
      </w:r>
      <w:r w:rsidRPr="00F06DBB">
        <w:rPr>
          <w:rFonts w:ascii="Arial" w:hAnsi="Arial" w:cs="Arial"/>
          <w:bCs/>
          <w:sz w:val="22"/>
          <w:szCs w:val="22"/>
          <w:lang w:val="es-MX"/>
        </w:rPr>
        <w:t>que sign</w:t>
      </w:r>
      <w:r w:rsidR="00CB780E" w:rsidRPr="00F06DBB">
        <w:rPr>
          <w:rFonts w:ascii="Arial" w:hAnsi="Arial" w:cs="Arial"/>
          <w:bCs/>
          <w:sz w:val="22"/>
          <w:szCs w:val="22"/>
          <w:lang w:val="es-MX"/>
        </w:rPr>
        <w:t>ific</w:t>
      </w:r>
      <w:r w:rsidR="00886CD5">
        <w:rPr>
          <w:rFonts w:ascii="Arial" w:hAnsi="Arial" w:cs="Arial"/>
          <w:bCs/>
          <w:sz w:val="22"/>
          <w:szCs w:val="22"/>
          <w:lang w:val="es-MX"/>
        </w:rPr>
        <w:t>ó</w:t>
      </w:r>
      <w:r w:rsidR="00CB780E" w:rsidRPr="00F06DBB">
        <w:rPr>
          <w:rFonts w:ascii="Arial" w:hAnsi="Arial" w:cs="Arial"/>
          <w:bCs/>
          <w:sz w:val="22"/>
          <w:szCs w:val="22"/>
          <w:lang w:val="es-MX"/>
        </w:rPr>
        <w:t xml:space="preserve"> un aumento de 3.6</w:t>
      </w:r>
      <w:r w:rsidR="00D87199" w:rsidRPr="00F06DBB">
        <w:rPr>
          <w:rFonts w:ascii="Arial" w:hAnsi="Arial" w:cs="Arial"/>
          <w:bCs/>
          <w:sz w:val="22"/>
          <w:szCs w:val="22"/>
          <w:lang w:val="es-MX"/>
        </w:rPr>
        <w:t>%</w:t>
      </w:r>
      <w:r w:rsidR="00CB780E" w:rsidRPr="00F06DBB">
        <w:rPr>
          <w:rFonts w:ascii="Arial" w:hAnsi="Arial" w:cs="Arial"/>
          <w:bCs/>
          <w:sz w:val="22"/>
          <w:szCs w:val="22"/>
          <w:lang w:val="es-MX"/>
        </w:rPr>
        <w:t xml:space="preserve"> res</w:t>
      </w:r>
      <w:r w:rsidR="00723CD8">
        <w:rPr>
          <w:rFonts w:ascii="Arial" w:hAnsi="Arial" w:cs="Arial"/>
          <w:bCs/>
          <w:sz w:val="22"/>
          <w:szCs w:val="22"/>
          <w:lang w:val="es-MX"/>
        </w:rPr>
        <w:t>p</w:t>
      </w:r>
      <w:r w:rsidR="00CB780E" w:rsidRPr="00F06DBB">
        <w:rPr>
          <w:rFonts w:ascii="Arial" w:hAnsi="Arial" w:cs="Arial"/>
          <w:bCs/>
          <w:sz w:val="22"/>
          <w:szCs w:val="22"/>
          <w:lang w:val="es-MX"/>
        </w:rPr>
        <w:t>e</w:t>
      </w:r>
      <w:r w:rsidR="00723CD8">
        <w:rPr>
          <w:rFonts w:ascii="Arial" w:hAnsi="Arial" w:cs="Arial"/>
          <w:bCs/>
          <w:sz w:val="22"/>
          <w:szCs w:val="22"/>
          <w:lang w:val="es-MX"/>
        </w:rPr>
        <w:t>c</w:t>
      </w:r>
      <w:r w:rsidR="00CB780E" w:rsidRPr="00F06DBB">
        <w:rPr>
          <w:rFonts w:ascii="Arial" w:hAnsi="Arial" w:cs="Arial"/>
          <w:bCs/>
          <w:sz w:val="22"/>
          <w:szCs w:val="22"/>
          <w:lang w:val="es-MX"/>
        </w:rPr>
        <w:t>to de 2019.</w:t>
      </w:r>
    </w:p>
    <w:p w14:paraId="5A395500" w14:textId="77777777" w:rsidR="00A843DA" w:rsidRPr="00F06DBB" w:rsidRDefault="00A843DA" w:rsidP="00A843DA">
      <w:pPr>
        <w:pStyle w:val="Textoindependiente"/>
        <w:ind w:left="153" w:right="-516"/>
        <w:rPr>
          <w:rFonts w:ascii="Arial" w:hAnsi="Arial" w:cs="Arial"/>
          <w:b/>
          <w:sz w:val="22"/>
          <w:szCs w:val="22"/>
          <w:lang w:val="es-MX"/>
        </w:rPr>
      </w:pPr>
    </w:p>
    <w:p w14:paraId="771F7D50" w14:textId="6110CB2D" w:rsidR="00086D8C" w:rsidRPr="00CA37E3" w:rsidRDefault="00086D8C" w:rsidP="00E47F72">
      <w:pPr>
        <w:pStyle w:val="Textoindependiente"/>
        <w:ind w:left="-567" w:right="-516"/>
        <w:rPr>
          <w:rFonts w:ascii="Arial" w:hAnsi="Arial" w:cs="Arial"/>
          <w:sz w:val="22"/>
          <w:szCs w:val="22"/>
          <w:lang w:val="es-MX"/>
        </w:rPr>
      </w:pPr>
      <w:r w:rsidRPr="00CA37E3">
        <w:rPr>
          <w:rFonts w:ascii="Arial" w:hAnsi="Arial" w:cs="Arial"/>
          <w:sz w:val="22"/>
          <w:szCs w:val="22"/>
          <w:lang w:val="es-MX"/>
        </w:rPr>
        <w:t>El INEGI presenta los resultados de la Cuenta Satélite del Sector Salud de México</w:t>
      </w:r>
      <w:r w:rsidR="00E47F72" w:rsidRPr="00CA37E3">
        <w:rPr>
          <w:rFonts w:ascii="Arial" w:hAnsi="Arial" w:cs="Arial"/>
          <w:sz w:val="22"/>
          <w:szCs w:val="22"/>
          <w:lang w:val="es-MX"/>
        </w:rPr>
        <w:t xml:space="preserve"> (CSSSM) </w:t>
      </w:r>
      <w:r w:rsidRPr="00CA37E3">
        <w:rPr>
          <w:rFonts w:ascii="Arial" w:hAnsi="Arial" w:cs="Arial"/>
          <w:sz w:val="22"/>
          <w:szCs w:val="22"/>
          <w:lang w:val="es-MX"/>
        </w:rPr>
        <w:t>2020</w:t>
      </w:r>
      <w:r w:rsidRPr="00CA37E3">
        <w:rPr>
          <w:rFonts w:ascii="Arial" w:eastAsia="Arial" w:hAnsi="Arial" w:cs="Arial"/>
          <w:sz w:val="22"/>
          <w:szCs w:val="22"/>
          <w:lang w:val="es-MX"/>
        </w:rPr>
        <w:t xml:space="preserve"> que</w:t>
      </w:r>
      <w:r w:rsidRPr="00CA37E3">
        <w:rPr>
          <w:rFonts w:ascii="Arial" w:hAnsi="Arial" w:cs="Arial"/>
          <w:sz w:val="22"/>
          <w:szCs w:val="22"/>
          <w:lang w:val="es-MX"/>
        </w:rPr>
        <w:t xml:space="preserve"> integra las actividades económicas que producen </w:t>
      </w:r>
      <w:r w:rsidR="00E26278" w:rsidRPr="00CA37E3">
        <w:rPr>
          <w:rFonts w:ascii="Arial" w:hAnsi="Arial" w:cs="Arial"/>
          <w:sz w:val="22"/>
          <w:szCs w:val="22"/>
          <w:lang w:val="es-MX"/>
        </w:rPr>
        <w:t xml:space="preserve">los </w:t>
      </w:r>
      <w:r w:rsidRPr="00CA37E3">
        <w:rPr>
          <w:rFonts w:ascii="Arial" w:hAnsi="Arial" w:cs="Arial"/>
          <w:sz w:val="22"/>
          <w:szCs w:val="22"/>
          <w:lang w:val="es-MX"/>
        </w:rPr>
        <w:t>bienes y servicios que</w:t>
      </w:r>
      <w:r w:rsidR="00E47F72" w:rsidRPr="00CA37E3">
        <w:rPr>
          <w:rFonts w:ascii="Arial" w:hAnsi="Arial" w:cs="Arial"/>
          <w:sz w:val="22"/>
          <w:szCs w:val="22"/>
          <w:lang w:val="es-MX"/>
        </w:rPr>
        <w:t>,</w:t>
      </w:r>
      <w:r w:rsidRPr="00CA37E3">
        <w:rPr>
          <w:rFonts w:ascii="Arial" w:hAnsi="Arial" w:cs="Arial"/>
          <w:sz w:val="22"/>
          <w:szCs w:val="22"/>
          <w:lang w:val="es-MX"/>
        </w:rPr>
        <w:t xml:space="preserve"> directa o indirectamente</w:t>
      </w:r>
      <w:r w:rsidR="00E47F72" w:rsidRPr="00CA37E3">
        <w:rPr>
          <w:rFonts w:ascii="Arial" w:hAnsi="Arial" w:cs="Arial"/>
          <w:sz w:val="22"/>
          <w:szCs w:val="22"/>
          <w:lang w:val="es-MX"/>
        </w:rPr>
        <w:t>,</w:t>
      </w:r>
      <w:r w:rsidRPr="00CA37E3">
        <w:rPr>
          <w:rFonts w:ascii="Arial" w:hAnsi="Arial" w:cs="Arial"/>
          <w:sz w:val="22"/>
          <w:szCs w:val="22"/>
          <w:lang w:val="es-MX"/>
        </w:rPr>
        <w:t xml:space="preserve"> están relacionados con la prevención, recuperación y mantenimiento de la salud humana, incluyendo las instituciones públicas cuya facultad es regular y administrar estas actividades.</w:t>
      </w:r>
    </w:p>
    <w:p w14:paraId="2C991218" w14:textId="77777777" w:rsidR="00E47F72" w:rsidRPr="00CA37E3" w:rsidRDefault="00E47F72" w:rsidP="00E47F72">
      <w:pPr>
        <w:pStyle w:val="Textoindependiente"/>
        <w:ind w:left="-567" w:right="-516"/>
        <w:rPr>
          <w:rFonts w:ascii="Arial" w:hAnsi="Arial" w:cs="Arial"/>
          <w:sz w:val="22"/>
          <w:szCs w:val="22"/>
          <w:lang w:val="es-MX"/>
        </w:rPr>
      </w:pPr>
    </w:p>
    <w:p w14:paraId="03242177" w14:textId="0757E017" w:rsidR="00086D8C" w:rsidRPr="00CA37E3" w:rsidRDefault="00086D8C" w:rsidP="00E47F72">
      <w:pPr>
        <w:pStyle w:val="Textoindependiente"/>
        <w:ind w:left="-567" w:right="-516"/>
        <w:rPr>
          <w:rFonts w:ascii="Arial" w:hAnsi="Arial" w:cs="Arial"/>
          <w:sz w:val="22"/>
          <w:szCs w:val="22"/>
          <w:lang w:val="es-MX"/>
        </w:rPr>
      </w:pPr>
      <w:r w:rsidRPr="00CA37E3">
        <w:rPr>
          <w:rFonts w:ascii="Arial" w:hAnsi="Arial" w:cs="Arial"/>
          <w:sz w:val="22"/>
          <w:szCs w:val="22"/>
          <w:lang w:val="es-MX"/>
        </w:rPr>
        <w:t>Adicionalmente,</w:t>
      </w:r>
      <w:r w:rsidR="00E47F72" w:rsidRPr="00CA37E3">
        <w:rPr>
          <w:rFonts w:ascii="Arial" w:hAnsi="Arial" w:cs="Arial"/>
          <w:sz w:val="22"/>
          <w:szCs w:val="22"/>
          <w:lang w:val="es-MX"/>
        </w:rPr>
        <w:t xml:space="preserve"> la CSSSM</w:t>
      </w:r>
      <w:r w:rsidRPr="00CA37E3">
        <w:rPr>
          <w:rFonts w:ascii="Arial" w:hAnsi="Arial" w:cs="Arial"/>
          <w:sz w:val="22"/>
          <w:szCs w:val="22"/>
          <w:lang w:val="es-MX"/>
        </w:rPr>
        <w:t xml:space="preserve"> incorpora el valor económico del trabajo no remunerado de los hogares en el cuidado de la salud, con lo que se amplía la visión sobre la dimensión y composición del sector.</w:t>
      </w:r>
    </w:p>
    <w:p w14:paraId="513C7CC4" w14:textId="77777777" w:rsidR="00E47F72" w:rsidRPr="00CA37E3" w:rsidRDefault="00E47F72" w:rsidP="00E47F72">
      <w:pPr>
        <w:pStyle w:val="Textoindependiente"/>
        <w:ind w:left="-567" w:right="-516"/>
        <w:rPr>
          <w:rFonts w:ascii="Arial" w:hAnsi="Arial" w:cs="Arial"/>
          <w:sz w:val="22"/>
          <w:szCs w:val="22"/>
          <w:lang w:val="es-MX"/>
        </w:rPr>
      </w:pPr>
    </w:p>
    <w:p w14:paraId="16B8BFBB" w14:textId="188B3DB4" w:rsidR="00086D8C" w:rsidRPr="00CA37E3" w:rsidRDefault="00086D8C" w:rsidP="00E47F72">
      <w:pPr>
        <w:pStyle w:val="Textoindependiente"/>
        <w:ind w:left="-567" w:right="-516"/>
        <w:rPr>
          <w:rFonts w:ascii="Arial" w:hAnsi="Arial" w:cs="Arial"/>
          <w:b/>
          <w:iCs/>
          <w:smallCaps/>
          <w:sz w:val="22"/>
          <w:szCs w:val="22"/>
          <w:lang w:val="es-MX"/>
        </w:rPr>
      </w:pPr>
      <w:r w:rsidRPr="00CA37E3">
        <w:rPr>
          <w:rFonts w:ascii="Arial" w:hAnsi="Arial" w:cs="Arial"/>
          <w:b/>
          <w:iCs/>
          <w:smallCaps/>
          <w:sz w:val="22"/>
          <w:szCs w:val="22"/>
          <w:lang w:val="es-MX"/>
        </w:rPr>
        <w:t>Principales Resultados</w:t>
      </w:r>
    </w:p>
    <w:p w14:paraId="30CAD558" w14:textId="77777777" w:rsidR="00E47F72" w:rsidRPr="00CA37E3" w:rsidRDefault="00E47F72" w:rsidP="00E47F72">
      <w:pPr>
        <w:pStyle w:val="Textoindependiente"/>
        <w:ind w:left="-567" w:right="-516"/>
        <w:rPr>
          <w:rFonts w:ascii="Arial" w:hAnsi="Arial" w:cs="Arial"/>
          <w:b/>
          <w:iCs/>
          <w:smallCaps/>
          <w:sz w:val="22"/>
          <w:szCs w:val="22"/>
          <w:lang w:val="es-MX"/>
        </w:rPr>
      </w:pPr>
    </w:p>
    <w:p w14:paraId="00A48362" w14:textId="56BF63D5" w:rsidR="001D7190" w:rsidRPr="00595502" w:rsidRDefault="00086D8C" w:rsidP="00595502">
      <w:pPr>
        <w:pStyle w:val="Textoindependiente"/>
        <w:ind w:left="-567" w:right="-516"/>
        <w:rPr>
          <w:rFonts w:ascii="Arial" w:hAnsi="Arial" w:cs="Arial"/>
          <w:sz w:val="22"/>
          <w:szCs w:val="22"/>
          <w:lang w:val="es-MX"/>
        </w:rPr>
      </w:pPr>
      <w:r w:rsidRPr="00CA37E3">
        <w:rPr>
          <w:rFonts w:ascii="Arial" w:hAnsi="Arial" w:cs="Arial"/>
          <w:sz w:val="22"/>
          <w:szCs w:val="22"/>
          <w:lang w:val="es-MX"/>
        </w:rPr>
        <w:t>El Producto Interno Bruto Ampliado (PIBA)</w:t>
      </w:r>
      <w:r w:rsidR="009D55D4">
        <w:rPr>
          <w:rStyle w:val="Refdenotaalpie"/>
          <w:rFonts w:ascii="Arial" w:hAnsi="Arial" w:cs="Arial"/>
          <w:sz w:val="22"/>
          <w:szCs w:val="22"/>
          <w:lang w:val="es-MX"/>
        </w:rPr>
        <w:footnoteReference w:id="1"/>
      </w:r>
      <w:r w:rsidRPr="00CA37E3">
        <w:rPr>
          <w:rFonts w:ascii="Arial" w:hAnsi="Arial" w:cs="Arial"/>
          <w:sz w:val="22"/>
          <w:szCs w:val="22"/>
          <w:lang w:val="es-MX"/>
        </w:rPr>
        <w:t xml:space="preserve"> del sector salud en México, para 2020, reportó un monto de 1.5 billones de pesos, lo que equivale a 6.5% del PIB nacional</w:t>
      </w:r>
      <w:r w:rsidR="00FA5F7D">
        <w:rPr>
          <w:rFonts w:ascii="Arial" w:hAnsi="Arial" w:cs="Arial"/>
          <w:sz w:val="22"/>
          <w:szCs w:val="22"/>
          <w:lang w:val="es-MX"/>
        </w:rPr>
        <w:t xml:space="preserve">, </w:t>
      </w:r>
      <w:r w:rsidR="00FA5F7D" w:rsidRPr="00746FAE">
        <w:rPr>
          <w:rFonts w:ascii="Arial" w:hAnsi="Arial" w:cs="Arial"/>
          <w:sz w:val="22"/>
          <w:szCs w:val="22"/>
          <w:lang w:val="es-MX"/>
        </w:rPr>
        <w:t xml:space="preserve">lo que contrasta con la participación de 5.6% en el 2019, año anterior a la pandemia por </w:t>
      </w:r>
      <w:r w:rsidR="004747C6" w:rsidRPr="00746FAE">
        <w:rPr>
          <w:rFonts w:ascii="Arial" w:hAnsi="Arial" w:cs="Arial"/>
          <w:sz w:val="22"/>
          <w:szCs w:val="22"/>
          <w:lang w:val="es-MX"/>
        </w:rPr>
        <w:t>SARS COV2</w:t>
      </w:r>
      <w:r w:rsidRPr="00746FAE">
        <w:rPr>
          <w:rFonts w:ascii="Arial" w:hAnsi="Arial" w:cs="Arial"/>
          <w:sz w:val="22"/>
          <w:szCs w:val="22"/>
          <w:lang w:val="es-MX"/>
        </w:rPr>
        <w:t xml:space="preserve">. Dicho porcentaje </w:t>
      </w:r>
      <w:r w:rsidR="00CA37E3" w:rsidRPr="00746FAE">
        <w:rPr>
          <w:rFonts w:ascii="Arial" w:hAnsi="Arial" w:cs="Arial"/>
          <w:sz w:val="22"/>
          <w:szCs w:val="22"/>
          <w:lang w:val="es-MX"/>
        </w:rPr>
        <w:t>se</w:t>
      </w:r>
      <w:r w:rsidRPr="00746FAE">
        <w:rPr>
          <w:rFonts w:ascii="Arial" w:hAnsi="Arial" w:cs="Arial"/>
          <w:sz w:val="22"/>
          <w:szCs w:val="22"/>
          <w:lang w:val="es-MX"/>
        </w:rPr>
        <w:t xml:space="preserve"> comp</w:t>
      </w:r>
      <w:r w:rsidR="00CA37E3" w:rsidRPr="00746FAE">
        <w:rPr>
          <w:rFonts w:ascii="Arial" w:hAnsi="Arial" w:cs="Arial"/>
          <w:sz w:val="22"/>
          <w:szCs w:val="22"/>
          <w:lang w:val="es-MX"/>
        </w:rPr>
        <w:t>one</w:t>
      </w:r>
      <w:r w:rsidRPr="00746FAE">
        <w:rPr>
          <w:rFonts w:ascii="Arial" w:hAnsi="Arial" w:cs="Arial"/>
          <w:sz w:val="22"/>
          <w:szCs w:val="22"/>
          <w:lang w:val="es-MX"/>
        </w:rPr>
        <w:t xml:space="preserve"> por </w:t>
      </w:r>
      <w:r w:rsidR="00D9591E" w:rsidRPr="00746FAE">
        <w:rPr>
          <w:rFonts w:ascii="Arial" w:hAnsi="Arial" w:cs="Arial"/>
          <w:sz w:val="22"/>
          <w:szCs w:val="22"/>
          <w:lang w:val="es-MX"/>
        </w:rPr>
        <w:t>el valor producido por los bienes y servicios finales relacionados con la</w:t>
      </w:r>
      <w:r w:rsidR="00D9591E" w:rsidRPr="00CA37E3">
        <w:rPr>
          <w:rFonts w:ascii="Arial" w:hAnsi="Arial" w:cs="Arial"/>
          <w:sz w:val="22"/>
          <w:szCs w:val="22"/>
          <w:lang w:val="es-MX"/>
        </w:rPr>
        <w:t xml:space="preserve"> prevención, recuperación y mantenimiento de la salud humana (</w:t>
      </w:r>
      <w:r w:rsidRPr="00CA37E3">
        <w:rPr>
          <w:rFonts w:ascii="Arial" w:hAnsi="Arial" w:cs="Arial"/>
          <w:sz w:val="22"/>
          <w:szCs w:val="22"/>
          <w:lang w:val="es-MX"/>
        </w:rPr>
        <w:t>4.6%</w:t>
      </w:r>
      <w:r w:rsidR="00D9591E" w:rsidRPr="00CA37E3">
        <w:rPr>
          <w:rFonts w:ascii="Arial" w:hAnsi="Arial" w:cs="Arial"/>
          <w:sz w:val="22"/>
          <w:szCs w:val="22"/>
          <w:lang w:val="es-MX"/>
        </w:rPr>
        <w:t>)</w:t>
      </w:r>
      <w:r w:rsidRPr="00CA37E3">
        <w:rPr>
          <w:rFonts w:ascii="Arial" w:hAnsi="Arial" w:cs="Arial"/>
          <w:sz w:val="22"/>
          <w:szCs w:val="22"/>
          <w:lang w:val="es-MX"/>
        </w:rPr>
        <w:t xml:space="preserve"> </w:t>
      </w:r>
      <w:r w:rsidR="00D9591E" w:rsidRPr="00CA37E3">
        <w:rPr>
          <w:rFonts w:ascii="Arial" w:hAnsi="Arial" w:cs="Arial"/>
          <w:sz w:val="22"/>
          <w:szCs w:val="22"/>
          <w:lang w:val="es-MX"/>
        </w:rPr>
        <w:t xml:space="preserve">y el valor del trabajo no remunerado en salud </w:t>
      </w:r>
      <w:r w:rsidR="00CA37E3">
        <w:rPr>
          <w:rFonts w:ascii="Arial" w:hAnsi="Arial" w:cs="Arial"/>
          <w:sz w:val="22"/>
          <w:szCs w:val="22"/>
          <w:lang w:val="es-MX"/>
        </w:rPr>
        <w:t>(</w:t>
      </w:r>
      <w:r w:rsidRPr="00CA37E3">
        <w:rPr>
          <w:rFonts w:ascii="Arial" w:hAnsi="Arial" w:cs="Arial"/>
          <w:sz w:val="22"/>
          <w:szCs w:val="22"/>
          <w:lang w:val="es-MX"/>
        </w:rPr>
        <w:t>1.9</w:t>
      </w:r>
      <w:r w:rsidR="00CA37E3">
        <w:rPr>
          <w:rFonts w:ascii="Arial" w:hAnsi="Arial" w:cs="Arial"/>
          <w:sz w:val="22"/>
          <w:szCs w:val="22"/>
          <w:lang w:val="es-MX"/>
        </w:rPr>
        <w:t>%)</w:t>
      </w:r>
      <w:r w:rsidR="00D9591E" w:rsidRPr="00CA37E3">
        <w:rPr>
          <w:rFonts w:ascii="Arial" w:hAnsi="Arial" w:cs="Arial"/>
          <w:sz w:val="22"/>
          <w:szCs w:val="22"/>
          <w:lang w:val="es-MX"/>
        </w:rPr>
        <w:t>.</w:t>
      </w:r>
    </w:p>
    <w:p w14:paraId="5F075D9F" w14:textId="77777777" w:rsidR="0051055D" w:rsidRDefault="0051055D" w:rsidP="001D7190">
      <w:pPr>
        <w:ind w:left="-567" w:right="-516"/>
        <w:jc w:val="both"/>
        <w:rPr>
          <w:rFonts w:ascii="Arial" w:hAnsi="Arial" w:cs="Arial"/>
          <w:sz w:val="22"/>
          <w:szCs w:val="22"/>
          <w:lang w:val="es-ES"/>
        </w:rPr>
      </w:pPr>
    </w:p>
    <w:p w14:paraId="2FEF4D15" w14:textId="77777777" w:rsidR="0051055D" w:rsidRPr="00EE5ACD" w:rsidRDefault="0051055D" w:rsidP="0051055D">
      <w:pPr>
        <w:ind w:left="-425" w:right="-516"/>
        <w:contextualSpacing/>
        <w:jc w:val="center"/>
        <w:rPr>
          <w:rFonts w:ascii="Arial" w:hAnsi="Arial" w:cs="Arial"/>
          <w:b/>
          <w:iCs/>
          <w:smallCaps/>
          <w:sz w:val="22"/>
          <w:szCs w:val="22"/>
        </w:rPr>
      </w:pPr>
      <w:r w:rsidRPr="00EE5ACD">
        <w:rPr>
          <w:rFonts w:ascii="Arial" w:hAnsi="Arial" w:cs="Arial"/>
          <w:b/>
          <w:iCs/>
          <w:smallCaps/>
          <w:sz w:val="22"/>
          <w:szCs w:val="22"/>
        </w:rPr>
        <w:t>Contribución del PIB del sector salud por componentes, 2008-2020</w:t>
      </w:r>
    </w:p>
    <w:p w14:paraId="0A6CF699" w14:textId="77777777" w:rsidR="0051055D" w:rsidRPr="00EE5ACD" w:rsidRDefault="0051055D" w:rsidP="0051055D">
      <w:pPr>
        <w:pStyle w:val="Textoindependiente"/>
        <w:jc w:val="center"/>
        <w:rPr>
          <w:rFonts w:ascii="Arial" w:hAnsi="Arial" w:cs="Arial"/>
          <w:sz w:val="18"/>
          <w:szCs w:val="18"/>
          <w:lang w:val="es-MX"/>
        </w:rPr>
      </w:pPr>
      <w:r w:rsidRPr="00EE5ACD">
        <w:rPr>
          <w:rFonts w:ascii="Arial" w:hAnsi="Arial" w:cs="Arial"/>
          <w:sz w:val="18"/>
          <w:szCs w:val="18"/>
          <w:lang w:val="es-MX"/>
        </w:rPr>
        <w:t>(Participación porcentual)</w:t>
      </w:r>
    </w:p>
    <w:p w14:paraId="6D7BE3D3" w14:textId="12BC3675" w:rsidR="0051055D" w:rsidRPr="00A25BA1" w:rsidRDefault="00A25BA1" w:rsidP="00A25BA1">
      <w:pPr>
        <w:pStyle w:val="Textoindependiente"/>
        <w:jc w:val="center"/>
        <w:rPr>
          <w:rFonts w:ascii="Arial" w:hAnsi="Arial" w:cs="Arial"/>
          <w:sz w:val="16"/>
          <w:lang w:val="es-MX"/>
        </w:rPr>
      </w:pPr>
      <w:r w:rsidRPr="00A25BA1">
        <w:rPr>
          <w:rFonts w:ascii="Arial" w:hAnsi="Arial" w:cs="Arial"/>
          <w:noProof/>
          <w:sz w:val="16"/>
          <w:szCs w:val="16"/>
          <w:lang w:val="en-US" w:eastAsia="en-US"/>
        </w:rPr>
        <w:drawing>
          <wp:inline distT="0" distB="0" distL="0" distR="0" wp14:anchorId="2CF32F64" wp14:editId="33164C36">
            <wp:extent cx="5609859" cy="2262974"/>
            <wp:effectExtent l="19050" t="19050" r="10160" b="23495"/>
            <wp:docPr id="14" name="Imagen 14"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Gráfico, Gráfico de barras&#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35765" cy="2273424"/>
                    </a:xfrm>
                    <a:prstGeom prst="rect">
                      <a:avLst/>
                    </a:prstGeom>
                    <a:noFill/>
                    <a:ln>
                      <a:solidFill>
                        <a:schemeClr val="tx1"/>
                      </a:solidFill>
                    </a:ln>
                  </pic:spPr>
                </pic:pic>
              </a:graphicData>
            </a:graphic>
          </wp:inline>
        </w:drawing>
      </w:r>
    </w:p>
    <w:p w14:paraId="44E000E0" w14:textId="77777777" w:rsidR="0051055D" w:rsidRDefault="0051055D" w:rsidP="0051055D">
      <w:pPr>
        <w:rPr>
          <w:rFonts w:ascii="Arial" w:hAnsi="Arial" w:cs="Arial"/>
          <w:sz w:val="16"/>
          <w:szCs w:val="16"/>
        </w:rPr>
      </w:pPr>
      <w:r>
        <w:rPr>
          <w:rFonts w:ascii="Arial" w:hAnsi="Arial" w:cs="Arial"/>
          <w:sz w:val="16"/>
          <w:szCs w:val="16"/>
        </w:rPr>
        <w:t>Nota: Las suma de los parciales puede no coincidir con el total debido al redondeo.</w:t>
      </w:r>
    </w:p>
    <w:p w14:paraId="608E6884" w14:textId="77777777" w:rsidR="0051055D" w:rsidRDefault="0051055D" w:rsidP="0051055D">
      <w:pPr>
        <w:pStyle w:val="Textoindependiente"/>
        <w:jc w:val="left"/>
        <w:rPr>
          <w:rFonts w:ascii="Arial" w:hAnsi="Arial" w:cs="Arial"/>
          <w:sz w:val="16"/>
          <w:szCs w:val="16"/>
          <w:lang w:val="es-MX"/>
        </w:rPr>
      </w:pPr>
      <w:r w:rsidRPr="00EE5ACD">
        <w:rPr>
          <w:rFonts w:ascii="Arial" w:hAnsi="Arial" w:cs="Arial"/>
          <w:sz w:val="16"/>
          <w:szCs w:val="16"/>
          <w:lang w:val="es-MX"/>
        </w:rPr>
        <w:t>Fuente: INEGI.</w:t>
      </w:r>
    </w:p>
    <w:p w14:paraId="4E9293AD" w14:textId="77777777" w:rsidR="0051055D" w:rsidRDefault="0051055D" w:rsidP="0051055D">
      <w:pPr>
        <w:ind w:right="-516"/>
        <w:jc w:val="both"/>
        <w:rPr>
          <w:rFonts w:ascii="Arial" w:hAnsi="Arial" w:cs="Arial"/>
          <w:sz w:val="22"/>
          <w:szCs w:val="22"/>
          <w:lang w:val="es-ES"/>
        </w:rPr>
      </w:pPr>
    </w:p>
    <w:p w14:paraId="66DE0BE6" w14:textId="77777777" w:rsidR="007C5B1B" w:rsidRDefault="004747C6" w:rsidP="0086479F">
      <w:pPr>
        <w:ind w:left="-567" w:right="-516"/>
        <w:jc w:val="both"/>
        <w:rPr>
          <w:rFonts w:ascii="Arial" w:hAnsi="Arial" w:cs="Arial"/>
          <w:sz w:val="22"/>
          <w:szCs w:val="22"/>
          <w:lang w:val="es-ES"/>
        </w:rPr>
      </w:pPr>
      <w:r>
        <w:rPr>
          <w:rFonts w:ascii="Arial" w:hAnsi="Arial" w:cs="Arial"/>
          <w:sz w:val="22"/>
          <w:szCs w:val="22"/>
          <w:lang w:val="es-ES"/>
        </w:rPr>
        <w:t xml:space="preserve">En relación con </w:t>
      </w:r>
      <w:r w:rsidR="00723CD8">
        <w:rPr>
          <w:rFonts w:ascii="Arial" w:hAnsi="Arial" w:cs="Arial"/>
          <w:sz w:val="22"/>
          <w:szCs w:val="22"/>
          <w:lang w:val="es-ES"/>
        </w:rPr>
        <w:t>l</w:t>
      </w:r>
      <w:r w:rsidR="00723CD8" w:rsidRPr="00CA37E3">
        <w:rPr>
          <w:rFonts w:ascii="Arial" w:hAnsi="Arial" w:cs="Arial"/>
          <w:sz w:val="22"/>
          <w:szCs w:val="22"/>
          <w:lang w:val="es-ES"/>
        </w:rPr>
        <w:t xml:space="preserve">os </w:t>
      </w:r>
      <w:r w:rsidR="001D7190" w:rsidRPr="00CA37E3">
        <w:rPr>
          <w:rFonts w:ascii="Arial" w:hAnsi="Arial" w:cs="Arial"/>
          <w:sz w:val="22"/>
          <w:szCs w:val="22"/>
          <w:lang w:val="es-ES"/>
        </w:rPr>
        <w:t>servicios públicos de salud</w:t>
      </w:r>
      <w:r w:rsidR="00723CD8">
        <w:rPr>
          <w:rFonts w:ascii="Arial" w:hAnsi="Arial" w:cs="Arial"/>
          <w:sz w:val="22"/>
          <w:szCs w:val="22"/>
          <w:lang w:val="es-ES"/>
        </w:rPr>
        <w:t>,</w:t>
      </w:r>
      <w:r w:rsidR="001D7190" w:rsidRPr="00CA37E3">
        <w:rPr>
          <w:rFonts w:ascii="Arial" w:hAnsi="Arial" w:cs="Arial"/>
          <w:sz w:val="22"/>
          <w:szCs w:val="22"/>
          <w:lang w:val="es-ES"/>
        </w:rPr>
        <w:t xml:space="preserve"> </w:t>
      </w:r>
      <w:r w:rsidR="00723CD8">
        <w:rPr>
          <w:rFonts w:ascii="Arial" w:hAnsi="Arial" w:cs="Arial"/>
          <w:sz w:val="22"/>
          <w:szCs w:val="22"/>
          <w:lang w:val="es-ES"/>
        </w:rPr>
        <w:t xml:space="preserve">éstos </w:t>
      </w:r>
      <w:r w:rsidR="001D7190" w:rsidRPr="00CA37E3">
        <w:rPr>
          <w:rFonts w:ascii="Arial" w:hAnsi="Arial" w:cs="Arial"/>
          <w:sz w:val="22"/>
          <w:szCs w:val="22"/>
          <w:lang w:val="es-ES"/>
        </w:rPr>
        <w:t>mantuvieron su participación al contribuir con 38.3%</w:t>
      </w:r>
      <w:r w:rsidR="00E26278" w:rsidRPr="00CA37E3">
        <w:rPr>
          <w:rFonts w:ascii="Arial" w:hAnsi="Arial" w:cs="Arial"/>
          <w:sz w:val="22"/>
          <w:szCs w:val="22"/>
          <w:lang w:val="es-ES"/>
        </w:rPr>
        <w:t xml:space="preserve"> mientras que </w:t>
      </w:r>
      <w:r w:rsidR="001D7190" w:rsidRPr="00CA37E3">
        <w:rPr>
          <w:rFonts w:ascii="Arial" w:hAnsi="Arial" w:cs="Arial"/>
          <w:sz w:val="22"/>
          <w:szCs w:val="22"/>
          <w:lang w:val="es-ES"/>
        </w:rPr>
        <w:t xml:space="preserve">el sector privado </w:t>
      </w:r>
      <w:r w:rsidR="00723CD8">
        <w:rPr>
          <w:rFonts w:ascii="Arial" w:hAnsi="Arial" w:cs="Arial"/>
          <w:sz w:val="22"/>
          <w:szCs w:val="22"/>
          <w:lang w:val="es-ES"/>
        </w:rPr>
        <w:t xml:space="preserve">pasó </w:t>
      </w:r>
      <w:r w:rsidR="001D7190" w:rsidRPr="00CA37E3">
        <w:rPr>
          <w:rFonts w:ascii="Arial" w:hAnsi="Arial" w:cs="Arial"/>
          <w:sz w:val="22"/>
          <w:szCs w:val="22"/>
          <w:lang w:val="es-ES"/>
        </w:rPr>
        <w:t>de 35.4% en 2019 a 33.0% en 2020</w:t>
      </w:r>
      <w:r w:rsidR="00E26278" w:rsidRPr="00CA37E3">
        <w:rPr>
          <w:rFonts w:ascii="Arial" w:hAnsi="Arial" w:cs="Arial"/>
          <w:sz w:val="22"/>
          <w:szCs w:val="22"/>
          <w:lang w:val="es-ES"/>
        </w:rPr>
        <w:t xml:space="preserve">. </w:t>
      </w:r>
    </w:p>
    <w:p w14:paraId="14947A70" w14:textId="0765C909" w:rsidR="00086D8C" w:rsidRPr="00CA37E3" w:rsidRDefault="00E26278" w:rsidP="0086479F">
      <w:pPr>
        <w:ind w:left="-567" w:right="-516"/>
        <w:jc w:val="both"/>
        <w:rPr>
          <w:rFonts w:ascii="Arial" w:hAnsi="Arial" w:cs="Arial"/>
          <w:sz w:val="22"/>
          <w:szCs w:val="22"/>
          <w:lang w:val="es-ES"/>
        </w:rPr>
      </w:pPr>
      <w:r w:rsidRPr="00CA37E3">
        <w:rPr>
          <w:rFonts w:ascii="Arial" w:hAnsi="Arial" w:cs="Arial"/>
          <w:sz w:val="22"/>
          <w:szCs w:val="22"/>
          <w:lang w:val="es-ES"/>
        </w:rPr>
        <w:t xml:space="preserve">El </w:t>
      </w:r>
      <w:r w:rsidR="001D7190" w:rsidRPr="00CA37E3">
        <w:rPr>
          <w:rFonts w:ascii="Arial" w:hAnsi="Arial" w:cs="Arial"/>
          <w:sz w:val="22"/>
          <w:szCs w:val="22"/>
          <w:lang w:val="es-ES"/>
        </w:rPr>
        <w:t xml:space="preserve">trabajo no remunerado en cuidados de salud </w:t>
      </w:r>
      <w:r w:rsidR="002E63CE">
        <w:rPr>
          <w:rFonts w:ascii="Arial" w:hAnsi="Arial" w:cs="Arial"/>
          <w:sz w:val="22"/>
          <w:szCs w:val="22"/>
          <w:lang w:val="es-ES"/>
        </w:rPr>
        <w:t>pasó</w:t>
      </w:r>
      <w:r w:rsidR="001D7190" w:rsidRPr="00CA37E3">
        <w:rPr>
          <w:rFonts w:ascii="Arial" w:hAnsi="Arial" w:cs="Arial"/>
          <w:sz w:val="22"/>
          <w:szCs w:val="22"/>
          <w:lang w:val="es-ES"/>
        </w:rPr>
        <w:t xml:space="preserve"> de 26.3% </w:t>
      </w:r>
      <w:r w:rsidR="002E63CE">
        <w:rPr>
          <w:rFonts w:ascii="Arial" w:hAnsi="Arial" w:cs="Arial"/>
          <w:sz w:val="22"/>
          <w:szCs w:val="22"/>
          <w:lang w:val="es-ES"/>
        </w:rPr>
        <w:t xml:space="preserve">a </w:t>
      </w:r>
      <w:r w:rsidR="002E63CE" w:rsidRPr="00CA37E3">
        <w:rPr>
          <w:rFonts w:ascii="Arial" w:hAnsi="Arial" w:cs="Arial"/>
          <w:sz w:val="22"/>
          <w:szCs w:val="22"/>
          <w:lang w:val="es-ES"/>
        </w:rPr>
        <w:t>28.7%</w:t>
      </w:r>
      <w:r w:rsidR="002E63CE">
        <w:rPr>
          <w:rFonts w:ascii="Arial" w:hAnsi="Arial" w:cs="Arial"/>
          <w:sz w:val="22"/>
          <w:szCs w:val="22"/>
          <w:lang w:val="es-ES"/>
        </w:rPr>
        <w:t xml:space="preserve"> en el mismo periodo.</w:t>
      </w:r>
      <w:r w:rsidR="00502A74">
        <w:rPr>
          <w:rFonts w:ascii="Arial" w:hAnsi="Arial" w:cs="Arial"/>
          <w:sz w:val="22"/>
          <w:szCs w:val="22"/>
          <w:lang w:val="es-ES"/>
        </w:rPr>
        <w:t xml:space="preserve"> </w:t>
      </w:r>
      <w:r w:rsidR="00502A74" w:rsidRPr="00746FAE">
        <w:rPr>
          <w:rFonts w:ascii="Arial" w:hAnsi="Arial" w:cs="Arial"/>
          <w:sz w:val="22"/>
          <w:szCs w:val="22"/>
          <w:lang w:val="es-ES"/>
        </w:rPr>
        <w:t>Se observa</w:t>
      </w:r>
      <w:r w:rsidR="00DE2CB1" w:rsidRPr="00746FAE">
        <w:rPr>
          <w:rFonts w:ascii="Arial" w:hAnsi="Arial" w:cs="Arial"/>
          <w:sz w:val="22"/>
          <w:szCs w:val="22"/>
          <w:lang w:val="es-ES"/>
        </w:rPr>
        <w:t xml:space="preserve"> </w:t>
      </w:r>
      <w:r w:rsidR="00502A74" w:rsidRPr="00746FAE">
        <w:rPr>
          <w:rFonts w:ascii="Arial" w:hAnsi="Arial" w:cs="Arial"/>
          <w:sz w:val="22"/>
          <w:szCs w:val="22"/>
          <w:lang w:val="es-ES"/>
        </w:rPr>
        <w:t>que se presenta un desplazamiento en los cuidados de salud hacia los hogares</w:t>
      </w:r>
      <w:r w:rsidR="00B4374E" w:rsidRPr="00746FAE">
        <w:rPr>
          <w:rFonts w:ascii="Arial" w:hAnsi="Arial" w:cs="Arial"/>
          <w:sz w:val="22"/>
          <w:szCs w:val="22"/>
          <w:lang w:val="es-ES"/>
        </w:rPr>
        <w:t>.</w:t>
      </w:r>
    </w:p>
    <w:p w14:paraId="6929D9D3" w14:textId="1C8F3DE1" w:rsidR="002E63CE" w:rsidRDefault="002E63CE" w:rsidP="0086479F">
      <w:pPr>
        <w:ind w:left="-567" w:right="-516"/>
        <w:jc w:val="both"/>
        <w:rPr>
          <w:rFonts w:ascii="Arial" w:hAnsi="Arial" w:cs="Arial"/>
          <w:sz w:val="22"/>
          <w:szCs w:val="22"/>
        </w:rPr>
      </w:pPr>
    </w:p>
    <w:p w14:paraId="0B5AEFEE" w14:textId="6F25E5CB" w:rsidR="00A25BA1" w:rsidRPr="00746FAE" w:rsidRDefault="00D80C40" w:rsidP="00A25BA1">
      <w:pPr>
        <w:ind w:left="-567" w:right="-516"/>
        <w:jc w:val="both"/>
        <w:rPr>
          <w:rFonts w:ascii="Arial" w:hAnsi="Arial" w:cs="Arial"/>
          <w:sz w:val="22"/>
          <w:szCs w:val="22"/>
        </w:rPr>
      </w:pPr>
      <w:r w:rsidRPr="00F06DBB">
        <w:rPr>
          <w:rFonts w:ascii="Arial" w:hAnsi="Arial" w:cs="Arial"/>
          <w:sz w:val="22"/>
          <w:szCs w:val="22"/>
        </w:rPr>
        <w:t xml:space="preserve">A precios de 2013, el PIB ampliado del sector salud presentó un incremento de 3.1% respecto al año anterior. Las actividades que tuvieron crecimiento son </w:t>
      </w:r>
      <w:r w:rsidRPr="00F06DBB">
        <w:rPr>
          <w:rFonts w:ascii="Arial" w:hAnsi="Arial" w:cs="Arial"/>
          <w:sz w:val="22"/>
          <w:szCs w:val="22"/>
          <w:lang w:val="es-ES"/>
        </w:rPr>
        <w:t xml:space="preserve">las actividades auxiliares, entre las que se encuentran los laboratorios clínicos, que crecieron 16.1%; </w:t>
      </w:r>
      <w:r w:rsidR="00FC4FC5" w:rsidRPr="00F06DBB">
        <w:rPr>
          <w:rFonts w:ascii="Arial" w:hAnsi="Arial" w:cs="Arial"/>
          <w:sz w:val="22"/>
          <w:szCs w:val="22"/>
          <w:lang w:val="es-ES"/>
        </w:rPr>
        <w:t xml:space="preserve">y </w:t>
      </w:r>
      <w:r w:rsidRPr="00F06DBB">
        <w:rPr>
          <w:rFonts w:ascii="Arial" w:hAnsi="Arial" w:cs="Arial"/>
          <w:sz w:val="22"/>
          <w:szCs w:val="22"/>
        </w:rPr>
        <w:t>los</w:t>
      </w:r>
      <w:r w:rsidRPr="00F06DBB">
        <w:rPr>
          <w:rFonts w:ascii="Arial" w:hAnsi="Arial" w:cs="Arial"/>
          <w:sz w:val="22"/>
          <w:szCs w:val="22"/>
          <w:lang w:val="es-ES"/>
        </w:rPr>
        <w:t xml:space="preserve"> servicios hospitalarios</w:t>
      </w:r>
      <w:r w:rsidR="00FC4FC5" w:rsidRPr="00F06DBB">
        <w:rPr>
          <w:rFonts w:ascii="Arial" w:hAnsi="Arial" w:cs="Arial"/>
          <w:sz w:val="22"/>
          <w:szCs w:val="22"/>
          <w:lang w:val="es-ES"/>
        </w:rPr>
        <w:t>,</w:t>
      </w:r>
      <w:r w:rsidRPr="00F06DBB">
        <w:rPr>
          <w:rFonts w:ascii="Arial" w:hAnsi="Arial" w:cs="Arial"/>
          <w:sz w:val="22"/>
          <w:szCs w:val="22"/>
          <w:lang w:val="es-ES"/>
        </w:rPr>
        <w:t xml:space="preserve"> con un aumento de 2.9 por ciento. </w:t>
      </w:r>
      <w:r w:rsidR="00851372" w:rsidRPr="00746FAE">
        <w:rPr>
          <w:rFonts w:ascii="Arial" w:hAnsi="Arial" w:cs="Arial"/>
          <w:sz w:val="22"/>
          <w:szCs w:val="22"/>
          <w:lang w:val="es-ES"/>
        </w:rPr>
        <w:t>En contraste</w:t>
      </w:r>
      <w:r w:rsidR="00EA0B7A" w:rsidRPr="00746FAE">
        <w:rPr>
          <w:rFonts w:ascii="Arial" w:hAnsi="Arial" w:cs="Arial"/>
          <w:sz w:val="22"/>
          <w:szCs w:val="22"/>
          <w:lang w:val="es-ES"/>
        </w:rPr>
        <w:t>,</w:t>
      </w:r>
      <w:r w:rsidR="00851372" w:rsidRPr="00746FAE">
        <w:rPr>
          <w:rFonts w:ascii="Arial" w:hAnsi="Arial" w:cs="Arial"/>
          <w:sz w:val="22"/>
          <w:szCs w:val="22"/>
          <w:lang w:val="es-ES"/>
        </w:rPr>
        <w:t xml:space="preserve"> e</w:t>
      </w:r>
      <w:r w:rsidRPr="00746FAE">
        <w:rPr>
          <w:rFonts w:ascii="Arial" w:hAnsi="Arial" w:cs="Arial"/>
          <w:sz w:val="22"/>
          <w:szCs w:val="22"/>
          <w:lang w:val="es-ES"/>
        </w:rPr>
        <w:t>l cierre temporal de establecimientos de actividades no esenciales impactó en la producción de bienes de apoyo</w:t>
      </w:r>
      <w:r w:rsidR="00502A74" w:rsidRPr="00746FAE">
        <w:rPr>
          <w:rStyle w:val="Refdenotaalpie"/>
          <w:rFonts w:ascii="Arial" w:hAnsi="Arial" w:cs="Arial"/>
          <w:sz w:val="22"/>
          <w:szCs w:val="22"/>
          <w:lang w:val="es-ES"/>
        </w:rPr>
        <w:footnoteReference w:id="2"/>
      </w:r>
      <w:r w:rsidRPr="00746FAE">
        <w:rPr>
          <w:rFonts w:ascii="Arial" w:hAnsi="Arial" w:cs="Arial"/>
          <w:sz w:val="22"/>
          <w:szCs w:val="22"/>
          <w:lang w:val="es-ES"/>
        </w:rPr>
        <w:t xml:space="preserve"> para la salud, que disminuyeron 4.5% respecto del año anterior</w:t>
      </w:r>
      <w:r w:rsidR="00A25BA1" w:rsidRPr="00746FAE">
        <w:rPr>
          <w:rFonts w:ascii="Arial" w:hAnsi="Arial" w:cs="Arial"/>
          <w:sz w:val="22"/>
          <w:szCs w:val="22"/>
          <w:lang w:val="es-ES"/>
        </w:rPr>
        <w:t>.</w:t>
      </w:r>
      <w:r w:rsidRPr="00746FAE">
        <w:rPr>
          <w:rFonts w:ascii="Arial" w:hAnsi="Arial" w:cs="Arial"/>
          <w:color w:val="FF0000"/>
          <w:sz w:val="22"/>
          <w:szCs w:val="22"/>
          <w:lang w:val="es-ES"/>
        </w:rPr>
        <w:t xml:space="preserve"> </w:t>
      </w:r>
    </w:p>
    <w:p w14:paraId="084C4EA5" w14:textId="77777777" w:rsidR="00A25BA1" w:rsidRPr="00746FAE" w:rsidRDefault="00A25BA1" w:rsidP="00A25BA1">
      <w:pPr>
        <w:ind w:left="-567" w:right="-516"/>
        <w:jc w:val="both"/>
        <w:rPr>
          <w:rFonts w:ascii="Arial" w:hAnsi="Arial" w:cs="Arial"/>
          <w:sz w:val="22"/>
          <w:szCs w:val="22"/>
        </w:rPr>
      </w:pPr>
    </w:p>
    <w:p w14:paraId="126437CC" w14:textId="47978204" w:rsidR="00E26278" w:rsidRPr="00A25BA1" w:rsidRDefault="00CB28C8" w:rsidP="00A25BA1">
      <w:pPr>
        <w:ind w:left="-567" w:right="-516"/>
        <w:jc w:val="both"/>
        <w:rPr>
          <w:rFonts w:ascii="Arial" w:hAnsi="Arial" w:cs="Arial"/>
          <w:sz w:val="22"/>
          <w:szCs w:val="22"/>
        </w:rPr>
      </w:pPr>
      <w:r w:rsidRPr="00746FAE">
        <w:rPr>
          <w:rFonts w:ascii="Arial" w:hAnsi="Arial" w:cs="Arial"/>
          <w:sz w:val="22"/>
          <w:szCs w:val="22"/>
          <w:lang w:val="es-ES"/>
        </w:rPr>
        <w:t xml:space="preserve">Por </w:t>
      </w:r>
      <w:r w:rsidR="00A07011" w:rsidRPr="00746FAE">
        <w:rPr>
          <w:rFonts w:ascii="Arial" w:hAnsi="Arial" w:cs="Arial"/>
          <w:sz w:val="22"/>
          <w:szCs w:val="22"/>
          <w:lang w:val="es-ES"/>
        </w:rPr>
        <w:t xml:space="preserve">su parte en </w:t>
      </w:r>
      <w:r w:rsidRPr="00746FAE">
        <w:rPr>
          <w:rFonts w:ascii="Arial" w:hAnsi="Arial" w:cs="Arial"/>
          <w:sz w:val="22"/>
          <w:szCs w:val="22"/>
          <w:lang w:val="es-ES"/>
        </w:rPr>
        <w:t xml:space="preserve">los hogares, </w:t>
      </w:r>
      <w:r w:rsidR="002E63CE" w:rsidRPr="00746FAE">
        <w:rPr>
          <w:rFonts w:ascii="Arial" w:hAnsi="Arial" w:cs="Arial"/>
          <w:sz w:val="22"/>
          <w:szCs w:val="22"/>
          <w:lang w:val="es-ES"/>
        </w:rPr>
        <w:t>recayó gran parte de los cuidados de salud, considerando las medidas de confinamiento para enfrentar la pandemia por COVID-19, por lo que</w:t>
      </w:r>
      <w:r w:rsidR="00192005" w:rsidRPr="00746FAE">
        <w:rPr>
          <w:rFonts w:ascii="Arial" w:hAnsi="Arial" w:cs="Arial"/>
          <w:sz w:val="22"/>
          <w:szCs w:val="22"/>
          <w:lang w:val="es-ES"/>
        </w:rPr>
        <w:t xml:space="preserve">, </w:t>
      </w:r>
      <w:r w:rsidR="001C2796" w:rsidRPr="00746FAE">
        <w:rPr>
          <w:rFonts w:ascii="Arial" w:hAnsi="Arial" w:cs="Arial"/>
          <w:sz w:val="22"/>
          <w:szCs w:val="22"/>
          <w:lang w:val="es-ES"/>
        </w:rPr>
        <w:t>e</w:t>
      </w:r>
      <w:r w:rsidR="00192005" w:rsidRPr="00746FAE">
        <w:rPr>
          <w:rFonts w:ascii="Arial" w:hAnsi="Arial" w:cs="Arial"/>
          <w:sz w:val="22"/>
          <w:szCs w:val="22"/>
          <w:lang w:val="es-ES"/>
        </w:rPr>
        <w:t>n 2020 el valor del TNRS</w:t>
      </w:r>
      <w:r w:rsidR="002E63CE" w:rsidRPr="00746FAE">
        <w:rPr>
          <w:rFonts w:ascii="Arial" w:hAnsi="Arial" w:cs="Arial"/>
          <w:sz w:val="22"/>
          <w:szCs w:val="22"/>
          <w:lang w:val="es-ES"/>
        </w:rPr>
        <w:t xml:space="preserve"> </w:t>
      </w:r>
      <w:r w:rsidR="00A07011" w:rsidRPr="00746FAE">
        <w:rPr>
          <w:rFonts w:ascii="Arial" w:hAnsi="Arial" w:cs="Arial"/>
          <w:sz w:val="22"/>
          <w:szCs w:val="22"/>
          <w:lang w:val="es-ES"/>
        </w:rPr>
        <w:t xml:space="preserve">se ubicó en </w:t>
      </w:r>
      <w:r w:rsidR="002E63CE" w:rsidRPr="00746FAE">
        <w:rPr>
          <w:rFonts w:ascii="Arial" w:hAnsi="Arial" w:cs="Arial"/>
          <w:sz w:val="22"/>
          <w:szCs w:val="22"/>
          <w:lang w:val="es-ES"/>
        </w:rPr>
        <w:t xml:space="preserve">1.9% </w:t>
      </w:r>
      <w:r w:rsidR="00F06DBB" w:rsidRPr="00746FAE">
        <w:rPr>
          <w:rFonts w:ascii="Arial" w:hAnsi="Arial" w:cs="Arial"/>
          <w:sz w:val="22"/>
          <w:szCs w:val="22"/>
          <w:lang w:val="es-ES"/>
        </w:rPr>
        <w:t>del PIB nacional</w:t>
      </w:r>
      <w:r w:rsidR="00FB5014" w:rsidRPr="00746FAE">
        <w:rPr>
          <w:rFonts w:ascii="Arial" w:hAnsi="Arial" w:cs="Arial"/>
          <w:sz w:val="22"/>
          <w:szCs w:val="22"/>
          <w:lang w:val="es-ES"/>
        </w:rPr>
        <w:t>, que contrasta con la participación de 1.5% presentada en 2019</w:t>
      </w:r>
      <w:r w:rsidR="002E63CE" w:rsidRPr="00CA37E3">
        <w:rPr>
          <w:rFonts w:ascii="Arial" w:hAnsi="Arial" w:cs="Arial"/>
          <w:sz w:val="22"/>
          <w:szCs w:val="22"/>
          <w:lang w:val="es-ES"/>
        </w:rPr>
        <w:t>.</w:t>
      </w:r>
    </w:p>
    <w:p w14:paraId="1566B2C2" w14:textId="77777777" w:rsidR="00086D8C" w:rsidRPr="00CA37E3" w:rsidRDefault="00086D8C" w:rsidP="002E63CE">
      <w:pPr>
        <w:ind w:right="-516"/>
        <w:jc w:val="both"/>
        <w:rPr>
          <w:rFonts w:ascii="Arial" w:hAnsi="Arial" w:cs="Arial"/>
          <w:sz w:val="22"/>
          <w:szCs w:val="22"/>
        </w:rPr>
      </w:pPr>
    </w:p>
    <w:p w14:paraId="00DFF4B0" w14:textId="46F248DC" w:rsidR="00086D8C" w:rsidRPr="00CA37E3" w:rsidRDefault="00FB5014" w:rsidP="00E47F72">
      <w:pPr>
        <w:ind w:left="-567" w:right="-516"/>
        <w:jc w:val="both"/>
        <w:rPr>
          <w:rFonts w:ascii="Arial" w:hAnsi="Arial" w:cs="Arial"/>
          <w:sz w:val="22"/>
          <w:szCs w:val="22"/>
        </w:rPr>
      </w:pPr>
      <w:r>
        <w:rPr>
          <w:rFonts w:ascii="Arial" w:hAnsi="Arial" w:cs="Arial"/>
          <w:sz w:val="22"/>
          <w:szCs w:val="22"/>
        </w:rPr>
        <w:t>Para el 2020, s</w:t>
      </w:r>
      <w:r w:rsidRPr="00CA37E3">
        <w:rPr>
          <w:rFonts w:ascii="Arial" w:hAnsi="Arial" w:cs="Arial"/>
          <w:sz w:val="22"/>
          <w:szCs w:val="22"/>
        </w:rPr>
        <w:t xml:space="preserve">e </w:t>
      </w:r>
      <w:r w:rsidR="00086D8C" w:rsidRPr="00CA37E3">
        <w:rPr>
          <w:rFonts w:ascii="Arial" w:hAnsi="Arial" w:cs="Arial"/>
          <w:sz w:val="22"/>
          <w:szCs w:val="22"/>
        </w:rPr>
        <w:t>observó un aumento en los cuidados especializados</w:t>
      </w:r>
      <w:r w:rsidR="00086D8C" w:rsidRPr="00CA37E3">
        <w:rPr>
          <w:rStyle w:val="Refdenotaalpie"/>
          <w:rFonts w:ascii="Arial" w:hAnsi="Arial" w:cs="Arial"/>
          <w:sz w:val="22"/>
          <w:szCs w:val="22"/>
        </w:rPr>
        <w:footnoteReference w:id="3"/>
      </w:r>
      <w:r w:rsidR="00086D8C" w:rsidRPr="00CA37E3">
        <w:rPr>
          <w:rFonts w:ascii="Arial" w:hAnsi="Arial" w:cs="Arial"/>
          <w:sz w:val="22"/>
          <w:szCs w:val="22"/>
        </w:rPr>
        <w:t>, al pasar de 53.9% a 57.9%; mientras que los cuidados preventivos</w:t>
      </w:r>
      <w:r w:rsidR="00086D8C" w:rsidRPr="00CA37E3">
        <w:rPr>
          <w:rStyle w:val="Refdenotaalpie"/>
          <w:rFonts w:ascii="Arial" w:hAnsi="Arial" w:cs="Arial"/>
          <w:sz w:val="22"/>
          <w:szCs w:val="22"/>
        </w:rPr>
        <w:footnoteReference w:id="4"/>
      </w:r>
      <w:r w:rsidR="00086D8C" w:rsidRPr="00CA37E3">
        <w:rPr>
          <w:rFonts w:ascii="Arial" w:hAnsi="Arial" w:cs="Arial"/>
          <w:sz w:val="22"/>
          <w:szCs w:val="22"/>
        </w:rPr>
        <w:t xml:space="preserve"> tuvieron una caída al pasar de 7.8% a 2.9 por ciento.</w:t>
      </w:r>
    </w:p>
    <w:p w14:paraId="2058591D" w14:textId="77777777" w:rsidR="008956DA" w:rsidRPr="00CA37E3" w:rsidRDefault="008956DA" w:rsidP="00A25BA1">
      <w:pPr>
        <w:ind w:right="-516"/>
        <w:jc w:val="both"/>
        <w:rPr>
          <w:rFonts w:ascii="Arial" w:hAnsi="Arial" w:cs="Arial"/>
          <w:sz w:val="22"/>
          <w:szCs w:val="22"/>
        </w:rPr>
      </w:pPr>
    </w:p>
    <w:p w14:paraId="0FC9A679" w14:textId="77777777" w:rsidR="00A25BA1" w:rsidRDefault="00FB5014" w:rsidP="00A25BA1">
      <w:pPr>
        <w:pStyle w:val="Textoindependiente"/>
        <w:ind w:left="-567" w:right="-516"/>
        <w:rPr>
          <w:rFonts w:ascii="Arial" w:hAnsi="Arial" w:cs="Arial"/>
          <w:sz w:val="22"/>
          <w:szCs w:val="22"/>
          <w:lang w:val="es-MX"/>
        </w:rPr>
      </w:pPr>
      <w:r>
        <w:rPr>
          <w:rFonts w:ascii="Arial" w:hAnsi="Arial" w:cs="Arial"/>
          <w:sz w:val="22"/>
          <w:szCs w:val="22"/>
          <w:lang w:val="es-MX"/>
        </w:rPr>
        <w:t>Para este mismo año</w:t>
      </w:r>
      <w:r w:rsidR="00CB28C8">
        <w:rPr>
          <w:rFonts w:ascii="Arial" w:hAnsi="Arial" w:cs="Arial"/>
          <w:sz w:val="22"/>
          <w:szCs w:val="22"/>
          <w:lang w:val="es-MX"/>
        </w:rPr>
        <w:t>,</w:t>
      </w:r>
      <w:r w:rsidR="000A6494">
        <w:rPr>
          <w:rFonts w:ascii="Arial" w:hAnsi="Arial" w:cs="Arial"/>
          <w:sz w:val="22"/>
          <w:szCs w:val="22"/>
          <w:lang w:val="es-MX"/>
        </w:rPr>
        <w:t xml:space="preserve"> </w:t>
      </w:r>
      <w:r w:rsidR="002E63CE">
        <w:rPr>
          <w:rFonts w:ascii="Arial" w:hAnsi="Arial" w:cs="Arial"/>
          <w:sz w:val="22"/>
          <w:szCs w:val="22"/>
          <w:lang w:val="es-MX"/>
        </w:rPr>
        <w:t>el</w:t>
      </w:r>
      <w:r w:rsidR="00086D8C" w:rsidRPr="00CA37E3">
        <w:rPr>
          <w:rFonts w:ascii="Arial" w:hAnsi="Arial" w:cs="Arial"/>
          <w:sz w:val="22"/>
          <w:szCs w:val="22"/>
          <w:lang w:val="es-MX"/>
        </w:rPr>
        <w:t xml:space="preserve"> gasto monetario de los hogares, a precios del 2013,</w:t>
      </w:r>
      <w:r w:rsidR="006D5787">
        <w:rPr>
          <w:rFonts w:ascii="Arial" w:hAnsi="Arial" w:cs="Arial"/>
          <w:sz w:val="22"/>
          <w:szCs w:val="22"/>
          <w:lang w:val="es-MX"/>
        </w:rPr>
        <w:t xml:space="preserve"> destinado a </w:t>
      </w:r>
      <w:r w:rsidR="00086D8C" w:rsidRPr="00CA37E3">
        <w:rPr>
          <w:rFonts w:ascii="Arial" w:hAnsi="Arial" w:cs="Arial"/>
          <w:sz w:val="22"/>
          <w:szCs w:val="22"/>
          <w:lang w:val="es-MX"/>
        </w:rPr>
        <w:t>servicios de laboratorio</w:t>
      </w:r>
      <w:r w:rsidR="006D5787">
        <w:rPr>
          <w:rFonts w:ascii="Arial" w:hAnsi="Arial" w:cs="Arial"/>
          <w:sz w:val="22"/>
          <w:szCs w:val="22"/>
          <w:lang w:val="es-MX"/>
        </w:rPr>
        <w:t xml:space="preserve"> y</w:t>
      </w:r>
      <w:r w:rsidR="00086D8C" w:rsidRPr="00CA37E3">
        <w:rPr>
          <w:rFonts w:ascii="Arial" w:hAnsi="Arial" w:cs="Arial"/>
          <w:sz w:val="22"/>
          <w:szCs w:val="22"/>
          <w:lang w:val="es-MX"/>
        </w:rPr>
        <w:t xml:space="preserve"> </w:t>
      </w:r>
      <w:r w:rsidR="006D5787">
        <w:rPr>
          <w:rFonts w:ascii="Arial" w:hAnsi="Arial" w:cs="Arial"/>
          <w:sz w:val="22"/>
          <w:szCs w:val="22"/>
          <w:lang w:val="es-MX"/>
        </w:rPr>
        <w:t xml:space="preserve">de </w:t>
      </w:r>
      <w:r w:rsidR="00086D8C" w:rsidRPr="00CA37E3">
        <w:rPr>
          <w:rFonts w:ascii="Arial" w:hAnsi="Arial" w:cs="Arial"/>
          <w:sz w:val="22"/>
          <w:szCs w:val="22"/>
          <w:lang w:val="es-MX"/>
        </w:rPr>
        <w:t xml:space="preserve">ambulancias </w:t>
      </w:r>
      <w:r w:rsidR="006D5787">
        <w:rPr>
          <w:rFonts w:ascii="Arial" w:hAnsi="Arial" w:cs="Arial"/>
          <w:sz w:val="22"/>
          <w:szCs w:val="22"/>
          <w:lang w:val="es-MX"/>
        </w:rPr>
        <w:t xml:space="preserve">se </w:t>
      </w:r>
      <w:r w:rsidR="00CB28C8">
        <w:rPr>
          <w:rFonts w:ascii="Arial" w:hAnsi="Arial" w:cs="Arial"/>
          <w:sz w:val="22"/>
          <w:szCs w:val="22"/>
          <w:lang w:val="es-MX"/>
        </w:rPr>
        <w:t xml:space="preserve">incrementó en 14.5%, </w:t>
      </w:r>
      <w:r w:rsidR="008956DA">
        <w:rPr>
          <w:rFonts w:ascii="Arial" w:hAnsi="Arial" w:cs="Arial"/>
          <w:sz w:val="22"/>
          <w:szCs w:val="22"/>
          <w:lang w:val="es-MX"/>
        </w:rPr>
        <w:t>mientras que en</w:t>
      </w:r>
      <w:r w:rsidR="00086D8C" w:rsidRPr="00CA37E3">
        <w:rPr>
          <w:rFonts w:ascii="Arial" w:hAnsi="Arial" w:cs="Arial"/>
          <w:sz w:val="22"/>
          <w:szCs w:val="22"/>
          <w:lang w:val="es-MX"/>
        </w:rPr>
        <w:t xml:space="preserve"> los servicios hospitalarios</w:t>
      </w:r>
      <w:r w:rsidR="008956DA">
        <w:rPr>
          <w:rFonts w:ascii="Arial" w:hAnsi="Arial" w:cs="Arial"/>
          <w:sz w:val="22"/>
          <w:szCs w:val="22"/>
          <w:lang w:val="es-MX"/>
        </w:rPr>
        <w:t xml:space="preserve"> aumentó </w:t>
      </w:r>
      <w:r w:rsidR="006D5787">
        <w:rPr>
          <w:rFonts w:ascii="Arial" w:hAnsi="Arial" w:cs="Arial"/>
          <w:sz w:val="22"/>
          <w:szCs w:val="22"/>
          <w:lang w:val="es-MX"/>
        </w:rPr>
        <w:t xml:space="preserve">en </w:t>
      </w:r>
      <w:r w:rsidR="00086D8C" w:rsidRPr="00CA37E3">
        <w:rPr>
          <w:rFonts w:ascii="Arial" w:hAnsi="Arial" w:cs="Arial"/>
          <w:sz w:val="22"/>
          <w:szCs w:val="22"/>
          <w:lang w:val="es-MX"/>
        </w:rPr>
        <w:t>4.4</w:t>
      </w:r>
      <w:r w:rsidR="00086D8C" w:rsidRPr="00CA37E3">
        <w:rPr>
          <w:rFonts w:ascii="Arial" w:hAnsi="Arial" w:cs="Arial"/>
          <w:sz w:val="22"/>
          <w:szCs w:val="22"/>
        </w:rPr>
        <w:t xml:space="preserve"> por ciento</w:t>
      </w:r>
      <w:r w:rsidR="00086D8C" w:rsidRPr="00CA37E3">
        <w:rPr>
          <w:rFonts w:ascii="Arial" w:hAnsi="Arial" w:cs="Arial"/>
          <w:sz w:val="22"/>
          <w:szCs w:val="22"/>
          <w:lang w:val="es-MX"/>
        </w:rPr>
        <w:t xml:space="preserve">. </w:t>
      </w:r>
    </w:p>
    <w:p w14:paraId="2A067185" w14:textId="77777777" w:rsidR="00A25BA1" w:rsidRDefault="00A25BA1" w:rsidP="00A25BA1">
      <w:pPr>
        <w:pStyle w:val="Textoindependiente"/>
        <w:ind w:left="-567" w:right="-516"/>
        <w:rPr>
          <w:rFonts w:ascii="Arial" w:hAnsi="Arial" w:cs="Arial"/>
          <w:sz w:val="22"/>
          <w:szCs w:val="22"/>
          <w:lang w:val="es-MX"/>
        </w:rPr>
      </w:pPr>
    </w:p>
    <w:p w14:paraId="4DFA8758" w14:textId="46043232" w:rsidR="00A61053" w:rsidRPr="00A25BA1" w:rsidRDefault="008D5819" w:rsidP="00A25BA1">
      <w:pPr>
        <w:pStyle w:val="Textoindependiente"/>
        <w:ind w:left="-567" w:right="-516"/>
        <w:rPr>
          <w:rFonts w:ascii="Arial" w:hAnsi="Arial" w:cs="Arial"/>
          <w:sz w:val="22"/>
          <w:szCs w:val="22"/>
          <w:lang w:val="es-MX"/>
        </w:rPr>
      </w:pPr>
      <w:r w:rsidRPr="00CA37E3">
        <w:rPr>
          <w:rFonts w:ascii="Arial" w:hAnsi="Arial" w:cs="Arial"/>
          <w:sz w:val="22"/>
          <w:szCs w:val="22"/>
        </w:rPr>
        <w:t>La oferta de los bienes y servicios del sector salud disponibles en el país se ubicó en 2.5 billones de pesos, de los cuales 80.2% son de origen nacional, 10.6% provienen del resto del mundo y 9.1% representan el valor de los márgenes de comercio y transporte.</w:t>
      </w:r>
    </w:p>
    <w:p w14:paraId="3254550B" w14:textId="77777777" w:rsidR="00A61053" w:rsidRDefault="00A61053" w:rsidP="00A61053">
      <w:pPr>
        <w:ind w:left="-567" w:right="-516"/>
        <w:jc w:val="both"/>
        <w:rPr>
          <w:rFonts w:ascii="Arial" w:hAnsi="Arial" w:cs="Arial"/>
          <w:sz w:val="22"/>
          <w:szCs w:val="22"/>
        </w:rPr>
      </w:pPr>
    </w:p>
    <w:p w14:paraId="73F18133" w14:textId="77777777" w:rsidR="009D55D4" w:rsidRDefault="002E63CE" w:rsidP="009D55D4">
      <w:pPr>
        <w:ind w:left="-567" w:right="-516"/>
        <w:jc w:val="both"/>
        <w:rPr>
          <w:rFonts w:ascii="Arial" w:hAnsi="Arial" w:cs="Arial"/>
          <w:sz w:val="22"/>
          <w:szCs w:val="22"/>
        </w:rPr>
      </w:pPr>
      <w:r>
        <w:rPr>
          <w:rFonts w:ascii="Arial" w:hAnsi="Arial" w:cs="Arial"/>
          <w:sz w:val="22"/>
          <w:szCs w:val="22"/>
        </w:rPr>
        <w:t>P</w:t>
      </w:r>
      <w:r w:rsidR="00086D8C" w:rsidRPr="00CA37E3">
        <w:rPr>
          <w:rFonts w:ascii="Arial" w:hAnsi="Arial" w:cs="Arial"/>
          <w:sz w:val="22"/>
          <w:szCs w:val="22"/>
        </w:rPr>
        <w:t xml:space="preserve">ara atender el incremento en la demanda de servicios de salud derivada de la emergencia sanitaria, se reportaron 2.3 millones de puestos de trabajo remunerados en el </w:t>
      </w:r>
      <w:r w:rsidR="00086D8C" w:rsidRPr="00746FAE">
        <w:rPr>
          <w:rFonts w:ascii="Arial" w:hAnsi="Arial" w:cs="Arial"/>
          <w:sz w:val="22"/>
          <w:szCs w:val="22"/>
        </w:rPr>
        <w:t xml:space="preserve">sector de la salud, equivalentes a 5.7% de los puestos de trabajo remunerados de la economía total. </w:t>
      </w:r>
      <w:r w:rsidR="00FB5014" w:rsidRPr="00746FAE">
        <w:rPr>
          <w:rFonts w:ascii="Arial" w:hAnsi="Arial" w:cs="Arial"/>
          <w:sz w:val="22"/>
          <w:szCs w:val="22"/>
        </w:rPr>
        <w:t>Est</w:t>
      </w:r>
      <w:r w:rsidR="008534CE" w:rsidRPr="00746FAE">
        <w:rPr>
          <w:rFonts w:ascii="Arial" w:hAnsi="Arial" w:cs="Arial"/>
          <w:sz w:val="22"/>
          <w:szCs w:val="22"/>
        </w:rPr>
        <w:t>os</w:t>
      </w:r>
      <w:r w:rsidR="00FB5014" w:rsidRPr="00746FAE">
        <w:rPr>
          <w:rFonts w:ascii="Arial" w:hAnsi="Arial" w:cs="Arial"/>
          <w:sz w:val="22"/>
          <w:szCs w:val="22"/>
        </w:rPr>
        <w:t xml:space="preserve"> </w:t>
      </w:r>
      <w:r w:rsidR="008534CE" w:rsidRPr="00746FAE">
        <w:rPr>
          <w:rFonts w:ascii="Arial" w:hAnsi="Arial" w:cs="Arial"/>
          <w:sz w:val="22"/>
          <w:szCs w:val="22"/>
        </w:rPr>
        <w:t xml:space="preserve">puestos de trabajo tuvieron un </w:t>
      </w:r>
      <w:r w:rsidR="00FB5014" w:rsidRPr="00746FAE">
        <w:rPr>
          <w:rFonts w:ascii="Arial" w:hAnsi="Arial" w:cs="Arial"/>
          <w:sz w:val="22"/>
          <w:szCs w:val="22"/>
        </w:rPr>
        <w:t xml:space="preserve">aumento de 3.6% respecto al año previo; y en particular en el sector público se observó un incremento de 3.7%, en comparación con </w:t>
      </w:r>
      <w:r w:rsidR="008534CE" w:rsidRPr="00746FAE">
        <w:rPr>
          <w:rFonts w:ascii="Arial" w:hAnsi="Arial" w:cs="Arial"/>
          <w:sz w:val="22"/>
          <w:szCs w:val="22"/>
        </w:rPr>
        <w:t xml:space="preserve">el </w:t>
      </w:r>
      <w:r w:rsidR="00FB5014" w:rsidRPr="00746FAE">
        <w:rPr>
          <w:rFonts w:ascii="Arial" w:hAnsi="Arial" w:cs="Arial"/>
          <w:sz w:val="22"/>
          <w:szCs w:val="22"/>
        </w:rPr>
        <w:t>1.2% que se reportó en 2019.</w:t>
      </w:r>
    </w:p>
    <w:p w14:paraId="13607157" w14:textId="77777777" w:rsidR="009D55D4" w:rsidRDefault="009D55D4" w:rsidP="009D55D4">
      <w:pPr>
        <w:ind w:left="-567" w:right="-516"/>
        <w:jc w:val="both"/>
        <w:rPr>
          <w:rFonts w:ascii="Arial" w:hAnsi="Arial" w:cs="Arial"/>
          <w:sz w:val="22"/>
          <w:szCs w:val="22"/>
        </w:rPr>
      </w:pPr>
    </w:p>
    <w:p w14:paraId="1E4B37A0" w14:textId="12F6712C" w:rsidR="000A6494" w:rsidRDefault="00E47F72" w:rsidP="009D55D4">
      <w:pPr>
        <w:ind w:left="-567" w:right="-516"/>
        <w:jc w:val="both"/>
        <w:rPr>
          <w:rFonts w:ascii="Arial" w:hAnsi="Arial" w:cs="Arial"/>
          <w:sz w:val="22"/>
          <w:szCs w:val="22"/>
        </w:rPr>
      </w:pPr>
      <w:r w:rsidRPr="00CA37E3">
        <w:rPr>
          <w:rFonts w:ascii="Arial" w:hAnsi="Arial" w:cs="Arial"/>
          <w:sz w:val="22"/>
          <w:szCs w:val="22"/>
        </w:rPr>
        <w:t xml:space="preserve">Esta Cuenta constituye una ampliación del Sistema de Cuentas Nacionales de México (SCNM) y </w:t>
      </w:r>
      <w:r w:rsidRPr="00CA37E3">
        <w:rPr>
          <w:rFonts w:ascii="Arial" w:eastAsia="Arial" w:hAnsi="Arial" w:cs="Arial"/>
          <w:sz w:val="22"/>
          <w:szCs w:val="22"/>
        </w:rPr>
        <w:t>proporciona información económica para la toma de decisiones del sector público y el sector privado</w:t>
      </w:r>
      <w:r w:rsidR="00CA37E3" w:rsidRPr="00CA37E3">
        <w:rPr>
          <w:rFonts w:ascii="Arial" w:hAnsi="Arial" w:cs="Arial"/>
          <w:sz w:val="22"/>
          <w:szCs w:val="22"/>
        </w:rPr>
        <w:t xml:space="preserve">. </w:t>
      </w:r>
      <w:r w:rsidR="00086D8C" w:rsidRPr="00CA37E3">
        <w:rPr>
          <w:rFonts w:ascii="Arial" w:hAnsi="Arial" w:cs="Arial"/>
          <w:sz w:val="22"/>
          <w:szCs w:val="22"/>
        </w:rPr>
        <w:t xml:space="preserve">Los resultados </w:t>
      </w:r>
      <w:r w:rsidRPr="00CA37E3">
        <w:rPr>
          <w:rFonts w:ascii="Arial" w:hAnsi="Arial" w:cs="Arial"/>
          <w:sz w:val="22"/>
          <w:szCs w:val="22"/>
        </w:rPr>
        <w:t xml:space="preserve">de la CSSSM </w:t>
      </w:r>
      <w:r w:rsidR="00086D8C" w:rsidRPr="00CA37E3">
        <w:rPr>
          <w:rFonts w:ascii="Arial" w:hAnsi="Arial" w:cs="Arial"/>
          <w:sz w:val="22"/>
          <w:szCs w:val="22"/>
        </w:rPr>
        <w:t>así como la metodología y otra información de interés, pueden consultarse en la</w:t>
      </w:r>
      <w:r w:rsidRPr="00CA37E3">
        <w:rPr>
          <w:rFonts w:ascii="Arial" w:hAnsi="Arial" w:cs="Arial"/>
          <w:sz w:val="22"/>
          <w:szCs w:val="22"/>
        </w:rPr>
        <w:t xml:space="preserve">s siguientes </w:t>
      </w:r>
      <w:r w:rsidR="00FB5014" w:rsidRPr="00CA37E3">
        <w:rPr>
          <w:rFonts w:ascii="Arial" w:hAnsi="Arial" w:cs="Arial"/>
          <w:sz w:val="22"/>
          <w:szCs w:val="22"/>
        </w:rPr>
        <w:t>páginas</w:t>
      </w:r>
      <w:r w:rsidRPr="00CA37E3">
        <w:rPr>
          <w:rFonts w:ascii="Arial" w:hAnsi="Arial" w:cs="Arial"/>
          <w:sz w:val="22"/>
          <w:szCs w:val="22"/>
        </w:rPr>
        <w:t xml:space="preserve"> del Sitio del INEGI:</w:t>
      </w:r>
      <w:r w:rsidR="000A6494">
        <w:rPr>
          <w:rFonts w:ascii="Arial" w:hAnsi="Arial" w:cs="Arial"/>
          <w:sz w:val="22"/>
          <w:szCs w:val="22"/>
        </w:rPr>
        <w:t xml:space="preserve"> </w:t>
      </w:r>
    </w:p>
    <w:p w14:paraId="51BEEA42" w14:textId="79599EEE" w:rsidR="00086D8C" w:rsidRPr="000A6494" w:rsidRDefault="00E7430E" w:rsidP="000A6494">
      <w:pPr>
        <w:pStyle w:val="Textoindependiente"/>
        <w:ind w:left="-567" w:right="-516"/>
        <w:rPr>
          <w:rFonts w:ascii="Arial" w:hAnsi="Arial" w:cs="Arial"/>
          <w:sz w:val="22"/>
          <w:szCs w:val="22"/>
          <w:lang w:val="es-MX"/>
        </w:rPr>
      </w:pPr>
      <w:hyperlink r:id="rId9" w:history="1">
        <w:r w:rsidR="000A6494" w:rsidRPr="002D53DC">
          <w:rPr>
            <w:rStyle w:val="Hipervnculo"/>
            <w:rFonts w:ascii="Arial" w:hAnsi="Arial" w:cs="Arial"/>
            <w:sz w:val="22"/>
            <w:szCs w:val="22"/>
          </w:rPr>
          <w:t>https://www.inegi.org.mx/temas/saludsat/</w:t>
        </w:r>
      </w:hyperlink>
    </w:p>
    <w:p w14:paraId="07592CE3" w14:textId="21545642" w:rsidR="00086D8C" w:rsidRDefault="00E7430E" w:rsidP="008956DA">
      <w:pPr>
        <w:pStyle w:val="Textoindependiente"/>
        <w:ind w:left="-567" w:right="-516"/>
        <w:rPr>
          <w:rStyle w:val="Hipervnculo"/>
          <w:rFonts w:ascii="Arial" w:hAnsi="Arial" w:cs="Arial"/>
          <w:sz w:val="22"/>
          <w:szCs w:val="22"/>
        </w:rPr>
      </w:pPr>
      <w:hyperlink r:id="rId10" w:history="1">
        <w:r w:rsidR="00E47F72" w:rsidRPr="00CA37E3">
          <w:rPr>
            <w:rStyle w:val="Hipervnculo"/>
            <w:rFonts w:ascii="Arial" w:hAnsi="Arial" w:cs="Arial"/>
            <w:sz w:val="22"/>
            <w:szCs w:val="22"/>
          </w:rPr>
          <w:t>https://www.inegi.org.mx/programas/saludsat/2013/</w:t>
        </w:r>
      </w:hyperlink>
    </w:p>
    <w:p w14:paraId="3B7DF286" w14:textId="77777777" w:rsidR="008956DA" w:rsidRPr="00CA37E3" w:rsidRDefault="008956DA" w:rsidP="008956DA">
      <w:pPr>
        <w:pStyle w:val="Textoindependiente"/>
        <w:ind w:left="-567" w:right="-516"/>
        <w:rPr>
          <w:rStyle w:val="Hipervnculo"/>
          <w:rFonts w:ascii="Arial" w:hAnsi="Arial" w:cs="Arial"/>
          <w:sz w:val="22"/>
          <w:szCs w:val="22"/>
        </w:rPr>
      </w:pPr>
    </w:p>
    <w:p w14:paraId="36B59DC8" w14:textId="69CDE2A2" w:rsidR="00086D8C" w:rsidRDefault="008956DA" w:rsidP="008956DA">
      <w:pPr>
        <w:pStyle w:val="Textoindependiente"/>
        <w:ind w:left="-567" w:right="-518"/>
        <w:jc w:val="center"/>
        <w:rPr>
          <w:rFonts w:ascii="Arial" w:hAnsi="Arial" w:cs="Arial"/>
          <w:b/>
          <w:sz w:val="22"/>
          <w:szCs w:val="22"/>
          <w:lang w:val="es-MX"/>
        </w:rPr>
      </w:pPr>
      <w:r w:rsidRPr="008956DA">
        <w:rPr>
          <w:rFonts w:ascii="Arial" w:hAnsi="Arial" w:cs="Arial"/>
          <w:b/>
          <w:sz w:val="22"/>
          <w:szCs w:val="22"/>
          <w:lang w:val="es-MX"/>
        </w:rPr>
        <w:t>Se anexa nota técnica.</w:t>
      </w:r>
    </w:p>
    <w:p w14:paraId="1A7C4688" w14:textId="77777777" w:rsidR="008956DA" w:rsidRPr="008956DA" w:rsidRDefault="008956DA" w:rsidP="008956DA">
      <w:pPr>
        <w:pStyle w:val="Textoindependiente"/>
        <w:ind w:left="-567" w:right="-518"/>
        <w:jc w:val="center"/>
        <w:rPr>
          <w:rFonts w:ascii="Arial" w:hAnsi="Arial" w:cs="Arial"/>
          <w:b/>
          <w:sz w:val="20"/>
          <w:szCs w:val="20"/>
          <w:lang w:val="es-MX"/>
        </w:rPr>
      </w:pPr>
    </w:p>
    <w:p w14:paraId="48EC7E03" w14:textId="77777777" w:rsidR="00086D8C" w:rsidRPr="008956DA" w:rsidRDefault="00086D8C" w:rsidP="008956DA">
      <w:pPr>
        <w:pStyle w:val="NormalWeb"/>
        <w:spacing w:before="0" w:beforeAutospacing="0" w:after="0" w:afterAutospacing="0"/>
        <w:ind w:left="-426" w:right="-518"/>
        <w:contextualSpacing/>
        <w:jc w:val="center"/>
        <w:rPr>
          <w:rFonts w:ascii="Arial" w:hAnsi="Arial" w:cs="Arial"/>
          <w:sz w:val="20"/>
          <w:szCs w:val="20"/>
        </w:rPr>
      </w:pPr>
      <w:r w:rsidRPr="008956DA">
        <w:rPr>
          <w:rFonts w:ascii="Arial" w:hAnsi="Arial" w:cs="Arial"/>
          <w:sz w:val="20"/>
          <w:szCs w:val="20"/>
        </w:rPr>
        <w:t xml:space="preserve">Para consultas de medios y periodistas, contactar a: </w:t>
      </w:r>
      <w:hyperlink r:id="rId11" w:history="1">
        <w:r w:rsidRPr="008956DA">
          <w:rPr>
            <w:rStyle w:val="Hipervnculo"/>
            <w:rFonts w:ascii="Arial" w:hAnsi="Arial" w:cs="Arial"/>
            <w:sz w:val="20"/>
            <w:szCs w:val="20"/>
          </w:rPr>
          <w:t>comunicacionsocial@inegi.org.mx</w:t>
        </w:r>
      </w:hyperlink>
      <w:r w:rsidRPr="008956DA">
        <w:rPr>
          <w:rFonts w:ascii="Arial" w:hAnsi="Arial" w:cs="Arial"/>
          <w:sz w:val="20"/>
          <w:szCs w:val="20"/>
        </w:rPr>
        <w:t xml:space="preserve"> </w:t>
      </w:r>
    </w:p>
    <w:p w14:paraId="44724C99" w14:textId="2CAA958A" w:rsidR="00086D8C" w:rsidRPr="008956DA" w:rsidRDefault="00086D8C" w:rsidP="008956DA">
      <w:pPr>
        <w:pStyle w:val="NormalWeb"/>
        <w:spacing w:before="0" w:beforeAutospacing="0" w:after="0" w:afterAutospacing="0"/>
        <w:ind w:left="-426" w:right="-518"/>
        <w:contextualSpacing/>
        <w:jc w:val="center"/>
        <w:rPr>
          <w:rFonts w:ascii="Arial" w:hAnsi="Arial" w:cs="Arial"/>
          <w:sz w:val="20"/>
          <w:szCs w:val="20"/>
        </w:rPr>
      </w:pPr>
      <w:r w:rsidRPr="008956DA">
        <w:rPr>
          <w:rFonts w:ascii="Arial" w:hAnsi="Arial" w:cs="Arial"/>
          <w:sz w:val="20"/>
          <w:szCs w:val="20"/>
        </w:rPr>
        <w:t xml:space="preserve">o llamar al teléfono (55) 52-78-10-00, </w:t>
      </w:r>
      <w:proofErr w:type="spellStart"/>
      <w:r w:rsidRPr="008956DA">
        <w:rPr>
          <w:rFonts w:ascii="Arial" w:hAnsi="Arial" w:cs="Arial"/>
          <w:sz w:val="20"/>
          <w:szCs w:val="20"/>
        </w:rPr>
        <w:t>exts</w:t>
      </w:r>
      <w:proofErr w:type="spellEnd"/>
      <w:r w:rsidRPr="008956DA">
        <w:rPr>
          <w:rFonts w:ascii="Arial" w:hAnsi="Arial" w:cs="Arial"/>
          <w:sz w:val="20"/>
          <w:szCs w:val="20"/>
        </w:rPr>
        <w:t>. 1134, 1260 y 1241.</w:t>
      </w:r>
    </w:p>
    <w:p w14:paraId="6FF17135" w14:textId="1EA5623F" w:rsidR="00086D8C" w:rsidRDefault="00086D8C" w:rsidP="008956DA">
      <w:pPr>
        <w:ind w:left="-426" w:right="-518"/>
        <w:contextualSpacing/>
        <w:jc w:val="center"/>
        <w:rPr>
          <w:rFonts w:ascii="Arial" w:hAnsi="Arial" w:cs="Arial"/>
          <w:sz w:val="20"/>
          <w:szCs w:val="20"/>
        </w:rPr>
      </w:pPr>
      <w:r w:rsidRPr="008956DA">
        <w:rPr>
          <w:rFonts w:ascii="Arial" w:hAnsi="Arial" w:cs="Arial"/>
          <w:sz w:val="20"/>
          <w:szCs w:val="20"/>
        </w:rPr>
        <w:t>Dirección de Atención a Medios / Dirección General Adjunta de Comunicación</w:t>
      </w:r>
    </w:p>
    <w:p w14:paraId="49B6DA16" w14:textId="77777777" w:rsidR="000A6494" w:rsidRDefault="000A6494" w:rsidP="008956DA">
      <w:pPr>
        <w:ind w:left="-426" w:right="-518"/>
        <w:contextualSpacing/>
        <w:jc w:val="center"/>
        <w:rPr>
          <w:rFonts w:ascii="Arial" w:hAnsi="Arial" w:cs="Arial"/>
          <w:sz w:val="20"/>
          <w:szCs w:val="20"/>
        </w:rPr>
      </w:pPr>
    </w:p>
    <w:p w14:paraId="68E523DC" w14:textId="77777777" w:rsidR="00086D8C" w:rsidRDefault="00086D8C" w:rsidP="00086D8C">
      <w:pPr>
        <w:ind w:left="-425" w:right="-516"/>
        <w:contextualSpacing/>
        <w:jc w:val="center"/>
        <w:rPr>
          <w:noProof/>
        </w:rPr>
        <w:sectPr w:rsidR="00086D8C" w:rsidSect="002E63CE">
          <w:headerReference w:type="default" r:id="rId12"/>
          <w:footerReference w:type="default" r:id="rId13"/>
          <w:pgSz w:w="12240" w:h="15840"/>
          <w:pgMar w:top="1843" w:right="1701" w:bottom="851" w:left="1701" w:header="142" w:footer="709" w:gutter="0"/>
          <w:cols w:space="708"/>
          <w:docGrid w:linePitch="360"/>
        </w:sectPr>
      </w:pPr>
      <w:r w:rsidRPr="00B226CD">
        <w:rPr>
          <w:noProof/>
          <w:lang w:val="en-US" w:eastAsia="en-US"/>
        </w:rPr>
        <w:drawing>
          <wp:inline distT="0" distB="0" distL="0" distR="0" wp14:anchorId="070E8DB3" wp14:editId="70BDBF06">
            <wp:extent cx="310840" cy="321310"/>
            <wp:effectExtent l="0" t="0" r="0" b="2540"/>
            <wp:docPr id="8" name="Imagen 8"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8"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584" cy="332416"/>
                    </a:xfrm>
                    <a:prstGeom prst="rect">
                      <a:avLst/>
                    </a:prstGeom>
                    <a:noFill/>
                    <a:ln>
                      <a:noFill/>
                    </a:ln>
                  </pic:spPr>
                </pic:pic>
              </a:graphicData>
            </a:graphic>
          </wp:inline>
        </w:drawing>
      </w:r>
      <w:r>
        <w:rPr>
          <w:noProof/>
        </w:rPr>
        <w:t xml:space="preserve"> </w:t>
      </w:r>
      <w:r w:rsidRPr="00B226CD">
        <w:rPr>
          <w:noProof/>
          <w:lang w:val="en-US" w:eastAsia="en-US"/>
        </w:rPr>
        <w:drawing>
          <wp:inline distT="0" distB="0" distL="0" distR="0" wp14:anchorId="5304FC9A" wp14:editId="4672CADD">
            <wp:extent cx="315341" cy="315341"/>
            <wp:effectExtent l="0" t="0" r="8890" b="8890"/>
            <wp:docPr id="6" name="Imagen 6"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9187" cy="319187"/>
                    </a:xfrm>
                    <a:prstGeom prst="rect">
                      <a:avLst/>
                    </a:prstGeom>
                    <a:noFill/>
                    <a:ln>
                      <a:noFill/>
                    </a:ln>
                  </pic:spPr>
                </pic:pic>
              </a:graphicData>
            </a:graphic>
          </wp:inline>
        </w:drawing>
      </w:r>
      <w:r>
        <w:rPr>
          <w:noProof/>
        </w:rPr>
        <w:t xml:space="preserve"> </w:t>
      </w:r>
      <w:r w:rsidRPr="00B226CD">
        <w:rPr>
          <w:noProof/>
          <w:lang w:val="en-US" w:eastAsia="en-US"/>
        </w:rPr>
        <w:drawing>
          <wp:inline distT="0" distB="0" distL="0" distR="0" wp14:anchorId="2EC61566" wp14:editId="6AAAE0B3">
            <wp:extent cx="322656" cy="322656"/>
            <wp:effectExtent l="0" t="0" r="1270" b="1270"/>
            <wp:docPr id="5" name="Imagen 5"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9"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5990" cy="325990"/>
                    </a:xfrm>
                    <a:prstGeom prst="rect">
                      <a:avLst/>
                    </a:prstGeom>
                    <a:noFill/>
                    <a:ln>
                      <a:noFill/>
                    </a:ln>
                  </pic:spPr>
                </pic:pic>
              </a:graphicData>
            </a:graphic>
          </wp:inline>
        </w:drawing>
      </w:r>
      <w:r>
        <w:rPr>
          <w:noProof/>
        </w:rPr>
        <w:t xml:space="preserve"> </w:t>
      </w:r>
      <w:r w:rsidRPr="00B226CD">
        <w:rPr>
          <w:noProof/>
          <w:lang w:val="en-US" w:eastAsia="en-US"/>
        </w:rPr>
        <w:drawing>
          <wp:inline distT="0" distB="0" distL="0" distR="0" wp14:anchorId="40562994" wp14:editId="51BF49A4">
            <wp:extent cx="326314" cy="326314"/>
            <wp:effectExtent l="0" t="0" r="0" b="0"/>
            <wp:docPr id="4" name="Imagen 4"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0"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1231" cy="331231"/>
                    </a:xfrm>
                    <a:prstGeom prst="rect">
                      <a:avLst/>
                    </a:prstGeom>
                    <a:noFill/>
                    <a:ln>
                      <a:noFill/>
                    </a:ln>
                  </pic:spPr>
                </pic:pic>
              </a:graphicData>
            </a:graphic>
          </wp:inline>
        </w:drawing>
      </w:r>
      <w:r>
        <w:rPr>
          <w:noProof/>
        </w:rPr>
        <w:t xml:space="preserve">  </w:t>
      </w:r>
      <w:r w:rsidRPr="00C47E9E">
        <w:rPr>
          <w:noProof/>
          <w:sz w:val="14"/>
          <w:szCs w:val="18"/>
          <w:lang w:val="en-US" w:eastAsia="en-US"/>
        </w:rPr>
        <w:drawing>
          <wp:inline distT="0" distB="0" distL="0" distR="0" wp14:anchorId="5DA6CADD" wp14:editId="62C15EB1">
            <wp:extent cx="2286000" cy="272415"/>
            <wp:effectExtent l="0" t="0" r="0" b="0"/>
            <wp:docPr id="9" name="Imagen 9">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2415"/>
                    </a:xfrm>
                    <a:prstGeom prst="rect">
                      <a:avLst/>
                    </a:prstGeom>
                    <a:noFill/>
                    <a:ln>
                      <a:noFill/>
                    </a:ln>
                  </pic:spPr>
                </pic:pic>
              </a:graphicData>
            </a:graphic>
          </wp:inline>
        </w:drawing>
      </w:r>
    </w:p>
    <w:p w14:paraId="00A305E3" w14:textId="6FE06C7A" w:rsidR="00994BB9" w:rsidRPr="00EE5ACD" w:rsidRDefault="00C1453E" w:rsidP="00C1453E">
      <w:pPr>
        <w:pStyle w:val="Ttulo2"/>
        <w:tabs>
          <w:tab w:val="left" w:pos="1276"/>
        </w:tabs>
        <w:spacing w:before="0" w:after="120"/>
        <w:jc w:val="center"/>
        <w:rPr>
          <w:rFonts w:ascii="Arial" w:hAnsi="Arial" w:cs="Arial"/>
          <w:b w:val="0"/>
          <w:i w:val="0"/>
          <w:color w:val="000000"/>
        </w:rPr>
      </w:pPr>
      <w:r w:rsidRPr="00EE5ACD">
        <w:rPr>
          <w:rFonts w:ascii="Arial" w:hAnsi="Arial" w:cs="Arial"/>
          <w:i w:val="0"/>
          <w:color w:val="000000"/>
        </w:rPr>
        <w:lastRenderedPageBreak/>
        <w:t>N</w:t>
      </w:r>
      <w:r w:rsidR="00994BB9" w:rsidRPr="00EE5ACD">
        <w:rPr>
          <w:rFonts w:ascii="Arial" w:hAnsi="Arial" w:cs="Arial"/>
          <w:i w:val="0"/>
          <w:color w:val="000000"/>
        </w:rPr>
        <w:t>OTA TÉCNICA</w:t>
      </w:r>
    </w:p>
    <w:p w14:paraId="02741C8B" w14:textId="2143FB9E" w:rsidR="00ED71F9" w:rsidRPr="00EE5ACD" w:rsidRDefault="00ED71F9" w:rsidP="00ED71F9">
      <w:pPr>
        <w:pStyle w:val="Profesin"/>
        <w:spacing w:before="60"/>
        <w:outlineLvl w:val="0"/>
        <w:rPr>
          <w:rFonts w:ascii="Arial" w:hAnsi="Arial" w:cs="Arial"/>
          <w:sz w:val="24"/>
          <w:szCs w:val="24"/>
          <w:lang w:val="es-MX"/>
        </w:rPr>
      </w:pPr>
      <w:r w:rsidRPr="00EE5ACD">
        <w:rPr>
          <w:rFonts w:ascii="Arial" w:hAnsi="Arial" w:cs="Arial"/>
          <w:sz w:val="24"/>
          <w:szCs w:val="24"/>
          <w:lang w:val="es-MX"/>
        </w:rPr>
        <w:t>SISTEMA DE CUENTAS NACIONALES DE MÉXICO</w:t>
      </w:r>
    </w:p>
    <w:p w14:paraId="3B77A117" w14:textId="1BE3F24C" w:rsidR="00ED71F9" w:rsidRPr="00EE5ACD" w:rsidRDefault="00ED71F9" w:rsidP="00ED71F9">
      <w:pPr>
        <w:pStyle w:val="Profesin"/>
        <w:outlineLvl w:val="0"/>
        <w:rPr>
          <w:rFonts w:ascii="Arial" w:hAnsi="Arial" w:cs="Arial"/>
          <w:sz w:val="24"/>
          <w:szCs w:val="24"/>
          <w:lang w:val="es-MX"/>
        </w:rPr>
      </w:pPr>
      <w:r w:rsidRPr="00EE5ACD">
        <w:rPr>
          <w:rFonts w:ascii="Arial" w:hAnsi="Arial" w:cs="Arial"/>
          <w:sz w:val="24"/>
          <w:szCs w:val="24"/>
          <w:lang w:val="es-MX"/>
        </w:rPr>
        <w:t>CUENTA</w:t>
      </w:r>
      <w:r w:rsidR="00CF29A6" w:rsidRPr="00EE5ACD">
        <w:rPr>
          <w:rFonts w:ascii="Arial" w:hAnsi="Arial" w:cs="Arial"/>
          <w:sz w:val="24"/>
          <w:szCs w:val="24"/>
          <w:lang w:val="es-MX"/>
        </w:rPr>
        <w:t xml:space="preserve"> </w:t>
      </w:r>
      <w:r w:rsidRPr="00EE5ACD">
        <w:rPr>
          <w:rFonts w:ascii="Arial" w:hAnsi="Arial" w:cs="Arial"/>
          <w:sz w:val="24"/>
          <w:szCs w:val="24"/>
          <w:lang w:val="es-MX"/>
        </w:rPr>
        <w:t>S</w:t>
      </w:r>
      <w:r w:rsidR="00CF29A6" w:rsidRPr="00EE5ACD">
        <w:rPr>
          <w:rFonts w:ascii="Arial" w:hAnsi="Arial" w:cs="Arial"/>
          <w:sz w:val="24"/>
          <w:szCs w:val="24"/>
          <w:lang w:val="es-MX"/>
        </w:rPr>
        <w:t>ATÉLITE DE</w:t>
      </w:r>
      <w:r w:rsidR="005969D5" w:rsidRPr="00EE5ACD">
        <w:rPr>
          <w:rFonts w:ascii="Arial" w:hAnsi="Arial" w:cs="Arial"/>
          <w:sz w:val="24"/>
          <w:szCs w:val="24"/>
          <w:lang w:val="es-MX"/>
        </w:rPr>
        <w:t>L SECTOR SALUD</w:t>
      </w:r>
      <w:r w:rsidRPr="00EE5ACD">
        <w:rPr>
          <w:rFonts w:ascii="Arial" w:hAnsi="Arial" w:cs="Arial"/>
          <w:sz w:val="24"/>
          <w:szCs w:val="24"/>
          <w:lang w:val="es-MX"/>
        </w:rPr>
        <w:t xml:space="preserve"> DE </w:t>
      </w:r>
      <w:r w:rsidR="00CF29A6" w:rsidRPr="00EE5ACD">
        <w:rPr>
          <w:rFonts w:ascii="Arial" w:hAnsi="Arial" w:cs="Arial"/>
          <w:sz w:val="24"/>
          <w:szCs w:val="24"/>
          <w:lang w:val="es-MX"/>
        </w:rPr>
        <w:t xml:space="preserve">MÉXICO, </w:t>
      </w:r>
      <w:r w:rsidRPr="00EE5ACD">
        <w:rPr>
          <w:rFonts w:ascii="Arial" w:hAnsi="Arial" w:cs="Arial"/>
          <w:sz w:val="24"/>
          <w:szCs w:val="24"/>
          <w:lang w:val="es-MX"/>
        </w:rPr>
        <w:t>20</w:t>
      </w:r>
      <w:r w:rsidR="002F2271" w:rsidRPr="00EE5ACD">
        <w:rPr>
          <w:rFonts w:ascii="Arial" w:hAnsi="Arial" w:cs="Arial"/>
          <w:sz w:val="24"/>
          <w:szCs w:val="24"/>
          <w:lang w:val="es-MX"/>
        </w:rPr>
        <w:t>20</w:t>
      </w:r>
    </w:p>
    <w:p w14:paraId="37963FE7" w14:textId="277918DA" w:rsidR="00994BB9" w:rsidRPr="00EE5ACD" w:rsidRDefault="00994BB9" w:rsidP="00ED71F9">
      <w:pPr>
        <w:pStyle w:val="Textodebloque1"/>
        <w:tabs>
          <w:tab w:val="left" w:pos="0"/>
          <w:tab w:val="left" w:pos="8222"/>
        </w:tabs>
        <w:spacing w:before="0"/>
        <w:ind w:left="0" w:right="618" w:firstLine="0"/>
        <w:rPr>
          <w:rFonts w:ascii="Arial" w:hAnsi="Arial" w:cs="Arial"/>
          <w:i/>
          <w:iCs/>
          <w:smallCaps/>
          <w:sz w:val="24"/>
          <w:szCs w:val="24"/>
          <w:lang w:val="es-MX"/>
        </w:rPr>
      </w:pPr>
    </w:p>
    <w:p w14:paraId="547C8D0B" w14:textId="04A6F325" w:rsidR="001A5B60" w:rsidRPr="00412346" w:rsidRDefault="001A5B60" w:rsidP="003B00FC">
      <w:pPr>
        <w:pStyle w:val="Textoindependiente"/>
        <w:spacing w:before="360"/>
        <w:rPr>
          <w:rFonts w:ascii="Arial" w:hAnsi="Arial" w:cs="Arial"/>
          <w:lang w:val="es-MX"/>
        </w:rPr>
      </w:pPr>
      <w:r w:rsidRPr="00412346">
        <w:rPr>
          <w:rFonts w:ascii="Arial" w:hAnsi="Arial" w:cs="Arial"/>
          <w:lang w:val="es-MX"/>
        </w:rPr>
        <w:t xml:space="preserve">El </w:t>
      </w:r>
      <w:r w:rsidR="008C6210" w:rsidRPr="00412346">
        <w:rPr>
          <w:rFonts w:ascii="Arial" w:hAnsi="Arial" w:cs="Arial"/>
        </w:rPr>
        <w:t>Instituto Nacional de Estadística y Geografía</w:t>
      </w:r>
      <w:r w:rsidR="008C6210" w:rsidRPr="00412346">
        <w:rPr>
          <w:rFonts w:ascii="Arial" w:hAnsi="Arial" w:cs="Arial"/>
          <w:lang w:val="es-MX"/>
        </w:rPr>
        <w:t xml:space="preserve"> (</w:t>
      </w:r>
      <w:r w:rsidRPr="00412346">
        <w:rPr>
          <w:rFonts w:ascii="Arial" w:hAnsi="Arial" w:cs="Arial"/>
          <w:lang w:val="es-MX"/>
        </w:rPr>
        <w:t>INEGI</w:t>
      </w:r>
      <w:r w:rsidR="008C6210" w:rsidRPr="00412346">
        <w:rPr>
          <w:rFonts w:ascii="Arial" w:hAnsi="Arial" w:cs="Arial"/>
          <w:lang w:val="es-MX"/>
        </w:rPr>
        <w:t>)</w:t>
      </w:r>
      <w:r w:rsidRPr="00412346">
        <w:rPr>
          <w:rFonts w:ascii="Arial" w:hAnsi="Arial" w:cs="Arial"/>
          <w:lang w:val="es-MX"/>
        </w:rPr>
        <w:t xml:space="preserve"> presenta los resultados de la Cuenta Satélite del Sector Salud de México, 2020. Año Base 2013. Esta cuenta constituye una ampliación del Sistema de Cuentas Nacionales de México (SCNM) y contribuye a la difusión y fortalecimiento de la información estadística del sector salud dentro del marco de la Ley del Sistema Nacional de Información Estadística y Geográfica. </w:t>
      </w:r>
    </w:p>
    <w:p w14:paraId="094FD83C" w14:textId="1B8499D6" w:rsidR="001A5B60" w:rsidRDefault="001A5B60" w:rsidP="001A5B60">
      <w:pPr>
        <w:pStyle w:val="Textoindependiente"/>
        <w:spacing w:before="360"/>
        <w:rPr>
          <w:rFonts w:ascii="Arial" w:hAnsi="Arial" w:cs="Arial"/>
          <w:lang w:val="es-MX"/>
        </w:rPr>
      </w:pPr>
      <w:r w:rsidRPr="00412346">
        <w:rPr>
          <w:rFonts w:ascii="Arial" w:hAnsi="Arial" w:cs="Arial"/>
          <w:lang w:val="es-MX"/>
        </w:rPr>
        <w:t xml:space="preserve">Con el objetivo </w:t>
      </w:r>
      <w:r w:rsidRPr="00412346">
        <w:rPr>
          <w:rFonts w:ascii="Arial" w:eastAsia="Arial" w:hAnsi="Arial" w:cs="Arial"/>
          <w:lang w:val="es-MX"/>
        </w:rPr>
        <w:t>de proporcionar información económica para la toma de decisiones del sector público y el sector privado, l</w:t>
      </w:r>
      <w:r w:rsidRPr="00412346">
        <w:rPr>
          <w:rFonts w:ascii="Arial" w:hAnsi="Arial" w:cs="Arial"/>
          <w:lang w:val="es-MX"/>
        </w:rPr>
        <w:t>a cuenta satélite integra</w:t>
      </w:r>
      <w:r w:rsidR="00562C52">
        <w:rPr>
          <w:rFonts w:ascii="Arial" w:hAnsi="Arial" w:cs="Arial"/>
          <w:lang w:val="es-MX"/>
        </w:rPr>
        <w:t xml:space="preserve"> </w:t>
      </w:r>
      <w:r w:rsidRPr="00412346">
        <w:rPr>
          <w:rFonts w:ascii="Arial" w:hAnsi="Arial" w:cs="Arial"/>
          <w:lang w:val="es-MX"/>
        </w:rPr>
        <w:t xml:space="preserve">las actividades económicas </w:t>
      </w:r>
      <w:r w:rsidR="00CE49BE">
        <w:rPr>
          <w:rFonts w:ascii="Arial" w:hAnsi="Arial" w:cs="Arial"/>
          <w:lang w:val="es-MX"/>
        </w:rPr>
        <w:t xml:space="preserve">que </w:t>
      </w:r>
      <w:r w:rsidR="00CE49BE" w:rsidRPr="00BD3DF2">
        <w:rPr>
          <w:rFonts w:ascii="Arial" w:hAnsi="Arial" w:cs="Arial"/>
          <w:lang w:val="es-MX"/>
        </w:rPr>
        <w:t xml:space="preserve">producen bienes y servicios </w:t>
      </w:r>
      <w:r w:rsidRPr="00BD3DF2">
        <w:rPr>
          <w:rFonts w:ascii="Arial" w:hAnsi="Arial" w:cs="Arial"/>
          <w:lang w:val="es-MX"/>
        </w:rPr>
        <w:t>que directa o indirectamente están relacionad</w:t>
      </w:r>
      <w:r w:rsidR="00CE49BE" w:rsidRPr="00BD3DF2">
        <w:rPr>
          <w:rFonts w:ascii="Arial" w:hAnsi="Arial" w:cs="Arial"/>
          <w:lang w:val="es-MX"/>
        </w:rPr>
        <w:t>o</w:t>
      </w:r>
      <w:r w:rsidRPr="00BD3DF2">
        <w:rPr>
          <w:rFonts w:ascii="Arial" w:hAnsi="Arial" w:cs="Arial"/>
          <w:lang w:val="es-MX"/>
        </w:rPr>
        <w:t xml:space="preserve">s con la prevención, recuperación y mantenimiento de la salud </w:t>
      </w:r>
      <w:r w:rsidR="00FF648C" w:rsidRPr="00BD3DF2">
        <w:rPr>
          <w:rFonts w:ascii="Arial" w:hAnsi="Arial" w:cs="Arial"/>
          <w:lang w:val="es-MX"/>
        </w:rPr>
        <w:t>humana</w:t>
      </w:r>
      <w:r w:rsidRPr="00BD3DF2">
        <w:rPr>
          <w:rFonts w:ascii="Arial" w:hAnsi="Arial" w:cs="Arial"/>
          <w:lang w:val="es-MX"/>
        </w:rPr>
        <w:t xml:space="preserve">, </w:t>
      </w:r>
      <w:r w:rsidR="00036E55" w:rsidRPr="00BD3DF2">
        <w:rPr>
          <w:rFonts w:ascii="Arial" w:hAnsi="Arial" w:cs="Arial"/>
          <w:lang w:val="es-MX"/>
        </w:rPr>
        <w:t xml:space="preserve">incluyendo </w:t>
      </w:r>
      <w:r w:rsidRPr="00BD3DF2">
        <w:rPr>
          <w:rFonts w:ascii="Arial" w:hAnsi="Arial" w:cs="Arial"/>
          <w:lang w:val="es-MX"/>
        </w:rPr>
        <w:t xml:space="preserve">las instituciones públicas cuya facultad es regular y administrar estas actividades. Adicionalmente, </w:t>
      </w:r>
      <w:r w:rsidR="00036E55" w:rsidRPr="00BD3DF2">
        <w:rPr>
          <w:rFonts w:ascii="Arial" w:hAnsi="Arial" w:cs="Arial"/>
          <w:lang w:val="es-MX"/>
        </w:rPr>
        <w:t>incorpora</w:t>
      </w:r>
      <w:r w:rsidR="00036E55">
        <w:rPr>
          <w:rFonts w:ascii="Arial" w:hAnsi="Arial" w:cs="Arial"/>
          <w:lang w:val="es-MX"/>
        </w:rPr>
        <w:t xml:space="preserve"> </w:t>
      </w:r>
      <w:r w:rsidRPr="00412346">
        <w:rPr>
          <w:rFonts w:ascii="Arial" w:hAnsi="Arial" w:cs="Arial"/>
          <w:lang w:val="es-MX"/>
        </w:rPr>
        <w:t>el valor económico del trabajo no remunerado de los hogares en el cuidado de la salud, con lo que se amplía la visión sobre la dimensión y composición del sector.</w:t>
      </w:r>
    </w:p>
    <w:p w14:paraId="575D0D60" w14:textId="4815B998" w:rsidR="00ED71F9" w:rsidRPr="00412346" w:rsidRDefault="00ED71F9" w:rsidP="00141A97">
      <w:pPr>
        <w:pStyle w:val="Textoindependiente"/>
        <w:spacing w:before="100" w:beforeAutospacing="1"/>
        <w:rPr>
          <w:rFonts w:ascii="Arial" w:hAnsi="Arial" w:cs="Arial"/>
          <w:b/>
          <w:iCs/>
          <w:smallCaps/>
          <w:lang w:val="es-MX"/>
        </w:rPr>
      </w:pPr>
      <w:r w:rsidRPr="00412346">
        <w:rPr>
          <w:rFonts w:ascii="Arial" w:hAnsi="Arial" w:cs="Arial"/>
          <w:b/>
          <w:iCs/>
          <w:smallCaps/>
          <w:lang w:val="es-MX"/>
        </w:rPr>
        <w:t>Principales Resultados</w:t>
      </w:r>
    </w:p>
    <w:p w14:paraId="578E9C98" w14:textId="240027ED" w:rsidR="00F75222" w:rsidRPr="00F55227" w:rsidRDefault="00F75222" w:rsidP="00F75222">
      <w:pPr>
        <w:pStyle w:val="Textoindependiente"/>
        <w:spacing w:before="100" w:beforeAutospacing="1"/>
        <w:rPr>
          <w:rFonts w:ascii="Arial" w:hAnsi="Arial" w:cs="Arial"/>
          <w:b/>
          <w:iCs/>
          <w:smallCaps/>
          <w:lang w:val="es-MX"/>
        </w:rPr>
      </w:pPr>
      <w:r w:rsidRPr="00F55227">
        <w:rPr>
          <w:rFonts w:ascii="Arial" w:hAnsi="Arial" w:cs="Arial"/>
          <w:b/>
          <w:iCs/>
          <w:smallCaps/>
          <w:lang w:val="es-MX"/>
        </w:rPr>
        <w:t>Participación del Sector Salud en el Producto Interno Bruto del país en el periodo 20</w:t>
      </w:r>
      <w:r w:rsidR="007E54FE" w:rsidRPr="00F55227">
        <w:rPr>
          <w:rFonts w:ascii="Arial" w:hAnsi="Arial" w:cs="Arial"/>
          <w:b/>
          <w:iCs/>
          <w:smallCaps/>
          <w:lang w:val="es-MX"/>
        </w:rPr>
        <w:t>10</w:t>
      </w:r>
      <w:r w:rsidRPr="00F55227">
        <w:rPr>
          <w:rFonts w:ascii="Arial" w:hAnsi="Arial" w:cs="Arial"/>
          <w:b/>
          <w:iCs/>
          <w:smallCaps/>
          <w:lang w:val="es-MX"/>
        </w:rPr>
        <w:t xml:space="preserve"> a 20</w:t>
      </w:r>
      <w:r w:rsidR="007E54FE" w:rsidRPr="00F55227">
        <w:rPr>
          <w:rFonts w:ascii="Arial" w:hAnsi="Arial" w:cs="Arial"/>
          <w:b/>
          <w:iCs/>
          <w:smallCaps/>
          <w:lang w:val="es-MX"/>
        </w:rPr>
        <w:t>20</w:t>
      </w:r>
      <w:r w:rsidRPr="00F55227">
        <w:rPr>
          <w:rFonts w:ascii="Arial" w:hAnsi="Arial" w:cs="Arial"/>
          <w:b/>
          <w:iCs/>
          <w:smallCaps/>
          <w:lang w:val="es-MX"/>
        </w:rPr>
        <w:t>.</w:t>
      </w:r>
    </w:p>
    <w:p w14:paraId="151A47D1" w14:textId="678F80FF" w:rsidR="00F75222" w:rsidRPr="00F55227" w:rsidRDefault="00F75222" w:rsidP="00F75222">
      <w:pPr>
        <w:pStyle w:val="Textoindependiente"/>
        <w:tabs>
          <w:tab w:val="center" w:pos="3348"/>
        </w:tabs>
        <w:spacing w:before="240"/>
        <w:rPr>
          <w:rFonts w:ascii="Arial" w:hAnsi="Arial" w:cs="Arial"/>
          <w:lang w:val="es-MX"/>
        </w:rPr>
      </w:pPr>
      <w:r w:rsidRPr="00F55227">
        <w:rPr>
          <w:rFonts w:ascii="Arial" w:hAnsi="Arial" w:cs="Arial"/>
          <w:lang w:val="es-MX"/>
        </w:rPr>
        <w:t>Entre 20</w:t>
      </w:r>
      <w:r w:rsidR="001A44C4" w:rsidRPr="00F55227">
        <w:rPr>
          <w:rFonts w:ascii="Arial" w:hAnsi="Arial" w:cs="Arial"/>
          <w:lang w:val="es-MX"/>
        </w:rPr>
        <w:t>10</w:t>
      </w:r>
      <w:r w:rsidRPr="00F55227">
        <w:rPr>
          <w:rFonts w:ascii="Arial" w:hAnsi="Arial" w:cs="Arial"/>
          <w:lang w:val="es-MX"/>
        </w:rPr>
        <w:t xml:space="preserve"> y 2020 el Producto Interno Bruto Ampliado del sector salud contribuyó en promedio con el equivalente a </w:t>
      </w:r>
      <w:r w:rsidR="007E54FE" w:rsidRPr="00F55227">
        <w:rPr>
          <w:rFonts w:ascii="Arial" w:hAnsi="Arial" w:cs="Arial"/>
          <w:lang w:val="es-MX"/>
        </w:rPr>
        <w:t>5.7</w:t>
      </w:r>
      <w:r w:rsidRPr="00F55227">
        <w:rPr>
          <w:rFonts w:ascii="Arial" w:hAnsi="Arial" w:cs="Arial"/>
          <w:lang w:val="es-MX"/>
        </w:rPr>
        <w:t xml:space="preserve">% del PIB del país. A su interior las actividades económicas asociadas a este sector contribuyeron en promedio con </w:t>
      </w:r>
      <w:r w:rsidR="007E54FE" w:rsidRPr="00F55227">
        <w:rPr>
          <w:rFonts w:ascii="Arial" w:hAnsi="Arial" w:cs="Arial"/>
          <w:lang w:val="es-MX"/>
        </w:rPr>
        <w:t>4.2</w:t>
      </w:r>
      <w:r w:rsidRPr="00F55227">
        <w:rPr>
          <w:rFonts w:ascii="Arial" w:hAnsi="Arial" w:cs="Arial"/>
          <w:lang w:val="es-MX"/>
        </w:rPr>
        <w:t xml:space="preserve">% y los hogares a través de su trabajo no remunerado con </w:t>
      </w:r>
      <w:r w:rsidR="007E54FE" w:rsidRPr="00F55227">
        <w:rPr>
          <w:rFonts w:ascii="Arial" w:hAnsi="Arial" w:cs="Arial"/>
          <w:lang w:val="es-MX"/>
        </w:rPr>
        <w:t>1.5</w:t>
      </w:r>
      <w:r w:rsidRPr="00F55227">
        <w:rPr>
          <w:rFonts w:ascii="Arial" w:hAnsi="Arial" w:cs="Arial"/>
          <w:lang w:val="es-MX"/>
        </w:rPr>
        <w:t xml:space="preserve"> por ciento. En igual lapso el PIBA de este sector registró un crecimiento promedio anual de </w:t>
      </w:r>
      <w:r w:rsidR="007E54FE" w:rsidRPr="00F55227">
        <w:rPr>
          <w:rFonts w:ascii="Arial" w:hAnsi="Arial" w:cs="Arial"/>
          <w:lang w:val="es-MX"/>
        </w:rPr>
        <w:t>1.</w:t>
      </w:r>
      <w:r w:rsidR="00E038BB">
        <w:rPr>
          <w:rFonts w:ascii="Arial" w:hAnsi="Arial" w:cs="Arial"/>
          <w:lang w:val="es-MX"/>
        </w:rPr>
        <w:t>7</w:t>
      </w:r>
      <w:r w:rsidRPr="00F55227">
        <w:rPr>
          <w:rFonts w:ascii="Arial" w:hAnsi="Arial" w:cs="Arial"/>
          <w:lang w:val="es-MX"/>
        </w:rPr>
        <w:t>% en términos reales.</w:t>
      </w:r>
    </w:p>
    <w:p w14:paraId="27D7024E" w14:textId="2008B979" w:rsidR="00ED71F9" w:rsidRPr="00412346" w:rsidRDefault="005969D5" w:rsidP="00300627">
      <w:pPr>
        <w:pStyle w:val="n01"/>
        <w:keepLines w:val="0"/>
        <w:spacing w:before="360"/>
        <w:ind w:left="0" w:firstLine="0"/>
        <w:outlineLvl w:val="0"/>
        <w:rPr>
          <w:rFonts w:ascii="Arial" w:hAnsi="Arial" w:cs="Arial"/>
          <w:b/>
          <w:smallCaps/>
          <w:color w:val="auto"/>
          <w:lang w:val="es-MX"/>
        </w:rPr>
      </w:pPr>
      <w:r w:rsidRPr="00412346">
        <w:rPr>
          <w:rFonts w:ascii="Arial" w:hAnsi="Arial" w:cs="Arial"/>
          <w:b/>
          <w:smallCaps/>
          <w:color w:val="auto"/>
          <w:lang w:val="es-MX"/>
        </w:rPr>
        <w:t>P</w:t>
      </w:r>
      <w:r w:rsidR="00F75222">
        <w:rPr>
          <w:rFonts w:ascii="Arial" w:hAnsi="Arial" w:cs="Arial"/>
          <w:b/>
          <w:smallCaps/>
          <w:color w:val="auto"/>
          <w:lang w:val="es-MX"/>
        </w:rPr>
        <w:t xml:space="preserve">roducto interno bruto ampliado </w:t>
      </w:r>
      <w:r w:rsidRPr="00412346">
        <w:rPr>
          <w:rFonts w:ascii="Arial" w:hAnsi="Arial" w:cs="Arial"/>
          <w:b/>
          <w:smallCaps/>
          <w:color w:val="auto"/>
          <w:lang w:val="es-MX"/>
        </w:rPr>
        <w:t>del Sector Salud</w:t>
      </w:r>
    </w:p>
    <w:p w14:paraId="57299C8F" w14:textId="42245401" w:rsidR="00446D69" w:rsidRDefault="003B00FC" w:rsidP="003B00FC">
      <w:pPr>
        <w:pStyle w:val="Textoindependiente"/>
        <w:tabs>
          <w:tab w:val="center" w:pos="3348"/>
        </w:tabs>
        <w:spacing w:before="360" w:after="240"/>
        <w:rPr>
          <w:rFonts w:ascii="Arial" w:hAnsi="Arial" w:cs="Arial"/>
          <w:lang w:val="es-MX"/>
        </w:rPr>
      </w:pPr>
      <w:r w:rsidRPr="00412346">
        <w:rPr>
          <w:rFonts w:ascii="Arial" w:hAnsi="Arial" w:cs="Arial"/>
          <w:lang w:val="es-MX"/>
        </w:rPr>
        <w:t>El Producto Interno Bruto Ampliado (PIBA)</w:t>
      </w:r>
      <w:r w:rsidRPr="00412346">
        <w:rPr>
          <w:rStyle w:val="Refdenotaalpie"/>
          <w:rFonts w:ascii="Arial" w:hAnsi="Arial" w:cs="Arial"/>
          <w:lang w:val="es-MX"/>
        </w:rPr>
        <w:footnoteReference w:id="5"/>
      </w:r>
      <w:r w:rsidRPr="00412346">
        <w:rPr>
          <w:rFonts w:ascii="Arial" w:hAnsi="Arial" w:cs="Arial"/>
          <w:lang w:val="es-MX"/>
        </w:rPr>
        <w:t xml:space="preserve"> del sector salud en México</w:t>
      </w:r>
      <w:r w:rsidR="00BD3DF2">
        <w:rPr>
          <w:rFonts w:ascii="Arial" w:hAnsi="Arial" w:cs="Arial"/>
          <w:lang w:val="es-MX"/>
        </w:rPr>
        <w:t>,</w:t>
      </w:r>
      <w:r w:rsidRPr="00412346">
        <w:rPr>
          <w:rFonts w:ascii="Arial" w:hAnsi="Arial" w:cs="Arial"/>
          <w:lang w:val="es-MX"/>
        </w:rPr>
        <w:t xml:space="preserve"> para </w:t>
      </w:r>
      <w:r w:rsidR="00B4374E" w:rsidRPr="009D55D4">
        <w:rPr>
          <w:rFonts w:ascii="Arial" w:hAnsi="Arial" w:cs="Arial"/>
          <w:lang w:val="es-MX"/>
        </w:rPr>
        <w:t>el año</w:t>
      </w:r>
      <w:r w:rsidR="00B4374E">
        <w:rPr>
          <w:rFonts w:ascii="Arial" w:hAnsi="Arial" w:cs="Arial"/>
          <w:lang w:val="es-MX"/>
        </w:rPr>
        <w:t xml:space="preserve"> </w:t>
      </w:r>
      <w:r w:rsidRPr="00412346">
        <w:rPr>
          <w:rFonts w:ascii="Arial" w:hAnsi="Arial" w:cs="Arial"/>
          <w:lang w:val="es-MX"/>
        </w:rPr>
        <w:t>2020</w:t>
      </w:r>
      <w:r w:rsidR="00BD3DF2">
        <w:rPr>
          <w:rFonts w:ascii="Arial" w:hAnsi="Arial" w:cs="Arial"/>
          <w:lang w:val="es-MX"/>
        </w:rPr>
        <w:t>,</w:t>
      </w:r>
      <w:r w:rsidRPr="00412346">
        <w:rPr>
          <w:rFonts w:ascii="Arial" w:hAnsi="Arial" w:cs="Arial"/>
          <w:lang w:val="es-MX"/>
        </w:rPr>
        <w:t xml:space="preserve"> reportó un monto </w:t>
      </w:r>
      <w:r w:rsidR="00BD3DF2">
        <w:rPr>
          <w:rFonts w:ascii="Arial" w:hAnsi="Arial" w:cs="Arial"/>
          <w:lang w:val="es-MX"/>
        </w:rPr>
        <w:t>de</w:t>
      </w:r>
      <w:r w:rsidR="00A00DCE" w:rsidRPr="00412346">
        <w:rPr>
          <w:rFonts w:ascii="Arial" w:hAnsi="Arial" w:cs="Arial"/>
          <w:lang w:val="es-MX"/>
        </w:rPr>
        <w:t xml:space="preserve"> 1.5 b</w:t>
      </w:r>
      <w:r w:rsidRPr="00412346">
        <w:rPr>
          <w:rFonts w:ascii="Arial" w:hAnsi="Arial" w:cs="Arial"/>
          <w:lang w:val="es-MX"/>
        </w:rPr>
        <w:t xml:space="preserve">illones de pesos, lo que </w:t>
      </w:r>
      <w:r w:rsidR="00374A9F">
        <w:rPr>
          <w:rFonts w:ascii="Arial" w:hAnsi="Arial" w:cs="Arial"/>
          <w:lang w:val="es-MX"/>
        </w:rPr>
        <w:t>equivale a</w:t>
      </w:r>
      <w:r w:rsidRPr="00412346">
        <w:rPr>
          <w:rFonts w:ascii="Arial" w:hAnsi="Arial" w:cs="Arial"/>
          <w:lang w:val="es-MX"/>
        </w:rPr>
        <w:t xml:space="preserve"> 6.5% del PIB</w:t>
      </w:r>
      <w:r w:rsidR="00D8077F">
        <w:rPr>
          <w:rFonts w:ascii="Arial" w:hAnsi="Arial" w:cs="Arial"/>
          <w:lang w:val="es-MX"/>
        </w:rPr>
        <w:t xml:space="preserve"> nacional</w:t>
      </w:r>
      <w:r w:rsidR="00B4374E">
        <w:rPr>
          <w:rFonts w:ascii="Arial" w:hAnsi="Arial" w:cs="Arial"/>
          <w:lang w:val="es-MX"/>
        </w:rPr>
        <w:t xml:space="preserve">, </w:t>
      </w:r>
      <w:r w:rsidR="00B4374E" w:rsidRPr="00746FAE">
        <w:rPr>
          <w:rFonts w:ascii="Arial" w:hAnsi="Arial" w:cs="Arial"/>
          <w:lang w:val="es-MX"/>
        </w:rPr>
        <w:t xml:space="preserve">en contraste con el 5.6% que representó en 2019, </w:t>
      </w:r>
      <w:r w:rsidR="007C5B1B">
        <w:rPr>
          <w:rFonts w:ascii="Arial" w:hAnsi="Arial" w:cs="Arial"/>
          <w:lang w:val="es-MX"/>
        </w:rPr>
        <w:t xml:space="preserve">año anterior al </w:t>
      </w:r>
      <w:r w:rsidR="00B4374E" w:rsidRPr="00746FAE">
        <w:rPr>
          <w:rFonts w:ascii="Arial" w:hAnsi="Arial" w:cs="Arial"/>
          <w:lang w:val="es-MX"/>
        </w:rPr>
        <w:t>inicio de la pandemia</w:t>
      </w:r>
      <w:r w:rsidR="009D55D4" w:rsidRPr="00746FAE">
        <w:rPr>
          <w:rFonts w:ascii="Arial" w:hAnsi="Arial" w:cs="Arial"/>
          <w:lang w:val="es-MX"/>
        </w:rPr>
        <w:t xml:space="preserve"> </w:t>
      </w:r>
      <w:r w:rsidR="00B4374E" w:rsidRPr="00746FAE">
        <w:rPr>
          <w:rFonts w:ascii="Arial" w:hAnsi="Arial" w:cs="Arial"/>
          <w:lang w:val="es-MX"/>
        </w:rPr>
        <w:t>po</w:t>
      </w:r>
      <w:r w:rsidR="00A94CE4" w:rsidRPr="00746FAE">
        <w:rPr>
          <w:rFonts w:ascii="Arial" w:hAnsi="Arial" w:cs="Arial"/>
          <w:lang w:val="es-MX"/>
        </w:rPr>
        <w:t>r SARS COV2</w:t>
      </w:r>
      <w:r w:rsidR="00D8077F" w:rsidRPr="00746FAE">
        <w:rPr>
          <w:rFonts w:ascii="Arial" w:hAnsi="Arial" w:cs="Arial"/>
          <w:lang w:val="es-MX"/>
        </w:rPr>
        <w:t>.</w:t>
      </w:r>
      <w:r w:rsidR="008503A8" w:rsidRPr="00746FAE">
        <w:rPr>
          <w:rFonts w:ascii="Arial" w:hAnsi="Arial" w:cs="Arial"/>
          <w:lang w:val="es-MX"/>
        </w:rPr>
        <w:t xml:space="preserve"> </w:t>
      </w:r>
      <w:r w:rsidR="00D8077F" w:rsidRPr="00746FAE">
        <w:rPr>
          <w:rFonts w:ascii="Arial" w:hAnsi="Arial" w:cs="Arial"/>
          <w:lang w:val="es-MX"/>
        </w:rPr>
        <w:t>Dicho</w:t>
      </w:r>
      <w:r w:rsidR="00D8077F">
        <w:rPr>
          <w:rFonts w:ascii="Arial" w:hAnsi="Arial" w:cs="Arial"/>
          <w:lang w:val="es-MX"/>
        </w:rPr>
        <w:t xml:space="preserve"> porcentaje está compuesto por 4.6% que corresponde al</w:t>
      </w:r>
      <w:r w:rsidR="00374A9F">
        <w:rPr>
          <w:rFonts w:ascii="Arial" w:hAnsi="Arial" w:cs="Arial"/>
          <w:lang w:val="es-MX"/>
        </w:rPr>
        <w:t xml:space="preserve"> </w:t>
      </w:r>
      <w:r w:rsidRPr="00412346">
        <w:rPr>
          <w:rFonts w:ascii="Arial" w:hAnsi="Arial" w:cs="Arial"/>
          <w:lang w:val="es-MX"/>
        </w:rPr>
        <w:t>valor producido por los bienes y servicios finales relacio</w:t>
      </w:r>
      <w:r w:rsidR="00A00DCE" w:rsidRPr="00412346">
        <w:rPr>
          <w:rFonts w:ascii="Arial" w:hAnsi="Arial" w:cs="Arial"/>
          <w:lang w:val="es-MX"/>
        </w:rPr>
        <w:t xml:space="preserve">nados con </w:t>
      </w:r>
      <w:r w:rsidR="00A00DCE" w:rsidRPr="00412346">
        <w:rPr>
          <w:rFonts w:ascii="Arial" w:hAnsi="Arial" w:cs="Arial"/>
          <w:lang w:val="es-MX"/>
        </w:rPr>
        <w:lastRenderedPageBreak/>
        <w:t>la prevención, recuperación</w:t>
      </w:r>
      <w:r w:rsidRPr="00412346">
        <w:rPr>
          <w:rFonts w:ascii="Arial" w:hAnsi="Arial" w:cs="Arial"/>
          <w:lang w:val="es-MX"/>
        </w:rPr>
        <w:t xml:space="preserve"> y mantenimiento de la salud humana, </w:t>
      </w:r>
      <w:r w:rsidR="00374A9F">
        <w:rPr>
          <w:rFonts w:ascii="Arial" w:hAnsi="Arial" w:cs="Arial"/>
          <w:lang w:val="es-MX"/>
        </w:rPr>
        <w:t>mientras que</w:t>
      </w:r>
      <w:r w:rsidR="000A6494">
        <w:rPr>
          <w:rFonts w:ascii="Arial" w:hAnsi="Arial" w:cs="Arial"/>
          <w:lang w:val="es-MX"/>
        </w:rPr>
        <w:t xml:space="preserve"> </w:t>
      </w:r>
      <w:r w:rsidR="00D8077F">
        <w:rPr>
          <w:rFonts w:ascii="Arial" w:hAnsi="Arial" w:cs="Arial"/>
          <w:lang w:val="es-MX"/>
        </w:rPr>
        <w:t>1.9%</w:t>
      </w:r>
      <w:r w:rsidR="00374A9F">
        <w:rPr>
          <w:rFonts w:ascii="Arial" w:hAnsi="Arial" w:cs="Arial"/>
          <w:lang w:val="es-MX"/>
        </w:rPr>
        <w:t xml:space="preserve"> </w:t>
      </w:r>
      <w:r w:rsidR="00D8077F">
        <w:rPr>
          <w:rFonts w:ascii="Arial" w:hAnsi="Arial" w:cs="Arial"/>
          <w:lang w:val="es-MX"/>
        </w:rPr>
        <w:t>corresponde al</w:t>
      </w:r>
      <w:r w:rsidRPr="00412346">
        <w:rPr>
          <w:rFonts w:ascii="Arial" w:hAnsi="Arial" w:cs="Arial"/>
          <w:lang w:val="es-MX"/>
        </w:rPr>
        <w:t xml:space="preserve"> valor del trabajo no remunerado en salud (TNRS)</w:t>
      </w:r>
      <w:r w:rsidR="0073242F">
        <w:rPr>
          <w:rFonts w:ascii="Arial" w:hAnsi="Arial" w:cs="Arial"/>
          <w:lang w:val="es-MX"/>
        </w:rPr>
        <w:t>.</w:t>
      </w:r>
      <w:r w:rsidR="002E6972">
        <w:rPr>
          <w:rFonts w:ascii="Arial" w:hAnsi="Arial" w:cs="Arial"/>
          <w:lang w:val="es-MX"/>
        </w:rPr>
        <w:t xml:space="preserve"> </w:t>
      </w:r>
    </w:p>
    <w:p w14:paraId="4D3D1BF4" w14:textId="46BC6F9E" w:rsidR="00446D69" w:rsidRPr="00F55227" w:rsidRDefault="00446D69" w:rsidP="00446D69">
      <w:pPr>
        <w:jc w:val="center"/>
        <w:rPr>
          <w:rFonts w:ascii="Arial" w:hAnsi="Arial" w:cs="Arial"/>
        </w:rPr>
      </w:pPr>
      <w:r w:rsidRPr="00F55227">
        <w:rPr>
          <w:rFonts w:ascii="Arial" w:hAnsi="Arial" w:cs="Arial"/>
        </w:rPr>
        <w:t>Grafica 1</w:t>
      </w:r>
    </w:p>
    <w:p w14:paraId="6AB8562E" w14:textId="1CF71068" w:rsidR="00446D69" w:rsidRDefault="00446D69" w:rsidP="00446D69">
      <w:pPr>
        <w:jc w:val="center"/>
        <w:rPr>
          <w:rFonts w:ascii="Arial" w:hAnsi="Arial" w:cs="Arial"/>
          <w:b/>
          <w:bCs/>
          <w:sz w:val="20"/>
          <w:szCs w:val="22"/>
        </w:rPr>
      </w:pPr>
      <w:r w:rsidRPr="0070544E">
        <w:rPr>
          <w:rFonts w:ascii="Arial" w:hAnsi="Arial" w:cs="Arial"/>
          <w:b/>
          <w:bCs/>
          <w:sz w:val="20"/>
          <w:szCs w:val="22"/>
        </w:rPr>
        <w:t>PIB AMPLIADO DEL SECTOR SALUD, POR TIPO DE BIEN Y SERVICIO GENERADO, 2020</w:t>
      </w:r>
    </w:p>
    <w:p w14:paraId="3CCF06F7" w14:textId="0743B9EB" w:rsidR="00446D69" w:rsidRPr="0070544E" w:rsidRDefault="00446D69" w:rsidP="00446D69">
      <w:pPr>
        <w:jc w:val="center"/>
        <w:rPr>
          <w:rFonts w:ascii="Arial" w:hAnsi="Arial" w:cs="Arial"/>
          <w:sz w:val="18"/>
          <w:szCs w:val="18"/>
        </w:rPr>
      </w:pPr>
      <w:r w:rsidRPr="0070544E">
        <w:rPr>
          <w:rFonts w:ascii="Arial" w:hAnsi="Arial" w:cs="Arial"/>
          <w:bCs/>
          <w:sz w:val="18"/>
          <w:szCs w:val="18"/>
        </w:rPr>
        <w:t>(Contribución y estructura porcentual)</w:t>
      </w:r>
    </w:p>
    <w:p w14:paraId="6D4B0CEA" w14:textId="00DC7045" w:rsidR="00446D69" w:rsidRDefault="00532CC6" w:rsidP="00446D69">
      <w:pPr>
        <w:jc w:val="center"/>
        <w:rPr>
          <w:rFonts w:ascii="Arial" w:hAnsi="Arial" w:cs="Arial"/>
        </w:rPr>
      </w:pPr>
      <w:r>
        <w:rPr>
          <w:rFonts w:ascii="Arial" w:hAnsi="Arial" w:cs="Arial"/>
          <w:noProof/>
          <w:lang w:val="en-US" w:eastAsia="en-US"/>
        </w:rPr>
        <w:drawing>
          <wp:inline distT="0" distB="0" distL="0" distR="0" wp14:anchorId="5CB570FA" wp14:editId="5BB48FC0">
            <wp:extent cx="4880754" cy="4212590"/>
            <wp:effectExtent l="19050" t="19050" r="15240" b="165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16140" cy="4243132"/>
                    </a:xfrm>
                    <a:prstGeom prst="rect">
                      <a:avLst/>
                    </a:prstGeom>
                    <a:noFill/>
                    <a:ln>
                      <a:solidFill>
                        <a:schemeClr val="tx1"/>
                      </a:solidFill>
                    </a:ln>
                  </pic:spPr>
                </pic:pic>
              </a:graphicData>
            </a:graphic>
          </wp:inline>
        </w:drawing>
      </w:r>
    </w:p>
    <w:p w14:paraId="36624346" w14:textId="77777777" w:rsidR="00CE64D0" w:rsidRDefault="00CE64D0" w:rsidP="00CE64D0">
      <w:pPr>
        <w:rPr>
          <w:rFonts w:ascii="Arial" w:hAnsi="Arial" w:cs="Arial"/>
          <w:sz w:val="16"/>
          <w:szCs w:val="16"/>
        </w:rPr>
      </w:pPr>
      <w:r>
        <w:rPr>
          <w:rFonts w:ascii="Arial" w:hAnsi="Arial" w:cs="Arial"/>
          <w:sz w:val="16"/>
          <w:szCs w:val="16"/>
        </w:rPr>
        <w:t>Nota: Las suma de los parciales puede no coincidir con el total debido al redondeo.</w:t>
      </w:r>
    </w:p>
    <w:p w14:paraId="72BBB77B" w14:textId="77777777" w:rsidR="00CE64D0" w:rsidRDefault="00CE64D0" w:rsidP="00CE64D0">
      <w:pPr>
        <w:pStyle w:val="Textoindependiente"/>
        <w:jc w:val="left"/>
        <w:rPr>
          <w:rFonts w:ascii="Arial" w:hAnsi="Arial" w:cs="Arial"/>
          <w:sz w:val="16"/>
          <w:szCs w:val="16"/>
          <w:lang w:val="es-MX"/>
        </w:rPr>
      </w:pPr>
      <w:r w:rsidRPr="00EE5ACD">
        <w:rPr>
          <w:rFonts w:ascii="Arial" w:hAnsi="Arial" w:cs="Arial"/>
          <w:sz w:val="16"/>
          <w:szCs w:val="16"/>
          <w:lang w:val="es-MX"/>
        </w:rPr>
        <w:t>Fuente: INEGI.</w:t>
      </w:r>
    </w:p>
    <w:p w14:paraId="5A2077CB" w14:textId="77777777" w:rsidR="00446D69" w:rsidRDefault="00446D69" w:rsidP="00856A94">
      <w:pPr>
        <w:jc w:val="both"/>
        <w:rPr>
          <w:rFonts w:ascii="Arial" w:hAnsi="Arial" w:cs="Arial"/>
          <w:lang w:val="es-ES"/>
        </w:rPr>
      </w:pPr>
    </w:p>
    <w:p w14:paraId="2932BD4B" w14:textId="049B276D" w:rsidR="009005B4" w:rsidRPr="00CA37E3" w:rsidRDefault="00F51D39" w:rsidP="00733C95">
      <w:pPr>
        <w:ind w:right="49"/>
        <w:jc w:val="both"/>
        <w:rPr>
          <w:rFonts w:ascii="Arial" w:hAnsi="Arial" w:cs="Arial"/>
          <w:sz w:val="22"/>
          <w:szCs w:val="22"/>
          <w:lang w:val="es-ES"/>
        </w:rPr>
      </w:pPr>
      <w:bookmarkStart w:id="1" w:name="_Hlk89873100"/>
      <w:r>
        <w:rPr>
          <w:rFonts w:ascii="Arial" w:hAnsi="Arial" w:cs="Arial"/>
          <w:lang w:val="es-ES"/>
        </w:rPr>
        <w:t xml:space="preserve">Al </w:t>
      </w:r>
      <w:r w:rsidR="007E54FE">
        <w:rPr>
          <w:rFonts w:ascii="Arial" w:hAnsi="Arial" w:cs="Arial"/>
          <w:lang w:val="es-ES"/>
        </w:rPr>
        <w:t xml:space="preserve">desagregar </w:t>
      </w:r>
      <w:r>
        <w:rPr>
          <w:rFonts w:ascii="Arial" w:hAnsi="Arial" w:cs="Arial"/>
          <w:lang w:val="es-ES"/>
        </w:rPr>
        <w:t xml:space="preserve">el PIB de la salud por </w:t>
      </w:r>
      <w:r w:rsidR="00D53C80" w:rsidRPr="00B86AAB">
        <w:rPr>
          <w:rFonts w:ascii="Arial" w:hAnsi="Arial" w:cs="Arial"/>
          <w:lang w:val="es-ES"/>
        </w:rPr>
        <w:t>sus componentes</w:t>
      </w:r>
      <w:r>
        <w:rPr>
          <w:rFonts w:ascii="Arial" w:hAnsi="Arial" w:cs="Arial"/>
          <w:lang w:val="es-ES"/>
        </w:rPr>
        <w:t xml:space="preserve">, se observa que </w:t>
      </w:r>
      <w:r w:rsidR="009A7124">
        <w:rPr>
          <w:rFonts w:ascii="Arial" w:hAnsi="Arial" w:cs="Arial"/>
          <w:lang w:val="es-ES"/>
        </w:rPr>
        <w:t xml:space="preserve">los servicios </w:t>
      </w:r>
      <w:r w:rsidR="00856A94" w:rsidRPr="009B08FC">
        <w:rPr>
          <w:rFonts w:ascii="Arial" w:hAnsi="Arial" w:cs="Arial"/>
          <w:lang w:val="es-ES"/>
        </w:rPr>
        <w:t>público</w:t>
      </w:r>
      <w:r w:rsidR="009A7124">
        <w:rPr>
          <w:rFonts w:ascii="Arial" w:hAnsi="Arial" w:cs="Arial"/>
          <w:lang w:val="es-ES"/>
        </w:rPr>
        <w:t>s de salud</w:t>
      </w:r>
      <w:r w:rsidR="00856A94" w:rsidRPr="009B08FC">
        <w:rPr>
          <w:rFonts w:ascii="Arial" w:hAnsi="Arial" w:cs="Arial"/>
          <w:lang w:val="es-ES"/>
        </w:rPr>
        <w:t xml:space="preserve"> </w:t>
      </w:r>
      <w:r w:rsidR="008503A8">
        <w:rPr>
          <w:rFonts w:ascii="Arial" w:hAnsi="Arial" w:cs="Arial"/>
          <w:lang w:val="es-ES"/>
        </w:rPr>
        <w:t>mantuv</w:t>
      </w:r>
      <w:r w:rsidR="009A7124">
        <w:rPr>
          <w:rFonts w:ascii="Arial" w:hAnsi="Arial" w:cs="Arial"/>
          <w:lang w:val="es-ES"/>
        </w:rPr>
        <w:t>ieron</w:t>
      </w:r>
      <w:r w:rsidR="008503A8" w:rsidRPr="009B08FC">
        <w:rPr>
          <w:rFonts w:ascii="Arial" w:hAnsi="Arial" w:cs="Arial"/>
          <w:lang w:val="es-ES"/>
        </w:rPr>
        <w:t xml:space="preserve"> </w:t>
      </w:r>
      <w:r w:rsidR="00856A94" w:rsidRPr="009B08FC">
        <w:rPr>
          <w:rFonts w:ascii="Arial" w:hAnsi="Arial" w:cs="Arial"/>
          <w:lang w:val="es-ES"/>
        </w:rPr>
        <w:t>su participación</w:t>
      </w:r>
      <w:r>
        <w:rPr>
          <w:rFonts w:ascii="Arial" w:hAnsi="Arial" w:cs="Arial"/>
          <w:lang w:val="es-ES"/>
        </w:rPr>
        <w:t xml:space="preserve"> al</w:t>
      </w:r>
      <w:r w:rsidR="008503A8">
        <w:rPr>
          <w:rFonts w:ascii="Arial" w:hAnsi="Arial" w:cs="Arial"/>
          <w:lang w:val="es-ES"/>
        </w:rPr>
        <w:t xml:space="preserve"> contribu</w:t>
      </w:r>
      <w:r>
        <w:rPr>
          <w:rFonts w:ascii="Arial" w:hAnsi="Arial" w:cs="Arial"/>
          <w:lang w:val="es-ES"/>
        </w:rPr>
        <w:t>ir</w:t>
      </w:r>
      <w:r w:rsidR="008503A8">
        <w:rPr>
          <w:rFonts w:ascii="Arial" w:hAnsi="Arial" w:cs="Arial"/>
          <w:lang w:val="es-ES"/>
        </w:rPr>
        <w:t xml:space="preserve"> con 38.3</w:t>
      </w:r>
      <w:r w:rsidR="006F4D22">
        <w:rPr>
          <w:rFonts w:ascii="Arial" w:hAnsi="Arial" w:cs="Arial"/>
          <w:lang w:val="es-ES"/>
        </w:rPr>
        <w:t>%</w:t>
      </w:r>
      <w:r w:rsidR="008503A8">
        <w:rPr>
          <w:rFonts w:ascii="Arial" w:hAnsi="Arial" w:cs="Arial"/>
          <w:lang w:val="es-ES"/>
        </w:rPr>
        <w:t xml:space="preserve">; </w:t>
      </w:r>
      <w:r w:rsidR="007A56D3">
        <w:rPr>
          <w:rFonts w:ascii="Arial" w:hAnsi="Arial" w:cs="Arial"/>
          <w:lang w:val="es-ES"/>
        </w:rPr>
        <w:t>p</w:t>
      </w:r>
      <w:r w:rsidR="00113CBD">
        <w:rPr>
          <w:rFonts w:ascii="Arial" w:hAnsi="Arial" w:cs="Arial"/>
          <w:lang w:val="es-ES"/>
        </w:rPr>
        <w:t xml:space="preserve">or su parte </w:t>
      </w:r>
      <w:r w:rsidR="008503A8">
        <w:rPr>
          <w:rFonts w:ascii="Arial" w:hAnsi="Arial" w:cs="Arial"/>
          <w:lang w:val="es-ES"/>
        </w:rPr>
        <w:t xml:space="preserve">el </w:t>
      </w:r>
      <w:r w:rsidR="009522ED" w:rsidRPr="009B08FC">
        <w:rPr>
          <w:rFonts w:ascii="Arial" w:hAnsi="Arial" w:cs="Arial"/>
          <w:lang w:val="es-ES"/>
        </w:rPr>
        <w:t>sector</w:t>
      </w:r>
      <w:r w:rsidR="00856A94" w:rsidRPr="009B08FC">
        <w:rPr>
          <w:rFonts w:ascii="Arial" w:hAnsi="Arial" w:cs="Arial"/>
          <w:lang w:val="es-ES"/>
        </w:rPr>
        <w:t xml:space="preserve"> privad</w:t>
      </w:r>
      <w:r w:rsidR="009522ED" w:rsidRPr="009B08FC">
        <w:rPr>
          <w:rFonts w:ascii="Arial" w:hAnsi="Arial" w:cs="Arial"/>
          <w:lang w:val="es-ES"/>
        </w:rPr>
        <w:t>o</w:t>
      </w:r>
      <w:r w:rsidR="008503A8">
        <w:rPr>
          <w:rFonts w:ascii="Arial" w:hAnsi="Arial" w:cs="Arial"/>
          <w:lang w:val="es-ES"/>
        </w:rPr>
        <w:t xml:space="preserve"> </w:t>
      </w:r>
      <w:r>
        <w:rPr>
          <w:rFonts w:ascii="Arial" w:hAnsi="Arial" w:cs="Arial"/>
          <w:lang w:val="es-ES"/>
        </w:rPr>
        <w:t>tuvo</w:t>
      </w:r>
      <w:r w:rsidR="00180D31">
        <w:rPr>
          <w:rFonts w:ascii="Arial" w:hAnsi="Arial" w:cs="Arial"/>
          <w:lang w:val="es-ES"/>
        </w:rPr>
        <w:t xml:space="preserve"> una reducción </w:t>
      </w:r>
      <w:r w:rsidR="00087AB3">
        <w:rPr>
          <w:rFonts w:ascii="Arial" w:hAnsi="Arial" w:cs="Arial"/>
          <w:lang w:val="es-ES"/>
        </w:rPr>
        <w:t>respecto de</w:t>
      </w:r>
      <w:r w:rsidR="000A6494">
        <w:rPr>
          <w:rFonts w:ascii="Arial" w:hAnsi="Arial" w:cs="Arial"/>
          <w:lang w:val="es-ES"/>
        </w:rPr>
        <w:t xml:space="preserve"> </w:t>
      </w:r>
      <w:r w:rsidR="00087AB3">
        <w:rPr>
          <w:rFonts w:ascii="Arial" w:hAnsi="Arial" w:cs="Arial"/>
          <w:lang w:val="es-ES"/>
        </w:rPr>
        <w:t>2019</w:t>
      </w:r>
      <w:r w:rsidR="00180D31">
        <w:rPr>
          <w:rFonts w:ascii="Arial" w:hAnsi="Arial" w:cs="Arial"/>
          <w:lang w:val="es-ES"/>
        </w:rPr>
        <w:t xml:space="preserve">, </w:t>
      </w:r>
      <w:r w:rsidR="009A478F" w:rsidRPr="009B08FC">
        <w:rPr>
          <w:rFonts w:ascii="Arial" w:hAnsi="Arial" w:cs="Arial"/>
          <w:lang w:val="es-ES"/>
        </w:rPr>
        <w:t xml:space="preserve">pasando </w:t>
      </w:r>
      <w:r w:rsidR="00856A94" w:rsidRPr="009B08FC">
        <w:rPr>
          <w:rFonts w:ascii="Arial" w:hAnsi="Arial" w:cs="Arial"/>
          <w:lang w:val="es-ES"/>
        </w:rPr>
        <w:t>de 35.</w:t>
      </w:r>
      <w:r w:rsidR="00B876AF">
        <w:rPr>
          <w:rFonts w:ascii="Arial" w:hAnsi="Arial" w:cs="Arial"/>
          <w:lang w:val="es-ES"/>
        </w:rPr>
        <w:t>4</w:t>
      </w:r>
      <w:r w:rsidR="00856A94" w:rsidRPr="009B08FC">
        <w:rPr>
          <w:rFonts w:ascii="Arial" w:hAnsi="Arial" w:cs="Arial"/>
          <w:lang w:val="es-ES"/>
        </w:rPr>
        <w:t>% a 33.0</w:t>
      </w:r>
      <w:r w:rsidR="00087AB3">
        <w:rPr>
          <w:rFonts w:ascii="Arial" w:hAnsi="Arial" w:cs="Arial"/>
          <w:lang w:val="es-ES"/>
        </w:rPr>
        <w:t xml:space="preserve"> por ciento</w:t>
      </w:r>
      <w:r w:rsidR="00856A94" w:rsidRPr="009B08FC">
        <w:rPr>
          <w:rFonts w:ascii="Arial" w:hAnsi="Arial" w:cs="Arial"/>
          <w:lang w:val="es-ES"/>
        </w:rPr>
        <w:t xml:space="preserve">. </w:t>
      </w:r>
      <w:r w:rsidR="00841786">
        <w:rPr>
          <w:rFonts w:ascii="Arial" w:hAnsi="Arial" w:cs="Arial"/>
          <w:lang w:val="es-ES"/>
        </w:rPr>
        <w:t xml:space="preserve">El trabajo no remunerado en </w:t>
      </w:r>
      <w:r w:rsidR="007A56D3">
        <w:rPr>
          <w:rFonts w:ascii="Arial" w:hAnsi="Arial" w:cs="Arial"/>
          <w:lang w:val="es-ES"/>
        </w:rPr>
        <w:t xml:space="preserve">cuidados de salud </w:t>
      </w:r>
      <w:r w:rsidR="009A478F" w:rsidRPr="009B08FC">
        <w:rPr>
          <w:rFonts w:ascii="Arial" w:hAnsi="Arial" w:cs="Arial"/>
          <w:lang w:val="es-ES"/>
        </w:rPr>
        <w:t>alca</w:t>
      </w:r>
      <w:r w:rsidR="00841786">
        <w:rPr>
          <w:rFonts w:ascii="Arial" w:hAnsi="Arial" w:cs="Arial"/>
          <w:lang w:val="es-ES"/>
        </w:rPr>
        <w:t>nzó</w:t>
      </w:r>
      <w:r w:rsidR="009A478F" w:rsidRPr="009B08FC">
        <w:rPr>
          <w:rFonts w:ascii="Arial" w:hAnsi="Arial" w:cs="Arial"/>
          <w:lang w:val="es-ES"/>
        </w:rPr>
        <w:t xml:space="preserve"> una participación d</w:t>
      </w:r>
      <w:r w:rsidR="00E16E24" w:rsidRPr="009B08FC">
        <w:rPr>
          <w:rFonts w:ascii="Arial" w:hAnsi="Arial" w:cs="Arial"/>
          <w:lang w:val="es-ES"/>
        </w:rPr>
        <w:t>e 28.</w:t>
      </w:r>
      <w:r w:rsidR="00B876AF">
        <w:rPr>
          <w:rFonts w:ascii="Arial" w:hAnsi="Arial" w:cs="Arial"/>
          <w:lang w:val="es-ES"/>
        </w:rPr>
        <w:t>7</w:t>
      </w:r>
      <w:r w:rsidR="00E16E24" w:rsidRPr="009B08FC">
        <w:rPr>
          <w:rFonts w:ascii="Arial" w:hAnsi="Arial" w:cs="Arial"/>
          <w:lang w:val="es-ES"/>
        </w:rPr>
        <w:t>%</w:t>
      </w:r>
      <w:r w:rsidR="00087AB3">
        <w:rPr>
          <w:rFonts w:ascii="Arial" w:hAnsi="Arial" w:cs="Arial"/>
          <w:lang w:val="es-ES"/>
        </w:rPr>
        <w:t xml:space="preserve">, en contraste con </w:t>
      </w:r>
      <w:r w:rsidR="00E16E24" w:rsidRPr="009B08FC">
        <w:rPr>
          <w:rFonts w:ascii="Arial" w:hAnsi="Arial" w:cs="Arial"/>
          <w:lang w:val="es-ES"/>
        </w:rPr>
        <w:t>e</w:t>
      </w:r>
      <w:r w:rsidR="000A6494">
        <w:rPr>
          <w:rFonts w:ascii="Arial" w:hAnsi="Arial" w:cs="Arial"/>
          <w:lang w:val="es-ES"/>
        </w:rPr>
        <w:t xml:space="preserve">l </w:t>
      </w:r>
      <w:r w:rsidR="00E16E24" w:rsidRPr="009B08FC">
        <w:rPr>
          <w:rFonts w:ascii="Arial" w:hAnsi="Arial" w:cs="Arial"/>
          <w:lang w:val="es-ES"/>
        </w:rPr>
        <w:t>26.3% de 2019.</w:t>
      </w:r>
      <w:r w:rsidR="009005B4">
        <w:rPr>
          <w:rFonts w:ascii="Arial" w:hAnsi="Arial" w:cs="Arial"/>
          <w:lang w:val="es-ES"/>
        </w:rPr>
        <w:t xml:space="preserve"> </w:t>
      </w:r>
      <w:r w:rsidR="009005B4" w:rsidRPr="00746FAE">
        <w:rPr>
          <w:rFonts w:ascii="Arial" w:hAnsi="Arial" w:cs="Arial"/>
          <w:lang w:val="es-ES"/>
        </w:rPr>
        <w:t>En términos generales se</w:t>
      </w:r>
      <w:r w:rsidR="00A94CE4" w:rsidRPr="00746FAE">
        <w:rPr>
          <w:rFonts w:ascii="Arial" w:hAnsi="Arial" w:cs="Arial"/>
          <w:lang w:val="es-ES"/>
        </w:rPr>
        <w:t xml:space="preserve"> </w:t>
      </w:r>
      <w:r w:rsidR="009005B4" w:rsidRPr="00746FAE">
        <w:rPr>
          <w:rFonts w:ascii="Arial" w:hAnsi="Arial" w:cs="Arial"/>
          <w:lang w:val="es-ES"/>
        </w:rPr>
        <w:t>observa</w:t>
      </w:r>
      <w:r w:rsidR="00A94CE4" w:rsidRPr="00746FAE">
        <w:rPr>
          <w:rFonts w:ascii="Arial" w:hAnsi="Arial" w:cs="Arial"/>
          <w:lang w:val="es-ES"/>
        </w:rPr>
        <w:t xml:space="preserve"> </w:t>
      </w:r>
      <w:r w:rsidR="009005B4" w:rsidRPr="00746FAE">
        <w:rPr>
          <w:rFonts w:ascii="Arial" w:hAnsi="Arial" w:cs="Arial"/>
          <w:lang w:val="es-ES"/>
        </w:rPr>
        <w:t>que se presenta un desplazamiento en los cuidados de salud hacia los hogares.</w:t>
      </w:r>
    </w:p>
    <w:p w14:paraId="752D5C73" w14:textId="1A94BB71" w:rsidR="00856A94" w:rsidRDefault="00856A94" w:rsidP="00856A94">
      <w:pPr>
        <w:jc w:val="both"/>
        <w:rPr>
          <w:rFonts w:ascii="Arial" w:hAnsi="Arial" w:cs="Arial"/>
          <w:lang w:val="es-ES"/>
        </w:rPr>
      </w:pPr>
    </w:p>
    <w:p w14:paraId="6A62A94B" w14:textId="7F4315BE" w:rsidR="009C0D67" w:rsidRPr="007E7EF3" w:rsidRDefault="009A7124" w:rsidP="007E7EF3">
      <w:pPr>
        <w:jc w:val="both"/>
        <w:rPr>
          <w:rFonts w:ascii="Arial" w:hAnsi="Arial" w:cs="Arial"/>
          <w:lang w:val="es-ES"/>
        </w:rPr>
      </w:pPr>
      <w:r>
        <w:rPr>
          <w:rFonts w:ascii="Arial" w:hAnsi="Arial" w:cs="Arial"/>
          <w:lang w:val="es-ES"/>
        </w:rPr>
        <w:t>Comparado con</w:t>
      </w:r>
      <w:r w:rsidR="00A94CE4">
        <w:rPr>
          <w:rFonts w:ascii="Arial" w:hAnsi="Arial" w:cs="Arial"/>
          <w:lang w:val="es-ES"/>
        </w:rPr>
        <w:t xml:space="preserve"> </w:t>
      </w:r>
      <w:r>
        <w:rPr>
          <w:rFonts w:ascii="Arial" w:hAnsi="Arial" w:cs="Arial"/>
          <w:lang w:val="es-ES"/>
        </w:rPr>
        <w:t xml:space="preserve">el PIB nacional, </w:t>
      </w:r>
      <w:r w:rsidR="00060007">
        <w:rPr>
          <w:rFonts w:ascii="Arial" w:hAnsi="Arial" w:cs="Arial"/>
          <w:lang w:val="es-ES"/>
        </w:rPr>
        <w:t>las actividades de salud</w:t>
      </w:r>
      <w:r w:rsidR="00087AB3">
        <w:rPr>
          <w:rFonts w:ascii="Arial" w:hAnsi="Arial" w:cs="Arial"/>
          <w:lang w:val="es-ES"/>
        </w:rPr>
        <w:t xml:space="preserve"> del sector público</w:t>
      </w:r>
      <w:r>
        <w:rPr>
          <w:rFonts w:ascii="Arial" w:hAnsi="Arial" w:cs="Arial"/>
          <w:lang w:val="es-ES"/>
        </w:rPr>
        <w:t xml:space="preserve"> </w:t>
      </w:r>
      <w:r w:rsidR="00087AB3">
        <w:rPr>
          <w:rFonts w:ascii="Arial" w:hAnsi="Arial" w:cs="Arial"/>
          <w:lang w:val="es-ES"/>
        </w:rPr>
        <w:t>contrib</w:t>
      </w:r>
      <w:r w:rsidR="00060007">
        <w:rPr>
          <w:rFonts w:ascii="Arial" w:hAnsi="Arial" w:cs="Arial"/>
          <w:lang w:val="es-ES"/>
        </w:rPr>
        <w:t>uyeron</w:t>
      </w:r>
      <w:r w:rsidR="00087AB3">
        <w:rPr>
          <w:rFonts w:ascii="Arial" w:hAnsi="Arial" w:cs="Arial"/>
          <w:lang w:val="es-ES"/>
        </w:rPr>
        <w:t xml:space="preserve"> con </w:t>
      </w:r>
      <w:r w:rsidR="00841786">
        <w:rPr>
          <w:rFonts w:ascii="Arial" w:hAnsi="Arial" w:cs="Arial"/>
          <w:lang w:val="es-ES"/>
        </w:rPr>
        <w:t xml:space="preserve">2.5% </w:t>
      </w:r>
      <w:r w:rsidR="00060007">
        <w:rPr>
          <w:rFonts w:ascii="Arial" w:hAnsi="Arial" w:cs="Arial"/>
          <w:lang w:val="es-ES"/>
        </w:rPr>
        <w:t xml:space="preserve">(2.2% en el </w:t>
      </w:r>
      <w:r w:rsidR="00841786">
        <w:rPr>
          <w:rFonts w:ascii="Arial" w:hAnsi="Arial" w:cs="Arial"/>
          <w:lang w:val="es-ES"/>
        </w:rPr>
        <w:t>año anterior)</w:t>
      </w:r>
      <w:r w:rsidR="00841786" w:rsidRPr="009B08FC">
        <w:rPr>
          <w:rFonts w:ascii="Arial" w:hAnsi="Arial" w:cs="Arial"/>
          <w:lang w:val="es-ES"/>
        </w:rPr>
        <w:t xml:space="preserve">; </w:t>
      </w:r>
      <w:r w:rsidR="00841786">
        <w:rPr>
          <w:rFonts w:ascii="Arial" w:hAnsi="Arial" w:cs="Arial"/>
          <w:lang w:val="es-ES"/>
        </w:rPr>
        <w:t>mientras que el sector privado pas</w:t>
      </w:r>
      <w:r w:rsidR="00060007">
        <w:rPr>
          <w:rFonts w:ascii="Arial" w:hAnsi="Arial" w:cs="Arial"/>
          <w:lang w:val="es-ES"/>
        </w:rPr>
        <w:t>ó</w:t>
      </w:r>
      <w:r w:rsidR="00841786">
        <w:rPr>
          <w:rFonts w:ascii="Arial" w:hAnsi="Arial" w:cs="Arial"/>
          <w:lang w:val="es-ES"/>
        </w:rPr>
        <w:t xml:space="preserve"> de 2.0</w:t>
      </w:r>
      <w:r w:rsidR="00354B95">
        <w:rPr>
          <w:rFonts w:ascii="Arial" w:hAnsi="Arial" w:cs="Arial"/>
          <w:lang w:val="es-ES"/>
        </w:rPr>
        <w:t xml:space="preserve"> en 2019</w:t>
      </w:r>
      <w:r w:rsidR="00841786">
        <w:rPr>
          <w:rFonts w:ascii="Arial" w:hAnsi="Arial" w:cs="Arial"/>
          <w:lang w:val="es-ES"/>
        </w:rPr>
        <w:t xml:space="preserve"> a 2.1% del PIB e</w:t>
      </w:r>
      <w:r w:rsidR="00354B95">
        <w:rPr>
          <w:rFonts w:ascii="Arial" w:hAnsi="Arial" w:cs="Arial"/>
          <w:lang w:val="es-ES"/>
        </w:rPr>
        <w:t>n el 2020</w:t>
      </w:r>
      <w:r w:rsidR="00841786" w:rsidRPr="009B08FC">
        <w:rPr>
          <w:rFonts w:ascii="Arial" w:hAnsi="Arial" w:cs="Arial"/>
          <w:lang w:val="es-ES"/>
        </w:rPr>
        <w:t xml:space="preserve">. </w:t>
      </w:r>
      <w:r w:rsidR="00841786">
        <w:rPr>
          <w:rFonts w:ascii="Arial" w:hAnsi="Arial" w:cs="Arial"/>
          <w:lang w:val="es-ES"/>
        </w:rPr>
        <w:t>Es importante destacar que</w:t>
      </w:r>
      <w:r w:rsidR="00841786" w:rsidRPr="009B08FC">
        <w:rPr>
          <w:rFonts w:ascii="Arial" w:hAnsi="Arial" w:cs="Arial"/>
          <w:lang w:val="es-ES"/>
        </w:rPr>
        <w:t xml:space="preserve"> en los hogares </w:t>
      </w:r>
      <w:r w:rsidR="00841786" w:rsidRPr="00B80A38">
        <w:rPr>
          <w:rFonts w:ascii="Arial" w:hAnsi="Arial" w:cs="Arial"/>
          <w:lang w:val="es-ES"/>
        </w:rPr>
        <w:t>recayó gran parte de los cuidados de salud, considerando las medidas de confinamiento para enfrentar la pandemia por COVID-19,</w:t>
      </w:r>
      <w:r w:rsidR="00841786" w:rsidRPr="009B08FC">
        <w:rPr>
          <w:rFonts w:ascii="Arial" w:hAnsi="Arial" w:cs="Arial"/>
          <w:lang w:val="es-ES"/>
        </w:rPr>
        <w:t xml:space="preserve"> </w:t>
      </w:r>
      <w:r w:rsidR="00841786">
        <w:rPr>
          <w:rFonts w:ascii="Arial" w:hAnsi="Arial" w:cs="Arial"/>
          <w:lang w:val="es-ES"/>
        </w:rPr>
        <w:t>por lo que se alcanzó</w:t>
      </w:r>
      <w:r w:rsidR="00841786" w:rsidRPr="009B08FC">
        <w:rPr>
          <w:rFonts w:ascii="Arial" w:hAnsi="Arial" w:cs="Arial"/>
          <w:lang w:val="es-ES"/>
        </w:rPr>
        <w:t xml:space="preserve"> un</w:t>
      </w:r>
      <w:r w:rsidR="00841786">
        <w:rPr>
          <w:rFonts w:ascii="Arial" w:hAnsi="Arial" w:cs="Arial"/>
          <w:lang w:val="es-ES"/>
        </w:rPr>
        <w:t xml:space="preserve"> equivalente de 1.9</w:t>
      </w:r>
      <w:r w:rsidR="00841786" w:rsidRPr="009B08FC">
        <w:rPr>
          <w:rFonts w:ascii="Arial" w:hAnsi="Arial" w:cs="Arial"/>
          <w:lang w:val="es-ES"/>
        </w:rPr>
        <w:t>%</w:t>
      </w:r>
      <w:r w:rsidR="00841786">
        <w:rPr>
          <w:rFonts w:ascii="Arial" w:hAnsi="Arial" w:cs="Arial"/>
          <w:lang w:val="es-ES"/>
        </w:rPr>
        <w:t xml:space="preserve"> en 2020 (</w:t>
      </w:r>
      <w:r w:rsidR="00060007">
        <w:rPr>
          <w:rFonts w:ascii="Arial" w:hAnsi="Arial" w:cs="Arial"/>
          <w:lang w:val="es-ES"/>
        </w:rPr>
        <w:t>1.5% en el</w:t>
      </w:r>
      <w:r w:rsidR="00841786">
        <w:rPr>
          <w:rFonts w:ascii="Arial" w:hAnsi="Arial" w:cs="Arial"/>
          <w:lang w:val="es-ES"/>
        </w:rPr>
        <w:t xml:space="preserve"> año anterior).</w:t>
      </w:r>
    </w:p>
    <w:p w14:paraId="73A26CC5" w14:textId="77777777" w:rsidR="00B86AAB" w:rsidRDefault="00B86AAB" w:rsidP="00446D69">
      <w:pPr>
        <w:rPr>
          <w:rFonts w:ascii="Arial" w:hAnsi="Arial" w:cs="Arial"/>
        </w:rPr>
      </w:pPr>
    </w:p>
    <w:p w14:paraId="04DCD29B" w14:textId="77777777" w:rsidR="00C27CA0" w:rsidRPr="00EE5ACD" w:rsidRDefault="00CE36E9" w:rsidP="00412346">
      <w:pPr>
        <w:jc w:val="center"/>
        <w:rPr>
          <w:rFonts w:ascii="Arial" w:hAnsi="Arial" w:cs="Arial"/>
        </w:rPr>
      </w:pPr>
      <w:r w:rsidRPr="00EE5ACD">
        <w:rPr>
          <w:rFonts w:ascii="Arial" w:hAnsi="Arial" w:cs="Arial"/>
        </w:rPr>
        <w:t xml:space="preserve">Gráfica </w:t>
      </w:r>
      <w:r w:rsidR="00446D69">
        <w:rPr>
          <w:rFonts w:ascii="Arial" w:hAnsi="Arial" w:cs="Arial"/>
        </w:rPr>
        <w:t>2</w:t>
      </w:r>
    </w:p>
    <w:p w14:paraId="5B177E60" w14:textId="793B998F" w:rsidR="00CE36E9" w:rsidRPr="00EE5ACD" w:rsidRDefault="007F3AE5" w:rsidP="00C27CA0">
      <w:pPr>
        <w:ind w:left="-425" w:right="-516"/>
        <w:contextualSpacing/>
        <w:jc w:val="center"/>
        <w:rPr>
          <w:rFonts w:ascii="Arial" w:hAnsi="Arial" w:cs="Arial"/>
          <w:b/>
          <w:iCs/>
          <w:smallCaps/>
          <w:sz w:val="22"/>
          <w:szCs w:val="22"/>
        </w:rPr>
      </w:pPr>
      <w:r w:rsidRPr="00EE5ACD">
        <w:rPr>
          <w:rFonts w:ascii="Arial" w:hAnsi="Arial" w:cs="Arial"/>
          <w:b/>
          <w:iCs/>
          <w:smallCaps/>
          <w:sz w:val="22"/>
          <w:szCs w:val="22"/>
        </w:rPr>
        <w:t>C</w:t>
      </w:r>
      <w:r w:rsidR="00C27CA0" w:rsidRPr="00EE5ACD">
        <w:rPr>
          <w:rFonts w:ascii="Arial" w:hAnsi="Arial" w:cs="Arial"/>
          <w:b/>
          <w:iCs/>
          <w:smallCaps/>
          <w:sz w:val="22"/>
          <w:szCs w:val="22"/>
        </w:rPr>
        <w:t>ontribución del PIB del sector salud por componentes, 2008-2020</w:t>
      </w:r>
    </w:p>
    <w:p w14:paraId="1DF356ED" w14:textId="7ABBFBC8" w:rsidR="00C27CA0" w:rsidRPr="00EE5ACD" w:rsidRDefault="00C27CA0" w:rsidP="00C27CA0">
      <w:pPr>
        <w:pStyle w:val="Textoindependiente"/>
        <w:jc w:val="center"/>
        <w:rPr>
          <w:rFonts w:ascii="Arial" w:hAnsi="Arial" w:cs="Arial"/>
          <w:sz w:val="18"/>
          <w:szCs w:val="18"/>
          <w:lang w:val="es-MX"/>
        </w:rPr>
      </w:pPr>
      <w:r w:rsidRPr="00EE5ACD">
        <w:rPr>
          <w:rFonts w:ascii="Arial" w:hAnsi="Arial" w:cs="Arial"/>
          <w:sz w:val="18"/>
          <w:szCs w:val="18"/>
          <w:lang w:val="es-MX"/>
        </w:rPr>
        <w:t>(Participación porcentual)</w:t>
      </w:r>
    </w:p>
    <w:p w14:paraId="08ECE6F5" w14:textId="77777777" w:rsidR="00C27CA0" w:rsidRPr="00EE5ACD" w:rsidRDefault="00C27CA0" w:rsidP="00C27CA0">
      <w:pPr>
        <w:pStyle w:val="Textoindependiente"/>
        <w:jc w:val="center"/>
        <w:rPr>
          <w:rFonts w:ascii="Arial" w:hAnsi="Arial" w:cs="Arial"/>
          <w:sz w:val="16"/>
          <w:lang w:val="es-MX"/>
        </w:rPr>
      </w:pPr>
    </w:p>
    <w:p w14:paraId="3F0A8CC5" w14:textId="75B6AE22" w:rsidR="00D04B91" w:rsidRDefault="00CB6C86" w:rsidP="00CE36E9">
      <w:pPr>
        <w:pStyle w:val="Textoindependiente"/>
        <w:jc w:val="left"/>
        <w:rPr>
          <w:rFonts w:ascii="Arial" w:hAnsi="Arial" w:cs="Arial"/>
          <w:sz w:val="16"/>
          <w:szCs w:val="16"/>
          <w:lang w:val="es-MX"/>
        </w:rPr>
      </w:pPr>
      <w:r>
        <w:rPr>
          <w:rFonts w:ascii="Arial" w:hAnsi="Arial" w:cs="Arial"/>
          <w:noProof/>
          <w:sz w:val="16"/>
          <w:szCs w:val="16"/>
          <w:lang w:val="en-US" w:eastAsia="en-US"/>
        </w:rPr>
        <w:drawing>
          <wp:inline distT="0" distB="0" distL="0" distR="0" wp14:anchorId="5981D6FE" wp14:editId="733EAD63">
            <wp:extent cx="5662295" cy="2153565"/>
            <wp:effectExtent l="19050" t="19050" r="14605" b="184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382" cy="2173756"/>
                    </a:xfrm>
                    <a:prstGeom prst="rect">
                      <a:avLst/>
                    </a:prstGeom>
                    <a:noFill/>
                    <a:ln w="6350">
                      <a:solidFill>
                        <a:schemeClr val="tx1"/>
                      </a:solidFill>
                    </a:ln>
                  </pic:spPr>
                </pic:pic>
              </a:graphicData>
            </a:graphic>
          </wp:inline>
        </w:drawing>
      </w:r>
      <w:r w:rsidR="00CE36E9" w:rsidRPr="00EE5ACD">
        <w:rPr>
          <w:rFonts w:ascii="Arial" w:hAnsi="Arial" w:cs="Arial"/>
          <w:sz w:val="16"/>
          <w:szCs w:val="16"/>
          <w:lang w:val="es-MX"/>
        </w:rPr>
        <w:t xml:space="preserve"> </w:t>
      </w:r>
    </w:p>
    <w:p w14:paraId="7CDDB461" w14:textId="19864472" w:rsidR="00D04B91" w:rsidRDefault="00D04B91" w:rsidP="00D04B91">
      <w:pPr>
        <w:rPr>
          <w:rFonts w:ascii="Arial" w:hAnsi="Arial" w:cs="Arial"/>
          <w:sz w:val="16"/>
          <w:szCs w:val="16"/>
        </w:rPr>
      </w:pPr>
      <w:r>
        <w:rPr>
          <w:rFonts w:ascii="Arial" w:hAnsi="Arial" w:cs="Arial"/>
          <w:sz w:val="16"/>
          <w:szCs w:val="16"/>
        </w:rPr>
        <w:t>Nota: Las suma de los parciales puede no coincidir con el total debido al redondeo.</w:t>
      </w:r>
    </w:p>
    <w:p w14:paraId="7409AC39" w14:textId="77777777" w:rsidR="00413DD6" w:rsidRDefault="00CE36E9" w:rsidP="00413DD6">
      <w:pPr>
        <w:pStyle w:val="Textoindependiente"/>
        <w:jc w:val="left"/>
        <w:rPr>
          <w:rFonts w:ascii="Arial" w:hAnsi="Arial" w:cs="Arial"/>
          <w:sz w:val="16"/>
          <w:szCs w:val="16"/>
          <w:lang w:val="es-MX"/>
        </w:rPr>
      </w:pPr>
      <w:r w:rsidRPr="00EE5ACD">
        <w:rPr>
          <w:rFonts w:ascii="Arial" w:hAnsi="Arial" w:cs="Arial"/>
          <w:sz w:val="16"/>
          <w:szCs w:val="16"/>
          <w:lang w:val="es-MX"/>
        </w:rPr>
        <w:t>Fuente: INEGI.</w:t>
      </w:r>
    </w:p>
    <w:p w14:paraId="1E84946B" w14:textId="77777777" w:rsidR="00BB7C48" w:rsidRDefault="00BB7C48" w:rsidP="007D0519">
      <w:pPr>
        <w:jc w:val="both"/>
        <w:rPr>
          <w:rFonts w:ascii="Arial" w:hAnsi="Arial" w:cs="Arial"/>
          <w:color w:val="FF0000"/>
        </w:rPr>
      </w:pPr>
    </w:p>
    <w:p w14:paraId="66F284A2" w14:textId="22AC061C" w:rsidR="00606834" w:rsidRDefault="009259AF" w:rsidP="009D3B12">
      <w:pPr>
        <w:jc w:val="both"/>
        <w:rPr>
          <w:rFonts w:ascii="Arial" w:hAnsi="Arial" w:cs="Arial"/>
        </w:rPr>
      </w:pPr>
      <w:r w:rsidRPr="00B86AAB">
        <w:rPr>
          <w:rFonts w:ascii="Arial" w:hAnsi="Arial" w:cs="Arial"/>
        </w:rPr>
        <w:t xml:space="preserve">En 2020, al </w:t>
      </w:r>
      <w:r w:rsidR="00BB7C48" w:rsidRPr="00B86AAB">
        <w:rPr>
          <w:rFonts w:ascii="Arial" w:hAnsi="Arial" w:cs="Arial"/>
        </w:rPr>
        <w:t xml:space="preserve">desglosar </w:t>
      </w:r>
      <w:r w:rsidR="00D20626" w:rsidRPr="00B86AAB">
        <w:rPr>
          <w:rFonts w:ascii="Arial" w:hAnsi="Arial" w:cs="Arial"/>
        </w:rPr>
        <w:t>el PIB de la salud</w:t>
      </w:r>
      <w:r w:rsidR="00BB7C48" w:rsidRPr="00B86AAB">
        <w:rPr>
          <w:rFonts w:ascii="Arial" w:hAnsi="Arial" w:cs="Arial"/>
        </w:rPr>
        <w:t xml:space="preserve"> </w:t>
      </w:r>
      <w:r w:rsidR="00174BF2" w:rsidRPr="00B86AAB">
        <w:rPr>
          <w:rFonts w:ascii="Arial" w:hAnsi="Arial" w:cs="Arial"/>
        </w:rPr>
        <w:t xml:space="preserve">de las </w:t>
      </w:r>
      <w:r w:rsidR="00D20626" w:rsidRPr="00B86AAB">
        <w:rPr>
          <w:rFonts w:ascii="Arial" w:hAnsi="Arial" w:cs="Arial"/>
        </w:rPr>
        <w:t>actividades económicas</w:t>
      </w:r>
      <w:r w:rsidR="00174BF2" w:rsidRPr="00B86AAB">
        <w:rPr>
          <w:rFonts w:ascii="Arial" w:hAnsi="Arial" w:cs="Arial"/>
        </w:rPr>
        <w:t>, sin incluir el TNRS</w:t>
      </w:r>
      <w:r w:rsidR="002834B9" w:rsidRPr="00B86AAB">
        <w:rPr>
          <w:rFonts w:ascii="Arial" w:hAnsi="Arial" w:cs="Arial"/>
        </w:rPr>
        <w:t>,</w:t>
      </w:r>
      <w:r w:rsidR="00BB7C48" w:rsidRPr="00B86AAB">
        <w:rPr>
          <w:rFonts w:ascii="Arial" w:hAnsi="Arial" w:cs="Arial"/>
        </w:rPr>
        <w:t xml:space="preserve"> </w:t>
      </w:r>
      <w:r w:rsidRPr="00B86AAB">
        <w:rPr>
          <w:rFonts w:ascii="Arial" w:hAnsi="Arial" w:cs="Arial"/>
        </w:rPr>
        <w:t xml:space="preserve">respecto del año anterior, </w:t>
      </w:r>
      <w:r w:rsidR="00FC734D" w:rsidRPr="00B86AAB">
        <w:rPr>
          <w:rFonts w:ascii="Arial" w:hAnsi="Arial" w:cs="Arial"/>
        </w:rPr>
        <w:t xml:space="preserve">se </w:t>
      </w:r>
      <w:r w:rsidR="00BB7C48" w:rsidRPr="00B86AAB">
        <w:rPr>
          <w:rFonts w:ascii="Arial" w:hAnsi="Arial" w:cs="Arial"/>
        </w:rPr>
        <w:t xml:space="preserve">observa </w:t>
      </w:r>
      <w:r w:rsidR="00FC734D" w:rsidRPr="00B86AAB">
        <w:rPr>
          <w:rFonts w:ascii="Arial" w:hAnsi="Arial" w:cs="Arial"/>
        </w:rPr>
        <w:t>un incremento en la</w:t>
      </w:r>
      <w:r w:rsidR="00FC734D" w:rsidRPr="009C0D67">
        <w:rPr>
          <w:rFonts w:ascii="Arial" w:hAnsi="Arial" w:cs="Arial"/>
        </w:rPr>
        <w:t xml:space="preserve"> participación de los hospitales, pasando de 27.7% a 29.0%, </w:t>
      </w:r>
      <w:r w:rsidR="00185E03" w:rsidRPr="009C0D67">
        <w:rPr>
          <w:rFonts w:ascii="Arial" w:hAnsi="Arial" w:cs="Arial"/>
        </w:rPr>
        <w:t xml:space="preserve">en contraste con </w:t>
      </w:r>
      <w:r w:rsidR="00FC734D" w:rsidRPr="009C0D67">
        <w:rPr>
          <w:rFonts w:ascii="Arial" w:hAnsi="Arial" w:cs="Arial"/>
        </w:rPr>
        <w:t>los consultorios médicos</w:t>
      </w:r>
      <w:r w:rsidR="00D20626">
        <w:rPr>
          <w:rFonts w:ascii="Arial" w:hAnsi="Arial" w:cs="Arial"/>
        </w:rPr>
        <w:t>,</w:t>
      </w:r>
      <w:r w:rsidR="004A3D64" w:rsidRPr="009C0D67">
        <w:rPr>
          <w:rFonts w:ascii="Arial" w:hAnsi="Arial" w:cs="Arial"/>
        </w:rPr>
        <w:t xml:space="preserve"> </w:t>
      </w:r>
      <w:r w:rsidR="004B54EB" w:rsidRPr="004B54EB">
        <w:rPr>
          <w:rFonts w:ascii="Arial" w:hAnsi="Arial" w:cs="Arial"/>
        </w:rPr>
        <w:t>los cuales redujeron su participación de 23.8% a 22.0%</w:t>
      </w:r>
      <w:r w:rsidR="008E30BD" w:rsidRPr="009C0D67">
        <w:rPr>
          <w:rFonts w:ascii="Arial" w:hAnsi="Arial" w:cs="Arial"/>
        </w:rPr>
        <w:t>;</w:t>
      </w:r>
      <w:r w:rsidR="00FC734D" w:rsidRPr="009C0D67">
        <w:rPr>
          <w:rFonts w:ascii="Arial" w:hAnsi="Arial" w:cs="Arial"/>
        </w:rPr>
        <w:t xml:space="preserve"> </w:t>
      </w:r>
      <w:r w:rsidR="004B54EB">
        <w:rPr>
          <w:rFonts w:ascii="Arial" w:hAnsi="Arial" w:cs="Arial"/>
        </w:rPr>
        <w:t>al igual que</w:t>
      </w:r>
      <w:r w:rsidR="00FC734D" w:rsidRPr="009C0D67">
        <w:rPr>
          <w:rFonts w:ascii="Arial" w:hAnsi="Arial" w:cs="Arial"/>
        </w:rPr>
        <w:t xml:space="preserve"> los servicios conexos</w:t>
      </w:r>
      <w:r w:rsidR="0056051B">
        <w:rPr>
          <w:rFonts w:ascii="Arial" w:hAnsi="Arial" w:cs="Arial"/>
        </w:rPr>
        <w:t xml:space="preserve"> como los </w:t>
      </w:r>
      <w:r w:rsidR="0056051B" w:rsidRPr="0056051B">
        <w:rPr>
          <w:rFonts w:ascii="Arial" w:hAnsi="Arial" w:cs="Arial"/>
        </w:rPr>
        <w:t>seguros médicos privados</w:t>
      </w:r>
      <w:r w:rsidR="0056051B">
        <w:rPr>
          <w:rFonts w:ascii="Arial" w:hAnsi="Arial" w:cs="Arial"/>
        </w:rPr>
        <w:t>,</w:t>
      </w:r>
      <w:r w:rsidR="0056051B" w:rsidRPr="0056051B">
        <w:rPr>
          <w:rFonts w:ascii="Arial" w:hAnsi="Arial" w:cs="Arial"/>
        </w:rPr>
        <w:t xml:space="preserve"> </w:t>
      </w:r>
      <w:r w:rsidR="0056051B">
        <w:rPr>
          <w:rFonts w:ascii="Arial" w:hAnsi="Arial" w:cs="Arial"/>
        </w:rPr>
        <w:t>i</w:t>
      </w:r>
      <w:r w:rsidR="0056051B" w:rsidRPr="0056051B">
        <w:rPr>
          <w:rFonts w:ascii="Arial" w:hAnsi="Arial" w:cs="Arial"/>
        </w:rPr>
        <w:t>nvestigación y desarrollo</w:t>
      </w:r>
      <w:r w:rsidR="0056051B">
        <w:rPr>
          <w:rFonts w:ascii="Arial" w:hAnsi="Arial" w:cs="Arial"/>
        </w:rPr>
        <w:t>,</w:t>
      </w:r>
      <w:r w:rsidR="0056051B" w:rsidRPr="0056051B">
        <w:rPr>
          <w:rFonts w:ascii="Arial" w:hAnsi="Arial" w:cs="Arial"/>
        </w:rPr>
        <w:t xml:space="preserve"> </w:t>
      </w:r>
      <w:r w:rsidR="00606834">
        <w:rPr>
          <w:rFonts w:ascii="Arial" w:hAnsi="Arial" w:cs="Arial"/>
        </w:rPr>
        <w:t>o</w:t>
      </w:r>
      <w:r w:rsidR="0056051B">
        <w:rPr>
          <w:rFonts w:ascii="Arial" w:hAnsi="Arial" w:cs="Arial"/>
        </w:rPr>
        <w:t xml:space="preserve"> formación de personal</w:t>
      </w:r>
      <w:r w:rsidR="00606834">
        <w:rPr>
          <w:rFonts w:ascii="Arial" w:hAnsi="Arial" w:cs="Arial"/>
        </w:rPr>
        <w:t>,</w:t>
      </w:r>
      <w:r w:rsidR="00FC734D" w:rsidRPr="009C0D67">
        <w:rPr>
          <w:rFonts w:ascii="Arial" w:hAnsi="Arial" w:cs="Arial"/>
        </w:rPr>
        <w:t xml:space="preserve"> que pasaron de 23.1% a 22.9 por ciento</w:t>
      </w:r>
    </w:p>
    <w:p w14:paraId="211D7030" w14:textId="77777777" w:rsidR="00C9441C" w:rsidRDefault="00C9441C" w:rsidP="009D3B12">
      <w:pPr>
        <w:jc w:val="both"/>
        <w:rPr>
          <w:rFonts w:ascii="Arial" w:hAnsi="Arial" w:cs="Arial"/>
        </w:rPr>
      </w:pPr>
    </w:p>
    <w:bookmarkEnd w:id="1"/>
    <w:p w14:paraId="3C8E9FB0" w14:textId="4F16A158" w:rsidR="00A82813" w:rsidRDefault="00D50FB5" w:rsidP="00A82813">
      <w:pPr>
        <w:jc w:val="center"/>
        <w:rPr>
          <w:rFonts w:ascii="Arial" w:hAnsi="Arial" w:cs="Arial"/>
          <w:color w:val="FF0000"/>
        </w:rPr>
      </w:pPr>
      <w:r>
        <w:rPr>
          <w:rFonts w:ascii="Arial" w:hAnsi="Arial" w:cs="Arial"/>
        </w:rPr>
        <w:t>Grá</w:t>
      </w:r>
      <w:r w:rsidR="00A82813" w:rsidRPr="00644D1C">
        <w:rPr>
          <w:rFonts w:ascii="Arial" w:hAnsi="Arial" w:cs="Arial"/>
        </w:rPr>
        <w:t>fica</w:t>
      </w:r>
      <w:r w:rsidR="00644D1C" w:rsidRPr="00644D1C">
        <w:rPr>
          <w:rFonts w:ascii="Arial" w:hAnsi="Arial" w:cs="Arial"/>
        </w:rPr>
        <w:t xml:space="preserve"> </w:t>
      </w:r>
      <w:r w:rsidR="00A4333E">
        <w:rPr>
          <w:rFonts w:ascii="Arial" w:hAnsi="Arial" w:cs="Arial"/>
        </w:rPr>
        <w:t>3</w:t>
      </w:r>
    </w:p>
    <w:p w14:paraId="2CE13647" w14:textId="296AD5A1" w:rsidR="00684984" w:rsidRPr="00861983" w:rsidRDefault="00FC734D" w:rsidP="00861983">
      <w:pPr>
        <w:ind w:left="-425" w:right="-516"/>
        <w:contextualSpacing/>
        <w:jc w:val="center"/>
        <w:rPr>
          <w:rFonts w:ascii="Arial" w:hAnsi="Arial" w:cs="Arial"/>
          <w:b/>
          <w:iCs/>
          <w:smallCaps/>
          <w:sz w:val="22"/>
          <w:szCs w:val="22"/>
        </w:rPr>
      </w:pPr>
      <w:r w:rsidRPr="00861983">
        <w:rPr>
          <w:rFonts w:ascii="Arial" w:hAnsi="Arial" w:cs="Arial"/>
          <w:b/>
          <w:iCs/>
          <w:smallCaps/>
          <w:sz w:val="22"/>
          <w:szCs w:val="22"/>
        </w:rPr>
        <w:t xml:space="preserve">PIB de las actividades económicas del sector. 2019 </w:t>
      </w:r>
      <w:proofErr w:type="gramStart"/>
      <w:r w:rsidR="00153397">
        <w:rPr>
          <w:rFonts w:ascii="Arial" w:hAnsi="Arial" w:cs="Arial"/>
          <w:b/>
          <w:iCs/>
          <w:smallCaps/>
          <w:sz w:val="22"/>
          <w:szCs w:val="22"/>
        </w:rPr>
        <w:t>y</w:t>
      </w:r>
      <w:proofErr w:type="gramEnd"/>
      <w:r w:rsidRPr="00861983">
        <w:rPr>
          <w:rFonts w:ascii="Arial" w:hAnsi="Arial" w:cs="Arial"/>
          <w:b/>
          <w:iCs/>
          <w:smallCaps/>
          <w:sz w:val="22"/>
          <w:szCs w:val="22"/>
        </w:rPr>
        <w:t xml:space="preserve"> 2020</w:t>
      </w:r>
      <w:r w:rsidRPr="00861983">
        <w:rPr>
          <w:rFonts w:ascii="Arial" w:hAnsi="Arial" w:cs="Arial"/>
          <w:b/>
          <w:iCs/>
          <w:smallCaps/>
          <w:sz w:val="22"/>
          <w:szCs w:val="22"/>
          <w:vertAlign w:val="superscript"/>
        </w:rPr>
        <w:t>P</w:t>
      </w:r>
    </w:p>
    <w:p w14:paraId="2FAA3310" w14:textId="04633DC6" w:rsidR="001E7246" w:rsidRPr="001E7246" w:rsidRDefault="00FC734D" w:rsidP="001E7246">
      <w:pPr>
        <w:pStyle w:val="Textoindependiente"/>
        <w:jc w:val="center"/>
        <w:rPr>
          <w:rFonts w:ascii="Arial" w:hAnsi="Arial" w:cs="Arial"/>
          <w:sz w:val="18"/>
          <w:szCs w:val="18"/>
          <w:lang w:val="es-MX"/>
        </w:rPr>
      </w:pPr>
      <w:r w:rsidRPr="00861983">
        <w:rPr>
          <w:rFonts w:ascii="Arial" w:hAnsi="Arial" w:cs="Arial"/>
          <w:sz w:val="18"/>
          <w:szCs w:val="18"/>
          <w:lang w:val="es-MX"/>
        </w:rPr>
        <w:t xml:space="preserve">(Estructura porcentual) </w:t>
      </w:r>
    </w:p>
    <w:p w14:paraId="7B8E66B9" w14:textId="654E9523" w:rsidR="001E7246" w:rsidRDefault="001E7246" w:rsidP="00096C6B">
      <w:pPr>
        <w:rPr>
          <w:rFonts w:ascii="Arial" w:hAnsi="Arial" w:cs="Arial"/>
          <w:noProof/>
          <w:lang w:val="en-US" w:eastAsia="en-US"/>
        </w:rPr>
      </w:pPr>
      <w:r>
        <w:rPr>
          <w:rFonts w:ascii="Arial" w:hAnsi="Arial" w:cs="Arial"/>
          <w:noProof/>
          <w:lang w:val="en-US" w:eastAsia="en-US"/>
        </w:rPr>
        <w:drawing>
          <wp:inline distT="0" distB="0" distL="0" distR="0" wp14:anchorId="6066588C" wp14:editId="2BB57E9D">
            <wp:extent cx="5807412" cy="2353945"/>
            <wp:effectExtent l="19050" t="19050" r="22225" b="27305"/>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885939" cy="2385775"/>
                    </a:xfrm>
                    <a:prstGeom prst="rect">
                      <a:avLst/>
                    </a:prstGeom>
                    <a:noFill/>
                    <a:ln w="19050">
                      <a:solidFill>
                        <a:schemeClr val="tx1"/>
                      </a:solidFill>
                    </a:ln>
                  </pic:spPr>
                </pic:pic>
              </a:graphicData>
            </a:graphic>
          </wp:inline>
        </w:drawing>
      </w:r>
    </w:p>
    <w:p w14:paraId="52B73E77" w14:textId="341743BD" w:rsidR="00096C6B" w:rsidRDefault="00096C6B" w:rsidP="00096C6B">
      <w:pPr>
        <w:rPr>
          <w:rFonts w:ascii="Arial" w:hAnsi="Arial" w:cs="Arial"/>
          <w:sz w:val="16"/>
          <w:szCs w:val="16"/>
        </w:rPr>
      </w:pPr>
      <w:r w:rsidRPr="00096C6B">
        <w:rPr>
          <w:rFonts w:ascii="Arial" w:hAnsi="Arial" w:cs="Arial"/>
          <w:sz w:val="16"/>
          <w:szCs w:val="16"/>
        </w:rPr>
        <w:t xml:space="preserve"> </w:t>
      </w:r>
      <w:r>
        <w:rPr>
          <w:rFonts w:ascii="Arial" w:hAnsi="Arial" w:cs="Arial"/>
          <w:sz w:val="16"/>
          <w:szCs w:val="16"/>
        </w:rPr>
        <w:t>Nota: Las suma de los parciales puede no coincidir con el total debido al redondeo.</w:t>
      </w:r>
    </w:p>
    <w:p w14:paraId="5AE43D3C" w14:textId="77777777" w:rsidR="00096C6B" w:rsidRDefault="00096C6B" w:rsidP="00096C6B">
      <w:pPr>
        <w:pStyle w:val="Textoindependiente"/>
        <w:jc w:val="left"/>
        <w:rPr>
          <w:rFonts w:ascii="Arial" w:hAnsi="Arial" w:cs="Arial"/>
          <w:sz w:val="16"/>
          <w:szCs w:val="16"/>
          <w:lang w:val="es-MX"/>
        </w:rPr>
      </w:pPr>
      <w:r w:rsidRPr="00EE5ACD">
        <w:rPr>
          <w:rFonts w:ascii="Arial" w:hAnsi="Arial" w:cs="Arial"/>
          <w:sz w:val="16"/>
          <w:szCs w:val="16"/>
          <w:lang w:val="es-MX"/>
        </w:rPr>
        <w:t>Fuente: INEGI.</w:t>
      </w:r>
    </w:p>
    <w:p w14:paraId="0D38B7C8" w14:textId="77777777" w:rsidR="000A6494" w:rsidRDefault="000A6494" w:rsidP="00FC734D">
      <w:pPr>
        <w:jc w:val="both"/>
        <w:rPr>
          <w:rFonts w:ascii="Arial" w:hAnsi="Arial" w:cs="Arial"/>
        </w:rPr>
      </w:pPr>
    </w:p>
    <w:p w14:paraId="05614782" w14:textId="07FC888F" w:rsidR="00FC734D" w:rsidRPr="008D59E9" w:rsidRDefault="00FC734D" w:rsidP="00FC734D">
      <w:pPr>
        <w:jc w:val="both"/>
        <w:rPr>
          <w:rFonts w:ascii="Arial" w:hAnsi="Arial" w:cs="Arial"/>
        </w:rPr>
      </w:pPr>
      <w:r w:rsidRPr="008D59E9">
        <w:rPr>
          <w:rFonts w:ascii="Arial" w:hAnsi="Arial" w:cs="Arial"/>
        </w:rPr>
        <w:lastRenderedPageBreak/>
        <w:t xml:space="preserve">Por </w:t>
      </w:r>
      <w:r w:rsidR="00382599" w:rsidRPr="008D59E9">
        <w:rPr>
          <w:rFonts w:ascii="Arial" w:hAnsi="Arial" w:cs="Arial"/>
        </w:rPr>
        <w:t>su parte</w:t>
      </w:r>
      <w:r w:rsidRPr="008D59E9">
        <w:rPr>
          <w:rFonts w:ascii="Arial" w:hAnsi="Arial" w:cs="Arial"/>
        </w:rPr>
        <w:t xml:space="preserve">, </w:t>
      </w:r>
      <w:r w:rsidR="008E30BD" w:rsidRPr="008D59E9">
        <w:rPr>
          <w:rFonts w:ascii="Arial" w:hAnsi="Arial" w:cs="Arial"/>
        </w:rPr>
        <w:t xml:space="preserve">el detalle de </w:t>
      </w:r>
      <w:r w:rsidR="00714180" w:rsidRPr="008D59E9">
        <w:rPr>
          <w:rFonts w:ascii="Arial" w:hAnsi="Arial" w:cs="Arial"/>
        </w:rPr>
        <w:t>las actividades del</w:t>
      </w:r>
      <w:r w:rsidR="004F65D8">
        <w:rPr>
          <w:rFonts w:ascii="Arial" w:hAnsi="Arial" w:cs="Arial"/>
        </w:rPr>
        <w:t xml:space="preserve"> </w:t>
      </w:r>
      <w:r w:rsidR="008D59E9">
        <w:rPr>
          <w:rFonts w:ascii="Arial" w:hAnsi="Arial" w:cs="Arial"/>
        </w:rPr>
        <w:t xml:space="preserve">TNRS </w:t>
      </w:r>
      <w:r w:rsidR="008E30BD" w:rsidRPr="008D59E9">
        <w:rPr>
          <w:rFonts w:ascii="Arial" w:hAnsi="Arial" w:cs="Arial"/>
        </w:rPr>
        <w:t xml:space="preserve">muestra un </w:t>
      </w:r>
      <w:r w:rsidRPr="008D59E9">
        <w:rPr>
          <w:rFonts w:ascii="Arial" w:hAnsi="Arial" w:cs="Arial"/>
        </w:rPr>
        <w:t xml:space="preserve">cambio en la estructura </w:t>
      </w:r>
      <w:r w:rsidR="00714180" w:rsidRPr="008D59E9">
        <w:rPr>
          <w:rFonts w:ascii="Arial" w:hAnsi="Arial" w:cs="Arial"/>
        </w:rPr>
        <w:t xml:space="preserve">del valor económico </w:t>
      </w:r>
      <w:r w:rsidR="000749A3">
        <w:rPr>
          <w:rFonts w:ascii="Arial" w:hAnsi="Arial" w:cs="Arial"/>
        </w:rPr>
        <w:t xml:space="preserve">aportado, </w:t>
      </w:r>
      <w:r w:rsidRPr="00606834">
        <w:rPr>
          <w:rFonts w:ascii="Arial" w:hAnsi="Arial" w:cs="Arial"/>
        </w:rPr>
        <w:t xml:space="preserve">como consecuencia de </w:t>
      </w:r>
      <w:r w:rsidR="008E30BD" w:rsidRPr="00606834">
        <w:rPr>
          <w:rFonts w:ascii="Arial" w:hAnsi="Arial" w:cs="Arial"/>
        </w:rPr>
        <w:t xml:space="preserve">la reorientación </w:t>
      </w:r>
      <w:r w:rsidRPr="00606834">
        <w:rPr>
          <w:rFonts w:ascii="Arial" w:hAnsi="Arial" w:cs="Arial"/>
        </w:rPr>
        <w:t xml:space="preserve">de </w:t>
      </w:r>
      <w:r w:rsidR="008E30BD" w:rsidRPr="00606834">
        <w:rPr>
          <w:rFonts w:ascii="Arial" w:hAnsi="Arial" w:cs="Arial"/>
        </w:rPr>
        <w:t xml:space="preserve">los </w:t>
      </w:r>
      <w:r w:rsidRPr="00606834">
        <w:rPr>
          <w:rFonts w:ascii="Arial" w:hAnsi="Arial" w:cs="Arial"/>
        </w:rPr>
        <w:t xml:space="preserve">servicios </w:t>
      </w:r>
      <w:r w:rsidR="008E30BD" w:rsidRPr="00606834">
        <w:rPr>
          <w:rFonts w:ascii="Arial" w:hAnsi="Arial" w:cs="Arial"/>
        </w:rPr>
        <w:t xml:space="preserve">médicos </w:t>
      </w:r>
      <w:r w:rsidRPr="00606834">
        <w:rPr>
          <w:rFonts w:ascii="Arial" w:hAnsi="Arial" w:cs="Arial"/>
        </w:rPr>
        <w:t xml:space="preserve">en </w:t>
      </w:r>
      <w:r w:rsidR="008E30BD" w:rsidRPr="00606834">
        <w:rPr>
          <w:rFonts w:ascii="Arial" w:hAnsi="Arial" w:cs="Arial"/>
        </w:rPr>
        <w:t xml:space="preserve">los </w:t>
      </w:r>
      <w:r w:rsidRPr="00606834">
        <w:rPr>
          <w:rFonts w:ascii="Arial" w:hAnsi="Arial" w:cs="Arial"/>
        </w:rPr>
        <w:t>sector</w:t>
      </w:r>
      <w:r w:rsidR="008E30BD" w:rsidRPr="00606834">
        <w:rPr>
          <w:rFonts w:ascii="Arial" w:hAnsi="Arial" w:cs="Arial"/>
        </w:rPr>
        <w:t>es</w:t>
      </w:r>
      <w:r w:rsidRPr="00606834">
        <w:rPr>
          <w:rFonts w:ascii="Arial" w:hAnsi="Arial" w:cs="Arial"/>
        </w:rPr>
        <w:t xml:space="preserve"> público y privado. En particular se observó un aumento en los cuidados especializados</w:t>
      </w:r>
      <w:r w:rsidR="00BC101A" w:rsidRPr="008D59E9">
        <w:rPr>
          <w:rStyle w:val="Refdenotaalpie"/>
          <w:rFonts w:ascii="Arial" w:hAnsi="Arial" w:cs="Arial"/>
        </w:rPr>
        <w:footnoteReference w:id="6"/>
      </w:r>
      <w:r w:rsidRPr="008D59E9">
        <w:rPr>
          <w:rFonts w:ascii="Arial" w:hAnsi="Arial" w:cs="Arial"/>
        </w:rPr>
        <w:t xml:space="preserve">, al pasar de 53.9% a 57.9%; </w:t>
      </w:r>
      <w:r w:rsidR="00EF10AE">
        <w:rPr>
          <w:rFonts w:ascii="Arial" w:hAnsi="Arial" w:cs="Arial"/>
        </w:rPr>
        <w:t xml:space="preserve">mientras que </w:t>
      </w:r>
      <w:r w:rsidRPr="008D59E9">
        <w:rPr>
          <w:rFonts w:ascii="Arial" w:hAnsi="Arial" w:cs="Arial"/>
        </w:rPr>
        <w:t>los cuidados preventivos</w:t>
      </w:r>
      <w:r w:rsidR="00BC101A" w:rsidRPr="008D59E9">
        <w:rPr>
          <w:rStyle w:val="Refdenotaalpie"/>
          <w:rFonts w:ascii="Arial" w:hAnsi="Arial" w:cs="Arial"/>
        </w:rPr>
        <w:footnoteReference w:id="7"/>
      </w:r>
      <w:r w:rsidR="00EF10AE">
        <w:rPr>
          <w:rFonts w:ascii="Arial" w:hAnsi="Arial" w:cs="Arial"/>
        </w:rPr>
        <w:t xml:space="preserve"> tuvieron una caída</w:t>
      </w:r>
      <w:r w:rsidR="004F65D8">
        <w:rPr>
          <w:rFonts w:ascii="Arial" w:hAnsi="Arial" w:cs="Arial"/>
        </w:rPr>
        <w:t xml:space="preserve"> </w:t>
      </w:r>
      <w:r w:rsidRPr="008D59E9">
        <w:rPr>
          <w:rFonts w:ascii="Arial" w:hAnsi="Arial" w:cs="Arial"/>
        </w:rPr>
        <w:t>al pasar de 7.8% a 2.9</w:t>
      </w:r>
      <w:r w:rsidR="00EF10AE">
        <w:rPr>
          <w:rFonts w:ascii="Arial" w:hAnsi="Arial" w:cs="Arial"/>
        </w:rPr>
        <w:t xml:space="preserve"> por ciento</w:t>
      </w:r>
      <w:r w:rsidRPr="008D59E9">
        <w:rPr>
          <w:rFonts w:ascii="Arial" w:hAnsi="Arial" w:cs="Arial"/>
        </w:rPr>
        <w:t>.</w:t>
      </w:r>
    </w:p>
    <w:p w14:paraId="39654A4A" w14:textId="77777777" w:rsidR="004F65D8" w:rsidRDefault="004F65D8" w:rsidP="00861983">
      <w:pPr>
        <w:jc w:val="center"/>
        <w:rPr>
          <w:rFonts w:ascii="Arial" w:hAnsi="Arial" w:cs="Arial"/>
        </w:rPr>
      </w:pPr>
    </w:p>
    <w:p w14:paraId="429C6F6C" w14:textId="3FC41E71" w:rsidR="00382599" w:rsidRPr="00FC734D" w:rsidRDefault="00D50FB5" w:rsidP="00861983">
      <w:pPr>
        <w:jc w:val="center"/>
        <w:rPr>
          <w:rFonts w:ascii="Arial" w:hAnsi="Arial" w:cs="Arial"/>
          <w:color w:val="FF0000"/>
        </w:rPr>
      </w:pPr>
      <w:r>
        <w:rPr>
          <w:rFonts w:ascii="Arial" w:hAnsi="Arial" w:cs="Arial"/>
        </w:rPr>
        <w:t>Grá</w:t>
      </w:r>
      <w:r w:rsidR="00607436" w:rsidRPr="00644D1C">
        <w:rPr>
          <w:rFonts w:ascii="Arial" w:hAnsi="Arial" w:cs="Arial"/>
        </w:rPr>
        <w:t>fica</w:t>
      </w:r>
      <w:r w:rsidR="00607436">
        <w:rPr>
          <w:rFonts w:ascii="Arial" w:hAnsi="Arial" w:cs="Arial"/>
        </w:rPr>
        <w:t xml:space="preserve"> </w:t>
      </w:r>
      <w:r w:rsidR="00A4333E">
        <w:rPr>
          <w:rFonts w:ascii="Arial" w:hAnsi="Arial" w:cs="Arial"/>
        </w:rPr>
        <w:t>4</w:t>
      </w:r>
    </w:p>
    <w:p w14:paraId="0000ECF8" w14:textId="77777777" w:rsidR="00FC734D" w:rsidRPr="00861983" w:rsidRDefault="00FC734D" w:rsidP="00861983">
      <w:pPr>
        <w:ind w:left="-425" w:right="-516"/>
        <w:contextualSpacing/>
        <w:jc w:val="center"/>
        <w:rPr>
          <w:rFonts w:ascii="Arial" w:hAnsi="Arial" w:cs="Arial"/>
          <w:b/>
          <w:iCs/>
          <w:smallCaps/>
          <w:sz w:val="22"/>
          <w:szCs w:val="22"/>
        </w:rPr>
      </w:pPr>
      <w:r w:rsidRPr="00861983">
        <w:rPr>
          <w:rFonts w:ascii="Arial" w:hAnsi="Arial" w:cs="Arial"/>
          <w:b/>
          <w:iCs/>
          <w:smallCaps/>
          <w:sz w:val="22"/>
          <w:szCs w:val="22"/>
        </w:rPr>
        <w:t xml:space="preserve">Valor económico de las actividades de Trabajo no remunerado en Salud. 2019 </w:t>
      </w:r>
      <w:proofErr w:type="gramStart"/>
      <w:r w:rsidRPr="00861983">
        <w:rPr>
          <w:rFonts w:ascii="Arial" w:hAnsi="Arial" w:cs="Arial"/>
          <w:b/>
          <w:iCs/>
          <w:smallCaps/>
          <w:sz w:val="22"/>
          <w:szCs w:val="22"/>
        </w:rPr>
        <w:t>y</w:t>
      </w:r>
      <w:proofErr w:type="gramEnd"/>
      <w:r w:rsidRPr="00861983">
        <w:rPr>
          <w:rFonts w:ascii="Arial" w:hAnsi="Arial" w:cs="Arial"/>
          <w:b/>
          <w:iCs/>
          <w:smallCaps/>
          <w:sz w:val="22"/>
          <w:szCs w:val="22"/>
        </w:rPr>
        <w:t xml:space="preserve"> 2020</w:t>
      </w:r>
      <w:r w:rsidRPr="000749A3">
        <w:rPr>
          <w:rFonts w:ascii="Arial" w:hAnsi="Arial" w:cs="Arial"/>
          <w:b/>
          <w:iCs/>
          <w:smallCaps/>
          <w:sz w:val="22"/>
          <w:szCs w:val="22"/>
          <w:vertAlign w:val="superscript"/>
        </w:rPr>
        <w:t>P</w:t>
      </w:r>
    </w:p>
    <w:p w14:paraId="3E8F960C" w14:textId="530C2672" w:rsidR="00FC734D" w:rsidRPr="00861983" w:rsidRDefault="00FC734D" w:rsidP="00861983">
      <w:pPr>
        <w:pStyle w:val="Textoindependiente"/>
        <w:jc w:val="center"/>
        <w:rPr>
          <w:rFonts w:ascii="Arial" w:hAnsi="Arial" w:cs="Arial"/>
          <w:sz w:val="18"/>
          <w:szCs w:val="18"/>
          <w:lang w:val="es-MX"/>
        </w:rPr>
      </w:pPr>
      <w:r w:rsidRPr="00861983">
        <w:rPr>
          <w:rFonts w:ascii="Arial" w:hAnsi="Arial" w:cs="Arial"/>
          <w:sz w:val="18"/>
          <w:szCs w:val="18"/>
          <w:lang w:val="es-MX"/>
        </w:rPr>
        <w:t xml:space="preserve">(Estructura porcentual) </w:t>
      </w:r>
    </w:p>
    <w:p w14:paraId="5B25B056" w14:textId="2869F078" w:rsidR="00260E0B" w:rsidRDefault="00607436" w:rsidP="00607436">
      <w:pPr>
        <w:jc w:val="center"/>
        <w:rPr>
          <w:rFonts w:ascii="Arial" w:hAnsi="Arial" w:cs="Arial"/>
        </w:rPr>
      </w:pPr>
      <w:r>
        <w:rPr>
          <w:rFonts w:ascii="Arial" w:hAnsi="Arial" w:cs="Arial"/>
          <w:noProof/>
          <w:lang w:val="en-US" w:eastAsia="en-US"/>
        </w:rPr>
        <w:drawing>
          <wp:inline distT="0" distB="0" distL="0" distR="0" wp14:anchorId="348B9B4C" wp14:editId="034F85A9">
            <wp:extent cx="5624830" cy="2966936"/>
            <wp:effectExtent l="19050" t="19050" r="13970" b="24130"/>
            <wp:docPr id="1293" name="Imagen 1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00794" cy="3007005"/>
                    </a:xfrm>
                    <a:prstGeom prst="rect">
                      <a:avLst/>
                    </a:prstGeom>
                    <a:noFill/>
                    <a:ln w="19050">
                      <a:solidFill>
                        <a:schemeClr val="tx1"/>
                      </a:solidFill>
                    </a:ln>
                  </pic:spPr>
                </pic:pic>
              </a:graphicData>
            </a:graphic>
          </wp:inline>
        </w:drawing>
      </w:r>
    </w:p>
    <w:p w14:paraId="46E7FF8A" w14:textId="58CCB654" w:rsidR="00607436" w:rsidRDefault="00607436" w:rsidP="00607436">
      <w:pPr>
        <w:rPr>
          <w:rFonts w:ascii="Arial" w:hAnsi="Arial" w:cs="Arial"/>
          <w:sz w:val="16"/>
          <w:szCs w:val="16"/>
        </w:rPr>
      </w:pPr>
      <w:r w:rsidRPr="008341CA">
        <w:rPr>
          <w:rFonts w:ascii="Arial" w:hAnsi="Arial" w:cs="Arial"/>
          <w:sz w:val="16"/>
          <w:szCs w:val="16"/>
        </w:rPr>
        <w:t>Fuente: INEGI.</w:t>
      </w:r>
    </w:p>
    <w:p w14:paraId="407B9240" w14:textId="77777777" w:rsidR="002840EB" w:rsidRPr="002840EB" w:rsidRDefault="002840EB" w:rsidP="00607436">
      <w:pPr>
        <w:rPr>
          <w:rFonts w:ascii="Arial" w:hAnsi="Arial" w:cs="Arial"/>
          <w:sz w:val="16"/>
          <w:szCs w:val="16"/>
        </w:rPr>
      </w:pPr>
    </w:p>
    <w:p w14:paraId="7AB49E36" w14:textId="55C4E536" w:rsidR="00260E0B" w:rsidRPr="00746FAE" w:rsidRDefault="00CE49BE" w:rsidP="00260E0B">
      <w:pPr>
        <w:jc w:val="both"/>
        <w:rPr>
          <w:rFonts w:ascii="Arial" w:hAnsi="Arial" w:cs="Arial"/>
          <w:lang w:val="es-ES"/>
        </w:rPr>
      </w:pPr>
      <w:r w:rsidRPr="00606834">
        <w:rPr>
          <w:rFonts w:ascii="Arial" w:hAnsi="Arial" w:cs="Arial"/>
        </w:rPr>
        <w:t>A</w:t>
      </w:r>
      <w:r w:rsidR="00974789" w:rsidRPr="00606834">
        <w:rPr>
          <w:rFonts w:ascii="Arial" w:hAnsi="Arial" w:cs="Arial"/>
        </w:rPr>
        <w:t xml:space="preserve"> precios de 2013</w:t>
      </w:r>
      <w:r w:rsidR="00714180">
        <w:rPr>
          <w:rFonts w:ascii="Arial" w:hAnsi="Arial" w:cs="Arial"/>
        </w:rPr>
        <w:t>,</w:t>
      </w:r>
      <w:r w:rsidR="00260E0B">
        <w:rPr>
          <w:rFonts w:ascii="Arial" w:hAnsi="Arial" w:cs="Arial"/>
        </w:rPr>
        <w:t xml:space="preserve"> </w:t>
      </w:r>
      <w:r w:rsidR="00C90544" w:rsidRPr="00C90544">
        <w:rPr>
          <w:rFonts w:ascii="Arial" w:hAnsi="Arial" w:cs="Arial"/>
        </w:rPr>
        <w:t xml:space="preserve">el PIB ampliado del sector salud presentó </w:t>
      </w:r>
      <w:r w:rsidR="001852F9">
        <w:rPr>
          <w:rFonts w:ascii="Arial" w:hAnsi="Arial" w:cs="Arial"/>
        </w:rPr>
        <w:t xml:space="preserve">un </w:t>
      </w:r>
      <w:r w:rsidR="00C90544" w:rsidRPr="00C90544">
        <w:rPr>
          <w:rFonts w:ascii="Arial" w:hAnsi="Arial" w:cs="Arial"/>
        </w:rPr>
        <w:t>incremento del 3.1% respecto al año anterior</w:t>
      </w:r>
      <w:r w:rsidR="00C90544">
        <w:rPr>
          <w:rFonts w:ascii="Arial" w:hAnsi="Arial" w:cs="Arial"/>
        </w:rPr>
        <w:t>.</w:t>
      </w:r>
      <w:r w:rsidR="00C90544" w:rsidRPr="00C90544">
        <w:rPr>
          <w:rFonts w:ascii="Arial" w:hAnsi="Arial" w:cs="Arial"/>
        </w:rPr>
        <w:t xml:space="preserve"> </w:t>
      </w:r>
      <w:r w:rsidR="00396384">
        <w:rPr>
          <w:rFonts w:ascii="Arial" w:hAnsi="Arial" w:cs="Arial"/>
        </w:rPr>
        <w:t xml:space="preserve">Las actividades </w:t>
      </w:r>
      <w:bookmarkStart w:id="2" w:name="_Hlk89873462"/>
      <w:r w:rsidR="00396384">
        <w:rPr>
          <w:rFonts w:ascii="Arial" w:hAnsi="Arial" w:cs="Arial"/>
        </w:rPr>
        <w:t>que tuvieron</w:t>
      </w:r>
      <w:r w:rsidR="00BE40B7">
        <w:rPr>
          <w:rFonts w:ascii="Arial" w:hAnsi="Arial" w:cs="Arial"/>
        </w:rPr>
        <w:t xml:space="preserve"> </w:t>
      </w:r>
      <w:r w:rsidR="00396384">
        <w:rPr>
          <w:rFonts w:ascii="Arial" w:hAnsi="Arial" w:cs="Arial"/>
        </w:rPr>
        <w:t xml:space="preserve">crecimiento son </w:t>
      </w:r>
      <w:r w:rsidR="00396384">
        <w:rPr>
          <w:rFonts w:ascii="Arial" w:hAnsi="Arial" w:cs="Arial"/>
          <w:lang w:val="es-ES"/>
        </w:rPr>
        <w:t>las actividades auxiliares, entre las que se encuentran los laboratorios clínicos</w:t>
      </w:r>
      <w:r w:rsidR="00606834">
        <w:rPr>
          <w:rFonts w:ascii="Arial" w:hAnsi="Arial" w:cs="Arial"/>
          <w:lang w:val="es-ES"/>
        </w:rPr>
        <w:t>,</w:t>
      </w:r>
      <w:r w:rsidR="00396384">
        <w:rPr>
          <w:rFonts w:ascii="Arial" w:hAnsi="Arial" w:cs="Arial"/>
          <w:lang w:val="es-ES"/>
        </w:rPr>
        <w:t xml:space="preserve"> que crecieron un 16.1</w:t>
      </w:r>
      <w:r w:rsidR="00396384" w:rsidRPr="00746FAE">
        <w:rPr>
          <w:rFonts w:ascii="Arial" w:hAnsi="Arial" w:cs="Arial"/>
          <w:lang w:val="es-ES"/>
        </w:rPr>
        <w:t xml:space="preserve">%; </w:t>
      </w:r>
      <w:r w:rsidR="00396384" w:rsidRPr="00746FAE">
        <w:rPr>
          <w:rFonts w:ascii="Arial" w:hAnsi="Arial" w:cs="Arial"/>
        </w:rPr>
        <w:t>los</w:t>
      </w:r>
      <w:r w:rsidR="00396384" w:rsidRPr="00746FAE">
        <w:rPr>
          <w:rFonts w:ascii="Arial" w:hAnsi="Arial" w:cs="Arial"/>
          <w:lang w:val="es-ES"/>
        </w:rPr>
        <w:t xml:space="preserve"> servicios hospitalarios con un aumento de 2.9%</w:t>
      </w:r>
      <w:r w:rsidR="00CF14A3" w:rsidRPr="00746FAE">
        <w:rPr>
          <w:rStyle w:val="Refdenotaalpie"/>
          <w:rFonts w:ascii="Arial" w:hAnsi="Arial" w:cs="Arial"/>
          <w:lang w:val="es-ES"/>
        </w:rPr>
        <w:footnoteReference w:id="8"/>
      </w:r>
      <w:r w:rsidR="00396384" w:rsidRPr="00746FAE">
        <w:rPr>
          <w:rFonts w:ascii="Arial" w:hAnsi="Arial" w:cs="Arial"/>
          <w:lang w:val="es-ES"/>
        </w:rPr>
        <w:t>; así como los servicios de apoyo</w:t>
      </w:r>
      <w:r w:rsidR="00606834" w:rsidRPr="00746FAE">
        <w:rPr>
          <w:rFonts w:ascii="Arial" w:hAnsi="Arial" w:cs="Arial"/>
          <w:lang w:val="es-ES"/>
        </w:rPr>
        <w:t>,</w:t>
      </w:r>
      <w:r w:rsidR="00396384" w:rsidRPr="00746FAE">
        <w:rPr>
          <w:rFonts w:ascii="Arial" w:hAnsi="Arial" w:cs="Arial"/>
          <w:lang w:val="es-ES"/>
        </w:rPr>
        <w:t xml:space="preserve"> tales como las pólizas de seguros médicos privados, que crecieron un 1.1%</w:t>
      </w:r>
      <w:r w:rsidR="00BE40B7" w:rsidRPr="00746FAE">
        <w:rPr>
          <w:rFonts w:ascii="Arial" w:hAnsi="Arial" w:cs="Arial"/>
          <w:lang w:val="es-ES"/>
        </w:rPr>
        <w:t>; la fabricación de medicamentos y materiales de curación con 0.3%; y las actividades de administración pública de la salud con 0.02 por ciento.</w:t>
      </w:r>
      <w:r w:rsidR="00396384" w:rsidRPr="00746FAE">
        <w:rPr>
          <w:rFonts w:ascii="Arial" w:hAnsi="Arial" w:cs="Arial"/>
          <w:lang w:val="es-ES"/>
        </w:rPr>
        <w:t xml:space="preserve"> Asimismo, el aumento </w:t>
      </w:r>
      <w:r w:rsidR="004F65D8" w:rsidRPr="00746FAE">
        <w:rPr>
          <w:rFonts w:ascii="Arial" w:hAnsi="Arial" w:cs="Arial"/>
          <w:lang w:val="es-ES"/>
        </w:rPr>
        <w:t>en el valor de las</w:t>
      </w:r>
      <w:r w:rsidR="00396384" w:rsidRPr="00746FAE">
        <w:rPr>
          <w:rFonts w:ascii="Arial" w:hAnsi="Arial" w:cs="Arial"/>
          <w:lang w:val="es-ES"/>
        </w:rPr>
        <w:t xml:space="preserve"> actividades de cuidados de salud no remunerados en los hogares </w:t>
      </w:r>
      <w:r w:rsidR="00606834" w:rsidRPr="00746FAE">
        <w:rPr>
          <w:rFonts w:ascii="Arial" w:hAnsi="Arial" w:cs="Arial"/>
          <w:lang w:val="es-ES"/>
        </w:rPr>
        <w:t xml:space="preserve">se </w:t>
      </w:r>
      <w:r w:rsidR="00396384" w:rsidRPr="00746FAE">
        <w:rPr>
          <w:rFonts w:ascii="Arial" w:hAnsi="Arial" w:cs="Arial"/>
          <w:lang w:val="es-ES"/>
        </w:rPr>
        <w:t>increment</w:t>
      </w:r>
      <w:r w:rsidR="00BE40B7" w:rsidRPr="00746FAE">
        <w:rPr>
          <w:rFonts w:ascii="Arial" w:hAnsi="Arial" w:cs="Arial"/>
          <w:lang w:val="es-ES"/>
        </w:rPr>
        <w:t>ó</w:t>
      </w:r>
      <w:r w:rsidR="00396384" w:rsidRPr="00746FAE">
        <w:rPr>
          <w:rFonts w:ascii="Arial" w:hAnsi="Arial" w:cs="Arial"/>
          <w:lang w:val="es-ES"/>
        </w:rPr>
        <w:t xml:space="preserve"> </w:t>
      </w:r>
      <w:r w:rsidR="00606834" w:rsidRPr="00746FAE">
        <w:rPr>
          <w:rFonts w:ascii="Arial" w:hAnsi="Arial" w:cs="Arial"/>
          <w:lang w:val="es-ES"/>
        </w:rPr>
        <w:t xml:space="preserve">en </w:t>
      </w:r>
      <w:r w:rsidR="00396384" w:rsidRPr="00746FAE">
        <w:rPr>
          <w:rFonts w:ascii="Arial" w:hAnsi="Arial" w:cs="Arial"/>
          <w:lang w:val="es-ES"/>
        </w:rPr>
        <w:t>13.9 por ciento.</w:t>
      </w:r>
    </w:p>
    <w:p w14:paraId="7E2674D3" w14:textId="77777777" w:rsidR="00260E0B" w:rsidRPr="00746FAE" w:rsidRDefault="00260E0B" w:rsidP="00260E0B">
      <w:pPr>
        <w:jc w:val="both"/>
        <w:rPr>
          <w:rFonts w:ascii="Arial" w:hAnsi="Arial" w:cs="Arial"/>
          <w:sz w:val="18"/>
          <w:lang w:val="es-ES"/>
        </w:rPr>
      </w:pPr>
    </w:p>
    <w:p w14:paraId="0AA49FAA" w14:textId="77777777" w:rsidR="007C5B1B" w:rsidRDefault="007C5B1B" w:rsidP="00A4333E">
      <w:pPr>
        <w:jc w:val="both"/>
        <w:rPr>
          <w:rFonts w:ascii="Arial" w:hAnsi="Arial" w:cs="Arial"/>
          <w:lang w:val="es-ES"/>
        </w:rPr>
      </w:pPr>
    </w:p>
    <w:p w14:paraId="26C1F0EE" w14:textId="77777777" w:rsidR="007C5B1B" w:rsidRDefault="007C5B1B" w:rsidP="00A4333E">
      <w:pPr>
        <w:jc w:val="both"/>
        <w:rPr>
          <w:rFonts w:ascii="Arial" w:hAnsi="Arial" w:cs="Arial"/>
          <w:lang w:val="es-ES"/>
        </w:rPr>
      </w:pPr>
    </w:p>
    <w:p w14:paraId="1F360EFF" w14:textId="688DE61E" w:rsidR="001F7738" w:rsidRDefault="006C332D" w:rsidP="00A4333E">
      <w:pPr>
        <w:jc w:val="both"/>
        <w:rPr>
          <w:rFonts w:ascii="Arial" w:hAnsi="Arial" w:cs="Arial"/>
          <w:color w:val="FF0000"/>
          <w:lang w:val="es-ES"/>
        </w:rPr>
      </w:pPr>
      <w:r w:rsidRPr="00746FAE">
        <w:rPr>
          <w:rFonts w:ascii="Arial" w:hAnsi="Arial" w:cs="Arial"/>
          <w:lang w:val="es-ES"/>
        </w:rPr>
        <w:lastRenderedPageBreak/>
        <w:t>En contraste, l</w:t>
      </w:r>
      <w:r w:rsidR="00260E0B" w:rsidRPr="00746FAE">
        <w:rPr>
          <w:rFonts w:ascii="Arial" w:hAnsi="Arial" w:cs="Arial"/>
          <w:lang w:val="es-ES"/>
        </w:rPr>
        <w:t xml:space="preserve">a </w:t>
      </w:r>
      <w:r w:rsidR="002A4848" w:rsidRPr="00746FAE">
        <w:rPr>
          <w:rFonts w:ascii="Arial" w:hAnsi="Arial" w:cs="Arial"/>
          <w:lang w:val="es-ES"/>
        </w:rPr>
        <w:t xml:space="preserve">prioridad que </w:t>
      </w:r>
      <w:r w:rsidR="00260E0B" w:rsidRPr="00746FAE">
        <w:rPr>
          <w:rFonts w:ascii="Arial" w:hAnsi="Arial" w:cs="Arial"/>
          <w:lang w:val="es-ES"/>
        </w:rPr>
        <w:t xml:space="preserve">los servicios de atención </w:t>
      </w:r>
      <w:r w:rsidR="004E7A62" w:rsidRPr="00746FAE">
        <w:rPr>
          <w:rFonts w:ascii="Arial" w:hAnsi="Arial" w:cs="Arial"/>
          <w:lang w:val="es-ES"/>
        </w:rPr>
        <w:t xml:space="preserve">médica </w:t>
      </w:r>
      <w:r w:rsidR="002A4848" w:rsidRPr="00746FAE">
        <w:rPr>
          <w:rFonts w:ascii="Arial" w:hAnsi="Arial" w:cs="Arial"/>
          <w:lang w:val="es-ES"/>
        </w:rPr>
        <w:t xml:space="preserve">otorgaron </w:t>
      </w:r>
      <w:r w:rsidR="00260E0B" w:rsidRPr="00746FAE">
        <w:rPr>
          <w:rFonts w:ascii="Arial" w:hAnsi="Arial" w:cs="Arial"/>
          <w:lang w:val="es-ES"/>
        </w:rPr>
        <w:t xml:space="preserve">a los enfermos por </w:t>
      </w:r>
      <w:r w:rsidR="00396384" w:rsidRPr="00746FAE">
        <w:rPr>
          <w:rFonts w:ascii="Arial" w:hAnsi="Arial" w:cs="Arial"/>
          <w:lang w:val="es-ES"/>
        </w:rPr>
        <w:t xml:space="preserve">la </w:t>
      </w:r>
      <w:r w:rsidR="00260E0B" w:rsidRPr="00746FAE">
        <w:rPr>
          <w:rFonts w:ascii="Arial" w:hAnsi="Arial" w:cs="Arial"/>
          <w:lang w:val="es-ES"/>
        </w:rPr>
        <w:t>COVID-19 derivó en una reducción en los servicios de atención</w:t>
      </w:r>
      <w:r w:rsidRPr="00746FAE">
        <w:rPr>
          <w:rFonts w:ascii="Arial" w:hAnsi="Arial" w:cs="Arial"/>
          <w:lang w:val="es-ES"/>
        </w:rPr>
        <w:t xml:space="preserve"> de</w:t>
      </w:r>
      <w:r w:rsidR="00260E0B" w:rsidRPr="00746FAE">
        <w:rPr>
          <w:rFonts w:ascii="Arial" w:hAnsi="Arial" w:cs="Arial"/>
          <w:lang w:val="es-ES"/>
        </w:rPr>
        <w:t xml:space="preserve"> </w:t>
      </w:r>
      <w:r w:rsidRPr="00746FAE">
        <w:rPr>
          <w:rFonts w:ascii="Arial" w:hAnsi="Arial" w:cs="Arial"/>
          <w:lang w:val="es-ES"/>
        </w:rPr>
        <w:t xml:space="preserve">consultas </w:t>
      </w:r>
      <w:r w:rsidR="00260E0B" w:rsidRPr="00746FAE">
        <w:rPr>
          <w:rFonts w:ascii="Arial" w:hAnsi="Arial" w:cs="Arial"/>
          <w:lang w:val="es-ES"/>
        </w:rPr>
        <w:t>médic</w:t>
      </w:r>
      <w:r w:rsidRPr="00746FAE">
        <w:rPr>
          <w:rFonts w:ascii="Arial" w:hAnsi="Arial" w:cs="Arial"/>
          <w:lang w:val="es-ES"/>
        </w:rPr>
        <w:t>as</w:t>
      </w:r>
      <w:r w:rsidR="00D3587E" w:rsidRPr="00746FAE">
        <w:rPr>
          <w:rStyle w:val="Refdenotaalpie"/>
          <w:rFonts w:ascii="Arial" w:hAnsi="Arial" w:cs="Arial"/>
          <w:lang w:val="es-ES"/>
        </w:rPr>
        <w:footnoteReference w:id="9"/>
      </w:r>
      <w:r w:rsidR="00CF611D" w:rsidRPr="00746FAE">
        <w:rPr>
          <w:rFonts w:ascii="Arial" w:hAnsi="Arial" w:cs="Arial"/>
          <w:lang w:val="es-ES"/>
        </w:rPr>
        <w:t xml:space="preserve"> </w:t>
      </w:r>
      <w:r w:rsidR="00CF611D" w:rsidRPr="00B86AAB">
        <w:rPr>
          <w:rFonts w:ascii="Arial" w:hAnsi="Arial" w:cs="Arial"/>
          <w:lang w:val="es-ES"/>
        </w:rPr>
        <w:t>y servicios ambulatorios</w:t>
      </w:r>
      <w:r w:rsidR="00243821" w:rsidRPr="00B86AAB">
        <w:rPr>
          <w:rFonts w:ascii="Arial" w:hAnsi="Arial" w:cs="Arial"/>
          <w:lang w:val="es-ES"/>
        </w:rPr>
        <w:t xml:space="preserve"> no relacionados con COVID-19</w:t>
      </w:r>
      <w:r w:rsidR="00606834" w:rsidRPr="00B86AAB">
        <w:rPr>
          <w:rFonts w:ascii="Arial" w:hAnsi="Arial" w:cs="Arial"/>
          <w:lang w:val="es-ES"/>
        </w:rPr>
        <w:t>,</w:t>
      </w:r>
      <w:r w:rsidR="00260E0B" w:rsidRPr="00B86AAB">
        <w:rPr>
          <w:rFonts w:ascii="Arial" w:hAnsi="Arial" w:cs="Arial"/>
          <w:lang w:val="es-ES"/>
        </w:rPr>
        <w:t xml:space="preserve"> que disminuyeron 8.4%</w:t>
      </w:r>
      <w:r w:rsidR="00243821" w:rsidRPr="00B86AAB">
        <w:rPr>
          <w:rFonts w:ascii="Arial" w:hAnsi="Arial" w:cs="Arial"/>
          <w:lang w:val="es-ES"/>
        </w:rPr>
        <w:t>,</w:t>
      </w:r>
      <w:r w:rsidR="00396384" w:rsidRPr="00B86AAB">
        <w:rPr>
          <w:rFonts w:ascii="Arial" w:hAnsi="Arial" w:cs="Arial"/>
          <w:lang w:val="es-ES"/>
        </w:rPr>
        <w:t xml:space="preserve"> </w:t>
      </w:r>
      <w:r w:rsidR="00243821" w:rsidRPr="00B86AAB">
        <w:rPr>
          <w:rFonts w:ascii="Arial" w:hAnsi="Arial" w:cs="Arial"/>
          <w:lang w:val="es-ES"/>
        </w:rPr>
        <w:t>así como</w:t>
      </w:r>
      <w:r w:rsidR="00396384" w:rsidRPr="00B86AAB">
        <w:rPr>
          <w:rFonts w:ascii="Arial" w:hAnsi="Arial" w:cs="Arial"/>
          <w:lang w:val="es-ES"/>
        </w:rPr>
        <w:t xml:space="preserve"> de</w:t>
      </w:r>
      <w:r w:rsidR="004E7A62" w:rsidRPr="00B86AAB">
        <w:rPr>
          <w:rFonts w:ascii="Arial" w:hAnsi="Arial" w:cs="Arial"/>
          <w:lang w:val="es-ES"/>
        </w:rPr>
        <w:t xml:space="preserve"> </w:t>
      </w:r>
      <w:r w:rsidR="00260E0B" w:rsidRPr="00B86AAB">
        <w:rPr>
          <w:rFonts w:ascii="Arial" w:hAnsi="Arial" w:cs="Arial"/>
          <w:lang w:val="es-ES"/>
        </w:rPr>
        <w:t>los centros y residencias para el cuidado de la salud</w:t>
      </w:r>
      <w:r w:rsidR="00243821" w:rsidRPr="00B86AAB">
        <w:rPr>
          <w:rFonts w:ascii="Arial" w:hAnsi="Arial" w:cs="Arial"/>
          <w:lang w:val="es-ES"/>
        </w:rPr>
        <w:t>,</w:t>
      </w:r>
      <w:r w:rsidR="00260E0B" w:rsidRPr="00B86AAB">
        <w:rPr>
          <w:rFonts w:ascii="Arial" w:hAnsi="Arial" w:cs="Arial"/>
          <w:lang w:val="es-ES"/>
        </w:rPr>
        <w:t xml:space="preserve"> </w:t>
      </w:r>
      <w:r w:rsidR="00396384" w:rsidRPr="00B86AAB">
        <w:rPr>
          <w:rFonts w:ascii="Arial" w:hAnsi="Arial" w:cs="Arial"/>
          <w:lang w:val="es-ES"/>
        </w:rPr>
        <w:t xml:space="preserve">que </w:t>
      </w:r>
      <w:r w:rsidR="00260E0B" w:rsidRPr="00B86AAB">
        <w:rPr>
          <w:rFonts w:ascii="Arial" w:hAnsi="Arial" w:cs="Arial"/>
          <w:lang w:val="es-ES"/>
        </w:rPr>
        <w:t>disminuyeron 5.3</w:t>
      </w:r>
      <w:r w:rsidR="007465DA" w:rsidRPr="00B86AAB">
        <w:rPr>
          <w:rFonts w:ascii="Arial" w:hAnsi="Arial" w:cs="Arial"/>
          <w:lang w:val="es-ES"/>
        </w:rPr>
        <w:t xml:space="preserve"> por ciento</w:t>
      </w:r>
      <w:r w:rsidR="00243821" w:rsidRPr="00B86AAB">
        <w:rPr>
          <w:rFonts w:ascii="Arial" w:hAnsi="Arial" w:cs="Arial"/>
          <w:lang w:val="es-ES"/>
        </w:rPr>
        <w:t>.</w:t>
      </w:r>
      <w:r w:rsidR="00396384" w:rsidRPr="00243821">
        <w:rPr>
          <w:rFonts w:ascii="Arial" w:hAnsi="Arial" w:cs="Arial"/>
          <w:lang w:val="es-ES"/>
        </w:rPr>
        <w:t xml:space="preserve"> </w:t>
      </w:r>
      <w:r w:rsidR="00243821" w:rsidRPr="00243821">
        <w:rPr>
          <w:rFonts w:ascii="Arial" w:hAnsi="Arial" w:cs="Arial"/>
          <w:lang w:val="es-ES"/>
        </w:rPr>
        <w:t>P</w:t>
      </w:r>
      <w:r w:rsidR="002A4848" w:rsidRPr="00243821">
        <w:rPr>
          <w:rFonts w:ascii="Arial" w:hAnsi="Arial" w:cs="Arial"/>
          <w:lang w:val="es-ES"/>
        </w:rPr>
        <w:t xml:space="preserve">or </w:t>
      </w:r>
      <w:r w:rsidR="004E7A62" w:rsidRPr="00243821">
        <w:rPr>
          <w:rFonts w:ascii="Arial" w:hAnsi="Arial" w:cs="Arial"/>
          <w:lang w:val="es-ES"/>
        </w:rPr>
        <w:t>su parte</w:t>
      </w:r>
      <w:r w:rsidR="00CF611D" w:rsidRPr="00243821">
        <w:rPr>
          <w:rFonts w:ascii="Arial" w:hAnsi="Arial" w:cs="Arial"/>
          <w:lang w:val="es-ES"/>
        </w:rPr>
        <w:t>,</w:t>
      </w:r>
      <w:r w:rsidR="004E7A62" w:rsidRPr="00243821">
        <w:rPr>
          <w:rFonts w:ascii="Arial" w:hAnsi="Arial" w:cs="Arial"/>
          <w:lang w:val="es-ES"/>
        </w:rPr>
        <w:t xml:space="preserve"> el cierre temporal de establecimientos de actividades no esenciales impact</w:t>
      </w:r>
      <w:r w:rsidR="00CF611D" w:rsidRPr="00243821">
        <w:rPr>
          <w:rFonts w:ascii="Arial" w:hAnsi="Arial" w:cs="Arial"/>
          <w:lang w:val="es-ES"/>
        </w:rPr>
        <w:t>ó</w:t>
      </w:r>
      <w:r w:rsidR="004E7A62" w:rsidRPr="00243821">
        <w:rPr>
          <w:rFonts w:ascii="Arial" w:hAnsi="Arial" w:cs="Arial"/>
          <w:lang w:val="es-ES"/>
        </w:rPr>
        <w:t xml:space="preserve"> en</w:t>
      </w:r>
      <w:r w:rsidR="00CF611D" w:rsidRPr="00243821">
        <w:rPr>
          <w:rFonts w:ascii="Arial" w:hAnsi="Arial" w:cs="Arial"/>
          <w:lang w:val="es-ES"/>
        </w:rPr>
        <w:t xml:space="preserve"> la</w:t>
      </w:r>
      <w:r w:rsidR="00CF611D">
        <w:rPr>
          <w:rFonts w:ascii="Arial" w:hAnsi="Arial" w:cs="Arial"/>
          <w:lang w:val="es-ES"/>
        </w:rPr>
        <w:t xml:space="preserve"> producción de</w:t>
      </w:r>
      <w:r w:rsidR="004E7A62">
        <w:rPr>
          <w:rFonts w:ascii="Arial" w:hAnsi="Arial" w:cs="Arial"/>
          <w:lang w:val="es-ES"/>
        </w:rPr>
        <w:t xml:space="preserve"> bienes de apoyo</w:t>
      </w:r>
      <w:r w:rsidR="00D74DFA">
        <w:rPr>
          <w:rStyle w:val="Refdenotaalpie"/>
          <w:rFonts w:ascii="Arial" w:hAnsi="Arial" w:cs="Arial"/>
          <w:lang w:val="es-ES"/>
        </w:rPr>
        <w:footnoteReference w:id="10"/>
      </w:r>
      <w:r w:rsidR="004E7A62">
        <w:rPr>
          <w:rFonts w:ascii="Arial" w:hAnsi="Arial" w:cs="Arial"/>
          <w:lang w:val="es-ES"/>
        </w:rPr>
        <w:t xml:space="preserve"> para la salud</w:t>
      </w:r>
      <w:r w:rsidR="00CF611D">
        <w:rPr>
          <w:rFonts w:ascii="Arial" w:hAnsi="Arial" w:cs="Arial"/>
          <w:lang w:val="es-ES"/>
        </w:rPr>
        <w:t>,</w:t>
      </w:r>
      <w:r w:rsidR="004E7A62">
        <w:rPr>
          <w:rFonts w:ascii="Arial" w:hAnsi="Arial" w:cs="Arial"/>
          <w:lang w:val="es-ES"/>
        </w:rPr>
        <w:t xml:space="preserve"> que disminuyeron 4.5</w:t>
      </w:r>
      <w:r w:rsidR="00243821">
        <w:rPr>
          <w:rFonts w:ascii="Arial" w:hAnsi="Arial" w:cs="Arial"/>
          <w:lang w:val="es-ES"/>
        </w:rPr>
        <w:t>% respecto del año anterior</w:t>
      </w:r>
      <w:r w:rsidR="00260E0B">
        <w:rPr>
          <w:rFonts w:ascii="Arial" w:hAnsi="Arial" w:cs="Arial"/>
          <w:lang w:val="es-ES"/>
        </w:rPr>
        <w:t>.</w:t>
      </w:r>
      <w:r w:rsidR="005979D0">
        <w:rPr>
          <w:rFonts w:ascii="Arial" w:hAnsi="Arial" w:cs="Arial"/>
          <w:color w:val="FF0000"/>
          <w:lang w:val="es-ES"/>
        </w:rPr>
        <w:t xml:space="preserve"> </w:t>
      </w:r>
      <w:bookmarkEnd w:id="2"/>
    </w:p>
    <w:p w14:paraId="195D9990" w14:textId="77777777" w:rsidR="000A6494" w:rsidRPr="00443445" w:rsidRDefault="000A6494" w:rsidP="00A4333E">
      <w:pPr>
        <w:jc w:val="both"/>
        <w:rPr>
          <w:rFonts w:ascii="Arial" w:hAnsi="Arial" w:cs="Arial"/>
          <w:color w:val="FF0000"/>
          <w:sz w:val="16"/>
          <w:szCs w:val="16"/>
          <w:lang w:val="es-ES"/>
        </w:rPr>
      </w:pPr>
    </w:p>
    <w:p w14:paraId="4DC8AF96" w14:textId="5CF80EB2" w:rsidR="004B4B87" w:rsidRPr="00F839A0" w:rsidRDefault="00F839A0" w:rsidP="00F839A0">
      <w:pPr>
        <w:jc w:val="center"/>
        <w:rPr>
          <w:rFonts w:ascii="Arial" w:hAnsi="Arial" w:cs="Arial"/>
          <w:color w:val="FF0000"/>
        </w:rPr>
      </w:pPr>
      <w:r>
        <w:rPr>
          <w:rFonts w:ascii="Arial" w:hAnsi="Arial" w:cs="Arial"/>
        </w:rPr>
        <w:t>Grá</w:t>
      </w:r>
      <w:r w:rsidRPr="00644D1C">
        <w:rPr>
          <w:rFonts w:ascii="Arial" w:hAnsi="Arial" w:cs="Arial"/>
        </w:rPr>
        <w:t>fica</w:t>
      </w:r>
      <w:r>
        <w:rPr>
          <w:rFonts w:ascii="Arial" w:hAnsi="Arial" w:cs="Arial"/>
        </w:rPr>
        <w:t xml:space="preserve"> 5</w:t>
      </w:r>
    </w:p>
    <w:p w14:paraId="41A747C1" w14:textId="77777777" w:rsidR="00F839A0" w:rsidRPr="00861983" w:rsidRDefault="00F839A0" w:rsidP="00F839A0">
      <w:pPr>
        <w:ind w:left="-425" w:right="-516"/>
        <w:contextualSpacing/>
        <w:jc w:val="center"/>
        <w:rPr>
          <w:rFonts w:ascii="Arial" w:hAnsi="Arial" w:cs="Arial"/>
          <w:b/>
          <w:iCs/>
          <w:smallCaps/>
          <w:sz w:val="22"/>
          <w:szCs w:val="22"/>
        </w:rPr>
      </w:pPr>
      <w:r w:rsidRPr="00861983">
        <w:rPr>
          <w:rFonts w:ascii="Arial" w:hAnsi="Arial" w:cs="Arial"/>
          <w:b/>
          <w:iCs/>
          <w:smallCaps/>
          <w:sz w:val="22"/>
          <w:szCs w:val="22"/>
        </w:rPr>
        <w:t>PIB de las actividades del sector salud 2019 y 2020</w:t>
      </w:r>
      <w:r w:rsidRPr="00861983">
        <w:rPr>
          <w:rFonts w:ascii="Arial" w:hAnsi="Arial" w:cs="Arial"/>
          <w:b/>
          <w:iCs/>
          <w:smallCaps/>
          <w:sz w:val="22"/>
          <w:szCs w:val="22"/>
          <w:vertAlign w:val="superscript"/>
        </w:rPr>
        <w:t>P</w:t>
      </w:r>
    </w:p>
    <w:p w14:paraId="33409C96" w14:textId="1EF5F934" w:rsidR="00F839A0" w:rsidRPr="00F839A0" w:rsidRDefault="00F839A0" w:rsidP="00F839A0">
      <w:pPr>
        <w:pStyle w:val="Textoindependiente"/>
        <w:jc w:val="center"/>
        <w:rPr>
          <w:rFonts w:ascii="Arial" w:hAnsi="Arial" w:cs="Arial"/>
          <w:sz w:val="18"/>
          <w:szCs w:val="18"/>
          <w:lang w:val="es-MX"/>
        </w:rPr>
      </w:pPr>
      <w:r w:rsidRPr="00861983">
        <w:rPr>
          <w:rFonts w:ascii="Arial" w:hAnsi="Arial" w:cs="Arial"/>
          <w:sz w:val="18"/>
          <w:szCs w:val="18"/>
          <w:lang w:val="es-MX"/>
        </w:rPr>
        <w:t xml:space="preserve">(Variación porcentual anual) </w:t>
      </w:r>
    </w:p>
    <w:p w14:paraId="5216B2B9" w14:textId="575EA39D" w:rsidR="005979D0" w:rsidRDefault="004F48E2" w:rsidP="00F839A0">
      <w:pPr>
        <w:jc w:val="center"/>
        <w:rPr>
          <w:rFonts w:ascii="Arial" w:hAnsi="Arial" w:cs="Arial"/>
          <w:lang w:val="es-ES"/>
        </w:rPr>
      </w:pPr>
      <w:r w:rsidRPr="00754656">
        <w:rPr>
          <w:noProof/>
          <w:lang w:val="en-US" w:eastAsia="en-US"/>
        </w:rPr>
        <w:drawing>
          <wp:inline distT="0" distB="0" distL="0" distR="0" wp14:anchorId="64B792C7" wp14:editId="33F0593A">
            <wp:extent cx="5612130" cy="2812211"/>
            <wp:effectExtent l="0" t="0" r="7620" b="762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17687" cy="2814995"/>
                    </a:xfrm>
                    <a:prstGeom prst="rect">
                      <a:avLst/>
                    </a:prstGeom>
                    <a:noFill/>
                    <a:ln>
                      <a:noFill/>
                    </a:ln>
                  </pic:spPr>
                </pic:pic>
              </a:graphicData>
            </a:graphic>
          </wp:inline>
        </w:drawing>
      </w:r>
    </w:p>
    <w:p w14:paraId="52D2F59B" w14:textId="77777777" w:rsidR="00CE64D0" w:rsidRDefault="00CE64D0" w:rsidP="00CE64D0">
      <w:pPr>
        <w:rPr>
          <w:rFonts w:ascii="Arial" w:hAnsi="Arial" w:cs="Arial"/>
          <w:sz w:val="16"/>
          <w:szCs w:val="16"/>
        </w:rPr>
      </w:pPr>
      <w:bookmarkStart w:id="3" w:name="_Hlk89871914"/>
      <w:r w:rsidRPr="008341CA">
        <w:rPr>
          <w:rFonts w:ascii="Arial" w:hAnsi="Arial" w:cs="Arial"/>
          <w:sz w:val="16"/>
          <w:szCs w:val="16"/>
        </w:rPr>
        <w:t>Fuente: INEGI.</w:t>
      </w:r>
    </w:p>
    <w:p w14:paraId="60F125B2" w14:textId="77777777" w:rsidR="001F7738" w:rsidRPr="001F7738" w:rsidRDefault="001F7738" w:rsidP="00260E0B">
      <w:pPr>
        <w:jc w:val="both"/>
        <w:rPr>
          <w:rFonts w:ascii="Arial" w:hAnsi="Arial" w:cs="Arial"/>
          <w:sz w:val="20"/>
          <w:szCs w:val="20"/>
        </w:rPr>
      </w:pPr>
    </w:p>
    <w:p w14:paraId="4503CAD5" w14:textId="1E0A1777" w:rsidR="00260E0B" w:rsidRDefault="00260E0B" w:rsidP="00260E0B">
      <w:pPr>
        <w:jc w:val="both"/>
        <w:rPr>
          <w:rFonts w:ascii="Arial" w:hAnsi="Arial" w:cs="Arial"/>
        </w:rPr>
      </w:pPr>
      <w:r w:rsidRPr="00D721F2">
        <w:rPr>
          <w:rFonts w:ascii="Arial" w:hAnsi="Arial" w:cs="Arial"/>
        </w:rPr>
        <w:t xml:space="preserve">El aumento en el valor económico del TNRS </w:t>
      </w:r>
      <w:r w:rsidR="000628A0" w:rsidRPr="00D721F2">
        <w:rPr>
          <w:rFonts w:ascii="Arial" w:hAnsi="Arial" w:cs="Arial"/>
        </w:rPr>
        <w:t xml:space="preserve">respecto de 2019 </w:t>
      </w:r>
      <w:r w:rsidR="00C91F83" w:rsidRPr="00D721F2">
        <w:rPr>
          <w:rFonts w:ascii="Arial" w:hAnsi="Arial" w:cs="Arial"/>
        </w:rPr>
        <w:t>resulta principalmente</w:t>
      </w:r>
      <w:r w:rsidRPr="00D721F2">
        <w:rPr>
          <w:rFonts w:ascii="Arial" w:hAnsi="Arial" w:cs="Arial"/>
        </w:rPr>
        <w:t xml:space="preserve"> por el incremento de 22.2% </w:t>
      </w:r>
      <w:r w:rsidR="00CF611D" w:rsidRPr="00D721F2">
        <w:rPr>
          <w:rFonts w:ascii="Arial" w:hAnsi="Arial" w:cs="Arial"/>
        </w:rPr>
        <w:t xml:space="preserve">en </w:t>
      </w:r>
      <w:r w:rsidR="00396384" w:rsidRPr="00D721F2">
        <w:rPr>
          <w:rFonts w:ascii="Arial" w:hAnsi="Arial" w:cs="Arial"/>
        </w:rPr>
        <w:t xml:space="preserve">los </w:t>
      </w:r>
      <w:r w:rsidRPr="00D721F2">
        <w:rPr>
          <w:rFonts w:ascii="Arial" w:hAnsi="Arial" w:cs="Arial"/>
        </w:rPr>
        <w:t>cuidados especializados</w:t>
      </w:r>
      <w:r w:rsidR="00641E32" w:rsidRPr="00D721F2">
        <w:rPr>
          <w:rFonts w:ascii="Arial" w:hAnsi="Arial" w:cs="Arial"/>
        </w:rPr>
        <w:t xml:space="preserve">, los cuidados a otros hogares </w:t>
      </w:r>
      <w:r w:rsidR="000628A0" w:rsidRPr="00D721F2">
        <w:rPr>
          <w:rFonts w:ascii="Arial" w:hAnsi="Arial" w:cs="Arial"/>
        </w:rPr>
        <w:t xml:space="preserve">con 18.4% </w:t>
      </w:r>
      <w:r w:rsidR="00641E32" w:rsidRPr="00D721F2">
        <w:rPr>
          <w:rFonts w:ascii="Arial" w:hAnsi="Arial" w:cs="Arial"/>
        </w:rPr>
        <w:t>y los cuidados temporales con</w:t>
      </w:r>
      <w:r w:rsidR="000628A0" w:rsidRPr="00D721F2">
        <w:rPr>
          <w:rFonts w:ascii="Arial" w:hAnsi="Arial" w:cs="Arial"/>
        </w:rPr>
        <w:t xml:space="preserve"> </w:t>
      </w:r>
      <w:r w:rsidR="00641E32" w:rsidRPr="00D721F2">
        <w:rPr>
          <w:rFonts w:ascii="Arial" w:hAnsi="Arial" w:cs="Arial"/>
        </w:rPr>
        <w:t>17.5</w:t>
      </w:r>
      <w:r w:rsidR="000628A0" w:rsidRPr="00D721F2">
        <w:rPr>
          <w:rFonts w:ascii="Arial" w:hAnsi="Arial" w:cs="Arial"/>
        </w:rPr>
        <w:t xml:space="preserve"> por ciento;</w:t>
      </w:r>
      <w:r w:rsidR="003D2FC4" w:rsidRPr="00D721F2">
        <w:rPr>
          <w:rFonts w:ascii="Arial" w:hAnsi="Arial" w:cs="Arial"/>
        </w:rPr>
        <w:t xml:space="preserve"> </w:t>
      </w:r>
      <w:r w:rsidR="00997EB2" w:rsidRPr="00746FAE">
        <w:rPr>
          <w:rFonts w:ascii="Arial" w:hAnsi="Arial" w:cs="Arial"/>
        </w:rPr>
        <w:t>lo que</w:t>
      </w:r>
      <w:r w:rsidR="0076280D" w:rsidRPr="00746FAE">
        <w:rPr>
          <w:rFonts w:ascii="Arial" w:hAnsi="Arial" w:cs="Arial"/>
        </w:rPr>
        <w:t xml:space="preserve"> se </w:t>
      </w:r>
      <w:r w:rsidR="00997EB2" w:rsidRPr="00746FAE">
        <w:rPr>
          <w:rFonts w:ascii="Arial" w:hAnsi="Arial" w:cs="Arial"/>
        </w:rPr>
        <w:t>explica</w:t>
      </w:r>
      <w:r w:rsidR="0076280D" w:rsidRPr="00746FAE">
        <w:rPr>
          <w:rFonts w:ascii="Arial" w:hAnsi="Arial" w:cs="Arial"/>
        </w:rPr>
        <w:t xml:space="preserve"> en parte</w:t>
      </w:r>
      <w:r w:rsidR="00997EB2" w:rsidRPr="00746FAE">
        <w:rPr>
          <w:rFonts w:ascii="Arial" w:hAnsi="Arial" w:cs="Arial"/>
        </w:rPr>
        <w:t xml:space="preserve"> por </w:t>
      </w:r>
      <w:r w:rsidRPr="00746FAE">
        <w:rPr>
          <w:rFonts w:ascii="Arial" w:hAnsi="Arial" w:cs="Arial"/>
        </w:rPr>
        <w:t xml:space="preserve">la necesidad de atender a </w:t>
      </w:r>
      <w:r w:rsidR="000628A0" w:rsidRPr="00746FAE">
        <w:rPr>
          <w:rFonts w:ascii="Arial" w:hAnsi="Arial" w:cs="Arial"/>
        </w:rPr>
        <w:t xml:space="preserve">los </w:t>
      </w:r>
      <w:r w:rsidRPr="00746FAE">
        <w:rPr>
          <w:rFonts w:ascii="Arial" w:hAnsi="Arial" w:cs="Arial"/>
        </w:rPr>
        <w:t xml:space="preserve">enfermos </w:t>
      </w:r>
      <w:r w:rsidR="000628A0" w:rsidRPr="00746FAE">
        <w:rPr>
          <w:rFonts w:ascii="Arial" w:hAnsi="Arial" w:cs="Arial"/>
        </w:rPr>
        <w:t>en el hogar debido a la</w:t>
      </w:r>
      <w:r w:rsidRPr="00746FAE">
        <w:rPr>
          <w:rFonts w:ascii="Arial" w:hAnsi="Arial" w:cs="Arial"/>
        </w:rPr>
        <w:t xml:space="preserve"> reconfiguración </w:t>
      </w:r>
      <w:r w:rsidR="000628A0" w:rsidRPr="00746FAE">
        <w:rPr>
          <w:rFonts w:ascii="Arial" w:hAnsi="Arial" w:cs="Arial"/>
        </w:rPr>
        <w:t>de los hospitales del sector</w:t>
      </w:r>
      <w:r w:rsidRPr="00746FAE">
        <w:rPr>
          <w:rFonts w:ascii="Arial" w:hAnsi="Arial" w:cs="Arial"/>
        </w:rPr>
        <w:t xml:space="preserve"> de salud </w:t>
      </w:r>
      <w:r w:rsidR="000E5D48" w:rsidRPr="00746FAE">
        <w:rPr>
          <w:rFonts w:ascii="Arial" w:hAnsi="Arial" w:cs="Arial"/>
        </w:rPr>
        <w:t>por la pandemia</w:t>
      </w:r>
      <w:r w:rsidR="000628A0" w:rsidRPr="00746FAE">
        <w:rPr>
          <w:rFonts w:ascii="Arial" w:hAnsi="Arial" w:cs="Arial"/>
        </w:rPr>
        <w:t>.</w:t>
      </w:r>
      <w:bookmarkEnd w:id="3"/>
    </w:p>
    <w:p w14:paraId="4630B94F" w14:textId="77777777" w:rsidR="00997EB2" w:rsidRPr="00997EB2" w:rsidRDefault="00997EB2" w:rsidP="00997EB2">
      <w:pPr>
        <w:pStyle w:val="Textoindependiente"/>
        <w:tabs>
          <w:tab w:val="center" w:pos="3348"/>
        </w:tabs>
        <w:spacing w:before="360" w:after="240"/>
        <w:rPr>
          <w:rFonts w:ascii="Arial" w:hAnsi="Arial" w:cs="Arial"/>
          <w:b/>
          <w:smallCaps/>
          <w:lang w:val="es-MX"/>
        </w:rPr>
      </w:pPr>
      <w:r w:rsidRPr="00997EB2">
        <w:rPr>
          <w:rFonts w:ascii="Arial" w:hAnsi="Arial" w:cs="Arial"/>
          <w:b/>
          <w:smallCaps/>
          <w:lang w:val="es-MX"/>
        </w:rPr>
        <w:t>Oferta y utilización de los bienes y servicios del sector salud.</w:t>
      </w:r>
    </w:p>
    <w:p w14:paraId="09E55E14" w14:textId="269BD605" w:rsidR="008C535D" w:rsidRDefault="003D2FC4" w:rsidP="00260E0B">
      <w:pPr>
        <w:jc w:val="both"/>
        <w:rPr>
          <w:rFonts w:ascii="Arial" w:hAnsi="Arial" w:cs="Arial"/>
        </w:rPr>
      </w:pPr>
      <w:r>
        <w:rPr>
          <w:rFonts w:ascii="Arial" w:hAnsi="Arial" w:cs="Arial"/>
        </w:rPr>
        <w:t xml:space="preserve">La </w:t>
      </w:r>
      <w:r w:rsidR="00260E0B">
        <w:rPr>
          <w:rFonts w:ascii="Arial" w:hAnsi="Arial" w:cs="Arial"/>
        </w:rPr>
        <w:t>oferta de los bienes y servicios del sector salud disponibles en el país se ubicó en 2.5 billones de pesos, de los cuales 80.</w:t>
      </w:r>
      <w:r w:rsidR="00CE64D0">
        <w:rPr>
          <w:rFonts w:ascii="Arial" w:hAnsi="Arial" w:cs="Arial"/>
        </w:rPr>
        <w:t>2</w:t>
      </w:r>
      <w:r w:rsidR="00260E0B">
        <w:rPr>
          <w:rFonts w:ascii="Arial" w:hAnsi="Arial" w:cs="Arial"/>
        </w:rPr>
        <w:t>% son de origen nacional, 10.6% provienen del resto del mundo y 9.1% representan el valor de los márgenes de comercio y transporte.</w:t>
      </w:r>
    </w:p>
    <w:p w14:paraId="436E5063" w14:textId="7A0EC63F" w:rsidR="00687492" w:rsidRDefault="00687492" w:rsidP="00260E0B">
      <w:pPr>
        <w:jc w:val="both"/>
        <w:rPr>
          <w:rFonts w:ascii="Arial" w:hAnsi="Arial" w:cs="Arial"/>
        </w:rPr>
      </w:pPr>
    </w:p>
    <w:p w14:paraId="0F406603" w14:textId="77777777" w:rsidR="00443445" w:rsidRPr="00443445" w:rsidRDefault="00443445" w:rsidP="00260E0B">
      <w:pPr>
        <w:jc w:val="both"/>
        <w:rPr>
          <w:rFonts w:ascii="Arial" w:hAnsi="Arial" w:cs="Arial"/>
          <w:sz w:val="10"/>
          <w:szCs w:val="10"/>
        </w:rPr>
      </w:pPr>
    </w:p>
    <w:p w14:paraId="108FB025" w14:textId="77777777" w:rsidR="00687492" w:rsidRDefault="00687492" w:rsidP="00A4333E">
      <w:pPr>
        <w:jc w:val="center"/>
        <w:rPr>
          <w:rFonts w:ascii="Arial" w:hAnsi="Arial" w:cs="Arial"/>
        </w:rPr>
      </w:pPr>
    </w:p>
    <w:p w14:paraId="20DA8CB7" w14:textId="5B6D70DD" w:rsidR="000F7F6B" w:rsidRDefault="00A4333E" w:rsidP="00A4333E">
      <w:pPr>
        <w:jc w:val="center"/>
        <w:rPr>
          <w:rFonts w:ascii="Arial" w:hAnsi="Arial" w:cs="Arial"/>
        </w:rPr>
      </w:pPr>
      <w:r>
        <w:rPr>
          <w:rFonts w:ascii="Arial" w:hAnsi="Arial" w:cs="Arial"/>
        </w:rPr>
        <w:t>Cuadro 1</w:t>
      </w:r>
    </w:p>
    <w:p w14:paraId="018530DE" w14:textId="77777777" w:rsidR="00A4333E" w:rsidRPr="001B75D8" w:rsidRDefault="00A4333E" w:rsidP="00A4333E">
      <w:pPr>
        <w:jc w:val="center"/>
        <w:rPr>
          <w:rFonts w:ascii="Arial" w:hAnsi="Arial" w:cs="Arial"/>
          <w:b/>
          <w:bCs/>
          <w:sz w:val="22"/>
          <w:szCs w:val="22"/>
        </w:rPr>
      </w:pPr>
      <w:r w:rsidRPr="001B75D8">
        <w:rPr>
          <w:rFonts w:ascii="Arial" w:hAnsi="Arial" w:cs="Arial"/>
          <w:b/>
          <w:bCs/>
          <w:sz w:val="22"/>
          <w:szCs w:val="22"/>
        </w:rPr>
        <w:t>COMPOSICIÓN DE LA OFERTA Y UTILIZACIÓN DEL SECTOR SALUD, 2019 Y 2020</w:t>
      </w:r>
    </w:p>
    <w:p w14:paraId="25FBA9C1" w14:textId="037B359E" w:rsidR="00A4333E" w:rsidRPr="00A4333E" w:rsidRDefault="00A4333E" w:rsidP="00A4333E">
      <w:pPr>
        <w:jc w:val="center"/>
        <w:rPr>
          <w:rFonts w:ascii="Arial" w:hAnsi="Arial" w:cs="Arial"/>
          <w:sz w:val="18"/>
          <w:szCs w:val="18"/>
        </w:rPr>
      </w:pPr>
      <w:r w:rsidRPr="001B75D8">
        <w:rPr>
          <w:rFonts w:ascii="Arial" w:hAnsi="Arial" w:cs="Arial"/>
          <w:bCs/>
          <w:sz w:val="18"/>
          <w:szCs w:val="18"/>
        </w:rPr>
        <w:t>(Estructura porcentual)</w:t>
      </w:r>
    </w:p>
    <w:tbl>
      <w:tblPr>
        <w:tblW w:w="7807" w:type="dxa"/>
        <w:jc w:val="center"/>
        <w:tblLook w:val="04A0" w:firstRow="1" w:lastRow="0" w:firstColumn="1" w:lastColumn="0" w:noHBand="0" w:noVBand="1"/>
      </w:tblPr>
      <w:tblGrid>
        <w:gridCol w:w="4765"/>
        <w:gridCol w:w="1521"/>
        <w:gridCol w:w="1521"/>
      </w:tblGrid>
      <w:tr w:rsidR="00A4333E" w:rsidRPr="00A35DF6" w14:paraId="182E1522" w14:textId="77777777" w:rsidTr="001F7738">
        <w:trPr>
          <w:trHeight w:val="250"/>
          <w:jc w:val="center"/>
        </w:trPr>
        <w:tc>
          <w:tcPr>
            <w:tcW w:w="4765" w:type="dxa"/>
            <w:tcBorders>
              <w:top w:val="single" w:sz="4" w:space="0" w:color="auto"/>
              <w:left w:val="single" w:sz="4" w:space="0" w:color="auto"/>
              <w:bottom w:val="single" w:sz="4" w:space="0" w:color="auto"/>
              <w:right w:val="single" w:sz="4" w:space="0" w:color="auto"/>
            </w:tcBorders>
            <w:shd w:val="clear" w:color="000000" w:fill="1F4E78"/>
            <w:noWrap/>
            <w:vAlign w:val="bottom"/>
            <w:hideMark/>
          </w:tcPr>
          <w:p w14:paraId="42AC1453" w14:textId="77777777" w:rsidR="00A4333E" w:rsidRPr="001F7738" w:rsidRDefault="00A4333E" w:rsidP="00F74F7E">
            <w:pPr>
              <w:jc w:val="center"/>
              <w:rPr>
                <w:rFonts w:ascii="Calibri" w:eastAsia="Times New Roman" w:hAnsi="Calibri" w:cs="Calibri"/>
                <w:b/>
                <w:bCs/>
                <w:color w:val="FFFFFF"/>
                <w:sz w:val="21"/>
                <w:szCs w:val="21"/>
                <w:lang w:val="en-US" w:eastAsia="en-US"/>
              </w:rPr>
            </w:pPr>
            <w:proofErr w:type="spellStart"/>
            <w:r w:rsidRPr="001F7738">
              <w:rPr>
                <w:rFonts w:ascii="Calibri" w:eastAsia="Times New Roman" w:hAnsi="Calibri" w:cs="Calibri"/>
                <w:b/>
                <w:bCs/>
                <w:color w:val="FFFFFF"/>
                <w:sz w:val="21"/>
                <w:szCs w:val="21"/>
                <w:lang w:val="en-US" w:eastAsia="en-US"/>
              </w:rPr>
              <w:t>Concepto</w:t>
            </w:r>
            <w:proofErr w:type="spellEnd"/>
          </w:p>
        </w:tc>
        <w:tc>
          <w:tcPr>
            <w:tcW w:w="1521" w:type="dxa"/>
            <w:tcBorders>
              <w:top w:val="single" w:sz="4" w:space="0" w:color="auto"/>
              <w:left w:val="nil"/>
              <w:bottom w:val="single" w:sz="4" w:space="0" w:color="auto"/>
              <w:right w:val="single" w:sz="4" w:space="0" w:color="auto"/>
            </w:tcBorders>
            <w:shd w:val="clear" w:color="000000" w:fill="1F4E78"/>
            <w:noWrap/>
            <w:vAlign w:val="bottom"/>
            <w:hideMark/>
          </w:tcPr>
          <w:p w14:paraId="5E948B5E" w14:textId="77777777" w:rsidR="00A4333E" w:rsidRPr="001F7738" w:rsidRDefault="00A4333E" w:rsidP="00F74F7E">
            <w:pPr>
              <w:jc w:val="center"/>
              <w:rPr>
                <w:rFonts w:ascii="Calibri" w:eastAsia="Times New Roman" w:hAnsi="Calibri" w:cs="Calibri"/>
                <w:b/>
                <w:bCs/>
                <w:color w:val="FFFFFF"/>
                <w:sz w:val="21"/>
                <w:szCs w:val="21"/>
                <w:lang w:val="en-US" w:eastAsia="en-US"/>
              </w:rPr>
            </w:pPr>
            <w:r w:rsidRPr="001F7738">
              <w:rPr>
                <w:rFonts w:ascii="Calibri" w:eastAsia="Times New Roman" w:hAnsi="Calibri" w:cs="Calibri"/>
                <w:b/>
                <w:bCs/>
                <w:color w:val="FFFFFF"/>
                <w:sz w:val="21"/>
                <w:szCs w:val="21"/>
                <w:lang w:val="en-US" w:eastAsia="en-US"/>
              </w:rPr>
              <w:t>2019</w:t>
            </w:r>
          </w:p>
        </w:tc>
        <w:tc>
          <w:tcPr>
            <w:tcW w:w="1521" w:type="dxa"/>
            <w:tcBorders>
              <w:top w:val="single" w:sz="4" w:space="0" w:color="auto"/>
              <w:left w:val="nil"/>
              <w:bottom w:val="single" w:sz="4" w:space="0" w:color="auto"/>
              <w:right w:val="single" w:sz="4" w:space="0" w:color="auto"/>
            </w:tcBorders>
            <w:shd w:val="clear" w:color="000000" w:fill="1F4E78"/>
            <w:noWrap/>
            <w:vAlign w:val="bottom"/>
            <w:hideMark/>
          </w:tcPr>
          <w:p w14:paraId="03B37F7A" w14:textId="77777777" w:rsidR="00A4333E" w:rsidRPr="001F7738" w:rsidRDefault="00A4333E" w:rsidP="00F74F7E">
            <w:pPr>
              <w:jc w:val="center"/>
              <w:rPr>
                <w:rFonts w:ascii="Calibri" w:eastAsia="Times New Roman" w:hAnsi="Calibri" w:cs="Calibri"/>
                <w:b/>
                <w:bCs/>
                <w:color w:val="FFFFFF"/>
                <w:sz w:val="21"/>
                <w:szCs w:val="21"/>
                <w:lang w:val="en-US" w:eastAsia="en-US"/>
              </w:rPr>
            </w:pPr>
            <w:r w:rsidRPr="001F7738">
              <w:rPr>
                <w:rFonts w:ascii="Calibri" w:eastAsia="Times New Roman" w:hAnsi="Calibri" w:cs="Calibri"/>
                <w:b/>
                <w:bCs/>
                <w:color w:val="FFFFFF"/>
                <w:sz w:val="21"/>
                <w:szCs w:val="21"/>
                <w:lang w:val="en-US" w:eastAsia="en-US"/>
              </w:rPr>
              <w:t>2020</w:t>
            </w:r>
          </w:p>
        </w:tc>
      </w:tr>
      <w:tr w:rsidR="00A4333E" w:rsidRPr="00A35DF6" w14:paraId="74D300A4"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AED7A77" w14:textId="77777777" w:rsidR="00A4333E" w:rsidRPr="001F7738" w:rsidRDefault="00A4333E" w:rsidP="00F74F7E">
            <w:pPr>
              <w:rPr>
                <w:rFonts w:ascii="Arial" w:eastAsia="Times New Roman" w:hAnsi="Arial" w:cs="Arial"/>
                <w:b/>
                <w:bCs/>
                <w:color w:val="000000"/>
                <w:sz w:val="21"/>
                <w:szCs w:val="21"/>
                <w:lang w:eastAsia="en-US"/>
              </w:rPr>
            </w:pPr>
            <w:r w:rsidRPr="001F7738">
              <w:rPr>
                <w:rFonts w:ascii="Arial" w:eastAsia="Times New Roman" w:hAnsi="Arial" w:cs="Arial"/>
                <w:b/>
                <w:bCs/>
                <w:color w:val="000000"/>
                <w:sz w:val="21"/>
                <w:szCs w:val="21"/>
                <w:lang w:eastAsia="en-US"/>
              </w:rPr>
              <w:t>Oferta total = Utilización total</w:t>
            </w:r>
          </w:p>
        </w:tc>
        <w:tc>
          <w:tcPr>
            <w:tcW w:w="1521" w:type="dxa"/>
            <w:tcBorders>
              <w:top w:val="nil"/>
              <w:left w:val="nil"/>
              <w:bottom w:val="single" w:sz="4" w:space="0" w:color="auto"/>
              <w:right w:val="single" w:sz="4" w:space="0" w:color="auto"/>
            </w:tcBorders>
            <w:shd w:val="clear" w:color="auto" w:fill="auto"/>
            <w:noWrap/>
            <w:vAlign w:val="bottom"/>
            <w:hideMark/>
          </w:tcPr>
          <w:p w14:paraId="437FFB26"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100.0</w:t>
            </w:r>
          </w:p>
        </w:tc>
        <w:tc>
          <w:tcPr>
            <w:tcW w:w="1521" w:type="dxa"/>
            <w:tcBorders>
              <w:top w:val="nil"/>
              <w:left w:val="nil"/>
              <w:bottom w:val="single" w:sz="4" w:space="0" w:color="auto"/>
              <w:right w:val="single" w:sz="4" w:space="0" w:color="auto"/>
            </w:tcBorders>
            <w:shd w:val="clear" w:color="auto" w:fill="auto"/>
            <w:noWrap/>
            <w:vAlign w:val="bottom"/>
            <w:hideMark/>
          </w:tcPr>
          <w:p w14:paraId="1FD2CB6E"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100.0</w:t>
            </w:r>
          </w:p>
        </w:tc>
      </w:tr>
      <w:tr w:rsidR="00A4333E" w:rsidRPr="00A35DF6" w14:paraId="1D6AE0B2"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DCC90EF" w14:textId="77777777" w:rsidR="00A4333E" w:rsidRPr="001F7738" w:rsidRDefault="00A4333E" w:rsidP="00F74F7E">
            <w:pPr>
              <w:rPr>
                <w:rFonts w:ascii="Arial" w:eastAsia="Times New Roman" w:hAnsi="Arial" w:cs="Arial"/>
                <w:b/>
                <w:bCs/>
                <w:color w:val="000000"/>
                <w:sz w:val="21"/>
                <w:szCs w:val="21"/>
                <w:lang w:eastAsia="en-US"/>
              </w:rPr>
            </w:pPr>
            <w:r w:rsidRPr="001F7738">
              <w:rPr>
                <w:rFonts w:ascii="Arial" w:eastAsia="Times New Roman" w:hAnsi="Arial" w:cs="Arial"/>
                <w:b/>
                <w:bCs/>
                <w:color w:val="000000"/>
                <w:sz w:val="21"/>
                <w:szCs w:val="21"/>
                <w:lang w:eastAsia="en-US"/>
              </w:rPr>
              <w:t xml:space="preserve">Oferta total </w:t>
            </w:r>
          </w:p>
        </w:tc>
        <w:tc>
          <w:tcPr>
            <w:tcW w:w="1521" w:type="dxa"/>
            <w:tcBorders>
              <w:top w:val="nil"/>
              <w:left w:val="nil"/>
              <w:bottom w:val="single" w:sz="4" w:space="0" w:color="auto"/>
              <w:right w:val="single" w:sz="4" w:space="0" w:color="auto"/>
            </w:tcBorders>
            <w:shd w:val="clear" w:color="auto" w:fill="auto"/>
            <w:noWrap/>
            <w:vAlign w:val="bottom"/>
            <w:hideMark/>
          </w:tcPr>
          <w:p w14:paraId="0BE0F652"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 </w:t>
            </w:r>
          </w:p>
        </w:tc>
        <w:tc>
          <w:tcPr>
            <w:tcW w:w="1521" w:type="dxa"/>
            <w:tcBorders>
              <w:top w:val="nil"/>
              <w:left w:val="nil"/>
              <w:bottom w:val="single" w:sz="4" w:space="0" w:color="auto"/>
              <w:right w:val="single" w:sz="4" w:space="0" w:color="auto"/>
            </w:tcBorders>
            <w:shd w:val="clear" w:color="auto" w:fill="auto"/>
            <w:noWrap/>
            <w:vAlign w:val="bottom"/>
            <w:hideMark/>
          </w:tcPr>
          <w:p w14:paraId="505664EE"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 </w:t>
            </w:r>
          </w:p>
        </w:tc>
      </w:tr>
      <w:tr w:rsidR="00A4333E" w:rsidRPr="00A35DF6" w14:paraId="701419E3"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283AC529"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Producción a precios de mercado</w:t>
            </w:r>
          </w:p>
        </w:tc>
        <w:tc>
          <w:tcPr>
            <w:tcW w:w="1521" w:type="dxa"/>
            <w:tcBorders>
              <w:top w:val="nil"/>
              <w:left w:val="nil"/>
              <w:bottom w:val="single" w:sz="4" w:space="0" w:color="auto"/>
              <w:right w:val="single" w:sz="4" w:space="0" w:color="auto"/>
            </w:tcBorders>
            <w:shd w:val="clear" w:color="auto" w:fill="auto"/>
            <w:noWrap/>
            <w:vAlign w:val="bottom"/>
            <w:hideMark/>
          </w:tcPr>
          <w:p w14:paraId="71AA8E15"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80.2</w:t>
            </w:r>
          </w:p>
        </w:tc>
        <w:tc>
          <w:tcPr>
            <w:tcW w:w="1521" w:type="dxa"/>
            <w:tcBorders>
              <w:top w:val="nil"/>
              <w:left w:val="nil"/>
              <w:bottom w:val="single" w:sz="4" w:space="0" w:color="auto"/>
              <w:right w:val="single" w:sz="4" w:space="0" w:color="auto"/>
            </w:tcBorders>
            <w:shd w:val="clear" w:color="auto" w:fill="auto"/>
            <w:noWrap/>
            <w:vAlign w:val="bottom"/>
            <w:hideMark/>
          </w:tcPr>
          <w:p w14:paraId="3719B3D1"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80.2</w:t>
            </w:r>
          </w:p>
        </w:tc>
      </w:tr>
      <w:tr w:rsidR="00A4333E" w:rsidRPr="00A35DF6" w14:paraId="1FB42224"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E3205D0"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Importaciones</w:t>
            </w:r>
          </w:p>
        </w:tc>
        <w:tc>
          <w:tcPr>
            <w:tcW w:w="1521" w:type="dxa"/>
            <w:tcBorders>
              <w:top w:val="nil"/>
              <w:left w:val="nil"/>
              <w:bottom w:val="single" w:sz="4" w:space="0" w:color="auto"/>
              <w:right w:val="single" w:sz="4" w:space="0" w:color="auto"/>
            </w:tcBorders>
            <w:shd w:val="clear" w:color="auto" w:fill="auto"/>
            <w:noWrap/>
            <w:vAlign w:val="bottom"/>
            <w:hideMark/>
          </w:tcPr>
          <w:p w14:paraId="7015C936"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10.4</w:t>
            </w:r>
          </w:p>
        </w:tc>
        <w:tc>
          <w:tcPr>
            <w:tcW w:w="1521" w:type="dxa"/>
            <w:tcBorders>
              <w:top w:val="nil"/>
              <w:left w:val="nil"/>
              <w:bottom w:val="single" w:sz="4" w:space="0" w:color="auto"/>
              <w:right w:val="single" w:sz="4" w:space="0" w:color="auto"/>
            </w:tcBorders>
            <w:shd w:val="clear" w:color="auto" w:fill="auto"/>
            <w:noWrap/>
            <w:vAlign w:val="bottom"/>
            <w:hideMark/>
          </w:tcPr>
          <w:p w14:paraId="0ED515DB"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10.6</w:t>
            </w:r>
          </w:p>
        </w:tc>
      </w:tr>
      <w:tr w:rsidR="00A4333E" w:rsidRPr="00A35DF6" w14:paraId="42A93BDC"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C8E7FAA"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Margen de comercio y distribución</w:t>
            </w:r>
          </w:p>
        </w:tc>
        <w:tc>
          <w:tcPr>
            <w:tcW w:w="1521" w:type="dxa"/>
            <w:tcBorders>
              <w:top w:val="nil"/>
              <w:left w:val="nil"/>
              <w:bottom w:val="single" w:sz="4" w:space="0" w:color="auto"/>
              <w:right w:val="single" w:sz="4" w:space="0" w:color="auto"/>
            </w:tcBorders>
            <w:shd w:val="clear" w:color="auto" w:fill="auto"/>
            <w:noWrap/>
            <w:vAlign w:val="bottom"/>
            <w:hideMark/>
          </w:tcPr>
          <w:p w14:paraId="61C48CA0"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9.4</w:t>
            </w:r>
          </w:p>
        </w:tc>
        <w:tc>
          <w:tcPr>
            <w:tcW w:w="1521" w:type="dxa"/>
            <w:tcBorders>
              <w:top w:val="nil"/>
              <w:left w:val="nil"/>
              <w:bottom w:val="single" w:sz="4" w:space="0" w:color="auto"/>
              <w:right w:val="single" w:sz="4" w:space="0" w:color="auto"/>
            </w:tcBorders>
            <w:shd w:val="clear" w:color="auto" w:fill="auto"/>
            <w:noWrap/>
            <w:vAlign w:val="bottom"/>
            <w:hideMark/>
          </w:tcPr>
          <w:p w14:paraId="4C53B73B"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9.1</w:t>
            </w:r>
          </w:p>
        </w:tc>
      </w:tr>
      <w:tr w:rsidR="00A4333E" w:rsidRPr="00A35DF6" w14:paraId="3BB37A78"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vAlign w:val="bottom"/>
            <w:hideMark/>
          </w:tcPr>
          <w:p w14:paraId="716A3033" w14:textId="77777777" w:rsidR="00A4333E" w:rsidRPr="001F7738" w:rsidRDefault="00A4333E" w:rsidP="00F74F7E">
            <w:pPr>
              <w:rPr>
                <w:rFonts w:ascii="Arial" w:eastAsia="Times New Roman" w:hAnsi="Arial" w:cs="Arial"/>
                <w:b/>
                <w:bCs/>
                <w:color w:val="000000"/>
                <w:sz w:val="21"/>
                <w:szCs w:val="21"/>
                <w:lang w:eastAsia="en-US"/>
              </w:rPr>
            </w:pPr>
            <w:r w:rsidRPr="001F7738">
              <w:rPr>
                <w:rFonts w:ascii="Arial" w:eastAsia="Times New Roman" w:hAnsi="Arial" w:cs="Arial"/>
                <w:b/>
                <w:bCs/>
                <w:color w:val="000000"/>
                <w:sz w:val="21"/>
                <w:szCs w:val="21"/>
                <w:lang w:eastAsia="en-US"/>
              </w:rPr>
              <w:t>Utilización total</w:t>
            </w:r>
          </w:p>
        </w:tc>
        <w:tc>
          <w:tcPr>
            <w:tcW w:w="1521" w:type="dxa"/>
            <w:tcBorders>
              <w:top w:val="nil"/>
              <w:left w:val="nil"/>
              <w:bottom w:val="single" w:sz="4" w:space="0" w:color="auto"/>
              <w:right w:val="single" w:sz="4" w:space="0" w:color="auto"/>
            </w:tcBorders>
            <w:shd w:val="clear" w:color="auto" w:fill="auto"/>
            <w:noWrap/>
            <w:vAlign w:val="bottom"/>
            <w:hideMark/>
          </w:tcPr>
          <w:p w14:paraId="11C80719"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 </w:t>
            </w:r>
          </w:p>
        </w:tc>
        <w:tc>
          <w:tcPr>
            <w:tcW w:w="1521" w:type="dxa"/>
            <w:tcBorders>
              <w:top w:val="nil"/>
              <w:left w:val="nil"/>
              <w:bottom w:val="single" w:sz="4" w:space="0" w:color="auto"/>
              <w:right w:val="single" w:sz="4" w:space="0" w:color="auto"/>
            </w:tcBorders>
            <w:shd w:val="clear" w:color="auto" w:fill="auto"/>
            <w:noWrap/>
            <w:vAlign w:val="bottom"/>
            <w:hideMark/>
          </w:tcPr>
          <w:p w14:paraId="41C4F338"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 </w:t>
            </w:r>
          </w:p>
        </w:tc>
      </w:tr>
      <w:tr w:rsidR="00A4333E" w:rsidRPr="00A35DF6" w14:paraId="0A07651F"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6F6E203D"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Demanda intermedia </w:t>
            </w:r>
          </w:p>
        </w:tc>
        <w:tc>
          <w:tcPr>
            <w:tcW w:w="1521" w:type="dxa"/>
            <w:tcBorders>
              <w:top w:val="nil"/>
              <w:left w:val="nil"/>
              <w:bottom w:val="single" w:sz="4" w:space="0" w:color="auto"/>
              <w:right w:val="single" w:sz="4" w:space="0" w:color="auto"/>
            </w:tcBorders>
            <w:shd w:val="clear" w:color="auto" w:fill="auto"/>
            <w:noWrap/>
            <w:vAlign w:val="bottom"/>
            <w:hideMark/>
          </w:tcPr>
          <w:p w14:paraId="6ED7AB69"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11.2</w:t>
            </w:r>
          </w:p>
        </w:tc>
        <w:tc>
          <w:tcPr>
            <w:tcW w:w="1521" w:type="dxa"/>
            <w:tcBorders>
              <w:top w:val="nil"/>
              <w:left w:val="nil"/>
              <w:bottom w:val="single" w:sz="4" w:space="0" w:color="auto"/>
              <w:right w:val="single" w:sz="4" w:space="0" w:color="auto"/>
            </w:tcBorders>
            <w:shd w:val="clear" w:color="auto" w:fill="auto"/>
            <w:noWrap/>
            <w:vAlign w:val="bottom"/>
            <w:hideMark/>
          </w:tcPr>
          <w:p w14:paraId="62D7C0AC"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11.3</w:t>
            </w:r>
          </w:p>
        </w:tc>
      </w:tr>
      <w:tr w:rsidR="00A4333E" w:rsidRPr="00A35DF6" w14:paraId="6C312F13"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58BF198C"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Consumo privado</w:t>
            </w:r>
          </w:p>
        </w:tc>
        <w:tc>
          <w:tcPr>
            <w:tcW w:w="1521" w:type="dxa"/>
            <w:tcBorders>
              <w:top w:val="nil"/>
              <w:left w:val="nil"/>
              <w:bottom w:val="single" w:sz="4" w:space="0" w:color="auto"/>
              <w:right w:val="single" w:sz="4" w:space="0" w:color="auto"/>
            </w:tcBorders>
            <w:shd w:val="clear" w:color="auto" w:fill="auto"/>
            <w:noWrap/>
            <w:vAlign w:val="bottom"/>
            <w:hideMark/>
          </w:tcPr>
          <w:p w14:paraId="3643EE0C"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41.8</w:t>
            </w:r>
          </w:p>
        </w:tc>
        <w:tc>
          <w:tcPr>
            <w:tcW w:w="1521" w:type="dxa"/>
            <w:tcBorders>
              <w:top w:val="nil"/>
              <w:left w:val="nil"/>
              <w:bottom w:val="single" w:sz="4" w:space="0" w:color="auto"/>
              <w:right w:val="single" w:sz="4" w:space="0" w:color="auto"/>
            </w:tcBorders>
            <w:shd w:val="clear" w:color="auto" w:fill="auto"/>
            <w:noWrap/>
            <w:vAlign w:val="bottom"/>
            <w:hideMark/>
          </w:tcPr>
          <w:p w14:paraId="67100232"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41.7</w:t>
            </w:r>
          </w:p>
        </w:tc>
      </w:tr>
      <w:tr w:rsidR="00C54411" w:rsidRPr="00A35DF6" w14:paraId="124117BE"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tcPr>
          <w:p w14:paraId="10767067" w14:textId="688E8F89" w:rsidR="00C54411" w:rsidRPr="001F7738" w:rsidRDefault="00C54411"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Hogares</w:t>
            </w:r>
          </w:p>
        </w:tc>
        <w:tc>
          <w:tcPr>
            <w:tcW w:w="1521" w:type="dxa"/>
            <w:tcBorders>
              <w:top w:val="nil"/>
              <w:left w:val="nil"/>
              <w:bottom w:val="single" w:sz="4" w:space="0" w:color="auto"/>
              <w:right w:val="single" w:sz="4" w:space="0" w:color="auto"/>
            </w:tcBorders>
            <w:shd w:val="clear" w:color="auto" w:fill="auto"/>
            <w:noWrap/>
            <w:vAlign w:val="bottom"/>
          </w:tcPr>
          <w:p w14:paraId="2AC2D598" w14:textId="4FDD8313" w:rsidR="00C54411" w:rsidRPr="001F7738" w:rsidRDefault="00F55227" w:rsidP="00F74F7E">
            <w:pPr>
              <w:jc w:val="center"/>
              <w:rPr>
                <w:rFonts w:ascii="Arial" w:eastAsia="Times New Roman" w:hAnsi="Arial" w:cs="Arial"/>
                <w:sz w:val="21"/>
                <w:szCs w:val="21"/>
                <w:lang w:val="en-US" w:eastAsia="en-US"/>
              </w:rPr>
            </w:pPr>
            <w:r w:rsidRPr="001F7738">
              <w:rPr>
                <w:rFonts w:ascii="Arial" w:eastAsia="Times New Roman" w:hAnsi="Arial" w:cs="Arial"/>
                <w:sz w:val="21"/>
                <w:szCs w:val="21"/>
                <w:lang w:val="en-US" w:eastAsia="en-US"/>
              </w:rPr>
              <w:t>40.8</w:t>
            </w:r>
          </w:p>
        </w:tc>
        <w:tc>
          <w:tcPr>
            <w:tcW w:w="1521" w:type="dxa"/>
            <w:tcBorders>
              <w:top w:val="nil"/>
              <w:left w:val="nil"/>
              <w:bottom w:val="single" w:sz="4" w:space="0" w:color="auto"/>
              <w:right w:val="single" w:sz="4" w:space="0" w:color="auto"/>
            </w:tcBorders>
            <w:shd w:val="clear" w:color="auto" w:fill="auto"/>
            <w:noWrap/>
            <w:vAlign w:val="bottom"/>
          </w:tcPr>
          <w:p w14:paraId="0F88E836" w14:textId="10432032" w:rsidR="00C54411" w:rsidRPr="001F7738" w:rsidRDefault="00C54411"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40.7</w:t>
            </w:r>
          </w:p>
        </w:tc>
      </w:tr>
      <w:tr w:rsidR="00C54411" w:rsidRPr="00A35DF6" w14:paraId="0017B62C"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tcPr>
          <w:p w14:paraId="6638895F" w14:textId="5061ED00" w:rsidR="00C54411" w:rsidRPr="001F7738" w:rsidRDefault="00C54411"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ISFL que sirven a los hogare</w:t>
            </w:r>
            <w:r w:rsidR="00486B04" w:rsidRPr="001F7738">
              <w:rPr>
                <w:rFonts w:ascii="Arial" w:eastAsia="Times New Roman" w:hAnsi="Arial" w:cs="Arial"/>
                <w:color w:val="000000"/>
                <w:sz w:val="21"/>
                <w:szCs w:val="21"/>
                <w:lang w:eastAsia="en-US"/>
              </w:rPr>
              <w:t>s</w:t>
            </w:r>
          </w:p>
        </w:tc>
        <w:tc>
          <w:tcPr>
            <w:tcW w:w="1521" w:type="dxa"/>
            <w:tcBorders>
              <w:top w:val="nil"/>
              <w:left w:val="nil"/>
              <w:bottom w:val="single" w:sz="4" w:space="0" w:color="auto"/>
              <w:right w:val="single" w:sz="4" w:space="0" w:color="auto"/>
            </w:tcBorders>
            <w:shd w:val="clear" w:color="auto" w:fill="auto"/>
            <w:noWrap/>
            <w:vAlign w:val="bottom"/>
          </w:tcPr>
          <w:p w14:paraId="21FAE7F1" w14:textId="538CA810" w:rsidR="00C54411" w:rsidRPr="001F7738" w:rsidRDefault="00F55227" w:rsidP="00F74F7E">
            <w:pPr>
              <w:jc w:val="center"/>
              <w:rPr>
                <w:rFonts w:ascii="Arial" w:eastAsia="Times New Roman" w:hAnsi="Arial" w:cs="Arial"/>
                <w:sz w:val="21"/>
                <w:szCs w:val="21"/>
                <w:lang w:val="en-US" w:eastAsia="en-US"/>
              </w:rPr>
            </w:pPr>
            <w:r w:rsidRPr="001F7738">
              <w:rPr>
                <w:rFonts w:ascii="Arial" w:eastAsia="Times New Roman" w:hAnsi="Arial" w:cs="Arial"/>
                <w:sz w:val="21"/>
                <w:szCs w:val="21"/>
                <w:lang w:val="en-US" w:eastAsia="en-US"/>
              </w:rPr>
              <w:t>1.0</w:t>
            </w:r>
          </w:p>
        </w:tc>
        <w:tc>
          <w:tcPr>
            <w:tcW w:w="1521" w:type="dxa"/>
            <w:tcBorders>
              <w:top w:val="nil"/>
              <w:left w:val="nil"/>
              <w:bottom w:val="single" w:sz="4" w:space="0" w:color="auto"/>
              <w:right w:val="single" w:sz="4" w:space="0" w:color="auto"/>
            </w:tcBorders>
            <w:shd w:val="clear" w:color="auto" w:fill="auto"/>
            <w:noWrap/>
            <w:vAlign w:val="bottom"/>
          </w:tcPr>
          <w:p w14:paraId="31A0C7A4" w14:textId="31A8419C" w:rsidR="00C54411" w:rsidRPr="001F7738" w:rsidRDefault="00C54411"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1.0</w:t>
            </w:r>
          </w:p>
        </w:tc>
      </w:tr>
      <w:tr w:rsidR="00A4333E" w:rsidRPr="00A35DF6" w14:paraId="7395A777"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35E7CFDC"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Consumo de gobierno</w:t>
            </w:r>
          </w:p>
        </w:tc>
        <w:tc>
          <w:tcPr>
            <w:tcW w:w="1521" w:type="dxa"/>
            <w:tcBorders>
              <w:top w:val="nil"/>
              <w:left w:val="nil"/>
              <w:bottom w:val="single" w:sz="4" w:space="0" w:color="auto"/>
              <w:right w:val="single" w:sz="4" w:space="0" w:color="auto"/>
            </w:tcBorders>
            <w:shd w:val="clear" w:color="auto" w:fill="auto"/>
            <w:noWrap/>
            <w:vAlign w:val="bottom"/>
            <w:hideMark/>
          </w:tcPr>
          <w:p w14:paraId="191DEA64"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33.1</w:t>
            </w:r>
          </w:p>
        </w:tc>
        <w:tc>
          <w:tcPr>
            <w:tcW w:w="1521" w:type="dxa"/>
            <w:tcBorders>
              <w:top w:val="nil"/>
              <w:left w:val="nil"/>
              <w:bottom w:val="single" w:sz="4" w:space="0" w:color="auto"/>
              <w:right w:val="single" w:sz="4" w:space="0" w:color="auto"/>
            </w:tcBorders>
            <w:shd w:val="clear" w:color="auto" w:fill="auto"/>
            <w:noWrap/>
            <w:vAlign w:val="bottom"/>
            <w:hideMark/>
          </w:tcPr>
          <w:p w14:paraId="2BB5AC09"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33.2</w:t>
            </w:r>
          </w:p>
        </w:tc>
      </w:tr>
      <w:tr w:rsidR="00A4333E" w:rsidRPr="00A35DF6" w14:paraId="2466B8EC"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4F466409"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Formación bruta de capital</w:t>
            </w:r>
          </w:p>
        </w:tc>
        <w:tc>
          <w:tcPr>
            <w:tcW w:w="1521" w:type="dxa"/>
            <w:tcBorders>
              <w:top w:val="nil"/>
              <w:left w:val="nil"/>
              <w:bottom w:val="single" w:sz="4" w:space="0" w:color="auto"/>
              <w:right w:val="single" w:sz="4" w:space="0" w:color="auto"/>
            </w:tcBorders>
            <w:shd w:val="clear" w:color="auto" w:fill="auto"/>
            <w:noWrap/>
            <w:vAlign w:val="bottom"/>
            <w:hideMark/>
          </w:tcPr>
          <w:p w14:paraId="5A788502"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2.2</w:t>
            </w:r>
          </w:p>
        </w:tc>
        <w:tc>
          <w:tcPr>
            <w:tcW w:w="1521" w:type="dxa"/>
            <w:tcBorders>
              <w:top w:val="nil"/>
              <w:left w:val="nil"/>
              <w:bottom w:val="single" w:sz="4" w:space="0" w:color="auto"/>
              <w:right w:val="single" w:sz="4" w:space="0" w:color="auto"/>
            </w:tcBorders>
            <w:shd w:val="clear" w:color="auto" w:fill="auto"/>
            <w:noWrap/>
            <w:vAlign w:val="bottom"/>
            <w:hideMark/>
          </w:tcPr>
          <w:p w14:paraId="5C939277"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2.0</w:t>
            </w:r>
          </w:p>
        </w:tc>
      </w:tr>
      <w:tr w:rsidR="00A4333E" w:rsidRPr="00A35DF6" w14:paraId="7AA5F5A7" w14:textId="77777777" w:rsidTr="001F7738">
        <w:trPr>
          <w:trHeight w:val="250"/>
          <w:jc w:val="center"/>
        </w:trPr>
        <w:tc>
          <w:tcPr>
            <w:tcW w:w="4765" w:type="dxa"/>
            <w:tcBorders>
              <w:top w:val="nil"/>
              <w:left w:val="single" w:sz="4" w:space="0" w:color="auto"/>
              <w:bottom w:val="single" w:sz="4" w:space="0" w:color="auto"/>
              <w:right w:val="single" w:sz="4" w:space="0" w:color="auto"/>
            </w:tcBorders>
            <w:shd w:val="clear" w:color="auto" w:fill="auto"/>
            <w:noWrap/>
            <w:vAlign w:val="bottom"/>
            <w:hideMark/>
          </w:tcPr>
          <w:p w14:paraId="13D0F979" w14:textId="77777777" w:rsidR="00A4333E" w:rsidRPr="001F7738" w:rsidRDefault="00A4333E" w:rsidP="00F74F7E">
            <w:pPr>
              <w:rPr>
                <w:rFonts w:ascii="Arial" w:eastAsia="Times New Roman" w:hAnsi="Arial" w:cs="Arial"/>
                <w:color w:val="000000"/>
                <w:sz w:val="21"/>
                <w:szCs w:val="21"/>
                <w:lang w:eastAsia="en-US"/>
              </w:rPr>
            </w:pPr>
            <w:r w:rsidRPr="001F7738">
              <w:rPr>
                <w:rFonts w:ascii="Arial" w:eastAsia="Times New Roman" w:hAnsi="Arial" w:cs="Arial"/>
                <w:color w:val="000000"/>
                <w:sz w:val="21"/>
                <w:szCs w:val="21"/>
                <w:lang w:eastAsia="en-US"/>
              </w:rPr>
              <w:t xml:space="preserve">     Exportaciones </w:t>
            </w:r>
          </w:p>
        </w:tc>
        <w:tc>
          <w:tcPr>
            <w:tcW w:w="1521" w:type="dxa"/>
            <w:tcBorders>
              <w:top w:val="nil"/>
              <w:left w:val="nil"/>
              <w:bottom w:val="single" w:sz="4" w:space="0" w:color="auto"/>
              <w:right w:val="single" w:sz="4" w:space="0" w:color="auto"/>
            </w:tcBorders>
            <w:shd w:val="clear" w:color="auto" w:fill="auto"/>
            <w:noWrap/>
            <w:vAlign w:val="bottom"/>
            <w:hideMark/>
          </w:tcPr>
          <w:p w14:paraId="52FF5239"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11.7</w:t>
            </w:r>
          </w:p>
        </w:tc>
        <w:tc>
          <w:tcPr>
            <w:tcW w:w="1521" w:type="dxa"/>
            <w:tcBorders>
              <w:top w:val="nil"/>
              <w:left w:val="nil"/>
              <w:bottom w:val="single" w:sz="4" w:space="0" w:color="auto"/>
              <w:right w:val="single" w:sz="4" w:space="0" w:color="auto"/>
            </w:tcBorders>
            <w:shd w:val="clear" w:color="auto" w:fill="auto"/>
            <w:noWrap/>
            <w:vAlign w:val="bottom"/>
            <w:hideMark/>
          </w:tcPr>
          <w:p w14:paraId="2802488C" w14:textId="77777777" w:rsidR="00A4333E" w:rsidRPr="001F7738" w:rsidRDefault="00A4333E" w:rsidP="00F74F7E">
            <w:pPr>
              <w:jc w:val="center"/>
              <w:rPr>
                <w:rFonts w:ascii="Arial" w:eastAsia="Times New Roman" w:hAnsi="Arial" w:cs="Arial"/>
                <w:color w:val="000000"/>
                <w:sz w:val="21"/>
                <w:szCs w:val="21"/>
                <w:lang w:val="en-US" w:eastAsia="en-US"/>
              </w:rPr>
            </w:pPr>
            <w:r w:rsidRPr="001F7738">
              <w:rPr>
                <w:rFonts w:ascii="Arial" w:eastAsia="Times New Roman" w:hAnsi="Arial" w:cs="Arial"/>
                <w:color w:val="000000"/>
                <w:sz w:val="21"/>
                <w:szCs w:val="21"/>
                <w:lang w:val="en-US" w:eastAsia="en-US"/>
              </w:rPr>
              <w:t>11.8</w:t>
            </w:r>
          </w:p>
        </w:tc>
      </w:tr>
    </w:tbl>
    <w:p w14:paraId="68690D2C" w14:textId="77777777" w:rsidR="001F7738" w:rsidRDefault="003476AC" w:rsidP="001F7738">
      <w:pPr>
        <w:rPr>
          <w:rFonts w:ascii="Arial" w:hAnsi="Arial" w:cs="Arial"/>
          <w:sz w:val="16"/>
          <w:szCs w:val="16"/>
        </w:rPr>
      </w:pPr>
      <w:r>
        <w:rPr>
          <w:rFonts w:ascii="Arial" w:hAnsi="Arial" w:cs="Arial"/>
          <w:sz w:val="16"/>
          <w:szCs w:val="16"/>
        </w:rPr>
        <w:t>Nota: Las suma de los parciales puede no coincidir con el total debido al redondeo.</w:t>
      </w:r>
    </w:p>
    <w:p w14:paraId="3B00C281" w14:textId="08EC32E4" w:rsidR="003476AC" w:rsidRDefault="003476AC" w:rsidP="001F7738">
      <w:pPr>
        <w:rPr>
          <w:rFonts w:ascii="Arial" w:hAnsi="Arial" w:cs="Arial"/>
          <w:sz w:val="16"/>
          <w:szCs w:val="16"/>
        </w:rPr>
      </w:pPr>
      <w:r w:rsidRPr="00EE5ACD">
        <w:rPr>
          <w:rFonts w:ascii="Arial" w:hAnsi="Arial" w:cs="Arial"/>
          <w:sz w:val="16"/>
          <w:szCs w:val="16"/>
        </w:rPr>
        <w:t>Fuente: INEGI.</w:t>
      </w:r>
    </w:p>
    <w:p w14:paraId="303D48AC" w14:textId="77777777" w:rsidR="00687492" w:rsidRDefault="00687492" w:rsidP="001F7738">
      <w:pPr>
        <w:jc w:val="both"/>
        <w:rPr>
          <w:rFonts w:ascii="Arial" w:hAnsi="Arial" w:cs="Arial"/>
        </w:rPr>
      </w:pPr>
    </w:p>
    <w:p w14:paraId="3C5066DC" w14:textId="77777777" w:rsidR="00687492" w:rsidRDefault="001F7738" w:rsidP="00881AB2">
      <w:pPr>
        <w:jc w:val="both"/>
        <w:rPr>
          <w:rFonts w:ascii="Arial" w:hAnsi="Arial" w:cs="Arial"/>
        </w:rPr>
      </w:pPr>
      <w:r>
        <w:rPr>
          <w:rFonts w:ascii="Arial" w:hAnsi="Arial" w:cs="Arial"/>
        </w:rPr>
        <w:t>La mayoría de estos bienes y servicios fueron a</w:t>
      </w:r>
      <w:r w:rsidRPr="004F1492">
        <w:rPr>
          <w:rFonts w:ascii="Arial" w:hAnsi="Arial" w:cs="Arial"/>
        </w:rPr>
        <w:t>dquiridos directamente por los hogares, con 40.7% del total de la oferta del sector; 33.2% fue consumido por el gobierno a nombre de los hogares; 11.3% lo utilizó el propio sector como demanda intermedia; 11.8% se exporta</w:t>
      </w:r>
      <w:r w:rsidR="00EB6A5F">
        <w:rPr>
          <w:rFonts w:ascii="Arial" w:hAnsi="Arial" w:cs="Arial"/>
        </w:rPr>
        <w:t>ron</w:t>
      </w:r>
      <w:r w:rsidRPr="004F1492">
        <w:rPr>
          <w:rFonts w:ascii="Arial" w:hAnsi="Arial" w:cs="Arial"/>
        </w:rPr>
        <w:t>; 2.0% tuvo como destino la formación de capital; el restante 1.0% fue utilizado por las Instituciones sin fines de lucro</w:t>
      </w:r>
      <w:r>
        <w:rPr>
          <w:rFonts w:ascii="Arial" w:hAnsi="Arial" w:cs="Arial"/>
        </w:rPr>
        <w:t xml:space="preserve"> (ISFL)</w:t>
      </w:r>
      <w:r w:rsidRPr="004F1492">
        <w:rPr>
          <w:rFonts w:ascii="Arial" w:hAnsi="Arial" w:cs="Arial"/>
        </w:rPr>
        <w:t xml:space="preserve"> que sirven a los hogares.</w:t>
      </w:r>
    </w:p>
    <w:p w14:paraId="149CD78C" w14:textId="77777777" w:rsidR="00687492" w:rsidRDefault="00687492" w:rsidP="00881AB2">
      <w:pPr>
        <w:jc w:val="both"/>
        <w:rPr>
          <w:rFonts w:ascii="Arial" w:hAnsi="Arial" w:cs="Arial"/>
        </w:rPr>
      </w:pPr>
    </w:p>
    <w:p w14:paraId="45A42BE1" w14:textId="58D78166" w:rsidR="00A1413B" w:rsidRPr="00687492" w:rsidRDefault="00D74DFA" w:rsidP="00881AB2">
      <w:pPr>
        <w:jc w:val="both"/>
        <w:rPr>
          <w:rFonts w:ascii="Arial" w:hAnsi="Arial" w:cs="Arial"/>
        </w:rPr>
      </w:pPr>
      <w:r w:rsidRPr="00746FAE">
        <w:rPr>
          <w:rFonts w:ascii="Arial" w:hAnsi="Arial" w:cs="Arial"/>
        </w:rPr>
        <w:t xml:space="preserve">Se destaca que </w:t>
      </w:r>
      <w:r w:rsidR="00BE3C33" w:rsidRPr="00746FAE">
        <w:rPr>
          <w:rFonts w:ascii="Arial" w:hAnsi="Arial" w:cs="Arial"/>
        </w:rPr>
        <w:t xml:space="preserve">el </w:t>
      </w:r>
      <w:r w:rsidRPr="00746FAE">
        <w:rPr>
          <w:rFonts w:ascii="Arial" w:hAnsi="Arial" w:cs="Arial"/>
        </w:rPr>
        <w:t>c</w:t>
      </w:r>
      <w:r w:rsidR="00881AB2" w:rsidRPr="00746FAE">
        <w:rPr>
          <w:rFonts w:ascii="Arial" w:hAnsi="Arial" w:cs="Arial"/>
        </w:rPr>
        <w:t xml:space="preserve">onsumo de gobierno, a precios del 2013, se incrementó </w:t>
      </w:r>
      <w:r w:rsidR="00A1413B" w:rsidRPr="00746FAE">
        <w:rPr>
          <w:rFonts w:ascii="Arial" w:hAnsi="Arial" w:cs="Arial"/>
        </w:rPr>
        <w:t xml:space="preserve">en </w:t>
      </w:r>
      <w:r w:rsidR="00881AB2" w:rsidRPr="00746FAE">
        <w:rPr>
          <w:rFonts w:ascii="Arial" w:hAnsi="Arial" w:cs="Arial"/>
        </w:rPr>
        <w:t>1.9%, en comparación con la disminución del 0.9% observada en el año anterior</w:t>
      </w:r>
      <w:r w:rsidR="00037BDD" w:rsidRPr="00746FAE">
        <w:rPr>
          <w:rFonts w:ascii="Arial" w:hAnsi="Arial" w:cs="Arial"/>
        </w:rPr>
        <w:t xml:space="preserve">, </w:t>
      </w:r>
      <w:r w:rsidR="00A1413B" w:rsidRPr="00746FAE">
        <w:rPr>
          <w:rFonts w:ascii="Arial" w:hAnsi="Arial" w:cs="Arial"/>
        </w:rPr>
        <w:t xml:space="preserve">gasto destinado </w:t>
      </w:r>
      <w:r w:rsidR="00037BDD" w:rsidRPr="00746FAE">
        <w:rPr>
          <w:rFonts w:ascii="Arial" w:hAnsi="Arial" w:cs="Arial"/>
        </w:rPr>
        <w:t xml:space="preserve">principalmente para </w:t>
      </w:r>
      <w:r w:rsidR="00A1413B" w:rsidRPr="00746FAE">
        <w:rPr>
          <w:rFonts w:ascii="Arial" w:hAnsi="Arial" w:cs="Arial"/>
        </w:rPr>
        <w:t>hacer frente a las necesidades emergentes de la población afectada por COVID-19.</w:t>
      </w:r>
      <w:r w:rsidR="00037BDD" w:rsidRPr="00746FAE">
        <w:rPr>
          <w:rFonts w:ascii="Arial" w:hAnsi="Arial" w:cs="Arial"/>
        </w:rPr>
        <w:t xml:space="preserve"> </w:t>
      </w:r>
      <w:r w:rsidR="00881AB2" w:rsidRPr="00746FAE">
        <w:rPr>
          <w:rFonts w:ascii="Arial" w:hAnsi="Arial" w:cs="Arial"/>
        </w:rPr>
        <w:t>En particular, los servicios a la población sin seguridad social que son proporcionados por distintas instituciones médicas reportaron un incremento de 4.5%</w:t>
      </w:r>
      <w:r w:rsidR="00A1413B" w:rsidRPr="00746FAE">
        <w:rPr>
          <w:rFonts w:ascii="Arial" w:hAnsi="Arial" w:cs="Arial"/>
        </w:rPr>
        <w:t>, en contraste con la disminución de 1.8% observada en el año 2019</w:t>
      </w:r>
      <w:r w:rsidR="00037BDD" w:rsidRPr="00746FAE">
        <w:rPr>
          <w:rFonts w:ascii="Arial" w:hAnsi="Arial" w:cs="Arial"/>
        </w:rPr>
        <w:t>.</w:t>
      </w:r>
    </w:p>
    <w:p w14:paraId="2E518571" w14:textId="77777777" w:rsidR="003A1ABE" w:rsidRPr="00443445" w:rsidRDefault="003A1ABE" w:rsidP="00260E0B">
      <w:pPr>
        <w:jc w:val="both"/>
        <w:rPr>
          <w:rFonts w:ascii="Arial" w:hAnsi="Arial" w:cs="Arial"/>
          <w:sz w:val="20"/>
          <w:szCs w:val="20"/>
        </w:rPr>
      </w:pPr>
    </w:p>
    <w:p w14:paraId="5B8CC5D0" w14:textId="77777777" w:rsidR="00010EB2" w:rsidRDefault="00B06AA2" w:rsidP="00010EB2">
      <w:pPr>
        <w:autoSpaceDE w:val="0"/>
        <w:autoSpaceDN w:val="0"/>
        <w:adjustRightInd w:val="0"/>
        <w:jc w:val="both"/>
        <w:rPr>
          <w:rFonts w:ascii="Arial" w:hAnsi="Arial" w:cs="Arial"/>
          <w:b/>
          <w:smallCaps/>
        </w:rPr>
      </w:pPr>
      <w:r w:rsidRPr="009C7B02">
        <w:rPr>
          <w:rFonts w:ascii="Arial" w:hAnsi="Arial" w:cs="Arial"/>
          <w:b/>
          <w:smallCaps/>
        </w:rPr>
        <w:t>La participación de los hogares en el sector salud</w:t>
      </w:r>
    </w:p>
    <w:p w14:paraId="5307E06B" w14:textId="3BD9AE8C" w:rsidR="00D042B6" w:rsidRPr="00443445" w:rsidRDefault="00D042B6" w:rsidP="00010EB2">
      <w:pPr>
        <w:autoSpaceDE w:val="0"/>
        <w:autoSpaceDN w:val="0"/>
        <w:adjustRightInd w:val="0"/>
        <w:jc w:val="both"/>
        <w:rPr>
          <w:rFonts w:ascii="Arial" w:hAnsi="Arial" w:cs="Arial"/>
          <w:color w:val="FF0000"/>
          <w:sz w:val="18"/>
          <w:szCs w:val="18"/>
        </w:rPr>
      </w:pPr>
    </w:p>
    <w:p w14:paraId="217B6942" w14:textId="503CB7A6" w:rsidR="00010EB2" w:rsidRDefault="00010EB2" w:rsidP="00677D79">
      <w:pPr>
        <w:autoSpaceDE w:val="0"/>
        <w:autoSpaceDN w:val="0"/>
        <w:adjustRightInd w:val="0"/>
        <w:jc w:val="both"/>
        <w:rPr>
          <w:rFonts w:ascii="Arial" w:hAnsi="Arial" w:cs="Arial"/>
        </w:rPr>
      </w:pPr>
      <w:r w:rsidRPr="00105AA3">
        <w:rPr>
          <w:rFonts w:ascii="Arial" w:hAnsi="Arial" w:cs="Arial"/>
        </w:rPr>
        <w:t>El gasto total de los hogares</w:t>
      </w:r>
      <w:r w:rsidR="00486B04">
        <w:rPr>
          <w:rFonts w:ascii="Arial" w:hAnsi="Arial" w:cs="Arial"/>
        </w:rPr>
        <w:t>, en valores corrientes,</w:t>
      </w:r>
      <w:r w:rsidRPr="00105AA3">
        <w:rPr>
          <w:rFonts w:ascii="Arial" w:hAnsi="Arial" w:cs="Arial"/>
        </w:rPr>
        <w:t xml:space="preserve"> asciende a poco más de 1 billón de pesos; 57.5% corresponde al gasto monetario que fue de 589</w:t>
      </w:r>
      <w:r w:rsidR="008C535D">
        <w:rPr>
          <w:rFonts w:ascii="Arial" w:hAnsi="Arial" w:cs="Arial"/>
        </w:rPr>
        <w:t xml:space="preserve"> </w:t>
      </w:r>
      <w:r w:rsidRPr="00105AA3">
        <w:rPr>
          <w:rFonts w:ascii="Arial" w:hAnsi="Arial" w:cs="Arial"/>
        </w:rPr>
        <w:t>314 millones; y 42.5% al valor económico del trabajo no remunerado destinado al cuidado de la salud, equivalente a 435</w:t>
      </w:r>
      <w:r w:rsidR="008C535D">
        <w:rPr>
          <w:rFonts w:ascii="Arial" w:hAnsi="Arial" w:cs="Arial"/>
        </w:rPr>
        <w:t xml:space="preserve"> </w:t>
      </w:r>
      <w:r w:rsidRPr="00105AA3">
        <w:rPr>
          <w:rFonts w:ascii="Arial" w:hAnsi="Arial" w:cs="Arial"/>
        </w:rPr>
        <w:t>821 millones.</w:t>
      </w:r>
    </w:p>
    <w:p w14:paraId="445E3B37" w14:textId="77777777" w:rsidR="00677D79" w:rsidRPr="00105AA3" w:rsidRDefault="00677D79" w:rsidP="00677D79">
      <w:pPr>
        <w:autoSpaceDE w:val="0"/>
        <w:autoSpaceDN w:val="0"/>
        <w:adjustRightInd w:val="0"/>
        <w:jc w:val="both"/>
        <w:rPr>
          <w:rFonts w:ascii="Arial" w:eastAsiaTheme="minorHAnsi" w:hAnsi="Arial" w:cs="Arial"/>
          <w:lang w:eastAsia="en-US"/>
        </w:rPr>
      </w:pPr>
    </w:p>
    <w:p w14:paraId="62612647" w14:textId="73E1E919" w:rsidR="003A1ABE" w:rsidRPr="00491B74" w:rsidRDefault="00BE40B7" w:rsidP="00677D79">
      <w:pPr>
        <w:pStyle w:val="Textoindependiente"/>
        <w:tabs>
          <w:tab w:val="center" w:pos="3348"/>
        </w:tabs>
        <w:rPr>
          <w:rFonts w:ascii="Arial" w:hAnsi="Arial" w:cs="Arial"/>
          <w:lang w:val="es-MX"/>
        </w:rPr>
      </w:pPr>
      <w:bookmarkStart w:id="4" w:name="_Hlk89874550"/>
      <w:r w:rsidRPr="00105AA3">
        <w:rPr>
          <w:rFonts w:ascii="Arial" w:hAnsi="Arial" w:cs="Arial"/>
          <w:lang w:val="es-MX"/>
        </w:rPr>
        <w:t>En el</w:t>
      </w:r>
      <w:r w:rsidR="00010EB2" w:rsidRPr="00105AA3">
        <w:rPr>
          <w:rFonts w:ascii="Arial" w:hAnsi="Arial" w:cs="Arial"/>
          <w:lang w:val="es-MX"/>
        </w:rPr>
        <w:t xml:space="preserve"> gasto monetario de los hogares</w:t>
      </w:r>
      <w:r w:rsidR="004F1492">
        <w:rPr>
          <w:rFonts w:ascii="Arial" w:hAnsi="Arial" w:cs="Arial"/>
          <w:lang w:val="es-MX"/>
        </w:rPr>
        <w:t>, a precios del 2013,</w:t>
      </w:r>
      <w:r w:rsidR="00010EB2" w:rsidRPr="00105AA3">
        <w:rPr>
          <w:rFonts w:ascii="Arial" w:hAnsi="Arial" w:cs="Arial"/>
          <w:lang w:val="es-MX"/>
        </w:rPr>
        <w:t xml:space="preserve"> se observa </w:t>
      </w:r>
      <w:r w:rsidRPr="00105AA3">
        <w:rPr>
          <w:rFonts w:ascii="Arial" w:hAnsi="Arial" w:cs="Arial"/>
          <w:lang w:val="es-MX"/>
        </w:rPr>
        <w:t xml:space="preserve">un </w:t>
      </w:r>
      <w:r w:rsidR="00010EB2" w:rsidRPr="00105AA3">
        <w:rPr>
          <w:rFonts w:ascii="Arial" w:hAnsi="Arial" w:cs="Arial"/>
          <w:lang w:val="es-MX"/>
        </w:rPr>
        <w:t>incremento</w:t>
      </w:r>
      <w:r w:rsidR="004F1492">
        <w:rPr>
          <w:rFonts w:ascii="Arial" w:hAnsi="Arial" w:cs="Arial"/>
          <w:lang w:val="es-MX"/>
        </w:rPr>
        <w:t xml:space="preserve"> </w:t>
      </w:r>
      <w:r w:rsidR="004F1492" w:rsidRPr="00105AA3">
        <w:rPr>
          <w:rFonts w:ascii="Arial" w:hAnsi="Arial" w:cs="Arial"/>
          <w:lang w:val="es-MX"/>
        </w:rPr>
        <w:t>en los servicios de los laboratorios, ambulancias</w:t>
      </w:r>
      <w:r w:rsidR="004F1492">
        <w:rPr>
          <w:rFonts w:ascii="Arial" w:hAnsi="Arial" w:cs="Arial"/>
          <w:lang w:val="es-MX"/>
        </w:rPr>
        <w:t>, entre otros,</w:t>
      </w:r>
      <w:r w:rsidR="00010EB2" w:rsidRPr="00105AA3">
        <w:rPr>
          <w:rFonts w:ascii="Arial" w:hAnsi="Arial" w:cs="Arial"/>
          <w:lang w:val="es-MX"/>
        </w:rPr>
        <w:t xml:space="preserve"> de</w:t>
      </w:r>
      <w:r w:rsidR="008C535D">
        <w:rPr>
          <w:rFonts w:ascii="Arial" w:hAnsi="Arial" w:cs="Arial"/>
          <w:lang w:val="es-MX"/>
        </w:rPr>
        <w:t xml:space="preserve"> </w:t>
      </w:r>
      <w:r w:rsidR="00010EB2" w:rsidRPr="00105AA3">
        <w:rPr>
          <w:rFonts w:ascii="Arial" w:hAnsi="Arial" w:cs="Arial"/>
          <w:lang w:val="es-MX"/>
        </w:rPr>
        <w:t>14.5% respecto</w:t>
      </w:r>
      <w:r w:rsidR="00547D16" w:rsidRPr="00105AA3">
        <w:rPr>
          <w:rFonts w:ascii="Arial" w:hAnsi="Arial" w:cs="Arial"/>
          <w:lang w:val="es-MX"/>
        </w:rPr>
        <w:t xml:space="preserve"> </w:t>
      </w:r>
      <w:r w:rsidR="004F1492">
        <w:rPr>
          <w:rFonts w:ascii="Arial" w:hAnsi="Arial" w:cs="Arial"/>
          <w:lang w:val="es-MX"/>
        </w:rPr>
        <w:t>del</w:t>
      </w:r>
      <w:r w:rsidR="00547D16" w:rsidRPr="00105AA3">
        <w:rPr>
          <w:rFonts w:ascii="Arial" w:hAnsi="Arial" w:cs="Arial"/>
          <w:lang w:val="es-MX"/>
        </w:rPr>
        <w:t xml:space="preserve"> </w:t>
      </w:r>
      <w:r w:rsidR="00010EB2" w:rsidRPr="00105AA3">
        <w:rPr>
          <w:rFonts w:ascii="Arial" w:hAnsi="Arial" w:cs="Arial"/>
          <w:lang w:val="es-MX"/>
        </w:rPr>
        <w:t>2019</w:t>
      </w:r>
      <w:r w:rsidR="00010EB2" w:rsidRPr="00105AA3">
        <w:rPr>
          <w:rFonts w:ascii="Arial" w:hAnsi="Arial" w:cs="Arial"/>
        </w:rPr>
        <w:t>;</w:t>
      </w:r>
      <w:r w:rsidR="00010EB2" w:rsidRPr="00105AA3">
        <w:rPr>
          <w:rFonts w:ascii="Arial" w:hAnsi="Arial" w:cs="Arial"/>
          <w:lang w:val="es-MX"/>
        </w:rPr>
        <w:t xml:space="preserve"> así como </w:t>
      </w:r>
      <w:r w:rsidR="00B914C6">
        <w:rPr>
          <w:rFonts w:ascii="Arial" w:hAnsi="Arial" w:cs="Arial"/>
          <w:lang w:val="es-MX"/>
        </w:rPr>
        <w:t>un aumento</w:t>
      </w:r>
      <w:r w:rsidR="00010EB2" w:rsidRPr="00105AA3">
        <w:rPr>
          <w:rFonts w:ascii="Arial" w:hAnsi="Arial" w:cs="Arial"/>
        </w:rPr>
        <w:t xml:space="preserve"> </w:t>
      </w:r>
      <w:r w:rsidR="00B914C6">
        <w:rPr>
          <w:rFonts w:ascii="Arial" w:hAnsi="Arial" w:cs="Arial"/>
          <w:lang w:val="es-MX"/>
        </w:rPr>
        <w:t xml:space="preserve">en los </w:t>
      </w:r>
      <w:r w:rsidR="00010EB2" w:rsidRPr="00105AA3">
        <w:rPr>
          <w:rFonts w:ascii="Arial" w:hAnsi="Arial" w:cs="Arial"/>
          <w:lang w:val="es-MX"/>
        </w:rPr>
        <w:t>servicios hospitalarios</w:t>
      </w:r>
      <w:r w:rsidR="00B914C6">
        <w:rPr>
          <w:rFonts w:ascii="Arial" w:hAnsi="Arial" w:cs="Arial"/>
          <w:lang w:val="es-MX"/>
        </w:rPr>
        <w:t>,</w:t>
      </w:r>
      <w:r w:rsidR="00010EB2" w:rsidRPr="00105AA3">
        <w:rPr>
          <w:rFonts w:ascii="Arial" w:hAnsi="Arial" w:cs="Arial"/>
          <w:lang w:val="es-MX"/>
        </w:rPr>
        <w:t xml:space="preserve"> que creci</w:t>
      </w:r>
      <w:r w:rsidR="00547D16" w:rsidRPr="00105AA3">
        <w:rPr>
          <w:rFonts w:ascii="Arial" w:hAnsi="Arial" w:cs="Arial"/>
          <w:lang w:val="es-MX"/>
        </w:rPr>
        <w:t>ó</w:t>
      </w:r>
      <w:r w:rsidR="00010EB2" w:rsidRPr="00105AA3">
        <w:rPr>
          <w:rFonts w:ascii="Arial" w:hAnsi="Arial" w:cs="Arial"/>
          <w:lang w:val="es-MX"/>
        </w:rPr>
        <w:t xml:space="preserve"> 4.4</w:t>
      </w:r>
      <w:r w:rsidR="00010EB2" w:rsidRPr="00105AA3">
        <w:rPr>
          <w:rFonts w:ascii="Arial" w:hAnsi="Arial" w:cs="Arial"/>
        </w:rPr>
        <w:t xml:space="preserve"> por ciento</w:t>
      </w:r>
      <w:r w:rsidR="00010EB2" w:rsidRPr="00105AA3">
        <w:rPr>
          <w:rFonts w:ascii="Arial" w:hAnsi="Arial" w:cs="Arial"/>
          <w:lang w:val="es-MX"/>
        </w:rPr>
        <w:t xml:space="preserve">. En contraste, se observó </w:t>
      </w:r>
      <w:r w:rsidR="00B914C6">
        <w:rPr>
          <w:rFonts w:ascii="Arial" w:hAnsi="Arial" w:cs="Arial"/>
          <w:lang w:val="es-MX"/>
        </w:rPr>
        <w:t xml:space="preserve">una </w:t>
      </w:r>
      <w:r w:rsidR="008C535D">
        <w:rPr>
          <w:rFonts w:ascii="Arial" w:hAnsi="Arial" w:cs="Arial"/>
          <w:lang w:val="es-MX"/>
        </w:rPr>
        <w:t>variación</w:t>
      </w:r>
      <w:r w:rsidR="00010EB2" w:rsidRPr="00105AA3">
        <w:rPr>
          <w:rFonts w:ascii="Arial" w:hAnsi="Arial" w:cs="Arial"/>
          <w:lang w:val="es-MX"/>
        </w:rPr>
        <w:t xml:space="preserve"> del gasto en consultas médicas de </w:t>
      </w:r>
      <w:r w:rsidR="00B914C6">
        <w:rPr>
          <w:rFonts w:ascii="Arial" w:hAnsi="Arial" w:cs="Arial"/>
          <w:lang w:val="es-MX"/>
        </w:rPr>
        <w:t>-</w:t>
      </w:r>
      <w:r w:rsidR="00010EB2" w:rsidRPr="00105AA3">
        <w:rPr>
          <w:rFonts w:ascii="Arial" w:hAnsi="Arial" w:cs="Arial"/>
          <w:lang w:val="es-MX"/>
        </w:rPr>
        <w:t>26.5 por ciento.</w:t>
      </w:r>
    </w:p>
    <w:bookmarkEnd w:id="4"/>
    <w:p w14:paraId="2AAA41A0" w14:textId="1866785D" w:rsidR="009B5BEB" w:rsidRPr="009B5BEB" w:rsidRDefault="00D50FB5" w:rsidP="009B5BEB">
      <w:pPr>
        <w:jc w:val="center"/>
        <w:rPr>
          <w:rFonts w:ascii="Arial" w:hAnsi="Arial" w:cs="Arial"/>
          <w:color w:val="FF0000"/>
        </w:rPr>
      </w:pPr>
      <w:r>
        <w:rPr>
          <w:rFonts w:ascii="Arial" w:hAnsi="Arial" w:cs="Arial"/>
        </w:rPr>
        <w:lastRenderedPageBreak/>
        <w:t>Grá</w:t>
      </w:r>
      <w:r w:rsidR="009B5BEB" w:rsidRPr="00644D1C">
        <w:rPr>
          <w:rFonts w:ascii="Arial" w:hAnsi="Arial" w:cs="Arial"/>
        </w:rPr>
        <w:t>fica</w:t>
      </w:r>
      <w:r w:rsidR="009B5BEB">
        <w:rPr>
          <w:rFonts w:ascii="Arial" w:hAnsi="Arial" w:cs="Arial"/>
        </w:rPr>
        <w:t xml:space="preserve"> </w:t>
      </w:r>
      <w:r w:rsidR="00A4333E">
        <w:rPr>
          <w:rFonts w:ascii="Arial" w:hAnsi="Arial" w:cs="Arial"/>
        </w:rPr>
        <w:t>6</w:t>
      </w:r>
    </w:p>
    <w:p w14:paraId="29993D20" w14:textId="6C57C3F8" w:rsidR="00BD17CE" w:rsidRPr="009B5BEB" w:rsidRDefault="00BD17CE" w:rsidP="00BD17CE">
      <w:pPr>
        <w:pStyle w:val="Descripcin"/>
        <w:keepNext/>
        <w:spacing w:after="0"/>
        <w:jc w:val="center"/>
        <w:rPr>
          <w:rFonts w:ascii="Arial" w:hAnsi="Arial" w:cs="Arial"/>
          <w:b/>
          <w:i w:val="0"/>
          <w:smallCaps/>
          <w:color w:val="auto"/>
          <w:sz w:val="22"/>
          <w:szCs w:val="22"/>
        </w:rPr>
      </w:pPr>
      <w:r w:rsidRPr="009B5BEB">
        <w:rPr>
          <w:rFonts w:ascii="Arial" w:hAnsi="Arial" w:cs="Arial"/>
          <w:b/>
          <w:i w:val="0"/>
          <w:smallCaps/>
          <w:color w:val="auto"/>
          <w:sz w:val="22"/>
          <w:szCs w:val="22"/>
        </w:rPr>
        <w:t xml:space="preserve">Gasto </w:t>
      </w:r>
      <w:r w:rsidR="00010EB2">
        <w:rPr>
          <w:rFonts w:ascii="Arial" w:hAnsi="Arial" w:cs="Arial"/>
          <w:b/>
          <w:i w:val="0"/>
          <w:smallCaps/>
          <w:color w:val="auto"/>
          <w:sz w:val="22"/>
          <w:szCs w:val="22"/>
        </w:rPr>
        <w:t xml:space="preserve">monetario </w:t>
      </w:r>
      <w:r w:rsidRPr="009B5BEB">
        <w:rPr>
          <w:rFonts w:ascii="Arial" w:hAnsi="Arial" w:cs="Arial"/>
          <w:b/>
          <w:i w:val="0"/>
          <w:smallCaps/>
          <w:color w:val="auto"/>
          <w:sz w:val="22"/>
          <w:szCs w:val="22"/>
        </w:rPr>
        <w:t>de los hogares</w:t>
      </w:r>
      <w:r w:rsidR="00486B04">
        <w:rPr>
          <w:rFonts w:ascii="Arial" w:hAnsi="Arial" w:cs="Arial"/>
          <w:b/>
          <w:i w:val="0"/>
          <w:smallCaps/>
          <w:color w:val="auto"/>
          <w:sz w:val="22"/>
          <w:szCs w:val="22"/>
        </w:rPr>
        <w:t xml:space="preserve"> en términos reales</w:t>
      </w:r>
      <w:r w:rsidRPr="009B5BEB">
        <w:rPr>
          <w:rFonts w:ascii="Arial" w:hAnsi="Arial" w:cs="Arial"/>
          <w:b/>
          <w:i w:val="0"/>
          <w:smallCaps/>
          <w:color w:val="auto"/>
          <w:sz w:val="22"/>
          <w:szCs w:val="22"/>
        </w:rPr>
        <w:t>, 2019 y 2020.</w:t>
      </w:r>
    </w:p>
    <w:p w14:paraId="76CAC88B" w14:textId="77777777" w:rsidR="00BD17CE" w:rsidRPr="009B5BEB" w:rsidRDefault="00BD17CE" w:rsidP="009B5BEB">
      <w:pPr>
        <w:pStyle w:val="Textoindependiente"/>
        <w:jc w:val="center"/>
        <w:rPr>
          <w:rFonts w:ascii="Arial" w:hAnsi="Arial" w:cs="Arial"/>
          <w:sz w:val="18"/>
          <w:szCs w:val="18"/>
          <w:lang w:val="es-MX"/>
        </w:rPr>
      </w:pPr>
      <w:r w:rsidRPr="009B5BEB">
        <w:rPr>
          <w:rFonts w:ascii="Arial" w:hAnsi="Arial" w:cs="Arial"/>
          <w:sz w:val="18"/>
          <w:szCs w:val="18"/>
          <w:lang w:val="es-MX"/>
        </w:rPr>
        <w:t>(Variación porcentual anual)</w:t>
      </w:r>
    </w:p>
    <w:p w14:paraId="5C7C671E" w14:textId="45918E15" w:rsidR="00BD17CE" w:rsidRPr="00106017" w:rsidRDefault="00106017" w:rsidP="00BD17CE">
      <w:pPr>
        <w:jc w:val="center"/>
        <w:rPr>
          <w:rFonts w:ascii="Arial" w:hAnsi="Arial" w:cs="Arial"/>
          <w:b/>
          <w:sz w:val="18"/>
        </w:rPr>
      </w:pPr>
      <w:r>
        <w:rPr>
          <w:noProof/>
          <w:lang w:val="en-US" w:eastAsia="en-US"/>
        </w:rPr>
        <w:drawing>
          <wp:inline distT="0" distB="0" distL="0" distR="0" wp14:anchorId="7C048E6C" wp14:editId="38385CE1">
            <wp:extent cx="5597525" cy="2217907"/>
            <wp:effectExtent l="0" t="0" r="3175" b="1143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C009DA1" w14:textId="6843E816" w:rsidR="00B6601B" w:rsidRDefault="002F398E" w:rsidP="00010EB2">
      <w:pPr>
        <w:autoSpaceDE w:val="0"/>
        <w:autoSpaceDN w:val="0"/>
        <w:adjustRightInd w:val="0"/>
        <w:jc w:val="both"/>
        <w:rPr>
          <w:rFonts w:ascii="Arial" w:hAnsi="Arial" w:cs="Arial"/>
          <w:sz w:val="16"/>
          <w:szCs w:val="16"/>
        </w:rPr>
      </w:pPr>
      <w:r w:rsidRPr="008341CA">
        <w:rPr>
          <w:rFonts w:ascii="Arial" w:hAnsi="Arial" w:cs="Arial"/>
          <w:sz w:val="16"/>
          <w:szCs w:val="16"/>
        </w:rPr>
        <w:t>Fuente: INEGI.</w:t>
      </w:r>
    </w:p>
    <w:p w14:paraId="102B7793" w14:textId="77777777" w:rsidR="002840EB" w:rsidRDefault="002840EB" w:rsidP="00010EB2">
      <w:pPr>
        <w:autoSpaceDE w:val="0"/>
        <w:autoSpaceDN w:val="0"/>
        <w:adjustRightInd w:val="0"/>
        <w:jc w:val="both"/>
        <w:rPr>
          <w:rFonts w:ascii="Arial" w:hAnsi="Arial" w:cs="Arial"/>
          <w:sz w:val="16"/>
          <w:szCs w:val="16"/>
        </w:rPr>
      </w:pPr>
    </w:p>
    <w:p w14:paraId="77D36E73" w14:textId="77777777" w:rsidR="00687492" w:rsidRDefault="00687492" w:rsidP="00E92690">
      <w:pPr>
        <w:jc w:val="both"/>
        <w:rPr>
          <w:rFonts w:ascii="Arial" w:hAnsi="Arial" w:cs="Arial"/>
        </w:rPr>
      </w:pPr>
    </w:p>
    <w:p w14:paraId="1DF986D5" w14:textId="56D300D2" w:rsidR="00E92690" w:rsidRPr="001F7738" w:rsidRDefault="00DC78ED" w:rsidP="00E92690">
      <w:pPr>
        <w:jc w:val="both"/>
        <w:rPr>
          <w:rFonts w:ascii="Arial" w:hAnsi="Arial" w:cs="Arial"/>
        </w:rPr>
      </w:pPr>
      <w:r w:rsidRPr="001F7738">
        <w:rPr>
          <w:rFonts w:ascii="Arial" w:hAnsi="Arial" w:cs="Arial"/>
        </w:rPr>
        <w:t xml:space="preserve">Por el lado de las horas de </w:t>
      </w:r>
      <w:r w:rsidR="00B914C6" w:rsidRPr="001F7738">
        <w:rPr>
          <w:rFonts w:ascii="Arial" w:hAnsi="Arial" w:cs="Arial"/>
        </w:rPr>
        <w:t>trabajo no remunerado del hogar en los cuidados de salud</w:t>
      </w:r>
      <w:r w:rsidRPr="001F7738">
        <w:rPr>
          <w:rFonts w:ascii="Arial" w:hAnsi="Arial" w:cs="Arial"/>
        </w:rPr>
        <w:t xml:space="preserve">, </w:t>
      </w:r>
      <w:r w:rsidR="00885971">
        <w:rPr>
          <w:rFonts w:ascii="Arial" w:hAnsi="Arial" w:cs="Arial"/>
        </w:rPr>
        <w:t xml:space="preserve">el </w:t>
      </w:r>
      <w:r w:rsidR="00E92690" w:rsidRPr="001F7738">
        <w:rPr>
          <w:rFonts w:ascii="Arial" w:hAnsi="Arial" w:cs="Arial"/>
        </w:rPr>
        <w:t xml:space="preserve">36.6% se destinó a los cuidados a enfermos crónicos y a personas con alguna discapacidad; </w:t>
      </w:r>
      <w:r w:rsidR="006D0132" w:rsidRPr="001F7738">
        <w:rPr>
          <w:rFonts w:ascii="Arial" w:hAnsi="Arial" w:cs="Arial"/>
        </w:rPr>
        <w:t xml:space="preserve">20.2% a cuidados temporales; </w:t>
      </w:r>
      <w:r w:rsidR="00E92690" w:rsidRPr="001F7738">
        <w:rPr>
          <w:rFonts w:ascii="Arial" w:hAnsi="Arial" w:cs="Arial"/>
        </w:rPr>
        <w:t>8.6% a cuidados preventivos;</w:t>
      </w:r>
      <w:r w:rsidR="002C14CE" w:rsidRPr="001F7738">
        <w:rPr>
          <w:rFonts w:ascii="Arial" w:hAnsi="Arial" w:cs="Arial"/>
        </w:rPr>
        <w:t xml:space="preserve"> </w:t>
      </w:r>
      <w:r w:rsidRPr="001F7738">
        <w:rPr>
          <w:rFonts w:ascii="Arial" w:hAnsi="Arial" w:cs="Arial"/>
        </w:rPr>
        <w:t>33.2% se refiere a los cuidados de salud realizados como apoyo a otros hogares;</w:t>
      </w:r>
      <w:r w:rsidR="006D0132" w:rsidRPr="001F7738">
        <w:rPr>
          <w:rFonts w:ascii="Arial" w:hAnsi="Arial" w:cs="Arial"/>
        </w:rPr>
        <w:t xml:space="preserve"> </w:t>
      </w:r>
      <w:r w:rsidRPr="001F7738">
        <w:rPr>
          <w:rFonts w:ascii="Arial" w:hAnsi="Arial" w:cs="Arial"/>
        </w:rPr>
        <w:t>mientras que el trabajo voluntario en actividades de salud en instituciones no lucrativas representó 1.4</w:t>
      </w:r>
      <w:r w:rsidR="00D04EE4" w:rsidRPr="001F7738">
        <w:rPr>
          <w:rFonts w:ascii="Arial" w:hAnsi="Arial" w:cs="Arial"/>
        </w:rPr>
        <w:t xml:space="preserve"> por ciento</w:t>
      </w:r>
      <w:r w:rsidRPr="001F7738">
        <w:rPr>
          <w:rFonts w:ascii="Arial" w:hAnsi="Arial" w:cs="Arial"/>
        </w:rPr>
        <w:t>.</w:t>
      </w:r>
      <w:r w:rsidR="00D04EE4" w:rsidRPr="001F7738">
        <w:rPr>
          <w:rFonts w:ascii="Arial" w:hAnsi="Arial" w:cs="Arial"/>
        </w:rPr>
        <w:t xml:space="preserve"> Las mujeres realizaron </w:t>
      </w:r>
      <w:r w:rsidR="00F918BE" w:rsidRPr="001F7738">
        <w:rPr>
          <w:rFonts w:ascii="Arial" w:hAnsi="Arial" w:cs="Arial"/>
        </w:rPr>
        <w:t>71.1</w:t>
      </w:r>
      <w:r w:rsidR="00D04EE4" w:rsidRPr="001F7738">
        <w:rPr>
          <w:rFonts w:ascii="Arial" w:hAnsi="Arial" w:cs="Arial"/>
        </w:rPr>
        <w:t xml:space="preserve">% del tiempo total de cuidados, mientras que los hombres hicieron el </w:t>
      </w:r>
      <w:r w:rsidR="00F918BE" w:rsidRPr="001F7738">
        <w:rPr>
          <w:rFonts w:ascii="Arial" w:hAnsi="Arial" w:cs="Arial"/>
        </w:rPr>
        <w:t>28.9</w:t>
      </w:r>
      <w:r w:rsidR="00D04EE4" w:rsidRPr="001F7738">
        <w:rPr>
          <w:rFonts w:ascii="Arial" w:hAnsi="Arial" w:cs="Arial"/>
        </w:rPr>
        <w:t xml:space="preserve"> por ciento.</w:t>
      </w:r>
    </w:p>
    <w:p w14:paraId="030D25C5" w14:textId="77777777" w:rsidR="00687492" w:rsidRDefault="00687492" w:rsidP="00687492">
      <w:pPr>
        <w:rPr>
          <w:rFonts w:ascii="Arial" w:hAnsi="Arial" w:cs="Arial"/>
        </w:rPr>
      </w:pPr>
    </w:p>
    <w:p w14:paraId="27A3D4B1" w14:textId="7E54E32B" w:rsidR="004B4B87" w:rsidRPr="00D721F2" w:rsidRDefault="004B4B87" w:rsidP="00D721F2">
      <w:pPr>
        <w:jc w:val="center"/>
        <w:rPr>
          <w:rFonts w:ascii="Arial" w:hAnsi="Arial" w:cs="Arial"/>
        </w:rPr>
      </w:pPr>
      <w:r w:rsidRPr="00D721F2">
        <w:rPr>
          <w:rFonts w:ascii="Arial" w:hAnsi="Arial" w:cs="Arial"/>
        </w:rPr>
        <w:t>Gráfica 7</w:t>
      </w:r>
    </w:p>
    <w:p w14:paraId="493D8F5E" w14:textId="231A61F4" w:rsidR="00A4333E" w:rsidRPr="008C3228" w:rsidRDefault="00A4333E" w:rsidP="00A4333E">
      <w:pPr>
        <w:pStyle w:val="Default"/>
        <w:jc w:val="center"/>
        <w:rPr>
          <w:sz w:val="20"/>
          <w:szCs w:val="20"/>
          <w:lang w:val="es-MX"/>
        </w:rPr>
      </w:pPr>
      <w:r w:rsidRPr="008C3228">
        <w:rPr>
          <w:b/>
          <w:bCs/>
          <w:sz w:val="20"/>
          <w:szCs w:val="20"/>
          <w:lang w:val="es-MX"/>
        </w:rPr>
        <w:t>COMPOSICIÓN DEL TRABAJO NO REMUNERADO EN EL CUIDADO DE LA SALUD, 20</w:t>
      </w:r>
      <w:r w:rsidR="00D721F2">
        <w:rPr>
          <w:b/>
          <w:bCs/>
          <w:sz w:val="20"/>
          <w:szCs w:val="20"/>
          <w:lang w:val="es-MX"/>
        </w:rPr>
        <w:t>20</w:t>
      </w:r>
    </w:p>
    <w:p w14:paraId="1B26B583" w14:textId="407B0991" w:rsidR="00A4333E" w:rsidRPr="00AA42F0" w:rsidRDefault="00A4333E" w:rsidP="00AA42F0">
      <w:pPr>
        <w:autoSpaceDE w:val="0"/>
        <w:autoSpaceDN w:val="0"/>
        <w:adjustRightInd w:val="0"/>
        <w:ind w:left="-426" w:firstLine="426"/>
        <w:jc w:val="center"/>
        <w:rPr>
          <w:rFonts w:ascii="Arial" w:hAnsi="Arial" w:cs="Arial"/>
          <w:b/>
          <w:smallCaps/>
          <w:sz w:val="18"/>
          <w:szCs w:val="18"/>
        </w:rPr>
      </w:pPr>
      <w:r w:rsidRPr="008C3228">
        <w:rPr>
          <w:rFonts w:ascii="Arial" w:hAnsi="Arial" w:cs="Arial"/>
          <w:sz w:val="18"/>
          <w:szCs w:val="18"/>
        </w:rPr>
        <w:t>(Estructura porcentual)</w:t>
      </w:r>
    </w:p>
    <w:p w14:paraId="370E2367" w14:textId="77777777" w:rsidR="00A4333E" w:rsidRDefault="00A4333E" w:rsidP="00A4333E">
      <w:pPr>
        <w:autoSpaceDE w:val="0"/>
        <w:autoSpaceDN w:val="0"/>
        <w:adjustRightInd w:val="0"/>
        <w:ind w:left="-426" w:firstLine="426"/>
        <w:jc w:val="both"/>
        <w:rPr>
          <w:rFonts w:ascii="Arial" w:hAnsi="Arial" w:cs="Arial"/>
          <w:b/>
          <w:smallCaps/>
        </w:rPr>
      </w:pPr>
      <w:r>
        <w:rPr>
          <w:noProof/>
          <w:lang w:val="en-US" w:eastAsia="en-US"/>
        </w:rPr>
        <w:drawing>
          <wp:anchor distT="0" distB="0" distL="114300" distR="114300" simplePos="0" relativeHeight="251659264" behindDoc="0" locked="0" layoutInCell="1" allowOverlap="1" wp14:anchorId="347104D4" wp14:editId="6ED30DC2">
            <wp:simplePos x="0" y="0"/>
            <wp:positionH relativeFrom="column">
              <wp:posOffset>3578253</wp:posOffset>
            </wp:positionH>
            <wp:positionV relativeFrom="paragraph">
              <wp:posOffset>373712</wp:posOffset>
            </wp:positionV>
            <wp:extent cx="285750" cy="285750"/>
            <wp:effectExtent l="0" t="0" r="0" b="0"/>
            <wp:wrapNone/>
            <wp:docPr id="11" name="Imagen 1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descr="Forma&#10;&#10;Descripción generada automáticamente con confianza baja"/>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85750" cy="285750"/>
                    </a:xfrm>
                    <a:prstGeom prst="rect">
                      <a:avLst/>
                    </a:prstGeom>
                  </pic:spPr>
                </pic:pic>
              </a:graphicData>
            </a:graphic>
          </wp:anchor>
        </w:drawing>
      </w:r>
      <w:r>
        <w:rPr>
          <w:noProof/>
          <w:lang w:val="en-US" w:eastAsia="en-US"/>
        </w:rPr>
        <w:drawing>
          <wp:anchor distT="0" distB="0" distL="114300" distR="114300" simplePos="0" relativeHeight="251660288" behindDoc="0" locked="0" layoutInCell="1" allowOverlap="1" wp14:anchorId="31C3B607" wp14:editId="3C2AE969">
            <wp:simplePos x="0" y="0"/>
            <wp:positionH relativeFrom="column">
              <wp:posOffset>325755</wp:posOffset>
            </wp:positionH>
            <wp:positionV relativeFrom="paragraph">
              <wp:posOffset>433126</wp:posOffset>
            </wp:positionV>
            <wp:extent cx="311386" cy="314324"/>
            <wp:effectExtent l="0" t="0" r="0" b="0"/>
            <wp:wrapNone/>
            <wp:docPr id="12" name="Imagen 11" descr="Círc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descr="Círculo&#10;&#10;Descripción generada automáticamente"/>
                    <pic:cNvPicPr>
                      <a:picLocks noChangeAspect="1"/>
                    </pic:cNvPicPr>
                  </pic:nvPicPr>
                  <pic:blipFill rotWithShape="1">
                    <a:blip r:embed="rId30" cstate="print">
                      <a:extLst>
                        <a:ext uri="{28A0092B-C50C-407E-A947-70E740481C1C}">
                          <a14:useLocalDpi xmlns:a14="http://schemas.microsoft.com/office/drawing/2010/main" val="0"/>
                        </a:ext>
                      </a:extLst>
                    </a:blip>
                    <a:srcRect l="15938" t="16250" r="17812" b="16875"/>
                    <a:stretch/>
                  </pic:blipFill>
                  <pic:spPr>
                    <a:xfrm>
                      <a:off x="0" y="0"/>
                      <a:ext cx="311386" cy="314324"/>
                    </a:xfrm>
                    <a:prstGeom prst="rect">
                      <a:avLst/>
                    </a:prstGeom>
                  </pic:spPr>
                </pic:pic>
              </a:graphicData>
            </a:graphic>
          </wp:anchor>
        </w:drawing>
      </w:r>
      <w:r>
        <w:rPr>
          <w:noProof/>
          <w:lang w:val="en-US" w:eastAsia="en-US"/>
        </w:rPr>
        <w:drawing>
          <wp:inline distT="0" distB="0" distL="0" distR="0" wp14:anchorId="554923D4" wp14:editId="387BB803">
            <wp:extent cx="5685155" cy="2120630"/>
            <wp:effectExtent l="0" t="0" r="10795" b="13335"/>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F131EAF" w14:textId="77777777" w:rsidR="00126773" w:rsidRDefault="00126773" w:rsidP="00126773">
      <w:pPr>
        <w:rPr>
          <w:rFonts w:ascii="Arial" w:hAnsi="Arial" w:cs="Arial"/>
          <w:sz w:val="16"/>
          <w:szCs w:val="16"/>
        </w:rPr>
      </w:pPr>
      <w:r w:rsidRPr="008341CA">
        <w:rPr>
          <w:rFonts w:ascii="Arial" w:hAnsi="Arial" w:cs="Arial"/>
          <w:sz w:val="16"/>
          <w:szCs w:val="16"/>
        </w:rPr>
        <w:t>Fuente: INEGI.</w:t>
      </w:r>
    </w:p>
    <w:p w14:paraId="2F4DE2A2" w14:textId="59FC288F" w:rsidR="00B80A38" w:rsidRDefault="00B80A38" w:rsidP="00126773">
      <w:pPr>
        <w:autoSpaceDE w:val="0"/>
        <w:autoSpaceDN w:val="0"/>
        <w:adjustRightInd w:val="0"/>
        <w:jc w:val="both"/>
        <w:rPr>
          <w:rFonts w:ascii="Arial" w:hAnsi="Arial" w:cs="Arial"/>
          <w:b/>
          <w:smallCaps/>
        </w:rPr>
      </w:pPr>
    </w:p>
    <w:p w14:paraId="3C0D040E" w14:textId="77777777" w:rsidR="007C5B1B" w:rsidRDefault="007C5B1B" w:rsidP="00687492">
      <w:pPr>
        <w:jc w:val="both"/>
        <w:rPr>
          <w:rFonts w:ascii="Arial" w:hAnsi="Arial" w:cs="Arial"/>
        </w:rPr>
      </w:pPr>
    </w:p>
    <w:p w14:paraId="62BF85E9" w14:textId="77777777" w:rsidR="007C5B1B" w:rsidRDefault="007C5B1B" w:rsidP="00687492">
      <w:pPr>
        <w:jc w:val="both"/>
        <w:rPr>
          <w:rFonts w:ascii="Arial" w:hAnsi="Arial" w:cs="Arial"/>
        </w:rPr>
      </w:pPr>
    </w:p>
    <w:p w14:paraId="519D57A1" w14:textId="688122D2" w:rsidR="00687492" w:rsidRDefault="00687492" w:rsidP="00687492">
      <w:pPr>
        <w:jc w:val="both"/>
        <w:rPr>
          <w:rFonts w:ascii="Arial" w:hAnsi="Arial" w:cs="Arial"/>
        </w:rPr>
      </w:pPr>
      <w:r w:rsidRPr="001F7738">
        <w:rPr>
          <w:rFonts w:ascii="Arial" w:hAnsi="Arial" w:cs="Arial"/>
        </w:rPr>
        <w:lastRenderedPageBreak/>
        <w:t>Las actividades que presentaron la mayor contribución al valor económico del TNRS son los cuidados especializados que se brindan a enfermos crónicos y a personas</w:t>
      </w:r>
      <w:r w:rsidR="00274FC1">
        <w:rPr>
          <w:rFonts w:ascii="Arial" w:hAnsi="Arial" w:cs="Arial"/>
        </w:rPr>
        <w:t xml:space="preserve"> </w:t>
      </w:r>
      <w:r w:rsidRPr="001F7738">
        <w:rPr>
          <w:rFonts w:ascii="Arial" w:hAnsi="Arial" w:cs="Arial"/>
        </w:rPr>
        <w:t>con alguna discapacidad con 57.9%</w:t>
      </w:r>
      <w:r w:rsidRPr="001F7738">
        <w:rPr>
          <w:vertAlign w:val="superscript"/>
        </w:rPr>
        <w:footnoteReference w:id="11"/>
      </w:r>
      <w:r w:rsidRPr="001F7738">
        <w:rPr>
          <w:rFonts w:ascii="Arial" w:hAnsi="Arial" w:cs="Arial"/>
        </w:rPr>
        <w:t>, seguidos de los cuidados realizados como ayuda a otros hogares con 23.0% y los cuidados temporales que contribuyen con 14.0%; mientras que los cuidados preventivos y el trabajo voluntario en instituciones no lucrativos contribuyeron con 2.9% y 2.2%</w:t>
      </w:r>
      <w:r w:rsidR="007C5B1B">
        <w:rPr>
          <w:rFonts w:ascii="Arial" w:hAnsi="Arial" w:cs="Arial"/>
        </w:rPr>
        <w:t>,</w:t>
      </w:r>
      <w:r w:rsidRPr="001F7738">
        <w:rPr>
          <w:rFonts w:ascii="Arial" w:hAnsi="Arial" w:cs="Arial"/>
        </w:rPr>
        <w:t xml:space="preserve"> respectivamente. </w:t>
      </w:r>
    </w:p>
    <w:p w14:paraId="0D582105" w14:textId="77777777" w:rsidR="008C535D" w:rsidRDefault="008C535D" w:rsidP="00AA42F0">
      <w:pPr>
        <w:autoSpaceDE w:val="0"/>
        <w:autoSpaceDN w:val="0"/>
        <w:adjustRightInd w:val="0"/>
        <w:jc w:val="both"/>
        <w:rPr>
          <w:rFonts w:ascii="Arial" w:hAnsi="Arial" w:cs="Arial"/>
          <w:b/>
          <w:smallCaps/>
        </w:rPr>
      </w:pPr>
    </w:p>
    <w:p w14:paraId="0BC4B2D9" w14:textId="59EA51FC" w:rsidR="00327E7C" w:rsidRPr="00B80A38" w:rsidRDefault="00F75222" w:rsidP="00AA42F0">
      <w:pPr>
        <w:autoSpaceDE w:val="0"/>
        <w:autoSpaceDN w:val="0"/>
        <w:adjustRightInd w:val="0"/>
        <w:jc w:val="both"/>
        <w:rPr>
          <w:rFonts w:ascii="Arial" w:hAnsi="Arial" w:cs="Arial"/>
          <w:b/>
          <w:smallCaps/>
        </w:rPr>
      </w:pPr>
      <w:r>
        <w:rPr>
          <w:rFonts w:ascii="Arial" w:hAnsi="Arial" w:cs="Arial"/>
          <w:b/>
          <w:smallCaps/>
        </w:rPr>
        <w:t xml:space="preserve">Empleo </w:t>
      </w:r>
      <w:r w:rsidR="00327E7C" w:rsidRPr="00EE5ACD">
        <w:rPr>
          <w:rFonts w:ascii="Arial" w:hAnsi="Arial" w:cs="Arial"/>
          <w:b/>
          <w:smallCaps/>
        </w:rPr>
        <w:t>en el sector de la salud</w:t>
      </w:r>
    </w:p>
    <w:p w14:paraId="75B4758E" w14:textId="77777777" w:rsidR="000F6EB5" w:rsidRDefault="000F6EB5" w:rsidP="00F42A8E">
      <w:pPr>
        <w:jc w:val="both"/>
        <w:rPr>
          <w:rFonts w:ascii="Arial" w:hAnsi="Arial" w:cs="Arial"/>
        </w:rPr>
      </w:pPr>
    </w:p>
    <w:p w14:paraId="1A6EB66E" w14:textId="77777777" w:rsidR="00CF14A3" w:rsidRDefault="00F42A8E" w:rsidP="00CF14A3">
      <w:pPr>
        <w:jc w:val="both"/>
        <w:rPr>
          <w:rFonts w:ascii="Arial" w:hAnsi="Arial" w:cs="Arial"/>
        </w:rPr>
      </w:pPr>
      <w:r>
        <w:rPr>
          <w:rFonts w:ascii="Arial" w:hAnsi="Arial" w:cs="Arial"/>
        </w:rPr>
        <w:t xml:space="preserve">Finalmente, </w:t>
      </w:r>
      <w:r w:rsidRPr="001926F3">
        <w:rPr>
          <w:rFonts w:ascii="Arial" w:hAnsi="Arial" w:cs="Arial"/>
        </w:rPr>
        <w:t>para atender el incremento en la demanda de servicios de salud derivada de la emergencia sanitaria,</w:t>
      </w:r>
      <w:r>
        <w:rPr>
          <w:rFonts w:ascii="Arial" w:hAnsi="Arial" w:cs="Arial"/>
        </w:rPr>
        <w:t xml:space="preserve"> se reportaron 2.3 millones de puestos de trabajo remunerados en el sector de la salud, equivalentes a 5.7% de los puestos de trabajo remunerados de la economía total. Est</w:t>
      </w:r>
      <w:r w:rsidR="00547D16">
        <w:rPr>
          <w:rFonts w:ascii="Arial" w:hAnsi="Arial" w:cs="Arial"/>
        </w:rPr>
        <w:t>a cifra</w:t>
      </w:r>
      <w:r>
        <w:rPr>
          <w:rFonts w:ascii="Arial" w:hAnsi="Arial" w:cs="Arial"/>
        </w:rPr>
        <w:t xml:space="preserve"> </w:t>
      </w:r>
      <w:r w:rsidR="00547D16">
        <w:rPr>
          <w:rFonts w:ascii="Arial" w:hAnsi="Arial" w:cs="Arial"/>
        </w:rPr>
        <w:t>representa</w:t>
      </w:r>
      <w:r>
        <w:rPr>
          <w:rFonts w:ascii="Arial" w:hAnsi="Arial" w:cs="Arial"/>
        </w:rPr>
        <w:t xml:space="preserve"> un aumento de 3.6% respecto </w:t>
      </w:r>
      <w:r w:rsidR="00547D16">
        <w:rPr>
          <w:rFonts w:ascii="Arial" w:hAnsi="Arial" w:cs="Arial"/>
        </w:rPr>
        <w:t xml:space="preserve">al </w:t>
      </w:r>
      <w:r>
        <w:rPr>
          <w:rFonts w:ascii="Arial" w:hAnsi="Arial" w:cs="Arial"/>
        </w:rPr>
        <w:t>año previo</w:t>
      </w:r>
      <w:r w:rsidR="00B0226B">
        <w:rPr>
          <w:rFonts w:ascii="Arial" w:hAnsi="Arial" w:cs="Arial"/>
        </w:rPr>
        <w:t>;</w:t>
      </w:r>
      <w:r>
        <w:rPr>
          <w:rFonts w:ascii="Arial" w:hAnsi="Arial" w:cs="Arial"/>
        </w:rPr>
        <w:t xml:space="preserve"> y en particular en </w:t>
      </w:r>
      <w:bookmarkStart w:id="5" w:name="_Hlk89874725"/>
      <w:r>
        <w:rPr>
          <w:rFonts w:ascii="Arial" w:hAnsi="Arial" w:cs="Arial"/>
        </w:rPr>
        <w:t>el sector público se observó un incremento de 3.7%, en comparación con 1.2% que se reportó en 2019</w:t>
      </w:r>
      <w:bookmarkEnd w:id="5"/>
      <w:r>
        <w:rPr>
          <w:rFonts w:ascii="Arial" w:hAnsi="Arial" w:cs="Arial"/>
        </w:rPr>
        <w:t>.</w:t>
      </w:r>
    </w:p>
    <w:p w14:paraId="546983A8" w14:textId="77777777" w:rsidR="00CF14A3" w:rsidRDefault="00CF14A3" w:rsidP="00CF14A3">
      <w:pPr>
        <w:jc w:val="both"/>
        <w:rPr>
          <w:rFonts w:ascii="Arial" w:hAnsi="Arial" w:cs="Arial"/>
        </w:rPr>
      </w:pPr>
    </w:p>
    <w:p w14:paraId="68D109E1" w14:textId="3F0E704C" w:rsidR="00687492" w:rsidRDefault="00B0226B" w:rsidP="00687492">
      <w:pPr>
        <w:jc w:val="both"/>
        <w:rPr>
          <w:rFonts w:ascii="Arial" w:hAnsi="Arial" w:cs="Arial"/>
        </w:rPr>
      </w:pPr>
      <w:r>
        <w:rPr>
          <w:rFonts w:ascii="Arial" w:hAnsi="Arial" w:cs="Arial"/>
        </w:rPr>
        <w:t>Los</w:t>
      </w:r>
      <w:r w:rsidRPr="00EE5ACD">
        <w:rPr>
          <w:rFonts w:ascii="Arial" w:hAnsi="Arial" w:cs="Arial"/>
        </w:rPr>
        <w:t xml:space="preserve"> puestos de trabajo genera</w:t>
      </w:r>
      <w:r>
        <w:rPr>
          <w:rFonts w:ascii="Arial" w:hAnsi="Arial" w:cs="Arial"/>
        </w:rPr>
        <w:t>dos</w:t>
      </w:r>
      <w:r w:rsidRPr="00EE5ACD">
        <w:rPr>
          <w:rFonts w:ascii="Arial" w:hAnsi="Arial" w:cs="Arial"/>
        </w:rPr>
        <w:t xml:space="preserve"> </w:t>
      </w:r>
      <w:r w:rsidR="008C535D">
        <w:rPr>
          <w:rFonts w:ascii="Arial" w:hAnsi="Arial" w:cs="Arial"/>
        </w:rPr>
        <w:t>en</w:t>
      </w:r>
      <w:r>
        <w:rPr>
          <w:rFonts w:ascii="Arial" w:hAnsi="Arial" w:cs="Arial"/>
        </w:rPr>
        <w:t xml:space="preserve"> 2020 se distribuyeron en las siguientes actividades:</w:t>
      </w:r>
      <w:r w:rsidRPr="00EE5ACD">
        <w:rPr>
          <w:rFonts w:ascii="Arial" w:hAnsi="Arial" w:cs="Arial"/>
        </w:rPr>
        <w:t xml:space="preserve"> servicios hospitalarios </w:t>
      </w:r>
      <w:r>
        <w:rPr>
          <w:rFonts w:ascii="Arial" w:hAnsi="Arial" w:cs="Arial"/>
        </w:rPr>
        <w:t>con 27.9</w:t>
      </w:r>
      <w:r w:rsidRPr="00EE5ACD">
        <w:rPr>
          <w:rFonts w:ascii="Arial" w:hAnsi="Arial" w:cs="Arial"/>
        </w:rPr>
        <w:t>%</w:t>
      </w:r>
      <w:r>
        <w:rPr>
          <w:rFonts w:ascii="Arial" w:hAnsi="Arial" w:cs="Arial"/>
        </w:rPr>
        <w:t>;</w:t>
      </w:r>
      <w:r w:rsidRPr="00EE5ACD">
        <w:rPr>
          <w:rFonts w:ascii="Arial" w:hAnsi="Arial" w:cs="Arial"/>
        </w:rPr>
        <w:t xml:space="preserve"> servicios médicos de atención ambulatoria con </w:t>
      </w:r>
      <w:r>
        <w:rPr>
          <w:rFonts w:ascii="Arial" w:hAnsi="Arial" w:cs="Arial"/>
        </w:rPr>
        <w:t>18.8%; el rubro otros bienes y servicios</w:t>
      </w:r>
      <w:r w:rsidRPr="00EE5ACD">
        <w:rPr>
          <w:rFonts w:ascii="Arial" w:hAnsi="Arial" w:cs="Arial"/>
        </w:rPr>
        <w:t xml:space="preserve"> (que incluye las actividades auxiliares, centros y residencias de salud, así como</w:t>
      </w:r>
      <w:r>
        <w:rPr>
          <w:rFonts w:ascii="Arial" w:hAnsi="Arial" w:cs="Arial"/>
        </w:rPr>
        <w:t xml:space="preserve"> </w:t>
      </w:r>
      <w:r w:rsidRPr="00EE5ACD">
        <w:rPr>
          <w:rFonts w:ascii="Arial" w:hAnsi="Arial" w:cs="Arial"/>
        </w:rPr>
        <w:t>bienes y servicios de apoyo a</w:t>
      </w:r>
      <w:r>
        <w:rPr>
          <w:rFonts w:ascii="Arial" w:hAnsi="Arial" w:cs="Arial"/>
        </w:rPr>
        <w:t>l sector) con 17.7</w:t>
      </w:r>
      <w:r w:rsidRPr="00EE5ACD">
        <w:rPr>
          <w:rFonts w:ascii="Arial" w:hAnsi="Arial" w:cs="Arial"/>
        </w:rPr>
        <w:t>%</w:t>
      </w:r>
      <w:r>
        <w:rPr>
          <w:rFonts w:ascii="Arial" w:hAnsi="Arial" w:cs="Arial"/>
        </w:rPr>
        <w:t xml:space="preserve">; </w:t>
      </w:r>
      <w:r w:rsidRPr="00EE5ACD">
        <w:rPr>
          <w:rFonts w:ascii="Arial" w:hAnsi="Arial" w:cs="Arial"/>
        </w:rPr>
        <w:t>la comercialización de b</w:t>
      </w:r>
      <w:r>
        <w:rPr>
          <w:rFonts w:ascii="Arial" w:hAnsi="Arial" w:cs="Arial"/>
        </w:rPr>
        <w:t>ienes relacionados con la salud con</w:t>
      </w:r>
      <w:r w:rsidRPr="00EE5ACD">
        <w:rPr>
          <w:rFonts w:ascii="Arial" w:hAnsi="Arial" w:cs="Arial"/>
        </w:rPr>
        <w:t xml:space="preserve"> </w:t>
      </w:r>
      <w:r>
        <w:rPr>
          <w:rFonts w:ascii="Arial" w:hAnsi="Arial" w:cs="Arial"/>
        </w:rPr>
        <w:t>8.5</w:t>
      </w:r>
      <w:r w:rsidRPr="00EE5ACD">
        <w:rPr>
          <w:rFonts w:ascii="Arial" w:hAnsi="Arial" w:cs="Arial"/>
        </w:rPr>
        <w:t>%;</w:t>
      </w:r>
      <w:r w:rsidRPr="00902794">
        <w:rPr>
          <w:rFonts w:ascii="Arial" w:hAnsi="Arial" w:cs="Arial"/>
        </w:rPr>
        <w:t xml:space="preserve"> </w:t>
      </w:r>
      <w:r w:rsidRPr="00EE5ACD">
        <w:rPr>
          <w:rFonts w:ascii="Arial" w:hAnsi="Arial" w:cs="Arial"/>
        </w:rPr>
        <w:t>las instituciones de admini</w:t>
      </w:r>
      <w:r>
        <w:rPr>
          <w:rFonts w:ascii="Arial" w:hAnsi="Arial" w:cs="Arial"/>
        </w:rPr>
        <w:t>stración pública de la salud con 9.6</w:t>
      </w:r>
      <w:r w:rsidRPr="00EE5ACD">
        <w:rPr>
          <w:rFonts w:ascii="Arial" w:hAnsi="Arial" w:cs="Arial"/>
        </w:rPr>
        <w:t>%</w:t>
      </w:r>
      <w:r>
        <w:rPr>
          <w:rFonts w:ascii="Arial" w:hAnsi="Arial" w:cs="Arial"/>
        </w:rPr>
        <w:t>;</w:t>
      </w:r>
      <w:r w:rsidRPr="00EE5ACD">
        <w:rPr>
          <w:rFonts w:ascii="Arial" w:hAnsi="Arial" w:cs="Arial"/>
        </w:rPr>
        <w:t xml:space="preserve"> </w:t>
      </w:r>
      <w:r>
        <w:rPr>
          <w:rFonts w:ascii="Arial" w:hAnsi="Arial" w:cs="Arial"/>
        </w:rPr>
        <w:t xml:space="preserve">la fabricación de </w:t>
      </w:r>
      <w:r w:rsidRPr="00EE5ACD">
        <w:rPr>
          <w:rFonts w:ascii="Arial" w:hAnsi="Arial" w:cs="Arial"/>
        </w:rPr>
        <w:t xml:space="preserve">medicamentos, lentes y </w:t>
      </w:r>
      <w:r>
        <w:rPr>
          <w:rFonts w:ascii="Arial" w:hAnsi="Arial" w:cs="Arial"/>
        </w:rPr>
        <w:t>material de curación con 7.7%; y</w:t>
      </w:r>
      <w:r w:rsidRPr="00EE5ACD">
        <w:rPr>
          <w:rFonts w:ascii="Arial" w:hAnsi="Arial" w:cs="Arial"/>
        </w:rPr>
        <w:t xml:space="preserve"> 9.</w:t>
      </w:r>
      <w:r>
        <w:rPr>
          <w:rFonts w:ascii="Arial" w:hAnsi="Arial" w:cs="Arial"/>
        </w:rPr>
        <w:t>8</w:t>
      </w:r>
      <w:r w:rsidR="00622C00">
        <w:rPr>
          <w:rFonts w:ascii="Arial" w:hAnsi="Arial" w:cs="Arial"/>
        </w:rPr>
        <w:t xml:space="preserve">% </w:t>
      </w:r>
      <w:r w:rsidR="00622C00" w:rsidRPr="00EE5ACD">
        <w:rPr>
          <w:rFonts w:ascii="Arial" w:hAnsi="Arial" w:cs="Arial"/>
        </w:rPr>
        <w:t>restante se concentró en los puestos remunerados no dependientes de la razón social.</w:t>
      </w:r>
    </w:p>
    <w:p w14:paraId="3DDCA078" w14:textId="77777777" w:rsidR="00687492" w:rsidRDefault="00687492" w:rsidP="00D721F2">
      <w:pPr>
        <w:ind w:right="-516"/>
        <w:contextualSpacing/>
        <w:jc w:val="center"/>
        <w:rPr>
          <w:rFonts w:ascii="Arial" w:hAnsi="Arial" w:cs="Arial"/>
        </w:rPr>
      </w:pPr>
    </w:p>
    <w:p w14:paraId="44E496ED" w14:textId="3674E75D" w:rsidR="00327E7C" w:rsidRPr="00824AF2" w:rsidRDefault="00327E7C" w:rsidP="00D721F2">
      <w:pPr>
        <w:ind w:right="-516"/>
        <w:contextualSpacing/>
        <w:jc w:val="center"/>
        <w:rPr>
          <w:rFonts w:ascii="Arial" w:hAnsi="Arial" w:cs="Arial"/>
        </w:rPr>
      </w:pPr>
      <w:r w:rsidRPr="00824AF2">
        <w:rPr>
          <w:rFonts w:ascii="Arial" w:hAnsi="Arial" w:cs="Arial"/>
        </w:rPr>
        <w:t xml:space="preserve">Gráfica </w:t>
      </w:r>
      <w:r w:rsidR="00D721F2">
        <w:rPr>
          <w:rFonts w:ascii="Arial" w:hAnsi="Arial" w:cs="Arial"/>
        </w:rPr>
        <w:t>8</w:t>
      </w:r>
    </w:p>
    <w:p w14:paraId="107EDBF1" w14:textId="7977334D" w:rsidR="00327E7C" w:rsidRDefault="00327E7C" w:rsidP="007C5B1B">
      <w:pPr>
        <w:pStyle w:val="Descripcin"/>
        <w:keepNext/>
        <w:spacing w:after="0"/>
        <w:ind w:right="-518" w:hanging="284"/>
        <w:jc w:val="center"/>
        <w:rPr>
          <w:rFonts w:ascii="Arial" w:hAnsi="Arial" w:cs="Arial"/>
          <w:b/>
          <w:i w:val="0"/>
          <w:smallCaps/>
          <w:color w:val="auto"/>
          <w:sz w:val="22"/>
          <w:szCs w:val="22"/>
        </w:rPr>
      </w:pPr>
      <w:r>
        <w:rPr>
          <w:rFonts w:ascii="Arial" w:hAnsi="Arial" w:cs="Arial"/>
          <w:b/>
          <w:i w:val="0"/>
          <w:smallCaps/>
          <w:color w:val="auto"/>
          <w:sz w:val="22"/>
          <w:szCs w:val="22"/>
        </w:rPr>
        <w:t>Puestos de trabajo ocupados remunerados del sector salud por tipo de</w:t>
      </w:r>
      <w:r w:rsidR="007C5B1B">
        <w:rPr>
          <w:rFonts w:ascii="Arial" w:hAnsi="Arial" w:cs="Arial"/>
          <w:b/>
          <w:i w:val="0"/>
          <w:smallCaps/>
          <w:color w:val="auto"/>
          <w:sz w:val="22"/>
          <w:szCs w:val="22"/>
        </w:rPr>
        <w:t xml:space="preserve"> </w:t>
      </w:r>
      <w:r>
        <w:rPr>
          <w:rFonts w:ascii="Arial" w:hAnsi="Arial" w:cs="Arial"/>
          <w:b/>
          <w:i w:val="0"/>
          <w:smallCaps/>
          <w:color w:val="auto"/>
          <w:sz w:val="22"/>
          <w:szCs w:val="22"/>
        </w:rPr>
        <w:t>actividad, 2020</w:t>
      </w:r>
    </w:p>
    <w:p w14:paraId="6DC857DB" w14:textId="77777777" w:rsidR="00327E7C" w:rsidRPr="00824AF2" w:rsidRDefault="00327E7C" w:rsidP="00327E7C">
      <w:pPr>
        <w:jc w:val="center"/>
        <w:rPr>
          <w:rFonts w:ascii="Arial" w:hAnsi="Arial" w:cs="Arial"/>
          <w:sz w:val="18"/>
          <w:szCs w:val="18"/>
          <w:lang w:val="x-none" w:eastAsia="x-none"/>
        </w:rPr>
      </w:pPr>
      <w:r w:rsidRPr="00824AF2">
        <w:rPr>
          <w:rFonts w:ascii="Arial" w:hAnsi="Arial" w:cs="Arial"/>
          <w:sz w:val="18"/>
          <w:szCs w:val="18"/>
          <w:lang w:val="x-none" w:eastAsia="x-none"/>
        </w:rPr>
        <w:t>(</w:t>
      </w:r>
      <w:r>
        <w:rPr>
          <w:rFonts w:ascii="Arial" w:hAnsi="Arial" w:cs="Arial"/>
          <w:sz w:val="18"/>
          <w:szCs w:val="18"/>
          <w:lang w:eastAsia="x-none"/>
        </w:rPr>
        <w:t>Estructura</w:t>
      </w:r>
      <w:r w:rsidRPr="00824AF2">
        <w:rPr>
          <w:rFonts w:ascii="Arial" w:hAnsi="Arial" w:cs="Arial"/>
          <w:sz w:val="18"/>
          <w:szCs w:val="18"/>
          <w:lang w:val="x-none" w:eastAsia="x-none"/>
        </w:rPr>
        <w:t xml:space="preserve"> porcentual)</w:t>
      </w:r>
    </w:p>
    <w:p w14:paraId="7B60484B" w14:textId="77777777" w:rsidR="007C5B1B" w:rsidRDefault="00063463" w:rsidP="007C5B1B">
      <w:pPr>
        <w:pStyle w:val="Textoindependiente"/>
        <w:tabs>
          <w:tab w:val="center" w:pos="3348"/>
        </w:tabs>
        <w:spacing w:after="240"/>
        <w:ind w:right="-376"/>
        <w:jc w:val="center"/>
        <w:rPr>
          <w:rFonts w:ascii="Arial" w:hAnsi="Arial" w:cs="Arial"/>
          <w:sz w:val="16"/>
          <w:szCs w:val="16"/>
          <w:lang w:val="es-MX"/>
        </w:rPr>
      </w:pPr>
      <w:r>
        <w:rPr>
          <w:rFonts w:ascii="Arial" w:hAnsi="Arial" w:cs="Arial"/>
          <w:noProof/>
          <w:sz w:val="16"/>
          <w:szCs w:val="16"/>
          <w:lang w:val="en-US" w:eastAsia="en-US"/>
        </w:rPr>
        <w:drawing>
          <wp:inline distT="0" distB="0" distL="0" distR="0" wp14:anchorId="5A214BEE" wp14:editId="0AF6A7BD">
            <wp:extent cx="4842601" cy="2209800"/>
            <wp:effectExtent l="19050" t="19050" r="15240" b="19050"/>
            <wp:docPr id="1141" name="Imagen 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11629" cy="2241299"/>
                    </a:xfrm>
                    <a:prstGeom prst="rect">
                      <a:avLst/>
                    </a:prstGeom>
                    <a:noFill/>
                    <a:ln w="19050">
                      <a:solidFill>
                        <a:schemeClr val="tx1"/>
                      </a:solidFill>
                    </a:ln>
                  </pic:spPr>
                </pic:pic>
              </a:graphicData>
            </a:graphic>
          </wp:inline>
        </w:drawing>
      </w:r>
    </w:p>
    <w:p w14:paraId="57D8D37F" w14:textId="655B4E48" w:rsidR="00274FC1" w:rsidRPr="007C5B1B" w:rsidRDefault="007C5B1B" w:rsidP="007C5B1B">
      <w:pPr>
        <w:pStyle w:val="Textoindependiente"/>
        <w:tabs>
          <w:tab w:val="center" w:pos="3348"/>
        </w:tabs>
        <w:spacing w:after="240"/>
        <w:jc w:val="left"/>
        <w:rPr>
          <w:rFonts w:ascii="Arial" w:hAnsi="Arial" w:cs="Arial"/>
          <w:sz w:val="16"/>
          <w:szCs w:val="16"/>
          <w:lang w:val="es-MX"/>
        </w:rPr>
      </w:pPr>
      <w:r>
        <w:rPr>
          <w:rFonts w:ascii="Arial" w:hAnsi="Arial" w:cs="Arial"/>
          <w:sz w:val="16"/>
          <w:szCs w:val="16"/>
          <w:lang w:val="es-MX"/>
        </w:rPr>
        <w:t xml:space="preserve">                </w:t>
      </w:r>
      <w:r w:rsidR="00327E7C" w:rsidRPr="00EE5ACD">
        <w:rPr>
          <w:rFonts w:ascii="Arial" w:hAnsi="Arial" w:cs="Arial"/>
          <w:sz w:val="16"/>
          <w:szCs w:val="16"/>
          <w:lang w:val="es-MX"/>
        </w:rPr>
        <w:t>Fuente: INEGI.</w:t>
      </w:r>
    </w:p>
    <w:p w14:paraId="36D9D2DB" w14:textId="7B8FD484" w:rsidR="00AF2E50" w:rsidRPr="00EE5ACD" w:rsidRDefault="00327E7C" w:rsidP="00E038BB">
      <w:pPr>
        <w:spacing w:before="360"/>
        <w:jc w:val="both"/>
        <w:rPr>
          <w:rFonts w:ascii="Arial" w:hAnsi="Arial" w:cs="Arial"/>
          <w:b/>
          <w:smallCaps/>
        </w:rPr>
      </w:pPr>
      <w:r>
        <w:rPr>
          <w:rFonts w:ascii="Arial" w:hAnsi="Arial" w:cs="Arial"/>
          <w:b/>
          <w:smallCaps/>
        </w:rPr>
        <w:lastRenderedPageBreak/>
        <w:t>A</w:t>
      </w:r>
      <w:r w:rsidR="00634AD1" w:rsidRPr="00EE5ACD">
        <w:rPr>
          <w:rFonts w:ascii="Arial" w:hAnsi="Arial" w:cs="Arial"/>
          <w:b/>
          <w:smallCaps/>
        </w:rPr>
        <w:t>spectos Metodológicos</w:t>
      </w:r>
    </w:p>
    <w:p w14:paraId="6EB17CD2" w14:textId="77777777" w:rsidR="00CD2D17" w:rsidRPr="00E038BB" w:rsidRDefault="00CD2D17" w:rsidP="00E038BB">
      <w:pPr>
        <w:spacing w:before="360"/>
        <w:jc w:val="both"/>
        <w:rPr>
          <w:rFonts w:ascii="Arial" w:hAnsi="Arial" w:cs="Arial"/>
        </w:rPr>
      </w:pPr>
      <w:r w:rsidRPr="00E038BB">
        <w:rPr>
          <w:rFonts w:ascii="Arial" w:hAnsi="Arial" w:cs="Arial"/>
        </w:rPr>
        <w:t xml:space="preserve">La actualización de la Cuenta Satélite del Sector Salud de México, 2020. Año Base 2013, considera los lineamientos internacionales del Sistema de Cuentas Nacionales (SCN) 2008 de la Organización de las Naciones Unidas (ONU), Banco Mundial, Fondo Monetario Internacional (FMI) y la Organización para la Cooperación y el Desarrollo Económicos (OCDE). </w:t>
      </w:r>
    </w:p>
    <w:p w14:paraId="2A0E6998" w14:textId="77777777" w:rsidR="00CD2D17" w:rsidRPr="00E038BB" w:rsidRDefault="00CD2D17" w:rsidP="00E038BB">
      <w:pPr>
        <w:spacing w:before="360"/>
        <w:jc w:val="both"/>
        <w:rPr>
          <w:rFonts w:ascii="Arial" w:hAnsi="Arial" w:cs="Arial"/>
        </w:rPr>
      </w:pPr>
      <w:r w:rsidRPr="00E038BB">
        <w:rPr>
          <w:rFonts w:ascii="Arial" w:hAnsi="Arial" w:cs="Arial"/>
        </w:rPr>
        <w:t>Lo anterior con el objetivo de integrar y detallar el sector salud desde el punto de vista de la producción, oferta y la demanda de los bienes y servicios, generando indicadores económicos que contribuyan al análisis de los productos que directa o indirectamente participan en la prevención, recuperación y mantenimiento de la salud humana.</w:t>
      </w:r>
    </w:p>
    <w:p w14:paraId="05F5B5E1" w14:textId="77777777" w:rsidR="00CD2D17" w:rsidRPr="00E038BB" w:rsidRDefault="00CD2D17" w:rsidP="00E038BB">
      <w:pPr>
        <w:spacing w:before="360"/>
        <w:jc w:val="both"/>
        <w:rPr>
          <w:rFonts w:ascii="Arial" w:hAnsi="Arial" w:cs="Arial"/>
        </w:rPr>
      </w:pPr>
      <w:r w:rsidRPr="00E038BB">
        <w:rPr>
          <w:rFonts w:ascii="Arial" w:hAnsi="Arial" w:cs="Arial"/>
        </w:rPr>
        <w:t>En este sentido, el estudio presenta la valoración económica del trabajo no remunerado de los hogares en el cuidado de la salud (TNRS) que se contabiliza de acuerdo con las recomendaciones metodológicas del SCN 2008. Tal consideración, permite ampliar la frontera de la producción como un reflejo de la utilidad de estos servicios para los integrantes del hogar.</w:t>
      </w:r>
    </w:p>
    <w:p w14:paraId="3E4F1B0E" w14:textId="77777777" w:rsidR="00CD2D17" w:rsidRPr="00E038BB" w:rsidRDefault="00CD2D17" w:rsidP="00E038BB">
      <w:pPr>
        <w:spacing w:before="360"/>
        <w:jc w:val="both"/>
        <w:rPr>
          <w:rFonts w:ascii="Arial" w:hAnsi="Arial" w:cs="Arial"/>
        </w:rPr>
      </w:pPr>
      <w:r w:rsidRPr="00E038BB">
        <w:rPr>
          <w:rFonts w:ascii="Arial" w:hAnsi="Arial" w:cs="Arial"/>
        </w:rPr>
        <w:t xml:space="preserve">El TNRS contempla el tiempo destinado, por los integrantes del hogar, a los cuidados de salud tanto preventivos, como a enfermos temporales o crónicos, así como a personas con discapacidad, del propio hogar y de otros hogares; además del trabajo voluntario efectuado a través de las instituciones no lucrativas que brindan servicios de salud. </w:t>
      </w:r>
    </w:p>
    <w:p w14:paraId="7BCDC944" w14:textId="1DB8A85A" w:rsidR="00CD2D17" w:rsidRPr="00E038BB" w:rsidRDefault="00CD2D17" w:rsidP="00E038BB">
      <w:pPr>
        <w:spacing w:before="360"/>
        <w:jc w:val="both"/>
        <w:rPr>
          <w:rFonts w:ascii="Arial" w:hAnsi="Arial" w:cs="Arial"/>
        </w:rPr>
      </w:pPr>
      <w:r w:rsidRPr="00E038BB">
        <w:rPr>
          <w:rFonts w:ascii="Arial" w:hAnsi="Arial" w:cs="Arial"/>
        </w:rPr>
        <w:t>Para el cálculo de la CSSSM se utilizó información proveniente de los Censos Económicos 2014; de las encuestas reali</w:t>
      </w:r>
      <w:r w:rsidR="00626B71" w:rsidRPr="00E038BB">
        <w:rPr>
          <w:rFonts w:ascii="Arial" w:hAnsi="Arial" w:cs="Arial"/>
        </w:rPr>
        <w:t xml:space="preserve">zadas por el INEGI; </w:t>
      </w:r>
      <w:r w:rsidRPr="00E038BB">
        <w:rPr>
          <w:rFonts w:ascii="Arial" w:hAnsi="Arial" w:cs="Arial"/>
        </w:rPr>
        <w:t>la</w:t>
      </w:r>
      <w:r w:rsidR="00626B71" w:rsidRPr="00E038BB">
        <w:rPr>
          <w:rFonts w:ascii="Arial" w:hAnsi="Arial" w:cs="Arial"/>
        </w:rPr>
        <w:t>s Cuentas de Bienes y Servicios;</w:t>
      </w:r>
      <w:r w:rsidRPr="00E038BB">
        <w:rPr>
          <w:rFonts w:ascii="Arial" w:hAnsi="Arial" w:cs="Arial"/>
        </w:rPr>
        <w:t xml:space="preserve"> las Cuentas por Sectores Instituciona</w:t>
      </w:r>
      <w:r w:rsidR="00626B71" w:rsidRPr="00E038BB">
        <w:rPr>
          <w:rFonts w:ascii="Arial" w:hAnsi="Arial" w:cs="Arial"/>
        </w:rPr>
        <w:t xml:space="preserve">les: la Matriz Insumo-Producto: </w:t>
      </w:r>
      <w:r w:rsidRPr="00E038BB">
        <w:rPr>
          <w:rFonts w:ascii="Arial" w:hAnsi="Arial" w:cs="Arial"/>
        </w:rPr>
        <w:t>los Cuadros de Oferta y utilización</w:t>
      </w:r>
      <w:r w:rsidR="00626B71" w:rsidRPr="00E038BB">
        <w:rPr>
          <w:rFonts w:ascii="Arial" w:hAnsi="Arial" w:cs="Arial"/>
        </w:rPr>
        <w:t>; la Cuenta satélite del trabajo no remunerado de los hogares;</w:t>
      </w:r>
      <w:r w:rsidRPr="00E038BB">
        <w:rPr>
          <w:rFonts w:ascii="Arial" w:hAnsi="Arial" w:cs="Arial"/>
        </w:rPr>
        <w:t xml:space="preserve"> además de los registros administrativos provenientes de diversas fuentes, entre otros. </w:t>
      </w:r>
    </w:p>
    <w:p w14:paraId="20AF2619" w14:textId="77777777" w:rsidR="00CD2D17" w:rsidRPr="00E038BB" w:rsidRDefault="00CD2D17" w:rsidP="00E038BB">
      <w:pPr>
        <w:spacing w:before="360"/>
        <w:jc w:val="both"/>
        <w:rPr>
          <w:rFonts w:ascii="Arial" w:hAnsi="Arial" w:cs="Arial"/>
        </w:rPr>
      </w:pPr>
      <w:r w:rsidRPr="00E038BB">
        <w:rPr>
          <w:rFonts w:ascii="Arial" w:hAnsi="Arial" w:cs="Arial"/>
        </w:rPr>
        <w:t xml:space="preserve">La información de la cuenta satélite se presenta de acuerdo con el Sistema de Clasificación Industrial de América del Norte (SCIAN) 2013. </w:t>
      </w:r>
    </w:p>
    <w:p w14:paraId="7A55523D" w14:textId="744BB430" w:rsidR="00CD2D17" w:rsidRPr="00E038BB" w:rsidRDefault="00CD2D17" w:rsidP="00E038BB">
      <w:pPr>
        <w:spacing w:before="360"/>
        <w:jc w:val="both"/>
        <w:rPr>
          <w:rFonts w:ascii="Arial" w:hAnsi="Arial" w:cs="Arial"/>
        </w:rPr>
      </w:pPr>
      <w:r w:rsidRPr="00E038BB">
        <w:rPr>
          <w:rFonts w:ascii="Arial" w:hAnsi="Arial" w:cs="Arial"/>
        </w:rPr>
        <w:t>Los resultados que se incluyen en la publicación “Cuenta satélite del sector salud d</w:t>
      </w:r>
      <w:r w:rsidR="00956971" w:rsidRPr="00E038BB">
        <w:rPr>
          <w:rFonts w:ascii="Arial" w:hAnsi="Arial" w:cs="Arial"/>
        </w:rPr>
        <w:t>e México, 2020. Año Base 2013”</w:t>
      </w:r>
      <w:r w:rsidRPr="00E038BB">
        <w:rPr>
          <w:rFonts w:ascii="Arial" w:hAnsi="Arial" w:cs="Arial"/>
        </w:rPr>
        <w:t>, así como la metodología</w:t>
      </w:r>
      <w:r w:rsidR="00956971" w:rsidRPr="00E038BB">
        <w:rPr>
          <w:rFonts w:ascii="Arial" w:hAnsi="Arial" w:cs="Arial"/>
        </w:rPr>
        <w:t xml:space="preserve"> y otra información de interés</w:t>
      </w:r>
      <w:r w:rsidRPr="00E038BB">
        <w:rPr>
          <w:rFonts w:ascii="Arial" w:hAnsi="Arial" w:cs="Arial"/>
        </w:rPr>
        <w:t xml:space="preserve">, pueden consultarse en </w:t>
      </w:r>
      <w:r w:rsidR="00A10D4F">
        <w:rPr>
          <w:rFonts w:ascii="Arial" w:hAnsi="Arial" w:cs="Arial"/>
        </w:rPr>
        <w:t>el Sitio</w:t>
      </w:r>
      <w:r w:rsidRPr="00E038BB">
        <w:rPr>
          <w:rFonts w:ascii="Arial" w:hAnsi="Arial" w:cs="Arial"/>
        </w:rPr>
        <w:t xml:space="preserve"> del Instituto:</w:t>
      </w:r>
    </w:p>
    <w:p w14:paraId="3640E11A" w14:textId="77777777" w:rsidR="00CD2D17" w:rsidRPr="00E038BB" w:rsidRDefault="00E7430E" w:rsidP="00E038BB">
      <w:pPr>
        <w:jc w:val="both"/>
        <w:rPr>
          <w:rFonts w:ascii="Arial" w:hAnsi="Arial" w:cs="Arial"/>
        </w:rPr>
      </w:pPr>
      <w:hyperlink r:id="rId33" w:history="1">
        <w:r w:rsidR="00CD2D17" w:rsidRPr="00E038BB">
          <w:rPr>
            <w:rStyle w:val="Hipervnculo"/>
            <w:rFonts w:ascii="Arial" w:hAnsi="Arial" w:cs="Arial"/>
          </w:rPr>
          <w:t>https://www.inegi.org.mx/temas/saludsat/</w:t>
        </w:r>
      </w:hyperlink>
    </w:p>
    <w:p w14:paraId="46EF7851" w14:textId="661D3062" w:rsidR="004F1492" w:rsidRPr="00E038BB" w:rsidRDefault="00E7430E" w:rsidP="00E038BB">
      <w:pPr>
        <w:jc w:val="both"/>
        <w:rPr>
          <w:rFonts w:ascii="Arial" w:hAnsi="Arial" w:cs="Arial"/>
          <w:color w:val="0000FF"/>
          <w:u w:val="single"/>
        </w:rPr>
      </w:pPr>
      <w:hyperlink r:id="rId34" w:history="1">
        <w:r w:rsidR="00CD2D17" w:rsidRPr="00E038BB">
          <w:rPr>
            <w:rStyle w:val="Hipervnculo"/>
            <w:rFonts w:ascii="Arial" w:hAnsi="Arial" w:cs="Arial"/>
          </w:rPr>
          <w:t>https://www.inegi.org.mx/programas/saludsat/2013/</w:t>
        </w:r>
      </w:hyperlink>
    </w:p>
    <w:sectPr w:rsidR="004F1492" w:rsidRPr="00E038BB" w:rsidSect="000A6494">
      <w:headerReference w:type="default" r:id="rId35"/>
      <w:type w:val="continuous"/>
      <w:pgSz w:w="12240" w:h="15840"/>
      <w:pgMar w:top="1985" w:right="1701" w:bottom="1134"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D7B1F" w14:textId="77777777" w:rsidR="00E7430E" w:rsidRDefault="00E7430E" w:rsidP="00ED71F9">
      <w:r>
        <w:separator/>
      </w:r>
    </w:p>
  </w:endnote>
  <w:endnote w:type="continuationSeparator" w:id="0">
    <w:p w14:paraId="1DD07354" w14:textId="77777777" w:rsidR="00E7430E" w:rsidRDefault="00E7430E" w:rsidP="00ED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3B820" w14:textId="3A8C8A5E" w:rsidR="00E47F72" w:rsidRPr="00E47F72" w:rsidRDefault="00E47F72" w:rsidP="00E47F72">
    <w:pPr>
      <w:pStyle w:val="Piedepgina"/>
      <w:tabs>
        <w:tab w:val="clear" w:pos="4419"/>
        <w:tab w:val="clear" w:pos="8838"/>
      </w:tabs>
      <w:ind w:left="-567" w:right="-518"/>
      <w:jc w:val="center"/>
      <w:rPr>
        <w:rFonts w:ascii="Arial" w:hAnsi="Arial" w:cs="Arial"/>
        <w:b/>
        <w:color w:val="002060"/>
        <w:sz w:val="20"/>
        <w:szCs w:val="20"/>
      </w:rPr>
    </w:pPr>
    <w:r w:rsidRPr="00E47F72">
      <w:rPr>
        <w:rFonts w:ascii="Arial" w:hAnsi="Arial" w:cs="Arial"/>
        <w:b/>
        <w:color w:val="002060"/>
        <w:sz w:val="20"/>
        <w:szCs w:val="2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90FE5" w14:textId="77777777" w:rsidR="00E7430E" w:rsidRDefault="00E7430E" w:rsidP="00ED71F9">
      <w:r>
        <w:separator/>
      </w:r>
    </w:p>
  </w:footnote>
  <w:footnote w:type="continuationSeparator" w:id="0">
    <w:p w14:paraId="203CD033" w14:textId="77777777" w:rsidR="00E7430E" w:rsidRDefault="00E7430E" w:rsidP="00ED71F9">
      <w:r>
        <w:continuationSeparator/>
      </w:r>
    </w:p>
  </w:footnote>
  <w:footnote w:id="1">
    <w:p w14:paraId="44549080" w14:textId="43E2E688" w:rsidR="009D55D4" w:rsidRPr="009D55D4" w:rsidRDefault="009D55D4" w:rsidP="009D55D4">
      <w:pPr>
        <w:pStyle w:val="Textonotapie"/>
        <w:jc w:val="both"/>
        <w:rPr>
          <w:rFonts w:ascii="Arial" w:hAnsi="Arial" w:cs="Arial"/>
          <w:sz w:val="16"/>
          <w:szCs w:val="16"/>
        </w:rPr>
      </w:pPr>
      <w:r w:rsidRPr="009D55D4">
        <w:rPr>
          <w:rStyle w:val="Refdenotaalpie"/>
          <w:rFonts w:ascii="Arial" w:hAnsi="Arial" w:cs="Arial"/>
          <w:sz w:val="16"/>
          <w:szCs w:val="16"/>
        </w:rPr>
        <w:footnoteRef/>
      </w:r>
      <w:r w:rsidRPr="009D55D4">
        <w:rPr>
          <w:rFonts w:ascii="Arial" w:hAnsi="Arial" w:cs="Arial"/>
          <w:sz w:val="16"/>
          <w:szCs w:val="16"/>
        </w:rPr>
        <w:t xml:space="preserve"> El PIB Ampliado agrega al valor de la producción de bienes y servicios finales del sector salud el valor del trabajo no remunerado de los hogares que destinan a las actividades de prevención, curación y mantenimiento de la salud.</w:t>
      </w:r>
    </w:p>
  </w:footnote>
  <w:footnote w:id="2">
    <w:p w14:paraId="3F64756F" w14:textId="612E65B4" w:rsidR="00502A74" w:rsidRPr="00733C95" w:rsidRDefault="00502A74" w:rsidP="00733C95">
      <w:pPr>
        <w:pStyle w:val="Textonotapie"/>
        <w:ind w:left="-426" w:right="-518" w:hanging="141"/>
        <w:jc w:val="both"/>
        <w:rPr>
          <w:sz w:val="16"/>
          <w:szCs w:val="16"/>
        </w:rPr>
      </w:pPr>
      <w:r w:rsidRPr="009D55D4">
        <w:rPr>
          <w:rStyle w:val="Refdenotaalpie"/>
          <w:rFonts w:ascii="Arial" w:hAnsi="Arial" w:cs="Arial"/>
          <w:sz w:val="16"/>
          <w:szCs w:val="16"/>
        </w:rPr>
        <w:footnoteRef/>
      </w:r>
      <w:r w:rsidRPr="00733C95">
        <w:rPr>
          <w:rStyle w:val="Refdenotaalpie"/>
        </w:rPr>
        <w:t xml:space="preserve"> </w:t>
      </w:r>
      <w:r w:rsidR="00FB421E">
        <w:rPr>
          <w:rFonts w:ascii="Arial" w:hAnsi="Arial" w:cs="Arial"/>
          <w:sz w:val="16"/>
          <w:szCs w:val="16"/>
        </w:rPr>
        <w:t>L</w:t>
      </w:r>
      <w:r w:rsidRPr="00733C95">
        <w:rPr>
          <w:rFonts w:ascii="Arial" w:hAnsi="Arial" w:cs="Arial"/>
          <w:sz w:val="16"/>
          <w:szCs w:val="16"/>
        </w:rPr>
        <w:t>os bienes de apoyo incluyen la fabricación de bienes como materia prima para la industria farmacéutica, productos ortopédicos, jabones, pastas dentífricas, confección de uniformes, muebles y equipo de uso médico, entre otros.</w:t>
      </w:r>
    </w:p>
  </w:footnote>
  <w:footnote w:id="3">
    <w:p w14:paraId="2ABABF82" w14:textId="77777777" w:rsidR="00086D8C" w:rsidRPr="007E7EF3" w:rsidRDefault="00086D8C" w:rsidP="00E47F72">
      <w:pPr>
        <w:pStyle w:val="Textonotapie"/>
        <w:ind w:left="-426" w:right="-518" w:hanging="141"/>
        <w:jc w:val="both"/>
        <w:rPr>
          <w:rFonts w:ascii="Arial" w:hAnsi="Arial" w:cs="Arial"/>
          <w:sz w:val="16"/>
          <w:szCs w:val="16"/>
        </w:rPr>
      </w:pPr>
      <w:r w:rsidRPr="007E7EF3">
        <w:rPr>
          <w:rStyle w:val="Refdenotaalpie"/>
          <w:rFonts w:ascii="Arial" w:hAnsi="Arial" w:cs="Arial"/>
          <w:sz w:val="16"/>
          <w:szCs w:val="16"/>
        </w:rPr>
        <w:footnoteRef/>
      </w:r>
      <w:r w:rsidRPr="007E7EF3">
        <w:rPr>
          <w:rFonts w:ascii="Arial" w:hAnsi="Arial" w:cs="Arial"/>
          <w:sz w:val="16"/>
          <w:szCs w:val="16"/>
        </w:rPr>
        <w:t xml:space="preserve"> Cuidado especializado brindado a personas con enfermedades crónicas o con alguna discapacidad: brindar servicios de terapias, disposición de medicamentos, llevarlo a citas médicas, entre otros.</w:t>
      </w:r>
    </w:p>
  </w:footnote>
  <w:footnote w:id="4">
    <w:p w14:paraId="5951A136" w14:textId="77777777" w:rsidR="00086D8C" w:rsidRPr="007E7EF3" w:rsidRDefault="00086D8C" w:rsidP="00E47F72">
      <w:pPr>
        <w:pStyle w:val="Textonotapie"/>
        <w:ind w:left="-426" w:right="-518" w:hanging="141"/>
        <w:jc w:val="both"/>
        <w:rPr>
          <w:rFonts w:ascii="Arial" w:hAnsi="Arial" w:cs="Arial"/>
          <w:sz w:val="16"/>
          <w:szCs w:val="16"/>
        </w:rPr>
      </w:pPr>
      <w:r w:rsidRPr="007E7EF3">
        <w:rPr>
          <w:rStyle w:val="Refdenotaalpie"/>
          <w:rFonts w:ascii="Arial" w:hAnsi="Arial" w:cs="Arial"/>
          <w:sz w:val="16"/>
          <w:szCs w:val="16"/>
        </w:rPr>
        <w:footnoteRef/>
      </w:r>
      <w:r w:rsidRPr="007E7EF3">
        <w:rPr>
          <w:rFonts w:ascii="Arial" w:hAnsi="Arial" w:cs="Arial"/>
          <w:sz w:val="16"/>
          <w:szCs w:val="16"/>
        </w:rPr>
        <w:t xml:space="preserve"> También conocido como cuidado de rutina, el cuidado preventivo para detectar enfermedades en su etapa inicial, como los son los chequeos médicos, programa de vacunación, entre otros.</w:t>
      </w:r>
    </w:p>
  </w:footnote>
  <w:footnote w:id="5">
    <w:p w14:paraId="79798FC8" w14:textId="18E02E99" w:rsidR="003B00FC" w:rsidRPr="00B4393D" w:rsidRDefault="003B00FC" w:rsidP="008E37B5">
      <w:pPr>
        <w:pStyle w:val="Textonotapie"/>
        <w:jc w:val="both"/>
        <w:rPr>
          <w:sz w:val="18"/>
        </w:rPr>
      </w:pPr>
      <w:r>
        <w:rPr>
          <w:rStyle w:val="Refdenotaalpie"/>
        </w:rPr>
        <w:footnoteRef/>
      </w:r>
      <w:r w:rsidRPr="00B4393D">
        <w:t xml:space="preserve"> </w:t>
      </w:r>
      <w:r w:rsidRPr="009C0D67">
        <w:rPr>
          <w:rFonts w:ascii="Arial" w:hAnsi="Arial" w:cs="Arial"/>
          <w:sz w:val="16"/>
          <w:szCs w:val="16"/>
        </w:rPr>
        <w:t>El PIB Ampliado agrega al valor de la producción de bienes y servicios finales del sector salud</w:t>
      </w:r>
      <w:r w:rsidR="001A44C4">
        <w:rPr>
          <w:rFonts w:ascii="Arial" w:hAnsi="Arial" w:cs="Arial"/>
          <w:sz w:val="16"/>
          <w:szCs w:val="16"/>
        </w:rPr>
        <w:t>,</w:t>
      </w:r>
      <w:r w:rsidRPr="009C0D67">
        <w:rPr>
          <w:rFonts w:ascii="Arial" w:hAnsi="Arial" w:cs="Arial"/>
          <w:sz w:val="16"/>
          <w:szCs w:val="16"/>
        </w:rPr>
        <w:t xml:space="preserve"> el valor del trabajo no remunerado de los hogares que destinan a las actividades de prevención, curación y mantenimiento de la salud</w:t>
      </w:r>
      <w:r w:rsidR="0030524E" w:rsidRPr="009C0D67">
        <w:rPr>
          <w:rFonts w:ascii="Arial" w:hAnsi="Arial" w:cs="Arial"/>
          <w:sz w:val="16"/>
          <w:szCs w:val="16"/>
        </w:rPr>
        <w:t>.</w:t>
      </w:r>
    </w:p>
  </w:footnote>
  <w:footnote w:id="6">
    <w:p w14:paraId="3DBD0F1C" w14:textId="11325BF3" w:rsidR="00BC101A" w:rsidRPr="007C5B1B" w:rsidRDefault="00BC101A" w:rsidP="007C5B1B">
      <w:pPr>
        <w:pStyle w:val="Textonotapie"/>
        <w:ind w:left="142" w:hanging="142"/>
        <w:jc w:val="both"/>
        <w:rPr>
          <w:rFonts w:ascii="Arial" w:hAnsi="Arial" w:cs="Arial"/>
          <w:sz w:val="16"/>
          <w:szCs w:val="16"/>
        </w:rPr>
      </w:pPr>
      <w:r w:rsidRPr="007C5B1B">
        <w:rPr>
          <w:rStyle w:val="Refdenotaalpie"/>
          <w:rFonts w:ascii="Arial" w:hAnsi="Arial" w:cs="Arial"/>
          <w:sz w:val="16"/>
          <w:szCs w:val="16"/>
        </w:rPr>
        <w:footnoteRef/>
      </w:r>
      <w:r w:rsidRPr="007C5B1B">
        <w:rPr>
          <w:rFonts w:ascii="Arial" w:hAnsi="Arial" w:cs="Arial"/>
          <w:sz w:val="16"/>
          <w:szCs w:val="16"/>
        </w:rPr>
        <w:t xml:space="preserve"> Cuidad</w:t>
      </w:r>
      <w:r w:rsidR="001852F9" w:rsidRPr="007C5B1B">
        <w:rPr>
          <w:rFonts w:ascii="Arial" w:hAnsi="Arial" w:cs="Arial"/>
          <w:sz w:val="16"/>
          <w:szCs w:val="16"/>
        </w:rPr>
        <w:t>o especializado brindado a personas con enfermedades crónicas o con alguna discapacidad: brindar servicios de terapias, disposición de medicamentos, llevarlo a citas médicas</w:t>
      </w:r>
      <w:r w:rsidR="009A61D5" w:rsidRPr="007C5B1B">
        <w:rPr>
          <w:rFonts w:ascii="Arial" w:hAnsi="Arial" w:cs="Arial"/>
          <w:sz w:val="16"/>
          <w:szCs w:val="16"/>
        </w:rPr>
        <w:t>,</w:t>
      </w:r>
      <w:r w:rsidR="001852F9" w:rsidRPr="007C5B1B">
        <w:rPr>
          <w:rFonts w:ascii="Arial" w:hAnsi="Arial" w:cs="Arial"/>
          <w:sz w:val="16"/>
          <w:szCs w:val="16"/>
        </w:rPr>
        <w:t xml:space="preserve"> entre otros.</w:t>
      </w:r>
    </w:p>
  </w:footnote>
  <w:footnote w:id="7">
    <w:p w14:paraId="786FA404" w14:textId="5AFA4EEE" w:rsidR="00BC101A" w:rsidRPr="007C5B1B" w:rsidRDefault="00BC101A" w:rsidP="007C5B1B">
      <w:pPr>
        <w:pStyle w:val="Textonotapie"/>
        <w:ind w:left="142" w:hanging="142"/>
        <w:jc w:val="both"/>
        <w:rPr>
          <w:rFonts w:ascii="Arial" w:hAnsi="Arial" w:cs="Arial"/>
          <w:sz w:val="16"/>
          <w:szCs w:val="16"/>
        </w:rPr>
      </w:pPr>
      <w:r w:rsidRPr="007C5B1B">
        <w:rPr>
          <w:rStyle w:val="Refdenotaalpie"/>
          <w:rFonts w:ascii="Arial" w:hAnsi="Arial" w:cs="Arial"/>
          <w:sz w:val="16"/>
          <w:szCs w:val="16"/>
        </w:rPr>
        <w:footnoteRef/>
      </w:r>
      <w:r w:rsidRPr="007C5B1B">
        <w:rPr>
          <w:rFonts w:ascii="Arial" w:hAnsi="Arial" w:cs="Arial"/>
          <w:sz w:val="16"/>
          <w:szCs w:val="16"/>
        </w:rPr>
        <w:t xml:space="preserve"> También conocido como cuidado de rutina, el cuidado preventivo para detectar enfermedades en su etapa inicial, como los son los chequeos médicos, programa de vacunación</w:t>
      </w:r>
      <w:r w:rsidR="00F20319" w:rsidRPr="007C5B1B">
        <w:rPr>
          <w:rFonts w:ascii="Arial" w:hAnsi="Arial" w:cs="Arial"/>
          <w:sz w:val="16"/>
          <w:szCs w:val="16"/>
        </w:rPr>
        <w:t>, entre otros.</w:t>
      </w:r>
    </w:p>
  </w:footnote>
  <w:footnote w:id="8">
    <w:p w14:paraId="7D9A31D0" w14:textId="4C763C09" w:rsidR="00CF14A3" w:rsidRPr="00C9441C" w:rsidRDefault="00CF14A3" w:rsidP="007C5B1B">
      <w:pPr>
        <w:pStyle w:val="Textonotapie"/>
        <w:ind w:left="142" w:hanging="142"/>
        <w:jc w:val="both"/>
        <w:rPr>
          <w:rFonts w:ascii="Arial" w:hAnsi="Arial" w:cs="Arial"/>
          <w:sz w:val="16"/>
          <w:szCs w:val="16"/>
        </w:rPr>
      </w:pPr>
      <w:r w:rsidRPr="007C5B1B">
        <w:rPr>
          <w:rStyle w:val="Refdenotaalpie"/>
          <w:sz w:val="16"/>
          <w:szCs w:val="16"/>
        </w:rPr>
        <w:footnoteRef/>
      </w:r>
      <w:r w:rsidRPr="007C5B1B">
        <w:rPr>
          <w:sz w:val="16"/>
          <w:szCs w:val="16"/>
        </w:rPr>
        <w:t xml:space="preserve"> </w:t>
      </w:r>
      <w:r w:rsidR="00C5337A" w:rsidRPr="007C5B1B">
        <w:rPr>
          <w:rFonts w:ascii="Arial" w:hAnsi="Arial" w:cs="Arial"/>
          <w:sz w:val="16"/>
          <w:szCs w:val="16"/>
        </w:rPr>
        <w:t xml:space="preserve">La </w:t>
      </w:r>
      <w:r w:rsidR="00C46E6A" w:rsidRPr="007C5B1B">
        <w:rPr>
          <w:rFonts w:ascii="Arial" w:hAnsi="Arial" w:cs="Arial"/>
          <w:sz w:val="16"/>
          <w:szCs w:val="16"/>
        </w:rPr>
        <w:t>disponibilidad</w:t>
      </w:r>
      <w:r w:rsidR="00C5337A" w:rsidRPr="007C5B1B">
        <w:rPr>
          <w:rFonts w:ascii="Arial" w:hAnsi="Arial" w:cs="Arial"/>
          <w:sz w:val="16"/>
          <w:szCs w:val="16"/>
        </w:rPr>
        <w:t xml:space="preserve"> pública hospitalaria para atender la emergencia sanitaria por COVID-19 reportó al 30 de diciembre del 2020 una capacidad de 29</w:t>
      </w:r>
      <w:r w:rsidR="007C5B1B" w:rsidRPr="007C5B1B">
        <w:rPr>
          <w:rFonts w:ascii="Arial" w:hAnsi="Arial" w:cs="Arial"/>
          <w:sz w:val="16"/>
          <w:szCs w:val="16"/>
        </w:rPr>
        <w:t xml:space="preserve"> </w:t>
      </w:r>
      <w:r w:rsidR="00C5337A" w:rsidRPr="007C5B1B">
        <w:rPr>
          <w:rFonts w:ascii="Arial" w:hAnsi="Arial" w:cs="Arial"/>
          <w:sz w:val="16"/>
          <w:szCs w:val="16"/>
        </w:rPr>
        <w:t>725 camas generales y 10</w:t>
      </w:r>
      <w:r w:rsidR="007C5B1B" w:rsidRPr="007C5B1B">
        <w:rPr>
          <w:rFonts w:ascii="Arial" w:hAnsi="Arial" w:cs="Arial"/>
          <w:sz w:val="16"/>
          <w:szCs w:val="16"/>
        </w:rPr>
        <w:t xml:space="preserve"> </w:t>
      </w:r>
      <w:r w:rsidR="00C5337A" w:rsidRPr="007C5B1B">
        <w:rPr>
          <w:rFonts w:ascii="Arial" w:hAnsi="Arial" w:cs="Arial"/>
          <w:sz w:val="16"/>
          <w:szCs w:val="16"/>
        </w:rPr>
        <w:t xml:space="preserve">184 camas para cuidados intensivos, en comparación del promedio de 16,500 y 6,600 reportadas en abril del mismo año. </w:t>
      </w:r>
      <w:hyperlink r:id="rId1" w:history="1">
        <w:r w:rsidR="00443445" w:rsidRPr="007C5B1B">
          <w:rPr>
            <w:rStyle w:val="Hipervnculo"/>
            <w:rFonts w:ascii="Arial" w:hAnsi="Arial" w:cs="Arial"/>
            <w:color w:val="auto"/>
            <w:sz w:val="16"/>
            <w:szCs w:val="16"/>
          </w:rPr>
          <w:t>https://coronavirus.gob.mx/category/conferencias-de-prensa/</w:t>
        </w:r>
      </w:hyperlink>
      <w:r w:rsidR="00443445" w:rsidRPr="007C5B1B">
        <w:rPr>
          <w:rFonts w:ascii="Arial" w:hAnsi="Arial" w:cs="Arial"/>
          <w:sz w:val="16"/>
          <w:szCs w:val="16"/>
        </w:rPr>
        <w:t xml:space="preserve"> </w:t>
      </w:r>
    </w:p>
  </w:footnote>
  <w:footnote w:id="9">
    <w:p w14:paraId="7FA53B5F" w14:textId="58763D5C" w:rsidR="00D3587E" w:rsidRPr="00C9441C" w:rsidRDefault="00D3587E" w:rsidP="00C9441C">
      <w:pPr>
        <w:pStyle w:val="Textonotapie"/>
        <w:jc w:val="both"/>
        <w:rPr>
          <w:rFonts w:ascii="Arial" w:hAnsi="Arial" w:cs="Arial"/>
          <w:color w:val="FF0000"/>
          <w:sz w:val="16"/>
          <w:szCs w:val="16"/>
        </w:rPr>
      </w:pPr>
      <w:r w:rsidRPr="00C9441C">
        <w:rPr>
          <w:rStyle w:val="Refdenotaalpie"/>
        </w:rPr>
        <w:footnoteRef/>
      </w:r>
      <w:r w:rsidRPr="00C9441C">
        <w:t xml:space="preserve"> </w:t>
      </w:r>
      <w:r w:rsidRPr="00C9441C">
        <w:rPr>
          <w:rFonts w:ascii="Arial" w:hAnsi="Arial" w:cs="Arial"/>
          <w:sz w:val="16"/>
          <w:szCs w:val="16"/>
        </w:rPr>
        <w:t xml:space="preserve">El número de consultas públicas </w:t>
      </w:r>
      <w:proofErr w:type="gramStart"/>
      <w:r w:rsidRPr="00C9441C">
        <w:rPr>
          <w:rFonts w:ascii="Arial" w:hAnsi="Arial" w:cs="Arial"/>
          <w:sz w:val="16"/>
          <w:szCs w:val="16"/>
        </w:rPr>
        <w:t>generales externas</w:t>
      </w:r>
      <w:proofErr w:type="gramEnd"/>
      <w:r w:rsidRPr="00C9441C">
        <w:rPr>
          <w:rFonts w:ascii="Arial" w:hAnsi="Arial" w:cs="Arial"/>
          <w:sz w:val="16"/>
          <w:szCs w:val="16"/>
        </w:rPr>
        <w:t xml:space="preserve"> disminuyó en un 47.7% respecto de la otorgadas en 2019; mientras que el número de consultas públicas de especialidad baj</w:t>
      </w:r>
      <w:r w:rsidR="00C46E6A" w:rsidRPr="00C9441C">
        <w:rPr>
          <w:rFonts w:ascii="Arial" w:hAnsi="Arial" w:cs="Arial"/>
          <w:sz w:val="16"/>
          <w:szCs w:val="16"/>
        </w:rPr>
        <w:t>ó</w:t>
      </w:r>
      <w:r w:rsidRPr="00C9441C">
        <w:rPr>
          <w:rFonts w:ascii="Arial" w:hAnsi="Arial" w:cs="Arial"/>
          <w:sz w:val="16"/>
          <w:szCs w:val="16"/>
        </w:rPr>
        <w:t xml:space="preserve"> </w:t>
      </w:r>
      <w:r w:rsidR="0007074A" w:rsidRPr="00C9441C">
        <w:rPr>
          <w:rFonts w:ascii="Arial" w:hAnsi="Arial" w:cs="Arial"/>
          <w:sz w:val="16"/>
          <w:szCs w:val="16"/>
        </w:rPr>
        <w:t xml:space="preserve">un </w:t>
      </w:r>
      <w:r w:rsidR="000D484C" w:rsidRPr="00C9441C">
        <w:rPr>
          <w:rFonts w:ascii="Arial" w:hAnsi="Arial" w:cs="Arial"/>
          <w:sz w:val="16"/>
          <w:szCs w:val="16"/>
        </w:rPr>
        <w:t xml:space="preserve">65.0 por ciento. </w:t>
      </w:r>
      <w:hyperlink r:id="rId2" w:history="1">
        <w:r w:rsidR="00443445" w:rsidRPr="00C9441C">
          <w:rPr>
            <w:rStyle w:val="Hipervnculo"/>
            <w:rFonts w:ascii="Arial" w:hAnsi="Arial" w:cs="Arial"/>
            <w:color w:val="auto"/>
            <w:sz w:val="16"/>
            <w:szCs w:val="16"/>
          </w:rPr>
          <w:t>http://sinaiscap.salud.gob.mx:8080/DGIS/#</w:t>
        </w:r>
      </w:hyperlink>
      <w:r w:rsidR="00443445" w:rsidRPr="00C9441C">
        <w:rPr>
          <w:rFonts w:ascii="Arial" w:hAnsi="Arial" w:cs="Arial"/>
          <w:sz w:val="16"/>
          <w:szCs w:val="16"/>
        </w:rPr>
        <w:t xml:space="preserve"> </w:t>
      </w:r>
    </w:p>
  </w:footnote>
  <w:footnote w:id="10">
    <w:p w14:paraId="38262E7A" w14:textId="4A55FFB9" w:rsidR="00D74DFA" w:rsidRDefault="00D74DFA">
      <w:pPr>
        <w:pStyle w:val="Textonotapie"/>
      </w:pPr>
      <w:r>
        <w:rPr>
          <w:rStyle w:val="Refdenotaalpie"/>
        </w:rPr>
        <w:footnoteRef/>
      </w:r>
      <w:r>
        <w:t xml:space="preserve"> </w:t>
      </w:r>
      <w:r w:rsidRPr="00544F0F">
        <w:rPr>
          <w:rFonts w:ascii="Arial" w:hAnsi="Arial" w:cs="Arial"/>
          <w:sz w:val="16"/>
          <w:szCs w:val="16"/>
        </w:rPr>
        <w:t>Los bienes de apoyo incluyen la fabricación de bienes como materia prima para la industria farmacéutica, productos ortopédicos, jabones, pastas dentífricas, confección de uniformes, muebles y equipo de uso médico, entre otros.</w:t>
      </w:r>
    </w:p>
  </w:footnote>
  <w:footnote w:id="11">
    <w:p w14:paraId="1C379EFF" w14:textId="77777777" w:rsidR="00687492" w:rsidRPr="00FE079D" w:rsidRDefault="00687492" w:rsidP="00687492">
      <w:pPr>
        <w:pStyle w:val="Textonotapie"/>
        <w:ind w:right="49"/>
        <w:jc w:val="both"/>
        <w:rPr>
          <w:rFonts w:ascii="Arial" w:hAnsi="Arial" w:cs="Arial"/>
          <w:sz w:val="16"/>
          <w:szCs w:val="16"/>
        </w:rPr>
      </w:pPr>
      <w:r w:rsidRPr="00FE079D">
        <w:rPr>
          <w:rStyle w:val="Refdenotaalpie"/>
          <w:rFonts w:ascii="Arial" w:hAnsi="Arial" w:cs="Arial"/>
          <w:sz w:val="16"/>
          <w:szCs w:val="16"/>
        </w:rPr>
        <w:footnoteRef/>
      </w:r>
      <w:r w:rsidRPr="00FE079D">
        <w:rPr>
          <w:rFonts w:ascii="Arial" w:hAnsi="Arial" w:cs="Arial"/>
          <w:sz w:val="16"/>
          <w:szCs w:val="16"/>
        </w:rPr>
        <w:t xml:space="preserve"> </w:t>
      </w:r>
      <w:r w:rsidRPr="00FE079D">
        <w:rPr>
          <w:rFonts w:ascii="Arial" w:hAnsi="Arial" w:cs="Arial"/>
          <w:sz w:val="16"/>
          <w:szCs w:val="16"/>
          <w:lang w:val="es-ES"/>
        </w:rPr>
        <w:t xml:space="preserve">La participación cambia respecto a la que se presenta en el número de horas, debido a que el costo utilizado para la valoración de las actividades de cuidados </w:t>
      </w:r>
      <w:r>
        <w:rPr>
          <w:rFonts w:ascii="Arial" w:hAnsi="Arial" w:cs="Arial"/>
          <w:sz w:val="16"/>
          <w:szCs w:val="16"/>
          <w:lang w:val="es-ES"/>
        </w:rPr>
        <w:t xml:space="preserve">especializados y la ayuda a otros hogares </w:t>
      </w:r>
      <w:r w:rsidRPr="00FE079D">
        <w:rPr>
          <w:rFonts w:ascii="Arial" w:hAnsi="Arial" w:cs="Arial"/>
          <w:sz w:val="16"/>
          <w:szCs w:val="16"/>
          <w:lang w:val="es-ES"/>
        </w:rPr>
        <w:t xml:space="preserve">es mayor al utilizado </w:t>
      </w:r>
      <w:r>
        <w:rPr>
          <w:rFonts w:ascii="Arial" w:hAnsi="Arial" w:cs="Arial"/>
          <w:sz w:val="16"/>
          <w:szCs w:val="16"/>
          <w:lang w:val="es-ES"/>
        </w:rPr>
        <w:t>en los cuidados temporales</w:t>
      </w:r>
      <w:r w:rsidRPr="00FE079D">
        <w:rPr>
          <w:rFonts w:ascii="Arial" w:hAnsi="Arial" w:cs="Arial"/>
          <w:sz w:val="16"/>
          <w:szCs w:val="16"/>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3DE66" w14:textId="77777777" w:rsidR="00F6376F" w:rsidRPr="00ED71F9" w:rsidRDefault="00F6376F">
    <w:pPr>
      <w:pStyle w:val="Encabezado"/>
      <w:rPr>
        <w:sz w:val="32"/>
        <w:szCs w:val="32"/>
      </w:rPr>
    </w:pPr>
  </w:p>
  <w:p w14:paraId="32FA2A61" w14:textId="7CA3CFF6" w:rsidR="00086D8C" w:rsidRPr="003105E6" w:rsidRDefault="00086D8C" w:rsidP="00086D8C">
    <w:pPr>
      <w:pStyle w:val="Encabezado"/>
      <w:framePr w:w="5398" w:hSpace="141" w:wrap="auto" w:vAnchor="text" w:hAnchor="page" w:x="5695" w:y="31"/>
      <w:ind w:left="567" w:hanging="11"/>
      <w:jc w:val="right"/>
      <w:rPr>
        <w:rFonts w:ascii="Arial" w:hAnsi="Arial" w:cs="Arial"/>
        <w:b/>
        <w:color w:val="002060"/>
      </w:rPr>
    </w:pPr>
    <w:r w:rsidRPr="00987CEE">
      <w:rPr>
        <w:rFonts w:ascii="Arial" w:hAnsi="Arial" w:cs="Arial"/>
        <w:b/>
        <w:color w:val="002060"/>
      </w:rPr>
      <w:t xml:space="preserve">COMUNICADO DE PRENSA NÚM. </w:t>
    </w:r>
    <w:r>
      <w:rPr>
        <w:rFonts w:ascii="Arial" w:hAnsi="Arial" w:cs="Arial"/>
        <w:b/>
        <w:color w:val="002060"/>
      </w:rPr>
      <w:t>7</w:t>
    </w:r>
    <w:r w:rsidR="00A10D4F">
      <w:rPr>
        <w:rFonts w:ascii="Arial" w:hAnsi="Arial" w:cs="Arial"/>
        <w:b/>
        <w:color w:val="002060"/>
      </w:rPr>
      <w:t>68</w:t>
    </w:r>
    <w:r w:rsidRPr="00987CEE">
      <w:rPr>
        <w:rFonts w:ascii="Arial" w:hAnsi="Arial" w:cs="Arial"/>
        <w:b/>
        <w:color w:val="002060"/>
      </w:rPr>
      <w:t>/</w:t>
    </w:r>
    <w:r>
      <w:rPr>
        <w:rFonts w:ascii="Arial" w:hAnsi="Arial" w:cs="Arial"/>
        <w:b/>
        <w:color w:val="002060"/>
      </w:rPr>
      <w:t>21</w:t>
    </w:r>
  </w:p>
  <w:p w14:paraId="4238A9A6" w14:textId="500B9A7B" w:rsidR="00086D8C" w:rsidRPr="00987CEE" w:rsidRDefault="00086D8C" w:rsidP="00086D8C">
    <w:pPr>
      <w:pStyle w:val="Encabezado"/>
      <w:framePr w:w="5398" w:hSpace="141" w:wrap="auto" w:vAnchor="text" w:hAnchor="page" w:x="5695" w:y="31"/>
      <w:ind w:left="567" w:hanging="11"/>
      <w:jc w:val="right"/>
      <w:rPr>
        <w:rFonts w:ascii="Arial" w:hAnsi="Arial" w:cs="Arial"/>
        <w:b/>
        <w:color w:val="002060"/>
        <w:lang w:val="pt-BR"/>
      </w:rPr>
    </w:pPr>
    <w:r>
      <w:rPr>
        <w:rFonts w:ascii="Arial" w:hAnsi="Arial" w:cs="Arial"/>
        <w:b/>
        <w:color w:val="002060"/>
        <w:lang w:val="pt-BR"/>
      </w:rPr>
      <w:t>1</w:t>
    </w:r>
    <w:r w:rsidR="00A10D4F">
      <w:rPr>
        <w:rFonts w:ascii="Arial" w:hAnsi="Arial" w:cs="Arial"/>
        <w:b/>
        <w:color w:val="002060"/>
        <w:lang w:val="pt-BR"/>
      </w:rPr>
      <w:t>4</w:t>
    </w:r>
    <w:r>
      <w:rPr>
        <w:rFonts w:ascii="Arial" w:hAnsi="Arial" w:cs="Arial"/>
        <w:b/>
        <w:color w:val="002060"/>
        <w:lang w:val="pt-BR"/>
      </w:rPr>
      <w:t xml:space="preserve"> </w:t>
    </w:r>
    <w:r w:rsidRPr="00987CEE">
      <w:rPr>
        <w:rFonts w:ascii="Arial" w:hAnsi="Arial" w:cs="Arial"/>
        <w:b/>
        <w:color w:val="002060"/>
        <w:lang w:val="pt-BR"/>
      </w:rPr>
      <w:t xml:space="preserve">DE </w:t>
    </w:r>
    <w:r>
      <w:rPr>
        <w:rFonts w:ascii="Arial" w:hAnsi="Arial" w:cs="Arial"/>
        <w:b/>
        <w:color w:val="002060"/>
        <w:lang w:val="pt-BR"/>
      </w:rPr>
      <w:t xml:space="preserve">DICIEMBRE DE </w:t>
    </w:r>
    <w:r w:rsidRPr="00987CEE">
      <w:rPr>
        <w:rFonts w:ascii="Arial" w:hAnsi="Arial" w:cs="Arial"/>
        <w:b/>
        <w:color w:val="002060"/>
        <w:lang w:val="pt-BR"/>
      </w:rPr>
      <w:t>20</w:t>
    </w:r>
    <w:r>
      <w:rPr>
        <w:rFonts w:ascii="Arial" w:hAnsi="Arial" w:cs="Arial"/>
        <w:b/>
        <w:color w:val="002060"/>
        <w:lang w:val="pt-BR"/>
      </w:rPr>
      <w:t>2</w:t>
    </w:r>
    <w:r w:rsidR="00A10D4F">
      <w:rPr>
        <w:rFonts w:ascii="Arial" w:hAnsi="Arial" w:cs="Arial"/>
        <w:b/>
        <w:color w:val="002060"/>
        <w:lang w:val="pt-BR"/>
      </w:rPr>
      <w:t>1</w:t>
    </w:r>
  </w:p>
  <w:p w14:paraId="12D11A0D" w14:textId="57264E19" w:rsidR="00086D8C" w:rsidRPr="00987CEE" w:rsidRDefault="00086D8C" w:rsidP="00086D8C">
    <w:pPr>
      <w:pStyle w:val="Encabezado"/>
      <w:framePr w:w="5398" w:hSpace="141" w:wrap="auto" w:vAnchor="text" w:hAnchor="page" w:x="5695" w:y="31"/>
      <w:ind w:left="567" w:hanging="11"/>
      <w:jc w:val="right"/>
      <w:rPr>
        <w:rFonts w:ascii="Arial" w:hAnsi="Arial" w:cs="Arial"/>
        <w:b/>
        <w:color w:val="002060"/>
        <w:lang w:val="pt-BR"/>
      </w:rPr>
    </w:pPr>
    <w:r w:rsidRPr="00987CEE">
      <w:rPr>
        <w:rFonts w:ascii="Arial" w:hAnsi="Arial" w:cs="Arial"/>
        <w:b/>
        <w:color w:val="002060"/>
        <w:lang w:val="pt-BR"/>
      </w:rPr>
      <w:t xml:space="preserve">PÁGINA </w:t>
    </w:r>
    <w:r w:rsidRPr="00987CEE">
      <w:rPr>
        <w:rFonts w:ascii="Arial" w:hAnsi="Arial" w:cs="Arial"/>
        <w:b/>
        <w:color w:val="002060"/>
      </w:rPr>
      <w:fldChar w:fldCharType="begin"/>
    </w:r>
    <w:r w:rsidRPr="00987CEE">
      <w:rPr>
        <w:rFonts w:ascii="Arial" w:hAnsi="Arial" w:cs="Arial"/>
        <w:b/>
        <w:color w:val="002060"/>
        <w:lang w:val="pt-BR"/>
      </w:rPr>
      <w:instrText xml:space="preserve">\PAGE </w:instrText>
    </w:r>
    <w:r w:rsidRPr="00987CEE">
      <w:rPr>
        <w:rFonts w:ascii="Arial" w:hAnsi="Arial" w:cs="Arial"/>
        <w:color w:val="002060"/>
      </w:rPr>
      <w:fldChar w:fldCharType="separate"/>
    </w:r>
    <w:r w:rsidR="001E7246">
      <w:rPr>
        <w:rFonts w:ascii="Arial" w:hAnsi="Arial" w:cs="Arial"/>
        <w:b/>
        <w:noProof/>
        <w:color w:val="002060"/>
        <w:lang w:val="pt-BR"/>
      </w:rPr>
      <w:t>2</w:t>
    </w:r>
    <w:r w:rsidRPr="00987CEE">
      <w:rPr>
        <w:rFonts w:ascii="Arial" w:hAnsi="Arial" w:cs="Arial"/>
        <w:color w:val="002060"/>
      </w:rPr>
      <w:fldChar w:fldCharType="end"/>
    </w:r>
    <w:r w:rsidRPr="00987CEE">
      <w:rPr>
        <w:rFonts w:ascii="Arial" w:hAnsi="Arial" w:cs="Arial"/>
        <w:b/>
        <w:color w:val="002060"/>
        <w:lang w:val="pt-BR"/>
      </w:rPr>
      <w:t>/</w:t>
    </w:r>
    <w:r w:rsidR="00A10D4F">
      <w:rPr>
        <w:rFonts w:ascii="Arial" w:hAnsi="Arial" w:cs="Arial"/>
        <w:b/>
        <w:color w:val="002060"/>
        <w:lang w:val="pt-BR"/>
      </w:rPr>
      <w:t>2</w:t>
    </w:r>
  </w:p>
  <w:p w14:paraId="1CC291F3" w14:textId="35341D09" w:rsidR="001D7190" w:rsidRDefault="00086D8C" w:rsidP="008956DA">
    <w:pPr>
      <w:pStyle w:val="Encabezado"/>
      <w:tabs>
        <w:tab w:val="clear" w:pos="4419"/>
        <w:tab w:val="clear" w:pos="8838"/>
        <w:tab w:val="center" w:pos="1713"/>
      </w:tabs>
      <w:ind w:left="-426" w:hanging="141"/>
    </w:pPr>
    <w:r w:rsidRPr="008309F1">
      <w:rPr>
        <w:noProof/>
        <w:lang w:val="en-US" w:eastAsia="en-US"/>
      </w:rPr>
      <w:drawing>
        <wp:inline distT="0" distB="0" distL="0" distR="0" wp14:anchorId="2AEB315C" wp14:editId="1BD1719D">
          <wp:extent cx="742950" cy="769466"/>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rsidR="002E63C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9C28D" w14:textId="77777777" w:rsidR="00086D8C" w:rsidRPr="00ED71F9" w:rsidRDefault="00086D8C">
    <w:pPr>
      <w:pStyle w:val="Encabezado"/>
      <w:rPr>
        <w:sz w:val="32"/>
        <w:szCs w:val="32"/>
      </w:rPr>
    </w:pPr>
  </w:p>
  <w:p w14:paraId="68B98189" w14:textId="77777777" w:rsidR="00086D8C" w:rsidRDefault="00086D8C" w:rsidP="00994BB9">
    <w:pPr>
      <w:pStyle w:val="Encabezado"/>
      <w:ind w:left="-284"/>
      <w:jc w:val="center"/>
    </w:pPr>
    <w:r w:rsidRPr="00F418AF">
      <w:rPr>
        <w:noProof/>
        <w:lang w:val="en-US" w:eastAsia="en-US"/>
      </w:rPr>
      <w:drawing>
        <wp:inline distT="0" distB="0" distL="0" distR="0" wp14:anchorId="2FAB52EA" wp14:editId="499BFE3A">
          <wp:extent cx="809625" cy="843011"/>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737" cy="84625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B31324"/>
    <w:multiLevelType w:val="hybridMultilevel"/>
    <w:tmpl w:val="F138A73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27F33FAE"/>
    <w:multiLevelType w:val="hybridMultilevel"/>
    <w:tmpl w:val="40FA02B2"/>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294"/>
    <w:rsid w:val="00000486"/>
    <w:rsid w:val="00001B4D"/>
    <w:rsid w:val="00005C5E"/>
    <w:rsid w:val="00010EB2"/>
    <w:rsid w:val="0002598E"/>
    <w:rsid w:val="00027C30"/>
    <w:rsid w:val="00030773"/>
    <w:rsid w:val="00033CE3"/>
    <w:rsid w:val="00036E55"/>
    <w:rsid w:val="00037BDD"/>
    <w:rsid w:val="00042EAF"/>
    <w:rsid w:val="00043FC8"/>
    <w:rsid w:val="00047B93"/>
    <w:rsid w:val="00060007"/>
    <w:rsid w:val="0006136E"/>
    <w:rsid w:val="0006168D"/>
    <w:rsid w:val="000628A0"/>
    <w:rsid w:val="00063463"/>
    <w:rsid w:val="00066944"/>
    <w:rsid w:val="0007074A"/>
    <w:rsid w:val="0007127C"/>
    <w:rsid w:val="0007202D"/>
    <w:rsid w:val="000749A3"/>
    <w:rsid w:val="000771A5"/>
    <w:rsid w:val="00080002"/>
    <w:rsid w:val="00081AD6"/>
    <w:rsid w:val="000850BD"/>
    <w:rsid w:val="00086D8C"/>
    <w:rsid w:val="00087AB3"/>
    <w:rsid w:val="00096C6B"/>
    <w:rsid w:val="000979E1"/>
    <w:rsid w:val="000A1B1C"/>
    <w:rsid w:val="000A2285"/>
    <w:rsid w:val="000A6494"/>
    <w:rsid w:val="000B2914"/>
    <w:rsid w:val="000C1D0A"/>
    <w:rsid w:val="000D484C"/>
    <w:rsid w:val="000E5D48"/>
    <w:rsid w:val="000E75B3"/>
    <w:rsid w:val="000E7DC1"/>
    <w:rsid w:val="000F0AC9"/>
    <w:rsid w:val="000F6EB5"/>
    <w:rsid w:val="000F7F6B"/>
    <w:rsid w:val="0010026F"/>
    <w:rsid w:val="00101445"/>
    <w:rsid w:val="00105AA3"/>
    <w:rsid w:val="00106017"/>
    <w:rsid w:val="00113CBD"/>
    <w:rsid w:val="00117612"/>
    <w:rsid w:val="00125305"/>
    <w:rsid w:val="00126773"/>
    <w:rsid w:val="00126CBE"/>
    <w:rsid w:val="00132B17"/>
    <w:rsid w:val="00134AEA"/>
    <w:rsid w:val="00140BDE"/>
    <w:rsid w:val="00141A97"/>
    <w:rsid w:val="00146E06"/>
    <w:rsid w:val="00147A7F"/>
    <w:rsid w:val="00151583"/>
    <w:rsid w:val="00153397"/>
    <w:rsid w:val="00154A53"/>
    <w:rsid w:val="001573E0"/>
    <w:rsid w:val="00160AD7"/>
    <w:rsid w:val="001650B4"/>
    <w:rsid w:val="001650B6"/>
    <w:rsid w:val="00166DD8"/>
    <w:rsid w:val="00174BF2"/>
    <w:rsid w:val="001804EC"/>
    <w:rsid w:val="00180D31"/>
    <w:rsid w:val="001811D3"/>
    <w:rsid w:val="001852F9"/>
    <w:rsid w:val="00185E03"/>
    <w:rsid w:val="0018633D"/>
    <w:rsid w:val="0018695D"/>
    <w:rsid w:val="00192005"/>
    <w:rsid w:val="001926F3"/>
    <w:rsid w:val="001A0262"/>
    <w:rsid w:val="001A44C4"/>
    <w:rsid w:val="001A5B60"/>
    <w:rsid w:val="001A7737"/>
    <w:rsid w:val="001C0FF0"/>
    <w:rsid w:val="001C1A11"/>
    <w:rsid w:val="001C2796"/>
    <w:rsid w:val="001C2E63"/>
    <w:rsid w:val="001D3128"/>
    <w:rsid w:val="001D36BC"/>
    <w:rsid w:val="001D7190"/>
    <w:rsid w:val="001E5EC1"/>
    <w:rsid w:val="001E6B57"/>
    <w:rsid w:val="001E7246"/>
    <w:rsid w:val="001F11C1"/>
    <w:rsid w:val="001F26EB"/>
    <w:rsid w:val="001F6CCA"/>
    <w:rsid w:val="001F7738"/>
    <w:rsid w:val="002042ED"/>
    <w:rsid w:val="002116B5"/>
    <w:rsid w:val="00217F98"/>
    <w:rsid w:val="002209A6"/>
    <w:rsid w:val="0022125A"/>
    <w:rsid w:val="00222648"/>
    <w:rsid w:val="00225A19"/>
    <w:rsid w:val="00226E99"/>
    <w:rsid w:val="00227EE5"/>
    <w:rsid w:val="002357DA"/>
    <w:rsid w:val="00243821"/>
    <w:rsid w:val="00246BAC"/>
    <w:rsid w:val="002531C2"/>
    <w:rsid w:val="00254DE5"/>
    <w:rsid w:val="00260E0B"/>
    <w:rsid w:val="00272138"/>
    <w:rsid w:val="00274756"/>
    <w:rsid w:val="00274D0F"/>
    <w:rsid w:val="00274FC1"/>
    <w:rsid w:val="00277390"/>
    <w:rsid w:val="00277477"/>
    <w:rsid w:val="002779E8"/>
    <w:rsid w:val="00277F0F"/>
    <w:rsid w:val="002834B9"/>
    <w:rsid w:val="002840EB"/>
    <w:rsid w:val="00286103"/>
    <w:rsid w:val="002902AA"/>
    <w:rsid w:val="00291CE7"/>
    <w:rsid w:val="00292FD3"/>
    <w:rsid w:val="00293C75"/>
    <w:rsid w:val="00295D58"/>
    <w:rsid w:val="002A2E84"/>
    <w:rsid w:val="002A3A03"/>
    <w:rsid w:val="002A426A"/>
    <w:rsid w:val="002A47E3"/>
    <w:rsid w:val="002A4848"/>
    <w:rsid w:val="002B2F15"/>
    <w:rsid w:val="002B3AB2"/>
    <w:rsid w:val="002B46D3"/>
    <w:rsid w:val="002B5AA0"/>
    <w:rsid w:val="002B6070"/>
    <w:rsid w:val="002B623C"/>
    <w:rsid w:val="002C14CE"/>
    <w:rsid w:val="002C2443"/>
    <w:rsid w:val="002D09F8"/>
    <w:rsid w:val="002D2731"/>
    <w:rsid w:val="002D3890"/>
    <w:rsid w:val="002D61DC"/>
    <w:rsid w:val="002D6823"/>
    <w:rsid w:val="002E28C1"/>
    <w:rsid w:val="002E35B2"/>
    <w:rsid w:val="002E63CE"/>
    <w:rsid w:val="002E6972"/>
    <w:rsid w:val="002F00A2"/>
    <w:rsid w:val="002F1847"/>
    <w:rsid w:val="002F2271"/>
    <w:rsid w:val="002F316E"/>
    <w:rsid w:val="002F398E"/>
    <w:rsid w:val="002F68AE"/>
    <w:rsid w:val="003000EA"/>
    <w:rsid w:val="00300627"/>
    <w:rsid w:val="00303B5F"/>
    <w:rsid w:val="0030524E"/>
    <w:rsid w:val="00306AE8"/>
    <w:rsid w:val="00307CD5"/>
    <w:rsid w:val="00323E72"/>
    <w:rsid w:val="00323F42"/>
    <w:rsid w:val="00327E7C"/>
    <w:rsid w:val="0033085A"/>
    <w:rsid w:val="00337432"/>
    <w:rsid w:val="00340410"/>
    <w:rsid w:val="00341B85"/>
    <w:rsid w:val="00342E8D"/>
    <w:rsid w:val="003476AC"/>
    <w:rsid w:val="00352CBC"/>
    <w:rsid w:val="00354456"/>
    <w:rsid w:val="00354B95"/>
    <w:rsid w:val="00354C45"/>
    <w:rsid w:val="003638EF"/>
    <w:rsid w:val="00364D3B"/>
    <w:rsid w:val="00374A9F"/>
    <w:rsid w:val="003770BC"/>
    <w:rsid w:val="003817BD"/>
    <w:rsid w:val="00382599"/>
    <w:rsid w:val="00396384"/>
    <w:rsid w:val="003A0238"/>
    <w:rsid w:val="003A0E3A"/>
    <w:rsid w:val="003A1ABE"/>
    <w:rsid w:val="003A2271"/>
    <w:rsid w:val="003B00FC"/>
    <w:rsid w:val="003B20B5"/>
    <w:rsid w:val="003B295A"/>
    <w:rsid w:val="003B3BE4"/>
    <w:rsid w:val="003C5719"/>
    <w:rsid w:val="003D2FC4"/>
    <w:rsid w:val="003E1A53"/>
    <w:rsid w:val="003F3206"/>
    <w:rsid w:val="003F54D0"/>
    <w:rsid w:val="004007EA"/>
    <w:rsid w:val="00412346"/>
    <w:rsid w:val="00413DD6"/>
    <w:rsid w:val="00420E2C"/>
    <w:rsid w:val="00424788"/>
    <w:rsid w:val="004277E7"/>
    <w:rsid w:val="00427A7C"/>
    <w:rsid w:val="00431377"/>
    <w:rsid w:val="00443445"/>
    <w:rsid w:val="004443EA"/>
    <w:rsid w:val="00444F0A"/>
    <w:rsid w:val="00446D69"/>
    <w:rsid w:val="00452246"/>
    <w:rsid w:val="00454778"/>
    <w:rsid w:val="00456800"/>
    <w:rsid w:val="0046058A"/>
    <w:rsid w:val="00460F7F"/>
    <w:rsid w:val="00463C39"/>
    <w:rsid w:val="00473CF4"/>
    <w:rsid w:val="004747C6"/>
    <w:rsid w:val="004772FD"/>
    <w:rsid w:val="00480DD5"/>
    <w:rsid w:val="00486B04"/>
    <w:rsid w:val="00491B74"/>
    <w:rsid w:val="00491D5E"/>
    <w:rsid w:val="004A119F"/>
    <w:rsid w:val="004A3B40"/>
    <w:rsid w:val="004A3D64"/>
    <w:rsid w:val="004A7CDA"/>
    <w:rsid w:val="004B0D3D"/>
    <w:rsid w:val="004B4B87"/>
    <w:rsid w:val="004B54EB"/>
    <w:rsid w:val="004B6A88"/>
    <w:rsid w:val="004C0B6D"/>
    <w:rsid w:val="004C260D"/>
    <w:rsid w:val="004C4070"/>
    <w:rsid w:val="004D3E9E"/>
    <w:rsid w:val="004D4D62"/>
    <w:rsid w:val="004D76FE"/>
    <w:rsid w:val="004E07E9"/>
    <w:rsid w:val="004E2A1D"/>
    <w:rsid w:val="004E51E6"/>
    <w:rsid w:val="004E7A62"/>
    <w:rsid w:val="004F017B"/>
    <w:rsid w:val="004F1492"/>
    <w:rsid w:val="004F48E2"/>
    <w:rsid w:val="004F62CB"/>
    <w:rsid w:val="004F65D8"/>
    <w:rsid w:val="00500258"/>
    <w:rsid w:val="00501F73"/>
    <w:rsid w:val="00502A74"/>
    <w:rsid w:val="00503A60"/>
    <w:rsid w:val="00503EDE"/>
    <w:rsid w:val="0051055D"/>
    <w:rsid w:val="00510CE0"/>
    <w:rsid w:val="005127FA"/>
    <w:rsid w:val="005144D9"/>
    <w:rsid w:val="00514B7D"/>
    <w:rsid w:val="00514E65"/>
    <w:rsid w:val="00524FB1"/>
    <w:rsid w:val="00526D2F"/>
    <w:rsid w:val="00532CC6"/>
    <w:rsid w:val="0054251E"/>
    <w:rsid w:val="00544E03"/>
    <w:rsid w:val="00547D16"/>
    <w:rsid w:val="0055189E"/>
    <w:rsid w:val="00555BE8"/>
    <w:rsid w:val="005604FA"/>
    <w:rsid w:val="0056051B"/>
    <w:rsid w:val="00562C52"/>
    <w:rsid w:val="00566298"/>
    <w:rsid w:val="005716E2"/>
    <w:rsid w:val="00572392"/>
    <w:rsid w:val="00573734"/>
    <w:rsid w:val="005833AB"/>
    <w:rsid w:val="00585FDD"/>
    <w:rsid w:val="005872B5"/>
    <w:rsid w:val="00593ED8"/>
    <w:rsid w:val="005953CD"/>
    <w:rsid w:val="00595502"/>
    <w:rsid w:val="005969D5"/>
    <w:rsid w:val="005979D0"/>
    <w:rsid w:val="005A220E"/>
    <w:rsid w:val="005A4848"/>
    <w:rsid w:val="005B0DEE"/>
    <w:rsid w:val="005B2E00"/>
    <w:rsid w:val="005B3174"/>
    <w:rsid w:val="005B4D9D"/>
    <w:rsid w:val="005B7C21"/>
    <w:rsid w:val="005C270C"/>
    <w:rsid w:val="005C72E0"/>
    <w:rsid w:val="005D1653"/>
    <w:rsid w:val="005E12D2"/>
    <w:rsid w:val="005E4D22"/>
    <w:rsid w:val="005E5664"/>
    <w:rsid w:val="005F0FE3"/>
    <w:rsid w:val="005F3DFE"/>
    <w:rsid w:val="005F758B"/>
    <w:rsid w:val="005F7E75"/>
    <w:rsid w:val="00600486"/>
    <w:rsid w:val="00600944"/>
    <w:rsid w:val="00606834"/>
    <w:rsid w:val="00607436"/>
    <w:rsid w:val="00615093"/>
    <w:rsid w:val="00621F85"/>
    <w:rsid w:val="00622C00"/>
    <w:rsid w:val="00626B71"/>
    <w:rsid w:val="00634AD1"/>
    <w:rsid w:val="00636D65"/>
    <w:rsid w:val="006375CB"/>
    <w:rsid w:val="00640966"/>
    <w:rsid w:val="00641E32"/>
    <w:rsid w:val="00644D1C"/>
    <w:rsid w:val="0064746D"/>
    <w:rsid w:val="00654AA4"/>
    <w:rsid w:val="006560A2"/>
    <w:rsid w:val="00660648"/>
    <w:rsid w:val="00666272"/>
    <w:rsid w:val="00667084"/>
    <w:rsid w:val="00670DB6"/>
    <w:rsid w:val="00671E0B"/>
    <w:rsid w:val="00674B5E"/>
    <w:rsid w:val="006757B3"/>
    <w:rsid w:val="006770FE"/>
    <w:rsid w:val="0067746C"/>
    <w:rsid w:val="00677D79"/>
    <w:rsid w:val="006821D6"/>
    <w:rsid w:val="00682C6D"/>
    <w:rsid w:val="00684984"/>
    <w:rsid w:val="00684A97"/>
    <w:rsid w:val="00685039"/>
    <w:rsid w:val="00687276"/>
    <w:rsid w:val="00687492"/>
    <w:rsid w:val="00691419"/>
    <w:rsid w:val="00694001"/>
    <w:rsid w:val="006A36F3"/>
    <w:rsid w:val="006B0A79"/>
    <w:rsid w:val="006B3F94"/>
    <w:rsid w:val="006B7D6F"/>
    <w:rsid w:val="006C332D"/>
    <w:rsid w:val="006C34D6"/>
    <w:rsid w:val="006C4671"/>
    <w:rsid w:val="006C6EF7"/>
    <w:rsid w:val="006D0132"/>
    <w:rsid w:val="006D36EB"/>
    <w:rsid w:val="006D437B"/>
    <w:rsid w:val="006D5787"/>
    <w:rsid w:val="006D7133"/>
    <w:rsid w:val="006E2D46"/>
    <w:rsid w:val="006F1C5C"/>
    <w:rsid w:val="006F4D22"/>
    <w:rsid w:val="006F69D3"/>
    <w:rsid w:val="00700957"/>
    <w:rsid w:val="00701149"/>
    <w:rsid w:val="00704700"/>
    <w:rsid w:val="007056F8"/>
    <w:rsid w:val="00705D1B"/>
    <w:rsid w:val="007108EB"/>
    <w:rsid w:val="007122BD"/>
    <w:rsid w:val="00713731"/>
    <w:rsid w:val="00713947"/>
    <w:rsid w:val="00714180"/>
    <w:rsid w:val="007227A9"/>
    <w:rsid w:val="00723CD8"/>
    <w:rsid w:val="00724605"/>
    <w:rsid w:val="0073242F"/>
    <w:rsid w:val="00733C95"/>
    <w:rsid w:val="00735658"/>
    <w:rsid w:val="00735D49"/>
    <w:rsid w:val="007400A0"/>
    <w:rsid w:val="0074375C"/>
    <w:rsid w:val="00744A09"/>
    <w:rsid w:val="007465DA"/>
    <w:rsid w:val="00746FAE"/>
    <w:rsid w:val="00751527"/>
    <w:rsid w:val="0075290C"/>
    <w:rsid w:val="0076280D"/>
    <w:rsid w:val="007716F9"/>
    <w:rsid w:val="00774CCE"/>
    <w:rsid w:val="00777D18"/>
    <w:rsid w:val="00782122"/>
    <w:rsid w:val="007839FE"/>
    <w:rsid w:val="007917C2"/>
    <w:rsid w:val="007A0065"/>
    <w:rsid w:val="007A19F6"/>
    <w:rsid w:val="007A23D0"/>
    <w:rsid w:val="007A25D7"/>
    <w:rsid w:val="007A56D3"/>
    <w:rsid w:val="007A5EFC"/>
    <w:rsid w:val="007B32C1"/>
    <w:rsid w:val="007B5CCF"/>
    <w:rsid w:val="007C53D8"/>
    <w:rsid w:val="007C54B2"/>
    <w:rsid w:val="007C5B1B"/>
    <w:rsid w:val="007D0519"/>
    <w:rsid w:val="007D0EC2"/>
    <w:rsid w:val="007D56F5"/>
    <w:rsid w:val="007D7541"/>
    <w:rsid w:val="007E54FE"/>
    <w:rsid w:val="007E7EF3"/>
    <w:rsid w:val="007F1748"/>
    <w:rsid w:val="007F3AE5"/>
    <w:rsid w:val="00800EF9"/>
    <w:rsid w:val="00801629"/>
    <w:rsid w:val="0080258B"/>
    <w:rsid w:val="00806BEB"/>
    <w:rsid w:val="008149FE"/>
    <w:rsid w:val="00815B1F"/>
    <w:rsid w:val="008160DA"/>
    <w:rsid w:val="00817084"/>
    <w:rsid w:val="00824AF2"/>
    <w:rsid w:val="00825840"/>
    <w:rsid w:val="008274BF"/>
    <w:rsid w:val="00831A7E"/>
    <w:rsid w:val="00831AD5"/>
    <w:rsid w:val="00834F8F"/>
    <w:rsid w:val="008352F5"/>
    <w:rsid w:val="00835AA6"/>
    <w:rsid w:val="0083638E"/>
    <w:rsid w:val="00841786"/>
    <w:rsid w:val="00845188"/>
    <w:rsid w:val="0084672E"/>
    <w:rsid w:val="008503A8"/>
    <w:rsid w:val="0085042C"/>
    <w:rsid w:val="00851372"/>
    <w:rsid w:val="008524FE"/>
    <w:rsid w:val="008534CE"/>
    <w:rsid w:val="00856A94"/>
    <w:rsid w:val="00860186"/>
    <w:rsid w:val="00861069"/>
    <w:rsid w:val="00861983"/>
    <w:rsid w:val="00863BCA"/>
    <w:rsid w:val="0086479F"/>
    <w:rsid w:val="00865764"/>
    <w:rsid w:val="00866368"/>
    <w:rsid w:val="008725A2"/>
    <w:rsid w:val="00875719"/>
    <w:rsid w:val="00881AB2"/>
    <w:rsid w:val="0088456D"/>
    <w:rsid w:val="00885971"/>
    <w:rsid w:val="00886176"/>
    <w:rsid w:val="00886CD5"/>
    <w:rsid w:val="00886E91"/>
    <w:rsid w:val="00891779"/>
    <w:rsid w:val="008956DA"/>
    <w:rsid w:val="008A154A"/>
    <w:rsid w:val="008A1CAE"/>
    <w:rsid w:val="008A2EC3"/>
    <w:rsid w:val="008A3E90"/>
    <w:rsid w:val="008A777B"/>
    <w:rsid w:val="008B0864"/>
    <w:rsid w:val="008B15C8"/>
    <w:rsid w:val="008B1EF8"/>
    <w:rsid w:val="008B5E63"/>
    <w:rsid w:val="008C535D"/>
    <w:rsid w:val="008C6210"/>
    <w:rsid w:val="008C7264"/>
    <w:rsid w:val="008D3481"/>
    <w:rsid w:val="008D46A7"/>
    <w:rsid w:val="008D5819"/>
    <w:rsid w:val="008D59E9"/>
    <w:rsid w:val="008E30BD"/>
    <w:rsid w:val="008E37B5"/>
    <w:rsid w:val="008E4269"/>
    <w:rsid w:val="008E5845"/>
    <w:rsid w:val="008F50D7"/>
    <w:rsid w:val="008F5AC3"/>
    <w:rsid w:val="008F5CFC"/>
    <w:rsid w:val="009005B4"/>
    <w:rsid w:val="00902794"/>
    <w:rsid w:val="0090294C"/>
    <w:rsid w:val="00903295"/>
    <w:rsid w:val="00903752"/>
    <w:rsid w:val="00904A80"/>
    <w:rsid w:val="00910613"/>
    <w:rsid w:val="00910871"/>
    <w:rsid w:val="00913085"/>
    <w:rsid w:val="009259AF"/>
    <w:rsid w:val="0092638D"/>
    <w:rsid w:val="00930014"/>
    <w:rsid w:val="009301A1"/>
    <w:rsid w:val="009337B1"/>
    <w:rsid w:val="00936545"/>
    <w:rsid w:val="009522ED"/>
    <w:rsid w:val="00956113"/>
    <w:rsid w:val="00956971"/>
    <w:rsid w:val="00966BF8"/>
    <w:rsid w:val="00971814"/>
    <w:rsid w:val="00974789"/>
    <w:rsid w:val="00977D98"/>
    <w:rsid w:val="00981BDF"/>
    <w:rsid w:val="00991502"/>
    <w:rsid w:val="00991B7D"/>
    <w:rsid w:val="00994BB9"/>
    <w:rsid w:val="00997C58"/>
    <w:rsid w:val="00997EB2"/>
    <w:rsid w:val="009A09CB"/>
    <w:rsid w:val="009A45F4"/>
    <w:rsid w:val="009A478F"/>
    <w:rsid w:val="009A61D5"/>
    <w:rsid w:val="009A660F"/>
    <w:rsid w:val="009A7124"/>
    <w:rsid w:val="009B0494"/>
    <w:rsid w:val="009B08FC"/>
    <w:rsid w:val="009B5BEB"/>
    <w:rsid w:val="009B609B"/>
    <w:rsid w:val="009C0C0B"/>
    <w:rsid w:val="009C0D67"/>
    <w:rsid w:val="009C2FCC"/>
    <w:rsid w:val="009C5F83"/>
    <w:rsid w:val="009C7B02"/>
    <w:rsid w:val="009C7F29"/>
    <w:rsid w:val="009D04C0"/>
    <w:rsid w:val="009D0C99"/>
    <w:rsid w:val="009D3B12"/>
    <w:rsid w:val="009D55D4"/>
    <w:rsid w:val="009D7D2D"/>
    <w:rsid w:val="009E5870"/>
    <w:rsid w:val="009F2B76"/>
    <w:rsid w:val="009F5CC3"/>
    <w:rsid w:val="009F6F7D"/>
    <w:rsid w:val="00A00AB6"/>
    <w:rsid w:val="00A00DCE"/>
    <w:rsid w:val="00A0447E"/>
    <w:rsid w:val="00A07011"/>
    <w:rsid w:val="00A0732E"/>
    <w:rsid w:val="00A10D4F"/>
    <w:rsid w:val="00A1226E"/>
    <w:rsid w:val="00A13089"/>
    <w:rsid w:val="00A13F13"/>
    <w:rsid w:val="00A1413B"/>
    <w:rsid w:val="00A1478B"/>
    <w:rsid w:val="00A25BA1"/>
    <w:rsid w:val="00A26665"/>
    <w:rsid w:val="00A314A9"/>
    <w:rsid w:val="00A35B73"/>
    <w:rsid w:val="00A37384"/>
    <w:rsid w:val="00A41169"/>
    <w:rsid w:val="00A4333E"/>
    <w:rsid w:val="00A436F0"/>
    <w:rsid w:val="00A47DAF"/>
    <w:rsid w:val="00A52E0B"/>
    <w:rsid w:val="00A61053"/>
    <w:rsid w:val="00A63879"/>
    <w:rsid w:val="00A67060"/>
    <w:rsid w:val="00A72E80"/>
    <w:rsid w:val="00A73FC4"/>
    <w:rsid w:val="00A81A2F"/>
    <w:rsid w:val="00A82813"/>
    <w:rsid w:val="00A830B6"/>
    <w:rsid w:val="00A83369"/>
    <w:rsid w:val="00A843DA"/>
    <w:rsid w:val="00A8640C"/>
    <w:rsid w:val="00A94CE4"/>
    <w:rsid w:val="00A964B2"/>
    <w:rsid w:val="00AA1552"/>
    <w:rsid w:val="00AA3735"/>
    <w:rsid w:val="00AA3D42"/>
    <w:rsid w:val="00AA42F0"/>
    <w:rsid w:val="00AA4E4A"/>
    <w:rsid w:val="00AA653F"/>
    <w:rsid w:val="00AA7EDE"/>
    <w:rsid w:val="00AB07AB"/>
    <w:rsid w:val="00AB2B3C"/>
    <w:rsid w:val="00AB4D35"/>
    <w:rsid w:val="00AB55B6"/>
    <w:rsid w:val="00AB561B"/>
    <w:rsid w:val="00AB5F83"/>
    <w:rsid w:val="00AC4199"/>
    <w:rsid w:val="00AC5066"/>
    <w:rsid w:val="00AD0359"/>
    <w:rsid w:val="00AD1872"/>
    <w:rsid w:val="00AD3A37"/>
    <w:rsid w:val="00AD704B"/>
    <w:rsid w:val="00AE1460"/>
    <w:rsid w:val="00AE2EA3"/>
    <w:rsid w:val="00AE4C7F"/>
    <w:rsid w:val="00AE50FB"/>
    <w:rsid w:val="00AE7186"/>
    <w:rsid w:val="00AF1CA2"/>
    <w:rsid w:val="00AF2E50"/>
    <w:rsid w:val="00AF36C3"/>
    <w:rsid w:val="00B0226B"/>
    <w:rsid w:val="00B06AA2"/>
    <w:rsid w:val="00B16B4A"/>
    <w:rsid w:val="00B21030"/>
    <w:rsid w:val="00B429BE"/>
    <w:rsid w:val="00B4374E"/>
    <w:rsid w:val="00B511F8"/>
    <w:rsid w:val="00B51BA1"/>
    <w:rsid w:val="00B55B80"/>
    <w:rsid w:val="00B6193A"/>
    <w:rsid w:val="00B61E00"/>
    <w:rsid w:val="00B65AED"/>
    <w:rsid w:val="00B6601B"/>
    <w:rsid w:val="00B66CF2"/>
    <w:rsid w:val="00B66DDA"/>
    <w:rsid w:val="00B7051A"/>
    <w:rsid w:val="00B720DF"/>
    <w:rsid w:val="00B729A2"/>
    <w:rsid w:val="00B74004"/>
    <w:rsid w:val="00B80A38"/>
    <w:rsid w:val="00B86AAB"/>
    <w:rsid w:val="00B876AF"/>
    <w:rsid w:val="00B914C6"/>
    <w:rsid w:val="00B9212B"/>
    <w:rsid w:val="00B94C95"/>
    <w:rsid w:val="00B971F6"/>
    <w:rsid w:val="00B97769"/>
    <w:rsid w:val="00BA3ACE"/>
    <w:rsid w:val="00BA72AA"/>
    <w:rsid w:val="00BB1BF1"/>
    <w:rsid w:val="00BB615A"/>
    <w:rsid w:val="00BB6C76"/>
    <w:rsid w:val="00BB7C48"/>
    <w:rsid w:val="00BC101A"/>
    <w:rsid w:val="00BD17CE"/>
    <w:rsid w:val="00BD3DF2"/>
    <w:rsid w:val="00BD75DE"/>
    <w:rsid w:val="00BE3C33"/>
    <w:rsid w:val="00BE40B7"/>
    <w:rsid w:val="00BE70F2"/>
    <w:rsid w:val="00BF1C41"/>
    <w:rsid w:val="00BF21DC"/>
    <w:rsid w:val="00BF475D"/>
    <w:rsid w:val="00C04AF5"/>
    <w:rsid w:val="00C05BCD"/>
    <w:rsid w:val="00C06002"/>
    <w:rsid w:val="00C1453E"/>
    <w:rsid w:val="00C20719"/>
    <w:rsid w:val="00C22EA8"/>
    <w:rsid w:val="00C24B83"/>
    <w:rsid w:val="00C2731A"/>
    <w:rsid w:val="00C276EA"/>
    <w:rsid w:val="00C27CA0"/>
    <w:rsid w:val="00C33F02"/>
    <w:rsid w:val="00C41F82"/>
    <w:rsid w:val="00C46E6A"/>
    <w:rsid w:val="00C5178F"/>
    <w:rsid w:val="00C5337A"/>
    <w:rsid w:val="00C54411"/>
    <w:rsid w:val="00C55BC8"/>
    <w:rsid w:val="00C62773"/>
    <w:rsid w:val="00C64BE5"/>
    <w:rsid w:val="00C64E7A"/>
    <w:rsid w:val="00C65625"/>
    <w:rsid w:val="00C67178"/>
    <w:rsid w:val="00C74828"/>
    <w:rsid w:val="00C74C79"/>
    <w:rsid w:val="00C80D33"/>
    <w:rsid w:val="00C81259"/>
    <w:rsid w:val="00C83753"/>
    <w:rsid w:val="00C84A9B"/>
    <w:rsid w:val="00C866AD"/>
    <w:rsid w:val="00C90544"/>
    <w:rsid w:val="00C91F83"/>
    <w:rsid w:val="00C9441C"/>
    <w:rsid w:val="00C946ED"/>
    <w:rsid w:val="00C94EA0"/>
    <w:rsid w:val="00C95294"/>
    <w:rsid w:val="00CA0BAE"/>
    <w:rsid w:val="00CA21F2"/>
    <w:rsid w:val="00CA37E3"/>
    <w:rsid w:val="00CA49F5"/>
    <w:rsid w:val="00CB0E1B"/>
    <w:rsid w:val="00CB28C8"/>
    <w:rsid w:val="00CB2951"/>
    <w:rsid w:val="00CB6C86"/>
    <w:rsid w:val="00CB780E"/>
    <w:rsid w:val="00CD22F2"/>
    <w:rsid w:val="00CD23F2"/>
    <w:rsid w:val="00CD2D17"/>
    <w:rsid w:val="00CD5430"/>
    <w:rsid w:val="00CD653C"/>
    <w:rsid w:val="00CD7B00"/>
    <w:rsid w:val="00CE042F"/>
    <w:rsid w:val="00CE2BC8"/>
    <w:rsid w:val="00CE36E9"/>
    <w:rsid w:val="00CE49BE"/>
    <w:rsid w:val="00CE634C"/>
    <w:rsid w:val="00CE64D0"/>
    <w:rsid w:val="00CF14A3"/>
    <w:rsid w:val="00CF29A6"/>
    <w:rsid w:val="00CF317A"/>
    <w:rsid w:val="00CF3AFF"/>
    <w:rsid w:val="00CF611D"/>
    <w:rsid w:val="00CF6BEC"/>
    <w:rsid w:val="00D03634"/>
    <w:rsid w:val="00D042B6"/>
    <w:rsid w:val="00D04B91"/>
    <w:rsid w:val="00D04EE4"/>
    <w:rsid w:val="00D051CF"/>
    <w:rsid w:val="00D10EC2"/>
    <w:rsid w:val="00D112B7"/>
    <w:rsid w:val="00D1734E"/>
    <w:rsid w:val="00D20626"/>
    <w:rsid w:val="00D20DE5"/>
    <w:rsid w:val="00D2511C"/>
    <w:rsid w:val="00D3587E"/>
    <w:rsid w:val="00D3672E"/>
    <w:rsid w:val="00D411F9"/>
    <w:rsid w:val="00D429A3"/>
    <w:rsid w:val="00D43002"/>
    <w:rsid w:val="00D433A4"/>
    <w:rsid w:val="00D43B51"/>
    <w:rsid w:val="00D4400E"/>
    <w:rsid w:val="00D474AA"/>
    <w:rsid w:val="00D50FB5"/>
    <w:rsid w:val="00D534D9"/>
    <w:rsid w:val="00D53C80"/>
    <w:rsid w:val="00D61EAC"/>
    <w:rsid w:val="00D632F3"/>
    <w:rsid w:val="00D661D1"/>
    <w:rsid w:val="00D721F2"/>
    <w:rsid w:val="00D743F6"/>
    <w:rsid w:val="00D74DFA"/>
    <w:rsid w:val="00D76629"/>
    <w:rsid w:val="00D8077F"/>
    <w:rsid w:val="00D80C40"/>
    <w:rsid w:val="00D8495B"/>
    <w:rsid w:val="00D87199"/>
    <w:rsid w:val="00D92E38"/>
    <w:rsid w:val="00D92FDE"/>
    <w:rsid w:val="00D955B4"/>
    <w:rsid w:val="00D9591E"/>
    <w:rsid w:val="00DA48CA"/>
    <w:rsid w:val="00DA490A"/>
    <w:rsid w:val="00DB4B09"/>
    <w:rsid w:val="00DB7532"/>
    <w:rsid w:val="00DC31BC"/>
    <w:rsid w:val="00DC668B"/>
    <w:rsid w:val="00DC78ED"/>
    <w:rsid w:val="00DD1448"/>
    <w:rsid w:val="00DD2FBC"/>
    <w:rsid w:val="00DD7B8C"/>
    <w:rsid w:val="00DE2CB1"/>
    <w:rsid w:val="00DE5E1A"/>
    <w:rsid w:val="00DE77DB"/>
    <w:rsid w:val="00DF409B"/>
    <w:rsid w:val="00E01EE3"/>
    <w:rsid w:val="00E02EDC"/>
    <w:rsid w:val="00E038BB"/>
    <w:rsid w:val="00E0427B"/>
    <w:rsid w:val="00E1075E"/>
    <w:rsid w:val="00E16E24"/>
    <w:rsid w:val="00E212A4"/>
    <w:rsid w:val="00E26278"/>
    <w:rsid w:val="00E4022C"/>
    <w:rsid w:val="00E41483"/>
    <w:rsid w:val="00E42945"/>
    <w:rsid w:val="00E432AF"/>
    <w:rsid w:val="00E46925"/>
    <w:rsid w:val="00E47F72"/>
    <w:rsid w:val="00E516D5"/>
    <w:rsid w:val="00E54442"/>
    <w:rsid w:val="00E5502D"/>
    <w:rsid w:val="00E62903"/>
    <w:rsid w:val="00E6337A"/>
    <w:rsid w:val="00E7232B"/>
    <w:rsid w:val="00E733C5"/>
    <w:rsid w:val="00E7430E"/>
    <w:rsid w:val="00E827EE"/>
    <w:rsid w:val="00E83109"/>
    <w:rsid w:val="00E92592"/>
    <w:rsid w:val="00E92690"/>
    <w:rsid w:val="00E97BD6"/>
    <w:rsid w:val="00E97CEE"/>
    <w:rsid w:val="00EA0B7A"/>
    <w:rsid w:val="00EA1A96"/>
    <w:rsid w:val="00EB3764"/>
    <w:rsid w:val="00EB4B83"/>
    <w:rsid w:val="00EB6A5F"/>
    <w:rsid w:val="00EC16A4"/>
    <w:rsid w:val="00ED417B"/>
    <w:rsid w:val="00ED61A6"/>
    <w:rsid w:val="00ED62C6"/>
    <w:rsid w:val="00ED71F9"/>
    <w:rsid w:val="00EE5ACD"/>
    <w:rsid w:val="00EE638B"/>
    <w:rsid w:val="00EE7F94"/>
    <w:rsid w:val="00EF0427"/>
    <w:rsid w:val="00EF10AE"/>
    <w:rsid w:val="00F00E35"/>
    <w:rsid w:val="00F0626E"/>
    <w:rsid w:val="00F06DBB"/>
    <w:rsid w:val="00F070BC"/>
    <w:rsid w:val="00F1338E"/>
    <w:rsid w:val="00F14B88"/>
    <w:rsid w:val="00F20319"/>
    <w:rsid w:val="00F2064E"/>
    <w:rsid w:val="00F22E86"/>
    <w:rsid w:val="00F31803"/>
    <w:rsid w:val="00F35F3F"/>
    <w:rsid w:val="00F419B5"/>
    <w:rsid w:val="00F42A8E"/>
    <w:rsid w:val="00F4744E"/>
    <w:rsid w:val="00F50862"/>
    <w:rsid w:val="00F51D39"/>
    <w:rsid w:val="00F54852"/>
    <w:rsid w:val="00F55227"/>
    <w:rsid w:val="00F62081"/>
    <w:rsid w:val="00F621BE"/>
    <w:rsid w:val="00F6376F"/>
    <w:rsid w:val="00F63AED"/>
    <w:rsid w:val="00F64952"/>
    <w:rsid w:val="00F65F10"/>
    <w:rsid w:val="00F6758A"/>
    <w:rsid w:val="00F67734"/>
    <w:rsid w:val="00F74F89"/>
    <w:rsid w:val="00F75222"/>
    <w:rsid w:val="00F76C3D"/>
    <w:rsid w:val="00F8104D"/>
    <w:rsid w:val="00F811B6"/>
    <w:rsid w:val="00F839A0"/>
    <w:rsid w:val="00F8587C"/>
    <w:rsid w:val="00F918BE"/>
    <w:rsid w:val="00FA5325"/>
    <w:rsid w:val="00FA5927"/>
    <w:rsid w:val="00FA5F7D"/>
    <w:rsid w:val="00FB2889"/>
    <w:rsid w:val="00FB2A46"/>
    <w:rsid w:val="00FB421E"/>
    <w:rsid w:val="00FB5014"/>
    <w:rsid w:val="00FB6A8C"/>
    <w:rsid w:val="00FB6BA7"/>
    <w:rsid w:val="00FC146E"/>
    <w:rsid w:val="00FC3616"/>
    <w:rsid w:val="00FC4FC5"/>
    <w:rsid w:val="00FC5F98"/>
    <w:rsid w:val="00FC734D"/>
    <w:rsid w:val="00FD09B5"/>
    <w:rsid w:val="00FD4AFE"/>
    <w:rsid w:val="00FE00F8"/>
    <w:rsid w:val="00FE3D66"/>
    <w:rsid w:val="00FE7F6E"/>
    <w:rsid w:val="00FF5178"/>
    <w:rsid w:val="00FF648C"/>
    <w:rsid w:val="00FF72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6F570"/>
  <w15:docId w15:val="{25AB2F02-4A33-4A6E-8183-57FBC92EC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1F9"/>
    <w:pPr>
      <w:spacing w:after="0" w:line="240" w:lineRule="auto"/>
    </w:pPr>
    <w:rPr>
      <w:rFonts w:ascii="Univers (W1)" w:eastAsia="Univers (W1)" w:hAnsi="Univers (W1)" w:cs="Univers (W1)"/>
      <w:sz w:val="24"/>
      <w:szCs w:val="24"/>
      <w:lang w:eastAsia="es-MX"/>
    </w:rPr>
  </w:style>
  <w:style w:type="paragraph" w:styleId="Ttulo1">
    <w:name w:val="heading 1"/>
    <w:basedOn w:val="Normal"/>
    <w:next w:val="Normal"/>
    <w:link w:val="Ttulo1Car"/>
    <w:uiPriority w:val="9"/>
    <w:qFormat/>
    <w:rsid w:val="00C1453E"/>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Ttulo2">
    <w:name w:val="heading 2"/>
    <w:basedOn w:val="Normal"/>
    <w:next w:val="Normal"/>
    <w:link w:val="Ttulo2Car"/>
    <w:qFormat/>
    <w:rsid w:val="00994BB9"/>
    <w:pPr>
      <w:keepNext/>
      <w:spacing w:before="240"/>
      <w:jc w:val="both"/>
      <w:outlineLvl w:val="1"/>
    </w:pPr>
    <w:rPr>
      <w:rFonts w:ascii="MS Sans Serif" w:hAnsi="MS Sans Serif" w:cs="MS Sans Serif"/>
      <w:b/>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D71F9"/>
    <w:pPr>
      <w:tabs>
        <w:tab w:val="center" w:pos="4419"/>
        <w:tab w:val="right" w:pos="8838"/>
      </w:tabs>
    </w:pPr>
  </w:style>
  <w:style w:type="character" w:customStyle="1" w:styleId="EncabezadoCar">
    <w:name w:val="Encabezado Car"/>
    <w:basedOn w:val="Fuentedeprrafopredeter"/>
    <w:link w:val="Encabezado"/>
    <w:rsid w:val="00ED71F9"/>
  </w:style>
  <w:style w:type="paragraph" w:styleId="Piedepgina">
    <w:name w:val="footer"/>
    <w:basedOn w:val="Normal"/>
    <w:link w:val="PiedepginaCar"/>
    <w:uiPriority w:val="99"/>
    <w:unhideWhenUsed/>
    <w:rsid w:val="00ED71F9"/>
    <w:pPr>
      <w:tabs>
        <w:tab w:val="center" w:pos="4419"/>
        <w:tab w:val="right" w:pos="8838"/>
      </w:tabs>
    </w:pPr>
  </w:style>
  <w:style w:type="character" w:customStyle="1" w:styleId="PiedepginaCar">
    <w:name w:val="Pie de página Car"/>
    <w:basedOn w:val="Fuentedeprrafopredeter"/>
    <w:link w:val="Piedepgina"/>
    <w:uiPriority w:val="99"/>
    <w:rsid w:val="00ED71F9"/>
  </w:style>
  <w:style w:type="paragraph" w:styleId="Textonotapie">
    <w:name w:val="footnote text"/>
    <w:basedOn w:val="Normal"/>
    <w:link w:val="TextonotapieCar"/>
    <w:rsid w:val="00ED71F9"/>
    <w:rPr>
      <w:sz w:val="20"/>
      <w:szCs w:val="20"/>
    </w:rPr>
  </w:style>
  <w:style w:type="character" w:customStyle="1" w:styleId="TextonotapieCar">
    <w:name w:val="Texto nota pie Car"/>
    <w:basedOn w:val="Fuentedeprrafopredeter"/>
    <w:link w:val="Textonotapie"/>
    <w:rsid w:val="00ED71F9"/>
    <w:rPr>
      <w:rFonts w:ascii="Univers (W1)" w:eastAsia="Univers (W1)" w:hAnsi="Univers (W1)" w:cs="Univers (W1)"/>
      <w:sz w:val="20"/>
      <w:szCs w:val="20"/>
      <w:lang w:eastAsia="es-MX"/>
    </w:rPr>
  </w:style>
  <w:style w:type="character" w:styleId="Refdenotaalpie">
    <w:name w:val="footnote reference"/>
    <w:rsid w:val="00ED71F9"/>
    <w:rPr>
      <w:vertAlign w:val="superscript"/>
    </w:rPr>
  </w:style>
  <w:style w:type="paragraph" w:styleId="Textoindependiente">
    <w:name w:val="Body Text"/>
    <w:basedOn w:val="Normal"/>
    <w:link w:val="TextoindependienteCar"/>
    <w:rsid w:val="00ED71F9"/>
    <w:pPr>
      <w:jc w:val="both"/>
    </w:pPr>
    <w:rPr>
      <w:rFonts w:ascii="MS Sans Serif" w:hAnsi="MS Sans Serif"/>
      <w:lang w:val="x-none" w:eastAsia="x-none"/>
    </w:rPr>
  </w:style>
  <w:style w:type="character" w:customStyle="1" w:styleId="TextoindependienteCar">
    <w:name w:val="Texto independiente Car"/>
    <w:basedOn w:val="Fuentedeprrafopredeter"/>
    <w:link w:val="Textoindependiente"/>
    <w:rsid w:val="00ED71F9"/>
    <w:rPr>
      <w:rFonts w:ascii="MS Sans Serif" w:eastAsia="Univers (W1)" w:hAnsi="MS Sans Serif" w:cs="Univers (W1)"/>
      <w:sz w:val="24"/>
      <w:szCs w:val="24"/>
      <w:lang w:val="x-none" w:eastAsia="x-none"/>
    </w:rPr>
  </w:style>
  <w:style w:type="paragraph" w:customStyle="1" w:styleId="Profesin">
    <w:name w:val="Profesión"/>
    <w:basedOn w:val="Normal"/>
    <w:rsid w:val="00ED71F9"/>
    <w:pPr>
      <w:jc w:val="center"/>
    </w:pPr>
    <w:rPr>
      <w:rFonts w:ascii="MS Sans Serif" w:hAnsi="MS Sans Serif"/>
      <w:b/>
      <w:caps/>
      <w:sz w:val="28"/>
      <w:szCs w:val="20"/>
      <w:lang w:val="es-ES_tradnl" w:eastAsia="es-ES"/>
    </w:rPr>
  </w:style>
  <w:style w:type="paragraph" w:customStyle="1" w:styleId="n01">
    <w:name w:val="n01"/>
    <w:basedOn w:val="Normal"/>
    <w:rsid w:val="00ED71F9"/>
    <w:pPr>
      <w:keepLines/>
      <w:spacing w:before="240"/>
      <w:ind w:left="720" w:hanging="720"/>
      <w:jc w:val="both"/>
    </w:pPr>
    <w:rPr>
      <w:rFonts w:ascii="MT Extra" w:hAnsi="MT Extra"/>
      <w:color w:val="800080"/>
      <w:szCs w:val="20"/>
      <w:lang w:val="es-ES_tradnl" w:eastAsia="es-ES"/>
    </w:rPr>
  </w:style>
  <w:style w:type="paragraph" w:customStyle="1" w:styleId="Textodebloque1">
    <w:name w:val="Texto de bloque1"/>
    <w:basedOn w:val="Normal"/>
    <w:rsid w:val="00ED71F9"/>
    <w:pPr>
      <w:spacing w:before="240"/>
      <w:ind w:left="1843" w:right="1361" w:hanging="273"/>
      <w:jc w:val="both"/>
    </w:pPr>
    <w:rPr>
      <w:rFonts w:ascii="MS Sans Serif" w:hAnsi="MS Sans Serif"/>
      <w:b/>
      <w:sz w:val="22"/>
      <w:szCs w:val="20"/>
      <w:lang w:val="es-ES_tradnl" w:eastAsia="es-ES"/>
    </w:rPr>
  </w:style>
  <w:style w:type="character" w:styleId="Hipervnculo">
    <w:name w:val="Hyperlink"/>
    <w:rsid w:val="009D0C99"/>
    <w:rPr>
      <w:color w:val="0000FF"/>
      <w:u w:val="single"/>
    </w:rPr>
  </w:style>
  <w:style w:type="character" w:customStyle="1" w:styleId="Mencinsinresolver1">
    <w:name w:val="Mención sin resolver1"/>
    <w:basedOn w:val="Fuentedeprrafopredeter"/>
    <w:uiPriority w:val="99"/>
    <w:semiHidden/>
    <w:unhideWhenUsed/>
    <w:rsid w:val="009D0C99"/>
    <w:rPr>
      <w:color w:val="605E5C"/>
      <w:shd w:val="clear" w:color="auto" w:fill="E1DFDD"/>
    </w:rPr>
  </w:style>
  <w:style w:type="character" w:styleId="Refdecomentario">
    <w:name w:val="annotation reference"/>
    <w:basedOn w:val="Fuentedeprrafopredeter"/>
    <w:uiPriority w:val="99"/>
    <w:semiHidden/>
    <w:unhideWhenUsed/>
    <w:rsid w:val="00B16B4A"/>
    <w:rPr>
      <w:sz w:val="16"/>
      <w:szCs w:val="16"/>
    </w:rPr>
  </w:style>
  <w:style w:type="paragraph" w:styleId="Textocomentario">
    <w:name w:val="annotation text"/>
    <w:basedOn w:val="Normal"/>
    <w:link w:val="TextocomentarioCar"/>
    <w:uiPriority w:val="99"/>
    <w:semiHidden/>
    <w:unhideWhenUsed/>
    <w:rsid w:val="00B16B4A"/>
    <w:rPr>
      <w:sz w:val="20"/>
      <w:szCs w:val="20"/>
    </w:rPr>
  </w:style>
  <w:style w:type="character" w:customStyle="1" w:styleId="TextocomentarioCar">
    <w:name w:val="Texto comentario Car"/>
    <w:basedOn w:val="Fuentedeprrafopredeter"/>
    <w:link w:val="Textocomentario"/>
    <w:uiPriority w:val="99"/>
    <w:semiHidden/>
    <w:rsid w:val="00B16B4A"/>
    <w:rPr>
      <w:rFonts w:ascii="Univers (W1)" w:eastAsia="Univers (W1)" w:hAnsi="Univers (W1)" w:cs="Univers (W1)"/>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16B4A"/>
    <w:rPr>
      <w:b/>
      <w:bCs/>
    </w:rPr>
  </w:style>
  <w:style w:type="character" w:customStyle="1" w:styleId="AsuntodelcomentarioCar">
    <w:name w:val="Asunto del comentario Car"/>
    <w:basedOn w:val="TextocomentarioCar"/>
    <w:link w:val="Asuntodelcomentario"/>
    <w:uiPriority w:val="99"/>
    <w:semiHidden/>
    <w:rsid w:val="00B16B4A"/>
    <w:rPr>
      <w:rFonts w:ascii="Univers (W1)" w:eastAsia="Univers (W1)" w:hAnsi="Univers (W1)" w:cs="Univers (W1)"/>
      <w:b/>
      <w:bCs/>
      <w:sz w:val="20"/>
      <w:szCs w:val="20"/>
      <w:lang w:eastAsia="es-MX"/>
    </w:rPr>
  </w:style>
  <w:style w:type="paragraph" w:styleId="Textodeglobo">
    <w:name w:val="Balloon Text"/>
    <w:basedOn w:val="Normal"/>
    <w:link w:val="TextodegloboCar"/>
    <w:uiPriority w:val="99"/>
    <w:semiHidden/>
    <w:unhideWhenUsed/>
    <w:rsid w:val="00B16B4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16B4A"/>
    <w:rPr>
      <w:rFonts w:ascii="Segoe UI" w:eastAsia="Univers (W1)" w:hAnsi="Segoe UI" w:cs="Segoe UI"/>
      <w:sz w:val="18"/>
      <w:szCs w:val="18"/>
      <w:lang w:eastAsia="es-MX"/>
    </w:rPr>
  </w:style>
  <w:style w:type="character" w:styleId="Hipervnculovisitado">
    <w:name w:val="FollowedHyperlink"/>
    <w:basedOn w:val="Fuentedeprrafopredeter"/>
    <w:uiPriority w:val="99"/>
    <w:semiHidden/>
    <w:unhideWhenUsed/>
    <w:rsid w:val="00BA3ACE"/>
    <w:rPr>
      <w:color w:val="9F6715" w:themeColor="followedHyperlink"/>
      <w:u w:val="single"/>
    </w:rPr>
  </w:style>
  <w:style w:type="character" w:customStyle="1" w:styleId="Ttulo2Car">
    <w:name w:val="Título 2 Car"/>
    <w:basedOn w:val="Fuentedeprrafopredeter"/>
    <w:link w:val="Ttulo2"/>
    <w:rsid w:val="00994BB9"/>
    <w:rPr>
      <w:rFonts w:ascii="MS Sans Serif" w:eastAsia="Univers (W1)" w:hAnsi="MS Sans Serif" w:cs="MS Sans Serif"/>
      <w:b/>
      <w:i/>
      <w:sz w:val="24"/>
      <w:szCs w:val="24"/>
      <w:lang w:eastAsia="es-MX"/>
    </w:rPr>
  </w:style>
  <w:style w:type="paragraph" w:styleId="NormalWeb">
    <w:name w:val="Normal (Web)"/>
    <w:basedOn w:val="Normal"/>
    <w:uiPriority w:val="99"/>
    <w:rsid w:val="00994BB9"/>
    <w:pPr>
      <w:spacing w:before="100" w:beforeAutospacing="1" w:after="100" w:afterAutospacing="1"/>
    </w:pPr>
    <w:rPr>
      <w:lang w:val="es-ES" w:eastAsia="es-ES"/>
    </w:rPr>
  </w:style>
  <w:style w:type="table" w:styleId="Tabladelista3-nfasis2">
    <w:name w:val="List Table 3 Accent 2"/>
    <w:basedOn w:val="Tablanormal"/>
    <w:uiPriority w:val="48"/>
    <w:rsid w:val="002779E8"/>
    <w:pPr>
      <w:spacing w:after="0" w:line="240" w:lineRule="auto"/>
    </w:pPr>
    <w:tblPr>
      <w:tblStyleRowBandSize w:val="1"/>
      <w:tblStyleColBandSize w:val="1"/>
      <w:tblBorders>
        <w:top w:val="single" w:sz="4" w:space="0" w:color="58B6C0" w:themeColor="accent2"/>
        <w:left w:val="single" w:sz="4" w:space="0" w:color="58B6C0" w:themeColor="accent2"/>
        <w:bottom w:val="single" w:sz="4" w:space="0" w:color="58B6C0" w:themeColor="accent2"/>
        <w:right w:val="single" w:sz="4" w:space="0" w:color="58B6C0" w:themeColor="accent2"/>
      </w:tblBorders>
    </w:tblPr>
    <w:tblStylePr w:type="firstRow">
      <w:rPr>
        <w:b/>
        <w:bCs/>
        <w:color w:val="FFFFFF" w:themeColor="background1"/>
      </w:rPr>
      <w:tblPr/>
      <w:tcPr>
        <w:shd w:val="clear" w:color="auto" w:fill="58B6C0" w:themeFill="accent2"/>
      </w:tcPr>
    </w:tblStylePr>
    <w:tblStylePr w:type="lastRow">
      <w:rPr>
        <w:b/>
        <w:bCs/>
      </w:rPr>
      <w:tblPr/>
      <w:tcPr>
        <w:tcBorders>
          <w:top w:val="double" w:sz="4" w:space="0" w:color="58B6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B6C0" w:themeColor="accent2"/>
          <w:right w:val="single" w:sz="4" w:space="0" w:color="58B6C0" w:themeColor="accent2"/>
        </w:tcBorders>
      </w:tcPr>
    </w:tblStylePr>
    <w:tblStylePr w:type="band1Horz">
      <w:tblPr/>
      <w:tcPr>
        <w:tcBorders>
          <w:top w:val="single" w:sz="4" w:space="0" w:color="58B6C0" w:themeColor="accent2"/>
          <w:bottom w:val="single" w:sz="4" w:space="0" w:color="58B6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B6C0" w:themeColor="accent2"/>
          <w:left w:val="nil"/>
        </w:tcBorders>
      </w:tcPr>
    </w:tblStylePr>
    <w:tblStylePr w:type="swCell">
      <w:tblPr/>
      <w:tcPr>
        <w:tcBorders>
          <w:top w:val="double" w:sz="4" w:space="0" w:color="58B6C0" w:themeColor="accent2"/>
          <w:right w:val="nil"/>
        </w:tcBorders>
      </w:tcPr>
    </w:tblStylePr>
  </w:style>
  <w:style w:type="table" w:styleId="Tablaconcuadrculaclara">
    <w:name w:val="Grid Table Light"/>
    <w:basedOn w:val="Tablanormal"/>
    <w:uiPriority w:val="40"/>
    <w:rsid w:val="004A11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A2285"/>
    <w:pPr>
      <w:spacing w:before="120"/>
      <w:ind w:left="720"/>
      <w:contextualSpacing/>
    </w:pPr>
    <w:rPr>
      <w:rFonts w:ascii="Times New Roman" w:eastAsia="Times New Roman" w:hAnsi="Times New Roman" w:cs="Times New Roman"/>
      <w:sz w:val="20"/>
      <w:szCs w:val="20"/>
      <w:lang w:val="es-ES_tradnl" w:eastAsia="es-ES"/>
    </w:rPr>
  </w:style>
  <w:style w:type="character" w:customStyle="1" w:styleId="Ttulo1Car">
    <w:name w:val="Título 1 Car"/>
    <w:basedOn w:val="Fuentedeprrafopredeter"/>
    <w:link w:val="Ttulo1"/>
    <w:uiPriority w:val="9"/>
    <w:rsid w:val="00C1453E"/>
    <w:rPr>
      <w:rFonts w:asciiTheme="majorHAnsi" w:eastAsiaTheme="majorEastAsia" w:hAnsiTheme="majorHAnsi" w:cstheme="majorBidi"/>
      <w:color w:val="276E8B" w:themeColor="accent1" w:themeShade="BF"/>
      <w:sz w:val="32"/>
      <w:szCs w:val="32"/>
      <w:lang w:eastAsia="es-MX"/>
    </w:rPr>
  </w:style>
  <w:style w:type="paragraph" w:styleId="Revisin">
    <w:name w:val="Revision"/>
    <w:hidden/>
    <w:uiPriority w:val="99"/>
    <w:semiHidden/>
    <w:rsid w:val="00CA21F2"/>
    <w:pPr>
      <w:spacing w:after="0" w:line="240" w:lineRule="auto"/>
    </w:pPr>
    <w:rPr>
      <w:rFonts w:ascii="Univers (W1)" w:eastAsia="Univers (W1)" w:hAnsi="Univers (W1)" w:cs="Univers (W1)"/>
      <w:sz w:val="24"/>
      <w:szCs w:val="24"/>
      <w:lang w:eastAsia="es-MX"/>
    </w:rPr>
  </w:style>
  <w:style w:type="paragraph" w:styleId="Descripcin">
    <w:name w:val="caption"/>
    <w:basedOn w:val="Normal"/>
    <w:next w:val="Normal"/>
    <w:uiPriority w:val="35"/>
    <w:unhideWhenUsed/>
    <w:qFormat/>
    <w:rsid w:val="00CE36E9"/>
    <w:pPr>
      <w:spacing w:after="200"/>
    </w:pPr>
    <w:rPr>
      <w:i/>
      <w:iCs/>
      <w:color w:val="373545" w:themeColor="text2"/>
      <w:sz w:val="18"/>
      <w:szCs w:val="18"/>
    </w:rPr>
  </w:style>
  <w:style w:type="character" w:customStyle="1" w:styleId="Mencinsinresolver2">
    <w:name w:val="Mención sin resolver2"/>
    <w:basedOn w:val="Fuentedeprrafopredeter"/>
    <w:uiPriority w:val="99"/>
    <w:semiHidden/>
    <w:unhideWhenUsed/>
    <w:rsid w:val="009C0D67"/>
    <w:rPr>
      <w:color w:val="605E5C"/>
      <w:shd w:val="clear" w:color="auto" w:fill="E1DFDD"/>
    </w:rPr>
  </w:style>
  <w:style w:type="paragraph" w:customStyle="1" w:styleId="Default">
    <w:name w:val="Default"/>
    <w:rsid w:val="00A4333E"/>
    <w:pPr>
      <w:autoSpaceDE w:val="0"/>
      <w:autoSpaceDN w:val="0"/>
      <w:adjustRightInd w:val="0"/>
      <w:spacing w:after="0" w:line="240" w:lineRule="auto"/>
    </w:pPr>
    <w:rPr>
      <w:rFonts w:ascii="Arial" w:hAnsi="Arial" w:cs="Arial"/>
      <w:color w:val="000000"/>
      <w:sz w:val="24"/>
      <w:szCs w:val="24"/>
      <w:lang w:val="en-US"/>
    </w:rPr>
  </w:style>
  <w:style w:type="character" w:customStyle="1" w:styleId="Mencinsinresolver3">
    <w:name w:val="Mención sin resolver3"/>
    <w:basedOn w:val="Fuentedeprrafopredeter"/>
    <w:uiPriority w:val="99"/>
    <w:semiHidden/>
    <w:unhideWhenUsed/>
    <w:rsid w:val="00E47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93626">
      <w:bodyDiv w:val="1"/>
      <w:marLeft w:val="0"/>
      <w:marRight w:val="0"/>
      <w:marTop w:val="0"/>
      <w:marBottom w:val="0"/>
      <w:divBdr>
        <w:top w:val="none" w:sz="0" w:space="0" w:color="auto"/>
        <w:left w:val="none" w:sz="0" w:space="0" w:color="auto"/>
        <w:bottom w:val="none" w:sz="0" w:space="0" w:color="auto"/>
        <w:right w:val="none" w:sz="0" w:space="0" w:color="auto"/>
      </w:divBdr>
    </w:div>
    <w:div w:id="95446901">
      <w:bodyDiv w:val="1"/>
      <w:marLeft w:val="0"/>
      <w:marRight w:val="0"/>
      <w:marTop w:val="0"/>
      <w:marBottom w:val="0"/>
      <w:divBdr>
        <w:top w:val="none" w:sz="0" w:space="0" w:color="auto"/>
        <w:left w:val="none" w:sz="0" w:space="0" w:color="auto"/>
        <w:bottom w:val="none" w:sz="0" w:space="0" w:color="auto"/>
        <w:right w:val="none" w:sz="0" w:space="0" w:color="auto"/>
      </w:divBdr>
    </w:div>
    <w:div w:id="105853637">
      <w:bodyDiv w:val="1"/>
      <w:marLeft w:val="0"/>
      <w:marRight w:val="0"/>
      <w:marTop w:val="0"/>
      <w:marBottom w:val="0"/>
      <w:divBdr>
        <w:top w:val="none" w:sz="0" w:space="0" w:color="auto"/>
        <w:left w:val="none" w:sz="0" w:space="0" w:color="auto"/>
        <w:bottom w:val="none" w:sz="0" w:space="0" w:color="auto"/>
        <w:right w:val="none" w:sz="0" w:space="0" w:color="auto"/>
      </w:divBdr>
    </w:div>
    <w:div w:id="121118640">
      <w:bodyDiv w:val="1"/>
      <w:marLeft w:val="0"/>
      <w:marRight w:val="0"/>
      <w:marTop w:val="0"/>
      <w:marBottom w:val="0"/>
      <w:divBdr>
        <w:top w:val="none" w:sz="0" w:space="0" w:color="auto"/>
        <w:left w:val="none" w:sz="0" w:space="0" w:color="auto"/>
        <w:bottom w:val="none" w:sz="0" w:space="0" w:color="auto"/>
        <w:right w:val="none" w:sz="0" w:space="0" w:color="auto"/>
      </w:divBdr>
    </w:div>
    <w:div w:id="274867928">
      <w:bodyDiv w:val="1"/>
      <w:marLeft w:val="0"/>
      <w:marRight w:val="0"/>
      <w:marTop w:val="0"/>
      <w:marBottom w:val="0"/>
      <w:divBdr>
        <w:top w:val="none" w:sz="0" w:space="0" w:color="auto"/>
        <w:left w:val="none" w:sz="0" w:space="0" w:color="auto"/>
        <w:bottom w:val="none" w:sz="0" w:space="0" w:color="auto"/>
        <w:right w:val="none" w:sz="0" w:space="0" w:color="auto"/>
      </w:divBdr>
    </w:div>
    <w:div w:id="384523012">
      <w:bodyDiv w:val="1"/>
      <w:marLeft w:val="0"/>
      <w:marRight w:val="0"/>
      <w:marTop w:val="0"/>
      <w:marBottom w:val="0"/>
      <w:divBdr>
        <w:top w:val="none" w:sz="0" w:space="0" w:color="auto"/>
        <w:left w:val="none" w:sz="0" w:space="0" w:color="auto"/>
        <w:bottom w:val="none" w:sz="0" w:space="0" w:color="auto"/>
        <w:right w:val="none" w:sz="0" w:space="0" w:color="auto"/>
      </w:divBdr>
    </w:div>
    <w:div w:id="788863438">
      <w:bodyDiv w:val="1"/>
      <w:marLeft w:val="0"/>
      <w:marRight w:val="0"/>
      <w:marTop w:val="0"/>
      <w:marBottom w:val="0"/>
      <w:divBdr>
        <w:top w:val="none" w:sz="0" w:space="0" w:color="auto"/>
        <w:left w:val="none" w:sz="0" w:space="0" w:color="auto"/>
        <w:bottom w:val="none" w:sz="0" w:space="0" w:color="auto"/>
        <w:right w:val="none" w:sz="0" w:space="0" w:color="auto"/>
      </w:divBdr>
    </w:div>
    <w:div w:id="813595650">
      <w:bodyDiv w:val="1"/>
      <w:marLeft w:val="0"/>
      <w:marRight w:val="0"/>
      <w:marTop w:val="0"/>
      <w:marBottom w:val="0"/>
      <w:divBdr>
        <w:top w:val="none" w:sz="0" w:space="0" w:color="auto"/>
        <w:left w:val="none" w:sz="0" w:space="0" w:color="auto"/>
        <w:bottom w:val="none" w:sz="0" w:space="0" w:color="auto"/>
        <w:right w:val="none" w:sz="0" w:space="0" w:color="auto"/>
      </w:divBdr>
    </w:div>
    <w:div w:id="873035683">
      <w:bodyDiv w:val="1"/>
      <w:marLeft w:val="0"/>
      <w:marRight w:val="0"/>
      <w:marTop w:val="0"/>
      <w:marBottom w:val="0"/>
      <w:divBdr>
        <w:top w:val="none" w:sz="0" w:space="0" w:color="auto"/>
        <w:left w:val="none" w:sz="0" w:space="0" w:color="auto"/>
        <w:bottom w:val="none" w:sz="0" w:space="0" w:color="auto"/>
        <w:right w:val="none" w:sz="0" w:space="0" w:color="auto"/>
      </w:divBdr>
    </w:div>
    <w:div w:id="966425185">
      <w:bodyDiv w:val="1"/>
      <w:marLeft w:val="0"/>
      <w:marRight w:val="0"/>
      <w:marTop w:val="0"/>
      <w:marBottom w:val="0"/>
      <w:divBdr>
        <w:top w:val="none" w:sz="0" w:space="0" w:color="auto"/>
        <w:left w:val="none" w:sz="0" w:space="0" w:color="auto"/>
        <w:bottom w:val="none" w:sz="0" w:space="0" w:color="auto"/>
        <w:right w:val="none" w:sz="0" w:space="0" w:color="auto"/>
      </w:divBdr>
    </w:div>
    <w:div w:id="1059088162">
      <w:bodyDiv w:val="1"/>
      <w:marLeft w:val="0"/>
      <w:marRight w:val="0"/>
      <w:marTop w:val="0"/>
      <w:marBottom w:val="0"/>
      <w:divBdr>
        <w:top w:val="none" w:sz="0" w:space="0" w:color="auto"/>
        <w:left w:val="none" w:sz="0" w:space="0" w:color="auto"/>
        <w:bottom w:val="none" w:sz="0" w:space="0" w:color="auto"/>
        <w:right w:val="none" w:sz="0" w:space="0" w:color="auto"/>
      </w:divBdr>
    </w:div>
    <w:div w:id="1073621310">
      <w:bodyDiv w:val="1"/>
      <w:marLeft w:val="0"/>
      <w:marRight w:val="0"/>
      <w:marTop w:val="0"/>
      <w:marBottom w:val="0"/>
      <w:divBdr>
        <w:top w:val="none" w:sz="0" w:space="0" w:color="auto"/>
        <w:left w:val="none" w:sz="0" w:space="0" w:color="auto"/>
        <w:bottom w:val="none" w:sz="0" w:space="0" w:color="auto"/>
        <w:right w:val="none" w:sz="0" w:space="0" w:color="auto"/>
      </w:divBdr>
    </w:div>
    <w:div w:id="1776514565">
      <w:bodyDiv w:val="1"/>
      <w:marLeft w:val="0"/>
      <w:marRight w:val="0"/>
      <w:marTop w:val="0"/>
      <w:marBottom w:val="0"/>
      <w:divBdr>
        <w:top w:val="none" w:sz="0" w:space="0" w:color="auto"/>
        <w:left w:val="none" w:sz="0" w:space="0" w:color="auto"/>
        <w:bottom w:val="none" w:sz="0" w:space="0" w:color="auto"/>
        <w:right w:val="none" w:sz="0" w:space="0" w:color="auto"/>
      </w:divBdr>
    </w:div>
    <w:div w:id="1951083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image" Target="media/image10.png"/><Relationship Id="rId21" Type="http://schemas.openxmlformats.org/officeDocument/2006/relationships/image" Target="media/image6.jpeg"/><Relationship Id="rId34" Type="http://schemas.openxmlformats.org/officeDocument/2006/relationships/hyperlink" Target="https://www.inegi.org.mx/programas/saludsat/2013/"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9.png"/><Relationship Id="rId33" Type="http://schemas.openxmlformats.org/officeDocument/2006/relationships/hyperlink" Target="https://www.inegi.org.mx/temas/saludsat/" TargetMode="Externa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png"/><Relationship Id="rId28" Type="http://schemas.openxmlformats.org/officeDocument/2006/relationships/chart" Target="charts/chart1.xml"/><Relationship Id="rId36" Type="http://schemas.openxmlformats.org/officeDocument/2006/relationships/fontTable" Target="fontTable.xml"/><Relationship Id="rId10" Type="http://schemas.openxmlformats.org/officeDocument/2006/relationships/hyperlink" Target="https://www.inegi.org.mx/programas/saludsat/2013/" TargetMode="External"/><Relationship Id="rId19" Type="http://schemas.openxmlformats.org/officeDocument/2006/relationships/image" Target="media/image5.jpeg"/><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www.inegi.org.mx/temas/saludsat/" TargetMode="Externa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image" Target="media/image11.emf"/><Relationship Id="rId30" Type="http://schemas.openxmlformats.org/officeDocument/2006/relationships/image" Target="media/image13.jpeg"/><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inaiscap.salud.gob.mx:8080/DGIS/" TargetMode="External"/><Relationship Id="rId1" Type="http://schemas.openxmlformats.org/officeDocument/2006/relationships/hyperlink" Target="https://coronavirus.gob.mx/category/conferencias-de-pren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CSSSM\CSSSM%202020\Insumos%20publicaci&#243;n\Nota%20t&#233;cnica\Bolet&#237;n%202020%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CSSSM\CSSSM_20_Preliminar_ajustes\Insumos%20publicaci&#243;n\NOTA%20BOLET&#205;N\Bolet&#237;n%202020.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733136482939631"/>
          <c:y val="0.17342245017734909"/>
          <c:w val="0.32889801324123502"/>
          <c:h val="0.62601350038479053"/>
        </c:manualLayout>
      </c:layout>
      <c:radarChart>
        <c:radarStyle val="marker"/>
        <c:varyColors val="0"/>
        <c:ser>
          <c:idx val="0"/>
          <c:order val="0"/>
          <c:tx>
            <c:strRef>
              <c:f>Compara_Contribuciones!$B$132</c:f>
              <c:strCache>
                <c:ptCount val="1"/>
                <c:pt idx="0">
                  <c:v>2019</c:v>
                </c:pt>
              </c:strCache>
            </c:strRef>
          </c:tx>
          <c:spPr>
            <a:ln w="28575" cap="rnd">
              <a:solidFill>
                <a:schemeClr val="bg1">
                  <a:lumMod val="50000"/>
                </a:schemeClr>
              </a:solidFill>
              <a:round/>
            </a:ln>
            <a:effectLst/>
          </c:spPr>
          <c:marker>
            <c:symbol val="none"/>
          </c:marker>
          <c:dLbls>
            <c:dLbl>
              <c:idx val="0"/>
              <c:layout>
                <c:manualLayout>
                  <c:x val="-1.039230969082878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22-4BD2-B9EF-9C681589F47F}"/>
                </c:ext>
              </c:extLst>
            </c:dLbl>
            <c:dLbl>
              <c:idx val="2"/>
              <c:layout>
                <c:manualLayout>
                  <c:x val="2.5980774227071968E-3"/>
                  <c:y val="-3.05188199389623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22-4BD2-B9EF-9C681589F47F}"/>
                </c:ext>
              </c:extLst>
            </c:dLbl>
            <c:dLbl>
              <c:idx val="3"/>
              <c:layout>
                <c:manualLayout>
                  <c:x val="0"/>
                  <c:y val="-1.68729898971312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22-4BD2-B9EF-9C681589F47F}"/>
                </c:ext>
              </c:extLst>
            </c:dLbl>
            <c:dLbl>
              <c:idx val="4"/>
              <c:layout>
                <c:manualLayout>
                  <c:x val="6.7633817974086588E-2"/>
                  <c:y val="-4.6400722217110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22-4BD2-B9EF-9C681589F47F}"/>
                </c:ext>
              </c:extLst>
            </c:dLbl>
            <c:dLbl>
              <c:idx val="5"/>
              <c:layout>
                <c:manualLayout>
                  <c:x val="6.2431216591464542E-2"/>
                  <c:y val="4.64007222171108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22-4BD2-B9EF-9C681589F4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Compara_Contribuciones!$A$133:$A$138</c:f>
              <c:strCache>
                <c:ptCount val="6"/>
                <c:pt idx="0">
                  <c:v>Medicamentos y otros bienes</c:v>
                </c:pt>
                <c:pt idx="1">
                  <c:v>Consultas médicas</c:v>
                </c:pt>
                <c:pt idx="2">
                  <c:v>Servicios hospitalarios</c:v>
                </c:pt>
                <c:pt idx="3">
                  <c:v>Bienes de apoyo</c:v>
                </c:pt>
                <c:pt idx="4">
                  <c:v>Laboratorios, ambulancias, residencias de salud, entre otros</c:v>
                </c:pt>
                <c:pt idx="5">
                  <c:v>Servicios de apoyo</c:v>
                </c:pt>
              </c:strCache>
            </c:strRef>
          </c:cat>
          <c:val>
            <c:numRef>
              <c:f>Compara_Contribuciones!$B$133:$B$138</c:f>
              <c:numCache>
                <c:formatCode>0.0%</c:formatCode>
                <c:ptCount val="6"/>
                <c:pt idx="0">
                  <c:v>4.7010163970166996E-3</c:v>
                </c:pt>
                <c:pt idx="1">
                  <c:v>2.7009048942877367E-2</c:v>
                </c:pt>
                <c:pt idx="2">
                  <c:v>5.0777334951642716E-2</c:v>
                </c:pt>
                <c:pt idx="3">
                  <c:v>2.5715981416536415E-3</c:v>
                </c:pt>
                <c:pt idx="4">
                  <c:v>2.2072297585154388E-2</c:v>
                </c:pt>
                <c:pt idx="5">
                  <c:v>-1.6828885228722057E-2</c:v>
                </c:pt>
              </c:numCache>
            </c:numRef>
          </c:val>
          <c:extLst>
            <c:ext xmlns:c16="http://schemas.microsoft.com/office/drawing/2014/chart" uri="{C3380CC4-5D6E-409C-BE32-E72D297353CC}">
              <c16:uniqueId val="{00000003-E222-4BD2-B9EF-9C681589F47F}"/>
            </c:ext>
          </c:extLst>
        </c:ser>
        <c:ser>
          <c:idx val="1"/>
          <c:order val="1"/>
          <c:tx>
            <c:strRef>
              <c:f>Compara_Contribuciones!$C$132</c:f>
              <c:strCache>
                <c:ptCount val="1"/>
                <c:pt idx="0">
                  <c:v>2020</c:v>
                </c:pt>
              </c:strCache>
            </c:strRef>
          </c:tx>
          <c:spPr>
            <a:ln w="28575" cap="rnd">
              <a:solidFill>
                <a:srgbClr val="002060"/>
              </a:solidFill>
              <a:round/>
            </a:ln>
            <a:effectLst/>
          </c:spPr>
          <c:marker>
            <c:symbol val="none"/>
          </c:marker>
          <c:dLbls>
            <c:dLbl>
              <c:idx val="0"/>
              <c:layout>
                <c:manualLayout>
                  <c:x val="4.8148716406551967E-2"/>
                  <c:y val="2.8799032369173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222-4BD2-B9EF-9C681589F47F}"/>
                </c:ext>
              </c:extLst>
            </c:dLbl>
            <c:dLbl>
              <c:idx val="1"/>
              <c:layout>
                <c:manualLayout>
                  <c:x val="1.558846453624318E-2"/>
                  <c:y val="1.0172939979654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22-4BD2-B9EF-9C681589F47F}"/>
                </c:ext>
              </c:extLst>
            </c:dLbl>
            <c:dLbl>
              <c:idx val="2"/>
              <c:layout>
                <c:manualLayout>
                  <c:x val="-1.558846453624318E-2"/>
                  <c:y val="1.62342499659566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22-4BD2-B9EF-9C681589F47F}"/>
                </c:ext>
              </c:extLst>
            </c:dLbl>
            <c:dLbl>
              <c:idx val="3"/>
              <c:layout>
                <c:manualLayout>
                  <c:x val="0"/>
                  <c:y val="-8.85831969599389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222-4BD2-B9EF-9C681589F47F}"/>
                </c:ext>
              </c:extLst>
            </c:dLbl>
            <c:dLbl>
              <c:idx val="4"/>
              <c:layout>
                <c:manualLayout>
                  <c:x val="3.9019510369665264E-2"/>
                  <c:y val="2.3200195035820229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002060"/>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7.4514360716017233E-2"/>
                      <c:h val="7.1647099423428673E-2"/>
                    </c:manualLayout>
                  </c15:layout>
                </c:ext>
                <c:ext xmlns:c16="http://schemas.microsoft.com/office/drawing/2014/chart" uri="{C3380CC4-5D6E-409C-BE32-E72D297353CC}">
                  <c16:uniqueId val="{00000007-E222-4BD2-B9EF-9C681589F47F}"/>
                </c:ext>
              </c:extLst>
            </c:dLbl>
            <c:dLbl>
              <c:idx val="5"/>
              <c:layout>
                <c:manualLayout>
                  <c:x val="1.558846453624318E-2"/>
                  <c:y val="-2.3573185091436306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rgbClr val="002060"/>
                      </a:solidFill>
                      <a:latin typeface="+mn-lt"/>
                      <a:ea typeface="+mn-ea"/>
                      <a:cs typeface="+mn-cs"/>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6.2574592439390134E-2"/>
                      <c:h val="8.1307423042109569E-2"/>
                    </c:manualLayout>
                  </c15:layout>
                </c:ext>
                <c:ext xmlns:c16="http://schemas.microsoft.com/office/drawing/2014/chart" uri="{C3380CC4-5D6E-409C-BE32-E72D297353CC}">
                  <c16:uniqueId val="{00000008-E222-4BD2-B9EF-9C681589F4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Compara_Contribuciones!$A$133:$A$138</c:f>
              <c:strCache>
                <c:ptCount val="6"/>
                <c:pt idx="0">
                  <c:v>Medicamentos y otros bienes</c:v>
                </c:pt>
                <c:pt idx="1">
                  <c:v>Consultas médicas</c:v>
                </c:pt>
                <c:pt idx="2">
                  <c:v>Servicios hospitalarios</c:v>
                </c:pt>
                <c:pt idx="3">
                  <c:v>Bienes de apoyo</c:v>
                </c:pt>
                <c:pt idx="4">
                  <c:v>Laboratorios, ambulancias, residencias de salud, entre otros</c:v>
                </c:pt>
                <c:pt idx="5">
                  <c:v>Servicios de apoyo</c:v>
                </c:pt>
              </c:strCache>
            </c:strRef>
          </c:cat>
          <c:val>
            <c:numRef>
              <c:f>Compara_Contribuciones!$C$133:$C$138</c:f>
              <c:numCache>
                <c:formatCode>0.0%</c:formatCode>
                <c:ptCount val="6"/>
                <c:pt idx="0">
                  <c:v>-2.0181226858932866E-2</c:v>
                </c:pt>
                <c:pt idx="1">
                  <c:v>-0.26536708597216729</c:v>
                </c:pt>
                <c:pt idx="2">
                  <c:v>4.3578119431276985E-2</c:v>
                </c:pt>
                <c:pt idx="3">
                  <c:v>-4.0243160412320789E-2</c:v>
                </c:pt>
                <c:pt idx="4">
                  <c:v>0.14499258697411821</c:v>
                </c:pt>
                <c:pt idx="5">
                  <c:v>2.2960273372600426E-2</c:v>
                </c:pt>
              </c:numCache>
            </c:numRef>
          </c:val>
          <c:extLst>
            <c:ext xmlns:c16="http://schemas.microsoft.com/office/drawing/2014/chart" uri="{C3380CC4-5D6E-409C-BE32-E72D297353CC}">
              <c16:uniqueId val="{00000009-E222-4BD2-B9EF-9C681589F47F}"/>
            </c:ext>
          </c:extLst>
        </c:ser>
        <c:dLbls>
          <c:showLegendKey val="0"/>
          <c:showVal val="0"/>
          <c:showCatName val="0"/>
          <c:showSerName val="0"/>
          <c:showPercent val="0"/>
          <c:showBubbleSize val="0"/>
        </c:dLbls>
        <c:axId val="755654863"/>
        <c:axId val="755650287"/>
      </c:radarChart>
      <c:catAx>
        <c:axId val="755654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s-MX"/>
          </a:p>
        </c:txPr>
        <c:crossAx val="755650287"/>
        <c:crosses val="autoZero"/>
        <c:auto val="1"/>
        <c:lblAlgn val="ctr"/>
        <c:lblOffset val="100"/>
        <c:noMultiLvlLbl val="0"/>
      </c:catAx>
      <c:valAx>
        <c:axId val="755650287"/>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755654863"/>
        <c:crosses val="autoZero"/>
        <c:crossBetween val="between"/>
      </c:valAx>
      <c:spPr>
        <a:noFill/>
        <a:ln>
          <a:noFill/>
        </a:ln>
        <a:effectLst/>
      </c:spPr>
    </c:plotArea>
    <c:legend>
      <c:legendPos val="b"/>
      <c:layout>
        <c:manualLayout>
          <c:xMode val="edge"/>
          <c:yMode val="edge"/>
          <c:x val="0.79852345162278149"/>
          <c:y val="2.1776212508577076E-2"/>
          <c:w val="0.19817685383545641"/>
          <c:h val="0.28221267375148434"/>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noFill/>
    <a:ln w="19050"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Compara_Contribuciones!$B$193</c:f>
              <c:strCache>
                <c:ptCount val="1"/>
                <c:pt idx="0">
                  <c:v>Valor económico</c:v>
                </c:pt>
              </c:strCache>
            </c:strRef>
          </c:tx>
          <c:spPr>
            <a:solidFill>
              <a:schemeClr val="accent5">
                <a:shade val="76000"/>
              </a:schemeClr>
            </a:solidFill>
            <a:ln>
              <a:noFill/>
            </a:ln>
            <a:effectLst/>
          </c:spPr>
          <c:invertIfNegative val="0"/>
          <c:dLbls>
            <c:dLbl>
              <c:idx val="0"/>
              <c:tx>
                <c:rich>
                  <a:bodyPr/>
                  <a:lstStyle/>
                  <a:p>
                    <a:fld id="{410FC8C3-3409-4DD3-95E1-5B1C678CA44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7397-4134-B1E3-EB36494063BC}"/>
                </c:ext>
              </c:extLst>
            </c:dLbl>
            <c:dLbl>
              <c:idx val="1"/>
              <c:tx>
                <c:rich>
                  <a:bodyPr/>
                  <a:lstStyle/>
                  <a:p>
                    <a:fld id="{BB48533A-862A-480C-9C6B-4F9C6EDDDD71}"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397-4134-B1E3-EB36494063BC}"/>
                </c:ext>
              </c:extLst>
            </c:dLbl>
            <c:dLbl>
              <c:idx val="2"/>
              <c:tx>
                <c:rich>
                  <a:bodyPr/>
                  <a:lstStyle/>
                  <a:p>
                    <a:fld id="{68044114-D7EA-47DE-B6B7-484710CD13B1}"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397-4134-B1E3-EB36494063BC}"/>
                </c:ext>
              </c:extLst>
            </c:dLbl>
            <c:dLbl>
              <c:idx val="3"/>
              <c:tx>
                <c:rich>
                  <a:bodyPr/>
                  <a:lstStyle/>
                  <a:p>
                    <a:fld id="{36858F41-CD46-4D53-B9AB-59F9618531E2}"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397-4134-B1E3-EB36494063BC}"/>
                </c:ext>
              </c:extLst>
            </c:dLbl>
            <c:dLbl>
              <c:idx val="4"/>
              <c:tx>
                <c:rich>
                  <a:bodyPr/>
                  <a:lstStyle/>
                  <a:p>
                    <a:fld id="{EFDE6CA7-1D08-48B0-9480-17FE9F9BE8A6}"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397-4134-B1E3-EB36494063B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Compara_Contribuciones!$A$194:$A$198</c:f>
              <c:strCache>
                <c:ptCount val="5"/>
                <c:pt idx="0">
                  <c:v>Cuidados preventivos</c:v>
                </c:pt>
                <c:pt idx="1">
                  <c:v>Cuidados temporales</c:v>
                </c:pt>
                <c:pt idx="2">
                  <c:v>Cuidados especializados</c:v>
                </c:pt>
                <c:pt idx="3">
                  <c:v>Ayuda a otros hogares</c:v>
                </c:pt>
                <c:pt idx="4">
                  <c:v>Trabajo voluntario en salud</c:v>
                </c:pt>
              </c:strCache>
            </c:strRef>
          </c:cat>
          <c:val>
            <c:numRef>
              <c:f>Compara_Contribuciones!$B$194:$B$198</c:f>
              <c:numCache>
                <c:formatCode>General</c:formatCode>
                <c:ptCount val="5"/>
                <c:pt idx="0">
                  <c:v>2.9400810541288029</c:v>
                </c:pt>
                <c:pt idx="1">
                  <c:v>13.979152632246434</c:v>
                </c:pt>
                <c:pt idx="2">
                  <c:v>57.857265102513836</c:v>
                </c:pt>
                <c:pt idx="3">
                  <c:v>23.025859228668541</c:v>
                </c:pt>
                <c:pt idx="4">
                  <c:v>2.1976419824423838</c:v>
                </c:pt>
              </c:numCache>
            </c:numRef>
          </c:val>
          <c:extLst>
            <c:ext xmlns:c16="http://schemas.microsoft.com/office/drawing/2014/chart" uri="{C3380CC4-5D6E-409C-BE32-E72D297353CC}">
              <c16:uniqueId val="{00000000-FF30-4AAF-9A13-7011912260B4}"/>
            </c:ext>
          </c:extLst>
        </c:ser>
        <c:ser>
          <c:idx val="1"/>
          <c:order val="1"/>
          <c:tx>
            <c:strRef>
              <c:f>Compara_Contribuciones!$C$193</c:f>
              <c:strCache>
                <c:ptCount val="1"/>
                <c:pt idx="0">
                  <c:v>Horas</c:v>
                </c:pt>
              </c:strCache>
            </c:strRef>
          </c:tx>
          <c:spPr>
            <a:solidFill>
              <a:schemeClr val="accent5">
                <a:tint val="77000"/>
              </a:schemeClr>
            </a:solidFill>
            <a:ln>
              <a:noFill/>
            </a:ln>
            <a:effectLst/>
          </c:spPr>
          <c:invertIfNegative val="0"/>
          <c:dLbls>
            <c:dLbl>
              <c:idx val="0"/>
              <c:tx>
                <c:rich>
                  <a:bodyPr/>
                  <a:lstStyle/>
                  <a:p>
                    <a:fld id="{FDC33336-AA12-470A-A606-2260A35DDAC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397-4134-B1E3-EB36494063BC}"/>
                </c:ext>
              </c:extLst>
            </c:dLbl>
            <c:dLbl>
              <c:idx val="1"/>
              <c:tx>
                <c:rich>
                  <a:bodyPr/>
                  <a:lstStyle/>
                  <a:p>
                    <a:fld id="{E8BD2D54-B539-405B-B278-BA703BAB18E5}"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397-4134-B1E3-EB36494063BC}"/>
                </c:ext>
              </c:extLst>
            </c:dLbl>
            <c:dLbl>
              <c:idx val="2"/>
              <c:tx>
                <c:rich>
                  <a:bodyPr/>
                  <a:lstStyle/>
                  <a:p>
                    <a:fld id="{2572B650-7722-4339-A100-FD5566019CC4}"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397-4134-B1E3-EB36494063BC}"/>
                </c:ext>
              </c:extLst>
            </c:dLbl>
            <c:dLbl>
              <c:idx val="3"/>
              <c:tx>
                <c:rich>
                  <a:bodyPr/>
                  <a:lstStyle/>
                  <a:p>
                    <a:fld id="{7AA8F3A1-7EF3-437B-8D77-D9C54B4906AA}"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397-4134-B1E3-EB36494063BC}"/>
                </c:ext>
              </c:extLst>
            </c:dLbl>
            <c:dLbl>
              <c:idx val="4"/>
              <c:tx>
                <c:rich>
                  <a:bodyPr/>
                  <a:lstStyle/>
                  <a:p>
                    <a:fld id="{81510D9B-D8C7-4A45-A5C3-9B09B8FC0F4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397-4134-B1E3-EB36494063BC}"/>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Compara_Contribuciones!$A$194:$A$198</c:f>
              <c:strCache>
                <c:ptCount val="5"/>
                <c:pt idx="0">
                  <c:v>Cuidados preventivos</c:v>
                </c:pt>
                <c:pt idx="1">
                  <c:v>Cuidados temporales</c:v>
                </c:pt>
                <c:pt idx="2">
                  <c:v>Cuidados especializados</c:v>
                </c:pt>
                <c:pt idx="3">
                  <c:v>Ayuda a otros hogares</c:v>
                </c:pt>
                <c:pt idx="4">
                  <c:v>Trabajo voluntario en salud</c:v>
                </c:pt>
              </c:strCache>
            </c:strRef>
          </c:cat>
          <c:val>
            <c:numRef>
              <c:f>Compara_Contribuciones!$C$194:$C$198</c:f>
              <c:numCache>
                <c:formatCode>General</c:formatCode>
                <c:ptCount val="5"/>
                <c:pt idx="0">
                  <c:v>8.6398771941714294</c:v>
                </c:pt>
                <c:pt idx="1">
                  <c:v>20.151621036480471</c:v>
                </c:pt>
                <c:pt idx="2">
                  <c:v>36.624478711353845</c:v>
                </c:pt>
                <c:pt idx="3">
                  <c:v>33.192883804013661</c:v>
                </c:pt>
                <c:pt idx="4">
                  <c:v>1.3911392539805996</c:v>
                </c:pt>
              </c:numCache>
            </c:numRef>
          </c:val>
          <c:extLst>
            <c:ext xmlns:c16="http://schemas.microsoft.com/office/drawing/2014/chart" uri="{C3380CC4-5D6E-409C-BE32-E72D297353CC}">
              <c16:uniqueId val="{00000001-FF30-4AAF-9A13-7011912260B4}"/>
            </c:ext>
          </c:extLst>
        </c:ser>
        <c:dLbls>
          <c:showLegendKey val="0"/>
          <c:showVal val="0"/>
          <c:showCatName val="0"/>
          <c:showSerName val="0"/>
          <c:showPercent val="0"/>
          <c:showBubbleSize val="0"/>
        </c:dLbls>
        <c:gapWidth val="100"/>
        <c:overlap val="-27"/>
        <c:axId val="655889648"/>
        <c:axId val="655893808"/>
      </c:barChart>
      <c:catAx>
        <c:axId val="65588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655893808"/>
        <c:crosses val="autoZero"/>
        <c:auto val="1"/>
        <c:lblAlgn val="ctr"/>
        <c:lblOffset val="100"/>
        <c:noMultiLvlLbl val="0"/>
      </c:catAx>
      <c:valAx>
        <c:axId val="655893808"/>
        <c:scaling>
          <c:orientation val="minMax"/>
        </c:scaling>
        <c:delete val="1"/>
        <c:axPos val="l"/>
        <c:numFmt formatCode="General" sourceLinked="1"/>
        <c:majorTickMark val="none"/>
        <c:minorTickMark val="none"/>
        <c:tickLblPos val="nextTo"/>
        <c:crossAx val="655889648"/>
        <c:crosses val="autoZero"/>
        <c:crossBetween val="between"/>
      </c:valAx>
      <c:spPr>
        <a:noFill/>
        <a:ln>
          <a:noFill/>
        </a:ln>
        <a:effectLst/>
      </c:spPr>
    </c:plotArea>
    <c:legend>
      <c:legendPos val="b"/>
      <c:layout>
        <c:manualLayout>
          <c:xMode val="edge"/>
          <c:yMode val="edge"/>
          <c:x val="0.28977187226596673"/>
          <c:y val="0.89409667541557303"/>
          <c:w val="0.4176784776902887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19050" cap="flat" cmpd="sng" algn="ctr">
      <a:solidFill>
        <a:schemeClr val="tx1"/>
      </a:solidFill>
      <a:round/>
    </a:ln>
    <a:effectLst/>
  </c:spPr>
  <c:txPr>
    <a:bodyPr/>
    <a:lstStyle/>
    <a:p>
      <a:pPr>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0.65729</cdr:x>
      <cdr:y>0.11806</cdr:y>
    </cdr:from>
    <cdr:to>
      <cdr:x>0.92813</cdr:x>
      <cdr:y>0.3125</cdr:y>
    </cdr:to>
    <cdr:sp macro="" textlink="">
      <cdr:nvSpPr>
        <cdr:cNvPr id="2" name="CuadroTexto 1"/>
        <cdr:cNvSpPr txBox="1"/>
      </cdr:nvSpPr>
      <cdr:spPr>
        <a:xfrm xmlns:a="http://schemas.openxmlformats.org/drawingml/2006/main">
          <a:off x="3005138" y="323850"/>
          <a:ext cx="1238250" cy="533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b="1"/>
            <a:t>4,782</a:t>
          </a:r>
        </a:p>
        <a:p xmlns:a="http://schemas.openxmlformats.org/drawingml/2006/main">
          <a:pPr algn="ctr"/>
          <a:r>
            <a:rPr lang="en-US" sz="1100" b="1"/>
            <a:t>Millones de horas</a:t>
          </a:r>
        </a:p>
      </cdr:txBody>
    </cdr:sp>
  </cdr:relSizeAnchor>
  <cdr:relSizeAnchor xmlns:cdr="http://schemas.openxmlformats.org/drawingml/2006/chartDrawing">
    <cdr:from>
      <cdr:x>0.09653</cdr:x>
      <cdr:y>0.1331</cdr:y>
    </cdr:from>
    <cdr:to>
      <cdr:x>0.36736</cdr:x>
      <cdr:y>0.32755</cdr:y>
    </cdr:to>
    <cdr:sp macro="" textlink="">
      <cdr:nvSpPr>
        <cdr:cNvPr id="3" name="CuadroTexto 1"/>
        <cdr:cNvSpPr txBox="1"/>
      </cdr:nvSpPr>
      <cdr:spPr>
        <a:xfrm xmlns:a="http://schemas.openxmlformats.org/drawingml/2006/main">
          <a:off x="441325" y="365125"/>
          <a:ext cx="1238250" cy="5334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100" b="1"/>
            <a:t>435,821</a:t>
          </a:r>
        </a:p>
        <a:p xmlns:a="http://schemas.openxmlformats.org/drawingml/2006/main">
          <a:pPr algn="ctr"/>
          <a:r>
            <a:rPr lang="en-US" sz="1100" b="1"/>
            <a:t>Millones de pesos</a:t>
          </a:r>
        </a:p>
      </cdr:txBody>
    </cdr:sp>
  </cdr:relSizeAnchor>
</c:userShapes>
</file>

<file path=word/theme/theme1.xml><?xml version="1.0" encoding="utf-8"?>
<a:theme xmlns:a="http://schemas.openxmlformats.org/drawingml/2006/main" name="Tema de Office">
  <a:themeElements>
    <a:clrScheme name="Verde azulado">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8408-6169-4A38-B730-A8C93516E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2955</Words>
  <Characters>16258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Comunicado de Prensa. Cuenta Satélite del Sector Salud de México 2020.</vt:lpstr>
    </vt:vector>
  </TitlesOfParts>
  <Company/>
  <LinksUpToDate>false</LinksUpToDate>
  <CharactersWithSpaces>19175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Cuenta Satélite del Sector Salud de México 2020.</dc:title>
  <dc:subject/>
  <dc:creator>INEGI</dc:creator>
  <cp:keywords/>
  <dc:description/>
  <cp:lastModifiedBy>GUILLEN MEDINA MOISES</cp:lastModifiedBy>
  <cp:revision>5</cp:revision>
  <cp:lastPrinted>2021-12-14T02:11:00Z</cp:lastPrinted>
  <dcterms:created xsi:type="dcterms:W3CDTF">2021-12-14T01:58:00Z</dcterms:created>
  <dcterms:modified xsi:type="dcterms:W3CDTF">2021-12-14T02:11:00Z</dcterms:modified>
</cp:coreProperties>
</file>