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40A03" w14:textId="115BACDF" w:rsidR="003A0362" w:rsidRDefault="003A0362" w:rsidP="00142902">
      <w:pPr>
        <w:pStyle w:val="Textoindependiente"/>
        <w:ind w:left="-567" w:right="-518"/>
        <w:jc w:val="center"/>
        <w:rPr>
          <w:rFonts w:ascii="Arial" w:hAnsi="Arial" w:cs="Arial"/>
          <w:b/>
          <w:color w:val="000000" w:themeColor="text1"/>
          <w:lang w:val="es-MX"/>
        </w:rPr>
      </w:pPr>
      <w:bookmarkStart w:id="0" w:name="_GoBack"/>
      <w:r w:rsidRPr="00142902">
        <w:rPr>
          <w:rFonts w:ascii="Arial" w:hAnsi="Arial" w:cs="Arial"/>
          <w:b/>
          <w:color w:val="000000" w:themeColor="text1"/>
          <w:lang w:val="es-MX"/>
        </w:rPr>
        <w:t>CUENTA SATÉLITE DEL TURISMO DE MÉXICO 2020</w:t>
      </w:r>
    </w:p>
    <w:bookmarkEnd w:id="0"/>
    <w:p w14:paraId="0503A61B" w14:textId="77777777" w:rsidR="00142902" w:rsidRPr="00142902" w:rsidRDefault="00142902" w:rsidP="00142902">
      <w:pPr>
        <w:pStyle w:val="Textoindependiente"/>
        <w:ind w:left="-567" w:right="-518"/>
        <w:jc w:val="center"/>
        <w:rPr>
          <w:rFonts w:ascii="Arial" w:hAnsi="Arial" w:cs="Arial"/>
          <w:b/>
          <w:color w:val="000000" w:themeColor="text1"/>
          <w:lang w:val="es-MX"/>
        </w:rPr>
      </w:pPr>
    </w:p>
    <w:p w14:paraId="56AC7948" w14:textId="25AB0B12" w:rsidR="003A0362" w:rsidRPr="00142902" w:rsidRDefault="003A0362" w:rsidP="00142902">
      <w:pPr>
        <w:pStyle w:val="Textoindependiente"/>
        <w:numPr>
          <w:ilvl w:val="0"/>
          <w:numId w:val="5"/>
        </w:numPr>
        <w:tabs>
          <w:tab w:val="center" w:pos="3348"/>
        </w:tabs>
        <w:ind w:right="-93"/>
        <w:rPr>
          <w:rFonts w:ascii="Arial" w:hAnsi="Arial" w:cs="Arial"/>
          <w:sz w:val="23"/>
          <w:szCs w:val="23"/>
        </w:rPr>
      </w:pPr>
      <w:r w:rsidRPr="00142902">
        <w:rPr>
          <w:rFonts w:ascii="Arial" w:hAnsi="Arial" w:cs="Arial"/>
          <w:sz w:val="23"/>
          <w:szCs w:val="23"/>
        </w:rPr>
        <w:t>E</w:t>
      </w:r>
      <w:r w:rsidRPr="00142902">
        <w:rPr>
          <w:rFonts w:ascii="Arial" w:hAnsi="Arial" w:cs="Arial"/>
          <w:sz w:val="23"/>
          <w:szCs w:val="23"/>
          <w:lang w:val="es-MX"/>
        </w:rPr>
        <w:t>n 2020, e</w:t>
      </w:r>
      <w:r w:rsidRPr="00142902">
        <w:rPr>
          <w:rFonts w:ascii="Arial" w:hAnsi="Arial" w:cs="Arial"/>
          <w:sz w:val="23"/>
          <w:szCs w:val="23"/>
        </w:rPr>
        <w:t>l Producto Interno Bruto Turístico reportó</w:t>
      </w:r>
      <w:r w:rsidRPr="00142902">
        <w:rPr>
          <w:rFonts w:ascii="Arial" w:hAnsi="Arial" w:cs="Arial"/>
          <w:sz w:val="23"/>
          <w:szCs w:val="23"/>
          <w:lang w:val="es-MX"/>
        </w:rPr>
        <w:t xml:space="preserve"> </w:t>
      </w:r>
      <w:r w:rsidRPr="00142902">
        <w:rPr>
          <w:rFonts w:ascii="Arial" w:hAnsi="Arial" w:cs="Arial"/>
          <w:sz w:val="23"/>
          <w:szCs w:val="23"/>
        </w:rPr>
        <w:t>un monto de 1</w:t>
      </w:r>
      <w:r w:rsidRPr="00142902">
        <w:rPr>
          <w:rFonts w:ascii="Arial" w:hAnsi="Arial" w:cs="Arial"/>
          <w:sz w:val="23"/>
          <w:szCs w:val="23"/>
          <w:lang w:val="es-MX"/>
        </w:rPr>
        <w:t xml:space="preserve"> </w:t>
      </w:r>
      <w:r w:rsidRPr="00142902">
        <w:rPr>
          <w:rFonts w:ascii="Arial" w:hAnsi="Arial" w:cs="Arial"/>
          <w:sz w:val="23"/>
          <w:szCs w:val="23"/>
        </w:rPr>
        <w:t>475</w:t>
      </w:r>
      <w:r w:rsidRPr="00142902">
        <w:rPr>
          <w:rFonts w:ascii="Arial" w:hAnsi="Arial" w:cs="Arial"/>
          <w:sz w:val="23"/>
          <w:szCs w:val="23"/>
          <w:lang w:val="es-MX"/>
        </w:rPr>
        <w:t xml:space="preserve"> </w:t>
      </w:r>
      <w:r w:rsidRPr="00142902">
        <w:rPr>
          <w:rFonts w:ascii="Arial" w:hAnsi="Arial" w:cs="Arial"/>
          <w:sz w:val="23"/>
          <w:szCs w:val="23"/>
        </w:rPr>
        <w:t>107 millones de pesos, e</w:t>
      </w:r>
      <w:r w:rsidRPr="00142902">
        <w:rPr>
          <w:rFonts w:ascii="Arial" w:hAnsi="Arial" w:cs="Arial"/>
          <w:sz w:val="23"/>
          <w:szCs w:val="23"/>
          <w:lang w:val="es-MX"/>
        </w:rPr>
        <w:t>quivalente a</w:t>
      </w:r>
      <w:r w:rsidRPr="00142902">
        <w:rPr>
          <w:rFonts w:ascii="Arial" w:hAnsi="Arial" w:cs="Arial"/>
          <w:sz w:val="23"/>
          <w:szCs w:val="23"/>
        </w:rPr>
        <w:t xml:space="preserve"> 6.7% respecto </w:t>
      </w:r>
      <w:r w:rsidR="00D1584D" w:rsidRPr="00142902">
        <w:rPr>
          <w:rFonts w:ascii="Arial" w:hAnsi="Arial" w:cs="Arial"/>
          <w:sz w:val="23"/>
          <w:szCs w:val="23"/>
          <w:lang w:val="es-MX"/>
        </w:rPr>
        <w:t>a</w:t>
      </w:r>
      <w:r w:rsidRPr="00142902">
        <w:rPr>
          <w:rFonts w:ascii="Arial" w:hAnsi="Arial" w:cs="Arial"/>
          <w:sz w:val="23"/>
          <w:szCs w:val="23"/>
        </w:rPr>
        <w:t>l PIB Nacional</w:t>
      </w:r>
      <w:r w:rsidR="00D1584D" w:rsidRPr="00142902">
        <w:rPr>
          <w:rFonts w:ascii="Arial" w:hAnsi="Arial" w:cs="Arial"/>
          <w:sz w:val="23"/>
          <w:szCs w:val="23"/>
          <w:lang w:val="es-MX"/>
        </w:rPr>
        <w:t>. El PIB Turístico fue menor al</w:t>
      </w:r>
      <w:r w:rsidRPr="00142902">
        <w:rPr>
          <w:rFonts w:ascii="Arial" w:hAnsi="Arial" w:cs="Arial"/>
          <w:sz w:val="23"/>
          <w:szCs w:val="23"/>
        </w:rPr>
        <w:t xml:space="preserve"> 8.5% </w:t>
      </w:r>
      <w:r w:rsidR="00D1584D" w:rsidRPr="00142902">
        <w:rPr>
          <w:rFonts w:ascii="Arial" w:hAnsi="Arial" w:cs="Arial"/>
          <w:sz w:val="23"/>
          <w:szCs w:val="23"/>
          <w:lang w:val="es-MX"/>
        </w:rPr>
        <w:t>obtenido en</w:t>
      </w:r>
      <w:r w:rsidRPr="00142902">
        <w:rPr>
          <w:rFonts w:ascii="Arial" w:hAnsi="Arial" w:cs="Arial"/>
          <w:sz w:val="23"/>
          <w:szCs w:val="23"/>
        </w:rPr>
        <w:t xml:space="preserve"> 2019, año anterior a la pandemia por la COVID-19.</w:t>
      </w:r>
    </w:p>
    <w:p w14:paraId="35914936" w14:textId="353B1525" w:rsidR="003A0362" w:rsidRPr="00142902" w:rsidRDefault="00142902" w:rsidP="00142902">
      <w:pPr>
        <w:pStyle w:val="Prrafodelista"/>
        <w:numPr>
          <w:ilvl w:val="0"/>
          <w:numId w:val="5"/>
        </w:numPr>
        <w:spacing w:before="0"/>
        <w:ind w:right="-93"/>
        <w:jc w:val="both"/>
        <w:rPr>
          <w:rFonts w:ascii="Arial" w:hAnsi="Arial" w:cs="Arial"/>
          <w:sz w:val="23"/>
          <w:szCs w:val="23"/>
          <w:lang w:val="x-none" w:eastAsia="x-none"/>
        </w:rPr>
      </w:pPr>
      <w:r w:rsidRPr="00142902">
        <w:rPr>
          <w:rFonts w:ascii="Arial" w:hAnsi="Arial" w:cs="Arial"/>
          <w:sz w:val="23"/>
          <w:szCs w:val="23"/>
          <w:lang w:eastAsia="x-none"/>
        </w:rPr>
        <w:t>L</w:t>
      </w:r>
      <w:r w:rsidRPr="00142902">
        <w:rPr>
          <w:rFonts w:ascii="Arial" w:hAnsi="Arial" w:cs="Arial"/>
          <w:sz w:val="23"/>
          <w:szCs w:val="23"/>
          <w:lang w:val="x-none" w:eastAsia="x-none"/>
        </w:rPr>
        <w:t xml:space="preserve">a disminución se </w:t>
      </w:r>
      <w:r w:rsidRPr="00142902">
        <w:rPr>
          <w:rFonts w:ascii="Arial" w:hAnsi="Arial" w:cs="Arial"/>
          <w:sz w:val="23"/>
          <w:szCs w:val="23"/>
          <w:lang w:val="es-MX" w:eastAsia="x-none"/>
        </w:rPr>
        <w:t>debió</w:t>
      </w:r>
      <w:r w:rsidRPr="00142902">
        <w:rPr>
          <w:rFonts w:ascii="Arial" w:hAnsi="Arial" w:cs="Arial"/>
          <w:sz w:val="23"/>
          <w:szCs w:val="23"/>
          <w:lang w:val="x-none" w:eastAsia="x-none"/>
        </w:rPr>
        <w:t xml:space="preserve"> principalmente</w:t>
      </w:r>
      <w:r w:rsidRPr="00142902">
        <w:rPr>
          <w:rFonts w:ascii="Arial" w:hAnsi="Arial" w:cs="Arial"/>
          <w:sz w:val="23"/>
          <w:szCs w:val="23"/>
          <w:lang w:val="es-MX" w:eastAsia="x-none"/>
        </w:rPr>
        <w:t xml:space="preserve"> a</w:t>
      </w:r>
      <w:r w:rsidRPr="00142902">
        <w:rPr>
          <w:rFonts w:ascii="Arial" w:hAnsi="Arial" w:cs="Arial"/>
          <w:sz w:val="23"/>
          <w:szCs w:val="23"/>
          <w:lang w:val="x-none" w:eastAsia="x-none"/>
        </w:rPr>
        <w:t>l cierre</w:t>
      </w:r>
      <w:r w:rsidR="00A31608">
        <w:rPr>
          <w:rFonts w:ascii="Arial" w:hAnsi="Arial" w:cs="Arial"/>
          <w:sz w:val="23"/>
          <w:szCs w:val="23"/>
          <w:lang w:val="es-MX" w:eastAsia="x-none"/>
        </w:rPr>
        <w:t>, entre otros,</w:t>
      </w:r>
      <w:r w:rsidRPr="00142902">
        <w:rPr>
          <w:rFonts w:ascii="Arial" w:hAnsi="Arial" w:cs="Arial"/>
          <w:sz w:val="23"/>
          <w:szCs w:val="23"/>
          <w:lang w:val="x-none" w:eastAsia="x-none"/>
        </w:rPr>
        <w:t xml:space="preserve"> de </w:t>
      </w:r>
      <w:r w:rsidR="00A31608">
        <w:rPr>
          <w:rFonts w:ascii="Arial" w:hAnsi="Arial" w:cs="Arial"/>
          <w:sz w:val="23"/>
          <w:szCs w:val="23"/>
          <w:lang w:val="es-MX" w:eastAsia="x-none"/>
        </w:rPr>
        <w:t xml:space="preserve">los </w:t>
      </w:r>
      <w:r w:rsidRPr="00142902">
        <w:rPr>
          <w:rFonts w:ascii="Arial" w:hAnsi="Arial" w:cs="Arial"/>
          <w:sz w:val="23"/>
          <w:szCs w:val="23"/>
          <w:lang w:val="x-none" w:eastAsia="x-none"/>
        </w:rPr>
        <w:t>servicios de alojamiento</w:t>
      </w:r>
      <w:r w:rsidRPr="00142902">
        <w:rPr>
          <w:rFonts w:ascii="Arial" w:hAnsi="Arial" w:cs="Arial"/>
          <w:sz w:val="23"/>
          <w:szCs w:val="23"/>
          <w:lang w:val="es-MX" w:eastAsia="x-none"/>
        </w:rPr>
        <w:t xml:space="preserve"> con una caída de </w:t>
      </w:r>
      <w:r w:rsidRPr="00142902">
        <w:rPr>
          <w:rFonts w:ascii="Arial" w:hAnsi="Arial" w:cs="Arial"/>
          <w:sz w:val="23"/>
          <w:szCs w:val="23"/>
          <w:lang w:val="x-none" w:eastAsia="x-none"/>
        </w:rPr>
        <w:t>13.3%,</w:t>
      </w:r>
      <w:r w:rsidRPr="00142902">
        <w:rPr>
          <w:rFonts w:ascii="Arial" w:hAnsi="Arial" w:cs="Arial"/>
          <w:sz w:val="23"/>
          <w:szCs w:val="23"/>
          <w:lang w:val="es-MX" w:eastAsia="x-none"/>
        </w:rPr>
        <w:t xml:space="preserve"> </w:t>
      </w:r>
      <w:r w:rsidR="00A31608">
        <w:rPr>
          <w:rFonts w:ascii="Arial" w:hAnsi="Arial" w:cs="Arial"/>
          <w:sz w:val="23"/>
          <w:szCs w:val="23"/>
          <w:lang w:val="es-MX" w:eastAsia="x-none"/>
        </w:rPr>
        <w:t>así como</w:t>
      </w:r>
      <w:r w:rsidR="00A31608" w:rsidRPr="00142902">
        <w:rPr>
          <w:rFonts w:ascii="Arial" w:hAnsi="Arial" w:cs="Arial"/>
          <w:sz w:val="23"/>
          <w:szCs w:val="23"/>
          <w:lang w:val="es-MX" w:eastAsia="x-none"/>
        </w:rPr>
        <w:t xml:space="preserve"> </w:t>
      </w:r>
      <w:r w:rsidRPr="00142902">
        <w:rPr>
          <w:rFonts w:ascii="Arial" w:hAnsi="Arial" w:cs="Arial"/>
          <w:sz w:val="23"/>
          <w:szCs w:val="23"/>
          <w:lang w:val="es-MX" w:eastAsia="x-none"/>
        </w:rPr>
        <w:t>de</w:t>
      </w:r>
      <w:r w:rsidRPr="00142902">
        <w:rPr>
          <w:rFonts w:ascii="Arial" w:hAnsi="Arial" w:cs="Arial"/>
          <w:sz w:val="23"/>
          <w:szCs w:val="23"/>
          <w:lang w:val="x-none" w:eastAsia="x-none"/>
        </w:rPr>
        <w:t xml:space="preserve"> los restaurantes, bares y centros nocturnos con una variación negativa de 33.4</w:t>
      </w:r>
      <w:r w:rsidRPr="00142902">
        <w:rPr>
          <w:rFonts w:ascii="Arial" w:hAnsi="Arial" w:cs="Arial"/>
          <w:sz w:val="23"/>
          <w:szCs w:val="23"/>
          <w:lang w:val="es-MX" w:eastAsia="x-none"/>
        </w:rPr>
        <w:t>%; ambas</w:t>
      </w:r>
      <w:r w:rsidRPr="00142902">
        <w:rPr>
          <w:rFonts w:ascii="Arial" w:hAnsi="Arial" w:cs="Arial"/>
          <w:sz w:val="23"/>
          <w:szCs w:val="23"/>
          <w:lang w:val="x-none" w:eastAsia="x-none"/>
        </w:rPr>
        <w:t xml:space="preserve"> actividades económicas consideradas como no esenciales por las autoridades sanitarias del país</w:t>
      </w:r>
      <w:r w:rsidRPr="00142902">
        <w:rPr>
          <w:rFonts w:ascii="Arial" w:hAnsi="Arial" w:cs="Arial"/>
          <w:sz w:val="23"/>
          <w:szCs w:val="23"/>
          <w:lang w:val="es-MX" w:eastAsia="x-none"/>
        </w:rPr>
        <w:t>.</w:t>
      </w:r>
    </w:p>
    <w:p w14:paraId="74F01FF1" w14:textId="77777777" w:rsidR="00142902" w:rsidRDefault="00142902" w:rsidP="00142902">
      <w:pPr>
        <w:pStyle w:val="Textoindependiente"/>
        <w:ind w:left="-567" w:right="-518"/>
        <w:rPr>
          <w:rFonts w:ascii="Arial" w:hAnsi="Arial" w:cs="Arial"/>
          <w:sz w:val="23"/>
          <w:szCs w:val="23"/>
        </w:rPr>
      </w:pPr>
    </w:p>
    <w:p w14:paraId="6CD1DFAC" w14:textId="35BEFDCB" w:rsidR="003A0362" w:rsidRDefault="003A0362" w:rsidP="00142902">
      <w:pPr>
        <w:pStyle w:val="Textoindependiente"/>
        <w:ind w:left="-567" w:right="-518"/>
        <w:rPr>
          <w:rFonts w:ascii="Arial" w:hAnsi="Arial" w:cs="Arial"/>
          <w:sz w:val="23"/>
          <w:szCs w:val="23"/>
          <w:lang w:val="es-MX"/>
        </w:rPr>
      </w:pPr>
      <w:r w:rsidRPr="00142902">
        <w:rPr>
          <w:rFonts w:ascii="Arial" w:hAnsi="Arial" w:cs="Arial"/>
          <w:sz w:val="23"/>
          <w:szCs w:val="23"/>
        </w:rPr>
        <w:t xml:space="preserve">El Instituto Nacional de Estadística y Geografía (INEGI) presenta los resultados </w:t>
      </w:r>
      <w:r w:rsidR="00142902" w:rsidRPr="00142902">
        <w:rPr>
          <w:rFonts w:ascii="Arial" w:hAnsi="Arial" w:cs="Arial"/>
          <w:sz w:val="23"/>
          <w:szCs w:val="23"/>
          <w:lang w:val="es-MX"/>
        </w:rPr>
        <w:t>preliminares</w:t>
      </w:r>
      <w:r w:rsidRPr="00142902">
        <w:rPr>
          <w:rFonts w:ascii="Arial" w:hAnsi="Arial" w:cs="Arial"/>
          <w:sz w:val="23"/>
          <w:szCs w:val="23"/>
        </w:rPr>
        <w:t xml:space="preserve"> de la Cuenta Satélite </w:t>
      </w:r>
      <w:r w:rsidRPr="00142902">
        <w:rPr>
          <w:rFonts w:ascii="Arial" w:hAnsi="Arial" w:cs="Arial"/>
          <w:sz w:val="23"/>
          <w:szCs w:val="23"/>
          <w:lang w:val="es-MX"/>
        </w:rPr>
        <w:t>del Turismo</w:t>
      </w:r>
      <w:r w:rsidRPr="00142902">
        <w:rPr>
          <w:rFonts w:ascii="Arial" w:hAnsi="Arial" w:cs="Arial"/>
          <w:sz w:val="23"/>
          <w:szCs w:val="23"/>
        </w:rPr>
        <w:t xml:space="preserve"> de México 2020</w:t>
      </w:r>
      <w:r w:rsidRPr="00142902">
        <w:rPr>
          <w:rFonts w:ascii="Arial" w:hAnsi="Arial" w:cs="Arial"/>
          <w:sz w:val="23"/>
          <w:szCs w:val="23"/>
          <w:lang w:val="es-MX"/>
        </w:rPr>
        <w:t>, misma que tiene como objetivo delimitar el conjunto de actividades económicas que producen bienes y servicios para los visitantes, con el propósito de dar a conocer, entre otros indicadores, la participación del Producto Interno Bruto (PIB)</w:t>
      </w:r>
      <w:r w:rsidRPr="00142902">
        <w:rPr>
          <w:rStyle w:val="Refdenotaalpie"/>
          <w:rFonts w:ascii="Arial" w:hAnsi="Arial" w:cs="Arial"/>
          <w:sz w:val="23"/>
          <w:szCs w:val="23"/>
          <w:lang w:val="es-MX"/>
        </w:rPr>
        <w:footnoteReference w:id="1"/>
      </w:r>
      <w:r w:rsidRPr="00142902">
        <w:rPr>
          <w:rFonts w:ascii="Arial" w:hAnsi="Arial" w:cs="Arial"/>
          <w:sz w:val="23"/>
          <w:szCs w:val="23"/>
          <w:lang w:val="es-MX"/>
        </w:rPr>
        <w:t xml:space="preserve"> generado por las actividades turísticas en relación con el total de la economía.</w:t>
      </w:r>
    </w:p>
    <w:p w14:paraId="7B39C635" w14:textId="77777777" w:rsidR="00142902" w:rsidRPr="00142902" w:rsidRDefault="00142902" w:rsidP="00142902">
      <w:pPr>
        <w:pStyle w:val="Textoindependiente"/>
        <w:ind w:left="-567" w:right="-518"/>
        <w:rPr>
          <w:rFonts w:ascii="Arial" w:hAnsi="Arial" w:cs="Arial"/>
          <w:sz w:val="23"/>
          <w:szCs w:val="23"/>
        </w:rPr>
      </w:pPr>
    </w:p>
    <w:p w14:paraId="7C543EF5" w14:textId="7275D364" w:rsidR="003A0362" w:rsidRDefault="003A0362" w:rsidP="00142902">
      <w:pPr>
        <w:pStyle w:val="Textoindependiente"/>
        <w:ind w:left="-567" w:right="-518"/>
        <w:rPr>
          <w:rFonts w:ascii="Arial" w:hAnsi="Arial" w:cs="Arial"/>
          <w:sz w:val="23"/>
          <w:szCs w:val="23"/>
          <w:lang w:val="es-MX"/>
        </w:rPr>
      </w:pPr>
      <w:r w:rsidRPr="00142902">
        <w:rPr>
          <w:rFonts w:ascii="Arial" w:hAnsi="Arial" w:cs="Arial"/>
          <w:sz w:val="23"/>
          <w:szCs w:val="23"/>
        </w:rPr>
        <w:t xml:space="preserve">Este trabajo </w:t>
      </w:r>
      <w:r w:rsidRPr="00142902">
        <w:rPr>
          <w:rFonts w:ascii="Arial" w:hAnsi="Arial" w:cs="Arial"/>
          <w:sz w:val="23"/>
          <w:szCs w:val="23"/>
          <w:lang w:val="es-MX"/>
        </w:rPr>
        <w:t>que forma</w:t>
      </w:r>
      <w:r w:rsidRPr="00142902">
        <w:rPr>
          <w:rFonts w:ascii="Arial" w:hAnsi="Arial" w:cs="Arial"/>
          <w:sz w:val="23"/>
          <w:szCs w:val="23"/>
        </w:rPr>
        <w:t xml:space="preserve"> parte del Sistema de Cuentas Nacionales de México (SCNM)</w:t>
      </w:r>
      <w:r w:rsidRPr="00142902">
        <w:rPr>
          <w:rFonts w:ascii="Arial" w:hAnsi="Arial" w:cs="Arial"/>
          <w:sz w:val="23"/>
          <w:szCs w:val="23"/>
          <w:lang w:val="es-MX"/>
        </w:rPr>
        <w:t xml:space="preserve">, enriquece la base informativa sobre la que se sustenta el conocimiento del desarrollo económico y turístico del país y </w:t>
      </w:r>
      <w:r w:rsidRPr="00142902">
        <w:rPr>
          <w:rFonts w:ascii="Arial" w:hAnsi="Arial" w:cs="Arial"/>
          <w:sz w:val="23"/>
          <w:szCs w:val="23"/>
        </w:rPr>
        <w:t>proporciona información económica para la toma de decisiones en el sector</w:t>
      </w:r>
      <w:r w:rsidRPr="00142902">
        <w:rPr>
          <w:rFonts w:ascii="Arial" w:hAnsi="Arial" w:cs="Arial"/>
          <w:sz w:val="23"/>
          <w:szCs w:val="23"/>
          <w:lang w:val="es-MX"/>
        </w:rPr>
        <w:t>.</w:t>
      </w:r>
    </w:p>
    <w:p w14:paraId="2D3B9226" w14:textId="77777777" w:rsidR="00142902" w:rsidRPr="00142902" w:rsidRDefault="00142902" w:rsidP="00142902">
      <w:pPr>
        <w:pStyle w:val="Textoindependiente"/>
        <w:ind w:left="-567" w:right="-518"/>
        <w:rPr>
          <w:rFonts w:ascii="Arial" w:hAnsi="Arial" w:cs="Arial"/>
          <w:sz w:val="23"/>
          <w:szCs w:val="23"/>
          <w:lang w:val="es-MX"/>
        </w:rPr>
      </w:pPr>
    </w:p>
    <w:p w14:paraId="59B29FF0" w14:textId="61628828" w:rsidR="003A0362" w:rsidRDefault="003A0362" w:rsidP="00142902">
      <w:pPr>
        <w:pStyle w:val="Textodebloque1"/>
        <w:tabs>
          <w:tab w:val="left" w:pos="0"/>
          <w:tab w:val="left" w:pos="8222"/>
        </w:tabs>
        <w:spacing w:before="0"/>
        <w:ind w:left="-567" w:right="-518" w:firstLine="0"/>
        <w:rPr>
          <w:rFonts w:ascii="Arial" w:hAnsi="Arial" w:cs="Arial"/>
          <w:iCs/>
          <w:smallCaps/>
          <w:sz w:val="23"/>
          <w:szCs w:val="23"/>
        </w:rPr>
      </w:pPr>
      <w:r w:rsidRPr="00142902">
        <w:rPr>
          <w:rFonts w:ascii="Arial" w:hAnsi="Arial" w:cs="Arial"/>
          <w:iCs/>
          <w:smallCaps/>
          <w:sz w:val="23"/>
          <w:szCs w:val="23"/>
        </w:rPr>
        <w:t>PRINCIPALES RESULTADOS</w:t>
      </w:r>
    </w:p>
    <w:p w14:paraId="1C0E43E5" w14:textId="77777777" w:rsidR="00142902" w:rsidRPr="00142902" w:rsidRDefault="00142902" w:rsidP="00142902">
      <w:pPr>
        <w:pStyle w:val="Textodebloque1"/>
        <w:tabs>
          <w:tab w:val="left" w:pos="0"/>
          <w:tab w:val="left" w:pos="8222"/>
        </w:tabs>
        <w:spacing w:before="0"/>
        <w:ind w:left="-567" w:right="-518" w:firstLine="0"/>
        <w:rPr>
          <w:rFonts w:ascii="Arial" w:hAnsi="Arial" w:cs="Arial"/>
          <w:iCs/>
          <w:smallCaps/>
          <w:sz w:val="23"/>
          <w:szCs w:val="23"/>
        </w:rPr>
      </w:pPr>
    </w:p>
    <w:p w14:paraId="2C4B95DC" w14:textId="6DCFCF97" w:rsidR="003A0362" w:rsidRDefault="003A0362" w:rsidP="00142902">
      <w:pPr>
        <w:pStyle w:val="Textoindependiente"/>
        <w:tabs>
          <w:tab w:val="center" w:pos="3348"/>
        </w:tabs>
        <w:ind w:left="-567" w:right="-518"/>
        <w:rPr>
          <w:rFonts w:ascii="Arial" w:hAnsi="Arial" w:cs="Arial"/>
          <w:sz w:val="23"/>
          <w:szCs w:val="23"/>
        </w:rPr>
      </w:pPr>
      <w:r w:rsidRPr="00142902">
        <w:rPr>
          <w:rFonts w:ascii="Arial" w:hAnsi="Arial" w:cs="Arial"/>
          <w:sz w:val="23"/>
          <w:szCs w:val="23"/>
        </w:rPr>
        <w:t>El Producto Interno Bruto Turístico reportó, en 2020, un monto de 1</w:t>
      </w:r>
      <w:r w:rsidRPr="00142902">
        <w:rPr>
          <w:rFonts w:ascii="Arial" w:hAnsi="Arial" w:cs="Arial"/>
          <w:sz w:val="23"/>
          <w:szCs w:val="23"/>
          <w:lang w:val="es-MX"/>
        </w:rPr>
        <w:t xml:space="preserve"> </w:t>
      </w:r>
      <w:r w:rsidRPr="00142902">
        <w:rPr>
          <w:rFonts w:ascii="Arial" w:hAnsi="Arial" w:cs="Arial"/>
          <w:sz w:val="23"/>
          <w:szCs w:val="23"/>
        </w:rPr>
        <w:t>475</w:t>
      </w:r>
      <w:r w:rsidRPr="00142902">
        <w:rPr>
          <w:rFonts w:ascii="Arial" w:hAnsi="Arial" w:cs="Arial"/>
          <w:sz w:val="23"/>
          <w:szCs w:val="23"/>
          <w:lang w:val="es-MX"/>
        </w:rPr>
        <w:t xml:space="preserve"> </w:t>
      </w:r>
      <w:r w:rsidRPr="00142902">
        <w:rPr>
          <w:rFonts w:ascii="Arial" w:hAnsi="Arial" w:cs="Arial"/>
          <w:sz w:val="23"/>
          <w:szCs w:val="23"/>
        </w:rPr>
        <w:t xml:space="preserve">107 millones de pesos, </w:t>
      </w:r>
      <w:r w:rsidR="006635BC">
        <w:rPr>
          <w:rFonts w:ascii="Arial" w:hAnsi="Arial" w:cs="Arial"/>
          <w:sz w:val="23"/>
          <w:szCs w:val="23"/>
          <w:lang w:val="es-MX"/>
        </w:rPr>
        <w:t>que</w:t>
      </w:r>
      <w:r w:rsidRPr="00142902">
        <w:rPr>
          <w:rFonts w:ascii="Arial" w:hAnsi="Arial" w:cs="Arial"/>
          <w:sz w:val="23"/>
          <w:szCs w:val="23"/>
        </w:rPr>
        <w:t xml:space="preserve"> significó una participación de 6.7% respecto al PIB Nacional, lo que contrasta con el 8.5% en 2019, año anterior a la pandemia por la COVID-19.</w:t>
      </w:r>
    </w:p>
    <w:p w14:paraId="0359AB54" w14:textId="77777777" w:rsidR="00142902" w:rsidRPr="00142902" w:rsidRDefault="00142902" w:rsidP="00142902">
      <w:pPr>
        <w:pStyle w:val="Textoindependiente"/>
        <w:tabs>
          <w:tab w:val="center" w:pos="3348"/>
        </w:tabs>
        <w:ind w:left="-567" w:right="-518"/>
        <w:rPr>
          <w:rFonts w:ascii="Arial" w:hAnsi="Arial" w:cs="Arial"/>
          <w:sz w:val="23"/>
          <w:szCs w:val="23"/>
        </w:rPr>
      </w:pPr>
    </w:p>
    <w:p w14:paraId="381EC471" w14:textId="77777777" w:rsidR="00D1584D" w:rsidRPr="00142902" w:rsidRDefault="00D1584D" w:rsidP="00142902">
      <w:pPr>
        <w:pStyle w:val="Textoindependiente"/>
        <w:ind w:left="-567" w:right="-518"/>
        <w:jc w:val="center"/>
        <w:rPr>
          <w:rFonts w:ascii="Arial" w:hAnsi="Arial" w:cs="Arial"/>
          <w:b/>
          <w:iCs/>
          <w:smallCaps/>
          <w:sz w:val="23"/>
          <w:szCs w:val="23"/>
        </w:rPr>
      </w:pPr>
      <w:r w:rsidRPr="00142902">
        <w:rPr>
          <w:rFonts w:ascii="Arial" w:hAnsi="Arial" w:cs="Arial"/>
          <w:b/>
          <w:iCs/>
          <w:smallCaps/>
          <w:sz w:val="23"/>
          <w:szCs w:val="23"/>
        </w:rPr>
        <w:t xml:space="preserve">Producto Interno Bruto Turístico, </w:t>
      </w:r>
      <w:r w:rsidRPr="00142902">
        <w:rPr>
          <w:rFonts w:ascii="Arial" w:hAnsi="Arial" w:cs="Arial"/>
          <w:b/>
          <w:iCs/>
          <w:smallCaps/>
          <w:sz w:val="23"/>
          <w:szCs w:val="23"/>
          <w:lang w:val="es-MX"/>
        </w:rPr>
        <w:t xml:space="preserve">2008 - </w:t>
      </w:r>
      <w:r w:rsidRPr="00142902">
        <w:rPr>
          <w:rFonts w:ascii="Arial" w:hAnsi="Arial" w:cs="Arial"/>
          <w:b/>
          <w:iCs/>
          <w:smallCaps/>
          <w:sz w:val="23"/>
          <w:szCs w:val="23"/>
        </w:rPr>
        <w:t>2020</w:t>
      </w:r>
    </w:p>
    <w:p w14:paraId="0F62E8F6" w14:textId="77777777" w:rsidR="00D1584D" w:rsidRPr="00142902" w:rsidRDefault="00D1584D" w:rsidP="00142902">
      <w:pPr>
        <w:pStyle w:val="Textoindependiente"/>
        <w:ind w:left="-567" w:right="-518"/>
        <w:jc w:val="center"/>
        <w:rPr>
          <w:rFonts w:ascii="Arial" w:hAnsi="Arial" w:cs="Arial"/>
          <w:sz w:val="23"/>
          <w:szCs w:val="23"/>
        </w:rPr>
      </w:pPr>
      <w:r w:rsidRPr="00142902">
        <w:rPr>
          <w:rFonts w:ascii="Arial" w:hAnsi="Arial" w:cs="Arial"/>
          <w:sz w:val="23"/>
          <w:szCs w:val="23"/>
        </w:rPr>
        <w:t>(</w:t>
      </w:r>
      <w:r w:rsidRPr="00142902">
        <w:rPr>
          <w:rFonts w:ascii="Arial" w:hAnsi="Arial" w:cs="Arial"/>
          <w:sz w:val="23"/>
          <w:szCs w:val="23"/>
          <w:lang w:val="es-MX"/>
        </w:rPr>
        <w:t>Participación porcentual anual</w:t>
      </w:r>
      <w:r w:rsidRPr="00142902">
        <w:rPr>
          <w:rFonts w:ascii="Arial" w:hAnsi="Arial" w:cs="Arial"/>
          <w:sz w:val="23"/>
          <w:szCs w:val="23"/>
        </w:rPr>
        <w:t>)</w:t>
      </w:r>
    </w:p>
    <w:p w14:paraId="608FEAE6" w14:textId="77777777" w:rsidR="00D1584D" w:rsidRPr="00142902" w:rsidRDefault="00D1584D" w:rsidP="00142902">
      <w:pPr>
        <w:pStyle w:val="Textoindependiente"/>
        <w:ind w:left="-567" w:right="-518"/>
        <w:jc w:val="center"/>
        <w:rPr>
          <w:rFonts w:ascii="Arial" w:hAnsi="Arial" w:cs="Arial"/>
          <w:sz w:val="23"/>
          <w:szCs w:val="23"/>
        </w:rPr>
      </w:pPr>
      <w:r w:rsidRPr="00142902">
        <w:rPr>
          <w:rFonts w:ascii="Arial" w:hAnsi="Arial" w:cs="Arial"/>
          <w:noProof/>
          <w:sz w:val="23"/>
          <w:szCs w:val="23"/>
        </w:rPr>
        <w:drawing>
          <wp:inline distT="0" distB="0" distL="0" distR="0" wp14:anchorId="2B4EF61E" wp14:editId="0F44B8B0">
            <wp:extent cx="5589767" cy="2743200"/>
            <wp:effectExtent l="0" t="0" r="11430" b="0"/>
            <wp:docPr id="1" name="Gráfico 1">
              <a:extLst xmlns:a="http://schemas.openxmlformats.org/drawingml/2006/main">
                <a:ext uri="{FF2B5EF4-FFF2-40B4-BE49-F238E27FC236}">
                  <a16:creationId xmlns:a16="http://schemas.microsoft.com/office/drawing/2014/main" id="{125DB449-2F2F-4D05-88CA-47BE127521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4DB4D2" w14:textId="0C3368FA" w:rsidR="00D1584D" w:rsidRPr="00142902" w:rsidRDefault="00D1584D" w:rsidP="00142902">
      <w:pPr>
        <w:pStyle w:val="Textoindependiente"/>
        <w:tabs>
          <w:tab w:val="center" w:pos="3348"/>
        </w:tabs>
        <w:ind w:left="-567" w:right="-518" w:firstLine="567"/>
        <w:rPr>
          <w:rFonts w:ascii="Arial" w:hAnsi="Arial" w:cs="Arial"/>
          <w:sz w:val="20"/>
          <w:szCs w:val="20"/>
        </w:rPr>
      </w:pPr>
      <w:r w:rsidRPr="00142902">
        <w:rPr>
          <w:rFonts w:ascii="Arial" w:eastAsiaTheme="minorHAnsi" w:hAnsi="Arial" w:cs="Arial"/>
          <w:color w:val="000000"/>
          <w:sz w:val="20"/>
          <w:szCs w:val="20"/>
          <w:lang w:val="es-MX" w:eastAsia="en-US"/>
        </w:rPr>
        <w:t>Fuente: INEGI</w:t>
      </w:r>
    </w:p>
    <w:p w14:paraId="13C88E24" w14:textId="0379CF20" w:rsidR="00D1584D" w:rsidRDefault="003A0362" w:rsidP="00142902">
      <w:pPr>
        <w:ind w:left="-567" w:right="-518"/>
        <w:jc w:val="both"/>
        <w:rPr>
          <w:rFonts w:ascii="Arial" w:hAnsi="Arial" w:cs="Arial"/>
          <w:sz w:val="23"/>
          <w:szCs w:val="23"/>
          <w:lang w:val="x-none" w:eastAsia="x-none"/>
        </w:rPr>
      </w:pPr>
      <w:r w:rsidRPr="00142902">
        <w:rPr>
          <w:rFonts w:ascii="Arial" w:hAnsi="Arial" w:cs="Arial"/>
          <w:sz w:val="23"/>
          <w:szCs w:val="23"/>
          <w:lang w:val="x-none" w:eastAsia="x-none"/>
        </w:rPr>
        <w:lastRenderedPageBreak/>
        <w:t>En términos reales, durante 2020</w:t>
      </w:r>
      <w:r w:rsidR="00124A38">
        <w:rPr>
          <w:rFonts w:ascii="Arial" w:hAnsi="Arial" w:cs="Arial"/>
          <w:sz w:val="23"/>
          <w:szCs w:val="23"/>
          <w:lang w:eastAsia="x-none"/>
        </w:rPr>
        <w:t>,</w:t>
      </w:r>
      <w:r w:rsidRPr="00142902">
        <w:rPr>
          <w:rFonts w:ascii="Arial" w:hAnsi="Arial" w:cs="Arial"/>
          <w:sz w:val="23"/>
          <w:szCs w:val="23"/>
          <w:lang w:val="x-none" w:eastAsia="x-none"/>
        </w:rPr>
        <w:t xml:space="preserve"> el sector turismo present</w:t>
      </w:r>
      <w:r w:rsidR="006635BC">
        <w:rPr>
          <w:rFonts w:ascii="Arial" w:hAnsi="Arial" w:cs="Arial"/>
          <w:sz w:val="23"/>
          <w:szCs w:val="23"/>
          <w:lang w:eastAsia="x-none"/>
        </w:rPr>
        <w:t>ó</w:t>
      </w:r>
      <w:r w:rsidRPr="00142902">
        <w:rPr>
          <w:rFonts w:ascii="Arial" w:hAnsi="Arial" w:cs="Arial"/>
          <w:sz w:val="23"/>
          <w:szCs w:val="23"/>
          <w:lang w:val="x-none" w:eastAsia="x-none"/>
        </w:rPr>
        <w:t xml:space="preserve"> una caída de 25.4%, mientras que el total de la economía en términos del valor agregado disminuyó 7.9% para el mismo año.</w:t>
      </w:r>
    </w:p>
    <w:p w14:paraId="0E24B8D0" w14:textId="77777777" w:rsidR="00142902" w:rsidRPr="00142902" w:rsidRDefault="00142902" w:rsidP="00142902">
      <w:pPr>
        <w:ind w:left="-567" w:right="-518"/>
        <w:jc w:val="both"/>
        <w:rPr>
          <w:rFonts w:ascii="Arial" w:hAnsi="Arial" w:cs="Arial"/>
          <w:sz w:val="23"/>
          <w:szCs w:val="23"/>
          <w:lang w:val="x-none" w:eastAsia="x-none"/>
        </w:rPr>
      </w:pPr>
    </w:p>
    <w:p w14:paraId="0F13A5EB" w14:textId="31D2BB16" w:rsidR="003A0362" w:rsidRDefault="00D1584D" w:rsidP="00142902">
      <w:pPr>
        <w:ind w:left="-567" w:right="-518"/>
        <w:jc w:val="both"/>
        <w:rPr>
          <w:rFonts w:ascii="Arial" w:hAnsi="Arial" w:cs="Arial"/>
          <w:sz w:val="23"/>
          <w:szCs w:val="23"/>
          <w:lang w:val="x-none" w:eastAsia="x-none"/>
        </w:rPr>
      </w:pPr>
      <w:r w:rsidRPr="00142902">
        <w:rPr>
          <w:rFonts w:ascii="Arial" w:hAnsi="Arial" w:cs="Arial"/>
          <w:sz w:val="23"/>
          <w:szCs w:val="23"/>
          <w:lang w:eastAsia="x-none"/>
        </w:rPr>
        <w:t>L</w:t>
      </w:r>
      <w:r w:rsidR="003A0362" w:rsidRPr="00142902">
        <w:rPr>
          <w:rFonts w:ascii="Arial" w:hAnsi="Arial" w:cs="Arial"/>
          <w:sz w:val="23"/>
          <w:szCs w:val="23"/>
          <w:lang w:val="x-none" w:eastAsia="x-none"/>
        </w:rPr>
        <w:t xml:space="preserve">a disminución se explica principalmente por el cierre de actividades económicas consideradas como no esenciales por las autoridades sanitarias del país, como los servicios de alojamiento, que tuvieron una caída de 13.3%, o los restaurantes, bares y centros nocturnos con una variación negativa de 33.4 por ciento. </w:t>
      </w:r>
    </w:p>
    <w:p w14:paraId="7C600551" w14:textId="77777777" w:rsidR="00142902" w:rsidRPr="00142902" w:rsidRDefault="00142902" w:rsidP="00142902">
      <w:pPr>
        <w:ind w:left="-567" w:right="-518"/>
        <w:jc w:val="both"/>
        <w:rPr>
          <w:rFonts w:ascii="Arial" w:hAnsi="Arial" w:cs="Arial"/>
          <w:sz w:val="23"/>
          <w:szCs w:val="23"/>
          <w:lang w:val="x-none" w:eastAsia="x-none"/>
        </w:rPr>
      </w:pPr>
    </w:p>
    <w:p w14:paraId="23CF595B" w14:textId="3DD39688" w:rsidR="003A0362" w:rsidRDefault="00D1584D" w:rsidP="00142902">
      <w:pPr>
        <w:ind w:left="-567" w:right="-518"/>
        <w:jc w:val="both"/>
        <w:rPr>
          <w:rFonts w:ascii="Arial" w:hAnsi="Arial" w:cs="Arial"/>
          <w:sz w:val="23"/>
          <w:szCs w:val="23"/>
        </w:rPr>
      </w:pPr>
      <w:r w:rsidRPr="00142902">
        <w:rPr>
          <w:rFonts w:ascii="Arial" w:hAnsi="Arial" w:cs="Arial"/>
          <w:sz w:val="23"/>
          <w:szCs w:val="23"/>
          <w:lang w:eastAsia="x-none"/>
        </w:rPr>
        <w:t xml:space="preserve">En </w:t>
      </w:r>
      <w:r w:rsidR="003A0362" w:rsidRPr="00142902">
        <w:rPr>
          <w:rFonts w:ascii="Arial" w:hAnsi="Arial" w:cs="Arial"/>
          <w:sz w:val="23"/>
          <w:szCs w:val="23"/>
          <w:lang w:val="x-none" w:eastAsia="x-none"/>
        </w:rPr>
        <w:t>2020</w:t>
      </w:r>
      <w:r w:rsidRPr="00142902">
        <w:rPr>
          <w:rFonts w:ascii="Arial" w:hAnsi="Arial" w:cs="Arial"/>
          <w:sz w:val="23"/>
          <w:szCs w:val="23"/>
          <w:lang w:eastAsia="x-none"/>
        </w:rPr>
        <w:t xml:space="preserve"> se </w:t>
      </w:r>
      <w:r w:rsidR="003A0362" w:rsidRPr="00142902">
        <w:rPr>
          <w:rFonts w:ascii="Arial" w:hAnsi="Arial" w:cs="Arial"/>
          <w:sz w:val="23"/>
          <w:szCs w:val="23"/>
          <w:lang w:val="x-none" w:eastAsia="x-none"/>
        </w:rPr>
        <w:t xml:space="preserve">generaron alrededor de 2 millones de puestos de trabajo </w:t>
      </w:r>
      <w:r w:rsidRPr="00142902">
        <w:rPr>
          <w:rFonts w:ascii="Arial" w:hAnsi="Arial" w:cs="Arial"/>
          <w:sz w:val="23"/>
          <w:szCs w:val="23"/>
          <w:lang w:val="x-none" w:eastAsia="x-none"/>
        </w:rPr>
        <w:t>en el sector turismo</w:t>
      </w:r>
      <w:r w:rsidRPr="00142902">
        <w:rPr>
          <w:rFonts w:ascii="Arial" w:hAnsi="Arial" w:cs="Arial"/>
          <w:sz w:val="23"/>
          <w:szCs w:val="23"/>
          <w:lang w:eastAsia="x-none"/>
        </w:rPr>
        <w:t xml:space="preserve">, cifra que refleja </w:t>
      </w:r>
      <w:r w:rsidR="00A634AF">
        <w:rPr>
          <w:rFonts w:ascii="Arial" w:hAnsi="Arial" w:cs="Arial"/>
          <w:sz w:val="23"/>
          <w:szCs w:val="23"/>
          <w:lang w:eastAsia="x-none"/>
        </w:rPr>
        <w:t xml:space="preserve">una </w:t>
      </w:r>
      <w:r w:rsidR="003A0362" w:rsidRPr="00142902">
        <w:rPr>
          <w:rFonts w:ascii="Arial" w:hAnsi="Arial" w:cs="Arial"/>
          <w:sz w:val="23"/>
          <w:szCs w:val="23"/>
          <w:lang w:val="x-none" w:eastAsia="x-none"/>
        </w:rPr>
        <w:t>disminución de</w:t>
      </w:r>
      <w:r w:rsidRPr="00142902">
        <w:rPr>
          <w:rFonts w:ascii="Arial" w:hAnsi="Arial" w:cs="Arial"/>
          <w:sz w:val="23"/>
          <w:szCs w:val="23"/>
          <w:lang w:eastAsia="x-none"/>
        </w:rPr>
        <w:t xml:space="preserve"> </w:t>
      </w:r>
      <w:r w:rsidR="003A0362" w:rsidRPr="00142902">
        <w:rPr>
          <w:rFonts w:ascii="Arial" w:hAnsi="Arial" w:cs="Arial"/>
          <w:sz w:val="23"/>
          <w:szCs w:val="23"/>
          <w:lang w:val="x-none" w:eastAsia="x-none"/>
        </w:rPr>
        <w:t xml:space="preserve">12.3% respecto a 2019. La mayor contribución se registró en el rubro de restaurantes, bares y centros nocturnos con 27.4%; seguido por el transporte de pasajeros con 25.9%; otros servicios </w:t>
      </w:r>
      <w:r w:rsidRPr="00142902">
        <w:rPr>
          <w:rFonts w:ascii="Arial" w:hAnsi="Arial" w:cs="Arial"/>
          <w:sz w:val="23"/>
          <w:szCs w:val="23"/>
          <w:lang w:eastAsia="x-none"/>
        </w:rPr>
        <w:t xml:space="preserve">con </w:t>
      </w:r>
      <w:r w:rsidR="003A0362" w:rsidRPr="00142902">
        <w:rPr>
          <w:rFonts w:ascii="Arial" w:hAnsi="Arial" w:cs="Arial"/>
          <w:sz w:val="23"/>
          <w:szCs w:val="23"/>
          <w:lang w:val="x-none" w:eastAsia="x-none"/>
        </w:rPr>
        <w:t>25.3% y el alojamiento para visitantes con 10.2</w:t>
      </w:r>
      <w:r w:rsidRPr="00142902">
        <w:rPr>
          <w:rFonts w:ascii="Arial" w:hAnsi="Arial" w:cs="Arial"/>
          <w:sz w:val="23"/>
          <w:szCs w:val="23"/>
          <w:lang w:eastAsia="x-none"/>
        </w:rPr>
        <w:t xml:space="preserve"> por ciento</w:t>
      </w:r>
      <w:r w:rsidR="00A31608">
        <w:rPr>
          <w:rFonts w:ascii="Arial" w:hAnsi="Arial" w:cs="Arial"/>
          <w:sz w:val="23"/>
          <w:szCs w:val="23"/>
          <w:lang w:eastAsia="x-none"/>
        </w:rPr>
        <w:t>, entre otros</w:t>
      </w:r>
      <w:r w:rsidRPr="00142902">
        <w:rPr>
          <w:rFonts w:ascii="Arial" w:hAnsi="Arial" w:cs="Arial"/>
          <w:sz w:val="23"/>
          <w:szCs w:val="23"/>
          <w:lang w:eastAsia="x-none"/>
        </w:rPr>
        <w:t>.</w:t>
      </w:r>
      <w:r w:rsidR="003A0362" w:rsidRPr="00142902">
        <w:rPr>
          <w:rFonts w:ascii="Arial" w:hAnsi="Arial" w:cs="Arial"/>
          <w:sz w:val="23"/>
          <w:szCs w:val="23"/>
        </w:rPr>
        <w:t xml:space="preserve"> </w:t>
      </w:r>
    </w:p>
    <w:p w14:paraId="75A189D1" w14:textId="77777777" w:rsidR="00142902" w:rsidRPr="00142902" w:rsidRDefault="00142902" w:rsidP="00142902">
      <w:pPr>
        <w:ind w:left="-567" w:right="-518"/>
        <w:jc w:val="both"/>
        <w:rPr>
          <w:rFonts w:ascii="Arial" w:hAnsi="Arial" w:cs="Arial"/>
          <w:sz w:val="23"/>
          <w:szCs w:val="23"/>
        </w:rPr>
      </w:pPr>
    </w:p>
    <w:p w14:paraId="64A3D006" w14:textId="513111A8" w:rsidR="003A0362" w:rsidRDefault="003A0362" w:rsidP="00142902">
      <w:pPr>
        <w:ind w:left="-567" w:right="-518"/>
        <w:jc w:val="both"/>
        <w:rPr>
          <w:rFonts w:ascii="Arial" w:hAnsi="Arial" w:cs="Arial"/>
          <w:sz w:val="23"/>
          <w:szCs w:val="23"/>
        </w:rPr>
      </w:pPr>
      <w:r w:rsidRPr="00142902">
        <w:rPr>
          <w:rFonts w:ascii="Arial" w:hAnsi="Arial" w:cs="Arial"/>
          <w:sz w:val="23"/>
          <w:szCs w:val="23"/>
        </w:rPr>
        <w:t>La Cuenta Satélite del Turismo de México permite identificar el consumo turístico interior, entendido como el gasto realizado por los visitantes dentro del país, tanto residentes (consumo interno) como extranjeros (consumo receptivo)</w:t>
      </w:r>
      <w:r w:rsidR="00D1584D" w:rsidRPr="00142902">
        <w:rPr>
          <w:rFonts w:ascii="Arial" w:hAnsi="Arial" w:cs="Arial"/>
          <w:sz w:val="23"/>
          <w:szCs w:val="23"/>
        </w:rPr>
        <w:t>. A</w:t>
      </w:r>
      <w:r w:rsidRPr="00142902">
        <w:rPr>
          <w:rFonts w:ascii="Arial" w:hAnsi="Arial" w:cs="Arial"/>
          <w:sz w:val="23"/>
          <w:szCs w:val="23"/>
        </w:rPr>
        <w:t>simismo, registra el consumo turístico emisor, que se identifica como el gasto realizado por los residentes de México en calidad de visitantes en otros países.</w:t>
      </w:r>
    </w:p>
    <w:p w14:paraId="627F4840" w14:textId="77777777" w:rsidR="00142902" w:rsidRPr="00142902" w:rsidRDefault="00142902" w:rsidP="00142902">
      <w:pPr>
        <w:ind w:left="-567" w:right="-518"/>
        <w:jc w:val="both"/>
        <w:rPr>
          <w:rFonts w:ascii="Arial" w:hAnsi="Arial" w:cs="Arial"/>
          <w:sz w:val="23"/>
          <w:szCs w:val="23"/>
        </w:rPr>
      </w:pPr>
    </w:p>
    <w:p w14:paraId="7B705975" w14:textId="4803A082" w:rsidR="003A0362" w:rsidRDefault="003A0362" w:rsidP="00142902">
      <w:pPr>
        <w:ind w:left="-567" w:right="-518"/>
        <w:jc w:val="both"/>
        <w:rPr>
          <w:rFonts w:ascii="Arial" w:hAnsi="Arial" w:cs="Arial"/>
          <w:sz w:val="23"/>
          <w:szCs w:val="23"/>
        </w:rPr>
      </w:pPr>
      <w:r w:rsidRPr="00142902">
        <w:rPr>
          <w:rFonts w:ascii="Arial" w:hAnsi="Arial" w:cs="Arial"/>
          <w:sz w:val="23"/>
          <w:szCs w:val="23"/>
        </w:rPr>
        <w:t>Durante 2020, el gasto total del consumo turístico efectuado dentro y fuera del país alcanzó un monto de 2</w:t>
      </w:r>
      <w:r w:rsidR="00D1584D" w:rsidRPr="00142902">
        <w:rPr>
          <w:rFonts w:ascii="Arial" w:hAnsi="Arial" w:cs="Arial"/>
          <w:sz w:val="23"/>
          <w:szCs w:val="23"/>
        </w:rPr>
        <w:t xml:space="preserve"> </w:t>
      </w:r>
      <w:r w:rsidRPr="00142902">
        <w:rPr>
          <w:rFonts w:ascii="Arial" w:hAnsi="Arial" w:cs="Arial"/>
          <w:sz w:val="23"/>
          <w:szCs w:val="23"/>
        </w:rPr>
        <w:t>451</w:t>
      </w:r>
      <w:r w:rsidR="00D1584D" w:rsidRPr="00142902">
        <w:rPr>
          <w:rFonts w:ascii="Arial" w:hAnsi="Arial" w:cs="Arial"/>
          <w:sz w:val="23"/>
          <w:szCs w:val="23"/>
        </w:rPr>
        <w:t xml:space="preserve"> </w:t>
      </w:r>
      <w:r w:rsidRPr="00142902">
        <w:rPr>
          <w:rFonts w:ascii="Arial" w:hAnsi="Arial" w:cs="Arial"/>
          <w:sz w:val="23"/>
          <w:szCs w:val="23"/>
        </w:rPr>
        <w:t xml:space="preserve">879 millones de pesos corrientes, de los cuales el consumo interior aportó 96.3% del gasto total y el emisor representó </w:t>
      </w:r>
      <w:r w:rsidR="00D1584D" w:rsidRPr="00142902">
        <w:rPr>
          <w:rFonts w:ascii="Arial" w:hAnsi="Arial" w:cs="Arial"/>
          <w:sz w:val="23"/>
          <w:szCs w:val="23"/>
        </w:rPr>
        <w:t xml:space="preserve">el </w:t>
      </w:r>
      <w:r w:rsidRPr="00142902">
        <w:rPr>
          <w:rFonts w:ascii="Arial" w:hAnsi="Arial" w:cs="Arial"/>
          <w:sz w:val="23"/>
          <w:szCs w:val="23"/>
        </w:rPr>
        <w:t>3.7% restante.</w:t>
      </w:r>
    </w:p>
    <w:p w14:paraId="4E316C39" w14:textId="77777777" w:rsidR="00142902" w:rsidRPr="00142902" w:rsidRDefault="00142902" w:rsidP="00142902">
      <w:pPr>
        <w:ind w:left="-567" w:right="-518"/>
        <w:jc w:val="both"/>
        <w:rPr>
          <w:rFonts w:ascii="Arial" w:hAnsi="Arial" w:cs="Arial"/>
          <w:sz w:val="23"/>
          <w:szCs w:val="23"/>
        </w:rPr>
      </w:pPr>
    </w:p>
    <w:p w14:paraId="5581A646" w14:textId="5911AE1B" w:rsidR="003A0362" w:rsidRDefault="003A0362" w:rsidP="00142902">
      <w:pPr>
        <w:ind w:left="-567" w:right="-518"/>
        <w:jc w:val="both"/>
        <w:rPr>
          <w:rFonts w:ascii="Arial" w:hAnsi="Arial" w:cs="Arial"/>
          <w:sz w:val="23"/>
          <w:szCs w:val="23"/>
        </w:rPr>
      </w:pPr>
      <w:r w:rsidRPr="00142902">
        <w:rPr>
          <w:rFonts w:ascii="Arial" w:hAnsi="Arial" w:cs="Arial"/>
          <w:sz w:val="23"/>
          <w:szCs w:val="23"/>
        </w:rPr>
        <w:t xml:space="preserve">Cabe señalar que de cada 100 pesos gastados por turistas (internos y receptivos) dentro del país, los turistas residentes contribuyeron con alrededor de 87 pesos de dicho consumo. </w:t>
      </w:r>
    </w:p>
    <w:p w14:paraId="16513520" w14:textId="77777777" w:rsidR="00142902" w:rsidRPr="00142902" w:rsidRDefault="00142902" w:rsidP="00142902">
      <w:pPr>
        <w:ind w:left="-567" w:right="-518"/>
        <w:jc w:val="both"/>
        <w:rPr>
          <w:rFonts w:ascii="Arial" w:hAnsi="Arial" w:cs="Arial"/>
          <w:sz w:val="23"/>
          <w:szCs w:val="23"/>
        </w:rPr>
      </w:pPr>
    </w:p>
    <w:p w14:paraId="6028F1E3" w14:textId="446FD501" w:rsidR="003A0362" w:rsidRDefault="003A0362" w:rsidP="00142902">
      <w:pPr>
        <w:ind w:left="-567" w:right="-518"/>
        <w:jc w:val="both"/>
        <w:rPr>
          <w:rFonts w:ascii="Arial" w:eastAsiaTheme="minorHAnsi" w:hAnsi="Arial" w:cs="Arial"/>
          <w:color w:val="000000"/>
          <w:sz w:val="23"/>
          <w:szCs w:val="23"/>
          <w:lang w:eastAsia="en-US"/>
        </w:rPr>
      </w:pPr>
      <w:r w:rsidRPr="00142902">
        <w:rPr>
          <w:rFonts w:ascii="Arial" w:eastAsiaTheme="minorHAnsi" w:hAnsi="Arial" w:cs="Arial"/>
          <w:color w:val="000000"/>
          <w:sz w:val="23"/>
          <w:szCs w:val="23"/>
          <w:lang w:eastAsia="en-US"/>
        </w:rPr>
        <w:t xml:space="preserve">El consumo colectivo turístico se conforma por el conjunto de servicios turísticos que proporciona el gobierno en sus distintos niveles y cuyo propósito es el de apoyar las actividades de promoción, reglamentación, orden y seguridad, a visitantes nacionales y extranjeros, fundamentalmente. </w:t>
      </w:r>
    </w:p>
    <w:p w14:paraId="114B730A" w14:textId="77777777" w:rsidR="00142902" w:rsidRPr="00142902" w:rsidRDefault="00142902" w:rsidP="00142902">
      <w:pPr>
        <w:ind w:left="-567" w:right="-518"/>
        <w:jc w:val="both"/>
        <w:rPr>
          <w:rFonts w:ascii="Arial" w:hAnsi="Arial" w:cs="Arial"/>
          <w:sz w:val="23"/>
          <w:szCs w:val="23"/>
          <w:lang w:val="x-none" w:eastAsia="x-none"/>
        </w:rPr>
      </w:pPr>
    </w:p>
    <w:p w14:paraId="1DD4842F" w14:textId="575E3B4B" w:rsidR="003A0362" w:rsidRDefault="00A634AF" w:rsidP="00142902">
      <w:pPr>
        <w:ind w:left="-567" w:right="-518"/>
        <w:jc w:val="both"/>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E</w:t>
      </w:r>
      <w:r w:rsidR="003A0362" w:rsidRPr="00142902">
        <w:rPr>
          <w:rFonts w:ascii="Arial" w:eastAsiaTheme="minorHAnsi" w:hAnsi="Arial" w:cs="Arial"/>
          <w:color w:val="000000"/>
          <w:sz w:val="23"/>
          <w:szCs w:val="23"/>
          <w:lang w:eastAsia="en-US"/>
        </w:rPr>
        <w:t xml:space="preserve">n 2020, este gasto ejercido a precios corrientes constituyó 3.2% del consumo total del </w:t>
      </w:r>
      <w:r>
        <w:rPr>
          <w:rFonts w:ascii="Arial" w:eastAsiaTheme="minorHAnsi" w:hAnsi="Arial" w:cs="Arial"/>
          <w:color w:val="000000"/>
          <w:sz w:val="23"/>
          <w:szCs w:val="23"/>
          <w:lang w:eastAsia="en-US"/>
        </w:rPr>
        <w:t>g</w:t>
      </w:r>
      <w:r w:rsidR="003A0362" w:rsidRPr="00142902">
        <w:rPr>
          <w:rFonts w:ascii="Arial" w:eastAsiaTheme="minorHAnsi" w:hAnsi="Arial" w:cs="Arial"/>
          <w:color w:val="000000"/>
          <w:sz w:val="23"/>
          <w:szCs w:val="23"/>
          <w:lang w:eastAsia="en-US"/>
        </w:rPr>
        <w:t>obierno, lo que se traduce en 94</w:t>
      </w:r>
      <w:r w:rsidR="00142902" w:rsidRPr="00142902">
        <w:rPr>
          <w:rFonts w:ascii="Arial" w:eastAsiaTheme="minorHAnsi" w:hAnsi="Arial" w:cs="Arial"/>
          <w:color w:val="000000"/>
          <w:sz w:val="23"/>
          <w:szCs w:val="23"/>
          <w:lang w:eastAsia="en-US"/>
        </w:rPr>
        <w:t xml:space="preserve"> </w:t>
      </w:r>
      <w:r w:rsidR="003A0362" w:rsidRPr="00142902">
        <w:rPr>
          <w:rFonts w:ascii="Arial" w:eastAsiaTheme="minorHAnsi" w:hAnsi="Arial" w:cs="Arial"/>
          <w:color w:val="000000"/>
          <w:sz w:val="23"/>
          <w:szCs w:val="23"/>
          <w:lang w:eastAsia="en-US"/>
        </w:rPr>
        <w:t>737 millones de pesos. Cabe señalar, que para 2019 la participación fue de 4.4 por ciento.</w:t>
      </w:r>
    </w:p>
    <w:p w14:paraId="5D02CFF8" w14:textId="77777777" w:rsidR="00142902" w:rsidRDefault="00142902" w:rsidP="00142902">
      <w:pPr>
        <w:ind w:left="-567" w:right="-518"/>
        <w:jc w:val="both"/>
        <w:rPr>
          <w:rFonts w:ascii="Arial" w:eastAsiaTheme="minorHAnsi" w:hAnsi="Arial" w:cs="Arial"/>
          <w:color w:val="000000"/>
          <w:sz w:val="23"/>
          <w:szCs w:val="23"/>
          <w:lang w:eastAsia="en-US"/>
        </w:rPr>
      </w:pPr>
    </w:p>
    <w:p w14:paraId="2D58B6D1" w14:textId="49C6CFA0" w:rsidR="003A0362" w:rsidRDefault="003A0362" w:rsidP="00142902">
      <w:pPr>
        <w:ind w:left="-567" w:right="-518"/>
        <w:jc w:val="both"/>
        <w:rPr>
          <w:rFonts w:ascii="Arial" w:eastAsiaTheme="minorHAnsi" w:hAnsi="Arial" w:cs="Arial"/>
          <w:color w:val="000000"/>
          <w:sz w:val="23"/>
          <w:szCs w:val="23"/>
          <w:lang w:eastAsia="en-US"/>
        </w:rPr>
      </w:pPr>
      <w:r w:rsidRPr="00142902">
        <w:rPr>
          <w:rFonts w:ascii="Arial" w:eastAsiaTheme="minorHAnsi" w:hAnsi="Arial" w:cs="Arial"/>
          <w:color w:val="000000"/>
          <w:sz w:val="23"/>
          <w:szCs w:val="23"/>
          <w:lang w:eastAsia="en-US"/>
        </w:rPr>
        <w:t>La Formación Bruta de Capital Fijo</w:t>
      </w:r>
      <w:r w:rsidR="00406AB6">
        <w:rPr>
          <w:rFonts w:ascii="Arial" w:eastAsiaTheme="minorHAnsi" w:hAnsi="Arial" w:cs="Arial"/>
          <w:color w:val="000000"/>
          <w:sz w:val="23"/>
          <w:szCs w:val="23"/>
          <w:lang w:eastAsia="en-US"/>
        </w:rPr>
        <w:t>,</w:t>
      </w:r>
      <w:r w:rsidRPr="00142902">
        <w:rPr>
          <w:rFonts w:ascii="Arial" w:eastAsiaTheme="minorHAnsi" w:hAnsi="Arial" w:cs="Arial"/>
          <w:color w:val="000000"/>
          <w:sz w:val="23"/>
          <w:szCs w:val="23"/>
          <w:lang w:eastAsia="en-US"/>
        </w:rPr>
        <w:t xml:space="preserve"> relacionada con la actividad turística</w:t>
      </w:r>
      <w:r w:rsidR="00A31608">
        <w:rPr>
          <w:rFonts w:ascii="Arial" w:eastAsiaTheme="minorHAnsi" w:hAnsi="Arial" w:cs="Arial"/>
          <w:color w:val="000000"/>
          <w:sz w:val="23"/>
          <w:szCs w:val="23"/>
          <w:lang w:eastAsia="en-US"/>
        </w:rPr>
        <w:t>,</w:t>
      </w:r>
      <w:r w:rsidRPr="00142902">
        <w:rPr>
          <w:rFonts w:ascii="Arial" w:eastAsiaTheme="minorHAnsi" w:hAnsi="Arial" w:cs="Arial"/>
          <w:color w:val="000000"/>
          <w:sz w:val="23"/>
          <w:szCs w:val="23"/>
          <w:lang w:eastAsia="en-US"/>
        </w:rPr>
        <w:t xml:space="preserve"> en 2020, representó 2.8% de la inversión fija total del país. La mayor parte se destinó a la construcción de infraestructura, edificaciones y otras construcciones turísticas, con 72.9%, mientras que el 27.1% restante se orientó a la adquisición de maquinaria y equipo. </w:t>
      </w:r>
    </w:p>
    <w:p w14:paraId="78786B15" w14:textId="77777777" w:rsidR="00142902" w:rsidRPr="00142902" w:rsidRDefault="00142902" w:rsidP="00142902">
      <w:pPr>
        <w:ind w:left="-567" w:right="-518"/>
        <w:jc w:val="both"/>
        <w:rPr>
          <w:rFonts w:ascii="Arial" w:eastAsiaTheme="minorHAnsi" w:hAnsi="Arial" w:cs="Arial"/>
          <w:color w:val="000000"/>
          <w:sz w:val="23"/>
          <w:szCs w:val="23"/>
          <w:lang w:eastAsia="en-US"/>
        </w:rPr>
      </w:pPr>
    </w:p>
    <w:p w14:paraId="52D547F4" w14:textId="4A45ED4C" w:rsidR="003A0362" w:rsidRPr="00142902" w:rsidRDefault="003A0362" w:rsidP="00142902">
      <w:pPr>
        <w:autoSpaceDE w:val="0"/>
        <w:autoSpaceDN w:val="0"/>
        <w:adjustRightInd w:val="0"/>
        <w:ind w:left="-567" w:right="-518"/>
        <w:jc w:val="both"/>
        <w:rPr>
          <w:rFonts w:ascii="Arial" w:eastAsiaTheme="minorHAnsi" w:hAnsi="Arial" w:cs="Arial"/>
          <w:color w:val="000000"/>
          <w:sz w:val="23"/>
          <w:szCs w:val="23"/>
          <w:lang w:eastAsia="en-US"/>
        </w:rPr>
      </w:pPr>
      <w:r w:rsidRPr="00142902">
        <w:rPr>
          <w:rFonts w:ascii="Arial" w:eastAsiaTheme="minorHAnsi" w:hAnsi="Arial" w:cs="Arial"/>
          <w:color w:val="000000"/>
          <w:sz w:val="23"/>
          <w:szCs w:val="23"/>
          <w:lang w:eastAsia="en-US"/>
        </w:rPr>
        <w:t>Los resultados de la Cuenta Satélite del Turismo de México, 2020</w:t>
      </w:r>
      <w:r w:rsidR="00142902" w:rsidRPr="00142902">
        <w:rPr>
          <w:rFonts w:ascii="Arial" w:eastAsiaTheme="minorHAnsi" w:hAnsi="Arial" w:cs="Arial"/>
          <w:color w:val="000000"/>
          <w:sz w:val="23"/>
          <w:szCs w:val="23"/>
          <w:lang w:eastAsia="en-US"/>
        </w:rPr>
        <w:t>.</w:t>
      </w:r>
      <w:r w:rsidRPr="00142902">
        <w:rPr>
          <w:rFonts w:ascii="Arial" w:eastAsiaTheme="minorHAnsi" w:hAnsi="Arial" w:cs="Arial"/>
          <w:color w:val="000000"/>
          <w:sz w:val="23"/>
          <w:szCs w:val="23"/>
          <w:lang w:eastAsia="en-US"/>
        </w:rPr>
        <w:t xml:space="preserve"> Preliminar, la serie histórica,</w:t>
      </w:r>
      <w:r w:rsidRPr="00142902">
        <w:rPr>
          <w:rFonts w:ascii="Arial" w:hAnsi="Arial" w:cs="Arial"/>
          <w:sz w:val="23"/>
          <w:szCs w:val="23"/>
        </w:rPr>
        <w:t xml:space="preserve"> </w:t>
      </w:r>
      <w:r w:rsidRPr="00142902">
        <w:rPr>
          <w:rFonts w:ascii="Arial" w:eastAsiaTheme="minorHAnsi" w:hAnsi="Arial" w:cs="Arial"/>
          <w:color w:val="000000"/>
          <w:sz w:val="23"/>
          <w:szCs w:val="23"/>
          <w:lang w:eastAsia="en-US"/>
        </w:rPr>
        <w:t xml:space="preserve">así como la metodología, pueden ser consultados en </w:t>
      </w:r>
      <w:r w:rsidR="00A634AF">
        <w:rPr>
          <w:rFonts w:ascii="Arial" w:eastAsiaTheme="minorHAnsi" w:hAnsi="Arial" w:cs="Arial"/>
          <w:color w:val="000000"/>
          <w:sz w:val="23"/>
          <w:szCs w:val="23"/>
          <w:lang w:eastAsia="en-US"/>
        </w:rPr>
        <w:t>el Sitio</w:t>
      </w:r>
      <w:r w:rsidRPr="00142902">
        <w:rPr>
          <w:rFonts w:ascii="Arial" w:eastAsiaTheme="minorHAnsi" w:hAnsi="Arial" w:cs="Arial"/>
          <w:color w:val="000000"/>
          <w:sz w:val="23"/>
          <w:szCs w:val="23"/>
          <w:lang w:eastAsia="en-US"/>
        </w:rPr>
        <w:t xml:space="preserve"> del Instituto:</w:t>
      </w:r>
      <w:r w:rsidR="00A634AF">
        <w:rPr>
          <w:rFonts w:ascii="Arial" w:eastAsiaTheme="minorHAnsi" w:hAnsi="Arial" w:cs="Arial"/>
          <w:color w:val="000000"/>
          <w:sz w:val="23"/>
          <w:szCs w:val="23"/>
          <w:lang w:eastAsia="en-US"/>
        </w:rPr>
        <w:t xml:space="preserve"> </w:t>
      </w:r>
    </w:p>
    <w:p w14:paraId="5B364A29" w14:textId="087A490D" w:rsidR="003A0362" w:rsidRPr="00142902" w:rsidRDefault="0017595C" w:rsidP="00142902">
      <w:pPr>
        <w:autoSpaceDE w:val="0"/>
        <w:autoSpaceDN w:val="0"/>
        <w:adjustRightInd w:val="0"/>
        <w:ind w:left="-567" w:right="-518"/>
        <w:jc w:val="both"/>
        <w:rPr>
          <w:rFonts w:ascii="Arial" w:eastAsiaTheme="minorHAnsi" w:hAnsi="Arial" w:cs="Arial"/>
          <w:color w:val="000000"/>
          <w:sz w:val="23"/>
          <w:szCs w:val="23"/>
          <w:lang w:eastAsia="en-US"/>
        </w:rPr>
      </w:pPr>
      <w:hyperlink r:id="rId9" w:history="1">
        <w:r w:rsidR="00A634AF" w:rsidRPr="0018706F">
          <w:rPr>
            <w:rStyle w:val="Hipervnculo"/>
            <w:rFonts w:ascii="Arial" w:eastAsiaTheme="minorHAnsi" w:hAnsi="Arial" w:cs="Arial"/>
            <w:sz w:val="23"/>
            <w:szCs w:val="23"/>
            <w:lang w:eastAsia="en-US"/>
          </w:rPr>
          <w:t>https://www.inegi.org.mx/temas/turismosat/</w:t>
        </w:r>
      </w:hyperlink>
    </w:p>
    <w:p w14:paraId="4CC7DDA9" w14:textId="77777777" w:rsidR="003A0362" w:rsidRPr="00142902" w:rsidRDefault="0017595C" w:rsidP="00142902">
      <w:pPr>
        <w:autoSpaceDE w:val="0"/>
        <w:autoSpaceDN w:val="0"/>
        <w:adjustRightInd w:val="0"/>
        <w:ind w:left="-567" w:right="-518"/>
        <w:jc w:val="both"/>
        <w:rPr>
          <w:rFonts w:ascii="Arial" w:eastAsiaTheme="minorHAnsi" w:hAnsi="Arial" w:cs="Arial"/>
          <w:color w:val="000000"/>
          <w:sz w:val="23"/>
          <w:szCs w:val="23"/>
          <w:lang w:eastAsia="en-US"/>
        </w:rPr>
      </w:pPr>
      <w:hyperlink r:id="rId10" w:history="1">
        <w:r w:rsidR="003A0362" w:rsidRPr="00142902">
          <w:rPr>
            <w:rStyle w:val="Hipervnculo"/>
            <w:rFonts w:ascii="Arial" w:eastAsiaTheme="minorHAnsi" w:hAnsi="Arial" w:cs="Arial"/>
            <w:sz w:val="23"/>
            <w:szCs w:val="23"/>
            <w:lang w:eastAsia="en-US"/>
          </w:rPr>
          <w:t>https://www.inegi.org.mx/programas/turismo/2013/</w:t>
        </w:r>
      </w:hyperlink>
      <w:r w:rsidR="003A0362" w:rsidRPr="00142902">
        <w:rPr>
          <w:rFonts w:ascii="Arial" w:eastAsiaTheme="minorHAnsi" w:hAnsi="Arial" w:cs="Arial"/>
          <w:color w:val="000000"/>
          <w:sz w:val="23"/>
          <w:szCs w:val="23"/>
          <w:lang w:eastAsia="en-US"/>
        </w:rPr>
        <w:t xml:space="preserve"> </w:t>
      </w:r>
    </w:p>
    <w:p w14:paraId="345363E6" w14:textId="77777777" w:rsidR="006635BC" w:rsidRDefault="006635BC" w:rsidP="00142902">
      <w:pPr>
        <w:pStyle w:val="NormalWeb"/>
        <w:spacing w:before="0" w:beforeAutospacing="0" w:after="0" w:afterAutospacing="0"/>
        <w:ind w:left="-426" w:right="-233"/>
        <w:contextualSpacing/>
        <w:jc w:val="center"/>
        <w:rPr>
          <w:rFonts w:ascii="Arial" w:hAnsi="Arial" w:cs="Arial"/>
          <w:b/>
          <w:sz w:val="22"/>
          <w:szCs w:val="22"/>
        </w:rPr>
      </w:pPr>
    </w:p>
    <w:p w14:paraId="727321DA" w14:textId="0D95510F" w:rsidR="00142902" w:rsidRPr="006635BC" w:rsidRDefault="00142902" w:rsidP="00142902">
      <w:pPr>
        <w:pStyle w:val="NormalWeb"/>
        <w:spacing w:before="0" w:beforeAutospacing="0" w:after="0" w:afterAutospacing="0"/>
        <w:ind w:left="-426" w:right="-233"/>
        <w:contextualSpacing/>
        <w:jc w:val="center"/>
        <w:rPr>
          <w:rFonts w:ascii="Arial" w:hAnsi="Arial" w:cs="Arial"/>
          <w:b/>
          <w:sz w:val="20"/>
          <w:szCs w:val="20"/>
        </w:rPr>
      </w:pPr>
      <w:r w:rsidRPr="006635BC">
        <w:rPr>
          <w:rFonts w:ascii="Arial" w:hAnsi="Arial" w:cs="Arial"/>
          <w:b/>
          <w:sz w:val="20"/>
          <w:szCs w:val="20"/>
        </w:rPr>
        <w:t>Se anexa nota técnica</w:t>
      </w:r>
    </w:p>
    <w:p w14:paraId="08CF43F7" w14:textId="77777777" w:rsidR="00142902" w:rsidRPr="00D62445" w:rsidRDefault="00142902" w:rsidP="00142902">
      <w:pPr>
        <w:ind w:left="-426" w:right="-518"/>
        <w:contextualSpacing/>
      </w:pPr>
    </w:p>
    <w:p w14:paraId="56D0A1B5" w14:textId="77777777" w:rsidR="00A634AF" w:rsidRDefault="00142902" w:rsidP="00142902">
      <w:pPr>
        <w:ind w:left="-425" w:right="-516"/>
        <w:contextualSpacing/>
        <w:rPr>
          <w:noProof/>
        </w:rPr>
        <w:sectPr w:rsidR="00A634AF" w:rsidSect="005F76D1">
          <w:headerReference w:type="default" r:id="rId11"/>
          <w:footerReference w:type="default" r:id="rId12"/>
          <w:type w:val="continuous"/>
          <w:pgSz w:w="12242" w:h="15842" w:code="1"/>
          <w:pgMar w:top="1985" w:right="1418" w:bottom="1134" w:left="1559" w:header="567" w:footer="567" w:gutter="0"/>
          <w:paperSrc w:first="7" w:other="7"/>
          <w:pgNumType w:start="1"/>
          <w:cols w:space="720"/>
          <w:docGrid w:linePitch="360"/>
        </w:sectPr>
      </w:pPr>
      <w:r>
        <w:rPr>
          <w:noProof/>
        </w:rPr>
        <w:t xml:space="preserve">                                            </w:t>
      </w:r>
      <w:r w:rsidRPr="00D62445">
        <w:rPr>
          <w:noProof/>
        </w:rPr>
        <w:drawing>
          <wp:inline distT="0" distB="0" distL="0" distR="0" wp14:anchorId="47FCCA62" wp14:editId="47ECFE3F">
            <wp:extent cx="307975" cy="304800"/>
            <wp:effectExtent l="0" t="0" r="0" b="0"/>
            <wp:docPr id="27" name="Imagen 27"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163" cy="305976"/>
                    </a:xfrm>
                    <a:prstGeom prst="rect">
                      <a:avLst/>
                    </a:prstGeom>
                    <a:noFill/>
                    <a:ln>
                      <a:noFill/>
                    </a:ln>
                  </pic:spPr>
                </pic:pic>
              </a:graphicData>
            </a:graphic>
          </wp:inline>
        </w:drawing>
      </w:r>
      <w:r w:rsidRPr="00D62445">
        <w:rPr>
          <w:noProof/>
        </w:rPr>
        <w:t xml:space="preserve"> </w:t>
      </w:r>
      <w:r w:rsidRPr="00D62445">
        <w:rPr>
          <w:noProof/>
        </w:rPr>
        <w:drawing>
          <wp:inline distT="0" distB="0" distL="0" distR="0" wp14:anchorId="69E29F42" wp14:editId="3604A827">
            <wp:extent cx="295275" cy="295275"/>
            <wp:effectExtent l="0" t="0" r="9525" b="9525"/>
            <wp:docPr id="6" name="Imagen 6"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rPr>
        <w:t xml:space="preserve"> </w:t>
      </w:r>
      <w:r w:rsidRPr="00D62445">
        <w:rPr>
          <w:noProof/>
        </w:rPr>
        <w:drawing>
          <wp:inline distT="0" distB="0" distL="0" distR="0" wp14:anchorId="6BB3BFB3" wp14:editId="69CE2691">
            <wp:extent cx="295275" cy="295275"/>
            <wp:effectExtent l="0" t="0" r="9525" b="9525"/>
            <wp:docPr id="28" name="Imagen 28"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rPr>
        <w:t xml:space="preserve"> </w:t>
      </w:r>
      <w:r w:rsidRPr="00D62445">
        <w:rPr>
          <w:noProof/>
        </w:rPr>
        <w:drawing>
          <wp:inline distT="0" distB="0" distL="0" distR="0" wp14:anchorId="24AA8249" wp14:editId="3C54FCCB">
            <wp:extent cx="295275" cy="295275"/>
            <wp:effectExtent l="0" t="0" r="9525" b="9525"/>
            <wp:docPr id="13" name="Imagen 13"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rPr>
        <w:t xml:space="preserve">  </w:t>
      </w:r>
      <w:r w:rsidRPr="00D62445">
        <w:rPr>
          <w:noProof/>
        </w:rPr>
        <w:drawing>
          <wp:inline distT="0" distB="0" distL="0" distR="0" wp14:anchorId="2372BC28" wp14:editId="03A91E28">
            <wp:extent cx="2286000" cy="274320"/>
            <wp:effectExtent l="0" t="0" r="0" b="0"/>
            <wp:docPr id="19" name="Imagen 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26F0418" w14:textId="22CABD65" w:rsidR="00142902" w:rsidRDefault="00142902" w:rsidP="00142902">
      <w:pPr>
        <w:ind w:left="-425" w:right="-516"/>
        <w:contextualSpacing/>
        <w:rPr>
          <w:noProof/>
        </w:rPr>
        <w:sectPr w:rsidR="00142902" w:rsidSect="005F76D1">
          <w:type w:val="continuous"/>
          <w:pgSz w:w="12242" w:h="15842" w:code="1"/>
          <w:pgMar w:top="1985" w:right="1418" w:bottom="1134" w:left="1559" w:header="567" w:footer="567" w:gutter="0"/>
          <w:paperSrc w:first="7" w:other="7"/>
          <w:pgNumType w:start="1"/>
          <w:cols w:space="720"/>
          <w:docGrid w:linePitch="360"/>
        </w:sectPr>
      </w:pPr>
    </w:p>
    <w:p w14:paraId="00A305E3" w14:textId="09D0426C" w:rsidR="00994BB9" w:rsidRPr="00470754" w:rsidRDefault="00C1453E" w:rsidP="005C4D14">
      <w:pPr>
        <w:pStyle w:val="Ttulo2"/>
        <w:tabs>
          <w:tab w:val="left" w:pos="444"/>
          <w:tab w:val="left" w:pos="1276"/>
          <w:tab w:val="center" w:pos="4419"/>
        </w:tabs>
        <w:spacing w:before="0" w:after="240"/>
        <w:jc w:val="center"/>
        <w:rPr>
          <w:rFonts w:ascii="Arial" w:hAnsi="Arial" w:cs="Arial"/>
          <w:b w:val="0"/>
          <w:i w:val="0"/>
          <w:color w:val="000000"/>
        </w:rPr>
      </w:pPr>
      <w:r w:rsidRPr="00470754">
        <w:rPr>
          <w:rFonts w:ascii="Arial" w:hAnsi="Arial" w:cs="Arial"/>
          <w:i w:val="0"/>
          <w:color w:val="000000"/>
        </w:rPr>
        <w:lastRenderedPageBreak/>
        <w:t>N</w:t>
      </w:r>
      <w:r w:rsidR="00994BB9" w:rsidRPr="00470754">
        <w:rPr>
          <w:rFonts w:ascii="Arial" w:hAnsi="Arial" w:cs="Arial"/>
          <w:i w:val="0"/>
          <w:color w:val="000000"/>
        </w:rPr>
        <w:t>OTA TÉCNICA</w:t>
      </w:r>
    </w:p>
    <w:p w14:paraId="02741C8B" w14:textId="77777777" w:rsidR="00ED71F9" w:rsidRPr="00470754" w:rsidRDefault="00ED71F9" w:rsidP="005C4D14">
      <w:pPr>
        <w:pStyle w:val="Profesin"/>
        <w:outlineLvl w:val="0"/>
        <w:rPr>
          <w:rFonts w:ascii="Arial" w:hAnsi="Arial" w:cs="Arial"/>
          <w:sz w:val="24"/>
          <w:szCs w:val="24"/>
          <w:lang w:val="es-MX"/>
        </w:rPr>
      </w:pPr>
      <w:r w:rsidRPr="00470754">
        <w:rPr>
          <w:rFonts w:ascii="Arial" w:hAnsi="Arial" w:cs="Arial"/>
          <w:sz w:val="24"/>
          <w:szCs w:val="24"/>
          <w:lang w:val="es-MX"/>
        </w:rPr>
        <w:t>SISTEMA DE CUENTAS NACIONALES DE MÉXICO</w:t>
      </w:r>
    </w:p>
    <w:p w14:paraId="0D5D8FA7" w14:textId="5771F69B" w:rsidR="00102B54" w:rsidRPr="00102B54" w:rsidRDefault="00ED71F9" w:rsidP="005C4D14">
      <w:pPr>
        <w:pStyle w:val="Profesin"/>
        <w:spacing w:after="240"/>
        <w:outlineLvl w:val="0"/>
        <w:rPr>
          <w:rFonts w:ascii="Arial" w:hAnsi="Arial" w:cs="Arial"/>
          <w:sz w:val="24"/>
          <w:szCs w:val="24"/>
          <w:lang w:val="es-MX"/>
        </w:rPr>
      </w:pPr>
      <w:r w:rsidRPr="00470754">
        <w:rPr>
          <w:rFonts w:ascii="Arial" w:hAnsi="Arial" w:cs="Arial"/>
          <w:sz w:val="24"/>
          <w:szCs w:val="24"/>
          <w:lang w:val="es-MX"/>
        </w:rPr>
        <w:t>CUENTA</w:t>
      </w:r>
      <w:r w:rsidR="00CF29A6" w:rsidRPr="00470754">
        <w:rPr>
          <w:rFonts w:ascii="Arial" w:hAnsi="Arial" w:cs="Arial"/>
          <w:sz w:val="24"/>
          <w:szCs w:val="24"/>
          <w:lang w:val="es-MX"/>
        </w:rPr>
        <w:t xml:space="preserve"> </w:t>
      </w:r>
      <w:r w:rsidRPr="00470754">
        <w:rPr>
          <w:rFonts w:ascii="Arial" w:hAnsi="Arial" w:cs="Arial"/>
          <w:sz w:val="24"/>
          <w:szCs w:val="24"/>
          <w:lang w:val="es-MX"/>
        </w:rPr>
        <w:t>S</w:t>
      </w:r>
      <w:r w:rsidR="00CF29A6" w:rsidRPr="00470754">
        <w:rPr>
          <w:rFonts w:ascii="Arial" w:hAnsi="Arial" w:cs="Arial"/>
          <w:sz w:val="24"/>
          <w:szCs w:val="24"/>
          <w:lang w:val="es-MX"/>
        </w:rPr>
        <w:t>ATÉLITE DE</w:t>
      </w:r>
      <w:r w:rsidR="00407D31">
        <w:rPr>
          <w:rFonts w:ascii="Arial" w:hAnsi="Arial" w:cs="Arial"/>
          <w:sz w:val="24"/>
          <w:szCs w:val="24"/>
          <w:lang w:val="es-MX"/>
        </w:rPr>
        <w:t xml:space="preserve">L TURISMO </w:t>
      </w:r>
      <w:r w:rsidRPr="00470754">
        <w:rPr>
          <w:rFonts w:ascii="Arial" w:hAnsi="Arial" w:cs="Arial"/>
          <w:sz w:val="24"/>
          <w:szCs w:val="24"/>
          <w:lang w:val="es-MX"/>
        </w:rPr>
        <w:t xml:space="preserve">DE </w:t>
      </w:r>
      <w:r w:rsidR="00CF29A6" w:rsidRPr="00470754">
        <w:rPr>
          <w:rFonts w:ascii="Arial" w:hAnsi="Arial" w:cs="Arial"/>
          <w:sz w:val="24"/>
          <w:szCs w:val="24"/>
          <w:lang w:val="es-MX"/>
        </w:rPr>
        <w:t xml:space="preserve">MÉXICO, </w:t>
      </w:r>
      <w:r w:rsidRPr="00470754">
        <w:rPr>
          <w:rFonts w:ascii="Arial" w:hAnsi="Arial" w:cs="Arial"/>
          <w:sz w:val="24"/>
          <w:szCs w:val="24"/>
          <w:lang w:val="es-MX"/>
        </w:rPr>
        <w:t>20</w:t>
      </w:r>
      <w:r w:rsidR="002F2271" w:rsidRPr="00470754">
        <w:rPr>
          <w:rFonts w:ascii="Arial" w:hAnsi="Arial" w:cs="Arial"/>
          <w:sz w:val="24"/>
          <w:szCs w:val="24"/>
          <w:lang w:val="es-MX"/>
        </w:rPr>
        <w:t>20</w:t>
      </w:r>
    </w:p>
    <w:p w14:paraId="7B4C1BB0" w14:textId="5771F69B" w:rsidR="00ED71F9" w:rsidRPr="00407D31" w:rsidRDefault="00ED71F9" w:rsidP="00A634AF">
      <w:pPr>
        <w:pStyle w:val="Textodebloque1"/>
        <w:spacing w:before="0" w:after="240"/>
        <w:ind w:left="-567" w:right="-518" w:firstLine="0"/>
        <w:rPr>
          <w:rFonts w:ascii="Arial" w:hAnsi="Arial" w:cs="Arial"/>
          <w:i/>
          <w:iCs/>
          <w:smallCaps/>
          <w:sz w:val="24"/>
          <w:szCs w:val="24"/>
        </w:rPr>
      </w:pPr>
      <w:r w:rsidRPr="00407D31">
        <w:rPr>
          <w:rFonts w:ascii="Arial" w:hAnsi="Arial" w:cs="Arial"/>
          <w:i/>
          <w:iCs/>
          <w:smallCaps/>
          <w:sz w:val="24"/>
          <w:szCs w:val="24"/>
        </w:rPr>
        <w:t>Aspectos Generales</w:t>
      </w:r>
    </w:p>
    <w:p w14:paraId="5401CCD1" w14:textId="66AC245F" w:rsidR="0027223C" w:rsidRPr="00DF14EF" w:rsidRDefault="00CF29A6" w:rsidP="00A634AF">
      <w:pPr>
        <w:pStyle w:val="Textoindependiente"/>
        <w:spacing w:after="240"/>
        <w:ind w:left="-567" w:right="-518"/>
        <w:rPr>
          <w:rFonts w:ascii="Arial" w:hAnsi="Arial" w:cs="Arial"/>
        </w:rPr>
      </w:pPr>
      <w:r w:rsidRPr="00407D31">
        <w:rPr>
          <w:rFonts w:ascii="Arial" w:hAnsi="Arial" w:cs="Arial"/>
        </w:rPr>
        <w:t xml:space="preserve">El Instituto Nacional de Estadística y Geografía (INEGI) presenta los resultados de la actualización de la Cuenta Satélite </w:t>
      </w:r>
      <w:r w:rsidR="005C6912" w:rsidRPr="00407D31">
        <w:rPr>
          <w:rFonts w:ascii="Arial" w:hAnsi="Arial" w:cs="Arial"/>
          <w:lang w:val="es-MX"/>
        </w:rPr>
        <w:t>del Turismo</w:t>
      </w:r>
      <w:r w:rsidRPr="00407D31">
        <w:rPr>
          <w:rFonts w:ascii="Arial" w:hAnsi="Arial" w:cs="Arial"/>
        </w:rPr>
        <w:t xml:space="preserve"> de México, 2020. Año Base 2013.</w:t>
      </w:r>
      <w:r w:rsidR="00EB7C06">
        <w:rPr>
          <w:rFonts w:ascii="Arial" w:hAnsi="Arial" w:cs="Arial"/>
          <w:lang w:val="es-MX"/>
        </w:rPr>
        <w:t xml:space="preserve"> </w:t>
      </w:r>
      <w:r w:rsidRPr="00407D31">
        <w:rPr>
          <w:rFonts w:ascii="Arial" w:hAnsi="Arial" w:cs="Arial"/>
        </w:rPr>
        <w:t>Este trabajo proporciona información económica para la toma de decisiones en el sector y</w:t>
      </w:r>
      <w:r w:rsidR="005C6912" w:rsidRPr="00407D31">
        <w:rPr>
          <w:rFonts w:ascii="Arial" w:hAnsi="Arial" w:cs="Arial"/>
          <w:lang w:val="es-MX"/>
        </w:rPr>
        <w:t xml:space="preserve"> forma</w:t>
      </w:r>
      <w:r w:rsidRPr="00407D31">
        <w:rPr>
          <w:rFonts w:ascii="Arial" w:hAnsi="Arial" w:cs="Arial"/>
        </w:rPr>
        <w:t xml:space="preserve"> parte del Sistema de Cuentas Nacionales de México (SCNM)</w:t>
      </w:r>
      <w:r w:rsidR="0027223C">
        <w:rPr>
          <w:rFonts w:ascii="Arial" w:hAnsi="Arial" w:cs="Arial"/>
          <w:lang w:val="es-MX"/>
        </w:rPr>
        <w:t>.</w:t>
      </w:r>
    </w:p>
    <w:p w14:paraId="30289A93" w14:textId="1C97EFAE" w:rsidR="00CF29A6" w:rsidRPr="00407D31" w:rsidRDefault="006E2358" w:rsidP="00A634AF">
      <w:pPr>
        <w:pStyle w:val="Textoindependiente"/>
        <w:spacing w:after="240"/>
        <w:ind w:left="-567" w:right="-518"/>
        <w:rPr>
          <w:rFonts w:ascii="Arial" w:hAnsi="Arial" w:cs="Arial"/>
          <w:lang w:val="es-MX"/>
        </w:rPr>
      </w:pPr>
      <w:r>
        <w:rPr>
          <w:rFonts w:ascii="Arial" w:hAnsi="Arial" w:cs="Arial"/>
          <w:lang w:val="es-MX"/>
        </w:rPr>
        <w:t>Su objetivo general es d</w:t>
      </w:r>
      <w:r w:rsidRPr="006E2358">
        <w:rPr>
          <w:rFonts w:ascii="Arial" w:hAnsi="Arial" w:cs="Arial"/>
          <w:lang w:val="es-MX"/>
        </w:rPr>
        <w:t>elimitar el conjunto de actividades económicas que producen bienes y servicios para los visitantes, con el propósito de dar a conocer, entre otros importantes indicadores, la participación del Producto Interno Bruto (PIB)</w:t>
      </w:r>
      <w:r w:rsidR="003B6D7E" w:rsidRPr="00407D31">
        <w:rPr>
          <w:rStyle w:val="Refdenotaalpie"/>
          <w:rFonts w:ascii="Arial" w:hAnsi="Arial" w:cs="Arial"/>
          <w:lang w:val="es-MX"/>
        </w:rPr>
        <w:footnoteReference w:id="2"/>
      </w:r>
      <w:r w:rsidRPr="006E2358">
        <w:rPr>
          <w:rFonts w:ascii="Arial" w:hAnsi="Arial" w:cs="Arial"/>
          <w:lang w:val="es-MX"/>
        </w:rPr>
        <w:t xml:space="preserve"> generado por las actividades turísticas, en relación con el total de la economía, enriqueciendo la base informativa sobre la que se sustenta el conocimiento del desarrollo económico y turístico del país</w:t>
      </w:r>
      <w:r>
        <w:rPr>
          <w:rFonts w:ascii="Arial" w:hAnsi="Arial" w:cs="Arial"/>
          <w:lang w:val="es-MX"/>
        </w:rPr>
        <w:t>.</w:t>
      </w:r>
    </w:p>
    <w:p w14:paraId="575D0D60" w14:textId="545DCA89" w:rsidR="00ED71F9" w:rsidRPr="005C4D14" w:rsidRDefault="00ED71F9" w:rsidP="00A634AF">
      <w:pPr>
        <w:pStyle w:val="Textodebloque1"/>
        <w:spacing w:before="0" w:after="240"/>
        <w:ind w:left="-567" w:right="-518" w:firstLine="0"/>
        <w:rPr>
          <w:rFonts w:ascii="Arial" w:hAnsi="Arial" w:cs="Arial"/>
          <w:i/>
          <w:iCs/>
          <w:smallCaps/>
          <w:sz w:val="24"/>
          <w:szCs w:val="24"/>
        </w:rPr>
      </w:pPr>
      <w:r w:rsidRPr="005C4D14">
        <w:rPr>
          <w:rFonts w:ascii="Arial" w:hAnsi="Arial" w:cs="Arial"/>
          <w:i/>
          <w:iCs/>
          <w:smallCaps/>
          <w:sz w:val="24"/>
          <w:szCs w:val="24"/>
        </w:rPr>
        <w:t>Principales Resultados</w:t>
      </w:r>
    </w:p>
    <w:p w14:paraId="27D7024E" w14:textId="5BC0B079" w:rsidR="00ED71F9" w:rsidRPr="00407D31" w:rsidRDefault="00CF29A6" w:rsidP="00A634AF">
      <w:pPr>
        <w:pStyle w:val="n01"/>
        <w:keepLines w:val="0"/>
        <w:spacing w:before="0" w:after="240"/>
        <w:ind w:left="-567" w:right="-518" w:firstLine="0"/>
        <w:outlineLvl w:val="0"/>
        <w:rPr>
          <w:rFonts w:ascii="Arial" w:hAnsi="Arial" w:cs="Arial"/>
          <w:b/>
          <w:smallCaps/>
          <w:color w:val="auto"/>
          <w:szCs w:val="24"/>
          <w:lang w:val="es-MX"/>
        </w:rPr>
      </w:pPr>
      <w:r w:rsidRPr="00407D31">
        <w:rPr>
          <w:rFonts w:ascii="Arial" w:hAnsi="Arial" w:cs="Arial"/>
          <w:b/>
          <w:smallCaps/>
          <w:color w:val="auto"/>
          <w:szCs w:val="24"/>
          <w:lang w:val="es-MX"/>
        </w:rPr>
        <w:t>PIB de</w:t>
      </w:r>
      <w:r w:rsidR="005C6912" w:rsidRPr="00407D31">
        <w:rPr>
          <w:rFonts w:ascii="Arial" w:hAnsi="Arial" w:cs="Arial"/>
          <w:b/>
          <w:smallCaps/>
          <w:color w:val="auto"/>
          <w:szCs w:val="24"/>
          <w:lang w:val="es-MX"/>
        </w:rPr>
        <w:t>l turismo</w:t>
      </w:r>
    </w:p>
    <w:p w14:paraId="7A69F2A5" w14:textId="403E1CE8" w:rsidR="00704067" w:rsidRPr="00D662A5" w:rsidRDefault="00A359BF" w:rsidP="00A634AF">
      <w:pPr>
        <w:pStyle w:val="Textoindependiente"/>
        <w:spacing w:after="240"/>
        <w:ind w:left="-567" w:right="-518"/>
        <w:rPr>
          <w:rFonts w:ascii="Arial" w:hAnsi="Arial" w:cs="Arial"/>
        </w:rPr>
      </w:pPr>
      <w:r w:rsidRPr="00E02DD2">
        <w:rPr>
          <w:rFonts w:ascii="Arial" w:hAnsi="Arial" w:cs="Arial"/>
        </w:rPr>
        <w:t xml:space="preserve">El Producto Interno Bruto Turístico </w:t>
      </w:r>
      <w:r w:rsidR="008869DE" w:rsidRPr="00E02DD2">
        <w:rPr>
          <w:rFonts w:ascii="Arial" w:hAnsi="Arial" w:cs="Arial"/>
        </w:rPr>
        <w:t>reportó</w:t>
      </w:r>
      <w:r w:rsidR="001D4F80" w:rsidRPr="00E02DD2">
        <w:rPr>
          <w:rFonts w:ascii="Arial" w:hAnsi="Arial" w:cs="Arial"/>
        </w:rPr>
        <w:t>,</w:t>
      </w:r>
      <w:r w:rsidR="008869DE" w:rsidRPr="00E02DD2">
        <w:rPr>
          <w:rFonts w:ascii="Arial" w:hAnsi="Arial" w:cs="Arial"/>
        </w:rPr>
        <w:t xml:space="preserve"> </w:t>
      </w:r>
      <w:r w:rsidR="001D4F80" w:rsidRPr="00E02DD2">
        <w:rPr>
          <w:rFonts w:ascii="Arial" w:hAnsi="Arial" w:cs="Arial"/>
        </w:rPr>
        <w:t xml:space="preserve">en 2020, </w:t>
      </w:r>
      <w:r w:rsidR="008869DE" w:rsidRPr="00E02DD2">
        <w:rPr>
          <w:rFonts w:ascii="Arial" w:hAnsi="Arial" w:cs="Arial"/>
        </w:rPr>
        <w:t>un monto de 1</w:t>
      </w:r>
      <w:r w:rsidR="00A634AF">
        <w:rPr>
          <w:rFonts w:ascii="Arial" w:hAnsi="Arial" w:cs="Arial"/>
          <w:lang w:val="es-MX"/>
        </w:rPr>
        <w:t xml:space="preserve"> </w:t>
      </w:r>
      <w:r w:rsidR="008869DE" w:rsidRPr="00E02DD2">
        <w:rPr>
          <w:rFonts w:ascii="Arial" w:hAnsi="Arial" w:cs="Arial"/>
        </w:rPr>
        <w:t>475</w:t>
      </w:r>
      <w:r w:rsidR="00A634AF">
        <w:rPr>
          <w:rFonts w:ascii="Arial" w:hAnsi="Arial" w:cs="Arial"/>
          <w:lang w:val="es-MX"/>
        </w:rPr>
        <w:t xml:space="preserve"> </w:t>
      </w:r>
      <w:r w:rsidR="008869DE" w:rsidRPr="00E02DD2">
        <w:rPr>
          <w:rFonts w:ascii="Arial" w:hAnsi="Arial" w:cs="Arial"/>
        </w:rPr>
        <w:t>107 millones de pesos</w:t>
      </w:r>
      <w:r w:rsidR="00EF2C29" w:rsidRPr="00E02DD2">
        <w:rPr>
          <w:rFonts w:ascii="Arial" w:hAnsi="Arial" w:cs="Arial"/>
        </w:rPr>
        <w:t xml:space="preserve">, el cual significó una participación de </w:t>
      </w:r>
      <w:r w:rsidR="00A002F8" w:rsidRPr="00E02DD2">
        <w:rPr>
          <w:rFonts w:ascii="Arial" w:hAnsi="Arial" w:cs="Arial"/>
        </w:rPr>
        <w:t>6.7</w:t>
      </w:r>
      <w:r w:rsidRPr="00E02DD2">
        <w:rPr>
          <w:rFonts w:ascii="Arial" w:hAnsi="Arial" w:cs="Arial"/>
        </w:rPr>
        <w:t xml:space="preserve">% respecto al </w:t>
      </w:r>
      <w:r w:rsidR="00EF2C29" w:rsidRPr="00E02DD2">
        <w:rPr>
          <w:rFonts w:ascii="Arial" w:hAnsi="Arial" w:cs="Arial"/>
        </w:rPr>
        <w:t>PIB</w:t>
      </w:r>
      <w:r w:rsidRPr="00E02DD2">
        <w:rPr>
          <w:rFonts w:ascii="Arial" w:hAnsi="Arial" w:cs="Arial"/>
        </w:rPr>
        <w:t xml:space="preserve"> </w:t>
      </w:r>
      <w:r w:rsidR="00EF2C29" w:rsidRPr="00E02DD2">
        <w:rPr>
          <w:rFonts w:ascii="Arial" w:hAnsi="Arial" w:cs="Arial"/>
        </w:rPr>
        <w:t>N</w:t>
      </w:r>
      <w:r w:rsidRPr="00E02DD2">
        <w:rPr>
          <w:rFonts w:ascii="Arial" w:hAnsi="Arial" w:cs="Arial"/>
        </w:rPr>
        <w:t>acional</w:t>
      </w:r>
      <w:r w:rsidR="00DA1337" w:rsidRPr="00E02DD2">
        <w:rPr>
          <w:rFonts w:ascii="Arial" w:hAnsi="Arial" w:cs="Arial"/>
        </w:rPr>
        <w:t xml:space="preserve">, lo que contrasta </w:t>
      </w:r>
      <w:r w:rsidR="001D4F80" w:rsidRPr="00E02DD2">
        <w:rPr>
          <w:rFonts w:ascii="Arial" w:hAnsi="Arial" w:cs="Arial"/>
        </w:rPr>
        <w:t>con el 8.5% en 2019</w:t>
      </w:r>
      <w:r w:rsidR="00DA1337" w:rsidRPr="00E02DD2">
        <w:rPr>
          <w:rFonts w:ascii="Arial" w:hAnsi="Arial" w:cs="Arial"/>
        </w:rPr>
        <w:t>, año anterior a la pandemia por la COVID-19</w:t>
      </w:r>
      <w:r w:rsidR="001D4F80" w:rsidRPr="00E02DD2">
        <w:rPr>
          <w:rFonts w:ascii="Arial" w:hAnsi="Arial" w:cs="Arial"/>
        </w:rPr>
        <w:t>.</w:t>
      </w:r>
    </w:p>
    <w:p w14:paraId="06C30383" w14:textId="77777777" w:rsidR="00704067" w:rsidRPr="00C62773" w:rsidRDefault="00704067" w:rsidP="00704067">
      <w:pPr>
        <w:ind w:right="-516"/>
        <w:contextualSpacing/>
        <w:jc w:val="center"/>
        <w:rPr>
          <w:rFonts w:ascii="Arial" w:hAnsi="Arial" w:cs="Arial"/>
        </w:rPr>
      </w:pPr>
      <w:r w:rsidRPr="00ED417B">
        <w:rPr>
          <w:rFonts w:ascii="Arial" w:hAnsi="Arial" w:cs="Arial"/>
        </w:rPr>
        <w:t xml:space="preserve">Gráfica </w:t>
      </w:r>
      <w:r>
        <w:rPr>
          <w:rFonts w:ascii="Arial" w:hAnsi="Arial" w:cs="Arial"/>
        </w:rPr>
        <w:t>1</w:t>
      </w:r>
    </w:p>
    <w:p w14:paraId="026A7F54" w14:textId="697868AE" w:rsidR="00704067" w:rsidRPr="00A42AC9" w:rsidRDefault="00A42AC9" w:rsidP="00704067">
      <w:pPr>
        <w:pStyle w:val="Textoindependiente"/>
        <w:jc w:val="center"/>
        <w:rPr>
          <w:rFonts w:ascii="Arial" w:hAnsi="Arial" w:cs="Arial"/>
          <w:b/>
          <w:iCs/>
          <w:smallCaps/>
          <w:sz w:val="22"/>
          <w:szCs w:val="22"/>
        </w:rPr>
      </w:pPr>
      <w:r>
        <w:rPr>
          <w:rFonts w:ascii="Arial" w:hAnsi="Arial" w:cs="Arial"/>
          <w:b/>
          <w:iCs/>
          <w:smallCaps/>
          <w:sz w:val="22"/>
          <w:szCs w:val="22"/>
        </w:rPr>
        <w:t>Producto Interno Bruto Turístico</w:t>
      </w:r>
      <w:r w:rsidR="00704067" w:rsidRPr="00A42AC9">
        <w:rPr>
          <w:rFonts w:ascii="Arial" w:hAnsi="Arial" w:cs="Arial"/>
          <w:b/>
          <w:iCs/>
          <w:smallCaps/>
          <w:sz w:val="22"/>
          <w:szCs w:val="22"/>
        </w:rPr>
        <w:t xml:space="preserve">, </w:t>
      </w:r>
      <w:r>
        <w:rPr>
          <w:rFonts w:ascii="Arial" w:hAnsi="Arial" w:cs="Arial"/>
          <w:b/>
          <w:iCs/>
          <w:smallCaps/>
          <w:sz w:val="22"/>
          <w:szCs w:val="22"/>
          <w:lang w:val="es-MX"/>
        </w:rPr>
        <w:t xml:space="preserve">2008 - </w:t>
      </w:r>
      <w:r w:rsidRPr="0080258B">
        <w:rPr>
          <w:rFonts w:ascii="Arial" w:hAnsi="Arial" w:cs="Arial"/>
          <w:b/>
          <w:iCs/>
          <w:smallCaps/>
          <w:sz w:val="22"/>
          <w:szCs w:val="22"/>
        </w:rPr>
        <w:t>2020</w:t>
      </w:r>
    </w:p>
    <w:p w14:paraId="4AA3589C" w14:textId="2DFFADA9" w:rsidR="00704067" w:rsidRDefault="00704067" w:rsidP="00704067">
      <w:pPr>
        <w:pStyle w:val="Textoindependiente"/>
        <w:jc w:val="center"/>
        <w:rPr>
          <w:rFonts w:ascii="Arial" w:hAnsi="Arial" w:cs="Arial"/>
          <w:sz w:val="18"/>
          <w:szCs w:val="18"/>
        </w:rPr>
      </w:pPr>
      <w:r w:rsidRPr="0080258B">
        <w:rPr>
          <w:rFonts w:ascii="Arial" w:hAnsi="Arial" w:cs="Arial"/>
          <w:sz w:val="18"/>
          <w:szCs w:val="18"/>
        </w:rPr>
        <w:t>(</w:t>
      </w:r>
      <w:r>
        <w:rPr>
          <w:rFonts w:ascii="Arial" w:hAnsi="Arial" w:cs="Arial"/>
          <w:sz w:val="18"/>
          <w:szCs w:val="18"/>
          <w:lang w:val="es-MX"/>
        </w:rPr>
        <w:t xml:space="preserve">Participación </w:t>
      </w:r>
      <w:r w:rsidRPr="0080258B">
        <w:rPr>
          <w:rFonts w:ascii="Arial" w:hAnsi="Arial" w:cs="Arial"/>
          <w:sz w:val="18"/>
          <w:szCs w:val="18"/>
          <w:lang w:val="es-MX"/>
        </w:rPr>
        <w:t>porcentual</w:t>
      </w:r>
      <w:r>
        <w:rPr>
          <w:rFonts w:ascii="Arial" w:hAnsi="Arial" w:cs="Arial"/>
          <w:sz w:val="18"/>
          <w:szCs w:val="18"/>
          <w:lang w:val="es-MX"/>
        </w:rPr>
        <w:t xml:space="preserve"> anual</w:t>
      </w:r>
      <w:r w:rsidRPr="0080258B">
        <w:rPr>
          <w:rFonts w:ascii="Arial" w:hAnsi="Arial" w:cs="Arial"/>
          <w:sz w:val="18"/>
          <w:szCs w:val="18"/>
        </w:rPr>
        <w:t>)</w:t>
      </w:r>
    </w:p>
    <w:p w14:paraId="44B5F812" w14:textId="31D795DB" w:rsidR="007807B7" w:rsidRPr="000353D6" w:rsidRDefault="007807B7" w:rsidP="001A3420">
      <w:pPr>
        <w:pStyle w:val="Textoindependiente"/>
        <w:spacing w:after="40"/>
        <w:jc w:val="center"/>
        <w:rPr>
          <w:rFonts w:ascii="Arial" w:hAnsi="Arial" w:cs="Arial"/>
          <w:sz w:val="18"/>
          <w:szCs w:val="18"/>
        </w:rPr>
      </w:pPr>
      <w:r>
        <w:rPr>
          <w:noProof/>
        </w:rPr>
        <w:drawing>
          <wp:inline distT="0" distB="0" distL="0" distR="0" wp14:anchorId="369CCC19" wp14:editId="2ADD9002">
            <wp:extent cx="5589767" cy="2743200"/>
            <wp:effectExtent l="0" t="0" r="11430" b="0"/>
            <wp:docPr id="2" name="Gráfico 2">
              <a:extLst xmlns:a="http://schemas.openxmlformats.org/drawingml/2006/main">
                <a:ext uri="{FF2B5EF4-FFF2-40B4-BE49-F238E27FC236}">
                  <a16:creationId xmlns:a16="http://schemas.microsoft.com/office/drawing/2014/main" id="{125DB449-2F2F-4D05-88CA-47BE127521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3B4D730" w14:textId="77777777" w:rsidR="00704067" w:rsidRDefault="00704067" w:rsidP="00704067">
      <w:pPr>
        <w:pStyle w:val="Textoindependiente"/>
        <w:spacing w:after="240"/>
        <w:rPr>
          <w:rFonts w:ascii="Arial" w:eastAsiaTheme="minorHAnsi" w:hAnsi="Arial" w:cs="Arial"/>
          <w:color w:val="000000"/>
          <w:sz w:val="16"/>
          <w:szCs w:val="16"/>
          <w:lang w:val="es-MX" w:eastAsia="en-US"/>
        </w:rPr>
      </w:pPr>
      <w:r w:rsidRPr="006A10BE">
        <w:rPr>
          <w:rFonts w:ascii="Arial" w:eastAsiaTheme="minorHAnsi" w:hAnsi="Arial" w:cs="Arial"/>
          <w:color w:val="000000"/>
          <w:sz w:val="16"/>
          <w:szCs w:val="16"/>
          <w:lang w:val="es-MX" w:eastAsia="en-US"/>
        </w:rPr>
        <w:t>Fuente: INEGI</w:t>
      </w:r>
    </w:p>
    <w:p w14:paraId="3B8F52F9" w14:textId="77777777" w:rsidR="00A634AF" w:rsidRDefault="00A634AF" w:rsidP="00A634AF">
      <w:pPr>
        <w:pStyle w:val="Textoindependiente"/>
        <w:tabs>
          <w:tab w:val="center" w:pos="3348"/>
        </w:tabs>
        <w:spacing w:before="240" w:after="240"/>
        <w:ind w:left="-567" w:right="-518"/>
        <w:rPr>
          <w:rFonts w:ascii="Arial" w:hAnsi="Arial" w:cs="Arial"/>
          <w:lang w:val="es-MX"/>
        </w:rPr>
      </w:pPr>
    </w:p>
    <w:p w14:paraId="3D097E0E" w14:textId="046EEF6E" w:rsidR="00102B54" w:rsidRDefault="00EF2C29" w:rsidP="00A634AF">
      <w:pPr>
        <w:pStyle w:val="Textoindependiente"/>
        <w:tabs>
          <w:tab w:val="center" w:pos="3348"/>
        </w:tabs>
        <w:spacing w:before="240" w:after="240"/>
        <w:ind w:left="-567" w:right="-518"/>
        <w:rPr>
          <w:rFonts w:ascii="Arial" w:hAnsi="Arial" w:cs="Arial"/>
          <w:lang w:val="es-MX"/>
        </w:rPr>
      </w:pPr>
      <w:r w:rsidRPr="001D4F80">
        <w:rPr>
          <w:rFonts w:ascii="Arial" w:hAnsi="Arial" w:cs="Arial"/>
          <w:lang w:val="es-MX"/>
        </w:rPr>
        <w:t xml:space="preserve">Entre </w:t>
      </w:r>
      <w:r w:rsidR="00736DAD">
        <w:rPr>
          <w:rFonts w:ascii="Arial" w:hAnsi="Arial" w:cs="Arial"/>
          <w:lang w:val="es-MX"/>
        </w:rPr>
        <w:t>las principales actividades que influyen en la tendencia mostrada por el turismo en 2020</w:t>
      </w:r>
      <w:r w:rsidRPr="001D4F80">
        <w:rPr>
          <w:rFonts w:ascii="Arial" w:hAnsi="Arial" w:cs="Arial"/>
          <w:lang w:val="es-MX"/>
        </w:rPr>
        <w:t xml:space="preserve"> se destacan los </w:t>
      </w:r>
      <w:r w:rsidR="00A359BF" w:rsidRPr="001D4F80">
        <w:rPr>
          <w:rFonts w:ascii="Arial" w:hAnsi="Arial" w:cs="Arial"/>
          <w:lang w:val="es-MX"/>
        </w:rPr>
        <w:t xml:space="preserve">servicios de alojamiento, el transporte de pasajeros, </w:t>
      </w:r>
      <w:r w:rsidR="00E87C97" w:rsidRPr="001D4F80">
        <w:rPr>
          <w:rFonts w:ascii="Arial" w:hAnsi="Arial" w:cs="Arial"/>
          <w:lang w:val="es-MX"/>
        </w:rPr>
        <w:t xml:space="preserve">y el servicio de </w:t>
      </w:r>
      <w:r w:rsidR="00A359BF" w:rsidRPr="001D4F80">
        <w:rPr>
          <w:rFonts w:ascii="Arial" w:hAnsi="Arial" w:cs="Arial"/>
          <w:lang w:val="es-MX"/>
        </w:rPr>
        <w:t>los restaurantes, bares y centros</w:t>
      </w:r>
      <w:r w:rsidR="00E87C97" w:rsidRPr="001D4F80">
        <w:rPr>
          <w:rFonts w:ascii="Arial" w:hAnsi="Arial" w:cs="Arial"/>
          <w:lang w:val="es-MX"/>
        </w:rPr>
        <w:t xml:space="preserve"> nocturnos.</w:t>
      </w:r>
    </w:p>
    <w:p w14:paraId="390A45AD" w14:textId="3F5CC2E0" w:rsidR="00102B54" w:rsidRDefault="000A419B" w:rsidP="00267C47">
      <w:pPr>
        <w:spacing w:before="240"/>
        <w:ind w:right="-516"/>
        <w:contextualSpacing/>
        <w:jc w:val="center"/>
        <w:rPr>
          <w:rFonts w:ascii="Arial" w:hAnsi="Arial" w:cs="Arial"/>
          <w:lang w:eastAsia="x-none"/>
        </w:rPr>
      </w:pPr>
      <w:r>
        <w:rPr>
          <w:rFonts w:ascii="Arial" w:hAnsi="Arial" w:cs="Arial"/>
        </w:rPr>
        <w:t>Cuadro 1</w:t>
      </w:r>
    </w:p>
    <w:p w14:paraId="0205B02C" w14:textId="417177B6" w:rsidR="0080258B" w:rsidRPr="00102B54" w:rsidRDefault="00A359BF" w:rsidP="00102B54">
      <w:pPr>
        <w:spacing w:line="259" w:lineRule="auto"/>
        <w:jc w:val="center"/>
        <w:rPr>
          <w:rFonts w:ascii="Arial" w:hAnsi="Arial" w:cs="Arial"/>
          <w:lang w:eastAsia="x-none"/>
        </w:rPr>
      </w:pPr>
      <w:r>
        <w:rPr>
          <w:rFonts w:ascii="Arial" w:hAnsi="Arial" w:cs="Arial"/>
          <w:b/>
          <w:iCs/>
          <w:smallCaps/>
          <w:sz w:val="22"/>
          <w:szCs w:val="22"/>
        </w:rPr>
        <w:t>Distribución del Producto Interno Bruto Turístico,</w:t>
      </w:r>
      <w:r w:rsidR="0080258B" w:rsidRPr="0080258B">
        <w:rPr>
          <w:rFonts w:ascii="Arial" w:hAnsi="Arial" w:cs="Arial"/>
          <w:b/>
          <w:iCs/>
          <w:smallCaps/>
          <w:sz w:val="22"/>
          <w:szCs w:val="22"/>
        </w:rPr>
        <w:t xml:space="preserve"> año 2020</w:t>
      </w:r>
    </w:p>
    <w:p w14:paraId="0729ACF0" w14:textId="57735FBB" w:rsidR="00E02DD2" w:rsidRPr="0041288F" w:rsidRDefault="0080258B" w:rsidP="0041288F">
      <w:pPr>
        <w:pStyle w:val="Textoindependiente"/>
        <w:jc w:val="center"/>
        <w:rPr>
          <w:rFonts w:ascii="Arial" w:hAnsi="Arial" w:cs="Arial"/>
          <w:sz w:val="18"/>
          <w:szCs w:val="18"/>
        </w:rPr>
      </w:pPr>
      <w:r w:rsidRPr="0080258B">
        <w:rPr>
          <w:rFonts w:ascii="Arial" w:hAnsi="Arial" w:cs="Arial"/>
          <w:sz w:val="18"/>
          <w:szCs w:val="18"/>
        </w:rPr>
        <w:t>(</w:t>
      </w:r>
      <w:r w:rsidR="00736DAD">
        <w:rPr>
          <w:rFonts w:ascii="Arial" w:hAnsi="Arial" w:cs="Arial"/>
          <w:sz w:val="18"/>
          <w:szCs w:val="18"/>
          <w:lang w:val="es-MX"/>
        </w:rPr>
        <w:t>Millones de pesos corriente</w:t>
      </w:r>
      <w:r w:rsidR="00BE2872">
        <w:rPr>
          <w:rFonts w:ascii="Arial" w:hAnsi="Arial" w:cs="Arial"/>
          <w:sz w:val="18"/>
          <w:szCs w:val="18"/>
          <w:lang w:val="es-MX"/>
        </w:rPr>
        <w:t>s</w:t>
      </w:r>
      <w:r w:rsidR="00736DAD">
        <w:rPr>
          <w:rFonts w:ascii="Arial" w:hAnsi="Arial" w:cs="Arial"/>
          <w:sz w:val="18"/>
          <w:szCs w:val="18"/>
          <w:lang w:val="es-MX"/>
        </w:rPr>
        <w:t xml:space="preserve"> y e</w:t>
      </w:r>
      <w:r w:rsidR="00A359BF">
        <w:rPr>
          <w:rFonts w:ascii="Arial" w:hAnsi="Arial" w:cs="Arial"/>
          <w:sz w:val="18"/>
          <w:szCs w:val="18"/>
          <w:lang w:val="es-MX"/>
        </w:rPr>
        <w:t>structura</w:t>
      </w:r>
      <w:r w:rsidRPr="0080258B">
        <w:rPr>
          <w:rFonts w:ascii="Arial" w:hAnsi="Arial" w:cs="Arial"/>
          <w:sz w:val="18"/>
          <w:szCs w:val="18"/>
          <w:lang w:val="es-MX"/>
        </w:rPr>
        <w:t xml:space="preserve"> porcentual</w:t>
      </w:r>
      <w:r w:rsidRPr="0080258B">
        <w:rPr>
          <w:rFonts w:ascii="Arial" w:hAnsi="Arial" w:cs="Arial"/>
          <w:sz w:val="18"/>
          <w:szCs w:val="18"/>
        </w:rPr>
        <w:t>)</w:t>
      </w:r>
    </w:p>
    <w:tbl>
      <w:tblPr>
        <w:tblW w:w="8873" w:type="dxa"/>
        <w:tblCellMar>
          <w:left w:w="70" w:type="dxa"/>
          <w:right w:w="70" w:type="dxa"/>
        </w:tblCellMar>
        <w:tblLook w:val="04A0" w:firstRow="1" w:lastRow="0" w:firstColumn="1" w:lastColumn="0" w:noHBand="0" w:noVBand="1"/>
      </w:tblPr>
      <w:tblGrid>
        <w:gridCol w:w="4673"/>
        <w:gridCol w:w="1160"/>
        <w:gridCol w:w="1160"/>
        <w:gridCol w:w="940"/>
        <w:gridCol w:w="940"/>
      </w:tblGrid>
      <w:tr w:rsidR="00E02DD2" w:rsidRPr="00E02DD2" w14:paraId="22EE5C89" w14:textId="77777777" w:rsidTr="0041288F">
        <w:trPr>
          <w:trHeight w:val="420"/>
        </w:trPr>
        <w:tc>
          <w:tcPr>
            <w:tcW w:w="4673" w:type="dxa"/>
            <w:vMerge w:val="restart"/>
            <w:tcBorders>
              <w:top w:val="single" w:sz="4" w:space="0" w:color="auto"/>
              <w:left w:val="single" w:sz="4" w:space="0" w:color="auto"/>
              <w:bottom w:val="single" w:sz="4" w:space="0" w:color="000000"/>
              <w:right w:val="single" w:sz="4" w:space="0" w:color="FFFFFF"/>
            </w:tcBorders>
            <w:shd w:val="clear" w:color="000000" w:fill="002060"/>
            <w:vAlign w:val="center"/>
            <w:hideMark/>
          </w:tcPr>
          <w:p w14:paraId="2A46E8BB" w14:textId="4494450C" w:rsidR="00E02DD2" w:rsidRPr="00E02DD2" w:rsidRDefault="00E02DD2" w:rsidP="00E02DD2">
            <w:pPr>
              <w:jc w:val="center"/>
              <w:rPr>
                <w:rFonts w:ascii="Arial" w:eastAsia="Times New Roman" w:hAnsi="Arial" w:cs="Arial"/>
                <w:b/>
                <w:bCs/>
                <w:color w:val="FFFFFF"/>
                <w:sz w:val="18"/>
                <w:szCs w:val="18"/>
              </w:rPr>
            </w:pPr>
            <w:r w:rsidRPr="00E02DD2">
              <w:rPr>
                <w:rFonts w:ascii="Arial" w:eastAsia="Times New Roman" w:hAnsi="Arial" w:cs="Arial"/>
                <w:b/>
                <w:bCs/>
                <w:color w:val="FFFFFF"/>
                <w:sz w:val="18"/>
                <w:szCs w:val="18"/>
              </w:rPr>
              <w:t>CONCEPTO</w:t>
            </w:r>
          </w:p>
        </w:tc>
        <w:tc>
          <w:tcPr>
            <w:tcW w:w="1160" w:type="dxa"/>
            <w:vMerge w:val="restart"/>
            <w:tcBorders>
              <w:top w:val="single" w:sz="4" w:space="0" w:color="auto"/>
              <w:left w:val="single" w:sz="4" w:space="0" w:color="FFFFFF"/>
              <w:bottom w:val="single" w:sz="4" w:space="0" w:color="000000"/>
              <w:right w:val="single" w:sz="4" w:space="0" w:color="FFFFFF"/>
            </w:tcBorders>
            <w:shd w:val="clear" w:color="000000" w:fill="002060"/>
            <w:vAlign w:val="center"/>
            <w:hideMark/>
          </w:tcPr>
          <w:p w14:paraId="7D5B13D7" w14:textId="77777777" w:rsidR="00E02DD2" w:rsidRPr="00E02DD2" w:rsidRDefault="00E02DD2" w:rsidP="00E02DD2">
            <w:pPr>
              <w:jc w:val="center"/>
              <w:rPr>
                <w:rFonts w:ascii="Arial" w:eastAsia="Times New Roman" w:hAnsi="Arial" w:cs="Arial"/>
                <w:b/>
                <w:bCs/>
                <w:color w:val="FFFFFF"/>
                <w:sz w:val="18"/>
                <w:szCs w:val="18"/>
              </w:rPr>
            </w:pPr>
            <w:r w:rsidRPr="00E02DD2">
              <w:rPr>
                <w:rFonts w:ascii="Arial" w:eastAsia="Times New Roman" w:hAnsi="Arial" w:cs="Arial"/>
                <w:b/>
                <w:bCs/>
                <w:color w:val="FFFFFF"/>
                <w:sz w:val="18"/>
                <w:szCs w:val="18"/>
              </w:rPr>
              <w:t>2019</w:t>
            </w:r>
          </w:p>
        </w:tc>
        <w:tc>
          <w:tcPr>
            <w:tcW w:w="1160" w:type="dxa"/>
            <w:vMerge w:val="restart"/>
            <w:tcBorders>
              <w:top w:val="single" w:sz="4" w:space="0" w:color="auto"/>
              <w:left w:val="single" w:sz="4" w:space="0" w:color="FFFFFF"/>
              <w:bottom w:val="single" w:sz="4" w:space="0" w:color="000000"/>
              <w:right w:val="single" w:sz="4" w:space="0" w:color="FFFFFF"/>
            </w:tcBorders>
            <w:shd w:val="clear" w:color="000000" w:fill="002060"/>
            <w:vAlign w:val="center"/>
            <w:hideMark/>
          </w:tcPr>
          <w:p w14:paraId="2A150B01" w14:textId="77777777" w:rsidR="00E02DD2" w:rsidRPr="00E02DD2" w:rsidRDefault="00E02DD2" w:rsidP="00E02DD2">
            <w:pPr>
              <w:jc w:val="center"/>
              <w:rPr>
                <w:rFonts w:ascii="Arial" w:eastAsia="Times New Roman" w:hAnsi="Arial" w:cs="Arial"/>
                <w:b/>
                <w:bCs/>
                <w:color w:val="FFFFFF"/>
                <w:sz w:val="18"/>
                <w:szCs w:val="18"/>
              </w:rPr>
            </w:pPr>
            <w:r w:rsidRPr="00E02DD2">
              <w:rPr>
                <w:rFonts w:ascii="Arial" w:eastAsia="Times New Roman" w:hAnsi="Arial" w:cs="Arial"/>
                <w:b/>
                <w:bCs/>
                <w:color w:val="FFFFFF"/>
                <w:sz w:val="18"/>
                <w:szCs w:val="18"/>
              </w:rPr>
              <w:t>2020</w:t>
            </w:r>
          </w:p>
        </w:tc>
        <w:tc>
          <w:tcPr>
            <w:tcW w:w="1880" w:type="dxa"/>
            <w:gridSpan w:val="2"/>
            <w:tcBorders>
              <w:top w:val="single" w:sz="4" w:space="0" w:color="auto"/>
              <w:left w:val="nil"/>
              <w:bottom w:val="single" w:sz="4" w:space="0" w:color="FFFFFF"/>
              <w:right w:val="single" w:sz="4" w:space="0" w:color="FFFFFF"/>
            </w:tcBorders>
            <w:shd w:val="clear" w:color="000000" w:fill="002060"/>
            <w:vAlign w:val="center"/>
            <w:hideMark/>
          </w:tcPr>
          <w:p w14:paraId="0453EE6C" w14:textId="77777777" w:rsidR="00E02DD2" w:rsidRPr="00E02DD2" w:rsidRDefault="00E02DD2" w:rsidP="00E02DD2">
            <w:pPr>
              <w:jc w:val="center"/>
              <w:rPr>
                <w:rFonts w:ascii="Arial" w:eastAsia="Times New Roman" w:hAnsi="Arial" w:cs="Arial"/>
                <w:b/>
                <w:bCs/>
                <w:color w:val="FFFFFF"/>
                <w:sz w:val="18"/>
                <w:szCs w:val="18"/>
              </w:rPr>
            </w:pPr>
            <w:r w:rsidRPr="00E02DD2">
              <w:rPr>
                <w:rFonts w:ascii="Arial" w:eastAsia="Times New Roman" w:hAnsi="Arial" w:cs="Arial"/>
                <w:b/>
                <w:bCs/>
                <w:color w:val="FFFFFF"/>
                <w:sz w:val="18"/>
                <w:szCs w:val="18"/>
              </w:rPr>
              <w:t>Estructura porcentual</w:t>
            </w:r>
          </w:p>
        </w:tc>
      </w:tr>
      <w:tr w:rsidR="00E02DD2" w:rsidRPr="00E02DD2" w14:paraId="4F2443C9" w14:textId="77777777" w:rsidTr="0041288F">
        <w:trPr>
          <w:trHeight w:val="420"/>
        </w:trPr>
        <w:tc>
          <w:tcPr>
            <w:tcW w:w="4673" w:type="dxa"/>
            <w:vMerge/>
            <w:tcBorders>
              <w:top w:val="single" w:sz="4" w:space="0" w:color="auto"/>
              <w:left w:val="single" w:sz="4" w:space="0" w:color="auto"/>
              <w:bottom w:val="single" w:sz="4" w:space="0" w:color="000000"/>
              <w:right w:val="single" w:sz="4" w:space="0" w:color="FFFFFF"/>
            </w:tcBorders>
            <w:vAlign w:val="center"/>
            <w:hideMark/>
          </w:tcPr>
          <w:p w14:paraId="2D60A932" w14:textId="77777777" w:rsidR="00E02DD2" w:rsidRPr="00E02DD2" w:rsidRDefault="00E02DD2" w:rsidP="00E02DD2">
            <w:pPr>
              <w:rPr>
                <w:rFonts w:ascii="Arial" w:eastAsia="Times New Roman" w:hAnsi="Arial" w:cs="Arial"/>
                <w:b/>
                <w:bCs/>
                <w:color w:val="FFFFFF"/>
                <w:sz w:val="18"/>
                <w:szCs w:val="18"/>
              </w:rPr>
            </w:pPr>
          </w:p>
        </w:tc>
        <w:tc>
          <w:tcPr>
            <w:tcW w:w="1160" w:type="dxa"/>
            <w:vMerge/>
            <w:tcBorders>
              <w:top w:val="single" w:sz="4" w:space="0" w:color="auto"/>
              <w:left w:val="single" w:sz="4" w:space="0" w:color="FFFFFF"/>
              <w:bottom w:val="single" w:sz="4" w:space="0" w:color="000000"/>
              <w:right w:val="single" w:sz="4" w:space="0" w:color="FFFFFF"/>
            </w:tcBorders>
            <w:vAlign w:val="center"/>
            <w:hideMark/>
          </w:tcPr>
          <w:p w14:paraId="7047AA32" w14:textId="77777777" w:rsidR="00E02DD2" w:rsidRPr="00E02DD2" w:rsidRDefault="00E02DD2" w:rsidP="00E02DD2">
            <w:pPr>
              <w:rPr>
                <w:rFonts w:ascii="Arial" w:eastAsia="Times New Roman" w:hAnsi="Arial" w:cs="Arial"/>
                <w:b/>
                <w:bCs/>
                <w:color w:val="FFFFFF"/>
                <w:sz w:val="18"/>
                <w:szCs w:val="18"/>
              </w:rPr>
            </w:pPr>
          </w:p>
        </w:tc>
        <w:tc>
          <w:tcPr>
            <w:tcW w:w="1160" w:type="dxa"/>
            <w:vMerge/>
            <w:tcBorders>
              <w:top w:val="single" w:sz="4" w:space="0" w:color="auto"/>
              <w:left w:val="single" w:sz="4" w:space="0" w:color="FFFFFF"/>
              <w:bottom w:val="single" w:sz="4" w:space="0" w:color="000000"/>
              <w:right w:val="single" w:sz="4" w:space="0" w:color="FFFFFF"/>
            </w:tcBorders>
            <w:vAlign w:val="center"/>
            <w:hideMark/>
          </w:tcPr>
          <w:p w14:paraId="08592180" w14:textId="77777777" w:rsidR="00E02DD2" w:rsidRPr="00E02DD2" w:rsidRDefault="00E02DD2" w:rsidP="00E02DD2">
            <w:pPr>
              <w:rPr>
                <w:rFonts w:ascii="Arial" w:eastAsia="Times New Roman" w:hAnsi="Arial" w:cs="Arial"/>
                <w:b/>
                <w:bCs/>
                <w:color w:val="FFFFFF"/>
                <w:sz w:val="18"/>
                <w:szCs w:val="18"/>
              </w:rPr>
            </w:pPr>
          </w:p>
        </w:tc>
        <w:tc>
          <w:tcPr>
            <w:tcW w:w="940" w:type="dxa"/>
            <w:tcBorders>
              <w:top w:val="nil"/>
              <w:left w:val="nil"/>
              <w:bottom w:val="single" w:sz="4" w:space="0" w:color="000000"/>
              <w:right w:val="single" w:sz="4" w:space="0" w:color="FFFFFF"/>
            </w:tcBorders>
            <w:shd w:val="clear" w:color="000000" w:fill="002060"/>
            <w:vAlign w:val="center"/>
            <w:hideMark/>
          </w:tcPr>
          <w:p w14:paraId="5E66DD2D" w14:textId="77777777" w:rsidR="00E02DD2" w:rsidRPr="00E02DD2" w:rsidRDefault="00E02DD2" w:rsidP="00E02DD2">
            <w:pPr>
              <w:jc w:val="center"/>
              <w:rPr>
                <w:rFonts w:ascii="Arial" w:eastAsia="Times New Roman" w:hAnsi="Arial" w:cs="Arial"/>
                <w:b/>
                <w:bCs/>
                <w:color w:val="FFFFFF"/>
                <w:sz w:val="18"/>
                <w:szCs w:val="18"/>
              </w:rPr>
            </w:pPr>
            <w:r w:rsidRPr="00E02DD2">
              <w:rPr>
                <w:rFonts w:ascii="Arial" w:eastAsia="Times New Roman" w:hAnsi="Arial" w:cs="Arial"/>
                <w:b/>
                <w:bCs/>
                <w:color w:val="FFFFFF"/>
                <w:sz w:val="18"/>
                <w:szCs w:val="18"/>
              </w:rPr>
              <w:t>2019</w:t>
            </w:r>
          </w:p>
        </w:tc>
        <w:tc>
          <w:tcPr>
            <w:tcW w:w="940" w:type="dxa"/>
            <w:tcBorders>
              <w:top w:val="nil"/>
              <w:left w:val="nil"/>
              <w:bottom w:val="single" w:sz="4" w:space="0" w:color="000000"/>
              <w:right w:val="single" w:sz="4" w:space="0" w:color="FFFFFF"/>
            </w:tcBorders>
            <w:shd w:val="clear" w:color="000000" w:fill="002060"/>
            <w:vAlign w:val="center"/>
            <w:hideMark/>
          </w:tcPr>
          <w:p w14:paraId="2B3FF199" w14:textId="77777777" w:rsidR="00E02DD2" w:rsidRPr="00E02DD2" w:rsidRDefault="00E02DD2" w:rsidP="00E02DD2">
            <w:pPr>
              <w:jc w:val="center"/>
              <w:rPr>
                <w:rFonts w:ascii="Arial" w:eastAsia="Times New Roman" w:hAnsi="Arial" w:cs="Arial"/>
                <w:b/>
                <w:bCs/>
                <w:color w:val="FFFFFF"/>
                <w:sz w:val="18"/>
                <w:szCs w:val="18"/>
              </w:rPr>
            </w:pPr>
            <w:r w:rsidRPr="00E02DD2">
              <w:rPr>
                <w:rFonts w:ascii="Arial" w:eastAsia="Times New Roman" w:hAnsi="Arial" w:cs="Arial"/>
                <w:b/>
                <w:bCs/>
                <w:color w:val="FFFFFF"/>
                <w:sz w:val="18"/>
                <w:szCs w:val="18"/>
              </w:rPr>
              <w:t>2020</w:t>
            </w:r>
          </w:p>
        </w:tc>
      </w:tr>
      <w:tr w:rsidR="00E02DD2" w:rsidRPr="00E02DD2" w14:paraId="1B146481" w14:textId="77777777" w:rsidTr="0041288F">
        <w:trPr>
          <w:trHeight w:val="349"/>
        </w:trPr>
        <w:tc>
          <w:tcPr>
            <w:tcW w:w="4673"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3D49619E" w14:textId="77777777" w:rsidR="00E02DD2" w:rsidRPr="00E02DD2" w:rsidRDefault="00E02DD2" w:rsidP="00E02DD2">
            <w:pPr>
              <w:rPr>
                <w:rFonts w:ascii="Arial" w:eastAsia="Times New Roman" w:hAnsi="Arial" w:cs="Arial"/>
                <w:b/>
                <w:bCs/>
                <w:sz w:val="18"/>
                <w:szCs w:val="18"/>
              </w:rPr>
            </w:pPr>
            <w:r w:rsidRPr="00E02DD2">
              <w:rPr>
                <w:rFonts w:ascii="Arial" w:eastAsia="Times New Roman" w:hAnsi="Arial" w:cs="Arial"/>
                <w:b/>
                <w:bCs/>
                <w:sz w:val="18"/>
                <w:szCs w:val="18"/>
              </w:rPr>
              <w:t xml:space="preserve">Total del país </w:t>
            </w:r>
          </w:p>
        </w:tc>
        <w:tc>
          <w:tcPr>
            <w:tcW w:w="1160" w:type="dxa"/>
            <w:tcBorders>
              <w:top w:val="single" w:sz="4" w:space="0" w:color="FFFFFF"/>
              <w:left w:val="nil"/>
              <w:bottom w:val="single" w:sz="4" w:space="0" w:color="FFFFFF"/>
              <w:right w:val="single" w:sz="4" w:space="0" w:color="000000"/>
            </w:tcBorders>
            <w:shd w:val="clear" w:color="auto" w:fill="auto"/>
            <w:noWrap/>
            <w:vAlign w:val="center"/>
            <w:hideMark/>
          </w:tcPr>
          <w:p w14:paraId="4332BDF2" w14:textId="03DDA5D7" w:rsidR="00E02DD2" w:rsidRPr="00E02DD2" w:rsidRDefault="00E02DD2" w:rsidP="00E02DD2">
            <w:pPr>
              <w:jc w:val="right"/>
              <w:rPr>
                <w:rFonts w:ascii="Arial" w:eastAsia="Times New Roman" w:hAnsi="Arial" w:cs="Arial"/>
                <w:b/>
                <w:bCs/>
                <w:sz w:val="18"/>
                <w:szCs w:val="18"/>
              </w:rPr>
            </w:pPr>
            <w:r w:rsidRPr="00E02DD2">
              <w:rPr>
                <w:rFonts w:ascii="Arial" w:eastAsia="Times New Roman" w:hAnsi="Arial" w:cs="Arial"/>
                <w:b/>
                <w:bCs/>
                <w:sz w:val="18"/>
                <w:szCs w:val="18"/>
              </w:rPr>
              <w:t>23</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023</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594</w:t>
            </w:r>
          </w:p>
        </w:tc>
        <w:tc>
          <w:tcPr>
            <w:tcW w:w="1160" w:type="dxa"/>
            <w:tcBorders>
              <w:top w:val="single" w:sz="4" w:space="0" w:color="FFFFFF"/>
              <w:left w:val="nil"/>
              <w:bottom w:val="single" w:sz="4" w:space="0" w:color="FFFFFF"/>
              <w:right w:val="single" w:sz="4" w:space="0" w:color="000000"/>
            </w:tcBorders>
            <w:shd w:val="clear" w:color="auto" w:fill="auto"/>
            <w:noWrap/>
            <w:vAlign w:val="center"/>
            <w:hideMark/>
          </w:tcPr>
          <w:p w14:paraId="0CADB4B3" w14:textId="65944762" w:rsidR="00E02DD2" w:rsidRPr="00E02DD2" w:rsidRDefault="00E02DD2" w:rsidP="00E02DD2">
            <w:pPr>
              <w:jc w:val="right"/>
              <w:rPr>
                <w:rFonts w:ascii="Arial" w:eastAsia="Times New Roman" w:hAnsi="Arial" w:cs="Arial"/>
                <w:b/>
                <w:bCs/>
                <w:sz w:val="18"/>
                <w:szCs w:val="18"/>
              </w:rPr>
            </w:pPr>
            <w:r w:rsidRPr="00E02DD2">
              <w:rPr>
                <w:rFonts w:ascii="Arial" w:eastAsia="Times New Roman" w:hAnsi="Arial" w:cs="Arial"/>
                <w:b/>
                <w:bCs/>
                <w:sz w:val="18"/>
                <w:szCs w:val="18"/>
              </w:rPr>
              <w:t>21</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884</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029</w:t>
            </w:r>
          </w:p>
        </w:tc>
        <w:tc>
          <w:tcPr>
            <w:tcW w:w="940" w:type="dxa"/>
            <w:tcBorders>
              <w:top w:val="single" w:sz="4" w:space="0" w:color="FFFFFF"/>
              <w:left w:val="nil"/>
              <w:bottom w:val="single" w:sz="4" w:space="0" w:color="FFFFFF"/>
              <w:right w:val="single" w:sz="4" w:space="0" w:color="000000"/>
            </w:tcBorders>
            <w:shd w:val="clear" w:color="auto" w:fill="auto"/>
            <w:noWrap/>
            <w:vAlign w:val="center"/>
            <w:hideMark/>
          </w:tcPr>
          <w:p w14:paraId="7EF9EAF3" w14:textId="77777777" w:rsidR="00E02DD2" w:rsidRPr="00E02DD2" w:rsidRDefault="00E02DD2" w:rsidP="00E02DD2">
            <w:pPr>
              <w:jc w:val="center"/>
              <w:rPr>
                <w:rFonts w:ascii="Arial" w:eastAsia="Times New Roman" w:hAnsi="Arial" w:cs="Arial"/>
                <w:b/>
                <w:bCs/>
                <w:sz w:val="18"/>
                <w:szCs w:val="18"/>
              </w:rPr>
            </w:pPr>
            <w:r w:rsidRPr="00E02DD2">
              <w:rPr>
                <w:rFonts w:ascii="Arial" w:eastAsia="Times New Roman" w:hAnsi="Arial" w:cs="Arial"/>
                <w:b/>
                <w:bCs/>
                <w:sz w:val="18"/>
                <w:szCs w:val="18"/>
              </w:rPr>
              <w:t>100.0</w:t>
            </w:r>
          </w:p>
        </w:tc>
        <w:tc>
          <w:tcPr>
            <w:tcW w:w="940" w:type="dxa"/>
            <w:tcBorders>
              <w:top w:val="single" w:sz="4" w:space="0" w:color="FFFFFF"/>
              <w:left w:val="nil"/>
              <w:bottom w:val="single" w:sz="4" w:space="0" w:color="FFFFFF"/>
              <w:right w:val="single" w:sz="4" w:space="0" w:color="000000"/>
            </w:tcBorders>
            <w:shd w:val="clear" w:color="auto" w:fill="auto"/>
            <w:noWrap/>
            <w:vAlign w:val="center"/>
            <w:hideMark/>
          </w:tcPr>
          <w:p w14:paraId="54B767C2" w14:textId="77777777" w:rsidR="00E02DD2" w:rsidRPr="00E02DD2" w:rsidRDefault="00E02DD2" w:rsidP="00E02DD2">
            <w:pPr>
              <w:jc w:val="center"/>
              <w:rPr>
                <w:rFonts w:ascii="Arial" w:eastAsia="Times New Roman" w:hAnsi="Arial" w:cs="Arial"/>
                <w:b/>
                <w:bCs/>
                <w:sz w:val="18"/>
                <w:szCs w:val="18"/>
              </w:rPr>
            </w:pPr>
            <w:r w:rsidRPr="00E02DD2">
              <w:rPr>
                <w:rFonts w:ascii="Arial" w:eastAsia="Times New Roman" w:hAnsi="Arial" w:cs="Arial"/>
                <w:b/>
                <w:bCs/>
                <w:sz w:val="18"/>
                <w:szCs w:val="18"/>
              </w:rPr>
              <w:t>100.0</w:t>
            </w:r>
          </w:p>
        </w:tc>
      </w:tr>
      <w:tr w:rsidR="00E02DD2" w:rsidRPr="00E02DD2" w14:paraId="6266CA8B" w14:textId="77777777" w:rsidTr="0041288F">
        <w:trPr>
          <w:trHeight w:val="219"/>
        </w:trPr>
        <w:tc>
          <w:tcPr>
            <w:tcW w:w="4673" w:type="dxa"/>
            <w:tcBorders>
              <w:top w:val="nil"/>
              <w:left w:val="single" w:sz="4" w:space="0" w:color="auto"/>
              <w:bottom w:val="single" w:sz="4" w:space="0" w:color="FFFFFF"/>
              <w:right w:val="single" w:sz="4" w:space="0" w:color="000000"/>
            </w:tcBorders>
            <w:shd w:val="clear" w:color="auto" w:fill="auto"/>
            <w:noWrap/>
            <w:vAlign w:val="center"/>
            <w:hideMark/>
          </w:tcPr>
          <w:p w14:paraId="78607955" w14:textId="6C345FE5" w:rsidR="00E02DD2" w:rsidRPr="00E02DD2" w:rsidRDefault="00E02DD2" w:rsidP="00E02DD2">
            <w:pPr>
              <w:ind w:firstLineChars="100" w:firstLine="181"/>
              <w:rPr>
                <w:rFonts w:ascii="Arial" w:eastAsia="Times New Roman" w:hAnsi="Arial" w:cs="Arial"/>
                <w:b/>
                <w:bCs/>
                <w:sz w:val="18"/>
                <w:szCs w:val="18"/>
              </w:rPr>
            </w:pPr>
            <w:r w:rsidRPr="00E02DD2">
              <w:rPr>
                <w:rFonts w:ascii="Arial" w:eastAsia="Times New Roman" w:hAnsi="Arial" w:cs="Arial"/>
                <w:b/>
                <w:bCs/>
                <w:sz w:val="18"/>
                <w:szCs w:val="18"/>
              </w:rPr>
              <w:t xml:space="preserve">Total Turístico </w:t>
            </w:r>
          </w:p>
        </w:tc>
        <w:tc>
          <w:tcPr>
            <w:tcW w:w="1160" w:type="dxa"/>
            <w:tcBorders>
              <w:top w:val="nil"/>
              <w:left w:val="nil"/>
              <w:bottom w:val="single" w:sz="4" w:space="0" w:color="FFFFFF"/>
              <w:right w:val="single" w:sz="4" w:space="0" w:color="000000"/>
            </w:tcBorders>
            <w:shd w:val="clear" w:color="auto" w:fill="auto"/>
            <w:noWrap/>
            <w:vAlign w:val="center"/>
            <w:hideMark/>
          </w:tcPr>
          <w:p w14:paraId="281BB53B" w14:textId="6834C8C3" w:rsidR="00E02DD2" w:rsidRPr="00E02DD2" w:rsidRDefault="00E02DD2" w:rsidP="00E02DD2">
            <w:pPr>
              <w:jc w:val="right"/>
              <w:rPr>
                <w:rFonts w:ascii="Arial" w:eastAsia="Times New Roman" w:hAnsi="Arial" w:cs="Arial"/>
                <w:b/>
                <w:bCs/>
                <w:sz w:val="18"/>
                <w:szCs w:val="18"/>
              </w:rPr>
            </w:pPr>
            <w:r w:rsidRPr="00E02DD2">
              <w:rPr>
                <w:rFonts w:ascii="Arial" w:eastAsia="Times New Roman" w:hAnsi="Arial" w:cs="Arial"/>
                <w:b/>
                <w:bCs/>
                <w:sz w:val="18"/>
                <w:szCs w:val="18"/>
              </w:rPr>
              <w:t>1</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956</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848</w:t>
            </w:r>
          </w:p>
        </w:tc>
        <w:tc>
          <w:tcPr>
            <w:tcW w:w="1160" w:type="dxa"/>
            <w:tcBorders>
              <w:top w:val="nil"/>
              <w:left w:val="nil"/>
              <w:bottom w:val="single" w:sz="4" w:space="0" w:color="FFFFFF"/>
              <w:right w:val="single" w:sz="4" w:space="0" w:color="000000"/>
            </w:tcBorders>
            <w:shd w:val="clear" w:color="auto" w:fill="auto"/>
            <w:noWrap/>
            <w:vAlign w:val="center"/>
            <w:hideMark/>
          </w:tcPr>
          <w:p w14:paraId="4A045BF2" w14:textId="448F2DF5" w:rsidR="00E02DD2" w:rsidRPr="00E02DD2" w:rsidRDefault="00E02DD2" w:rsidP="00E02DD2">
            <w:pPr>
              <w:jc w:val="right"/>
              <w:rPr>
                <w:rFonts w:ascii="Arial" w:eastAsia="Times New Roman" w:hAnsi="Arial" w:cs="Arial"/>
                <w:b/>
                <w:bCs/>
                <w:sz w:val="18"/>
                <w:szCs w:val="18"/>
              </w:rPr>
            </w:pPr>
            <w:r w:rsidRPr="00E02DD2">
              <w:rPr>
                <w:rFonts w:ascii="Arial" w:eastAsia="Times New Roman" w:hAnsi="Arial" w:cs="Arial"/>
                <w:b/>
                <w:bCs/>
                <w:sz w:val="18"/>
                <w:szCs w:val="18"/>
              </w:rPr>
              <w:t>1</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475</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107</w:t>
            </w:r>
          </w:p>
        </w:tc>
        <w:tc>
          <w:tcPr>
            <w:tcW w:w="940" w:type="dxa"/>
            <w:tcBorders>
              <w:top w:val="nil"/>
              <w:left w:val="nil"/>
              <w:bottom w:val="single" w:sz="4" w:space="0" w:color="FFFFFF"/>
              <w:right w:val="single" w:sz="4" w:space="0" w:color="000000"/>
            </w:tcBorders>
            <w:shd w:val="clear" w:color="auto" w:fill="auto"/>
            <w:noWrap/>
            <w:vAlign w:val="center"/>
            <w:hideMark/>
          </w:tcPr>
          <w:p w14:paraId="24481FA5" w14:textId="77777777" w:rsidR="00E02DD2" w:rsidRPr="00E02DD2" w:rsidRDefault="00E02DD2" w:rsidP="00E02DD2">
            <w:pPr>
              <w:jc w:val="center"/>
              <w:rPr>
                <w:rFonts w:ascii="Arial" w:eastAsia="Times New Roman" w:hAnsi="Arial" w:cs="Arial"/>
                <w:b/>
                <w:bCs/>
                <w:sz w:val="18"/>
                <w:szCs w:val="18"/>
              </w:rPr>
            </w:pPr>
            <w:r w:rsidRPr="00E02DD2">
              <w:rPr>
                <w:rFonts w:ascii="Arial" w:eastAsia="Times New Roman" w:hAnsi="Arial" w:cs="Arial"/>
                <w:b/>
                <w:bCs/>
                <w:sz w:val="18"/>
                <w:szCs w:val="18"/>
              </w:rPr>
              <w:t>8.5</w:t>
            </w:r>
          </w:p>
        </w:tc>
        <w:tc>
          <w:tcPr>
            <w:tcW w:w="940" w:type="dxa"/>
            <w:tcBorders>
              <w:top w:val="nil"/>
              <w:left w:val="nil"/>
              <w:bottom w:val="single" w:sz="4" w:space="0" w:color="FFFFFF"/>
              <w:right w:val="single" w:sz="4" w:space="0" w:color="000000"/>
            </w:tcBorders>
            <w:shd w:val="clear" w:color="auto" w:fill="auto"/>
            <w:noWrap/>
            <w:vAlign w:val="center"/>
            <w:hideMark/>
          </w:tcPr>
          <w:p w14:paraId="7DF2B06A" w14:textId="77777777" w:rsidR="00E02DD2" w:rsidRPr="00E02DD2" w:rsidRDefault="00E02DD2" w:rsidP="00E02DD2">
            <w:pPr>
              <w:jc w:val="center"/>
              <w:rPr>
                <w:rFonts w:ascii="Arial" w:eastAsia="Times New Roman" w:hAnsi="Arial" w:cs="Arial"/>
                <w:b/>
                <w:bCs/>
                <w:sz w:val="18"/>
                <w:szCs w:val="18"/>
              </w:rPr>
            </w:pPr>
            <w:r w:rsidRPr="00E02DD2">
              <w:rPr>
                <w:rFonts w:ascii="Arial" w:eastAsia="Times New Roman" w:hAnsi="Arial" w:cs="Arial"/>
                <w:b/>
                <w:bCs/>
                <w:sz w:val="18"/>
                <w:szCs w:val="18"/>
              </w:rPr>
              <w:t>6.7</w:t>
            </w:r>
          </w:p>
        </w:tc>
      </w:tr>
      <w:tr w:rsidR="00E02DD2" w:rsidRPr="00E02DD2" w14:paraId="7C9630FE" w14:textId="77777777" w:rsidTr="0041288F">
        <w:trPr>
          <w:trHeight w:val="278"/>
        </w:trPr>
        <w:tc>
          <w:tcPr>
            <w:tcW w:w="4673" w:type="dxa"/>
            <w:tcBorders>
              <w:top w:val="nil"/>
              <w:left w:val="single" w:sz="4" w:space="0" w:color="auto"/>
              <w:bottom w:val="single" w:sz="4" w:space="0" w:color="FFFFFF"/>
              <w:right w:val="single" w:sz="4" w:space="0" w:color="000000"/>
            </w:tcBorders>
            <w:shd w:val="clear" w:color="auto" w:fill="auto"/>
            <w:vAlign w:val="center"/>
            <w:hideMark/>
          </w:tcPr>
          <w:p w14:paraId="1C75100A" w14:textId="77777777" w:rsidR="00E02DD2" w:rsidRPr="00E02DD2" w:rsidRDefault="00E02DD2" w:rsidP="00E02DD2">
            <w:pPr>
              <w:ind w:firstLineChars="200" w:firstLine="361"/>
              <w:rPr>
                <w:rFonts w:ascii="Arial" w:eastAsia="Times New Roman" w:hAnsi="Arial" w:cs="Arial"/>
                <w:b/>
                <w:bCs/>
                <w:sz w:val="18"/>
                <w:szCs w:val="18"/>
              </w:rPr>
            </w:pPr>
            <w:r w:rsidRPr="00E02DD2">
              <w:rPr>
                <w:rFonts w:ascii="Arial" w:eastAsia="Times New Roman" w:hAnsi="Arial" w:cs="Arial"/>
                <w:b/>
                <w:bCs/>
                <w:sz w:val="18"/>
                <w:szCs w:val="18"/>
              </w:rPr>
              <w:t xml:space="preserve">Bienes </w:t>
            </w:r>
          </w:p>
        </w:tc>
        <w:tc>
          <w:tcPr>
            <w:tcW w:w="1160" w:type="dxa"/>
            <w:tcBorders>
              <w:top w:val="nil"/>
              <w:left w:val="nil"/>
              <w:bottom w:val="single" w:sz="4" w:space="0" w:color="FFFFFF"/>
              <w:right w:val="single" w:sz="4" w:space="0" w:color="000000"/>
            </w:tcBorders>
            <w:shd w:val="clear" w:color="auto" w:fill="auto"/>
            <w:noWrap/>
            <w:vAlign w:val="center"/>
            <w:hideMark/>
          </w:tcPr>
          <w:p w14:paraId="51F5056E" w14:textId="4F6906BB" w:rsidR="00E02DD2" w:rsidRPr="00E02DD2" w:rsidRDefault="00E02DD2" w:rsidP="00E02DD2">
            <w:pPr>
              <w:jc w:val="right"/>
              <w:rPr>
                <w:rFonts w:ascii="Arial" w:eastAsia="Times New Roman" w:hAnsi="Arial" w:cs="Arial"/>
                <w:b/>
                <w:bCs/>
                <w:sz w:val="18"/>
                <w:szCs w:val="18"/>
              </w:rPr>
            </w:pPr>
            <w:r w:rsidRPr="00E02DD2">
              <w:rPr>
                <w:rFonts w:ascii="Arial" w:eastAsia="Times New Roman" w:hAnsi="Arial" w:cs="Arial"/>
                <w:b/>
                <w:bCs/>
                <w:sz w:val="18"/>
                <w:szCs w:val="18"/>
              </w:rPr>
              <w:t>120</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327</w:t>
            </w:r>
          </w:p>
        </w:tc>
        <w:tc>
          <w:tcPr>
            <w:tcW w:w="1160" w:type="dxa"/>
            <w:tcBorders>
              <w:top w:val="nil"/>
              <w:left w:val="nil"/>
              <w:bottom w:val="single" w:sz="4" w:space="0" w:color="FFFFFF"/>
              <w:right w:val="single" w:sz="4" w:space="0" w:color="000000"/>
            </w:tcBorders>
            <w:shd w:val="clear" w:color="auto" w:fill="auto"/>
            <w:noWrap/>
            <w:vAlign w:val="center"/>
            <w:hideMark/>
          </w:tcPr>
          <w:p w14:paraId="3FDE36D6" w14:textId="708893CA" w:rsidR="00E02DD2" w:rsidRPr="00E02DD2" w:rsidRDefault="00E02DD2" w:rsidP="00E02DD2">
            <w:pPr>
              <w:jc w:val="right"/>
              <w:rPr>
                <w:rFonts w:ascii="Arial" w:eastAsia="Times New Roman" w:hAnsi="Arial" w:cs="Arial"/>
                <w:b/>
                <w:bCs/>
                <w:sz w:val="18"/>
                <w:szCs w:val="18"/>
              </w:rPr>
            </w:pPr>
            <w:r w:rsidRPr="00E02DD2">
              <w:rPr>
                <w:rFonts w:ascii="Arial" w:eastAsia="Times New Roman" w:hAnsi="Arial" w:cs="Arial"/>
                <w:b/>
                <w:bCs/>
                <w:sz w:val="18"/>
                <w:szCs w:val="18"/>
              </w:rPr>
              <w:t>88</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691</w:t>
            </w:r>
          </w:p>
        </w:tc>
        <w:tc>
          <w:tcPr>
            <w:tcW w:w="940" w:type="dxa"/>
            <w:tcBorders>
              <w:top w:val="nil"/>
              <w:left w:val="nil"/>
              <w:bottom w:val="single" w:sz="4" w:space="0" w:color="FFFFFF"/>
              <w:right w:val="single" w:sz="4" w:space="0" w:color="000000"/>
            </w:tcBorders>
            <w:shd w:val="clear" w:color="auto" w:fill="auto"/>
            <w:noWrap/>
            <w:vAlign w:val="center"/>
            <w:hideMark/>
          </w:tcPr>
          <w:p w14:paraId="4AEA7C78" w14:textId="77777777" w:rsidR="00E02DD2" w:rsidRPr="00E02DD2" w:rsidRDefault="00E02DD2" w:rsidP="00E02DD2">
            <w:pPr>
              <w:jc w:val="center"/>
              <w:rPr>
                <w:rFonts w:ascii="Arial" w:eastAsia="Times New Roman" w:hAnsi="Arial" w:cs="Arial"/>
                <w:b/>
                <w:bCs/>
                <w:sz w:val="18"/>
                <w:szCs w:val="18"/>
              </w:rPr>
            </w:pPr>
            <w:r w:rsidRPr="00E02DD2">
              <w:rPr>
                <w:rFonts w:ascii="Arial" w:eastAsia="Times New Roman" w:hAnsi="Arial" w:cs="Arial"/>
                <w:b/>
                <w:bCs/>
                <w:sz w:val="18"/>
                <w:szCs w:val="18"/>
              </w:rPr>
              <w:t>0.5</w:t>
            </w:r>
          </w:p>
        </w:tc>
        <w:tc>
          <w:tcPr>
            <w:tcW w:w="940" w:type="dxa"/>
            <w:tcBorders>
              <w:top w:val="nil"/>
              <w:left w:val="nil"/>
              <w:bottom w:val="single" w:sz="4" w:space="0" w:color="FFFFFF"/>
              <w:right w:val="single" w:sz="4" w:space="0" w:color="000000"/>
            </w:tcBorders>
            <w:shd w:val="clear" w:color="auto" w:fill="auto"/>
            <w:noWrap/>
            <w:vAlign w:val="center"/>
            <w:hideMark/>
          </w:tcPr>
          <w:p w14:paraId="20B5E16F" w14:textId="77777777" w:rsidR="00E02DD2" w:rsidRPr="00E02DD2" w:rsidRDefault="00E02DD2" w:rsidP="00E02DD2">
            <w:pPr>
              <w:jc w:val="center"/>
              <w:rPr>
                <w:rFonts w:ascii="Arial" w:eastAsia="Times New Roman" w:hAnsi="Arial" w:cs="Arial"/>
                <w:b/>
                <w:bCs/>
                <w:sz w:val="18"/>
                <w:szCs w:val="18"/>
              </w:rPr>
            </w:pPr>
            <w:r w:rsidRPr="00E02DD2">
              <w:rPr>
                <w:rFonts w:ascii="Arial" w:eastAsia="Times New Roman" w:hAnsi="Arial" w:cs="Arial"/>
                <w:b/>
                <w:bCs/>
                <w:sz w:val="18"/>
                <w:szCs w:val="18"/>
              </w:rPr>
              <w:t>0.7</w:t>
            </w:r>
          </w:p>
        </w:tc>
      </w:tr>
      <w:tr w:rsidR="00E02DD2" w:rsidRPr="00E02DD2" w14:paraId="2E8DC3E2" w14:textId="77777777" w:rsidTr="0041288F">
        <w:trPr>
          <w:trHeight w:val="197"/>
        </w:trPr>
        <w:tc>
          <w:tcPr>
            <w:tcW w:w="4673" w:type="dxa"/>
            <w:tcBorders>
              <w:top w:val="nil"/>
              <w:left w:val="single" w:sz="4" w:space="0" w:color="auto"/>
              <w:bottom w:val="nil"/>
              <w:right w:val="single" w:sz="4" w:space="0" w:color="auto"/>
            </w:tcBorders>
            <w:shd w:val="clear" w:color="auto" w:fill="auto"/>
            <w:vAlign w:val="center"/>
            <w:hideMark/>
          </w:tcPr>
          <w:p w14:paraId="28E28007" w14:textId="77777777" w:rsidR="00E02DD2" w:rsidRPr="00E02DD2" w:rsidRDefault="00E02DD2" w:rsidP="00E02DD2">
            <w:pPr>
              <w:ind w:firstLineChars="300" w:firstLine="540"/>
              <w:rPr>
                <w:rFonts w:ascii="Arial" w:eastAsia="Times New Roman" w:hAnsi="Arial" w:cs="Arial"/>
                <w:sz w:val="18"/>
                <w:szCs w:val="18"/>
              </w:rPr>
            </w:pPr>
            <w:r w:rsidRPr="00E02DD2">
              <w:rPr>
                <w:rFonts w:ascii="Arial" w:eastAsia="Times New Roman" w:hAnsi="Arial" w:cs="Arial"/>
                <w:sz w:val="18"/>
                <w:szCs w:val="18"/>
              </w:rPr>
              <w:t xml:space="preserve">Artesanías y Otros bienes </w:t>
            </w:r>
          </w:p>
        </w:tc>
        <w:tc>
          <w:tcPr>
            <w:tcW w:w="1160" w:type="dxa"/>
            <w:tcBorders>
              <w:top w:val="nil"/>
              <w:left w:val="nil"/>
              <w:bottom w:val="single" w:sz="4" w:space="0" w:color="FFFFFF"/>
              <w:right w:val="single" w:sz="4" w:space="0" w:color="000000"/>
            </w:tcBorders>
            <w:shd w:val="clear" w:color="auto" w:fill="auto"/>
            <w:noWrap/>
            <w:vAlign w:val="center"/>
            <w:hideMark/>
          </w:tcPr>
          <w:p w14:paraId="14565AD9" w14:textId="3C0BB62A"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120</w:t>
            </w:r>
            <w:r w:rsidR="00A634AF">
              <w:rPr>
                <w:rFonts w:ascii="Arial" w:eastAsia="Times New Roman" w:hAnsi="Arial" w:cs="Arial"/>
                <w:sz w:val="18"/>
                <w:szCs w:val="18"/>
              </w:rPr>
              <w:t xml:space="preserve"> </w:t>
            </w:r>
            <w:r w:rsidRPr="00E02DD2">
              <w:rPr>
                <w:rFonts w:ascii="Arial" w:eastAsia="Times New Roman" w:hAnsi="Arial" w:cs="Arial"/>
                <w:sz w:val="18"/>
                <w:szCs w:val="18"/>
              </w:rPr>
              <w:t>327</w:t>
            </w:r>
          </w:p>
        </w:tc>
        <w:tc>
          <w:tcPr>
            <w:tcW w:w="1160" w:type="dxa"/>
            <w:tcBorders>
              <w:top w:val="nil"/>
              <w:left w:val="nil"/>
              <w:bottom w:val="single" w:sz="4" w:space="0" w:color="FFFFFF"/>
              <w:right w:val="single" w:sz="4" w:space="0" w:color="000000"/>
            </w:tcBorders>
            <w:shd w:val="clear" w:color="auto" w:fill="auto"/>
            <w:noWrap/>
            <w:vAlign w:val="center"/>
            <w:hideMark/>
          </w:tcPr>
          <w:p w14:paraId="4FE7E330" w14:textId="3FAE4CC3"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88</w:t>
            </w:r>
            <w:r w:rsidR="00A634AF">
              <w:rPr>
                <w:rFonts w:ascii="Arial" w:eastAsia="Times New Roman" w:hAnsi="Arial" w:cs="Arial"/>
                <w:sz w:val="18"/>
                <w:szCs w:val="18"/>
              </w:rPr>
              <w:t xml:space="preserve"> </w:t>
            </w:r>
            <w:r w:rsidRPr="00E02DD2">
              <w:rPr>
                <w:rFonts w:ascii="Arial" w:eastAsia="Times New Roman" w:hAnsi="Arial" w:cs="Arial"/>
                <w:sz w:val="18"/>
                <w:szCs w:val="18"/>
              </w:rPr>
              <w:t>691</w:t>
            </w:r>
          </w:p>
        </w:tc>
        <w:tc>
          <w:tcPr>
            <w:tcW w:w="940" w:type="dxa"/>
            <w:tcBorders>
              <w:top w:val="nil"/>
              <w:left w:val="nil"/>
              <w:bottom w:val="single" w:sz="4" w:space="0" w:color="FFFFFF"/>
              <w:right w:val="single" w:sz="4" w:space="0" w:color="000000"/>
            </w:tcBorders>
            <w:shd w:val="clear" w:color="auto" w:fill="auto"/>
            <w:noWrap/>
            <w:vAlign w:val="center"/>
            <w:hideMark/>
          </w:tcPr>
          <w:p w14:paraId="0E0396A9"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0.5</w:t>
            </w:r>
          </w:p>
        </w:tc>
        <w:tc>
          <w:tcPr>
            <w:tcW w:w="940" w:type="dxa"/>
            <w:tcBorders>
              <w:top w:val="nil"/>
              <w:left w:val="nil"/>
              <w:bottom w:val="single" w:sz="4" w:space="0" w:color="FFFFFF"/>
              <w:right w:val="single" w:sz="4" w:space="0" w:color="000000"/>
            </w:tcBorders>
            <w:shd w:val="clear" w:color="auto" w:fill="auto"/>
            <w:noWrap/>
            <w:vAlign w:val="center"/>
            <w:hideMark/>
          </w:tcPr>
          <w:p w14:paraId="3AB78C4A"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0.7</w:t>
            </w:r>
          </w:p>
        </w:tc>
      </w:tr>
      <w:tr w:rsidR="00E02DD2" w:rsidRPr="00E02DD2" w14:paraId="7A8EC415" w14:textId="77777777" w:rsidTr="0041288F">
        <w:trPr>
          <w:trHeight w:val="343"/>
        </w:trPr>
        <w:tc>
          <w:tcPr>
            <w:tcW w:w="4673"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0FA07625" w14:textId="77777777" w:rsidR="00E02DD2" w:rsidRPr="00E02DD2" w:rsidRDefault="00E02DD2" w:rsidP="00E02DD2">
            <w:pPr>
              <w:ind w:firstLineChars="200" w:firstLine="361"/>
              <w:rPr>
                <w:rFonts w:ascii="Arial" w:eastAsia="Times New Roman" w:hAnsi="Arial" w:cs="Arial"/>
                <w:b/>
                <w:bCs/>
                <w:sz w:val="18"/>
                <w:szCs w:val="18"/>
              </w:rPr>
            </w:pPr>
            <w:r w:rsidRPr="00E02DD2">
              <w:rPr>
                <w:rFonts w:ascii="Arial" w:eastAsia="Times New Roman" w:hAnsi="Arial" w:cs="Arial"/>
                <w:b/>
                <w:bCs/>
                <w:sz w:val="18"/>
                <w:szCs w:val="18"/>
              </w:rPr>
              <w:t>Servicios</w:t>
            </w:r>
          </w:p>
        </w:tc>
        <w:tc>
          <w:tcPr>
            <w:tcW w:w="1160" w:type="dxa"/>
            <w:tcBorders>
              <w:top w:val="nil"/>
              <w:left w:val="nil"/>
              <w:bottom w:val="single" w:sz="4" w:space="0" w:color="FFFFFF"/>
              <w:right w:val="single" w:sz="4" w:space="0" w:color="000000"/>
            </w:tcBorders>
            <w:shd w:val="clear" w:color="auto" w:fill="auto"/>
            <w:noWrap/>
            <w:vAlign w:val="center"/>
            <w:hideMark/>
          </w:tcPr>
          <w:p w14:paraId="19E11008" w14:textId="0D99F519" w:rsidR="00E02DD2" w:rsidRPr="00E02DD2" w:rsidRDefault="00E02DD2" w:rsidP="00E02DD2">
            <w:pPr>
              <w:jc w:val="right"/>
              <w:rPr>
                <w:rFonts w:ascii="Arial" w:eastAsia="Times New Roman" w:hAnsi="Arial" w:cs="Arial"/>
                <w:b/>
                <w:bCs/>
                <w:sz w:val="18"/>
                <w:szCs w:val="18"/>
              </w:rPr>
            </w:pPr>
            <w:r w:rsidRPr="00E02DD2">
              <w:rPr>
                <w:rFonts w:ascii="Arial" w:eastAsia="Times New Roman" w:hAnsi="Arial" w:cs="Arial"/>
                <w:b/>
                <w:bCs/>
                <w:sz w:val="18"/>
                <w:szCs w:val="18"/>
              </w:rPr>
              <w:t>1</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758</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789</w:t>
            </w:r>
          </w:p>
        </w:tc>
        <w:tc>
          <w:tcPr>
            <w:tcW w:w="1160" w:type="dxa"/>
            <w:tcBorders>
              <w:top w:val="nil"/>
              <w:left w:val="nil"/>
              <w:bottom w:val="single" w:sz="4" w:space="0" w:color="FFFFFF"/>
              <w:right w:val="single" w:sz="4" w:space="0" w:color="000000"/>
            </w:tcBorders>
            <w:shd w:val="clear" w:color="auto" w:fill="auto"/>
            <w:noWrap/>
            <w:vAlign w:val="center"/>
            <w:hideMark/>
          </w:tcPr>
          <w:p w14:paraId="6A30CB49" w14:textId="7833ED59" w:rsidR="00E02DD2" w:rsidRPr="00E02DD2" w:rsidRDefault="00E02DD2" w:rsidP="00E02DD2">
            <w:pPr>
              <w:jc w:val="right"/>
              <w:rPr>
                <w:rFonts w:ascii="Arial" w:eastAsia="Times New Roman" w:hAnsi="Arial" w:cs="Arial"/>
                <w:b/>
                <w:bCs/>
                <w:sz w:val="18"/>
                <w:szCs w:val="18"/>
              </w:rPr>
            </w:pPr>
            <w:r w:rsidRPr="00E02DD2">
              <w:rPr>
                <w:rFonts w:ascii="Arial" w:eastAsia="Times New Roman" w:hAnsi="Arial" w:cs="Arial"/>
                <w:b/>
                <w:bCs/>
                <w:sz w:val="18"/>
                <w:szCs w:val="18"/>
              </w:rPr>
              <w:t>1</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318</w:t>
            </w:r>
            <w:r w:rsidR="00A634AF">
              <w:rPr>
                <w:rFonts w:ascii="Arial" w:eastAsia="Times New Roman" w:hAnsi="Arial" w:cs="Arial"/>
                <w:b/>
                <w:bCs/>
                <w:sz w:val="18"/>
                <w:szCs w:val="18"/>
              </w:rPr>
              <w:t xml:space="preserve"> </w:t>
            </w:r>
            <w:r w:rsidRPr="00E02DD2">
              <w:rPr>
                <w:rFonts w:ascii="Arial" w:eastAsia="Times New Roman" w:hAnsi="Arial" w:cs="Arial"/>
                <w:b/>
                <w:bCs/>
                <w:sz w:val="18"/>
                <w:szCs w:val="18"/>
              </w:rPr>
              <w:t>994</w:t>
            </w:r>
          </w:p>
        </w:tc>
        <w:tc>
          <w:tcPr>
            <w:tcW w:w="940" w:type="dxa"/>
            <w:tcBorders>
              <w:top w:val="nil"/>
              <w:left w:val="nil"/>
              <w:bottom w:val="single" w:sz="4" w:space="0" w:color="FFFFFF"/>
              <w:right w:val="single" w:sz="4" w:space="0" w:color="000000"/>
            </w:tcBorders>
            <w:shd w:val="clear" w:color="auto" w:fill="auto"/>
            <w:noWrap/>
            <w:vAlign w:val="center"/>
            <w:hideMark/>
          </w:tcPr>
          <w:p w14:paraId="6CF39B30" w14:textId="77777777" w:rsidR="00E02DD2" w:rsidRPr="00E02DD2" w:rsidRDefault="00E02DD2" w:rsidP="00E02DD2">
            <w:pPr>
              <w:jc w:val="center"/>
              <w:rPr>
                <w:rFonts w:ascii="Arial" w:eastAsia="Times New Roman" w:hAnsi="Arial" w:cs="Arial"/>
                <w:b/>
                <w:bCs/>
                <w:sz w:val="18"/>
                <w:szCs w:val="18"/>
              </w:rPr>
            </w:pPr>
            <w:r w:rsidRPr="00E02DD2">
              <w:rPr>
                <w:rFonts w:ascii="Arial" w:eastAsia="Times New Roman" w:hAnsi="Arial" w:cs="Arial"/>
                <w:b/>
                <w:bCs/>
                <w:sz w:val="18"/>
                <w:szCs w:val="18"/>
              </w:rPr>
              <w:t>7.6</w:t>
            </w:r>
          </w:p>
        </w:tc>
        <w:tc>
          <w:tcPr>
            <w:tcW w:w="940" w:type="dxa"/>
            <w:tcBorders>
              <w:top w:val="nil"/>
              <w:left w:val="nil"/>
              <w:bottom w:val="single" w:sz="4" w:space="0" w:color="FFFFFF"/>
              <w:right w:val="single" w:sz="4" w:space="0" w:color="000000"/>
            </w:tcBorders>
            <w:shd w:val="clear" w:color="auto" w:fill="auto"/>
            <w:noWrap/>
            <w:vAlign w:val="center"/>
            <w:hideMark/>
          </w:tcPr>
          <w:p w14:paraId="58958150" w14:textId="77777777" w:rsidR="00E02DD2" w:rsidRPr="00E02DD2" w:rsidRDefault="00E02DD2" w:rsidP="00E02DD2">
            <w:pPr>
              <w:jc w:val="center"/>
              <w:rPr>
                <w:rFonts w:ascii="Arial" w:eastAsia="Times New Roman" w:hAnsi="Arial" w:cs="Arial"/>
                <w:b/>
                <w:bCs/>
                <w:sz w:val="18"/>
                <w:szCs w:val="18"/>
              </w:rPr>
            </w:pPr>
            <w:r w:rsidRPr="00E02DD2">
              <w:rPr>
                <w:rFonts w:ascii="Arial" w:eastAsia="Times New Roman" w:hAnsi="Arial" w:cs="Arial"/>
                <w:b/>
                <w:bCs/>
                <w:sz w:val="18"/>
                <w:szCs w:val="18"/>
              </w:rPr>
              <w:t>6.0</w:t>
            </w:r>
          </w:p>
        </w:tc>
      </w:tr>
      <w:tr w:rsidR="00E02DD2" w:rsidRPr="00E02DD2" w14:paraId="07B519E9" w14:textId="77777777" w:rsidTr="0041288F">
        <w:trPr>
          <w:trHeight w:val="204"/>
        </w:trPr>
        <w:tc>
          <w:tcPr>
            <w:tcW w:w="4673" w:type="dxa"/>
            <w:tcBorders>
              <w:top w:val="nil"/>
              <w:left w:val="single" w:sz="4" w:space="0" w:color="auto"/>
              <w:bottom w:val="single" w:sz="4" w:space="0" w:color="FFFFFF"/>
              <w:right w:val="single" w:sz="4" w:space="0" w:color="000000"/>
            </w:tcBorders>
            <w:shd w:val="clear" w:color="auto" w:fill="auto"/>
            <w:vAlign w:val="center"/>
            <w:hideMark/>
          </w:tcPr>
          <w:p w14:paraId="52055AA8" w14:textId="77777777" w:rsidR="00E02DD2" w:rsidRPr="00E02DD2" w:rsidRDefault="00E02DD2" w:rsidP="008B6DD0">
            <w:pPr>
              <w:ind w:left="510"/>
              <w:rPr>
                <w:rFonts w:ascii="Arial" w:eastAsia="Times New Roman" w:hAnsi="Arial" w:cs="Arial"/>
                <w:sz w:val="18"/>
                <w:szCs w:val="18"/>
              </w:rPr>
            </w:pPr>
            <w:r w:rsidRPr="00E02DD2">
              <w:rPr>
                <w:rFonts w:ascii="Arial" w:eastAsia="Times New Roman" w:hAnsi="Arial" w:cs="Arial"/>
                <w:sz w:val="18"/>
                <w:szCs w:val="18"/>
              </w:rPr>
              <w:t>Transporte de pasajeros</w:t>
            </w:r>
          </w:p>
        </w:tc>
        <w:tc>
          <w:tcPr>
            <w:tcW w:w="1160" w:type="dxa"/>
            <w:tcBorders>
              <w:top w:val="nil"/>
              <w:left w:val="nil"/>
              <w:bottom w:val="single" w:sz="4" w:space="0" w:color="FFFFFF"/>
              <w:right w:val="single" w:sz="4" w:space="0" w:color="000000"/>
            </w:tcBorders>
            <w:shd w:val="clear" w:color="auto" w:fill="auto"/>
            <w:noWrap/>
            <w:vAlign w:val="center"/>
            <w:hideMark/>
          </w:tcPr>
          <w:p w14:paraId="3273B0C7" w14:textId="4E02AF6B"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372</w:t>
            </w:r>
            <w:r w:rsidR="00A634AF">
              <w:rPr>
                <w:rFonts w:ascii="Arial" w:eastAsia="Times New Roman" w:hAnsi="Arial" w:cs="Arial"/>
                <w:sz w:val="18"/>
                <w:szCs w:val="18"/>
              </w:rPr>
              <w:t xml:space="preserve"> </w:t>
            </w:r>
            <w:r w:rsidRPr="00E02DD2">
              <w:rPr>
                <w:rFonts w:ascii="Arial" w:eastAsia="Times New Roman" w:hAnsi="Arial" w:cs="Arial"/>
                <w:sz w:val="18"/>
                <w:szCs w:val="18"/>
              </w:rPr>
              <w:t>360</w:t>
            </w:r>
          </w:p>
        </w:tc>
        <w:tc>
          <w:tcPr>
            <w:tcW w:w="1160" w:type="dxa"/>
            <w:tcBorders>
              <w:top w:val="nil"/>
              <w:left w:val="nil"/>
              <w:bottom w:val="single" w:sz="4" w:space="0" w:color="FFFFFF"/>
              <w:right w:val="single" w:sz="4" w:space="0" w:color="000000"/>
            </w:tcBorders>
            <w:shd w:val="clear" w:color="auto" w:fill="auto"/>
            <w:noWrap/>
            <w:vAlign w:val="center"/>
            <w:hideMark/>
          </w:tcPr>
          <w:p w14:paraId="1B51A2A7" w14:textId="628E769F"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221</w:t>
            </w:r>
            <w:r w:rsidR="00A634AF">
              <w:rPr>
                <w:rFonts w:ascii="Arial" w:eastAsia="Times New Roman" w:hAnsi="Arial" w:cs="Arial"/>
                <w:sz w:val="18"/>
                <w:szCs w:val="18"/>
              </w:rPr>
              <w:t xml:space="preserve"> </w:t>
            </w:r>
            <w:r w:rsidRPr="00E02DD2">
              <w:rPr>
                <w:rFonts w:ascii="Arial" w:eastAsia="Times New Roman" w:hAnsi="Arial" w:cs="Arial"/>
                <w:sz w:val="18"/>
                <w:szCs w:val="18"/>
              </w:rPr>
              <w:t>454</w:t>
            </w:r>
          </w:p>
        </w:tc>
        <w:tc>
          <w:tcPr>
            <w:tcW w:w="940" w:type="dxa"/>
            <w:tcBorders>
              <w:top w:val="nil"/>
              <w:left w:val="nil"/>
              <w:bottom w:val="single" w:sz="4" w:space="0" w:color="FFFFFF"/>
              <w:right w:val="single" w:sz="4" w:space="0" w:color="000000"/>
            </w:tcBorders>
            <w:shd w:val="clear" w:color="auto" w:fill="auto"/>
            <w:noWrap/>
            <w:vAlign w:val="center"/>
            <w:hideMark/>
          </w:tcPr>
          <w:p w14:paraId="25D9AAC6"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1.6</w:t>
            </w:r>
          </w:p>
        </w:tc>
        <w:tc>
          <w:tcPr>
            <w:tcW w:w="940" w:type="dxa"/>
            <w:tcBorders>
              <w:top w:val="nil"/>
              <w:left w:val="nil"/>
              <w:bottom w:val="single" w:sz="4" w:space="0" w:color="FFFFFF"/>
              <w:right w:val="single" w:sz="4" w:space="0" w:color="000000"/>
            </w:tcBorders>
            <w:shd w:val="clear" w:color="auto" w:fill="auto"/>
            <w:noWrap/>
            <w:vAlign w:val="center"/>
            <w:hideMark/>
          </w:tcPr>
          <w:p w14:paraId="2A793A0F"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1.0</w:t>
            </w:r>
          </w:p>
        </w:tc>
      </w:tr>
      <w:tr w:rsidR="00E02DD2" w:rsidRPr="00E02DD2" w14:paraId="0A543EA4" w14:textId="77777777" w:rsidTr="0041288F">
        <w:trPr>
          <w:trHeight w:val="263"/>
        </w:trPr>
        <w:tc>
          <w:tcPr>
            <w:tcW w:w="4673" w:type="dxa"/>
            <w:tcBorders>
              <w:top w:val="nil"/>
              <w:left w:val="single" w:sz="4" w:space="0" w:color="auto"/>
              <w:bottom w:val="single" w:sz="4" w:space="0" w:color="FFFFFF"/>
              <w:right w:val="single" w:sz="4" w:space="0" w:color="000000"/>
            </w:tcBorders>
            <w:shd w:val="clear" w:color="auto" w:fill="auto"/>
            <w:vAlign w:val="center"/>
            <w:hideMark/>
          </w:tcPr>
          <w:p w14:paraId="49AFA58F" w14:textId="77777777" w:rsidR="00E02DD2" w:rsidRPr="00E02DD2" w:rsidRDefault="00E02DD2" w:rsidP="00E02DD2">
            <w:pPr>
              <w:ind w:left="510"/>
              <w:rPr>
                <w:rFonts w:ascii="Arial" w:eastAsia="Times New Roman" w:hAnsi="Arial" w:cs="Arial"/>
                <w:sz w:val="18"/>
                <w:szCs w:val="18"/>
              </w:rPr>
            </w:pPr>
            <w:r w:rsidRPr="00E02DD2">
              <w:rPr>
                <w:rFonts w:ascii="Arial" w:eastAsia="Times New Roman" w:hAnsi="Arial" w:cs="Arial"/>
                <w:sz w:val="18"/>
                <w:szCs w:val="18"/>
              </w:rPr>
              <w:t>Restaurantes, bares y centros nocturnos</w:t>
            </w:r>
          </w:p>
        </w:tc>
        <w:tc>
          <w:tcPr>
            <w:tcW w:w="1160" w:type="dxa"/>
            <w:tcBorders>
              <w:top w:val="nil"/>
              <w:left w:val="nil"/>
              <w:bottom w:val="single" w:sz="4" w:space="0" w:color="FFFFFF"/>
              <w:right w:val="single" w:sz="4" w:space="0" w:color="000000"/>
            </w:tcBorders>
            <w:shd w:val="clear" w:color="auto" w:fill="auto"/>
            <w:noWrap/>
            <w:vAlign w:val="center"/>
            <w:hideMark/>
          </w:tcPr>
          <w:p w14:paraId="726F3557" w14:textId="05BE301F"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305</w:t>
            </w:r>
            <w:r w:rsidR="00A634AF">
              <w:rPr>
                <w:rFonts w:ascii="Arial" w:eastAsia="Times New Roman" w:hAnsi="Arial" w:cs="Arial"/>
                <w:sz w:val="18"/>
                <w:szCs w:val="18"/>
              </w:rPr>
              <w:t xml:space="preserve"> </w:t>
            </w:r>
            <w:r w:rsidRPr="00E02DD2">
              <w:rPr>
                <w:rFonts w:ascii="Arial" w:eastAsia="Times New Roman" w:hAnsi="Arial" w:cs="Arial"/>
                <w:sz w:val="18"/>
                <w:szCs w:val="18"/>
              </w:rPr>
              <w:t>830</w:t>
            </w:r>
          </w:p>
        </w:tc>
        <w:tc>
          <w:tcPr>
            <w:tcW w:w="1160" w:type="dxa"/>
            <w:tcBorders>
              <w:top w:val="nil"/>
              <w:left w:val="nil"/>
              <w:bottom w:val="single" w:sz="4" w:space="0" w:color="FFFFFF"/>
              <w:right w:val="single" w:sz="4" w:space="0" w:color="000000"/>
            </w:tcBorders>
            <w:shd w:val="clear" w:color="auto" w:fill="auto"/>
            <w:noWrap/>
            <w:vAlign w:val="center"/>
            <w:hideMark/>
          </w:tcPr>
          <w:p w14:paraId="2F5E3501" w14:textId="03A45308"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215</w:t>
            </w:r>
            <w:r w:rsidR="00A634AF">
              <w:rPr>
                <w:rFonts w:ascii="Arial" w:eastAsia="Times New Roman" w:hAnsi="Arial" w:cs="Arial"/>
                <w:sz w:val="18"/>
                <w:szCs w:val="18"/>
              </w:rPr>
              <w:t xml:space="preserve"> </w:t>
            </w:r>
            <w:r w:rsidRPr="00E02DD2">
              <w:rPr>
                <w:rFonts w:ascii="Arial" w:eastAsia="Times New Roman" w:hAnsi="Arial" w:cs="Arial"/>
                <w:sz w:val="18"/>
                <w:szCs w:val="18"/>
              </w:rPr>
              <w:t>548</w:t>
            </w:r>
          </w:p>
        </w:tc>
        <w:tc>
          <w:tcPr>
            <w:tcW w:w="940" w:type="dxa"/>
            <w:tcBorders>
              <w:top w:val="nil"/>
              <w:left w:val="nil"/>
              <w:bottom w:val="single" w:sz="4" w:space="0" w:color="FFFFFF"/>
              <w:right w:val="single" w:sz="4" w:space="0" w:color="000000"/>
            </w:tcBorders>
            <w:shd w:val="clear" w:color="auto" w:fill="auto"/>
            <w:noWrap/>
            <w:vAlign w:val="center"/>
            <w:hideMark/>
          </w:tcPr>
          <w:p w14:paraId="4C243E81"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1.3</w:t>
            </w:r>
          </w:p>
        </w:tc>
        <w:tc>
          <w:tcPr>
            <w:tcW w:w="940" w:type="dxa"/>
            <w:tcBorders>
              <w:top w:val="nil"/>
              <w:left w:val="nil"/>
              <w:bottom w:val="single" w:sz="4" w:space="0" w:color="FFFFFF"/>
              <w:right w:val="single" w:sz="4" w:space="0" w:color="000000"/>
            </w:tcBorders>
            <w:shd w:val="clear" w:color="auto" w:fill="auto"/>
            <w:noWrap/>
            <w:vAlign w:val="center"/>
            <w:hideMark/>
          </w:tcPr>
          <w:p w14:paraId="257EBE38"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1.0</w:t>
            </w:r>
          </w:p>
        </w:tc>
      </w:tr>
      <w:tr w:rsidR="00E02DD2" w:rsidRPr="00E02DD2" w14:paraId="71DF5567" w14:textId="77777777" w:rsidTr="0041288F">
        <w:trPr>
          <w:trHeight w:val="126"/>
        </w:trPr>
        <w:tc>
          <w:tcPr>
            <w:tcW w:w="4673" w:type="dxa"/>
            <w:tcBorders>
              <w:top w:val="nil"/>
              <w:left w:val="single" w:sz="4" w:space="0" w:color="auto"/>
              <w:bottom w:val="single" w:sz="4" w:space="0" w:color="FFFFFF"/>
              <w:right w:val="single" w:sz="4" w:space="0" w:color="000000"/>
            </w:tcBorders>
            <w:shd w:val="clear" w:color="auto" w:fill="auto"/>
            <w:vAlign w:val="center"/>
            <w:hideMark/>
          </w:tcPr>
          <w:p w14:paraId="5CF3DA51" w14:textId="3D6ADC07" w:rsidR="00E02DD2" w:rsidRPr="00E02DD2" w:rsidRDefault="00E02DD2" w:rsidP="008B6DD0">
            <w:pPr>
              <w:ind w:left="510"/>
              <w:rPr>
                <w:rFonts w:ascii="Arial" w:eastAsia="Times New Roman" w:hAnsi="Arial" w:cs="Arial"/>
                <w:sz w:val="18"/>
                <w:szCs w:val="18"/>
              </w:rPr>
            </w:pPr>
            <w:r w:rsidRPr="00E02DD2">
              <w:rPr>
                <w:rFonts w:ascii="Arial" w:eastAsia="Times New Roman" w:hAnsi="Arial" w:cs="Arial"/>
                <w:sz w:val="18"/>
                <w:szCs w:val="18"/>
              </w:rPr>
              <w:t>Alojamiento para visitantes</w:t>
            </w:r>
            <w:r w:rsidR="0041288F">
              <w:rPr>
                <w:rStyle w:val="Refdenotaalpie"/>
                <w:rFonts w:ascii="Arial" w:eastAsia="Times New Roman" w:hAnsi="Arial" w:cs="Arial"/>
                <w:sz w:val="18"/>
                <w:szCs w:val="18"/>
              </w:rPr>
              <w:footnoteReference w:id="3"/>
            </w:r>
          </w:p>
        </w:tc>
        <w:tc>
          <w:tcPr>
            <w:tcW w:w="1160" w:type="dxa"/>
            <w:tcBorders>
              <w:top w:val="nil"/>
              <w:left w:val="nil"/>
              <w:bottom w:val="single" w:sz="4" w:space="0" w:color="FFFFFF"/>
              <w:right w:val="single" w:sz="4" w:space="0" w:color="000000"/>
            </w:tcBorders>
            <w:shd w:val="clear" w:color="auto" w:fill="auto"/>
            <w:noWrap/>
            <w:vAlign w:val="center"/>
            <w:hideMark/>
          </w:tcPr>
          <w:p w14:paraId="120B2CDF" w14:textId="40FEB8AD"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582</w:t>
            </w:r>
            <w:r w:rsidR="00A634AF">
              <w:rPr>
                <w:rFonts w:ascii="Arial" w:eastAsia="Times New Roman" w:hAnsi="Arial" w:cs="Arial"/>
                <w:sz w:val="18"/>
                <w:szCs w:val="18"/>
              </w:rPr>
              <w:t xml:space="preserve"> </w:t>
            </w:r>
            <w:r w:rsidRPr="00E02DD2">
              <w:rPr>
                <w:rFonts w:ascii="Arial" w:eastAsia="Times New Roman" w:hAnsi="Arial" w:cs="Arial"/>
                <w:sz w:val="18"/>
                <w:szCs w:val="18"/>
              </w:rPr>
              <w:t>523</w:t>
            </w:r>
          </w:p>
        </w:tc>
        <w:tc>
          <w:tcPr>
            <w:tcW w:w="1160" w:type="dxa"/>
            <w:tcBorders>
              <w:top w:val="nil"/>
              <w:left w:val="nil"/>
              <w:bottom w:val="single" w:sz="4" w:space="0" w:color="FFFFFF"/>
              <w:right w:val="single" w:sz="4" w:space="0" w:color="000000"/>
            </w:tcBorders>
            <w:shd w:val="clear" w:color="auto" w:fill="auto"/>
            <w:noWrap/>
            <w:vAlign w:val="center"/>
            <w:hideMark/>
          </w:tcPr>
          <w:p w14:paraId="51C51983" w14:textId="1BC5E130"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509</w:t>
            </w:r>
            <w:r w:rsidR="00A634AF">
              <w:rPr>
                <w:rFonts w:ascii="Arial" w:eastAsia="Times New Roman" w:hAnsi="Arial" w:cs="Arial"/>
                <w:sz w:val="18"/>
                <w:szCs w:val="18"/>
              </w:rPr>
              <w:t xml:space="preserve"> </w:t>
            </w:r>
            <w:r w:rsidRPr="00E02DD2">
              <w:rPr>
                <w:rFonts w:ascii="Arial" w:eastAsia="Times New Roman" w:hAnsi="Arial" w:cs="Arial"/>
                <w:sz w:val="18"/>
                <w:szCs w:val="18"/>
              </w:rPr>
              <w:t>002</w:t>
            </w:r>
          </w:p>
        </w:tc>
        <w:tc>
          <w:tcPr>
            <w:tcW w:w="940" w:type="dxa"/>
            <w:tcBorders>
              <w:top w:val="nil"/>
              <w:left w:val="nil"/>
              <w:bottom w:val="single" w:sz="4" w:space="0" w:color="FFFFFF"/>
              <w:right w:val="single" w:sz="4" w:space="0" w:color="000000"/>
            </w:tcBorders>
            <w:shd w:val="clear" w:color="auto" w:fill="auto"/>
            <w:noWrap/>
            <w:vAlign w:val="center"/>
            <w:hideMark/>
          </w:tcPr>
          <w:p w14:paraId="1170A0C4"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2.5</w:t>
            </w:r>
          </w:p>
        </w:tc>
        <w:tc>
          <w:tcPr>
            <w:tcW w:w="940" w:type="dxa"/>
            <w:tcBorders>
              <w:top w:val="nil"/>
              <w:left w:val="nil"/>
              <w:bottom w:val="single" w:sz="4" w:space="0" w:color="FFFFFF"/>
              <w:right w:val="single" w:sz="4" w:space="0" w:color="000000"/>
            </w:tcBorders>
            <w:shd w:val="clear" w:color="auto" w:fill="auto"/>
            <w:noWrap/>
            <w:vAlign w:val="center"/>
            <w:hideMark/>
          </w:tcPr>
          <w:p w14:paraId="28D44171"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2.3</w:t>
            </w:r>
          </w:p>
        </w:tc>
      </w:tr>
      <w:tr w:rsidR="00E02DD2" w:rsidRPr="00E02DD2" w14:paraId="3450A824" w14:textId="77777777" w:rsidTr="0041288F">
        <w:trPr>
          <w:trHeight w:val="273"/>
        </w:trPr>
        <w:tc>
          <w:tcPr>
            <w:tcW w:w="4673" w:type="dxa"/>
            <w:tcBorders>
              <w:top w:val="nil"/>
              <w:left w:val="single" w:sz="4" w:space="0" w:color="auto"/>
              <w:bottom w:val="single" w:sz="4" w:space="0" w:color="FFFFFF"/>
              <w:right w:val="single" w:sz="4" w:space="0" w:color="000000"/>
            </w:tcBorders>
            <w:shd w:val="clear" w:color="auto" w:fill="auto"/>
            <w:vAlign w:val="center"/>
            <w:hideMark/>
          </w:tcPr>
          <w:p w14:paraId="1FDC49F4" w14:textId="77777777" w:rsidR="00E02DD2" w:rsidRPr="00E02DD2" w:rsidRDefault="00E02DD2" w:rsidP="008B6DD0">
            <w:pPr>
              <w:ind w:left="510"/>
              <w:rPr>
                <w:rFonts w:ascii="Arial" w:eastAsia="Times New Roman" w:hAnsi="Arial" w:cs="Arial"/>
                <w:sz w:val="18"/>
                <w:szCs w:val="18"/>
              </w:rPr>
            </w:pPr>
            <w:r w:rsidRPr="00E02DD2">
              <w:rPr>
                <w:rFonts w:ascii="Arial" w:eastAsia="Times New Roman" w:hAnsi="Arial" w:cs="Arial"/>
                <w:sz w:val="18"/>
                <w:szCs w:val="18"/>
              </w:rPr>
              <w:t>Agencias de viajes y otros servicios de reservas</w:t>
            </w:r>
          </w:p>
        </w:tc>
        <w:tc>
          <w:tcPr>
            <w:tcW w:w="1160" w:type="dxa"/>
            <w:tcBorders>
              <w:top w:val="nil"/>
              <w:left w:val="nil"/>
              <w:bottom w:val="single" w:sz="4" w:space="0" w:color="FFFFFF"/>
              <w:right w:val="single" w:sz="4" w:space="0" w:color="000000"/>
            </w:tcBorders>
            <w:shd w:val="clear" w:color="auto" w:fill="auto"/>
            <w:noWrap/>
            <w:vAlign w:val="center"/>
            <w:hideMark/>
          </w:tcPr>
          <w:p w14:paraId="610DE117" w14:textId="15892DDB"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14</w:t>
            </w:r>
            <w:r w:rsidR="00A634AF">
              <w:rPr>
                <w:rFonts w:ascii="Arial" w:eastAsia="Times New Roman" w:hAnsi="Arial" w:cs="Arial"/>
                <w:sz w:val="18"/>
                <w:szCs w:val="18"/>
              </w:rPr>
              <w:t xml:space="preserve"> </w:t>
            </w:r>
            <w:r w:rsidRPr="00E02DD2">
              <w:rPr>
                <w:rFonts w:ascii="Arial" w:eastAsia="Times New Roman" w:hAnsi="Arial" w:cs="Arial"/>
                <w:sz w:val="18"/>
                <w:szCs w:val="18"/>
              </w:rPr>
              <w:t>213</w:t>
            </w:r>
          </w:p>
        </w:tc>
        <w:tc>
          <w:tcPr>
            <w:tcW w:w="1160" w:type="dxa"/>
            <w:tcBorders>
              <w:top w:val="nil"/>
              <w:left w:val="nil"/>
              <w:bottom w:val="single" w:sz="4" w:space="0" w:color="FFFFFF"/>
              <w:right w:val="single" w:sz="4" w:space="0" w:color="000000"/>
            </w:tcBorders>
            <w:shd w:val="clear" w:color="auto" w:fill="auto"/>
            <w:noWrap/>
            <w:vAlign w:val="center"/>
            <w:hideMark/>
          </w:tcPr>
          <w:p w14:paraId="6C812C2F" w14:textId="72010494"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6</w:t>
            </w:r>
            <w:r w:rsidR="00A634AF">
              <w:rPr>
                <w:rFonts w:ascii="Arial" w:eastAsia="Times New Roman" w:hAnsi="Arial" w:cs="Arial"/>
                <w:sz w:val="18"/>
                <w:szCs w:val="18"/>
              </w:rPr>
              <w:t xml:space="preserve"> </w:t>
            </w:r>
            <w:r w:rsidRPr="00E02DD2">
              <w:rPr>
                <w:rFonts w:ascii="Arial" w:eastAsia="Times New Roman" w:hAnsi="Arial" w:cs="Arial"/>
                <w:sz w:val="18"/>
                <w:szCs w:val="18"/>
              </w:rPr>
              <w:t>123</w:t>
            </w:r>
          </w:p>
        </w:tc>
        <w:tc>
          <w:tcPr>
            <w:tcW w:w="940" w:type="dxa"/>
            <w:tcBorders>
              <w:top w:val="nil"/>
              <w:left w:val="nil"/>
              <w:bottom w:val="single" w:sz="4" w:space="0" w:color="FFFFFF"/>
              <w:right w:val="single" w:sz="4" w:space="0" w:color="000000"/>
            </w:tcBorders>
            <w:shd w:val="clear" w:color="auto" w:fill="auto"/>
            <w:noWrap/>
            <w:vAlign w:val="center"/>
            <w:hideMark/>
          </w:tcPr>
          <w:p w14:paraId="3288F871"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0.1</w:t>
            </w:r>
          </w:p>
        </w:tc>
        <w:tc>
          <w:tcPr>
            <w:tcW w:w="940" w:type="dxa"/>
            <w:tcBorders>
              <w:top w:val="nil"/>
              <w:left w:val="nil"/>
              <w:bottom w:val="single" w:sz="4" w:space="0" w:color="FFFFFF"/>
              <w:right w:val="single" w:sz="4" w:space="0" w:color="000000"/>
            </w:tcBorders>
            <w:shd w:val="clear" w:color="auto" w:fill="auto"/>
            <w:noWrap/>
            <w:vAlign w:val="center"/>
            <w:hideMark/>
          </w:tcPr>
          <w:p w14:paraId="4BAFDA25" w14:textId="35352213" w:rsidR="00E02DD2" w:rsidRPr="008D1D78" w:rsidRDefault="008D1D78" w:rsidP="00E02DD2">
            <w:pPr>
              <w:jc w:val="center"/>
              <w:rPr>
                <w:rFonts w:ascii="Arial" w:eastAsia="Times New Roman" w:hAnsi="Arial" w:cs="Arial"/>
                <w:sz w:val="18"/>
                <w:szCs w:val="18"/>
              </w:rPr>
            </w:pPr>
            <w:r w:rsidRPr="008D1D78">
              <w:rPr>
                <w:rFonts w:ascii="Arial" w:eastAsia="Times New Roman" w:hAnsi="Arial" w:cs="Arial"/>
                <w:sz w:val="18"/>
                <w:szCs w:val="18"/>
              </w:rPr>
              <w:t>NS</w:t>
            </w:r>
          </w:p>
        </w:tc>
      </w:tr>
      <w:tr w:rsidR="00E02DD2" w:rsidRPr="00E02DD2" w14:paraId="68413107" w14:textId="77777777" w:rsidTr="0041288F">
        <w:trPr>
          <w:trHeight w:val="135"/>
        </w:trPr>
        <w:tc>
          <w:tcPr>
            <w:tcW w:w="4673" w:type="dxa"/>
            <w:tcBorders>
              <w:top w:val="nil"/>
              <w:left w:val="single" w:sz="4" w:space="0" w:color="auto"/>
              <w:bottom w:val="single" w:sz="4" w:space="0" w:color="FFFFFF"/>
              <w:right w:val="single" w:sz="4" w:space="0" w:color="000000"/>
            </w:tcBorders>
            <w:shd w:val="clear" w:color="auto" w:fill="auto"/>
            <w:vAlign w:val="center"/>
            <w:hideMark/>
          </w:tcPr>
          <w:p w14:paraId="154F39BC" w14:textId="77777777" w:rsidR="00E02DD2" w:rsidRPr="00E02DD2" w:rsidRDefault="00E02DD2" w:rsidP="008B6DD0">
            <w:pPr>
              <w:ind w:left="510"/>
              <w:rPr>
                <w:rFonts w:ascii="Arial" w:eastAsia="Times New Roman" w:hAnsi="Arial" w:cs="Arial"/>
                <w:sz w:val="18"/>
                <w:szCs w:val="18"/>
              </w:rPr>
            </w:pPr>
            <w:r w:rsidRPr="00E02DD2">
              <w:rPr>
                <w:rFonts w:ascii="Arial" w:eastAsia="Times New Roman" w:hAnsi="Arial" w:cs="Arial"/>
                <w:sz w:val="18"/>
                <w:szCs w:val="18"/>
              </w:rPr>
              <w:t>Comercio turístico</w:t>
            </w:r>
          </w:p>
        </w:tc>
        <w:tc>
          <w:tcPr>
            <w:tcW w:w="1160" w:type="dxa"/>
            <w:tcBorders>
              <w:top w:val="nil"/>
              <w:left w:val="nil"/>
              <w:bottom w:val="single" w:sz="4" w:space="0" w:color="FFFFFF"/>
              <w:right w:val="single" w:sz="4" w:space="0" w:color="000000"/>
            </w:tcBorders>
            <w:shd w:val="clear" w:color="auto" w:fill="auto"/>
            <w:noWrap/>
            <w:vAlign w:val="center"/>
            <w:hideMark/>
          </w:tcPr>
          <w:p w14:paraId="1B668DCF" w14:textId="00EEF22A"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155</w:t>
            </w:r>
            <w:r w:rsidR="00A634AF">
              <w:rPr>
                <w:rFonts w:ascii="Arial" w:eastAsia="Times New Roman" w:hAnsi="Arial" w:cs="Arial"/>
                <w:sz w:val="18"/>
                <w:szCs w:val="18"/>
              </w:rPr>
              <w:t xml:space="preserve"> </w:t>
            </w:r>
            <w:r w:rsidRPr="00E02DD2">
              <w:rPr>
                <w:rFonts w:ascii="Arial" w:eastAsia="Times New Roman" w:hAnsi="Arial" w:cs="Arial"/>
                <w:sz w:val="18"/>
                <w:szCs w:val="18"/>
              </w:rPr>
              <w:t>253</w:t>
            </w:r>
          </w:p>
        </w:tc>
        <w:tc>
          <w:tcPr>
            <w:tcW w:w="1160" w:type="dxa"/>
            <w:tcBorders>
              <w:top w:val="nil"/>
              <w:left w:val="nil"/>
              <w:bottom w:val="single" w:sz="4" w:space="0" w:color="FFFFFF"/>
              <w:right w:val="single" w:sz="4" w:space="0" w:color="000000"/>
            </w:tcBorders>
            <w:shd w:val="clear" w:color="auto" w:fill="auto"/>
            <w:noWrap/>
            <w:vAlign w:val="center"/>
            <w:hideMark/>
          </w:tcPr>
          <w:p w14:paraId="485AEDA1" w14:textId="6C6D8F99"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117</w:t>
            </w:r>
            <w:r w:rsidR="00A634AF">
              <w:rPr>
                <w:rFonts w:ascii="Arial" w:eastAsia="Times New Roman" w:hAnsi="Arial" w:cs="Arial"/>
                <w:sz w:val="18"/>
                <w:szCs w:val="18"/>
              </w:rPr>
              <w:t xml:space="preserve"> </w:t>
            </w:r>
            <w:r w:rsidRPr="00E02DD2">
              <w:rPr>
                <w:rFonts w:ascii="Arial" w:eastAsia="Times New Roman" w:hAnsi="Arial" w:cs="Arial"/>
                <w:sz w:val="18"/>
                <w:szCs w:val="18"/>
              </w:rPr>
              <w:t>402</w:t>
            </w:r>
          </w:p>
        </w:tc>
        <w:tc>
          <w:tcPr>
            <w:tcW w:w="940" w:type="dxa"/>
            <w:tcBorders>
              <w:top w:val="nil"/>
              <w:left w:val="nil"/>
              <w:bottom w:val="single" w:sz="4" w:space="0" w:color="FFFFFF"/>
              <w:right w:val="single" w:sz="4" w:space="0" w:color="000000"/>
            </w:tcBorders>
            <w:shd w:val="clear" w:color="auto" w:fill="auto"/>
            <w:noWrap/>
            <w:vAlign w:val="center"/>
            <w:hideMark/>
          </w:tcPr>
          <w:p w14:paraId="635B1280"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0.7</w:t>
            </w:r>
          </w:p>
        </w:tc>
        <w:tc>
          <w:tcPr>
            <w:tcW w:w="940" w:type="dxa"/>
            <w:tcBorders>
              <w:top w:val="nil"/>
              <w:left w:val="nil"/>
              <w:bottom w:val="single" w:sz="4" w:space="0" w:color="FFFFFF"/>
              <w:right w:val="single" w:sz="4" w:space="0" w:color="000000"/>
            </w:tcBorders>
            <w:shd w:val="clear" w:color="auto" w:fill="auto"/>
            <w:noWrap/>
            <w:vAlign w:val="center"/>
            <w:hideMark/>
          </w:tcPr>
          <w:p w14:paraId="37E1B09C"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0.5</w:t>
            </w:r>
          </w:p>
        </w:tc>
      </w:tr>
      <w:tr w:rsidR="00E02DD2" w:rsidRPr="00E02DD2" w14:paraId="1AD6EC7B" w14:textId="77777777" w:rsidTr="0041288F">
        <w:trPr>
          <w:trHeight w:val="195"/>
        </w:trPr>
        <w:tc>
          <w:tcPr>
            <w:tcW w:w="4673" w:type="dxa"/>
            <w:tcBorders>
              <w:top w:val="nil"/>
              <w:left w:val="single" w:sz="4" w:space="0" w:color="auto"/>
              <w:bottom w:val="single" w:sz="4" w:space="0" w:color="FFFFFF"/>
              <w:right w:val="single" w:sz="4" w:space="0" w:color="000000"/>
            </w:tcBorders>
            <w:shd w:val="clear" w:color="auto" w:fill="auto"/>
            <w:vAlign w:val="center"/>
            <w:hideMark/>
          </w:tcPr>
          <w:p w14:paraId="2802CA03" w14:textId="77777777" w:rsidR="00E02DD2" w:rsidRPr="00E02DD2" w:rsidRDefault="00E02DD2" w:rsidP="008B6DD0">
            <w:pPr>
              <w:ind w:left="510"/>
              <w:rPr>
                <w:rFonts w:ascii="Arial" w:eastAsia="Times New Roman" w:hAnsi="Arial" w:cs="Arial"/>
                <w:sz w:val="18"/>
                <w:szCs w:val="18"/>
              </w:rPr>
            </w:pPr>
            <w:r w:rsidRPr="00E02DD2">
              <w:rPr>
                <w:rFonts w:ascii="Arial" w:eastAsia="Times New Roman" w:hAnsi="Arial" w:cs="Arial"/>
                <w:sz w:val="18"/>
                <w:szCs w:val="18"/>
              </w:rPr>
              <w:t>Servicios culturales</w:t>
            </w:r>
          </w:p>
        </w:tc>
        <w:tc>
          <w:tcPr>
            <w:tcW w:w="1160" w:type="dxa"/>
            <w:tcBorders>
              <w:top w:val="nil"/>
              <w:left w:val="nil"/>
              <w:bottom w:val="single" w:sz="4" w:space="0" w:color="FFFFFF"/>
              <w:right w:val="single" w:sz="4" w:space="0" w:color="000000"/>
            </w:tcBorders>
            <w:shd w:val="clear" w:color="auto" w:fill="auto"/>
            <w:noWrap/>
            <w:vAlign w:val="center"/>
            <w:hideMark/>
          </w:tcPr>
          <w:p w14:paraId="0E0CA138" w14:textId="77762A08"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19</w:t>
            </w:r>
            <w:r w:rsidR="00A634AF">
              <w:rPr>
                <w:rFonts w:ascii="Arial" w:eastAsia="Times New Roman" w:hAnsi="Arial" w:cs="Arial"/>
                <w:sz w:val="18"/>
                <w:szCs w:val="18"/>
              </w:rPr>
              <w:t xml:space="preserve"> </w:t>
            </w:r>
            <w:r w:rsidRPr="00E02DD2">
              <w:rPr>
                <w:rFonts w:ascii="Arial" w:eastAsia="Times New Roman" w:hAnsi="Arial" w:cs="Arial"/>
                <w:sz w:val="18"/>
                <w:szCs w:val="18"/>
              </w:rPr>
              <w:t>693</w:t>
            </w:r>
          </w:p>
        </w:tc>
        <w:tc>
          <w:tcPr>
            <w:tcW w:w="1160" w:type="dxa"/>
            <w:tcBorders>
              <w:top w:val="nil"/>
              <w:left w:val="nil"/>
              <w:bottom w:val="single" w:sz="4" w:space="0" w:color="FFFFFF"/>
              <w:right w:val="single" w:sz="4" w:space="0" w:color="000000"/>
            </w:tcBorders>
            <w:shd w:val="clear" w:color="auto" w:fill="auto"/>
            <w:noWrap/>
            <w:vAlign w:val="center"/>
            <w:hideMark/>
          </w:tcPr>
          <w:p w14:paraId="1591A9CD" w14:textId="026E6BCD"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13</w:t>
            </w:r>
            <w:r w:rsidR="00A634AF">
              <w:rPr>
                <w:rFonts w:ascii="Arial" w:eastAsia="Times New Roman" w:hAnsi="Arial" w:cs="Arial"/>
                <w:sz w:val="18"/>
                <w:szCs w:val="18"/>
              </w:rPr>
              <w:t xml:space="preserve"> </w:t>
            </w:r>
            <w:r w:rsidRPr="00E02DD2">
              <w:rPr>
                <w:rFonts w:ascii="Arial" w:eastAsia="Times New Roman" w:hAnsi="Arial" w:cs="Arial"/>
                <w:sz w:val="18"/>
                <w:szCs w:val="18"/>
              </w:rPr>
              <w:t>483</w:t>
            </w:r>
          </w:p>
        </w:tc>
        <w:tc>
          <w:tcPr>
            <w:tcW w:w="940" w:type="dxa"/>
            <w:tcBorders>
              <w:top w:val="nil"/>
              <w:left w:val="nil"/>
              <w:bottom w:val="single" w:sz="4" w:space="0" w:color="FFFFFF"/>
              <w:right w:val="single" w:sz="4" w:space="0" w:color="000000"/>
            </w:tcBorders>
            <w:shd w:val="clear" w:color="auto" w:fill="auto"/>
            <w:noWrap/>
            <w:vAlign w:val="center"/>
            <w:hideMark/>
          </w:tcPr>
          <w:p w14:paraId="102BE9C1"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0.1</w:t>
            </w:r>
          </w:p>
        </w:tc>
        <w:tc>
          <w:tcPr>
            <w:tcW w:w="940" w:type="dxa"/>
            <w:tcBorders>
              <w:top w:val="nil"/>
              <w:left w:val="nil"/>
              <w:bottom w:val="single" w:sz="4" w:space="0" w:color="FFFFFF"/>
              <w:right w:val="single" w:sz="4" w:space="0" w:color="000000"/>
            </w:tcBorders>
            <w:shd w:val="clear" w:color="auto" w:fill="auto"/>
            <w:noWrap/>
            <w:vAlign w:val="center"/>
            <w:hideMark/>
          </w:tcPr>
          <w:p w14:paraId="7FB34124"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0.1</w:t>
            </w:r>
          </w:p>
        </w:tc>
      </w:tr>
      <w:tr w:rsidR="00E02DD2" w:rsidRPr="00E02DD2" w14:paraId="237E5455" w14:textId="77777777" w:rsidTr="0041288F">
        <w:trPr>
          <w:trHeight w:val="128"/>
        </w:trPr>
        <w:tc>
          <w:tcPr>
            <w:tcW w:w="4673" w:type="dxa"/>
            <w:tcBorders>
              <w:top w:val="nil"/>
              <w:left w:val="single" w:sz="4" w:space="0" w:color="auto"/>
              <w:bottom w:val="single" w:sz="4" w:space="0" w:color="FFFFFF"/>
              <w:right w:val="single" w:sz="4" w:space="0" w:color="000000"/>
            </w:tcBorders>
            <w:shd w:val="clear" w:color="auto" w:fill="auto"/>
            <w:vAlign w:val="center"/>
            <w:hideMark/>
          </w:tcPr>
          <w:p w14:paraId="423ADB76" w14:textId="77777777" w:rsidR="00E02DD2" w:rsidRPr="00E02DD2" w:rsidRDefault="00E02DD2" w:rsidP="008B6DD0">
            <w:pPr>
              <w:ind w:left="510"/>
              <w:rPr>
                <w:rFonts w:ascii="Arial" w:eastAsia="Times New Roman" w:hAnsi="Arial" w:cs="Arial"/>
                <w:sz w:val="18"/>
                <w:szCs w:val="18"/>
              </w:rPr>
            </w:pPr>
            <w:r w:rsidRPr="00E02DD2">
              <w:rPr>
                <w:rFonts w:ascii="Arial" w:eastAsia="Times New Roman" w:hAnsi="Arial" w:cs="Arial"/>
                <w:sz w:val="18"/>
                <w:szCs w:val="18"/>
              </w:rPr>
              <w:t>Servicios deportivos y recreativos</w:t>
            </w:r>
          </w:p>
        </w:tc>
        <w:tc>
          <w:tcPr>
            <w:tcW w:w="1160" w:type="dxa"/>
            <w:tcBorders>
              <w:top w:val="nil"/>
              <w:left w:val="nil"/>
              <w:bottom w:val="single" w:sz="4" w:space="0" w:color="FFFFFF"/>
              <w:right w:val="single" w:sz="4" w:space="0" w:color="000000"/>
            </w:tcBorders>
            <w:shd w:val="clear" w:color="auto" w:fill="auto"/>
            <w:noWrap/>
            <w:vAlign w:val="center"/>
            <w:hideMark/>
          </w:tcPr>
          <w:p w14:paraId="67022138" w14:textId="6A101F6E"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19</w:t>
            </w:r>
            <w:r w:rsidR="00A634AF">
              <w:rPr>
                <w:rFonts w:ascii="Arial" w:eastAsia="Times New Roman" w:hAnsi="Arial" w:cs="Arial"/>
                <w:sz w:val="18"/>
                <w:szCs w:val="18"/>
              </w:rPr>
              <w:t xml:space="preserve"> </w:t>
            </w:r>
            <w:r w:rsidRPr="00E02DD2">
              <w:rPr>
                <w:rFonts w:ascii="Arial" w:eastAsia="Times New Roman" w:hAnsi="Arial" w:cs="Arial"/>
                <w:sz w:val="18"/>
                <w:szCs w:val="18"/>
              </w:rPr>
              <w:t>090</w:t>
            </w:r>
          </w:p>
        </w:tc>
        <w:tc>
          <w:tcPr>
            <w:tcW w:w="1160" w:type="dxa"/>
            <w:tcBorders>
              <w:top w:val="nil"/>
              <w:left w:val="nil"/>
              <w:bottom w:val="single" w:sz="4" w:space="0" w:color="FFFFFF"/>
              <w:right w:val="single" w:sz="4" w:space="0" w:color="000000"/>
            </w:tcBorders>
            <w:shd w:val="clear" w:color="auto" w:fill="auto"/>
            <w:noWrap/>
            <w:vAlign w:val="center"/>
            <w:hideMark/>
          </w:tcPr>
          <w:p w14:paraId="57C15C00" w14:textId="2F78B338"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9</w:t>
            </w:r>
            <w:r w:rsidR="00A634AF">
              <w:rPr>
                <w:rFonts w:ascii="Arial" w:eastAsia="Times New Roman" w:hAnsi="Arial" w:cs="Arial"/>
                <w:sz w:val="18"/>
                <w:szCs w:val="18"/>
              </w:rPr>
              <w:t xml:space="preserve"> </w:t>
            </w:r>
            <w:r w:rsidRPr="00E02DD2">
              <w:rPr>
                <w:rFonts w:ascii="Arial" w:eastAsia="Times New Roman" w:hAnsi="Arial" w:cs="Arial"/>
                <w:sz w:val="18"/>
                <w:szCs w:val="18"/>
              </w:rPr>
              <w:t>731</w:t>
            </w:r>
          </w:p>
        </w:tc>
        <w:tc>
          <w:tcPr>
            <w:tcW w:w="940" w:type="dxa"/>
            <w:tcBorders>
              <w:top w:val="nil"/>
              <w:left w:val="nil"/>
              <w:bottom w:val="single" w:sz="4" w:space="0" w:color="FFFFFF"/>
              <w:right w:val="single" w:sz="4" w:space="0" w:color="000000"/>
            </w:tcBorders>
            <w:shd w:val="clear" w:color="auto" w:fill="auto"/>
            <w:noWrap/>
            <w:vAlign w:val="center"/>
            <w:hideMark/>
          </w:tcPr>
          <w:p w14:paraId="2FF3531A"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0.1</w:t>
            </w:r>
          </w:p>
        </w:tc>
        <w:tc>
          <w:tcPr>
            <w:tcW w:w="940" w:type="dxa"/>
            <w:tcBorders>
              <w:top w:val="nil"/>
              <w:left w:val="nil"/>
              <w:bottom w:val="single" w:sz="4" w:space="0" w:color="FFFFFF"/>
              <w:right w:val="single" w:sz="4" w:space="0" w:color="000000"/>
            </w:tcBorders>
            <w:shd w:val="clear" w:color="auto" w:fill="auto"/>
            <w:noWrap/>
            <w:vAlign w:val="center"/>
            <w:hideMark/>
          </w:tcPr>
          <w:p w14:paraId="24C7E3E3" w14:textId="2109BE7E" w:rsidR="00E02DD2" w:rsidRPr="008D1D78" w:rsidRDefault="008D1D78" w:rsidP="00E02DD2">
            <w:pPr>
              <w:jc w:val="center"/>
              <w:rPr>
                <w:rFonts w:ascii="Arial" w:eastAsia="Times New Roman" w:hAnsi="Arial" w:cs="Arial"/>
                <w:sz w:val="18"/>
                <w:szCs w:val="18"/>
              </w:rPr>
            </w:pPr>
            <w:r w:rsidRPr="008D1D78">
              <w:rPr>
                <w:rFonts w:ascii="Arial" w:eastAsia="Times New Roman" w:hAnsi="Arial" w:cs="Arial"/>
                <w:sz w:val="18"/>
                <w:szCs w:val="18"/>
              </w:rPr>
              <w:t>NS</w:t>
            </w:r>
          </w:p>
        </w:tc>
      </w:tr>
      <w:tr w:rsidR="00E02DD2" w:rsidRPr="00E02DD2" w14:paraId="01F0FADC" w14:textId="77777777" w:rsidTr="0041288F">
        <w:trPr>
          <w:trHeight w:val="187"/>
        </w:trPr>
        <w:tc>
          <w:tcPr>
            <w:tcW w:w="4673" w:type="dxa"/>
            <w:tcBorders>
              <w:top w:val="nil"/>
              <w:left w:val="single" w:sz="4" w:space="0" w:color="auto"/>
              <w:bottom w:val="single" w:sz="4" w:space="0" w:color="auto"/>
              <w:right w:val="single" w:sz="4" w:space="0" w:color="000000"/>
            </w:tcBorders>
            <w:shd w:val="clear" w:color="auto" w:fill="auto"/>
            <w:vAlign w:val="center"/>
            <w:hideMark/>
          </w:tcPr>
          <w:p w14:paraId="407604B0" w14:textId="77777777" w:rsidR="00E02DD2" w:rsidRPr="00E02DD2" w:rsidRDefault="00E02DD2" w:rsidP="008B6DD0">
            <w:pPr>
              <w:ind w:left="510"/>
              <w:rPr>
                <w:rFonts w:ascii="Arial" w:eastAsia="Times New Roman" w:hAnsi="Arial" w:cs="Arial"/>
                <w:sz w:val="18"/>
                <w:szCs w:val="18"/>
              </w:rPr>
            </w:pPr>
            <w:r w:rsidRPr="00E02DD2">
              <w:rPr>
                <w:rFonts w:ascii="Arial" w:eastAsia="Times New Roman" w:hAnsi="Arial" w:cs="Arial"/>
                <w:sz w:val="18"/>
                <w:szCs w:val="18"/>
              </w:rPr>
              <w:t>Otros servicios</w:t>
            </w:r>
          </w:p>
        </w:tc>
        <w:tc>
          <w:tcPr>
            <w:tcW w:w="1160" w:type="dxa"/>
            <w:tcBorders>
              <w:top w:val="nil"/>
              <w:left w:val="nil"/>
              <w:bottom w:val="single" w:sz="4" w:space="0" w:color="auto"/>
              <w:right w:val="single" w:sz="4" w:space="0" w:color="000000"/>
            </w:tcBorders>
            <w:shd w:val="clear" w:color="auto" w:fill="auto"/>
            <w:noWrap/>
            <w:vAlign w:val="center"/>
            <w:hideMark/>
          </w:tcPr>
          <w:p w14:paraId="0A9EBC8A" w14:textId="2232B1A6"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289</w:t>
            </w:r>
            <w:r w:rsidR="00A634AF">
              <w:rPr>
                <w:rFonts w:ascii="Arial" w:eastAsia="Times New Roman" w:hAnsi="Arial" w:cs="Arial"/>
                <w:sz w:val="18"/>
                <w:szCs w:val="18"/>
              </w:rPr>
              <w:t xml:space="preserve"> </w:t>
            </w:r>
            <w:r w:rsidRPr="00E02DD2">
              <w:rPr>
                <w:rFonts w:ascii="Arial" w:eastAsia="Times New Roman" w:hAnsi="Arial" w:cs="Arial"/>
                <w:sz w:val="18"/>
                <w:szCs w:val="18"/>
              </w:rPr>
              <w:t>826</w:t>
            </w:r>
          </w:p>
        </w:tc>
        <w:tc>
          <w:tcPr>
            <w:tcW w:w="1160" w:type="dxa"/>
            <w:tcBorders>
              <w:top w:val="nil"/>
              <w:left w:val="nil"/>
              <w:bottom w:val="single" w:sz="4" w:space="0" w:color="auto"/>
              <w:right w:val="single" w:sz="4" w:space="0" w:color="000000"/>
            </w:tcBorders>
            <w:shd w:val="clear" w:color="auto" w:fill="auto"/>
            <w:noWrap/>
            <w:vAlign w:val="center"/>
            <w:hideMark/>
          </w:tcPr>
          <w:p w14:paraId="06B3C37E" w14:textId="0608037A" w:rsidR="00E02DD2" w:rsidRPr="00E02DD2" w:rsidRDefault="00E02DD2" w:rsidP="00E02DD2">
            <w:pPr>
              <w:jc w:val="right"/>
              <w:rPr>
                <w:rFonts w:ascii="Arial" w:eastAsia="Times New Roman" w:hAnsi="Arial" w:cs="Arial"/>
                <w:sz w:val="18"/>
                <w:szCs w:val="18"/>
              </w:rPr>
            </w:pPr>
            <w:r w:rsidRPr="00E02DD2">
              <w:rPr>
                <w:rFonts w:ascii="Arial" w:eastAsia="Times New Roman" w:hAnsi="Arial" w:cs="Arial"/>
                <w:sz w:val="18"/>
                <w:szCs w:val="18"/>
              </w:rPr>
              <w:t>226</w:t>
            </w:r>
            <w:r w:rsidR="00A634AF">
              <w:rPr>
                <w:rFonts w:ascii="Arial" w:eastAsia="Times New Roman" w:hAnsi="Arial" w:cs="Arial"/>
                <w:sz w:val="18"/>
                <w:szCs w:val="18"/>
              </w:rPr>
              <w:t xml:space="preserve"> </w:t>
            </w:r>
            <w:r w:rsidRPr="00E02DD2">
              <w:rPr>
                <w:rFonts w:ascii="Arial" w:eastAsia="Times New Roman" w:hAnsi="Arial" w:cs="Arial"/>
                <w:sz w:val="18"/>
                <w:szCs w:val="18"/>
              </w:rPr>
              <w:t>253</w:t>
            </w:r>
          </w:p>
        </w:tc>
        <w:tc>
          <w:tcPr>
            <w:tcW w:w="940" w:type="dxa"/>
            <w:tcBorders>
              <w:top w:val="nil"/>
              <w:left w:val="nil"/>
              <w:bottom w:val="single" w:sz="4" w:space="0" w:color="auto"/>
              <w:right w:val="single" w:sz="4" w:space="0" w:color="000000"/>
            </w:tcBorders>
            <w:shd w:val="clear" w:color="auto" w:fill="auto"/>
            <w:noWrap/>
            <w:vAlign w:val="center"/>
            <w:hideMark/>
          </w:tcPr>
          <w:p w14:paraId="395F6595"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1.3</w:t>
            </w:r>
          </w:p>
        </w:tc>
        <w:tc>
          <w:tcPr>
            <w:tcW w:w="940" w:type="dxa"/>
            <w:tcBorders>
              <w:top w:val="nil"/>
              <w:left w:val="nil"/>
              <w:bottom w:val="single" w:sz="4" w:space="0" w:color="auto"/>
              <w:right w:val="single" w:sz="4" w:space="0" w:color="000000"/>
            </w:tcBorders>
            <w:shd w:val="clear" w:color="auto" w:fill="auto"/>
            <w:noWrap/>
            <w:vAlign w:val="center"/>
            <w:hideMark/>
          </w:tcPr>
          <w:p w14:paraId="1BC8D06F" w14:textId="77777777" w:rsidR="00E02DD2" w:rsidRPr="00E02DD2" w:rsidRDefault="00E02DD2" w:rsidP="00E02DD2">
            <w:pPr>
              <w:jc w:val="center"/>
              <w:rPr>
                <w:rFonts w:ascii="Arial" w:eastAsia="Times New Roman" w:hAnsi="Arial" w:cs="Arial"/>
                <w:sz w:val="18"/>
                <w:szCs w:val="18"/>
              </w:rPr>
            </w:pPr>
            <w:r w:rsidRPr="00E02DD2">
              <w:rPr>
                <w:rFonts w:ascii="Arial" w:eastAsia="Times New Roman" w:hAnsi="Arial" w:cs="Arial"/>
                <w:sz w:val="18"/>
                <w:szCs w:val="18"/>
              </w:rPr>
              <w:t>1.0</w:t>
            </w:r>
          </w:p>
        </w:tc>
      </w:tr>
    </w:tbl>
    <w:p w14:paraId="2B9C321F" w14:textId="223B8A62" w:rsidR="008D1D78" w:rsidRDefault="008D1D78" w:rsidP="008B6DD0">
      <w:pPr>
        <w:pStyle w:val="Textoindependiente"/>
        <w:rPr>
          <w:sz w:val="16"/>
          <w:szCs w:val="16"/>
        </w:rPr>
      </w:pPr>
      <w:r>
        <w:rPr>
          <w:rFonts w:ascii="Arial" w:eastAsiaTheme="minorHAnsi" w:hAnsi="Arial" w:cs="Arial"/>
          <w:color w:val="000000"/>
          <w:sz w:val="16"/>
          <w:szCs w:val="16"/>
          <w:lang w:eastAsia="en-US"/>
        </w:rPr>
        <w:t>NS No Significativo</w:t>
      </w:r>
    </w:p>
    <w:p w14:paraId="296838E8" w14:textId="2F5D5BEC" w:rsidR="00624BD8" w:rsidRDefault="00624BD8" w:rsidP="008B6DD0">
      <w:pPr>
        <w:pStyle w:val="Textoindependiente"/>
        <w:rPr>
          <w:sz w:val="16"/>
          <w:szCs w:val="16"/>
        </w:rPr>
      </w:pPr>
      <w:r>
        <w:rPr>
          <w:sz w:val="16"/>
          <w:szCs w:val="16"/>
        </w:rPr>
        <w:t xml:space="preserve">NOTA: La suma de los valores puede no coincidir con el total debido al redondeo. </w:t>
      </w:r>
    </w:p>
    <w:p w14:paraId="2DBB3CDC" w14:textId="3035ACB7" w:rsidR="007457B4" w:rsidRPr="00102B54" w:rsidRDefault="00624BD8" w:rsidP="005300C7">
      <w:pPr>
        <w:pStyle w:val="Textoindependiente"/>
        <w:jc w:val="left"/>
        <w:rPr>
          <w:rFonts w:ascii="Arial" w:eastAsiaTheme="minorHAnsi" w:hAnsi="Arial" w:cs="Arial"/>
          <w:color w:val="000000"/>
          <w:sz w:val="16"/>
          <w:szCs w:val="16"/>
          <w:lang w:val="es-MX" w:eastAsia="en-US"/>
        </w:rPr>
      </w:pPr>
      <w:r w:rsidRPr="00C32F5B">
        <w:rPr>
          <w:rFonts w:ascii="Arial" w:eastAsiaTheme="minorHAnsi" w:hAnsi="Arial" w:cs="Arial"/>
          <w:color w:val="000000"/>
          <w:sz w:val="16"/>
          <w:szCs w:val="16"/>
          <w:lang w:val="es-MX" w:eastAsia="en-US"/>
        </w:rPr>
        <w:t>Fuente: INEGI</w:t>
      </w:r>
    </w:p>
    <w:p w14:paraId="6CD98842" w14:textId="14D20A9B" w:rsidR="00FA02E4" w:rsidRPr="00A634AF" w:rsidRDefault="007B68A5" w:rsidP="00A634AF">
      <w:pPr>
        <w:spacing w:before="240" w:after="240"/>
        <w:ind w:left="-567" w:right="-518"/>
        <w:jc w:val="both"/>
        <w:rPr>
          <w:rFonts w:ascii="Arial" w:hAnsi="Arial" w:cs="Arial"/>
          <w:lang w:val="x-none" w:eastAsia="x-none"/>
        </w:rPr>
      </w:pPr>
      <w:r w:rsidRPr="008B6DD0">
        <w:rPr>
          <w:rFonts w:ascii="Arial" w:hAnsi="Arial" w:cs="Arial"/>
          <w:lang w:val="x-none" w:eastAsia="x-none"/>
        </w:rPr>
        <w:t>En</w:t>
      </w:r>
      <w:r w:rsidR="00A46EB4" w:rsidRPr="008B6DD0">
        <w:rPr>
          <w:rFonts w:ascii="Arial" w:hAnsi="Arial" w:cs="Arial"/>
          <w:lang w:val="x-none" w:eastAsia="x-none"/>
        </w:rPr>
        <w:t xml:space="preserve"> términos reales, durante 2020</w:t>
      </w:r>
      <w:r w:rsidRPr="008B6DD0">
        <w:rPr>
          <w:rFonts w:ascii="Arial" w:hAnsi="Arial" w:cs="Arial"/>
          <w:lang w:val="x-none" w:eastAsia="x-none"/>
        </w:rPr>
        <w:t>, el sector turismo presenta</w:t>
      </w:r>
      <w:r w:rsidR="00A46EB4" w:rsidRPr="008B6DD0">
        <w:rPr>
          <w:rFonts w:ascii="Arial" w:hAnsi="Arial" w:cs="Arial"/>
          <w:lang w:val="x-none" w:eastAsia="x-none"/>
        </w:rPr>
        <w:t xml:space="preserve"> </w:t>
      </w:r>
      <w:r w:rsidRPr="008B6DD0">
        <w:rPr>
          <w:rFonts w:ascii="Arial" w:hAnsi="Arial" w:cs="Arial"/>
          <w:lang w:val="x-none" w:eastAsia="x-none"/>
        </w:rPr>
        <w:t xml:space="preserve">una caída de 25.4%, mientras que el total de la economía en términos del valor </w:t>
      </w:r>
      <w:r w:rsidR="00420B7E" w:rsidRPr="008B6DD0">
        <w:rPr>
          <w:rFonts w:ascii="Arial" w:hAnsi="Arial" w:cs="Arial"/>
          <w:lang w:val="x-none" w:eastAsia="x-none"/>
        </w:rPr>
        <w:t>agregado</w:t>
      </w:r>
      <w:r w:rsidRPr="008B6DD0">
        <w:rPr>
          <w:rFonts w:ascii="Arial" w:hAnsi="Arial" w:cs="Arial"/>
          <w:lang w:val="x-none" w:eastAsia="x-none"/>
        </w:rPr>
        <w:t xml:space="preserve"> disminuyó</w:t>
      </w:r>
      <w:r w:rsidR="00A634AF">
        <w:rPr>
          <w:rFonts w:ascii="Arial" w:hAnsi="Arial" w:cs="Arial"/>
          <w:lang w:eastAsia="x-none"/>
        </w:rPr>
        <w:t xml:space="preserve"> </w:t>
      </w:r>
      <w:r w:rsidRPr="008B6DD0">
        <w:rPr>
          <w:rFonts w:ascii="Arial" w:hAnsi="Arial" w:cs="Arial"/>
          <w:lang w:val="x-none" w:eastAsia="x-none"/>
        </w:rPr>
        <w:t>7.9% para el mismo año.</w:t>
      </w:r>
      <w:r w:rsidR="00761F8D" w:rsidRPr="008B6DD0">
        <w:rPr>
          <w:rFonts w:ascii="Arial" w:hAnsi="Arial" w:cs="Arial"/>
          <w:lang w:val="x-none" w:eastAsia="x-none"/>
        </w:rPr>
        <w:t xml:space="preserve"> </w:t>
      </w:r>
      <w:r w:rsidR="002E4CCA" w:rsidRPr="008B6DD0">
        <w:rPr>
          <w:rFonts w:ascii="Arial" w:hAnsi="Arial" w:cs="Arial"/>
          <w:lang w:val="x-none" w:eastAsia="x-none"/>
        </w:rPr>
        <w:t>Esta disminución se explica</w:t>
      </w:r>
      <w:r w:rsidR="00CA3090" w:rsidRPr="008B6DD0">
        <w:rPr>
          <w:rFonts w:ascii="Arial" w:hAnsi="Arial" w:cs="Arial"/>
          <w:lang w:val="x-none" w:eastAsia="x-none"/>
        </w:rPr>
        <w:t xml:space="preserve"> principalmente</w:t>
      </w:r>
      <w:r w:rsidR="00761F8D" w:rsidRPr="008B6DD0">
        <w:rPr>
          <w:rFonts w:ascii="Arial" w:hAnsi="Arial" w:cs="Arial"/>
          <w:lang w:val="x-none" w:eastAsia="x-none"/>
        </w:rPr>
        <w:t xml:space="preserve"> </w:t>
      </w:r>
      <w:r w:rsidR="002E4CCA" w:rsidRPr="008B6DD0">
        <w:rPr>
          <w:rFonts w:ascii="Arial" w:hAnsi="Arial" w:cs="Arial"/>
          <w:lang w:val="x-none" w:eastAsia="x-none"/>
        </w:rPr>
        <w:t xml:space="preserve">por </w:t>
      </w:r>
      <w:r w:rsidR="00027A58" w:rsidRPr="008B6DD0">
        <w:rPr>
          <w:rFonts w:ascii="Arial" w:hAnsi="Arial" w:cs="Arial"/>
          <w:lang w:val="x-none" w:eastAsia="x-none"/>
        </w:rPr>
        <w:t>el cierre de actividades económicas consideradas como no esenciales por las autoridades sanitarias del país</w:t>
      </w:r>
      <w:r w:rsidR="00FB74E0" w:rsidRPr="008B6DD0">
        <w:rPr>
          <w:rFonts w:ascii="Arial" w:hAnsi="Arial" w:cs="Arial"/>
          <w:lang w:val="x-none" w:eastAsia="x-none"/>
        </w:rPr>
        <w:t xml:space="preserve">, como </w:t>
      </w:r>
      <w:r w:rsidR="00761F8D" w:rsidRPr="008B6DD0">
        <w:rPr>
          <w:rFonts w:ascii="Arial" w:hAnsi="Arial" w:cs="Arial"/>
          <w:lang w:val="x-none" w:eastAsia="x-none"/>
        </w:rPr>
        <w:t>los servicios de alojamiento</w:t>
      </w:r>
      <w:r w:rsidR="00CA3090" w:rsidRPr="008B6DD0">
        <w:rPr>
          <w:rFonts w:ascii="Arial" w:hAnsi="Arial" w:cs="Arial"/>
          <w:lang w:val="x-none" w:eastAsia="x-none"/>
        </w:rPr>
        <w:t>,</w:t>
      </w:r>
      <w:r w:rsidR="00FB74E0" w:rsidRPr="008B6DD0">
        <w:rPr>
          <w:rFonts w:ascii="Arial" w:hAnsi="Arial" w:cs="Arial"/>
          <w:lang w:val="x-none" w:eastAsia="x-none"/>
        </w:rPr>
        <w:t xml:space="preserve"> que tuvieron </w:t>
      </w:r>
      <w:r w:rsidR="00CA3090" w:rsidRPr="008B6DD0">
        <w:rPr>
          <w:rFonts w:ascii="Arial" w:hAnsi="Arial" w:cs="Arial"/>
          <w:lang w:val="x-none" w:eastAsia="x-none"/>
        </w:rPr>
        <w:t xml:space="preserve">una caída de </w:t>
      </w:r>
      <w:r w:rsidR="0064338D" w:rsidRPr="008B6DD0">
        <w:rPr>
          <w:rFonts w:ascii="Arial" w:hAnsi="Arial" w:cs="Arial"/>
          <w:lang w:val="x-none" w:eastAsia="x-none"/>
        </w:rPr>
        <w:t>13.3%</w:t>
      </w:r>
      <w:r w:rsidR="00CA3090" w:rsidRPr="008B6DD0">
        <w:rPr>
          <w:rFonts w:ascii="Arial" w:hAnsi="Arial" w:cs="Arial"/>
          <w:lang w:val="x-none" w:eastAsia="x-none"/>
        </w:rPr>
        <w:t xml:space="preserve">, </w:t>
      </w:r>
      <w:r w:rsidR="00420B7E" w:rsidRPr="008B6DD0">
        <w:rPr>
          <w:rFonts w:ascii="Arial" w:hAnsi="Arial" w:cs="Arial"/>
          <w:lang w:val="x-none" w:eastAsia="x-none"/>
        </w:rPr>
        <w:t xml:space="preserve">o </w:t>
      </w:r>
      <w:r w:rsidR="00761F8D" w:rsidRPr="008B6DD0">
        <w:rPr>
          <w:rFonts w:ascii="Arial" w:hAnsi="Arial" w:cs="Arial"/>
          <w:lang w:val="x-none" w:eastAsia="x-none"/>
        </w:rPr>
        <w:t>los restaurantes, bares y centros nocturnos con</w:t>
      </w:r>
      <w:r w:rsidR="00CA3090" w:rsidRPr="008B6DD0">
        <w:rPr>
          <w:rFonts w:ascii="Arial" w:hAnsi="Arial" w:cs="Arial"/>
          <w:lang w:val="x-none" w:eastAsia="x-none"/>
        </w:rPr>
        <w:t xml:space="preserve"> una variación </w:t>
      </w:r>
      <w:r w:rsidR="00420B7E" w:rsidRPr="008B6DD0">
        <w:rPr>
          <w:rFonts w:ascii="Arial" w:hAnsi="Arial" w:cs="Arial"/>
          <w:lang w:val="x-none" w:eastAsia="x-none"/>
        </w:rPr>
        <w:t xml:space="preserve">negativa </w:t>
      </w:r>
      <w:r w:rsidR="00CA3090" w:rsidRPr="008B6DD0">
        <w:rPr>
          <w:rFonts w:ascii="Arial" w:hAnsi="Arial" w:cs="Arial"/>
          <w:lang w:val="x-none" w:eastAsia="x-none"/>
        </w:rPr>
        <w:t>de</w:t>
      </w:r>
      <w:r w:rsidR="00761F8D" w:rsidRPr="008B6DD0">
        <w:rPr>
          <w:rFonts w:ascii="Arial" w:hAnsi="Arial" w:cs="Arial"/>
          <w:lang w:val="x-none" w:eastAsia="x-none"/>
        </w:rPr>
        <w:t xml:space="preserve"> </w:t>
      </w:r>
      <w:r w:rsidR="0064338D" w:rsidRPr="008B6DD0">
        <w:rPr>
          <w:rFonts w:ascii="Arial" w:hAnsi="Arial" w:cs="Arial"/>
          <w:lang w:val="x-none" w:eastAsia="x-none"/>
        </w:rPr>
        <w:t>33.4 por ciento</w:t>
      </w:r>
      <w:r w:rsidR="00761F8D" w:rsidRPr="008B6DD0">
        <w:rPr>
          <w:rFonts w:ascii="Arial" w:hAnsi="Arial" w:cs="Arial"/>
          <w:lang w:val="x-none" w:eastAsia="x-none"/>
        </w:rPr>
        <w:t xml:space="preserve">. </w:t>
      </w:r>
      <w:r w:rsidR="00420B7E" w:rsidRPr="008B6DD0">
        <w:rPr>
          <w:rFonts w:ascii="Arial" w:hAnsi="Arial" w:cs="Arial"/>
          <w:lang w:val="x-none" w:eastAsia="x-none"/>
        </w:rPr>
        <w:t xml:space="preserve">En ese mismo orden se observaron cambios importantes en actividades </w:t>
      </w:r>
      <w:r w:rsidR="00761F8D" w:rsidRPr="008B6DD0">
        <w:rPr>
          <w:rFonts w:ascii="Arial" w:hAnsi="Arial" w:cs="Arial"/>
          <w:lang w:val="x-none" w:eastAsia="x-none"/>
        </w:rPr>
        <w:t>relacionadas con los servicios deportivos y recreativos</w:t>
      </w:r>
      <w:r w:rsidR="00A634AF">
        <w:rPr>
          <w:rFonts w:ascii="Arial" w:hAnsi="Arial" w:cs="Arial"/>
          <w:lang w:eastAsia="x-none"/>
        </w:rPr>
        <w:t xml:space="preserve"> </w:t>
      </w:r>
      <w:r w:rsidR="00420B7E" w:rsidRPr="008B6DD0">
        <w:rPr>
          <w:rFonts w:ascii="Arial" w:hAnsi="Arial" w:cs="Arial"/>
          <w:lang w:val="x-none" w:eastAsia="x-none"/>
        </w:rPr>
        <w:t xml:space="preserve">que </w:t>
      </w:r>
      <w:r w:rsidR="00FC0A2D" w:rsidRPr="008B6DD0">
        <w:rPr>
          <w:rFonts w:ascii="Arial" w:hAnsi="Arial" w:cs="Arial"/>
          <w:lang w:val="x-none" w:eastAsia="x-none"/>
        </w:rPr>
        <w:t>tuvieron una variación anual de -</w:t>
      </w:r>
      <w:r w:rsidR="0064338D" w:rsidRPr="008B6DD0">
        <w:rPr>
          <w:rFonts w:ascii="Arial" w:hAnsi="Arial" w:cs="Arial"/>
          <w:lang w:val="x-none" w:eastAsia="x-none"/>
        </w:rPr>
        <w:t>51.5%</w:t>
      </w:r>
      <w:r w:rsidR="00761F8D" w:rsidRPr="008B6DD0">
        <w:rPr>
          <w:rFonts w:ascii="Arial" w:hAnsi="Arial" w:cs="Arial"/>
          <w:lang w:val="x-none" w:eastAsia="x-none"/>
        </w:rPr>
        <w:t>, la fabricación de artesanías y otros bienes turísticos</w:t>
      </w:r>
      <w:r w:rsidR="0064338D" w:rsidRPr="008B6DD0">
        <w:rPr>
          <w:rFonts w:ascii="Arial" w:hAnsi="Arial" w:cs="Arial"/>
          <w:lang w:val="x-none" w:eastAsia="x-none"/>
        </w:rPr>
        <w:t xml:space="preserve"> </w:t>
      </w:r>
      <w:r w:rsidR="00420B7E" w:rsidRPr="008B6DD0">
        <w:rPr>
          <w:rFonts w:ascii="Arial" w:hAnsi="Arial" w:cs="Arial"/>
          <w:lang w:val="x-none" w:eastAsia="x-none"/>
        </w:rPr>
        <w:t xml:space="preserve">con </w:t>
      </w:r>
      <w:r w:rsidR="00A634AF">
        <w:rPr>
          <w:rFonts w:ascii="Arial" w:hAnsi="Arial" w:cs="Arial"/>
          <w:lang w:eastAsia="x-none"/>
        </w:rPr>
        <w:t xml:space="preserve">               </w:t>
      </w:r>
      <w:r w:rsidR="00FC0A2D" w:rsidRPr="008B6DD0">
        <w:rPr>
          <w:rFonts w:ascii="Arial" w:hAnsi="Arial" w:cs="Arial"/>
          <w:lang w:val="x-none" w:eastAsia="x-none"/>
        </w:rPr>
        <w:t>-</w:t>
      </w:r>
      <w:r w:rsidR="0064338D" w:rsidRPr="008B6DD0">
        <w:rPr>
          <w:rFonts w:ascii="Arial" w:hAnsi="Arial" w:cs="Arial"/>
          <w:lang w:val="x-none" w:eastAsia="x-none"/>
        </w:rPr>
        <w:t>1</w:t>
      </w:r>
      <w:r w:rsidR="00FA02E4" w:rsidRPr="008B6DD0">
        <w:rPr>
          <w:rFonts w:ascii="Arial" w:hAnsi="Arial" w:cs="Arial"/>
          <w:lang w:val="x-none" w:eastAsia="x-none"/>
        </w:rPr>
        <w:t>7</w:t>
      </w:r>
      <w:r w:rsidR="0064338D" w:rsidRPr="008B6DD0">
        <w:rPr>
          <w:rFonts w:ascii="Arial" w:hAnsi="Arial" w:cs="Arial"/>
          <w:lang w:val="x-none" w:eastAsia="x-none"/>
        </w:rPr>
        <w:t>.</w:t>
      </w:r>
      <w:r w:rsidR="00FA02E4" w:rsidRPr="008B6DD0">
        <w:rPr>
          <w:rFonts w:ascii="Arial" w:hAnsi="Arial" w:cs="Arial"/>
          <w:lang w:val="x-none" w:eastAsia="x-none"/>
        </w:rPr>
        <w:t>2</w:t>
      </w:r>
      <w:r w:rsidR="0064338D" w:rsidRPr="008B6DD0">
        <w:rPr>
          <w:rFonts w:ascii="Arial" w:hAnsi="Arial" w:cs="Arial"/>
          <w:lang w:val="x-none" w:eastAsia="x-none"/>
        </w:rPr>
        <w:t>%</w:t>
      </w:r>
      <w:r w:rsidR="00761F8D" w:rsidRPr="008B6DD0">
        <w:rPr>
          <w:rFonts w:ascii="Arial" w:hAnsi="Arial" w:cs="Arial"/>
          <w:lang w:val="x-none" w:eastAsia="x-none"/>
        </w:rPr>
        <w:t>, los servicios de agencias de viajes y otros servicios de reserva</w:t>
      </w:r>
      <w:r w:rsidR="00FA02E4" w:rsidRPr="008B6DD0">
        <w:rPr>
          <w:rFonts w:ascii="Arial" w:hAnsi="Arial" w:cs="Arial"/>
          <w:lang w:val="x-none" w:eastAsia="x-none"/>
        </w:rPr>
        <w:t xml:space="preserve"> </w:t>
      </w:r>
      <w:r w:rsidR="00420B7E" w:rsidRPr="008B6DD0">
        <w:rPr>
          <w:rFonts w:ascii="Arial" w:hAnsi="Arial" w:cs="Arial"/>
          <w:lang w:val="x-none" w:eastAsia="x-none"/>
        </w:rPr>
        <w:t xml:space="preserve">con </w:t>
      </w:r>
      <w:r w:rsidR="00FC0A2D" w:rsidRPr="008B6DD0">
        <w:rPr>
          <w:rFonts w:ascii="Arial" w:hAnsi="Arial" w:cs="Arial"/>
          <w:lang w:val="x-none" w:eastAsia="x-none"/>
        </w:rPr>
        <w:t>-</w:t>
      </w:r>
      <w:r w:rsidR="00FA02E4" w:rsidRPr="008B6DD0">
        <w:rPr>
          <w:rFonts w:ascii="Arial" w:hAnsi="Arial" w:cs="Arial"/>
          <w:lang w:val="x-none" w:eastAsia="x-none"/>
        </w:rPr>
        <w:t>51.6%</w:t>
      </w:r>
      <w:r w:rsidR="00761F8D" w:rsidRPr="008B6DD0">
        <w:rPr>
          <w:rFonts w:ascii="Arial" w:hAnsi="Arial" w:cs="Arial"/>
          <w:lang w:val="x-none" w:eastAsia="x-none"/>
        </w:rPr>
        <w:t>, los servicios culturales</w:t>
      </w:r>
      <w:r w:rsidR="00FA02E4" w:rsidRPr="008B6DD0">
        <w:rPr>
          <w:rFonts w:ascii="Arial" w:hAnsi="Arial" w:cs="Arial"/>
          <w:lang w:val="x-none" w:eastAsia="x-none"/>
        </w:rPr>
        <w:t xml:space="preserve"> </w:t>
      </w:r>
      <w:r w:rsidR="00420B7E" w:rsidRPr="008B6DD0">
        <w:rPr>
          <w:rFonts w:ascii="Arial" w:hAnsi="Arial" w:cs="Arial"/>
          <w:lang w:val="x-none" w:eastAsia="x-none"/>
        </w:rPr>
        <w:t xml:space="preserve">con </w:t>
      </w:r>
      <w:r w:rsidR="00FC0A2D" w:rsidRPr="008B6DD0">
        <w:rPr>
          <w:rFonts w:ascii="Arial" w:hAnsi="Arial" w:cs="Arial"/>
          <w:lang w:val="x-none" w:eastAsia="x-none"/>
        </w:rPr>
        <w:t>-</w:t>
      </w:r>
      <w:r w:rsidR="00FA02E4" w:rsidRPr="008B6DD0">
        <w:rPr>
          <w:rFonts w:ascii="Arial" w:hAnsi="Arial" w:cs="Arial"/>
          <w:lang w:val="x-none" w:eastAsia="x-none"/>
        </w:rPr>
        <w:t>38.1%</w:t>
      </w:r>
      <w:r w:rsidR="00761F8D" w:rsidRPr="008B6DD0">
        <w:rPr>
          <w:rFonts w:ascii="Arial" w:hAnsi="Arial" w:cs="Arial"/>
          <w:lang w:val="x-none" w:eastAsia="x-none"/>
        </w:rPr>
        <w:t>, el comercio turístico</w:t>
      </w:r>
      <w:r w:rsidR="00420B7E" w:rsidRPr="008B6DD0">
        <w:rPr>
          <w:rFonts w:ascii="Arial" w:hAnsi="Arial" w:cs="Arial"/>
          <w:lang w:val="x-none" w:eastAsia="x-none"/>
        </w:rPr>
        <w:t xml:space="preserve"> con</w:t>
      </w:r>
      <w:r w:rsidR="00FA02E4" w:rsidRPr="008B6DD0">
        <w:rPr>
          <w:rFonts w:ascii="Arial" w:hAnsi="Arial" w:cs="Arial"/>
          <w:lang w:val="x-none" w:eastAsia="x-none"/>
        </w:rPr>
        <w:t xml:space="preserve"> </w:t>
      </w:r>
      <w:r w:rsidR="00FC0A2D" w:rsidRPr="008B6DD0">
        <w:rPr>
          <w:rFonts w:ascii="Arial" w:hAnsi="Arial" w:cs="Arial"/>
          <w:lang w:val="x-none" w:eastAsia="x-none"/>
        </w:rPr>
        <w:t>-</w:t>
      </w:r>
      <w:r w:rsidR="00FA02E4" w:rsidRPr="008B6DD0">
        <w:rPr>
          <w:rFonts w:ascii="Arial" w:hAnsi="Arial" w:cs="Arial"/>
          <w:lang w:val="x-none" w:eastAsia="x-none"/>
        </w:rPr>
        <w:t>25.1%</w:t>
      </w:r>
      <w:r w:rsidR="00761F8D" w:rsidRPr="008B6DD0">
        <w:rPr>
          <w:rFonts w:ascii="Arial" w:hAnsi="Arial" w:cs="Arial"/>
          <w:lang w:val="x-none" w:eastAsia="x-none"/>
        </w:rPr>
        <w:t xml:space="preserve">, los denominados </w:t>
      </w:r>
      <w:r w:rsidR="00A634AF">
        <w:rPr>
          <w:rFonts w:ascii="Arial" w:hAnsi="Arial" w:cs="Arial"/>
          <w:lang w:eastAsia="x-none"/>
        </w:rPr>
        <w:t>o</w:t>
      </w:r>
      <w:proofErr w:type="spellStart"/>
      <w:r w:rsidR="00761F8D" w:rsidRPr="008B6DD0">
        <w:rPr>
          <w:rFonts w:ascii="Arial" w:hAnsi="Arial" w:cs="Arial"/>
          <w:lang w:val="x-none" w:eastAsia="x-none"/>
        </w:rPr>
        <w:t>tros</w:t>
      </w:r>
      <w:proofErr w:type="spellEnd"/>
      <w:r w:rsidR="00761F8D" w:rsidRPr="008B6DD0">
        <w:rPr>
          <w:rFonts w:ascii="Arial" w:hAnsi="Arial" w:cs="Arial"/>
          <w:lang w:val="x-none" w:eastAsia="x-none"/>
        </w:rPr>
        <w:t xml:space="preserve"> servicios</w:t>
      </w:r>
      <w:r w:rsidR="00420B7E">
        <w:rPr>
          <w:rFonts w:ascii="Arial" w:hAnsi="Arial" w:cs="Arial"/>
        </w:rPr>
        <w:t xml:space="preserve"> con</w:t>
      </w:r>
      <w:r w:rsidR="00761F8D" w:rsidRPr="00761F8D">
        <w:rPr>
          <w:rFonts w:ascii="Arial" w:hAnsi="Arial" w:cs="Arial"/>
        </w:rPr>
        <w:t xml:space="preserve"> </w:t>
      </w:r>
      <w:r w:rsidR="00FC0A2D">
        <w:rPr>
          <w:rFonts w:ascii="Arial" w:hAnsi="Arial" w:cs="Arial"/>
        </w:rPr>
        <w:t>-</w:t>
      </w:r>
      <w:r w:rsidR="00FA02E4">
        <w:rPr>
          <w:rFonts w:ascii="Arial" w:hAnsi="Arial" w:cs="Arial"/>
        </w:rPr>
        <w:t>22.8%</w:t>
      </w:r>
      <w:r w:rsidR="00FA02E4" w:rsidRPr="00761F8D">
        <w:rPr>
          <w:rFonts w:ascii="Arial" w:hAnsi="Arial" w:cs="Arial"/>
        </w:rPr>
        <w:t xml:space="preserve"> </w:t>
      </w:r>
      <w:r w:rsidR="00761F8D" w:rsidRPr="00761F8D">
        <w:rPr>
          <w:rFonts w:ascii="Arial" w:hAnsi="Arial" w:cs="Arial"/>
        </w:rPr>
        <w:t>y los servicios de transporte de pasajeros</w:t>
      </w:r>
      <w:r w:rsidR="00FC0A2D">
        <w:rPr>
          <w:rFonts w:ascii="Arial" w:hAnsi="Arial" w:cs="Arial"/>
        </w:rPr>
        <w:t xml:space="preserve"> con</w:t>
      </w:r>
      <w:r w:rsidR="00FA02E4">
        <w:rPr>
          <w:rFonts w:ascii="Arial" w:hAnsi="Arial" w:cs="Arial"/>
        </w:rPr>
        <w:t xml:space="preserve"> </w:t>
      </w:r>
      <w:r w:rsidR="00FC0A2D">
        <w:rPr>
          <w:rFonts w:ascii="Arial" w:hAnsi="Arial" w:cs="Arial"/>
        </w:rPr>
        <w:t>-</w:t>
      </w:r>
      <w:r w:rsidR="00FA02E4">
        <w:rPr>
          <w:rFonts w:ascii="Arial" w:hAnsi="Arial" w:cs="Arial"/>
        </w:rPr>
        <w:t>41.3</w:t>
      </w:r>
      <w:r w:rsidR="00FC0A2D">
        <w:rPr>
          <w:rFonts w:ascii="Arial" w:hAnsi="Arial" w:cs="Arial"/>
        </w:rPr>
        <w:t xml:space="preserve"> por ciento</w:t>
      </w:r>
      <w:r w:rsidR="00761F8D" w:rsidRPr="001633FE">
        <w:rPr>
          <w:rFonts w:ascii="Arial" w:hAnsi="Arial" w:cs="Arial"/>
        </w:rPr>
        <w:t>.</w:t>
      </w:r>
      <w:r w:rsidR="0094090A" w:rsidRPr="0094090A">
        <w:rPr>
          <w:rFonts w:ascii="Arial" w:hAnsi="Arial" w:cs="Arial"/>
        </w:rPr>
        <w:t xml:space="preserve"> </w:t>
      </w:r>
    </w:p>
    <w:p w14:paraId="2CC05A0D" w14:textId="77777777" w:rsidR="00A634AF" w:rsidRDefault="00A634AF" w:rsidP="007A0E91">
      <w:pPr>
        <w:ind w:right="-516"/>
        <w:contextualSpacing/>
        <w:jc w:val="center"/>
        <w:rPr>
          <w:rFonts w:ascii="Arial" w:hAnsi="Arial" w:cs="Arial"/>
        </w:rPr>
      </w:pPr>
    </w:p>
    <w:p w14:paraId="68BF9FF9" w14:textId="77777777" w:rsidR="00A634AF" w:rsidRDefault="00A634AF" w:rsidP="007A0E91">
      <w:pPr>
        <w:ind w:right="-516"/>
        <w:contextualSpacing/>
        <w:jc w:val="center"/>
        <w:rPr>
          <w:rFonts w:ascii="Arial" w:hAnsi="Arial" w:cs="Arial"/>
        </w:rPr>
      </w:pPr>
    </w:p>
    <w:p w14:paraId="476142E7" w14:textId="77777777" w:rsidR="00A634AF" w:rsidRDefault="00A634AF" w:rsidP="007A0E91">
      <w:pPr>
        <w:ind w:right="-516"/>
        <w:contextualSpacing/>
        <w:jc w:val="center"/>
        <w:rPr>
          <w:rFonts w:ascii="Arial" w:hAnsi="Arial" w:cs="Arial"/>
        </w:rPr>
      </w:pPr>
    </w:p>
    <w:p w14:paraId="1B7CCFEE" w14:textId="77777777" w:rsidR="00A634AF" w:rsidRDefault="00A634AF" w:rsidP="007A0E91">
      <w:pPr>
        <w:ind w:right="-516"/>
        <w:contextualSpacing/>
        <w:jc w:val="center"/>
        <w:rPr>
          <w:rFonts w:ascii="Arial" w:hAnsi="Arial" w:cs="Arial"/>
        </w:rPr>
      </w:pPr>
    </w:p>
    <w:p w14:paraId="57927421" w14:textId="77777777" w:rsidR="00A634AF" w:rsidRDefault="00A634AF" w:rsidP="007A0E91">
      <w:pPr>
        <w:ind w:right="-516"/>
        <w:contextualSpacing/>
        <w:jc w:val="center"/>
        <w:rPr>
          <w:rFonts w:ascii="Arial" w:hAnsi="Arial" w:cs="Arial"/>
        </w:rPr>
      </w:pPr>
    </w:p>
    <w:p w14:paraId="052989E1" w14:textId="77777777" w:rsidR="00A634AF" w:rsidRDefault="00A634AF" w:rsidP="007A0E91">
      <w:pPr>
        <w:ind w:right="-516"/>
        <w:contextualSpacing/>
        <w:jc w:val="center"/>
        <w:rPr>
          <w:rFonts w:ascii="Arial" w:hAnsi="Arial" w:cs="Arial"/>
        </w:rPr>
      </w:pPr>
    </w:p>
    <w:p w14:paraId="4B119C9F" w14:textId="77777777" w:rsidR="00A634AF" w:rsidRDefault="00A634AF" w:rsidP="007A0E91">
      <w:pPr>
        <w:ind w:right="-516"/>
        <w:contextualSpacing/>
        <w:jc w:val="center"/>
        <w:rPr>
          <w:rFonts w:ascii="Arial" w:hAnsi="Arial" w:cs="Arial"/>
        </w:rPr>
      </w:pPr>
    </w:p>
    <w:p w14:paraId="0B24E7BA" w14:textId="77777777" w:rsidR="00520DDB" w:rsidRDefault="00520DDB" w:rsidP="007A0E91">
      <w:pPr>
        <w:ind w:right="-516"/>
        <w:contextualSpacing/>
        <w:jc w:val="center"/>
        <w:rPr>
          <w:rFonts w:ascii="Arial" w:hAnsi="Arial" w:cs="Arial"/>
        </w:rPr>
      </w:pPr>
    </w:p>
    <w:p w14:paraId="5D53A8D0" w14:textId="3417ABC1" w:rsidR="00F11CB4" w:rsidRDefault="00F11CB4" w:rsidP="007A0E91">
      <w:pPr>
        <w:ind w:right="-516"/>
        <w:contextualSpacing/>
        <w:jc w:val="center"/>
        <w:rPr>
          <w:rFonts w:ascii="Arial" w:hAnsi="Arial" w:cs="Arial"/>
        </w:rPr>
      </w:pPr>
      <w:r>
        <w:rPr>
          <w:rFonts w:ascii="Arial" w:hAnsi="Arial" w:cs="Arial"/>
        </w:rPr>
        <w:t>Cuadro</w:t>
      </w:r>
      <w:r w:rsidRPr="00ED417B">
        <w:rPr>
          <w:rFonts w:ascii="Arial" w:hAnsi="Arial" w:cs="Arial"/>
        </w:rPr>
        <w:t xml:space="preserve"> </w:t>
      </w:r>
      <w:r w:rsidR="000A419B">
        <w:rPr>
          <w:rFonts w:ascii="Arial" w:hAnsi="Arial" w:cs="Arial"/>
        </w:rPr>
        <w:t>2</w:t>
      </w:r>
    </w:p>
    <w:p w14:paraId="008801EE" w14:textId="38C65C50" w:rsidR="00F11CB4" w:rsidRPr="00191611" w:rsidRDefault="00F11CB4" w:rsidP="00F11CB4">
      <w:pPr>
        <w:ind w:left="-425" w:right="-516"/>
        <w:contextualSpacing/>
        <w:jc w:val="center"/>
        <w:rPr>
          <w:rFonts w:ascii="Arial" w:hAnsi="Arial" w:cs="Arial"/>
          <w:b/>
          <w:iCs/>
          <w:smallCaps/>
          <w:sz w:val="22"/>
          <w:szCs w:val="22"/>
        </w:rPr>
      </w:pPr>
      <w:r w:rsidRPr="00191611">
        <w:rPr>
          <w:rFonts w:ascii="Arial" w:hAnsi="Arial" w:cs="Arial"/>
          <w:b/>
          <w:iCs/>
          <w:smallCaps/>
          <w:sz w:val="22"/>
          <w:szCs w:val="22"/>
        </w:rPr>
        <w:t>Producto Interno Bruto Total y Turístico</w:t>
      </w:r>
    </w:p>
    <w:p w14:paraId="05CBD491" w14:textId="4B6D4BD8" w:rsidR="007A0E91" w:rsidRDefault="00F11CB4" w:rsidP="000353D6">
      <w:pPr>
        <w:pStyle w:val="Textoindependiente"/>
        <w:jc w:val="center"/>
        <w:rPr>
          <w:rFonts w:ascii="Arial" w:hAnsi="Arial" w:cs="Arial"/>
          <w:sz w:val="18"/>
          <w:szCs w:val="18"/>
        </w:rPr>
      </w:pPr>
      <w:r w:rsidRPr="00191611">
        <w:rPr>
          <w:rFonts w:ascii="Arial" w:hAnsi="Arial" w:cs="Arial"/>
          <w:sz w:val="18"/>
          <w:szCs w:val="18"/>
        </w:rPr>
        <w:t>(</w:t>
      </w:r>
      <w:r w:rsidRPr="00191611">
        <w:rPr>
          <w:rFonts w:ascii="Arial" w:hAnsi="Arial" w:cs="Arial"/>
          <w:sz w:val="18"/>
          <w:szCs w:val="18"/>
          <w:lang w:val="es-MX"/>
        </w:rPr>
        <w:t>Millones de pesos a precios de 2013</w:t>
      </w:r>
      <w:r w:rsidR="003F7B57">
        <w:rPr>
          <w:rFonts w:ascii="Arial" w:hAnsi="Arial" w:cs="Arial"/>
          <w:sz w:val="18"/>
          <w:szCs w:val="18"/>
          <w:lang w:val="es-MX"/>
        </w:rPr>
        <w:t xml:space="preserve"> y variación porcentual anual</w:t>
      </w:r>
      <w:r w:rsidRPr="00191611">
        <w:rPr>
          <w:rFonts w:ascii="Arial" w:hAnsi="Arial" w:cs="Arial"/>
          <w:sz w:val="18"/>
          <w:szCs w:val="18"/>
        </w:rPr>
        <w:t>)</w:t>
      </w:r>
    </w:p>
    <w:tbl>
      <w:tblPr>
        <w:tblW w:w="8713" w:type="dxa"/>
        <w:tblCellMar>
          <w:left w:w="70" w:type="dxa"/>
          <w:right w:w="70" w:type="dxa"/>
        </w:tblCellMar>
        <w:tblLook w:val="04A0" w:firstRow="1" w:lastRow="0" w:firstColumn="1" w:lastColumn="0" w:noHBand="0" w:noVBand="1"/>
      </w:tblPr>
      <w:tblGrid>
        <w:gridCol w:w="3964"/>
        <w:gridCol w:w="1200"/>
        <w:gridCol w:w="1134"/>
        <w:gridCol w:w="1134"/>
        <w:gridCol w:w="1281"/>
      </w:tblGrid>
      <w:tr w:rsidR="008B30F2" w:rsidRPr="009D14C2" w14:paraId="178FFD05" w14:textId="77777777" w:rsidTr="003A0362">
        <w:trPr>
          <w:trHeight w:val="529"/>
        </w:trPr>
        <w:tc>
          <w:tcPr>
            <w:tcW w:w="3964" w:type="dxa"/>
            <w:vMerge w:val="restart"/>
            <w:tcBorders>
              <w:top w:val="single" w:sz="4" w:space="0" w:color="auto"/>
              <w:left w:val="single" w:sz="4" w:space="0" w:color="auto"/>
              <w:bottom w:val="single" w:sz="4" w:space="0" w:color="000000"/>
              <w:right w:val="single" w:sz="4" w:space="0" w:color="FFFFFF"/>
            </w:tcBorders>
            <w:shd w:val="clear" w:color="000000" w:fill="002060"/>
            <w:vAlign w:val="center"/>
            <w:hideMark/>
          </w:tcPr>
          <w:p w14:paraId="4EC2E5D6" w14:textId="77777777" w:rsidR="008B30F2" w:rsidRPr="009D14C2" w:rsidRDefault="008B30F2" w:rsidP="003A0362">
            <w:pPr>
              <w:jc w:val="center"/>
              <w:rPr>
                <w:rFonts w:ascii="Arial" w:eastAsia="Times New Roman" w:hAnsi="Arial" w:cs="Arial"/>
                <w:b/>
                <w:bCs/>
                <w:color w:val="FFFFFF"/>
                <w:sz w:val="20"/>
                <w:szCs w:val="20"/>
              </w:rPr>
            </w:pPr>
            <w:r w:rsidRPr="009D14C2">
              <w:rPr>
                <w:rFonts w:ascii="Arial" w:eastAsia="Times New Roman" w:hAnsi="Arial" w:cs="Arial"/>
                <w:b/>
                <w:bCs/>
                <w:color w:val="FFFFFF"/>
                <w:sz w:val="20"/>
                <w:szCs w:val="20"/>
              </w:rPr>
              <w:t xml:space="preserve">Concepto </w:t>
            </w:r>
          </w:p>
        </w:tc>
        <w:tc>
          <w:tcPr>
            <w:tcW w:w="1200" w:type="dxa"/>
            <w:vMerge w:val="restart"/>
            <w:tcBorders>
              <w:top w:val="single" w:sz="4" w:space="0" w:color="auto"/>
              <w:left w:val="single" w:sz="4" w:space="0" w:color="FFFFFF"/>
              <w:bottom w:val="single" w:sz="4" w:space="0" w:color="000000"/>
              <w:right w:val="single" w:sz="4" w:space="0" w:color="FFFFFF"/>
            </w:tcBorders>
            <w:shd w:val="clear" w:color="000000" w:fill="002060"/>
            <w:vAlign w:val="center"/>
            <w:hideMark/>
          </w:tcPr>
          <w:p w14:paraId="25F814A4" w14:textId="77777777" w:rsidR="008B30F2" w:rsidRPr="009D14C2" w:rsidRDefault="008B30F2" w:rsidP="003A0362">
            <w:pPr>
              <w:jc w:val="center"/>
              <w:rPr>
                <w:rFonts w:ascii="Arial" w:eastAsia="Times New Roman" w:hAnsi="Arial" w:cs="Arial"/>
                <w:b/>
                <w:bCs/>
                <w:color w:val="FFFFFF"/>
                <w:sz w:val="20"/>
                <w:szCs w:val="20"/>
              </w:rPr>
            </w:pPr>
            <w:r w:rsidRPr="009D14C2">
              <w:rPr>
                <w:rFonts w:ascii="Arial" w:eastAsia="Times New Roman" w:hAnsi="Arial" w:cs="Arial"/>
                <w:b/>
                <w:bCs/>
                <w:color w:val="FFFFFF"/>
                <w:sz w:val="20"/>
                <w:szCs w:val="20"/>
              </w:rPr>
              <w:t>2019</w:t>
            </w:r>
          </w:p>
        </w:tc>
        <w:tc>
          <w:tcPr>
            <w:tcW w:w="1134" w:type="dxa"/>
            <w:vMerge w:val="restart"/>
            <w:tcBorders>
              <w:top w:val="single" w:sz="4" w:space="0" w:color="auto"/>
              <w:left w:val="single" w:sz="4" w:space="0" w:color="FFFFFF"/>
              <w:bottom w:val="single" w:sz="4" w:space="0" w:color="000000"/>
              <w:right w:val="single" w:sz="4" w:space="0" w:color="FFFFFF"/>
            </w:tcBorders>
            <w:shd w:val="clear" w:color="000000" w:fill="002060"/>
            <w:vAlign w:val="center"/>
            <w:hideMark/>
          </w:tcPr>
          <w:p w14:paraId="393C9F83" w14:textId="77777777" w:rsidR="008B30F2" w:rsidRPr="009D14C2" w:rsidRDefault="008B30F2" w:rsidP="003A0362">
            <w:pPr>
              <w:jc w:val="center"/>
              <w:rPr>
                <w:rFonts w:ascii="Arial" w:eastAsia="Times New Roman" w:hAnsi="Arial" w:cs="Arial"/>
                <w:b/>
                <w:bCs/>
                <w:color w:val="FFFFFF"/>
                <w:sz w:val="20"/>
                <w:szCs w:val="20"/>
              </w:rPr>
            </w:pPr>
            <w:r w:rsidRPr="009D14C2">
              <w:rPr>
                <w:rFonts w:ascii="Arial" w:eastAsia="Times New Roman" w:hAnsi="Arial" w:cs="Arial"/>
                <w:b/>
                <w:bCs/>
                <w:color w:val="FFFFFF"/>
                <w:sz w:val="20"/>
                <w:szCs w:val="20"/>
              </w:rPr>
              <w:t>2020</w:t>
            </w:r>
          </w:p>
        </w:tc>
        <w:tc>
          <w:tcPr>
            <w:tcW w:w="2415" w:type="dxa"/>
            <w:gridSpan w:val="2"/>
            <w:tcBorders>
              <w:top w:val="single" w:sz="4" w:space="0" w:color="auto"/>
              <w:left w:val="nil"/>
              <w:bottom w:val="single" w:sz="4" w:space="0" w:color="FFFFFF"/>
              <w:right w:val="single" w:sz="4" w:space="0" w:color="000000"/>
            </w:tcBorders>
            <w:shd w:val="clear" w:color="000000" w:fill="002060"/>
            <w:vAlign w:val="center"/>
            <w:hideMark/>
          </w:tcPr>
          <w:p w14:paraId="65C02673" w14:textId="77777777" w:rsidR="008B30F2" w:rsidRPr="009D14C2" w:rsidRDefault="008B30F2" w:rsidP="003A0362">
            <w:pPr>
              <w:jc w:val="center"/>
              <w:rPr>
                <w:rFonts w:ascii="Arial" w:eastAsia="Times New Roman" w:hAnsi="Arial" w:cs="Arial"/>
                <w:b/>
                <w:bCs/>
                <w:color w:val="FFFFFF"/>
                <w:sz w:val="20"/>
                <w:szCs w:val="20"/>
              </w:rPr>
            </w:pPr>
            <w:r w:rsidRPr="009D14C2">
              <w:rPr>
                <w:rFonts w:ascii="Arial" w:eastAsia="Times New Roman" w:hAnsi="Arial" w:cs="Arial"/>
                <w:b/>
                <w:bCs/>
                <w:color w:val="FFFFFF"/>
                <w:sz w:val="20"/>
                <w:szCs w:val="20"/>
              </w:rPr>
              <w:t xml:space="preserve">Variación porcentual </w:t>
            </w:r>
          </w:p>
        </w:tc>
      </w:tr>
      <w:tr w:rsidR="008B30F2" w:rsidRPr="009D14C2" w14:paraId="091A5330" w14:textId="77777777" w:rsidTr="003A0362">
        <w:trPr>
          <w:trHeight w:val="475"/>
        </w:trPr>
        <w:tc>
          <w:tcPr>
            <w:tcW w:w="3964" w:type="dxa"/>
            <w:vMerge/>
            <w:tcBorders>
              <w:top w:val="single" w:sz="4" w:space="0" w:color="auto"/>
              <w:left w:val="single" w:sz="4" w:space="0" w:color="auto"/>
              <w:bottom w:val="single" w:sz="4" w:space="0" w:color="000000"/>
              <w:right w:val="single" w:sz="4" w:space="0" w:color="FFFFFF"/>
            </w:tcBorders>
            <w:vAlign w:val="center"/>
            <w:hideMark/>
          </w:tcPr>
          <w:p w14:paraId="09EA6A3C" w14:textId="77777777" w:rsidR="008B30F2" w:rsidRPr="009D14C2" w:rsidRDefault="008B30F2" w:rsidP="003A0362">
            <w:pPr>
              <w:rPr>
                <w:rFonts w:ascii="Arial" w:eastAsia="Times New Roman" w:hAnsi="Arial" w:cs="Arial"/>
                <w:b/>
                <w:bCs/>
                <w:color w:val="FFFFFF"/>
                <w:sz w:val="20"/>
                <w:szCs w:val="20"/>
              </w:rPr>
            </w:pPr>
          </w:p>
        </w:tc>
        <w:tc>
          <w:tcPr>
            <w:tcW w:w="1200" w:type="dxa"/>
            <w:vMerge/>
            <w:tcBorders>
              <w:top w:val="single" w:sz="4" w:space="0" w:color="auto"/>
              <w:left w:val="single" w:sz="4" w:space="0" w:color="FFFFFF"/>
              <w:bottom w:val="single" w:sz="4" w:space="0" w:color="000000"/>
              <w:right w:val="single" w:sz="4" w:space="0" w:color="FFFFFF"/>
            </w:tcBorders>
            <w:vAlign w:val="center"/>
            <w:hideMark/>
          </w:tcPr>
          <w:p w14:paraId="00FA22DE" w14:textId="77777777" w:rsidR="008B30F2" w:rsidRPr="009D14C2" w:rsidRDefault="008B30F2" w:rsidP="003A0362">
            <w:pPr>
              <w:rPr>
                <w:rFonts w:ascii="Arial" w:eastAsia="Times New Roman" w:hAnsi="Arial" w:cs="Arial"/>
                <w:b/>
                <w:bCs/>
                <w:color w:val="FFFFFF"/>
                <w:sz w:val="20"/>
                <w:szCs w:val="20"/>
              </w:rPr>
            </w:pPr>
          </w:p>
        </w:tc>
        <w:tc>
          <w:tcPr>
            <w:tcW w:w="1134" w:type="dxa"/>
            <w:vMerge/>
            <w:tcBorders>
              <w:top w:val="single" w:sz="4" w:space="0" w:color="auto"/>
              <w:left w:val="single" w:sz="4" w:space="0" w:color="FFFFFF"/>
              <w:bottom w:val="single" w:sz="4" w:space="0" w:color="000000"/>
              <w:right w:val="single" w:sz="4" w:space="0" w:color="FFFFFF"/>
            </w:tcBorders>
            <w:vAlign w:val="center"/>
            <w:hideMark/>
          </w:tcPr>
          <w:p w14:paraId="1718526D" w14:textId="77777777" w:rsidR="008B30F2" w:rsidRPr="009D14C2" w:rsidRDefault="008B30F2" w:rsidP="003A0362">
            <w:pPr>
              <w:rPr>
                <w:rFonts w:ascii="Arial" w:eastAsia="Times New Roman" w:hAnsi="Arial" w:cs="Arial"/>
                <w:b/>
                <w:bCs/>
                <w:color w:val="FFFFFF"/>
                <w:sz w:val="20"/>
                <w:szCs w:val="20"/>
              </w:rPr>
            </w:pPr>
          </w:p>
        </w:tc>
        <w:tc>
          <w:tcPr>
            <w:tcW w:w="1134" w:type="dxa"/>
            <w:tcBorders>
              <w:top w:val="nil"/>
              <w:left w:val="nil"/>
              <w:bottom w:val="single" w:sz="4" w:space="0" w:color="auto"/>
              <w:right w:val="single" w:sz="4" w:space="0" w:color="FFFFFF"/>
            </w:tcBorders>
            <w:shd w:val="clear" w:color="000000" w:fill="002060"/>
            <w:vAlign w:val="center"/>
            <w:hideMark/>
          </w:tcPr>
          <w:p w14:paraId="1B1EE6C9" w14:textId="77777777" w:rsidR="008B30F2" w:rsidRPr="009D14C2" w:rsidRDefault="008B30F2" w:rsidP="003A0362">
            <w:pPr>
              <w:jc w:val="center"/>
              <w:rPr>
                <w:rFonts w:ascii="Arial" w:eastAsia="Times New Roman" w:hAnsi="Arial" w:cs="Arial"/>
                <w:b/>
                <w:bCs/>
                <w:color w:val="FFFFFF"/>
                <w:sz w:val="20"/>
                <w:szCs w:val="20"/>
              </w:rPr>
            </w:pPr>
            <w:r w:rsidRPr="009D14C2">
              <w:rPr>
                <w:rFonts w:ascii="Arial" w:eastAsia="Times New Roman" w:hAnsi="Arial" w:cs="Arial"/>
                <w:b/>
                <w:bCs/>
                <w:color w:val="FFFFFF"/>
                <w:sz w:val="20"/>
                <w:szCs w:val="20"/>
              </w:rPr>
              <w:t>2019</w:t>
            </w:r>
          </w:p>
        </w:tc>
        <w:tc>
          <w:tcPr>
            <w:tcW w:w="1281" w:type="dxa"/>
            <w:tcBorders>
              <w:top w:val="nil"/>
              <w:left w:val="nil"/>
              <w:bottom w:val="single" w:sz="4" w:space="0" w:color="auto"/>
              <w:right w:val="single" w:sz="4" w:space="0" w:color="auto"/>
            </w:tcBorders>
            <w:shd w:val="clear" w:color="000000" w:fill="002060"/>
            <w:vAlign w:val="center"/>
            <w:hideMark/>
          </w:tcPr>
          <w:p w14:paraId="0B885B11" w14:textId="77777777" w:rsidR="008B30F2" w:rsidRPr="009D14C2" w:rsidRDefault="008B30F2" w:rsidP="003A0362">
            <w:pPr>
              <w:jc w:val="center"/>
              <w:rPr>
                <w:rFonts w:ascii="Arial" w:eastAsia="Times New Roman" w:hAnsi="Arial" w:cs="Arial"/>
                <w:b/>
                <w:bCs/>
                <w:color w:val="FFFFFF"/>
                <w:sz w:val="20"/>
                <w:szCs w:val="20"/>
              </w:rPr>
            </w:pPr>
            <w:r w:rsidRPr="009D14C2">
              <w:rPr>
                <w:rFonts w:ascii="Arial" w:eastAsia="Times New Roman" w:hAnsi="Arial" w:cs="Arial"/>
                <w:b/>
                <w:bCs/>
                <w:color w:val="FFFFFF"/>
                <w:sz w:val="20"/>
                <w:szCs w:val="20"/>
              </w:rPr>
              <w:t>2020</w:t>
            </w:r>
          </w:p>
        </w:tc>
      </w:tr>
      <w:tr w:rsidR="008B30F2" w:rsidRPr="009D14C2" w14:paraId="34D0A7CC" w14:textId="77777777" w:rsidTr="003A0362">
        <w:trPr>
          <w:trHeight w:val="471"/>
        </w:trPr>
        <w:tc>
          <w:tcPr>
            <w:tcW w:w="3964" w:type="dxa"/>
            <w:tcBorders>
              <w:top w:val="nil"/>
              <w:left w:val="single" w:sz="4" w:space="0" w:color="auto"/>
              <w:bottom w:val="nil"/>
              <w:right w:val="single" w:sz="4" w:space="0" w:color="auto"/>
            </w:tcBorders>
            <w:shd w:val="clear" w:color="auto" w:fill="auto"/>
            <w:noWrap/>
            <w:vAlign w:val="center"/>
            <w:hideMark/>
          </w:tcPr>
          <w:p w14:paraId="51F61684" w14:textId="77777777" w:rsidR="008B30F2" w:rsidRPr="009D14C2" w:rsidRDefault="008B30F2" w:rsidP="003A0362">
            <w:pPr>
              <w:rPr>
                <w:rFonts w:ascii="Arial" w:eastAsia="Times New Roman" w:hAnsi="Arial" w:cs="Arial"/>
                <w:b/>
                <w:bCs/>
                <w:sz w:val="18"/>
                <w:szCs w:val="18"/>
              </w:rPr>
            </w:pPr>
            <w:r w:rsidRPr="009D14C2">
              <w:rPr>
                <w:rFonts w:ascii="Arial" w:eastAsia="Times New Roman" w:hAnsi="Arial" w:cs="Arial"/>
                <w:b/>
                <w:bCs/>
                <w:sz w:val="18"/>
                <w:szCs w:val="18"/>
              </w:rPr>
              <w:t>Total del país</w:t>
            </w:r>
          </w:p>
        </w:tc>
        <w:tc>
          <w:tcPr>
            <w:tcW w:w="1200" w:type="dxa"/>
            <w:tcBorders>
              <w:top w:val="nil"/>
              <w:left w:val="nil"/>
              <w:bottom w:val="nil"/>
              <w:right w:val="single" w:sz="4" w:space="0" w:color="auto"/>
            </w:tcBorders>
            <w:shd w:val="clear" w:color="auto" w:fill="auto"/>
            <w:noWrap/>
            <w:vAlign w:val="center"/>
            <w:hideMark/>
          </w:tcPr>
          <w:p w14:paraId="68CA9F61" w14:textId="7CCF6332" w:rsidR="008B30F2" w:rsidRPr="009D14C2" w:rsidRDefault="008B30F2" w:rsidP="003A0362">
            <w:pPr>
              <w:ind w:right="72"/>
              <w:jc w:val="right"/>
              <w:rPr>
                <w:rFonts w:ascii="Arial" w:eastAsia="Times New Roman" w:hAnsi="Arial" w:cs="Arial"/>
                <w:b/>
                <w:bCs/>
                <w:sz w:val="18"/>
                <w:szCs w:val="18"/>
              </w:rPr>
            </w:pPr>
            <w:r w:rsidRPr="009D14C2">
              <w:rPr>
                <w:rFonts w:ascii="Arial" w:eastAsia="Times New Roman" w:hAnsi="Arial" w:cs="Arial"/>
                <w:b/>
                <w:bCs/>
                <w:sz w:val="18"/>
                <w:szCs w:val="18"/>
              </w:rPr>
              <w:t>17</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668</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442 </w:t>
            </w:r>
          </w:p>
        </w:tc>
        <w:tc>
          <w:tcPr>
            <w:tcW w:w="1134" w:type="dxa"/>
            <w:tcBorders>
              <w:top w:val="nil"/>
              <w:left w:val="nil"/>
              <w:bottom w:val="nil"/>
              <w:right w:val="single" w:sz="4" w:space="0" w:color="auto"/>
            </w:tcBorders>
            <w:shd w:val="clear" w:color="auto" w:fill="auto"/>
            <w:noWrap/>
            <w:vAlign w:val="center"/>
            <w:hideMark/>
          </w:tcPr>
          <w:p w14:paraId="40513118" w14:textId="72383F36" w:rsidR="008B30F2" w:rsidRPr="009D14C2" w:rsidRDefault="008B30F2" w:rsidP="003A0362">
            <w:pPr>
              <w:ind w:right="72"/>
              <w:jc w:val="right"/>
              <w:rPr>
                <w:rFonts w:ascii="Arial" w:eastAsia="Times New Roman" w:hAnsi="Arial" w:cs="Arial"/>
                <w:b/>
                <w:bCs/>
                <w:sz w:val="18"/>
                <w:szCs w:val="18"/>
              </w:rPr>
            </w:pPr>
            <w:r w:rsidRPr="009D14C2">
              <w:rPr>
                <w:rFonts w:ascii="Arial" w:eastAsia="Times New Roman" w:hAnsi="Arial" w:cs="Arial"/>
                <w:b/>
                <w:bCs/>
                <w:sz w:val="18"/>
                <w:szCs w:val="18"/>
              </w:rPr>
              <w:t>16</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266</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511 </w:t>
            </w:r>
          </w:p>
        </w:tc>
        <w:tc>
          <w:tcPr>
            <w:tcW w:w="1134" w:type="dxa"/>
            <w:tcBorders>
              <w:top w:val="nil"/>
              <w:left w:val="nil"/>
              <w:bottom w:val="nil"/>
              <w:right w:val="single" w:sz="4" w:space="0" w:color="auto"/>
            </w:tcBorders>
            <w:shd w:val="clear" w:color="auto" w:fill="auto"/>
            <w:noWrap/>
            <w:vAlign w:val="center"/>
            <w:hideMark/>
          </w:tcPr>
          <w:p w14:paraId="05D52BEE" w14:textId="05846941" w:rsidR="008B30F2" w:rsidRPr="009D14C2" w:rsidRDefault="008B30F2" w:rsidP="003A0362">
            <w:pPr>
              <w:ind w:right="72" w:firstLineChars="200" w:firstLine="361"/>
              <w:jc w:val="right"/>
              <w:rPr>
                <w:rFonts w:ascii="Arial" w:eastAsia="Times New Roman" w:hAnsi="Arial" w:cs="Arial"/>
                <w:b/>
                <w:bCs/>
                <w:sz w:val="18"/>
                <w:szCs w:val="18"/>
              </w:rPr>
            </w:pPr>
            <w:r w:rsidRPr="009D14C2">
              <w:rPr>
                <w:rFonts w:ascii="Arial" w:eastAsia="Times New Roman" w:hAnsi="Arial" w:cs="Arial"/>
                <w:b/>
                <w:bCs/>
                <w:sz w:val="18"/>
                <w:szCs w:val="18"/>
              </w:rPr>
              <w:t xml:space="preserve">- 0.2 </w:t>
            </w:r>
          </w:p>
        </w:tc>
        <w:tc>
          <w:tcPr>
            <w:tcW w:w="1281" w:type="dxa"/>
            <w:tcBorders>
              <w:top w:val="nil"/>
              <w:left w:val="nil"/>
              <w:bottom w:val="nil"/>
              <w:right w:val="single" w:sz="4" w:space="0" w:color="auto"/>
            </w:tcBorders>
            <w:shd w:val="clear" w:color="auto" w:fill="auto"/>
            <w:noWrap/>
            <w:vAlign w:val="center"/>
            <w:hideMark/>
          </w:tcPr>
          <w:p w14:paraId="5E030481" w14:textId="33A90352" w:rsidR="008B30F2" w:rsidRPr="009D14C2" w:rsidRDefault="008B30F2" w:rsidP="003A0362">
            <w:pPr>
              <w:ind w:right="72" w:firstLineChars="200" w:firstLine="361"/>
              <w:jc w:val="right"/>
              <w:rPr>
                <w:rFonts w:ascii="Arial" w:eastAsia="Times New Roman" w:hAnsi="Arial" w:cs="Arial"/>
                <w:b/>
                <w:bCs/>
                <w:sz w:val="18"/>
                <w:szCs w:val="18"/>
              </w:rPr>
            </w:pPr>
            <w:r w:rsidRPr="009D14C2">
              <w:rPr>
                <w:rFonts w:ascii="Arial" w:eastAsia="Times New Roman" w:hAnsi="Arial" w:cs="Arial"/>
                <w:b/>
                <w:bCs/>
                <w:sz w:val="18"/>
                <w:szCs w:val="18"/>
              </w:rPr>
              <w:t>-</w:t>
            </w:r>
            <w:r>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7.9 </w:t>
            </w:r>
          </w:p>
        </w:tc>
      </w:tr>
      <w:tr w:rsidR="008B30F2" w:rsidRPr="009D14C2" w14:paraId="016C3655" w14:textId="77777777" w:rsidTr="003A0362">
        <w:trPr>
          <w:trHeight w:val="289"/>
        </w:trPr>
        <w:tc>
          <w:tcPr>
            <w:tcW w:w="3964" w:type="dxa"/>
            <w:tcBorders>
              <w:top w:val="nil"/>
              <w:left w:val="single" w:sz="4" w:space="0" w:color="auto"/>
              <w:bottom w:val="nil"/>
              <w:right w:val="single" w:sz="4" w:space="0" w:color="auto"/>
            </w:tcBorders>
            <w:shd w:val="clear" w:color="auto" w:fill="auto"/>
            <w:noWrap/>
            <w:vAlign w:val="center"/>
            <w:hideMark/>
          </w:tcPr>
          <w:p w14:paraId="43C21C45" w14:textId="77777777" w:rsidR="008B30F2" w:rsidRPr="009D14C2" w:rsidRDefault="008B30F2" w:rsidP="003A0362">
            <w:pPr>
              <w:ind w:left="209"/>
              <w:rPr>
                <w:rFonts w:ascii="Arial" w:eastAsia="Times New Roman" w:hAnsi="Arial" w:cs="Arial"/>
                <w:b/>
                <w:bCs/>
                <w:sz w:val="18"/>
                <w:szCs w:val="18"/>
              </w:rPr>
            </w:pPr>
            <w:r w:rsidRPr="009D14C2">
              <w:rPr>
                <w:rFonts w:ascii="Arial" w:eastAsia="Times New Roman" w:hAnsi="Arial" w:cs="Arial"/>
                <w:b/>
                <w:bCs/>
                <w:sz w:val="18"/>
                <w:szCs w:val="18"/>
              </w:rPr>
              <w:t>Total turístico</w:t>
            </w:r>
          </w:p>
        </w:tc>
        <w:tc>
          <w:tcPr>
            <w:tcW w:w="1200" w:type="dxa"/>
            <w:tcBorders>
              <w:top w:val="nil"/>
              <w:left w:val="nil"/>
              <w:bottom w:val="nil"/>
              <w:right w:val="single" w:sz="4" w:space="0" w:color="auto"/>
            </w:tcBorders>
            <w:shd w:val="clear" w:color="auto" w:fill="auto"/>
            <w:noWrap/>
            <w:vAlign w:val="center"/>
            <w:hideMark/>
          </w:tcPr>
          <w:p w14:paraId="08C350C5" w14:textId="07011FAB" w:rsidR="008B30F2" w:rsidRPr="009D14C2" w:rsidRDefault="008B30F2" w:rsidP="003A0362">
            <w:pPr>
              <w:ind w:right="72"/>
              <w:jc w:val="right"/>
              <w:rPr>
                <w:rFonts w:ascii="Arial" w:eastAsia="Times New Roman" w:hAnsi="Arial" w:cs="Arial"/>
                <w:b/>
                <w:bCs/>
                <w:sz w:val="18"/>
                <w:szCs w:val="18"/>
              </w:rPr>
            </w:pPr>
            <w:r w:rsidRPr="009D14C2">
              <w:rPr>
                <w:rFonts w:ascii="Arial" w:eastAsia="Times New Roman" w:hAnsi="Arial" w:cs="Arial"/>
                <w:b/>
                <w:bCs/>
                <w:sz w:val="18"/>
                <w:szCs w:val="18"/>
              </w:rPr>
              <w:t>1</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502</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149 </w:t>
            </w:r>
          </w:p>
        </w:tc>
        <w:tc>
          <w:tcPr>
            <w:tcW w:w="1134" w:type="dxa"/>
            <w:tcBorders>
              <w:top w:val="nil"/>
              <w:left w:val="nil"/>
              <w:bottom w:val="nil"/>
              <w:right w:val="single" w:sz="4" w:space="0" w:color="auto"/>
            </w:tcBorders>
            <w:shd w:val="clear" w:color="auto" w:fill="auto"/>
            <w:noWrap/>
            <w:vAlign w:val="center"/>
            <w:hideMark/>
          </w:tcPr>
          <w:p w14:paraId="47FE56E7" w14:textId="3EC69589" w:rsidR="008B30F2" w:rsidRPr="009D14C2" w:rsidRDefault="008B30F2" w:rsidP="003A0362">
            <w:pPr>
              <w:ind w:right="72"/>
              <w:jc w:val="right"/>
              <w:rPr>
                <w:rFonts w:ascii="Arial" w:eastAsia="Times New Roman" w:hAnsi="Arial" w:cs="Arial"/>
                <w:b/>
                <w:bCs/>
                <w:sz w:val="18"/>
                <w:szCs w:val="18"/>
              </w:rPr>
            </w:pPr>
            <w:r w:rsidRPr="009D14C2">
              <w:rPr>
                <w:rFonts w:ascii="Arial" w:eastAsia="Times New Roman" w:hAnsi="Arial" w:cs="Arial"/>
                <w:b/>
                <w:bCs/>
                <w:sz w:val="18"/>
                <w:szCs w:val="18"/>
              </w:rPr>
              <w:t>1</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119</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994 </w:t>
            </w:r>
          </w:p>
        </w:tc>
        <w:tc>
          <w:tcPr>
            <w:tcW w:w="1134" w:type="dxa"/>
            <w:tcBorders>
              <w:top w:val="nil"/>
              <w:left w:val="nil"/>
              <w:bottom w:val="nil"/>
              <w:right w:val="single" w:sz="4" w:space="0" w:color="auto"/>
            </w:tcBorders>
            <w:shd w:val="clear" w:color="auto" w:fill="auto"/>
            <w:noWrap/>
            <w:vAlign w:val="center"/>
            <w:hideMark/>
          </w:tcPr>
          <w:p w14:paraId="0358C4BF" w14:textId="77777777" w:rsidR="008B30F2" w:rsidRPr="009D14C2" w:rsidRDefault="008B30F2" w:rsidP="003A0362">
            <w:pPr>
              <w:ind w:right="72" w:firstLineChars="200" w:firstLine="361"/>
              <w:jc w:val="right"/>
              <w:rPr>
                <w:rFonts w:ascii="Arial" w:eastAsia="Times New Roman" w:hAnsi="Arial" w:cs="Arial"/>
                <w:b/>
                <w:bCs/>
                <w:sz w:val="18"/>
                <w:szCs w:val="18"/>
              </w:rPr>
            </w:pPr>
            <w:r w:rsidRPr="009D14C2">
              <w:rPr>
                <w:rFonts w:ascii="Arial" w:eastAsia="Times New Roman" w:hAnsi="Arial" w:cs="Arial"/>
                <w:b/>
                <w:bCs/>
                <w:sz w:val="18"/>
                <w:szCs w:val="18"/>
              </w:rPr>
              <w:t xml:space="preserve">0.1 </w:t>
            </w:r>
          </w:p>
        </w:tc>
        <w:tc>
          <w:tcPr>
            <w:tcW w:w="1281" w:type="dxa"/>
            <w:tcBorders>
              <w:top w:val="nil"/>
              <w:left w:val="nil"/>
              <w:bottom w:val="nil"/>
              <w:right w:val="single" w:sz="4" w:space="0" w:color="auto"/>
            </w:tcBorders>
            <w:shd w:val="clear" w:color="auto" w:fill="auto"/>
            <w:noWrap/>
            <w:vAlign w:val="center"/>
            <w:hideMark/>
          </w:tcPr>
          <w:p w14:paraId="7F808B48" w14:textId="75F1256C" w:rsidR="008B30F2" w:rsidRPr="009D14C2" w:rsidRDefault="008B30F2" w:rsidP="003A0362">
            <w:pPr>
              <w:ind w:right="72" w:firstLineChars="200" w:firstLine="361"/>
              <w:jc w:val="right"/>
              <w:rPr>
                <w:rFonts w:ascii="Arial" w:eastAsia="Times New Roman" w:hAnsi="Arial" w:cs="Arial"/>
                <w:b/>
                <w:bCs/>
                <w:sz w:val="18"/>
                <w:szCs w:val="18"/>
              </w:rPr>
            </w:pPr>
            <w:r w:rsidRPr="009D14C2">
              <w:rPr>
                <w:rFonts w:ascii="Arial" w:eastAsia="Times New Roman" w:hAnsi="Arial" w:cs="Arial"/>
                <w:b/>
                <w:bCs/>
                <w:sz w:val="18"/>
                <w:szCs w:val="18"/>
              </w:rPr>
              <w:t>-</w:t>
            </w:r>
            <w:r>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25.4 </w:t>
            </w:r>
          </w:p>
        </w:tc>
      </w:tr>
      <w:tr w:rsidR="008B30F2" w:rsidRPr="009D14C2" w14:paraId="1BDD3519" w14:textId="77777777" w:rsidTr="003A0362">
        <w:trPr>
          <w:trHeight w:val="265"/>
        </w:trPr>
        <w:tc>
          <w:tcPr>
            <w:tcW w:w="3964" w:type="dxa"/>
            <w:tcBorders>
              <w:top w:val="nil"/>
              <w:left w:val="single" w:sz="4" w:space="0" w:color="auto"/>
              <w:bottom w:val="nil"/>
              <w:right w:val="single" w:sz="4" w:space="0" w:color="auto"/>
            </w:tcBorders>
            <w:shd w:val="clear" w:color="auto" w:fill="auto"/>
            <w:noWrap/>
            <w:vAlign w:val="center"/>
            <w:hideMark/>
          </w:tcPr>
          <w:p w14:paraId="2F6D0105" w14:textId="77777777" w:rsidR="008B30F2" w:rsidRPr="009D14C2" w:rsidRDefault="008B30F2" w:rsidP="003A0362">
            <w:pPr>
              <w:ind w:left="351"/>
              <w:rPr>
                <w:rFonts w:ascii="Arial" w:eastAsia="Times New Roman" w:hAnsi="Arial" w:cs="Arial"/>
                <w:b/>
                <w:bCs/>
                <w:sz w:val="18"/>
                <w:szCs w:val="18"/>
              </w:rPr>
            </w:pPr>
            <w:r w:rsidRPr="009D14C2">
              <w:rPr>
                <w:rFonts w:ascii="Arial" w:eastAsia="Times New Roman" w:hAnsi="Arial" w:cs="Arial"/>
                <w:b/>
                <w:bCs/>
                <w:sz w:val="18"/>
                <w:szCs w:val="18"/>
              </w:rPr>
              <w:t>Bienes</w:t>
            </w:r>
          </w:p>
        </w:tc>
        <w:tc>
          <w:tcPr>
            <w:tcW w:w="1200" w:type="dxa"/>
            <w:tcBorders>
              <w:top w:val="nil"/>
              <w:left w:val="nil"/>
              <w:bottom w:val="nil"/>
              <w:right w:val="single" w:sz="4" w:space="0" w:color="auto"/>
            </w:tcBorders>
            <w:shd w:val="clear" w:color="auto" w:fill="auto"/>
            <w:noWrap/>
            <w:vAlign w:val="center"/>
            <w:hideMark/>
          </w:tcPr>
          <w:p w14:paraId="03CCE1C1" w14:textId="1F4B448E" w:rsidR="008B30F2" w:rsidRPr="009D14C2" w:rsidRDefault="008B30F2" w:rsidP="003A0362">
            <w:pPr>
              <w:ind w:right="72"/>
              <w:jc w:val="right"/>
              <w:rPr>
                <w:rFonts w:ascii="Arial" w:eastAsia="Times New Roman" w:hAnsi="Arial" w:cs="Arial"/>
                <w:b/>
                <w:bCs/>
                <w:sz w:val="18"/>
                <w:szCs w:val="18"/>
              </w:rPr>
            </w:pPr>
            <w:r w:rsidRPr="009D14C2">
              <w:rPr>
                <w:rFonts w:ascii="Arial" w:eastAsia="Times New Roman" w:hAnsi="Arial" w:cs="Arial"/>
                <w:b/>
                <w:bCs/>
                <w:sz w:val="18"/>
                <w:szCs w:val="18"/>
              </w:rPr>
              <w:t>126</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132 </w:t>
            </w:r>
          </w:p>
        </w:tc>
        <w:tc>
          <w:tcPr>
            <w:tcW w:w="1134" w:type="dxa"/>
            <w:tcBorders>
              <w:top w:val="nil"/>
              <w:left w:val="nil"/>
              <w:bottom w:val="nil"/>
              <w:right w:val="single" w:sz="4" w:space="0" w:color="auto"/>
            </w:tcBorders>
            <w:shd w:val="clear" w:color="auto" w:fill="auto"/>
            <w:noWrap/>
            <w:vAlign w:val="center"/>
            <w:hideMark/>
          </w:tcPr>
          <w:p w14:paraId="65FD6C49" w14:textId="7B4BAFB4" w:rsidR="008B30F2" w:rsidRPr="009D14C2" w:rsidRDefault="008B30F2" w:rsidP="003A0362">
            <w:pPr>
              <w:ind w:right="72"/>
              <w:jc w:val="right"/>
              <w:rPr>
                <w:rFonts w:ascii="Arial" w:eastAsia="Times New Roman" w:hAnsi="Arial" w:cs="Arial"/>
                <w:b/>
                <w:bCs/>
                <w:sz w:val="18"/>
                <w:szCs w:val="18"/>
              </w:rPr>
            </w:pPr>
            <w:r w:rsidRPr="009D14C2">
              <w:rPr>
                <w:rFonts w:ascii="Arial" w:eastAsia="Times New Roman" w:hAnsi="Arial" w:cs="Arial"/>
                <w:b/>
                <w:bCs/>
                <w:sz w:val="18"/>
                <w:szCs w:val="18"/>
              </w:rPr>
              <w:t>104</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496 </w:t>
            </w:r>
          </w:p>
        </w:tc>
        <w:tc>
          <w:tcPr>
            <w:tcW w:w="1134" w:type="dxa"/>
            <w:tcBorders>
              <w:top w:val="nil"/>
              <w:left w:val="nil"/>
              <w:bottom w:val="nil"/>
              <w:right w:val="single" w:sz="4" w:space="0" w:color="auto"/>
            </w:tcBorders>
            <w:shd w:val="clear" w:color="auto" w:fill="auto"/>
            <w:noWrap/>
            <w:vAlign w:val="center"/>
            <w:hideMark/>
          </w:tcPr>
          <w:p w14:paraId="4630136F" w14:textId="0305CC83" w:rsidR="008B30F2" w:rsidRPr="009D14C2" w:rsidRDefault="008B30F2" w:rsidP="003A0362">
            <w:pPr>
              <w:ind w:right="72" w:firstLineChars="200" w:firstLine="361"/>
              <w:jc w:val="right"/>
              <w:rPr>
                <w:rFonts w:ascii="Arial" w:eastAsia="Times New Roman" w:hAnsi="Arial" w:cs="Arial"/>
                <w:b/>
                <w:bCs/>
                <w:sz w:val="18"/>
                <w:szCs w:val="18"/>
              </w:rPr>
            </w:pPr>
            <w:r w:rsidRPr="009D14C2">
              <w:rPr>
                <w:rFonts w:ascii="Arial" w:eastAsia="Times New Roman" w:hAnsi="Arial" w:cs="Arial"/>
                <w:b/>
                <w:bCs/>
                <w:sz w:val="18"/>
                <w:szCs w:val="18"/>
              </w:rPr>
              <w:t xml:space="preserve">- 5.2 </w:t>
            </w:r>
          </w:p>
        </w:tc>
        <w:tc>
          <w:tcPr>
            <w:tcW w:w="1281" w:type="dxa"/>
            <w:tcBorders>
              <w:top w:val="nil"/>
              <w:left w:val="nil"/>
              <w:bottom w:val="nil"/>
              <w:right w:val="single" w:sz="4" w:space="0" w:color="auto"/>
            </w:tcBorders>
            <w:shd w:val="clear" w:color="auto" w:fill="auto"/>
            <w:noWrap/>
            <w:vAlign w:val="center"/>
            <w:hideMark/>
          </w:tcPr>
          <w:p w14:paraId="3D66627D" w14:textId="3F3588C2" w:rsidR="008B30F2" w:rsidRPr="009D14C2" w:rsidRDefault="008B30F2" w:rsidP="003A0362">
            <w:pPr>
              <w:ind w:right="72" w:firstLineChars="200" w:firstLine="361"/>
              <w:jc w:val="right"/>
              <w:rPr>
                <w:rFonts w:ascii="Arial" w:eastAsia="Times New Roman" w:hAnsi="Arial" w:cs="Arial"/>
                <w:b/>
                <w:bCs/>
                <w:sz w:val="18"/>
                <w:szCs w:val="18"/>
              </w:rPr>
            </w:pPr>
            <w:r w:rsidRPr="009D14C2">
              <w:rPr>
                <w:rFonts w:ascii="Arial" w:eastAsia="Times New Roman" w:hAnsi="Arial" w:cs="Arial"/>
                <w:b/>
                <w:bCs/>
                <w:sz w:val="18"/>
                <w:szCs w:val="18"/>
              </w:rPr>
              <w:t>-</w:t>
            </w:r>
            <w:r>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17.2 </w:t>
            </w:r>
          </w:p>
        </w:tc>
      </w:tr>
      <w:tr w:rsidR="008B30F2" w:rsidRPr="009D14C2" w14:paraId="2763318C" w14:textId="77777777" w:rsidTr="003A0362">
        <w:trPr>
          <w:trHeight w:val="297"/>
        </w:trPr>
        <w:tc>
          <w:tcPr>
            <w:tcW w:w="3964" w:type="dxa"/>
            <w:tcBorders>
              <w:top w:val="nil"/>
              <w:left w:val="single" w:sz="4" w:space="0" w:color="auto"/>
              <w:bottom w:val="nil"/>
              <w:right w:val="single" w:sz="4" w:space="0" w:color="auto"/>
            </w:tcBorders>
            <w:shd w:val="clear" w:color="auto" w:fill="auto"/>
            <w:noWrap/>
            <w:vAlign w:val="center"/>
            <w:hideMark/>
          </w:tcPr>
          <w:p w14:paraId="104AB1D6"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 xml:space="preserve">Artesanías y Otros bienes </w:t>
            </w:r>
          </w:p>
        </w:tc>
        <w:tc>
          <w:tcPr>
            <w:tcW w:w="1200" w:type="dxa"/>
            <w:tcBorders>
              <w:top w:val="nil"/>
              <w:left w:val="nil"/>
              <w:bottom w:val="nil"/>
              <w:right w:val="single" w:sz="4" w:space="0" w:color="auto"/>
            </w:tcBorders>
            <w:shd w:val="clear" w:color="auto" w:fill="auto"/>
            <w:noWrap/>
            <w:vAlign w:val="center"/>
            <w:hideMark/>
          </w:tcPr>
          <w:p w14:paraId="1C952999" w14:textId="63AA8B51"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126</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132 </w:t>
            </w:r>
          </w:p>
        </w:tc>
        <w:tc>
          <w:tcPr>
            <w:tcW w:w="1134" w:type="dxa"/>
            <w:tcBorders>
              <w:top w:val="nil"/>
              <w:left w:val="nil"/>
              <w:bottom w:val="nil"/>
              <w:right w:val="single" w:sz="4" w:space="0" w:color="auto"/>
            </w:tcBorders>
            <w:shd w:val="clear" w:color="auto" w:fill="auto"/>
            <w:noWrap/>
            <w:vAlign w:val="center"/>
            <w:hideMark/>
          </w:tcPr>
          <w:p w14:paraId="216997AB" w14:textId="25FC8374"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104</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496 </w:t>
            </w:r>
          </w:p>
        </w:tc>
        <w:tc>
          <w:tcPr>
            <w:tcW w:w="1134" w:type="dxa"/>
            <w:tcBorders>
              <w:top w:val="nil"/>
              <w:left w:val="nil"/>
              <w:bottom w:val="nil"/>
              <w:right w:val="single" w:sz="4" w:space="0" w:color="auto"/>
            </w:tcBorders>
            <w:shd w:val="clear" w:color="auto" w:fill="auto"/>
            <w:noWrap/>
            <w:vAlign w:val="center"/>
            <w:hideMark/>
          </w:tcPr>
          <w:p w14:paraId="6AEC40BA" w14:textId="6D7725FD"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5.2 </w:t>
            </w:r>
          </w:p>
        </w:tc>
        <w:tc>
          <w:tcPr>
            <w:tcW w:w="1281" w:type="dxa"/>
            <w:tcBorders>
              <w:top w:val="nil"/>
              <w:left w:val="nil"/>
              <w:bottom w:val="nil"/>
              <w:right w:val="single" w:sz="4" w:space="0" w:color="auto"/>
            </w:tcBorders>
            <w:shd w:val="clear" w:color="auto" w:fill="auto"/>
            <w:noWrap/>
            <w:vAlign w:val="center"/>
            <w:hideMark/>
          </w:tcPr>
          <w:p w14:paraId="047C15F6" w14:textId="03CC634E"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17.2 </w:t>
            </w:r>
          </w:p>
        </w:tc>
      </w:tr>
      <w:tr w:rsidR="008B30F2" w:rsidRPr="009D14C2" w14:paraId="35E765DF" w14:textId="77777777" w:rsidTr="003A0362">
        <w:trPr>
          <w:trHeight w:val="287"/>
        </w:trPr>
        <w:tc>
          <w:tcPr>
            <w:tcW w:w="3964" w:type="dxa"/>
            <w:tcBorders>
              <w:top w:val="nil"/>
              <w:left w:val="single" w:sz="4" w:space="0" w:color="auto"/>
              <w:bottom w:val="nil"/>
              <w:right w:val="single" w:sz="4" w:space="0" w:color="auto"/>
            </w:tcBorders>
            <w:shd w:val="clear" w:color="auto" w:fill="auto"/>
            <w:noWrap/>
            <w:vAlign w:val="center"/>
            <w:hideMark/>
          </w:tcPr>
          <w:p w14:paraId="23707DA9" w14:textId="77777777" w:rsidR="008B30F2" w:rsidRPr="009D14C2" w:rsidRDefault="008B30F2" w:rsidP="003A0362">
            <w:pPr>
              <w:ind w:left="351"/>
              <w:rPr>
                <w:rFonts w:ascii="Arial" w:eastAsia="Times New Roman" w:hAnsi="Arial" w:cs="Arial"/>
                <w:b/>
                <w:bCs/>
                <w:sz w:val="18"/>
                <w:szCs w:val="18"/>
              </w:rPr>
            </w:pPr>
            <w:r w:rsidRPr="009D14C2">
              <w:rPr>
                <w:rFonts w:ascii="Arial" w:eastAsia="Times New Roman" w:hAnsi="Arial" w:cs="Arial"/>
                <w:b/>
                <w:bCs/>
                <w:sz w:val="18"/>
                <w:szCs w:val="18"/>
              </w:rPr>
              <w:t>Servicios</w:t>
            </w:r>
          </w:p>
        </w:tc>
        <w:tc>
          <w:tcPr>
            <w:tcW w:w="1200" w:type="dxa"/>
            <w:tcBorders>
              <w:top w:val="nil"/>
              <w:left w:val="nil"/>
              <w:bottom w:val="nil"/>
              <w:right w:val="single" w:sz="4" w:space="0" w:color="auto"/>
            </w:tcBorders>
            <w:shd w:val="clear" w:color="auto" w:fill="auto"/>
            <w:noWrap/>
            <w:vAlign w:val="center"/>
            <w:hideMark/>
          </w:tcPr>
          <w:p w14:paraId="2D917FE8" w14:textId="56EFC345" w:rsidR="008B30F2" w:rsidRPr="009D14C2" w:rsidRDefault="008B30F2" w:rsidP="003A0362">
            <w:pPr>
              <w:ind w:right="72"/>
              <w:jc w:val="right"/>
              <w:rPr>
                <w:rFonts w:ascii="Arial" w:eastAsia="Times New Roman" w:hAnsi="Arial" w:cs="Arial"/>
                <w:b/>
                <w:bCs/>
                <w:sz w:val="18"/>
                <w:szCs w:val="18"/>
              </w:rPr>
            </w:pPr>
            <w:r w:rsidRPr="009D14C2">
              <w:rPr>
                <w:rFonts w:ascii="Arial" w:eastAsia="Times New Roman" w:hAnsi="Arial" w:cs="Arial"/>
                <w:b/>
                <w:bCs/>
                <w:sz w:val="18"/>
                <w:szCs w:val="18"/>
              </w:rPr>
              <w:t>1</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376</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017 </w:t>
            </w:r>
          </w:p>
        </w:tc>
        <w:tc>
          <w:tcPr>
            <w:tcW w:w="1134" w:type="dxa"/>
            <w:tcBorders>
              <w:top w:val="nil"/>
              <w:left w:val="nil"/>
              <w:bottom w:val="nil"/>
              <w:right w:val="single" w:sz="4" w:space="0" w:color="auto"/>
            </w:tcBorders>
            <w:shd w:val="clear" w:color="auto" w:fill="auto"/>
            <w:noWrap/>
            <w:vAlign w:val="center"/>
            <w:hideMark/>
          </w:tcPr>
          <w:p w14:paraId="41E4B402" w14:textId="67714F92" w:rsidR="008B30F2" w:rsidRPr="009D14C2" w:rsidRDefault="008B30F2" w:rsidP="003A0362">
            <w:pPr>
              <w:ind w:right="72"/>
              <w:jc w:val="right"/>
              <w:rPr>
                <w:rFonts w:ascii="Arial" w:eastAsia="Times New Roman" w:hAnsi="Arial" w:cs="Arial"/>
                <w:b/>
                <w:bCs/>
                <w:sz w:val="18"/>
                <w:szCs w:val="18"/>
              </w:rPr>
            </w:pPr>
            <w:r w:rsidRPr="009D14C2">
              <w:rPr>
                <w:rFonts w:ascii="Arial" w:eastAsia="Times New Roman" w:hAnsi="Arial" w:cs="Arial"/>
                <w:b/>
                <w:bCs/>
                <w:sz w:val="18"/>
                <w:szCs w:val="18"/>
              </w:rPr>
              <w:t>1</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015</w:t>
            </w:r>
            <w:r w:rsidR="00A634AF">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498 </w:t>
            </w:r>
          </w:p>
        </w:tc>
        <w:tc>
          <w:tcPr>
            <w:tcW w:w="1134" w:type="dxa"/>
            <w:tcBorders>
              <w:top w:val="nil"/>
              <w:left w:val="nil"/>
              <w:bottom w:val="nil"/>
              <w:right w:val="single" w:sz="4" w:space="0" w:color="auto"/>
            </w:tcBorders>
            <w:shd w:val="clear" w:color="auto" w:fill="auto"/>
            <w:noWrap/>
            <w:vAlign w:val="center"/>
            <w:hideMark/>
          </w:tcPr>
          <w:p w14:paraId="7DDA8A90" w14:textId="77777777" w:rsidR="008B30F2" w:rsidRPr="009D14C2" w:rsidRDefault="008B30F2" w:rsidP="003A0362">
            <w:pPr>
              <w:ind w:right="72" w:firstLineChars="200" w:firstLine="361"/>
              <w:jc w:val="right"/>
              <w:rPr>
                <w:rFonts w:ascii="Arial" w:eastAsia="Times New Roman" w:hAnsi="Arial" w:cs="Arial"/>
                <w:b/>
                <w:bCs/>
                <w:sz w:val="18"/>
                <w:szCs w:val="18"/>
              </w:rPr>
            </w:pPr>
            <w:r w:rsidRPr="009D14C2">
              <w:rPr>
                <w:rFonts w:ascii="Arial" w:eastAsia="Times New Roman" w:hAnsi="Arial" w:cs="Arial"/>
                <w:b/>
                <w:bCs/>
                <w:sz w:val="18"/>
                <w:szCs w:val="18"/>
              </w:rPr>
              <w:t xml:space="preserve">0.6 </w:t>
            </w:r>
          </w:p>
        </w:tc>
        <w:tc>
          <w:tcPr>
            <w:tcW w:w="1281" w:type="dxa"/>
            <w:tcBorders>
              <w:top w:val="nil"/>
              <w:left w:val="nil"/>
              <w:bottom w:val="nil"/>
              <w:right w:val="single" w:sz="4" w:space="0" w:color="auto"/>
            </w:tcBorders>
            <w:shd w:val="clear" w:color="auto" w:fill="auto"/>
            <w:noWrap/>
            <w:vAlign w:val="center"/>
            <w:hideMark/>
          </w:tcPr>
          <w:p w14:paraId="4402AE59" w14:textId="530A5F3B" w:rsidR="008B30F2" w:rsidRPr="009D14C2" w:rsidRDefault="008B30F2" w:rsidP="003A0362">
            <w:pPr>
              <w:ind w:right="72" w:firstLineChars="200" w:firstLine="361"/>
              <w:jc w:val="right"/>
              <w:rPr>
                <w:rFonts w:ascii="Arial" w:eastAsia="Times New Roman" w:hAnsi="Arial" w:cs="Arial"/>
                <w:b/>
                <w:bCs/>
                <w:sz w:val="18"/>
                <w:szCs w:val="18"/>
              </w:rPr>
            </w:pPr>
            <w:r w:rsidRPr="009D14C2">
              <w:rPr>
                <w:rFonts w:ascii="Arial" w:eastAsia="Times New Roman" w:hAnsi="Arial" w:cs="Arial"/>
                <w:b/>
                <w:bCs/>
                <w:sz w:val="18"/>
                <w:szCs w:val="18"/>
              </w:rPr>
              <w:t>-</w:t>
            </w:r>
            <w:r>
              <w:rPr>
                <w:rFonts w:ascii="Arial" w:eastAsia="Times New Roman" w:hAnsi="Arial" w:cs="Arial"/>
                <w:b/>
                <w:bCs/>
                <w:sz w:val="18"/>
                <w:szCs w:val="18"/>
              </w:rPr>
              <w:t xml:space="preserve"> </w:t>
            </w:r>
            <w:r w:rsidRPr="009D14C2">
              <w:rPr>
                <w:rFonts w:ascii="Arial" w:eastAsia="Times New Roman" w:hAnsi="Arial" w:cs="Arial"/>
                <w:b/>
                <w:bCs/>
                <w:sz w:val="18"/>
                <w:szCs w:val="18"/>
              </w:rPr>
              <w:t xml:space="preserve">26.2 </w:t>
            </w:r>
          </w:p>
        </w:tc>
      </w:tr>
      <w:tr w:rsidR="008B30F2" w:rsidRPr="009D14C2" w14:paraId="2AF8C1ED" w14:textId="77777777" w:rsidTr="003A0362">
        <w:trPr>
          <w:trHeight w:val="420"/>
        </w:trPr>
        <w:tc>
          <w:tcPr>
            <w:tcW w:w="3964" w:type="dxa"/>
            <w:tcBorders>
              <w:top w:val="nil"/>
              <w:left w:val="single" w:sz="4" w:space="0" w:color="auto"/>
              <w:bottom w:val="nil"/>
              <w:right w:val="single" w:sz="4" w:space="0" w:color="auto"/>
            </w:tcBorders>
            <w:shd w:val="clear" w:color="auto" w:fill="auto"/>
            <w:noWrap/>
            <w:vAlign w:val="center"/>
            <w:hideMark/>
          </w:tcPr>
          <w:p w14:paraId="093BF82D"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Transporte de pasajeros</w:t>
            </w:r>
          </w:p>
        </w:tc>
        <w:tc>
          <w:tcPr>
            <w:tcW w:w="1200" w:type="dxa"/>
            <w:tcBorders>
              <w:top w:val="nil"/>
              <w:left w:val="nil"/>
              <w:bottom w:val="nil"/>
              <w:right w:val="single" w:sz="4" w:space="0" w:color="auto"/>
            </w:tcBorders>
            <w:shd w:val="clear" w:color="auto" w:fill="auto"/>
            <w:noWrap/>
            <w:vAlign w:val="center"/>
            <w:hideMark/>
          </w:tcPr>
          <w:p w14:paraId="5CAC99DB" w14:textId="25AB4430"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307</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770 </w:t>
            </w:r>
          </w:p>
        </w:tc>
        <w:tc>
          <w:tcPr>
            <w:tcW w:w="1134" w:type="dxa"/>
            <w:tcBorders>
              <w:top w:val="nil"/>
              <w:left w:val="nil"/>
              <w:bottom w:val="nil"/>
              <w:right w:val="single" w:sz="4" w:space="0" w:color="auto"/>
            </w:tcBorders>
            <w:shd w:val="clear" w:color="auto" w:fill="auto"/>
            <w:noWrap/>
            <w:vAlign w:val="center"/>
            <w:hideMark/>
          </w:tcPr>
          <w:p w14:paraId="649759A6" w14:textId="6FB7B6A4"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180</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643 </w:t>
            </w:r>
          </w:p>
        </w:tc>
        <w:tc>
          <w:tcPr>
            <w:tcW w:w="1134" w:type="dxa"/>
            <w:tcBorders>
              <w:top w:val="nil"/>
              <w:left w:val="nil"/>
              <w:bottom w:val="nil"/>
              <w:right w:val="single" w:sz="4" w:space="0" w:color="auto"/>
            </w:tcBorders>
            <w:shd w:val="clear" w:color="auto" w:fill="auto"/>
            <w:noWrap/>
            <w:vAlign w:val="center"/>
            <w:hideMark/>
          </w:tcPr>
          <w:p w14:paraId="1D570F25" w14:textId="0EF9495C"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0.3 </w:t>
            </w:r>
          </w:p>
        </w:tc>
        <w:tc>
          <w:tcPr>
            <w:tcW w:w="1281" w:type="dxa"/>
            <w:tcBorders>
              <w:top w:val="nil"/>
              <w:left w:val="nil"/>
              <w:bottom w:val="nil"/>
              <w:right w:val="single" w:sz="4" w:space="0" w:color="auto"/>
            </w:tcBorders>
            <w:shd w:val="clear" w:color="auto" w:fill="auto"/>
            <w:noWrap/>
            <w:vAlign w:val="center"/>
            <w:hideMark/>
          </w:tcPr>
          <w:p w14:paraId="2FECD01D" w14:textId="4FF4479A"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41.3 </w:t>
            </w:r>
          </w:p>
        </w:tc>
      </w:tr>
      <w:tr w:rsidR="008B30F2" w:rsidRPr="009D14C2" w14:paraId="156F82B2" w14:textId="77777777" w:rsidTr="003A0362">
        <w:trPr>
          <w:trHeight w:val="420"/>
        </w:trPr>
        <w:tc>
          <w:tcPr>
            <w:tcW w:w="3964" w:type="dxa"/>
            <w:tcBorders>
              <w:top w:val="nil"/>
              <w:left w:val="single" w:sz="4" w:space="0" w:color="auto"/>
              <w:bottom w:val="nil"/>
              <w:right w:val="single" w:sz="4" w:space="0" w:color="auto"/>
            </w:tcBorders>
            <w:shd w:val="clear" w:color="auto" w:fill="auto"/>
            <w:vAlign w:val="center"/>
            <w:hideMark/>
          </w:tcPr>
          <w:p w14:paraId="24346F53"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Agencias de viajes y otros servicios de reserva</w:t>
            </w:r>
          </w:p>
        </w:tc>
        <w:tc>
          <w:tcPr>
            <w:tcW w:w="1200" w:type="dxa"/>
            <w:tcBorders>
              <w:top w:val="nil"/>
              <w:left w:val="nil"/>
              <w:bottom w:val="nil"/>
              <w:right w:val="single" w:sz="4" w:space="0" w:color="auto"/>
            </w:tcBorders>
            <w:shd w:val="clear" w:color="auto" w:fill="auto"/>
            <w:noWrap/>
            <w:vAlign w:val="center"/>
            <w:hideMark/>
          </w:tcPr>
          <w:p w14:paraId="0A9F8EE9" w14:textId="29CDCE10"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10</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743 </w:t>
            </w:r>
          </w:p>
        </w:tc>
        <w:tc>
          <w:tcPr>
            <w:tcW w:w="1134" w:type="dxa"/>
            <w:tcBorders>
              <w:top w:val="nil"/>
              <w:left w:val="nil"/>
              <w:bottom w:val="nil"/>
              <w:right w:val="single" w:sz="4" w:space="0" w:color="auto"/>
            </w:tcBorders>
            <w:shd w:val="clear" w:color="auto" w:fill="auto"/>
            <w:noWrap/>
            <w:vAlign w:val="center"/>
            <w:hideMark/>
          </w:tcPr>
          <w:p w14:paraId="263A2643" w14:textId="29B8B6FD"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5</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202 </w:t>
            </w:r>
          </w:p>
        </w:tc>
        <w:tc>
          <w:tcPr>
            <w:tcW w:w="1134" w:type="dxa"/>
            <w:tcBorders>
              <w:top w:val="nil"/>
              <w:left w:val="nil"/>
              <w:bottom w:val="nil"/>
              <w:right w:val="single" w:sz="4" w:space="0" w:color="auto"/>
            </w:tcBorders>
            <w:shd w:val="clear" w:color="auto" w:fill="auto"/>
            <w:noWrap/>
            <w:vAlign w:val="center"/>
            <w:hideMark/>
          </w:tcPr>
          <w:p w14:paraId="1FDA92DC" w14:textId="0C7FF803"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2.5 </w:t>
            </w:r>
          </w:p>
        </w:tc>
        <w:tc>
          <w:tcPr>
            <w:tcW w:w="1281" w:type="dxa"/>
            <w:tcBorders>
              <w:top w:val="nil"/>
              <w:left w:val="nil"/>
              <w:bottom w:val="nil"/>
              <w:right w:val="single" w:sz="4" w:space="0" w:color="auto"/>
            </w:tcBorders>
            <w:shd w:val="clear" w:color="auto" w:fill="auto"/>
            <w:noWrap/>
            <w:vAlign w:val="center"/>
            <w:hideMark/>
          </w:tcPr>
          <w:p w14:paraId="1F40D671" w14:textId="696BD1BC"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51.6 </w:t>
            </w:r>
          </w:p>
        </w:tc>
      </w:tr>
      <w:tr w:rsidR="008B30F2" w:rsidRPr="009D14C2" w14:paraId="2ACD25F5" w14:textId="77777777" w:rsidTr="003A0362">
        <w:trPr>
          <w:trHeight w:val="297"/>
        </w:trPr>
        <w:tc>
          <w:tcPr>
            <w:tcW w:w="3964" w:type="dxa"/>
            <w:tcBorders>
              <w:top w:val="nil"/>
              <w:left w:val="single" w:sz="4" w:space="0" w:color="auto"/>
              <w:bottom w:val="nil"/>
              <w:right w:val="single" w:sz="4" w:space="0" w:color="auto"/>
            </w:tcBorders>
            <w:shd w:val="clear" w:color="auto" w:fill="auto"/>
            <w:noWrap/>
            <w:vAlign w:val="center"/>
            <w:hideMark/>
          </w:tcPr>
          <w:p w14:paraId="71F5B1BD"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Alojamiento para visitantes</w:t>
            </w:r>
          </w:p>
        </w:tc>
        <w:tc>
          <w:tcPr>
            <w:tcW w:w="1200" w:type="dxa"/>
            <w:tcBorders>
              <w:top w:val="nil"/>
              <w:left w:val="nil"/>
              <w:bottom w:val="nil"/>
              <w:right w:val="single" w:sz="4" w:space="0" w:color="auto"/>
            </w:tcBorders>
            <w:shd w:val="clear" w:color="auto" w:fill="auto"/>
            <w:noWrap/>
            <w:vAlign w:val="center"/>
            <w:hideMark/>
          </w:tcPr>
          <w:p w14:paraId="79B0A002" w14:textId="284C1E20"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482</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252 </w:t>
            </w:r>
          </w:p>
        </w:tc>
        <w:tc>
          <w:tcPr>
            <w:tcW w:w="1134" w:type="dxa"/>
            <w:tcBorders>
              <w:top w:val="nil"/>
              <w:left w:val="nil"/>
              <w:bottom w:val="nil"/>
              <w:right w:val="single" w:sz="4" w:space="0" w:color="auto"/>
            </w:tcBorders>
            <w:shd w:val="clear" w:color="auto" w:fill="auto"/>
            <w:noWrap/>
            <w:vAlign w:val="center"/>
            <w:hideMark/>
          </w:tcPr>
          <w:p w14:paraId="07F772C7" w14:textId="6BA745D2"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418</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134 </w:t>
            </w:r>
          </w:p>
        </w:tc>
        <w:tc>
          <w:tcPr>
            <w:tcW w:w="1134" w:type="dxa"/>
            <w:tcBorders>
              <w:top w:val="nil"/>
              <w:left w:val="nil"/>
              <w:bottom w:val="nil"/>
              <w:right w:val="single" w:sz="4" w:space="0" w:color="auto"/>
            </w:tcBorders>
            <w:shd w:val="clear" w:color="auto" w:fill="auto"/>
            <w:noWrap/>
            <w:vAlign w:val="center"/>
            <w:hideMark/>
          </w:tcPr>
          <w:p w14:paraId="3AFAEE1F" w14:textId="245A374D"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3.5 </w:t>
            </w:r>
          </w:p>
        </w:tc>
        <w:tc>
          <w:tcPr>
            <w:tcW w:w="1281" w:type="dxa"/>
            <w:tcBorders>
              <w:top w:val="nil"/>
              <w:left w:val="nil"/>
              <w:bottom w:val="nil"/>
              <w:right w:val="single" w:sz="4" w:space="0" w:color="auto"/>
            </w:tcBorders>
            <w:shd w:val="clear" w:color="auto" w:fill="auto"/>
            <w:noWrap/>
            <w:vAlign w:val="center"/>
            <w:hideMark/>
          </w:tcPr>
          <w:p w14:paraId="478DED15" w14:textId="6859FDA0"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13.3 </w:t>
            </w:r>
          </w:p>
        </w:tc>
      </w:tr>
      <w:tr w:rsidR="008B30F2" w:rsidRPr="009D14C2" w14:paraId="5EAB07C4" w14:textId="77777777" w:rsidTr="003A0362">
        <w:trPr>
          <w:trHeight w:val="287"/>
        </w:trPr>
        <w:tc>
          <w:tcPr>
            <w:tcW w:w="3964" w:type="dxa"/>
            <w:tcBorders>
              <w:top w:val="nil"/>
              <w:left w:val="single" w:sz="4" w:space="0" w:color="auto"/>
              <w:bottom w:val="nil"/>
              <w:right w:val="single" w:sz="4" w:space="0" w:color="auto"/>
            </w:tcBorders>
            <w:shd w:val="clear" w:color="auto" w:fill="auto"/>
            <w:noWrap/>
            <w:vAlign w:val="center"/>
            <w:hideMark/>
          </w:tcPr>
          <w:p w14:paraId="1B35EDFD"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Restaurantes, bares y centros nocturnos</w:t>
            </w:r>
          </w:p>
        </w:tc>
        <w:tc>
          <w:tcPr>
            <w:tcW w:w="1200" w:type="dxa"/>
            <w:tcBorders>
              <w:top w:val="nil"/>
              <w:left w:val="nil"/>
              <w:bottom w:val="nil"/>
              <w:right w:val="single" w:sz="4" w:space="0" w:color="auto"/>
            </w:tcBorders>
            <w:shd w:val="clear" w:color="auto" w:fill="auto"/>
            <w:noWrap/>
            <w:vAlign w:val="center"/>
            <w:hideMark/>
          </w:tcPr>
          <w:p w14:paraId="7EF7CF69" w14:textId="46B8885C"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221</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107 </w:t>
            </w:r>
          </w:p>
        </w:tc>
        <w:tc>
          <w:tcPr>
            <w:tcW w:w="1134" w:type="dxa"/>
            <w:tcBorders>
              <w:top w:val="nil"/>
              <w:left w:val="nil"/>
              <w:bottom w:val="nil"/>
              <w:right w:val="single" w:sz="4" w:space="0" w:color="auto"/>
            </w:tcBorders>
            <w:shd w:val="clear" w:color="auto" w:fill="auto"/>
            <w:noWrap/>
            <w:vAlign w:val="center"/>
            <w:hideMark/>
          </w:tcPr>
          <w:p w14:paraId="03DCDA72" w14:textId="137FF6F9"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147</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285 </w:t>
            </w:r>
          </w:p>
        </w:tc>
        <w:tc>
          <w:tcPr>
            <w:tcW w:w="1134" w:type="dxa"/>
            <w:tcBorders>
              <w:top w:val="nil"/>
              <w:left w:val="nil"/>
              <w:bottom w:val="nil"/>
              <w:right w:val="single" w:sz="4" w:space="0" w:color="auto"/>
            </w:tcBorders>
            <w:shd w:val="clear" w:color="auto" w:fill="auto"/>
            <w:noWrap/>
            <w:vAlign w:val="center"/>
            <w:hideMark/>
          </w:tcPr>
          <w:p w14:paraId="4AB4FF16" w14:textId="34083EE5"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2.2 </w:t>
            </w:r>
          </w:p>
        </w:tc>
        <w:tc>
          <w:tcPr>
            <w:tcW w:w="1281" w:type="dxa"/>
            <w:tcBorders>
              <w:top w:val="nil"/>
              <w:left w:val="nil"/>
              <w:bottom w:val="nil"/>
              <w:right w:val="single" w:sz="4" w:space="0" w:color="auto"/>
            </w:tcBorders>
            <w:shd w:val="clear" w:color="auto" w:fill="auto"/>
            <w:noWrap/>
            <w:vAlign w:val="center"/>
            <w:hideMark/>
          </w:tcPr>
          <w:p w14:paraId="1CAAC743" w14:textId="5F63C548"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33.4 </w:t>
            </w:r>
          </w:p>
        </w:tc>
      </w:tr>
      <w:tr w:rsidR="008B30F2" w:rsidRPr="009D14C2" w14:paraId="4723327E" w14:textId="77777777" w:rsidTr="003A0362">
        <w:trPr>
          <w:trHeight w:val="277"/>
        </w:trPr>
        <w:tc>
          <w:tcPr>
            <w:tcW w:w="3964" w:type="dxa"/>
            <w:tcBorders>
              <w:top w:val="nil"/>
              <w:left w:val="single" w:sz="4" w:space="0" w:color="auto"/>
              <w:bottom w:val="nil"/>
              <w:right w:val="single" w:sz="4" w:space="0" w:color="auto"/>
            </w:tcBorders>
            <w:shd w:val="clear" w:color="auto" w:fill="auto"/>
            <w:noWrap/>
            <w:vAlign w:val="center"/>
            <w:hideMark/>
          </w:tcPr>
          <w:p w14:paraId="6255CD68"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Comercio turístico</w:t>
            </w:r>
          </w:p>
        </w:tc>
        <w:tc>
          <w:tcPr>
            <w:tcW w:w="1200" w:type="dxa"/>
            <w:tcBorders>
              <w:top w:val="nil"/>
              <w:left w:val="nil"/>
              <w:bottom w:val="nil"/>
              <w:right w:val="single" w:sz="4" w:space="0" w:color="auto"/>
            </w:tcBorders>
            <w:shd w:val="clear" w:color="auto" w:fill="auto"/>
            <w:noWrap/>
            <w:vAlign w:val="center"/>
            <w:hideMark/>
          </w:tcPr>
          <w:p w14:paraId="10B5FB81" w14:textId="236BF913"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113</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865 </w:t>
            </w:r>
          </w:p>
        </w:tc>
        <w:tc>
          <w:tcPr>
            <w:tcW w:w="1134" w:type="dxa"/>
            <w:tcBorders>
              <w:top w:val="nil"/>
              <w:left w:val="nil"/>
              <w:bottom w:val="nil"/>
              <w:right w:val="single" w:sz="4" w:space="0" w:color="auto"/>
            </w:tcBorders>
            <w:shd w:val="clear" w:color="auto" w:fill="auto"/>
            <w:noWrap/>
            <w:vAlign w:val="center"/>
            <w:hideMark/>
          </w:tcPr>
          <w:p w14:paraId="307E4CD8" w14:textId="3A348763"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85</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324 </w:t>
            </w:r>
          </w:p>
        </w:tc>
        <w:tc>
          <w:tcPr>
            <w:tcW w:w="1134" w:type="dxa"/>
            <w:tcBorders>
              <w:top w:val="nil"/>
              <w:left w:val="nil"/>
              <w:bottom w:val="nil"/>
              <w:right w:val="single" w:sz="4" w:space="0" w:color="auto"/>
            </w:tcBorders>
            <w:shd w:val="clear" w:color="auto" w:fill="auto"/>
            <w:noWrap/>
            <w:vAlign w:val="center"/>
            <w:hideMark/>
          </w:tcPr>
          <w:p w14:paraId="7856D128" w14:textId="3B619A54"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0.8 </w:t>
            </w:r>
          </w:p>
        </w:tc>
        <w:tc>
          <w:tcPr>
            <w:tcW w:w="1281" w:type="dxa"/>
            <w:tcBorders>
              <w:top w:val="nil"/>
              <w:left w:val="nil"/>
              <w:bottom w:val="nil"/>
              <w:right w:val="single" w:sz="4" w:space="0" w:color="auto"/>
            </w:tcBorders>
            <w:shd w:val="clear" w:color="auto" w:fill="auto"/>
            <w:noWrap/>
            <w:vAlign w:val="center"/>
            <w:hideMark/>
          </w:tcPr>
          <w:p w14:paraId="35A2F1CE" w14:textId="1194330D"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25.1 </w:t>
            </w:r>
          </w:p>
        </w:tc>
      </w:tr>
      <w:tr w:rsidR="008B30F2" w:rsidRPr="009D14C2" w14:paraId="41023E99" w14:textId="77777777" w:rsidTr="003A0362">
        <w:trPr>
          <w:trHeight w:val="281"/>
        </w:trPr>
        <w:tc>
          <w:tcPr>
            <w:tcW w:w="3964" w:type="dxa"/>
            <w:tcBorders>
              <w:top w:val="nil"/>
              <w:left w:val="single" w:sz="4" w:space="0" w:color="auto"/>
              <w:bottom w:val="nil"/>
              <w:right w:val="single" w:sz="4" w:space="0" w:color="auto"/>
            </w:tcBorders>
            <w:shd w:val="clear" w:color="auto" w:fill="auto"/>
            <w:noWrap/>
            <w:vAlign w:val="center"/>
            <w:hideMark/>
          </w:tcPr>
          <w:p w14:paraId="2C54F0A1"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Servicios culturales</w:t>
            </w:r>
          </w:p>
        </w:tc>
        <w:tc>
          <w:tcPr>
            <w:tcW w:w="1200" w:type="dxa"/>
            <w:tcBorders>
              <w:top w:val="nil"/>
              <w:left w:val="nil"/>
              <w:bottom w:val="nil"/>
              <w:right w:val="single" w:sz="4" w:space="0" w:color="auto"/>
            </w:tcBorders>
            <w:shd w:val="clear" w:color="auto" w:fill="auto"/>
            <w:noWrap/>
            <w:vAlign w:val="center"/>
            <w:hideMark/>
          </w:tcPr>
          <w:p w14:paraId="51A016B2" w14:textId="0E4F7EF4"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13</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880 </w:t>
            </w:r>
          </w:p>
        </w:tc>
        <w:tc>
          <w:tcPr>
            <w:tcW w:w="1134" w:type="dxa"/>
            <w:tcBorders>
              <w:top w:val="nil"/>
              <w:left w:val="nil"/>
              <w:bottom w:val="nil"/>
              <w:right w:val="single" w:sz="4" w:space="0" w:color="auto"/>
            </w:tcBorders>
            <w:shd w:val="clear" w:color="auto" w:fill="auto"/>
            <w:noWrap/>
            <w:vAlign w:val="center"/>
            <w:hideMark/>
          </w:tcPr>
          <w:p w14:paraId="05938C13" w14:textId="4179C0E6"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8</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587 </w:t>
            </w:r>
          </w:p>
        </w:tc>
        <w:tc>
          <w:tcPr>
            <w:tcW w:w="1134" w:type="dxa"/>
            <w:tcBorders>
              <w:top w:val="nil"/>
              <w:left w:val="nil"/>
              <w:bottom w:val="nil"/>
              <w:right w:val="single" w:sz="4" w:space="0" w:color="auto"/>
            </w:tcBorders>
            <w:shd w:val="clear" w:color="auto" w:fill="auto"/>
            <w:noWrap/>
            <w:vAlign w:val="center"/>
            <w:hideMark/>
          </w:tcPr>
          <w:p w14:paraId="08716D7A" w14:textId="77777777"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 xml:space="preserve">2.7 </w:t>
            </w:r>
          </w:p>
        </w:tc>
        <w:tc>
          <w:tcPr>
            <w:tcW w:w="1281" w:type="dxa"/>
            <w:tcBorders>
              <w:top w:val="nil"/>
              <w:left w:val="nil"/>
              <w:bottom w:val="nil"/>
              <w:right w:val="single" w:sz="4" w:space="0" w:color="auto"/>
            </w:tcBorders>
            <w:shd w:val="clear" w:color="auto" w:fill="auto"/>
            <w:noWrap/>
            <w:vAlign w:val="center"/>
            <w:hideMark/>
          </w:tcPr>
          <w:p w14:paraId="02819A1F" w14:textId="7D772FAB"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38.1 </w:t>
            </w:r>
          </w:p>
        </w:tc>
      </w:tr>
      <w:tr w:rsidR="008B30F2" w:rsidRPr="009D14C2" w14:paraId="61B791F6" w14:textId="77777777" w:rsidTr="003A0362">
        <w:trPr>
          <w:trHeight w:val="299"/>
        </w:trPr>
        <w:tc>
          <w:tcPr>
            <w:tcW w:w="3964" w:type="dxa"/>
            <w:tcBorders>
              <w:top w:val="nil"/>
              <w:left w:val="single" w:sz="4" w:space="0" w:color="auto"/>
              <w:bottom w:val="nil"/>
              <w:right w:val="single" w:sz="4" w:space="0" w:color="auto"/>
            </w:tcBorders>
            <w:shd w:val="clear" w:color="auto" w:fill="auto"/>
            <w:noWrap/>
            <w:vAlign w:val="center"/>
            <w:hideMark/>
          </w:tcPr>
          <w:p w14:paraId="0E285B4A"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Servicios deportivos y recreativos</w:t>
            </w:r>
          </w:p>
        </w:tc>
        <w:tc>
          <w:tcPr>
            <w:tcW w:w="1200" w:type="dxa"/>
            <w:tcBorders>
              <w:top w:val="nil"/>
              <w:left w:val="nil"/>
              <w:bottom w:val="nil"/>
              <w:right w:val="single" w:sz="4" w:space="0" w:color="auto"/>
            </w:tcBorders>
            <w:shd w:val="clear" w:color="auto" w:fill="auto"/>
            <w:noWrap/>
            <w:vAlign w:val="center"/>
            <w:hideMark/>
          </w:tcPr>
          <w:p w14:paraId="3D42D8FC" w14:textId="3BF78FFF"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15</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296 </w:t>
            </w:r>
          </w:p>
        </w:tc>
        <w:tc>
          <w:tcPr>
            <w:tcW w:w="1134" w:type="dxa"/>
            <w:tcBorders>
              <w:top w:val="nil"/>
              <w:left w:val="nil"/>
              <w:bottom w:val="nil"/>
              <w:right w:val="single" w:sz="4" w:space="0" w:color="auto"/>
            </w:tcBorders>
            <w:shd w:val="clear" w:color="auto" w:fill="auto"/>
            <w:noWrap/>
            <w:vAlign w:val="center"/>
            <w:hideMark/>
          </w:tcPr>
          <w:p w14:paraId="488B10BD" w14:textId="0E0031FA"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7</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413 </w:t>
            </w:r>
          </w:p>
        </w:tc>
        <w:tc>
          <w:tcPr>
            <w:tcW w:w="1134" w:type="dxa"/>
            <w:tcBorders>
              <w:top w:val="nil"/>
              <w:left w:val="nil"/>
              <w:bottom w:val="nil"/>
              <w:right w:val="single" w:sz="4" w:space="0" w:color="auto"/>
            </w:tcBorders>
            <w:shd w:val="clear" w:color="auto" w:fill="auto"/>
            <w:noWrap/>
            <w:vAlign w:val="center"/>
            <w:hideMark/>
          </w:tcPr>
          <w:p w14:paraId="1A0E10A8" w14:textId="2A6A58C4"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6.8 </w:t>
            </w:r>
          </w:p>
        </w:tc>
        <w:tc>
          <w:tcPr>
            <w:tcW w:w="1281" w:type="dxa"/>
            <w:tcBorders>
              <w:top w:val="nil"/>
              <w:left w:val="nil"/>
              <w:bottom w:val="nil"/>
              <w:right w:val="single" w:sz="4" w:space="0" w:color="auto"/>
            </w:tcBorders>
            <w:shd w:val="clear" w:color="auto" w:fill="auto"/>
            <w:noWrap/>
            <w:vAlign w:val="center"/>
            <w:hideMark/>
          </w:tcPr>
          <w:p w14:paraId="28A1C963" w14:textId="606CAAEE"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51.5 </w:t>
            </w:r>
          </w:p>
        </w:tc>
      </w:tr>
      <w:tr w:rsidR="008B30F2" w:rsidRPr="009D14C2" w14:paraId="0005C849" w14:textId="77777777" w:rsidTr="003A0362">
        <w:trPr>
          <w:trHeight w:val="27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5A6770A5" w14:textId="77777777" w:rsidR="008B30F2" w:rsidRPr="009D14C2" w:rsidRDefault="008B30F2" w:rsidP="003A0362">
            <w:pPr>
              <w:ind w:left="492"/>
              <w:rPr>
                <w:rFonts w:ascii="Arial" w:eastAsia="Times New Roman" w:hAnsi="Arial" w:cs="Arial"/>
                <w:sz w:val="18"/>
                <w:szCs w:val="18"/>
              </w:rPr>
            </w:pPr>
            <w:r w:rsidRPr="009D14C2">
              <w:rPr>
                <w:rFonts w:ascii="Arial" w:eastAsia="Times New Roman" w:hAnsi="Arial" w:cs="Arial"/>
                <w:sz w:val="18"/>
                <w:szCs w:val="18"/>
              </w:rPr>
              <w:t>Otros servicios*</w:t>
            </w:r>
          </w:p>
        </w:tc>
        <w:tc>
          <w:tcPr>
            <w:tcW w:w="1200" w:type="dxa"/>
            <w:tcBorders>
              <w:top w:val="nil"/>
              <w:left w:val="nil"/>
              <w:bottom w:val="single" w:sz="4" w:space="0" w:color="auto"/>
              <w:right w:val="single" w:sz="4" w:space="0" w:color="auto"/>
            </w:tcBorders>
            <w:shd w:val="clear" w:color="auto" w:fill="auto"/>
            <w:noWrap/>
            <w:vAlign w:val="center"/>
            <w:hideMark/>
          </w:tcPr>
          <w:p w14:paraId="4D594175" w14:textId="1BF87141"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211</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104 </w:t>
            </w:r>
          </w:p>
        </w:tc>
        <w:tc>
          <w:tcPr>
            <w:tcW w:w="1134" w:type="dxa"/>
            <w:tcBorders>
              <w:top w:val="nil"/>
              <w:left w:val="nil"/>
              <w:bottom w:val="single" w:sz="4" w:space="0" w:color="auto"/>
              <w:right w:val="single" w:sz="4" w:space="0" w:color="auto"/>
            </w:tcBorders>
            <w:shd w:val="clear" w:color="auto" w:fill="auto"/>
            <w:noWrap/>
            <w:vAlign w:val="center"/>
            <w:hideMark/>
          </w:tcPr>
          <w:p w14:paraId="74310556" w14:textId="2111A293" w:rsidR="008B30F2" w:rsidRPr="009D14C2" w:rsidRDefault="008B30F2" w:rsidP="003A0362">
            <w:pPr>
              <w:ind w:right="72"/>
              <w:jc w:val="right"/>
              <w:rPr>
                <w:rFonts w:ascii="Arial" w:eastAsia="Times New Roman" w:hAnsi="Arial" w:cs="Arial"/>
                <w:sz w:val="18"/>
                <w:szCs w:val="18"/>
              </w:rPr>
            </w:pPr>
            <w:r w:rsidRPr="009D14C2">
              <w:rPr>
                <w:rFonts w:ascii="Arial" w:eastAsia="Times New Roman" w:hAnsi="Arial" w:cs="Arial"/>
                <w:sz w:val="18"/>
                <w:szCs w:val="18"/>
              </w:rPr>
              <w:t>162</w:t>
            </w:r>
            <w:r w:rsidR="00A634AF">
              <w:rPr>
                <w:rFonts w:ascii="Arial" w:eastAsia="Times New Roman" w:hAnsi="Arial" w:cs="Arial"/>
                <w:sz w:val="18"/>
                <w:szCs w:val="18"/>
              </w:rPr>
              <w:t xml:space="preserve"> </w:t>
            </w:r>
            <w:r w:rsidRPr="009D14C2">
              <w:rPr>
                <w:rFonts w:ascii="Arial" w:eastAsia="Times New Roman" w:hAnsi="Arial" w:cs="Arial"/>
                <w:sz w:val="18"/>
                <w:szCs w:val="18"/>
              </w:rPr>
              <w:t xml:space="preserve">911 </w:t>
            </w:r>
          </w:p>
        </w:tc>
        <w:tc>
          <w:tcPr>
            <w:tcW w:w="1134" w:type="dxa"/>
            <w:tcBorders>
              <w:top w:val="nil"/>
              <w:left w:val="nil"/>
              <w:bottom w:val="single" w:sz="4" w:space="0" w:color="auto"/>
              <w:right w:val="single" w:sz="4" w:space="0" w:color="auto"/>
            </w:tcBorders>
            <w:shd w:val="clear" w:color="auto" w:fill="auto"/>
            <w:noWrap/>
            <w:vAlign w:val="center"/>
            <w:hideMark/>
          </w:tcPr>
          <w:p w14:paraId="17A69A4C" w14:textId="4CDC1F49"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4.6 </w:t>
            </w:r>
          </w:p>
        </w:tc>
        <w:tc>
          <w:tcPr>
            <w:tcW w:w="1281" w:type="dxa"/>
            <w:tcBorders>
              <w:top w:val="nil"/>
              <w:left w:val="nil"/>
              <w:bottom w:val="single" w:sz="4" w:space="0" w:color="auto"/>
              <w:right w:val="single" w:sz="4" w:space="0" w:color="auto"/>
            </w:tcBorders>
            <w:shd w:val="clear" w:color="auto" w:fill="auto"/>
            <w:noWrap/>
            <w:vAlign w:val="center"/>
            <w:hideMark/>
          </w:tcPr>
          <w:p w14:paraId="6D7A185E" w14:textId="43E65762" w:rsidR="008B30F2" w:rsidRPr="009D14C2" w:rsidRDefault="008B30F2" w:rsidP="003A0362">
            <w:pPr>
              <w:ind w:right="72" w:firstLineChars="200" w:firstLine="360"/>
              <w:jc w:val="right"/>
              <w:rPr>
                <w:rFonts w:ascii="Arial" w:eastAsia="Times New Roman" w:hAnsi="Arial" w:cs="Arial"/>
                <w:sz w:val="18"/>
                <w:szCs w:val="18"/>
              </w:rPr>
            </w:pPr>
            <w:r w:rsidRPr="009D14C2">
              <w:rPr>
                <w:rFonts w:ascii="Arial" w:eastAsia="Times New Roman" w:hAnsi="Arial" w:cs="Arial"/>
                <w:sz w:val="18"/>
                <w:szCs w:val="18"/>
              </w:rPr>
              <w:t>-</w:t>
            </w:r>
            <w:r>
              <w:rPr>
                <w:rFonts w:ascii="Arial" w:eastAsia="Times New Roman" w:hAnsi="Arial" w:cs="Arial"/>
                <w:sz w:val="18"/>
                <w:szCs w:val="18"/>
              </w:rPr>
              <w:t xml:space="preserve"> </w:t>
            </w:r>
            <w:r w:rsidRPr="009D14C2">
              <w:rPr>
                <w:rFonts w:ascii="Arial" w:eastAsia="Times New Roman" w:hAnsi="Arial" w:cs="Arial"/>
                <w:sz w:val="18"/>
                <w:szCs w:val="18"/>
              </w:rPr>
              <w:t xml:space="preserve">22.8 </w:t>
            </w:r>
          </w:p>
        </w:tc>
      </w:tr>
    </w:tbl>
    <w:p w14:paraId="48F7917E" w14:textId="2F495B4F" w:rsidR="00F11CB4" w:rsidRPr="006A10BE" w:rsidRDefault="00F11CB4" w:rsidP="000353D6">
      <w:pPr>
        <w:autoSpaceDE w:val="0"/>
        <w:autoSpaceDN w:val="0"/>
        <w:adjustRightInd w:val="0"/>
        <w:ind w:left="142" w:hanging="142"/>
        <w:jc w:val="both"/>
        <w:rPr>
          <w:rFonts w:ascii="Arial" w:eastAsiaTheme="minorHAnsi" w:hAnsi="Arial" w:cs="Arial"/>
          <w:color w:val="000000"/>
          <w:sz w:val="16"/>
          <w:szCs w:val="16"/>
          <w:lang w:eastAsia="en-US"/>
        </w:rPr>
      </w:pPr>
      <w:r w:rsidRPr="006A10BE">
        <w:rPr>
          <w:rFonts w:ascii="Arial" w:eastAsiaTheme="minorHAnsi" w:hAnsi="Arial" w:cs="Arial"/>
          <w:color w:val="000000"/>
          <w:sz w:val="16"/>
          <w:szCs w:val="16"/>
          <w:lang w:eastAsia="en-US"/>
        </w:rPr>
        <w:t xml:space="preserve">* Incluye Servicios de </w:t>
      </w:r>
      <w:r w:rsidR="00D662A5">
        <w:rPr>
          <w:rFonts w:ascii="Arial" w:eastAsiaTheme="minorHAnsi" w:hAnsi="Arial" w:cs="Arial"/>
          <w:color w:val="000000"/>
          <w:sz w:val="16"/>
          <w:szCs w:val="16"/>
          <w:lang w:eastAsia="en-US"/>
        </w:rPr>
        <w:t>a</w:t>
      </w:r>
      <w:r w:rsidRPr="006A10BE">
        <w:rPr>
          <w:rFonts w:ascii="Arial" w:eastAsiaTheme="minorHAnsi" w:hAnsi="Arial" w:cs="Arial"/>
          <w:color w:val="000000"/>
          <w:sz w:val="16"/>
          <w:szCs w:val="16"/>
          <w:lang w:eastAsia="en-US"/>
        </w:rPr>
        <w:t xml:space="preserve">poyo, servicios de información, servicios financieros, servicios inmobiliarios y de alquiler, servicios profesionales, servicios de salud y productos no destinados al consumo y otros. </w:t>
      </w:r>
    </w:p>
    <w:p w14:paraId="301D7696" w14:textId="26FA4C78" w:rsidR="00107C3F" w:rsidRPr="007A0E91" w:rsidRDefault="00F11CB4" w:rsidP="007A0E91">
      <w:pPr>
        <w:pStyle w:val="Textoindependiente"/>
        <w:rPr>
          <w:rFonts w:ascii="Arial" w:hAnsi="Arial" w:cs="Arial"/>
          <w:sz w:val="16"/>
          <w:szCs w:val="16"/>
        </w:rPr>
      </w:pPr>
      <w:r w:rsidRPr="006A10BE">
        <w:rPr>
          <w:rFonts w:ascii="Arial" w:eastAsiaTheme="minorHAnsi" w:hAnsi="Arial" w:cs="Arial"/>
          <w:color w:val="000000"/>
          <w:sz w:val="16"/>
          <w:szCs w:val="16"/>
          <w:lang w:val="es-MX" w:eastAsia="en-US"/>
        </w:rPr>
        <w:t>Fuente: INEGI</w:t>
      </w:r>
    </w:p>
    <w:p w14:paraId="62B16A85" w14:textId="77777777" w:rsidR="00A634AF" w:rsidRDefault="00A634AF" w:rsidP="00A634AF">
      <w:pPr>
        <w:spacing w:after="160" w:line="259" w:lineRule="auto"/>
        <w:rPr>
          <w:rFonts w:ascii="Arial" w:hAnsi="Arial" w:cs="Arial"/>
          <w:b/>
          <w:iCs/>
          <w:smallCaps/>
        </w:rPr>
      </w:pPr>
    </w:p>
    <w:p w14:paraId="590DC268" w14:textId="77777777" w:rsidR="00520DDB" w:rsidRDefault="00520DDB" w:rsidP="00A634AF">
      <w:pPr>
        <w:spacing w:after="160" w:line="259" w:lineRule="auto"/>
        <w:rPr>
          <w:rFonts w:ascii="Arial" w:hAnsi="Arial" w:cs="Arial"/>
          <w:b/>
          <w:iCs/>
          <w:smallCaps/>
        </w:rPr>
      </w:pPr>
    </w:p>
    <w:p w14:paraId="1E531C56" w14:textId="21DA9188" w:rsidR="00DF14EF" w:rsidRDefault="00C727C1" w:rsidP="00520DDB">
      <w:pPr>
        <w:spacing w:after="160" w:line="259" w:lineRule="auto"/>
        <w:ind w:left="-567" w:right="-518"/>
        <w:rPr>
          <w:rFonts w:ascii="Arial" w:hAnsi="Arial" w:cs="Arial"/>
          <w:b/>
          <w:iCs/>
          <w:smallCaps/>
        </w:rPr>
      </w:pPr>
      <w:r w:rsidRPr="00407D31">
        <w:rPr>
          <w:rFonts w:ascii="Arial" w:hAnsi="Arial" w:cs="Arial"/>
          <w:b/>
          <w:iCs/>
          <w:smallCaps/>
        </w:rPr>
        <w:t>Puestos de Trabajo</w:t>
      </w:r>
      <w:r w:rsidR="00906F1F">
        <w:rPr>
          <w:rFonts w:ascii="Arial" w:hAnsi="Arial" w:cs="Arial"/>
          <w:b/>
          <w:iCs/>
          <w:smallCaps/>
        </w:rPr>
        <w:t xml:space="preserve"> en el Sector Turismo</w:t>
      </w:r>
    </w:p>
    <w:p w14:paraId="4C39DD3C" w14:textId="5C55A197" w:rsidR="008831DA" w:rsidRDefault="006A2B5D" w:rsidP="00520DDB">
      <w:pPr>
        <w:spacing w:before="240" w:after="240"/>
        <w:ind w:left="-567" w:right="-518"/>
        <w:jc w:val="both"/>
        <w:rPr>
          <w:rFonts w:ascii="Arial" w:hAnsi="Arial" w:cs="Arial"/>
          <w:lang w:val="x-none" w:eastAsia="x-none"/>
        </w:rPr>
      </w:pPr>
      <w:r w:rsidRPr="008B6DD0">
        <w:rPr>
          <w:rFonts w:ascii="Arial" w:hAnsi="Arial" w:cs="Arial"/>
          <w:lang w:val="x-none" w:eastAsia="x-none"/>
        </w:rPr>
        <w:t xml:space="preserve">Para </w:t>
      </w:r>
      <w:r w:rsidR="00C727C1" w:rsidRPr="008B6DD0">
        <w:rPr>
          <w:rFonts w:ascii="Arial" w:hAnsi="Arial" w:cs="Arial"/>
          <w:lang w:val="x-none" w:eastAsia="x-none"/>
        </w:rPr>
        <w:t>2020</w:t>
      </w:r>
      <w:r w:rsidRPr="008B6DD0">
        <w:rPr>
          <w:rFonts w:ascii="Arial" w:hAnsi="Arial" w:cs="Arial"/>
          <w:lang w:val="x-none" w:eastAsia="x-none"/>
        </w:rPr>
        <w:t>, los puestos de trabajo en el sector turismo,</w:t>
      </w:r>
      <w:r w:rsidR="00C727C1" w:rsidRPr="008B6DD0">
        <w:rPr>
          <w:rFonts w:ascii="Arial" w:hAnsi="Arial" w:cs="Arial"/>
          <w:lang w:val="x-none" w:eastAsia="x-none"/>
        </w:rPr>
        <w:t xml:space="preserve"> generaron alrededor de 2 millones de puestos de trabajo</w:t>
      </w:r>
      <w:r w:rsidR="00066E89" w:rsidRPr="008B6DD0">
        <w:rPr>
          <w:rFonts w:ascii="Arial" w:hAnsi="Arial" w:cs="Arial"/>
          <w:lang w:val="x-none" w:eastAsia="x-none"/>
        </w:rPr>
        <w:t xml:space="preserve"> (con una disminución de 12.3% respecto a</w:t>
      </w:r>
      <w:r w:rsidR="000942B0" w:rsidRPr="008B6DD0">
        <w:rPr>
          <w:rFonts w:ascii="Arial" w:hAnsi="Arial" w:cs="Arial"/>
          <w:lang w:val="x-none" w:eastAsia="x-none"/>
        </w:rPr>
        <w:t>l</w:t>
      </w:r>
      <w:r w:rsidR="00066E89" w:rsidRPr="008B6DD0">
        <w:rPr>
          <w:rFonts w:ascii="Arial" w:hAnsi="Arial" w:cs="Arial"/>
          <w:lang w:val="x-none" w:eastAsia="x-none"/>
        </w:rPr>
        <w:t xml:space="preserve"> 2019)</w:t>
      </w:r>
      <w:r w:rsidR="00C727C1" w:rsidRPr="008B6DD0">
        <w:rPr>
          <w:rFonts w:ascii="Arial" w:hAnsi="Arial" w:cs="Arial"/>
          <w:lang w:val="x-none" w:eastAsia="x-none"/>
        </w:rPr>
        <w:t>, lo que signific</w:t>
      </w:r>
      <w:r w:rsidR="00D36189" w:rsidRPr="008B6DD0">
        <w:rPr>
          <w:rFonts w:ascii="Arial" w:hAnsi="Arial" w:cs="Arial"/>
          <w:lang w:val="x-none" w:eastAsia="x-none"/>
        </w:rPr>
        <w:t>a</w:t>
      </w:r>
      <w:r w:rsidR="00C727C1" w:rsidRPr="008B6DD0">
        <w:rPr>
          <w:rFonts w:ascii="Arial" w:hAnsi="Arial" w:cs="Arial"/>
          <w:lang w:val="x-none" w:eastAsia="x-none"/>
        </w:rPr>
        <w:t xml:space="preserve"> 5.</w:t>
      </w:r>
      <w:r w:rsidR="00500CFB" w:rsidRPr="008B6DD0">
        <w:rPr>
          <w:rFonts w:ascii="Arial" w:hAnsi="Arial" w:cs="Arial"/>
          <w:lang w:val="x-none" w:eastAsia="x-none"/>
        </w:rPr>
        <w:t>3</w:t>
      </w:r>
      <w:r w:rsidR="00C727C1" w:rsidRPr="008B6DD0">
        <w:rPr>
          <w:rFonts w:ascii="Arial" w:hAnsi="Arial" w:cs="Arial"/>
          <w:lang w:val="x-none" w:eastAsia="x-none"/>
        </w:rPr>
        <w:t>% de las ocupaciones remuneradas del país</w:t>
      </w:r>
      <w:r w:rsidR="00D36189" w:rsidRPr="008B6DD0">
        <w:rPr>
          <w:rFonts w:ascii="Arial" w:hAnsi="Arial" w:cs="Arial"/>
          <w:lang w:val="x-none" w:eastAsia="x-none"/>
        </w:rPr>
        <w:t xml:space="preserve">, lo que contrasta con </w:t>
      </w:r>
      <w:r w:rsidR="007412D4" w:rsidRPr="008B6DD0">
        <w:rPr>
          <w:rFonts w:ascii="Arial" w:hAnsi="Arial" w:cs="Arial"/>
          <w:lang w:val="x-none" w:eastAsia="x-none"/>
        </w:rPr>
        <w:t>la participación de 5.8</w:t>
      </w:r>
      <w:r w:rsidR="00D36189" w:rsidRPr="008B6DD0">
        <w:rPr>
          <w:rFonts w:ascii="Arial" w:hAnsi="Arial" w:cs="Arial"/>
          <w:lang w:val="x-none" w:eastAsia="x-none"/>
        </w:rPr>
        <w:t>% en 2019</w:t>
      </w:r>
      <w:r w:rsidR="007412D4" w:rsidRPr="008B6DD0">
        <w:rPr>
          <w:rFonts w:ascii="Arial" w:hAnsi="Arial" w:cs="Arial"/>
          <w:lang w:val="x-none" w:eastAsia="x-none"/>
        </w:rPr>
        <w:t xml:space="preserve">. </w:t>
      </w:r>
      <w:r w:rsidR="00C727C1" w:rsidRPr="008B6DD0">
        <w:rPr>
          <w:rFonts w:ascii="Arial" w:hAnsi="Arial" w:cs="Arial"/>
          <w:lang w:val="x-none" w:eastAsia="x-none"/>
        </w:rPr>
        <w:t>La mayor contribución al interior del sector turismo</w:t>
      </w:r>
      <w:r w:rsidR="007412D4" w:rsidRPr="008B6DD0">
        <w:rPr>
          <w:rFonts w:ascii="Arial" w:hAnsi="Arial" w:cs="Arial"/>
          <w:lang w:val="x-none" w:eastAsia="x-none"/>
        </w:rPr>
        <w:t>, en 2020,</w:t>
      </w:r>
      <w:r w:rsidR="00C727C1" w:rsidRPr="008B6DD0">
        <w:rPr>
          <w:rFonts w:ascii="Arial" w:hAnsi="Arial" w:cs="Arial"/>
          <w:lang w:val="x-none" w:eastAsia="x-none"/>
        </w:rPr>
        <w:t xml:space="preserve"> se registró en</w:t>
      </w:r>
      <w:r w:rsidR="00066E89" w:rsidRPr="008B6DD0">
        <w:rPr>
          <w:rFonts w:ascii="Arial" w:hAnsi="Arial" w:cs="Arial"/>
          <w:lang w:val="x-none" w:eastAsia="x-none"/>
        </w:rPr>
        <w:t xml:space="preserve"> el r</w:t>
      </w:r>
      <w:r w:rsidR="009558A1" w:rsidRPr="008B6DD0">
        <w:rPr>
          <w:rFonts w:ascii="Arial" w:hAnsi="Arial" w:cs="Arial"/>
          <w:lang w:val="x-none" w:eastAsia="x-none"/>
        </w:rPr>
        <w:t>u</w:t>
      </w:r>
      <w:r w:rsidR="00066E89" w:rsidRPr="008B6DD0">
        <w:rPr>
          <w:rFonts w:ascii="Arial" w:hAnsi="Arial" w:cs="Arial"/>
          <w:lang w:val="x-none" w:eastAsia="x-none"/>
        </w:rPr>
        <w:t>bro de r</w:t>
      </w:r>
      <w:r w:rsidR="00C727C1" w:rsidRPr="008B6DD0">
        <w:rPr>
          <w:rFonts w:ascii="Arial" w:hAnsi="Arial" w:cs="Arial"/>
          <w:lang w:val="x-none" w:eastAsia="x-none"/>
        </w:rPr>
        <w:t>estaurantes, bares y centros nocturnos con 2</w:t>
      </w:r>
      <w:r w:rsidR="00500CFB" w:rsidRPr="008B6DD0">
        <w:rPr>
          <w:rFonts w:ascii="Arial" w:hAnsi="Arial" w:cs="Arial"/>
          <w:lang w:val="x-none" w:eastAsia="x-none"/>
        </w:rPr>
        <w:t>7.4</w:t>
      </w:r>
      <w:r w:rsidR="00C727C1" w:rsidRPr="008B6DD0">
        <w:rPr>
          <w:rFonts w:ascii="Arial" w:hAnsi="Arial" w:cs="Arial"/>
          <w:lang w:val="x-none" w:eastAsia="x-none"/>
        </w:rPr>
        <w:t>%; seguido por</w:t>
      </w:r>
      <w:r w:rsidR="00500CFB" w:rsidRPr="008B6DD0">
        <w:rPr>
          <w:rFonts w:ascii="Arial" w:hAnsi="Arial" w:cs="Arial"/>
          <w:lang w:val="x-none" w:eastAsia="x-none"/>
        </w:rPr>
        <w:t xml:space="preserve"> </w:t>
      </w:r>
      <w:r w:rsidR="00066E89" w:rsidRPr="008B6DD0">
        <w:rPr>
          <w:rFonts w:ascii="Arial" w:hAnsi="Arial" w:cs="Arial"/>
          <w:lang w:val="x-none" w:eastAsia="x-none"/>
        </w:rPr>
        <w:t xml:space="preserve">el </w:t>
      </w:r>
      <w:r w:rsidR="00500CFB" w:rsidRPr="008B6DD0">
        <w:rPr>
          <w:rFonts w:ascii="Arial" w:hAnsi="Arial" w:cs="Arial"/>
          <w:lang w:val="x-none" w:eastAsia="x-none"/>
        </w:rPr>
        <w:t xml:space="preserve">transporte de pasajeros con 25.9%; otros servicios 25.3%; </w:t>
      </w:r>
      <w:r w:rsidR="00066E89" w:rsidRPr="008B6DD0">
        <w:rPr>
          <w:rFonts w:ascii="Arial" w:hAnsi="Arial" w:cs="Arial"/>
          <w:lang w:val="x-none" w:eastAsia="x-none"/>
        </w:rPr>
        <w:t xml:space="preserve">y el </w:t>
      </w:r>
      <w:r w:rsidR="00500CFB" w:rsidRPr="008B6DD0">
        <w:rPr>
          <w:rFonts w:ascii="Arial" w:hAnsi="Arial" w:cs="Arial"/>
          <w:lang w:val="x-none" w:eastAsia="x-none"/>
        </w:rPr>
        <w:t>alojamiento</w:t>
      </w:r>
      <w:r w:rsidR="00456422" w:rsidRPr="008B6DD0">
        <w:rPr>
          <w:rFonts w:ascii="Arial" w:hAnsi="Arial" w:cs="Arial"/>
          <w:lang w:val="x-none" w:eastAsia="x-none"/>
        </w:rPr>
        <w:t xml:space="preserve"> para visitantes</w:t>
      </w:r>
      <w:r w:rsidR="00500CFB" w:rsidRPr="008B6DD0">
        <w:rPr>
          <w:rFonts w:ascii="Arial" w:hAnsi="Arial" w:cs="Arial"/>
          <w:lang w:val="x-none" w:eastAsia="x-none"/>
        </w:rPr>
        <w:t xml:space="preserve"> </w:t>
      </w:r>
      <w:r w:rsidR="00066E89" w:rsidRPr="008B6DD0">
        <w:rPr>
          <w:rFonts w:ascii="Arial" w:hAnsi="Arial" w:cs="Arial"/>
          <w:lang w:val="x-none" w:eastAsia="x-none"/>
        </w:rPr>
        <w:t xml:space="preserve">con </w:t>
      </w:r>
      <w:r w:rsidR="00500CFB" w:rsidRPr="008B6DD0">
        <w:rPr>
          <w:rFonts w:ascii="Arial" w:hAnsi="Arial" w:cs="Arial"/>
          <w:lang w:val="x-none" w:eastAsia="x-none"/>
        </w:rPr>
        <w:t xml:space="preserve">10.2%; </w:t>
      </w:r>
      <w:r w:rsidR="00066E89" w:rsidRPr="008B6DD0">
        <w:rPr>
          <w:rFonts w:ascii="Arial" w:hAnsi="Arial" w:cs="Arial"/>
          <w:lang w:val="x-none" w:eastAsia="x-none"/>
        </w:rPr>
        <w:t>entre otros</w:t>
      </w:r>
      <w:r w:rsidR="00C727C1" w:rsidRPr="008B6DD0">
        <w:rPr>
          <w:rFonts w:ascii="Arial" w:hAnsi="Arial" w:cs="Arial"/>
          <w:lang w:val="x-none" w:eastAsia="x-none"/>
        </w:rPr>
        <w:t>.</w:t>
      </w:r>
    </w:p>
    <w:p w14:paraId="7F50868D" w14:textId="4F46C66F" w:rsidR="00520DDB" w:rsidRDefault="00520DDB" w:rsidP="008B6DD0">
      <w:pPr>
        <w:spacing w:before="240" w:after="240"/>
        <w:jc w:val="both"/>
        <w:rPr>
          <w:rFonts w:ascii="Arial" w:hAnsi="Arial" w:cs="Arial"/>
          <w:lang w:val="x-none" w:eastAsia="x-none"/>
        </w:rPr>
      </w:pPr>
    </w:p>
    <w:p w14:paraId="693769DD" w14:textId="0DE51F73" w:rsidR="00520DDB" w:rsidRDefault="00520DDB" w:rsidP="008B6DD0">
      <w:pPr>
        <w:spacing w:before="240" w:after="240"/>
        <w:jc w:val="both"/>
        <w:rPr>
          <w:rFonts w:ascii="Arial" w:hAnsi="Arial" w:cs="Arial"/>
          <w:lang w:val="x-none" w:eastAsia="x-none"/>
        </w:rPr>
      </w:pPr>
    </w:p>
    <w:p w14:paraId="29F4424A" w14:textId="1A9FDD9D" w:rsidR="00520DDB" w:rsidRDefault="00520DDB" w:rsidP="008B6DD0">
      <w:pPr>
        <w:spacing w:before="240" w:after="240"/>
        <w:jc w:val="both"/>
        <w:rPr>
          <w:rFonts w:ascii="Arial" w:hAnsi="Arial" w:cs="Arial"/>
          <w:lang w:val="x-none" w:eastAsia="x-none"/>
        </w:rPr>
      </w:pPr>
    </w:p>
    <w:p w14:paraId="02058384" w14:textId="28930A43" w:rsidR="00520DDB" w:rsidRDefault="00520DDB" w:rsidP="008B6DD0">
      <w:pPr>
        <w:spacing w:before="240" w:after="240"/>
        <w:jc w:val="both"/>
        <w:rPr>
          <w:rFonts w:ascii="Arial" w:hAnsi="Arial" w:cs="Arial"/>
          <w:lang w:val="x-none" w:eastAsia="x-none"/>
        </w:rPr>
      </w:pPr>
    </w:p>
    <w:p w14:paraId="2BFD85BC" w14:textId="38003C2A" w:rsidR="00520DDB" w:rsidRDefault="00520DDB" w:rsidP="008B6DD0">
      <w:pPr>
        <w:spacing w:before="240" w:after="240"/>
        <w:jc w:val="both"/>
        <w:rPr>
          <w:rFonts w:ascii="Arial" w:hAnsi="Arial" w:cs="Arial"/>
          <w:lang w:val="x-none" w:eastAsia="x-none"/>
        </w:rPr>
      </w:pPr>
    </w:p>
    <w:p w14:paraId="7C10D9F1" w14:textId="77777777" w:rsidR="00520DDB" w:rsidRPr="008B6DD0" w:rsidRDefault="00520DDB" w:rsidP="008B6DD0">
      <w:pPr>
        <w:spacing w:before="240" w:after="240"/>
        <w:jc w:val="both"/>
        <w:rPr>
          <w:rFonts w:ascii="Arial" w:hAnsi="Arial" w:cs="Arial"/>
          <w:lang w:val="x-none" w:eastAsia="x-none"/>
        </w:rPr>
      </w:pPr>
    </w:p>
    <w:p w14:paraId="2104C852" w14:textId="3EBEC44B" w:rsidR="00C727C1" w:rsidRDefault="00C727C1" w:rsidP="00CB284B">
      <w:pPr>
        <w:spacing w:before="240" w:after="240"/>
        <w:ind w:right="-516"/>
        <w:contextualSpacing/>
        <w:jc w:val="center"/>
        <w:rPr>
          <w:rFonts w:ascii="Arial" w:hAnsi="Arial" w:cs="Arial"/>
        </w:rPr>
      </w:pPr>
      <w:r>
        <w:rPr>
          <w:rFonts w:ascii="Arial" w:hAnsi="Arial" w:cs="Arial"/>
        </w:rPr>
        <w:lastRenderedPageBreak/>
        <w:t>Cuadro</w:t>
      </w:r>
      <w:r w:rsidRPr="00ED417B">
        <w:rPr>
          <w:rFonts w:ascii="Arial" w:hAnsi="Arial" w:cs="Arial"/>
        </w:rPr>
        <w:t xml:space="preserve"> </w:t>
      </w:r>
      <w:r w:rsidR="000A419B">
        <w:rPr>
          <w:rFonts w:ascii="Arial" w:hAnsi="Arial" w:cs="Arial"/>
        </w:rPr>
        <w:t>3</w:t>
      </w:r>
    </w:p>
    <w:p w14:paraId="55CE6B9D" w14:textId="12A2793A" w:rsidR="00C727C1" w:rsidRDefault="00C727C1" w:rsidP="000353D6">
      <w:pPr>
        <w:ind w:left="-425" w:right="-516"/>
        <w:contextualSpacing/>
        <w:jc w:val="center"/>
        <w:rPr>
          <w:rFonts w:ascii="Arial" w:hAnsi="Arial" w:cs="Arial"/>
          <w:b/>
          <w:iCs/>
          <w:smallCaps/>
          <w:sz w:val="22"/>
          <w:szCs w:val="22"/>
        </w:rPr>
      </w:pPr>
      <w:r>
        <w:rPr>
          <w:rFonts w:ascii="Arial" w:hAnsi="Arial" w:cs="Arial"/>
          <w:b/>
          <w:iCs/>
          <w:smallCaps/>
          <w:sz w:val="22"/>
          <w:szCs w:val="22"/>
        </w:rPr>
        <w:t>Número de Ocupaciones Remuneradas en el Sector</w:t>
      </w:r>
      <w:r w:rsidRPr="00191611">
        <w:rPr>
          <w:rFonts w:ascii="Arial" w:hAnsi="Arial" w:cs="Arial"/>
          <w:b/>
          <w:iCs/>
          <w:smallCaps/>
          <w:sz w:val="22"/>
          <w:szCs w:val="22"/>
        </w:rPr>
        <w:t xml:space="preserve"> Turístico</w:t>
      </w:r>
    </w:p>
    <w:tbl>
      <w:tblPr>
        <w:tblW w:w="8926" w:type="dxa"/>
        <w:tblCellMar>
          <w:left w:w="70" w:type="dxa"/>
          <w:right w:w="70" w:type="dxa"/>
        </w:tblCellMar>
        <w:tblLook w:val="04A0" w:firstRow="1" w:lastRow="0" w:firstColumn="1" w:lastColumn="0" w:noHBand="0" w:noVBand="1"/>
      </w:tblPr>
      <w:tblGrid>
        <w:gridCol w:w="2972"/>
        <w:gridCol w:w="1041"/>
        <w:gridCol w:w="958"/>
        <w:gridCol w:w="958"/>
        <w:gridCol w:w="1120"/>
        <w:gridCol w:w="958"/>
        <w:gridCol w:w="958"/>
      </w:tblGrid>
      <w:tr w:rsidR="008B30F2" w:rsidRPr="005526D8" w14:paraId="65F10F42" w14:textId="77777777" w:rsidTr="003A0362">
        <w:trPr>
          <w:trHeight w:val="739"/>
        </w:trPr>
        <w:tc>
          <w:tcPr>
            <w:tcW w:w="2972" w:type="dxa"/>
            <w:tcBorders>
              <w:top w:val="single" w:sz="4" w:space="0" w:color="auto"/>
              <w:left w:val="single" w:sz="4" w:space="0" w:color="auto"/>
              <w:bottom w:val="single" w:sz="4" w:space="0" w:color="FFFFFF"/>
              <w:right w:val="single" w:sz="4" w:space="0" w:color="FFFFFF"/>
            </w:tcBorders>
            <w:shd w:val="clear" w:color="000000" w:fill="002060"/>
            <w:vAlign w:val="center"/>
            <w:hideMark/>
          </w:tcPr>
          <w:p w14:paraId="7A2D380D" w14:textId="77777777" w:rsidR="008B30F2" w:rsidRPr="005526D8" w:rsidRDefault="008B30F2" w:rsidP="003A0362">
            <w:pPr>
              <w:jc w:val="center"/>
              <w:rPr>
                <w:rFonts w:ascii="Arial" w:eastAsia="Times New Roman" w:hAnsi="Arial" w:cs="Arial"/>
                <w:b/>
                <w:bCs/>
                <w:color w:val="FFFFFF"/>
                <w:sz w:val="18"/>
                <w:szCs w:val="18"/>
              </w:rPr>
            </w:pPr>
            <w:r w:rsidRPr="005526D8">
              <w:rPr>
                <w:rFonts w:ascii="Arial" w:eastAsia="Times New Roman" w:hAnsi="Arial" w:cs="Arial"/>
                <w:b/>
                <w:bCs/>
                <w:color w:val="FFFFFF"/>
                <w:sz w:val="18"/>
                <w:szCs w:val="18"/>
              </w:rPr>
              <w:t xml:space="preserve">Concepto </w:t>
            </w:r>
          </w:p>
        </w:tc>
        <w:tc>
          <w:tcPr>
            <w:tcW w:w="1041" w:type="dxa"/>
            <w:tcBorders>
              <w:top w:val="single" w:sz="4" w:space="0" w:color="FFFFFF"/>
              <w:left w:val="nil"/>
              <w:bottom w:val="single" w:sz="4" w:space="0" w:color="auto"/>
              <w:right w:val="single" w:sz="4" w:space="0" w:color="FFFFFF"/>
            </w:tcBorders>
            <w:shd w:val="clear" w:color="000000" w:fill="002060"/>
            <w:vAlign w:val="center"/>
            <w:hideMark/>
          </w:tcPr>
          <w:p w14:paraId="33CC3CD7" w14:textId="77777777" w:rsidR="008B30F2" w:rsidRPr="005526D8" w:rsidRDefault="008B30F2" w:rsidP="003A0362">
            <w:pPr>
              <w:jc w:val="center"/>
              <w:rPr>
                <w:rFonts w:ascii="Arial" w:eastAsia="Times New Roman" w:hAnsi="Arial" w:cs="Arial"/>
                <w:b/>
                <w:bCs/>
                <w:color w:val="FFFFFF"/>
                <w:sz w:val="18"/>
                <w:szCs w:val="18"/>
              </w:rPr>
            </w:pPr>
            <w:r w:rsidRPr="005526D8">
              <w:rPr>
                <w:rFonts w:ascii="Arial" w:eastAsia="Times New Roman" w:hAnsi="Arial" w:cs="Arial"/>
                <w:b/>
                <w:bCs/>
                <w:color w:val="FFFFFF"/>
                <w:sz w:val="18"/>
                <w:szCs w:val="18"/>
              </w:rPr>
              <w:t>2019</w:t>
            </w:r>
          </w:p>
        </w:tc>
        <w:tc>
          <w:tcPr>
            <w:tcW w:w="958" w:type="dxa"/>
            <w:tcBorders>
              <w:top w:val="single" w:sz="4" w:space="0" w:color="FFFFFF"/>
              <w:left w:val="nil"/>
              <w:bottom w:val="single" w:sz="4" w:space="0" w:color="auto"/>
              <w:right w:val="single" w:sz="4" w:space="0" w:color="FFFFFF"/>
            </w:tcBorders>
            <w:shd w:val="clear" w:color="000000" w:fill="002060"/>
            <w:vAlign w:val="center"/>
            <w:hideMark/>
          </w:tcPr>
          <w:p w14:paraId="3D46D028" w14:textId="77777777" w:rsidR="008B30F2" w:rsidRPr="005526D8" w:rsidRDefault="008B30F2" w:rsidP="003A0362">
            <w:pPr>
              <w:jc w:val="center"/>
              <w:rPr>
                <w:rFonts w:ascii="Arial" w:eastAsia="Times New Roman" w:hAnsi="Arial" w:cs="Arial"/>
                <w:b/>
                <w:bCs/>
                <w:color w:val="FFFFFF"/>
                <w:sz w:val="16"/>
                <w:szCs w:val="16"/>
              </w:rPr>
            </w:pPr>
            <w:r w:rsidRPr="005526D8">
              <w:rPr>
                <w:rFonts w:ascii="Arial" w:eastAsia="Times New Roman" w:hAnsi="Arial" w:cs="Arial"/>
                <w:b/>
                <w:bCs/>
                <w:color w:val="FFFFFF"/>
                <w:sz w:val="16"/>
                <w:szCs w:val="16"/>
              </w:rPr>
              <w:t xml:space="preserve">Variación porcentual </w:t>
            </w:r>
          </w:p>
        </w:tc>
        <w:tc>
          <w:tcPr>
            <w:tcW w:w="958" w:type="dxa"/>
            <w:tcBorders>
              <w:top w:val="single" w:sz="4" w:space="0" w:color="FFFFFF"/>
              <w:left w:val="nil"/>
              <w:bottom w:val="single" w:sz="4" w:space="0" w:color="auto"/>
              <w:right w:val="single" w:sz="4" w:space="0" w:color="FFFFFF"/>
            </w:tcBorders>
            <w:shd w:val="clear" w:color="000000" w:fill="002060"/>
            <w:vAlign w:val="center"/>
            <w:hideMark/>
          </w:tcPr>
          <w:p w14:paraId="60AC7661" w14:textId="77777777" w:rsidR="008B30F2" w:rsidRPr="005526D8" w:rsidRDefault="008B30F2" w:rsidP="003A0362">
            <w:pPr>
              <w:jc w:val="center"/>
              <w:rPr>
                <w:rFonts w:ascii="Arial" w:eastAsia="Times New Roman" w:hAnsi="Arial" w:cs="Arial"/>
                <w:b/>
                <w:bCs/>
                <w:color w:val="FFFFFF"/>
                <w:sz w:val="16"/>
                <w:szCs w:val="16"/>
              </w:rPr>
            </w:pPr>
            <w:r w:rsidRPr="005526D8">
              <w:rPr>
                <w:rFonts w:ascii="Arial" w:eastAsia="Times New Roman" w:hAnsi="Arial" w:cs="Arial"/>
                <w:b/>
                <w:bCs/>
                <w:color w:val="FFFFFF"/>
                <w:sz w:val="16"/>
                <w:szCs w:val="16"/>
              </w:rPr>
              <w:t>Estructura porcentual</w:t>
            </w:r>
          </w:p>
        </w:tc>
        <w:tc>
          <w:tcPr>
            <w:tcW w:w="1120" w:type="dxa"/>
            <w:tcBorders>
              <w:top w:val="single" w:sz="4" w:space="0" w:color="FFFFFF"/>
              <w:left w:val="nil"/>
              <w:bottom w:val="single" w:sz="4" w:space="0" w:color="auto"/>
              <w:right w:val="single" w:sz="4" w:space="0" w:color="FFFFFF"/>
            </w:tcBorders>
            <w:shd w:val="clear" w:color="000000" w:fill="002060"/>
            <w:vAlign w:val="center"/>
            <w:hideMark/>
          </w:tcPr>
          <w:p w14:paraId="53465E00" w14:textId="77777777" w:rsidR="008B30F2" w:rsidRPr="005526D8" w:rsidRDefault="008B30F2" w:rsidP="003A0362">
            <w:pPr>
              <w:jc w:val="center"/>
              <w:rPr>
                <w:rFonts w:ascii="Arial" w:eastAsia="Times New Roman" w:hAnsi="Arial" w:cs="Arial"/>
                <w:b/>
                <w:bCs/>
                <w:color w:val="FFFFFF"/>
                <w:sz w:val="16"/>
                <w:szCs w:val="16"/>
              </w:rPr>
            </w:pPr>
            <w:r w:rsidRPr="005526D8">
              <w:rPr>
                <w:rFonts w:ascii="Arial" w:eastAsia="Times New Roman" w:hAnsi="Arial" w:cs="Arial"/>
                <w:b/>
                <w:bCs/>
                <w:color w:val="FFFFFF"/>
                <w:sz w:val="16"/>
                <w:szCs w:val="16"/>
              </w:rPr>
              <w:t>2020</w:t>
            </w:r>
          </w:p>
        </w:tc>
        <w:tc>
          <w:tcPr>
            <w:tcW w:w="958" w:type="dxa"/>
            <w:tcBorders>
              <w:top w:val="single" w:sz="4" w:space="0" w:color="FFFFFF"/>
              <w:left w:val="nil"/>
              <w:bottom w:val="single" w:sz="4" w:space="0" w:color="auto"/>
              <w:right w:val="single" w:sz="4" w:space="0" w:color="FFFFFF"/>
            </w:tcBorders>
            <w:shd w:val="clear" w:color="000000" w:fill="002060"/>
            <w:vAlign w:val="center"/>
            <w:hideMark/>
          </w:tcPr>
          <w:p w14:paraId="4D90FC04" w14:textId="77777777" w:rsidR="008B30F2" w:rsidRPr="005526D8" w:rsidRDefault="008B30F2" w:rsidP="003A0362">
            <w:pPr>
              <w:jc w:val="center"/>
              <w:rPr>
                <w:rFonts w:ascii="Arial" w:eastAsia="Times New Roman" w:hAnsi="Arial" w:cs="Arial"/>
                <w:b/>
                <w:bCs/>
                <w:color w:val="FFFFFF"/>
                <w:sz w:val="16"/>
                <w:szCs w:val="16"/>
              </w:rPr>
            </w:pPr>
            <w:r w:rsidRPr="005526D8">
              <w:rPr>
                <w:rFonts w:ascii="Arial" w:eastAsia="Times New Roman" w:hAnsi="Arial" w:cs="Arial"/>
                <w:b/>
                <w:bCs/>
                <w:color w:val="FFFFFF"/>
                <w:sz w:val="16"/>
                <w:szCs w:val="16"/>
              </w:rPr>
              <w:t xml:space="preserve">Variación porcentual </w:t>
            </w:r>
          </w:p>
        </w:tc>
        <w:tc>
          <w:tcPr>
            <w:tcW w:w="919" w:type="dxa"/>
            <w:tcBorders>
              <w:top w:val="single" w:sz="4" w:space="0" w:color="FFFFFF"/>
              <w:left w:val="nil"/>
              <w:bottom w:val="single" w:sz="4" w:space="0" w:color="auto"/>
              <w:right w:val="single" w:sz="4" w:space="0" w:color="auto"/>
            </w:tcBorders>
            <w:shd w:val="clear" w:color="000000" w:fill="002060"/>
            <w:vAlign w:val="center"/>
            <w:hideMark/>
          </w:tcPr>
          <w:p w14:paraId="4E21135F" w14:textId="77777777" w:rsidR="008B30F2" w:rsidRPr="005526D8" w:rsidRDefault="008B30F2" w:rsidP="003A0362">
            <w:pPr>
              <w:jc w:val="center"/>
              <w:rPr>
                <w:rFonts w:ascii="Arial" w:eastAsia="Times New Roman" w:hAnsi="Arial" w:cs="Arial"/>
                <w:b/>
                <w:bCs/>
                <w:color w:val="FFFFFF"/>
                <w:sz w:val="16"/>
                <w:szCs w:val="16"/>
              </w:rPr>
            </w:pPr>
            <w:r w:rsidRPr="005526D8">
              <w:rPr>
                <w:rFonts w:ascii="Arial" w:eastAsia="Times New Roman" w:hAnsi="Arial" w:cs="Arial"/>
                <w:b/>
                <w:bCs/>
                <w:color w:val="FFFFFF"/>
                <w:sz w:val="16"/>
                <w:szCs w:val="16"/>
              </w:rPr>
              <w:t>Estructura porcentual</w:t>
            </w:r>
          </w:p>
        </w:tc>
      </w:tr>
      <w:tr w:rsidR="008B30F2" w:rsidRPr="005526D8" w14:paraId="196293B6" w14:textId="77777777" w:rsidTr="003A0362">
        <w:trPr>
          <w:trHeight w:val="349"/>
        </w:trPr>
        <w:tc>
          <w:tcPr>
            <w:tcW w:w="2972" w:type="dxa"/>
            <w:tcBorders>
              <w:top w:val="single" w:sz="4" w:space="0" w:color="auto"/>
              <w:left w:val="single" w:sz="4" w:space="0" w:color="auto"/>
              <w:bottom w:val="nil"/>
              <w:right w:val="single" w:sz="4" w:space="0" w:color="auto"/>
            </w:tcBorders>
            <w:shd w:val="clear" w:color="auto" w:fill="auto"/>
            <w:noWrap/>
            <w:vAlign w:val="bottom"/>
            <w:hideMark/>
          </w:tcPr>
          <w:p w14:paraId="6BE33875" w14:textId="77777777" w:rsidR="008B30F2" w:rsidRPr="005526D8" w:rsidRDefault="008B30F2" w:rsidP="003A0362">
            <w:pPr>
              <w:rPr>
                <w:rFonts w:ascii="Arial" w:eastAsia="Times New Roman" w:hAnsi="Arial" w:cs="Arial"/>
                <w:b/>
                <w:bCs/>
                <w:sz w:val="18"/>
                <w:szCs w:val="18"/>
              </w:rPr>
            </w:pPr>
            <w:r w:rsidRPr="005526D8">
              <w:rPr>
                <w:rFonts w:ascii="Arial" w:eastAsia="Times New Roman" w:hAnsi="Arial" w:cs="Arial"/>
                <w:b/>
                <w:bCs/>
                <w:sz w:val="18"/>
                <w:szCs w:val="18"/>
              </w:rPr>
              <w:t>Total del país</w:t>
            </w:r>
          </w:p>
        </w:tc>
        <w:tc>
          <w:tcPr>
            <w:tcW w:w="1041" w:type="dxa"/>
            <w:tcBorders>
              <w:top w:val="nil"/>
              <w:left w:val="nil"/>
              <w:bottom w:val="nil"/>
              <w:right w:val="single" w:sz="4" w:space="0" w:color="auto"/>
            </w:tcBorders>
            <w:shd w:val="clear" w:color="auto" w:fill="auto"/>
            <w:noWrap/>
            <w:vAlign w:val="bottom"/>
            <w:hideMark/>
          </w:tcPr>
          <w:p w14:paraId="06F9C669" w14:textId="73A1910F"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39</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440</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522</w:t>
            </w:r>
          </w:p>
        </w:tc>
        <w:tc>
          <w:tcPr>
            <w:tcW w:w="958" w:type="dxa"/>
            <w:tcBorders>
              <w:top w:val="nil"/>
              <w:left w:val="nil"/>
              <w:bottom w:val="nil"/>
              <w:right w:val="single" w:sz="4" w:space="0" w:color="auto"/>
            </w:tcBorders>
            <w:shd w:val="clear" w:color="auto" w:fill="auto"/>
            <w:noWrap/>
            <w:vAlign w:val="bottom"/>
            <w:hideMark/>
          </w:tcPr>
          <w:p w14:paraId="373D5ED2"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0.3</w:t>
            </w:r>
          </w:p>
        </w:tc>
        <w:tc>
          <w:tcPr>
            <w:tcW w:w="958" w:type="dxa"/>
            <w:tcBorders>
              <w:top w:val="nil"/>
              <w:left w:val="nil"/>
              <w:bottom w:val="nil"/>
              <w:right w:val="single" w:sz="4" w:space="0" w:color="auto"/>
            </w:tcBorders>
            <w:shd w:val="clear" w:color="auto" w:fill="auto"/>
            <w:noWrap/>
            <w:vAlign w:val="bottom"/>
            <w:hideMark/>
          </w:tcPr>
          <w:p w14:paraId="486B6C5D"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 </w:t>
            </w:r>
          </w:p>
        </w:tc>
        <w:tc>
          <w:tcPr>
            <w:tcW w:w="1120" w:type="dxa"/>
            <w:tcBorders>
              <w:top w:val="nil"/>
              <w:left w:val="nil"/>
              <w:bottom w:val="nil"/>
              <w:right w:val="single" w:sz="4" w:space="0" w:color="auto"/>
            </w:tcBorders>
            <w:shd w:val="clear" w:color="auto" w:fill="auto"/>
            <w:noWrap/>
            <w:vAlign w:val="bottom"/>
            <w:hideMark/>
          </w:tcPr>
          <w:p w14:paraId="5C290FF6" w14:textId="2977EF11"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37</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496</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488</w:t>
            </w:r>
          </w:p>
        </w:tc>
        <w:tc>
          <w:tcPr>
            <w:tcW w:w="958" w:type="dxa"/>
            <w:tcBorders>
              <w:top w:val="nil"/>
              <w:left w:val="nil"/>
              <w:bottom w:val="nil"/>
              <w:right w:val="single" w:sz="4" w:space="0" w:color="auto"/>
            </w:tcBorders>
            <w:shd w:val="clear" w:color="auto" w:fill="auto"/>
            <w:noWrap/>
            <w:vAlign w:val="bottom"/>
            <w:hideMark/>
          </w:tcPr>
          <w:p w14:paraId="2E564AF4" w14:textId="4051D292"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- 4.9</w:t>
            </w:r>
          </w:p>
        </w:tc>
        <w:tc>
          <w:tcPr>
            <w:tcW w:w="919" w:type="dxa"/>
            <w:tcBorders>
              <w:top w:val="nil"/>
              <w:left w:val="nil"/>
              <w:bottom w:val="nil"/>
              <w:right w:val="single" w:sz="4" w:space="0" w:color="auto"/>
            </w:tcBorders>
            <w:shd w:val="clear" w:color="auto" w:fill="auto"/>
            <w:noWrap/>
            <w:vAlign w:val="bottom"/>
            <w:hideMark/>
          </w:tcPr>
          <w:p w14:paraId="3F862C69"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 </w:t>
            </w:r>
          </w:p>
        </w:tc>
      </w:tr>
      <w:tr w:rsidR="008B30F2" w:rsidRPr="005526D8" w14:paraId="73732318" w14:textId="77777777" w:rsidTr="003A0362">
        <w:trPr>
          <w:trHeight w:val="349"/>
        </w:trPr>
        <w:tc>
          <w:tcPr>
            <w:tcW w:w="2972" w:type="dxa"/>
            <w:tcBorders>
              <w:top w:val="nil"/>
              <w:left w:val="single" w:sz="4" w:space="0" w:color="auto"/>
              <w:bottom w:val="nil"/>
              <w:right w:val="single" w:sz="4" w:space="0" w:color="auto"/>
            </w:tcBorders>
            <w:shd w:val="clear" w:color="auto" w:fill="auto"/>
            <w:noWrap/>
            <w:vAlign w:val="bottom"/>
            <w:hideMark/>
          </w:tcPr>
          <w:p w14:paraId="75C95F3E" w14:textId="77777777" w:rsidR="008B30F2" w:rsidRPr="005526D8" w:rsidRDefault="008B30F2" w:rsidP="003A0362">
            <w:pPr>
              <w:ind w:left="209"/>
              <w:rPr>
                <w:rFonts w:ascii="Arial" w:eastAsia="Times New Roman" w:hAnsi="Arial" w:cs="Arial"/>
                <w:b/>
                <w:bCs/>
                <w:sz w:val="18"/>
                <w:szCs w:val="18"/>
              </w:rPr>
            </w:pPr>
            <w:r w:rsidRPr="005526D8">
              <w:rPr>
                <w:rFonts w:ascii="Arial" w:eastAsia="Times New Roman" w:hAnsi="Arial" w:cs="Arial"/>
                <w:b/>
                <w:bCs/>
                <w:sz w:val="18"/>
                <w:szCs w:val="18"/>
              </w:rPr>
              <w:t>Total turístico</w:t>
            </w:r>
          </w:p>
        </w:tc>
        <w:tc>
          <w:tcPr>
            <w:tcW w:w="1041" w:type="dxa"/>
            <w:tcBorders>
              <w:top w:val="nil"/>
              <w:left w:val="nil"/>
              <w:bottom w:val="nil"/>
              <w:right w:val="single" w:sz="4" w:space="0" w:color="auto"/>
            </w:tcBorders>
            <w:shd w:val="clear" w:color="auto" w:fill="auto"/>
            <w:noWrap/>
            <w:vAlign w:val="bottom"/>
            <w:hideMark/>
          </w:tcPr>
          <w:p w14:paraId="4957BB38" w14:textId="11A6E054"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2</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285</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690</w:t>
            </w:r>
          </w:p>
        </w:tc>
        <w:tc>
          <w:tcPr>
            <w:tcW w:w="958" w:type="dxa"/>
            <w:tcBorders>
              <w:top w:val="nil"/>
              <w:left w:val="nil"/>
              <w:bottom w:val="nil"/>
              <w:right w:val="single" w:sz="4" w:space="0" w:color="auto"/>
            </w:tcBorders>
            <w:shd w:val="clear" w:color="auto" w:fill="auto"/>
            <w:noWrap/>
            <w:vAlign w:val="bottom"/>
            <w:hideMark/>
          </w:tcPr>
          <w:p w14:paraId="45B62A30" w14:textId="26E606F9" w:rsidR="008B30F2" w:rsidRPr="005526D8" w:rsidRDefault="00263C34" w:rsidP="003A0362">
            <w:pPr>
              <w:jc w:val="right"/>
              <w:rPr>
                <w:rFonts w:ascii="Arial" w:eastAsia="Times New Roman" w:hAnsi="Arial" w:cs="Arial"/>
                <w:b/>
                <w:bCs/>
                <w:sz w:val="18"/>
                <w:szCs w:val="18"/>
              </w:rPr>
            </w:pPr>
            <w:r>
              <w:rPr>
                <w:rFonts w:ascii="Arial" w:eastAsia="Times New Roman" w:hAnsi="Arial" w:cs="Arial"/>
                <w:b/>
                <w:bCs/>
                <w:sz w:val="18"/>
                <w:szCs w:val="18"/>
              </w:rPr>
              <w:t>NS</w:t>
            </w:r>
          </w:p>
        </w:tc>
        <w:tc>
          <w:tcPr>
            <w:tcW w:w="958" w:type="dxa"/>
            <w:tcBorders>
              <w:top w:val="nil"/>
              <w:left w:val="nil"/>
              <w:bottom w:val="nil"/>
              <w:right w:val="single" w:sz="4" w:space="0" w:color="auto"/>
            </w:tcBorders>
            <w:shd w:val="clear" w:color="auto" w:fill="auto"/>
            <w:noWrap/>
            <w:vAlign w:val="bottom"/>
            <w:hideMark/>
          </w:tcPr>
          <w:p w14:paraId="787D3AEA"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100.0</w:t>
            </w:r>
          </w:p>
        </w:tc>
        <w:tc>
          <w:tcPr>
            <w:tcW w:w="1120" w:type="dxa"/>
            <w:tcBorders>
              <w:top w:val="nil"/>
              <w:left w:val="nil"/>
              <w:bottom w:val="nil"/>
              <w:right w:val="single" w:sz="4" w:space="0" w:color="auto"/>
            </w:tcBorders>
            <w:shd w:val="clear" w:color="auto" w:fill="auto"/>
            <w:noWrap/>
            <w:vAlign w:val="bottom"/>
            <w:hideMark/>
          </w:tcPr>
          <w:p w14:paraId="774A2E26" w14:textId="4F91A355"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2</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005</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652</w:t>
            </w:r>
          </w:p>
        </w:tc>
        <w:tc>
          <w:tcPr>
            <w:tcW w:w="958" w:type="dxa"/>
            <w:tcBorders>
              <w:top w:val="nil"/>
              <w:left w:val="nil"/>
              <w:bottom w:val="nil"/>
              <w:right w:val="single" w:sz="4" w:space="0" w:color="auto"/>
            </w:tcBorders>
            <w:shd w:val="clear" w:color="auto" w:fill="auto"/>
            <w:noWrap/>
            <w:vAlign w:val="bottom"/>
            <w:hideMark/>
          </w:tcPr>
          <w:p w14:paraId="73D94D7B" w14:textId="3698A76D"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- 12.3</w:t>
            </w:r>
          </w:p>
        </w:tc>
        <w:tc>
          <w:tcPr>
            <w:tcW w:w="919" w:type="dxa"/>
            <w:tcBorders>
              <w:top w:val="nil"/>
              <w:left w:val="nil"/>
              <w:bottom w:val="nil"/>
              <w:right w:val="single" w:sz="4" w:space="0" w:color="auto"/>
            </w:tcBorders>
            <w:shd w:val="clear" w:color="auto" w:fill="auto"/>
            <w:noWrap/>
            <w:vAlign w:val="bottom"/>
            <w:hideMark/>
          </w:tcPr>
          <w:p w14:paraId="727E5440"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100.0</w:t>
            </w:r>
          </w:p>
        </w:tc>
      </w:tr>
      <w:tr w:rsidR="008B30F2" w:rsidRPr="005526D8" w14:paraId="3B14E4D6" w14:textId="77777777" w:rsidTr="003A0362">
        <w:trPr>
          <w:trHeight w:val="287"/>
        </w:trPr>
        <w:tc>
          <w:tcPr>
            <w:tcW w:w="2972" w:type="dxa"/>
            <w:tcBorders>
              <w:top w:val="nil"/>
              <w:left w:val="single" w:sz="4" w:space="0" w:color="auto"/>
              <w:bottom w:val="nil"/>
              <w:right w:val="single" w:sz="4" w:space="0" w:color="auto"/>
            </w:tcBorders>
            <w:shd w:val="clear" w:color="auto" w:fill="auto"/>
            <w:noWrap/>
            <w:vAlign w:val="bottom"/>
            <w:hideMark/>
          </w:tcPr>
          <w:p w14:paraId="231635B3" w14:textId="77777777" w:rsidR="008B30F2" w:rsidRPr="005526D8" w:rsidRDefault="008B30F2" w:rsidP="003A0362">
            <w:pPr>
              <w:ind w:left="351"/>
              <w:rPr>
                <w:rFonts w:ascii="Arial" w:eastAsia="Times New Roman" w:hAnsi="Arial" w:cs="Arial"/>
                <w:b/>
                <w:bCs/>
                <w:sz w:val="18"/>
                <w:szCs w:val="18"/>
              </w:rPr>
            </w:pPr>
            <w:r w:rsidRPr="005526D8">
              <w:rPr>
                <w:rFonts w:ascii="Arial" w:eastAsia="Times New Roman" w:hAnsi="Arial" w:cs="Arial"/>
                <w:b/>
                <w:bCs/>
                <w:sz w:val="18"/>
                <w:szCs w:val="18"/>
              </w:rPr>
              <w:t>Bienes</w:t>
            </w:r>
          </w:p>
        </w:tc>
        <w:tc>
          <w:tcPr>
            <w:tcW w:w="1041" w:type="dxa"/>
            <w:tcBorders>
              <w:top w:val="nil"/>
              <w:left w:val="nil"/>
              <w:bottom w:val="nil"/>
              <w:right w:val="single" w:sz="4" w:space="0" w:color="auto"/>
            </w:tcBorders>
            <w:shd w:val="clear" w:color="auto" w:fill="auto"/>
            <w:noWrap/>
            <w:vAlign w:val="bottom"/>
            <w:hideMark/>
          </w:tcPr>
          <w:p w14:paraId="2616CFBF" w14:textId="61E67ABB"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80</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820</w:t>
            </w:r>
          </w:p>
        </w:tc>
        <w:tc>
          <w:tcPr>
            <w:tcW w:w="958" w:type="dxa"/>
            <w:tcBorders>
              <w:top w:val="nil"/>
              <w:left w:val="nil"/>
              <w:bottom w:val="nil"/>
              <w:right w:val="single" w:sz="4" w:space="0" w:color="auto"/>
            </w:tcBorders>
            <w:shd w:val="clear" w:color="auto" w:fill="auto"/>
            <w:noWrap/>
            <w:vAlign w:val="bottom"/>
            <w:hideMark/>
          </w:tcPr>
          <w:p w14:paraId="542CA34F"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10.8</w:t>
            </w:r>
          </w:p>
        </w:tc>
        <w:tc>
          <w:tcPr>
            <w:tcW w:w="958" w:type="dxa"/>
            <w:tcBorders>
              <w:top w:val="nil"/>
              <w:left w:val="nil"/>
              <w:bottom w:val="nil"/>
              <w:right w:val="single" w:sz="4" w:space="0" w:color="auto"/>
            </w:tcBorders>
            <w:shd w:val="clear" w:color="auto" w:fill="auto"/>
            <w:noWrap/>
            <w:vAlign w:val="bottom"/>
            <w:hideMark/>
          </w:tcPr>
          <w:p w14:paraId="4F81EE22"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3.5</w:t>
            </w:r>
          </w:p>
        </w:tc>
        <w:tc>
          <w:tcPr>
            <w:tcW w:w="1120" w:type="dxa"/>
            <w:tcBorders>
              <w:top w:val="nil"/>
              <w:left w:val="nil"/>
              <w:bottom w:val="nil"/>
              <w:right w:val="single" w:sz="4" w:space="0" w:color="auto"/>
            </w:tcBorders>
            <w:shd w:val="clear" w:color="auto" w:fill="auto"/>
            <w:noWrap/>
            <w:vAlign w:val="bottom"/>
            <w:hideMark/>
          </w:tcPr>
          <w:p w14:paraId="46995F6D" w14:textId="5B341FD8"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71</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407</w:t>
            </w:r>
          </w:p>
        </w:tc>
        <w:tc>
          <w:tcPr>
            <w:tcW w:w="958" w:type="dxa"/>
            <w:tcBorders>
              <w:top w:val="nil"/>
              <w:left w:val="nil"/>
              <w:bottom w:val="nil"/>
              <w:right w:val="single" w:sz="4" w:space="0" w:color="auto"/>
            </w:tcBorders>
            <w:shd w:val="clear" w:color="auto" w:fill="auto"/>
            <w:noWrap/>
            <w:vAlign w:val="bottom"/>
            <w:hideMark/>
          </w:tcPr>
          <w:p w14:paraId="04EEA09C" w14:textId="72455E76"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- 11.6</w:t>
            </w:r>
          </w:p>
        </w:tc>
        <w:tc>
          <w:tcPr>
            <w:tcW w:w="919" w:type="dxa"/>
            <w:tcBorders>
              <w:top w:val="nil"/>
              <w:left w:val="nil"/>
              <w:bottom w:val="nil"/>
              <w:right w:val="single" w:sz="4" w:space="0" w:color="auto"/>
            </w:tcBorders>
            <w:shd w:val="clear" w:color="auto" w:fill="auto"/>
            <w:noWrap/>
            <w:vAlign w:val="bottom"/>
            <w:hideMark/>
          </w:tcPr>
          <w:p w14:paraId="51942323"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3.6</w:t>
            </w:r>
          </w:p>
        </w:tc>
      </w:tr>
      <w:tr w:rsidR="008B30F2" w:rsidRPr="005526D8" w14:paraId="06AE0B51" w14:textId="77777777" w:rsidTr="003A0362">
        <w:trPr>
          <w:trHeight w:val="149"/>
        </w:trPr>
        <w:tc>
          <w:tcPr>
            <w:tcW w:w="2972" w:type="dxa"/>
            <w:tcBorders>
              <w:top w:val="nil"/>
              <w:left w:val="single" w:sz="4" w:space="0" w:color="auto"/>
              <w:bottom w:val="nil"/>
              <w:right w:val="single" w:sz="4" w:space="0" w:color="auto"/>
            </w:tcBorders>
            <w:shd w:val="clear" w:color="auto" w:fill="auto"/>
            <w:noWrap/>
            <w:vAlign w:val="bottom"/>
            <w:hideMark/>
          </w:tcPr>
          <w:p w14:paraId="2B9BA788"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Artesanías y Otros bienes</w:t>
            </w:r>
          </w:p>
        </w:tc>
        <w:tc>
          <w:tcPr>
            <w:tcW w:w="1041" w:type="dxa"/>
            <w:tcBorders>
              <w:top w:val="nil"/>
              <w:left w:val="nil"/>
              <w:bottom w:val="nil"/>
              <w:right w:val="single" w:sz="4" w:space="0" w:color="auto"/>
            </w:tcBorders>
            <w:shd w:val="clear" w:color="auto" w:fill="auto"/>
            <w:noWrap/>
            <w:vAlign w:val="bottom"/>
            <w:hideMark/>
          </w:tcPr>
          <w:p w14:paraId="0D76D251" w14:textId="18950E8A"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80</w:t>
            </w:r>
            <w:r w:rsidR="00520DDB">
              <w:rPr>
                <w:rFonts w:ascii="Arial" w:eastAsia="Times New Roman" w:hAnsi="Arial" w:cs="Arial"/>
                <w:sz w:val="18"/>
                <w:szCs w:val="18"/>
              </w:rPr>
              <w:t xml:space="preserve"> </w:t>
            </w:r>
            <w:r w:rsidRPr="005526D8">
              <w:rPr>
                <w:rFonts w:ascii="Arial" w:eastAsia="Times New Roman" w:hAnsi="Arial" w:cs="Arial"/>
                <w:sz w:val="18"/>
                <w:szCs w:val="18"/>
              </w:rPr>
              <w:t>820</w:t>
            </w:r>
          </w:p>
        </w:tc>
        <w:tc>
          <w:tcPr>
            <w:tcW w:w="958" w:type="dxa"/>
            <w:tcBorders>
              <w:top w:val="nil"/>
              <w:left w:val="nil"/>
              <w:bottom w:val="nil"/>
              <w:right w:val="single" w:sz="4" w:space="0" w:color="auto"/>
            </w:tcBorders>
            <w:shd w:val="clear" w:color="auto" w:fill="auto"/>
            <w:noWrap/>
            <w:vAlign w:val="bottom"/>
            <w:hideMark/>
          </w:tcPr>
          <w:p w14:paraId="226F32F6"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10.8</w:t>
            </w:r>
          </w:p>
        </w:tc>
        <w:tc>
          <w:tcPr>
            <w:tcW w:w="958" w:type="dxa"/>
            <w:tcBorders>
              <w:top w:val="nil"/>
              <w:left w:val="nil"/>
              <w:bottom w:val="nil"/>
              <w:right w:val="single" w:sz="4" w:space="0" w:color="auto"/>
            </w:tcBorders>
            <w:shd w:val="clear" w:color="auto" w:fill="auto"/>
            <w:noWrap/>
            <w:vAlign w:val="bottom"/>
            <w:hideMark/>
          </w:tcPr>
          <w:p w14:paraId="1F02D06D"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3.5</w:t>
            </w:r>
          </w:p>
        </w:tc>
        <w:tc>
          <w:tcPr>
            <w:tcW w:w="1120" w:type="dxa"/>
            <w:tcBorders>
              <w:top w:val="nil"/>
              <w:left w:val="nil"/>
              <w:bottom w:val="nil"/>
              <w:right w:val="single" w:sz="4" w:space="0" w:color="auto"/>
            </w:tcBorders>
            <w:shd w:val="clear" w:color="auto" w:fill="auto"/>
            <w:noWrap/>
            <w:vAlign w:val="bottom"/>
            <w:hideMark/>
          </w:tcPr>
          <w:p w14:paraId="4A029CE5" w14:textId="68325C8B"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71,407</w:t>
            </w:r>
          </w:p>
        </w:tc>
        <w:tc>
          <w:tcPr>
            <w:tcW w:w="958" w:type="dxa"/>
            <w:tcBorders>
              <w:top w:val="nil"/>
              <w:left w:val="nil"/>
              <w:bottom w:val="nil"/>
              <w:right w:val="single" w:sz="4" w:space="0" w:color="auto"/>
            </w:tcBorders>
            <w:shd w:val="clear" w:color="auto" w:fill="auto"/>
            <w:noWrap/>
            <w:vAlign w:val="bottom"/>
            <w:hideMark/>
          </w:tcPr>
          <w:p w14:paraId="6149D8FA" w14:textId="1434237A"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- 11.6</w:t>
            </w:r>
          </w:p>
        </w:tc>
        <w:tc>
          <w:tcPr>
            <w:tcW w:w="919" w:type="dxa"/>
            <w:tcBorders>
              <w:top w:val="nil"/>
              <w:left w:val="nil"/>
              <w:bottom w:val="nil"/>
              <w:right w:val="single" w:sz="4" w:space="0" w:color="auto"/>
            </w:tcBorders>
            <w:shd w:val="clear" w:color="auto" w:fill="auto"/>
            <w:noWrap/>
            <w:vAlign w:val="bottom"/>
            <w:hideMark/>
          </w:tcPr>
          <w:p w14:paraId="6915DC37"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3.6</w:t>
            </w:r>
          </w:p>
        </w:tc>
      </w:tr>
      <w:tr w:rsidR="008B30F2" w:rsidRPr="005526D8" w14:paraId="3B001F47" w14:textId="77777777" w:rsidTr="003A0362">
        <w:trPr>
          <w:trHeight w:val="155"/>
        </w:trPr>
        <w:tc>
          <w:tcPr>
            <w:tcW w:w="2972" w:type="dxa"/>
            <w:tcBorders>
              <w:top w:val="nil"/>
              <w:left w:val="single" w:sz="4" w:space="0" w:color="auto"/>
              <w:bottom w:val="nil"/>
              <w:right w:val="single" w:sz="4" w:space="0" w:color="auto"/>
            </w:tcBorders>
            <w:shd w:val="clear" w:color="auto" w:fill="auto"/>
            <w:noWrap/>
            <w:vAlign w:val="bottom"/>
            <w:hideMark/>
          </w:tcPr>
          <w:p w14:paraId="5DF4D407" w14:textId="77777777" w:rsidR="008B30F2" w:rsidRPr="005526D8" w:rsidRDefault="008B30F2" w:rsidP="003A0362">
            <w:pPr>
              <w:ind w:left="351"/>
              <w:rPr>
                <w:rFonts w:ascii="Arial" w:eastAsia="Times New Roman" w:hAnsi="Arial" w:cs="Arial"/>
                <w:b/>
                <w:bCs/>
                <w:sz w:val="18"/>
                <w:szCs w:val="18"/>
              </w:rPr>
            </w:pPr>
            <w:r w:rsidRPr="005526D8">
              <w:rPr>
                <w:rFonts w:ascii="Arial" w:eastAsia="Times New Roman" w:hAnsi="Arial" w:cs="Arial"/>
                <w:b/>
                <w:bCs/>
                <w:sz w:val="18"/>
                <w:szCs w:val="18"/>
              </w:rPr>
              <w:t>Servicios</w:t>
            </w:r>
          </w:p>
        </w:tc>
        <w:tc>
          <w:tcPr>
            <w:tcW w:w="1041" w:type="dxa"/>
            <w:tcBorders>
              <w:top w:val="nil"/>
              <w:left w:val="nil"/>
              <w:bottom w:val="nil"/>
              <w:right w:val="single" w:sz="4" w:space="0" w:color="auto"/>
            </w:tcBorders>
            <w:shd w:val="clear" w:color="auto" w:fill="auto"/>
            <w:noWrap/>
            <w:vAlign w:val="bottom"/>
            <w:hideMark/>
          </w:tcPr>
          <w:p w14:paraId="1476F3D3" w14:textId="786D2801"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2</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204</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870</w:t>
            </w:r>
          </w:p>
        </w:tc>
        <w:tc>
          <w:tcPr>
            <w:tcW w:w="958" w:type="dxa"/>
            <w:tcBorders>
              <w:top w:val="nil"/>
              <w:left w:val="nil"/>
              <w:bottom w:val="nil"/>
              <w:right w:val="single" w:sz="4" w:space="0" w:color="auto"/>
            </w:tcBorders>
            <w:shd w:val="clear" w:color="auto" w:fill="auto"/>
            <w:noWrap/>
            <w:vAlign w:val="bottom"/>
            <w:hideMark/>
          </w:tcPr>
          <w:p w14:paraId="3274B2FB" w14:textId="3807372F"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- 0.3</w:t>
            </w:r>
          </w:p>
        </w:tc>
        <w:tc>
          <w:tcPr>
            <w:tcW w:w="958" w:type="dxa"/>
            <w:tcBorders>
              <w:top w:val="nil"/>
              <w:left w:val="nil"/>
              <w:bottom w:val="nil"/>
              <w:right w:val="single" w:sz="4" w:space="0" w:color="auto"/>
            </w:tcBorders>
            <w:shd w:val="clear" w:color="auto" w:fill="auto"/>
            <w:noWrap/>
            <w:vAlign w:val="bottom"/>
            <w:hideMark/>
          </w:tcPr>
          <w:p w14:paraId="42030C0B"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96.5</w:t>
            </w:r>
          </w:p>
        </w:tc>
        <w:tc>
          <w:tcPr>
            <w:tcW w:w="1120" w:type="dxa"/>
            <w:tcBorders>
              <w:top w:val="nil"/>
              <w:left w:val="nil"/>
              <w:bottom w:val="nil"/>
              <w:right w:val="single" w:sz="4" w:space="0" w:color="auto"/>
            </w:tcBorders>
            <w:shd w:val="clear" w:color="auto" w:fill="auto"/>
            <w:noWrap/>
            <w:vAlign w:val="bottom"/>
            <w:hideMark/>
          </w:tcPr>
          <w:p w14:paraId="09F1D911" w14:textId="23300D08"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1</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934</w:t>
            </w:r>
            <w:r w:rsidR="00520DDB">
              <w:rPr>
                <w:rFonts w:ascii="Arial" w:eastAsia="Times New Roman" w:hAnsi="Arial" w:cs="Arial"/>
                <w:b/>
                <w:bCs/>
                <w:sz w:val="18"/>
                <w:szCs w:val="18"/>
              </w:rPr>
              <w:t xml:space="preserve"> </w:t>
            </w:r>
            <w:r w:rsidRPr="005526D8">
              <w:rPr>
                <w:rFonts w:ascii="Arial" w:eastAsia="Times New Roman" w:hAnsi="Arial" w:cs="Arial"/>
                <w:b/>
                <w:bCs/>
                <w:sz w:val="18"/>
                <w:szCs w:val="18"/>
              </w:rPr>
              <w:t>245</w:t>
            </w:r>
          </w:p>
        </w:tc>
        <w:tc>
          <w:tcPr>
            <w:tcW w:w="958" w:type="dxa"/>
            <w:tcBorders>
              <w:top w:val="nil"/>
              <w:left w:val="nil"/>
              <w:bottom w:val="nil"/>
              <w:right w:val="single" w:sz="4" w:space="0" w:color="auto"/>
            </w:tcBorders>
            <w:shd w:val="clear" w:color="auto" w:fill="auto"/>
            <w:noWrap/>
            <w:vAlign w:val="bottom"/>
            <w:hideMark/>
          </w:tcPr>
          <w:p w14:paraId="1E211734" w14:textId="0A4941AF"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- 12.3</w:t>
            </w:r>
          </w:p>
        </w:tc>
        <w:tc>
          <w:tcPr>
            <w:tcW w:w="919" w:type="dxa"/>
            <w:tcBorders>
              <w:top w:val="nil"/>
              <w:left w:val="nil"/>
              <w:bottom w:val="nil"/>
              <w:right w:val="single" w:sz="4" w:space="0" w:color="auto"/>
            </w:tcBorders>
            <w:shd w:val="clear" w:color="auto" w:fill="auto"/>
            <w:noWrap/>
            <w:vAlign w:val="bottom"/>
            <w:hideMark/>
          </w:tcPr>
          <w:p w14:paraId="7683D7F1" w14:textId="77777777" w:rsidR="008B30F2" w:rsidRPr="005526D8" w:rsidRDefault="008B30F2" w:rsidP="003A0362">
            <w:pPr>
              <w:jc w:val="right"/>
              <w:rPr>
                <w:rFonts w:ascii="Arial" w:eastAsia="Times New Roman" w:hAnsi="Arial" w:cs="Arial"/>
                <w:b/>
                <w:bCs/>
                <w:sz w:val="18"/>
                <w:szCs w:val="18"/>
              </w:rPr>
            </w:pPr>
            <w:r w:rsidRPr="005526D8">
              <w:rPr>
                <w:rFonts w:ascii="Arial" w:eastAsia="Times New Roman" w:hAnsi="Arial" w:cs="Arial"/>
                <w:b/>
                <w:bCs/>
                <w:sz w:val="18"/>
                <w:szCs w:val="18"/>
              </w:rPr>
              <w:t>96.4</w:t>
            </w:r>
          </w:p>
        </w:tc>
      </w:tr>
      <w:tr w:rsidR="008B30F2" w:rsidRPr="005526D8" w14:paraId="49799ED5" w14:textId="77777777" w:rsidTr="003A0362">
        <w:trPr>
          <w:trHeight w:val="244"/>
        </w:trPr>
        <w:tc>
          <w:tcPr>
            <w:tcW w:w="2972" w:type="dxa"/>
            <w:tcBorders>
              <w:top w:val="nil"/>
              <w:left w:val="single" w:sz="4" w:space="0" w:color="auto"/>
              <w:bottom w:val="nil"/>
              <w:right w:val="single" w:sz="4" w:space="0" w:color="auto"/>
            </w:tcBorders>
            <w:shd w:val="clear" w:color="auto" w:fill="auto"/>
            <w:noWrap/>
            <w:vAlign w:val="bottom"/>
            <w:hideMark/>
          </w:tcPr>
          <w:p w14:paraId="0EBCC1D6"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Transporte de pasajeros</w:t>
            </w:r>
          </w:p>
        </w:tc>
        <w:tc>
          <w:tcPr>
            <w:tcW w:w="1041" w:type="dxa"/>
            <w:tcBorders>
              <w:top w:val="nil"/>
              <w:left w:val="nil"/>
              <w:bottom w:val="nil"/>
              <w:right w:val="single" w:sz="4" w:space="0" w:color="auto"/>
            </w:tcBorders>
            <w:shd w:val="clear" w:color="auto" w:fill="auto"/>
            <w:noWrap/>
            <w:vAlign w:val="bottom"/>
            <w:hideMark/>
          </w:tcPr>
          <w:p w14:paraId="7A64D673" w14:textId="5D84F11C"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590</w:t>
            </w:r>
            <w:r w:rsidR="00520DDB">
              <w:rPr>
                <w:rFonts w:ascii="Arial" w:eastAsia="Times New Roman" w:hAnsi="Arial" w:cs="Arial"/>
                <w:sz w:val="18"/>
                <w:szCs w:val="18"/>
              </w:rPr>
              <w:t xml:space="preserve"> </w:t>
            </w:r>
            <w:r w:rsidRPr="005526D8">
              <w:rPr>
                <w:rFonts w:ascii="Arial" w:eastAsia="Times New Roman" w:hAnsi="Arial" w:cs="Arial"/>
                <w:sz w:val="18"/>
                <w:szCs w:val="18"/>
              </w:rPr>
              <w:t>189</w:t>
            </w:r>
          </w:p>
        </w:tc>
        <w:tc>
          <w:tcPr>
            <w:tcW w:w="958" w:type="dxa"/>
            <w:tcBorders>
              <w:top w:val="nil"/>
              <w:left w:val="nil"/>
              <w:bottom w:val="nil"/>
              <w:right w:val="single" w:sz="4" w:space="0" w:color="auto"/>
            </w:tcBorders>
            <w:shd w:val="clear" w:color="auto" w:fill="auto"/>
            <w:noWrap/>
            <w:vAlign w:val="bottom"/>
            <w:hideMark/>
          </w:tcPr>
          <w:p w14:paraId="09840453"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0.9</w:t>
            </w:r>
          </w:p>
        </w:tc>
        <w:tc>
          <w:tcPr>
            <w:tcW w:w="958" w:type="dxa"/>
            <w:tcBorders>
              <w:top w:val="nil"/>
              <w:left w:val="nil"/>
              <w:bottom w:val="nil"/>
              <w:right w:val="single" w:sz="4" w:space="0" w:color="auto"/>
            </w:tcBorders>
            <w:shd w:val="clear" w:color="auto" w:fill="auto"/>
            <w:noWrap/>
            <w:vAlign w:val="bottom"/>
            <w:hideMark/>
          </w:tcPr>
          <w:p w14:paraId="28A69216"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25.8</w:t>
            </w:r>
          </w:p>
        </w:tc>
        <w:tc>
          <w:tcPr>
            <w:tcW w:w="1120" w:type="dxa"/>
            <w:tcBorders>
              <w:top w:val="nil"/>
              <w:left w:val="nil"/>
              <w:bottom w:val="nil"/>
              <w:right w:val="single" w:sz="4" w:space="0" w:color="auto"/>
            </w:tcBorders>
            <w:shd w:val="clear" w:color="auto" w:fill="auto"/>
            <w:noWrap/>
            <w:vAlign w:val="bottom"/>
            <w:hideMark/>
          </w:tcPr>
          <w:p w14:paraId="193F16BC" w14:textId="5167CD2E"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519</w:t>
            </w:r>
            <w:r w:rsidR="00520DDB">
              <w:rPr>
                <w:rFonts w:ascii="Arial" w:eastAsia="Times New Roman" w:hAnsi="Arial" w:cs="Arial"/>
                <w:sz w:val="18"/>
                <w:szCs w:val="18"/>
              </w:rPr>
              <w:t xml:space="preserve"> </w:t>
            </w:r>
            <w:r w:rsidRPr="005526D8">
              <w:rPr>
                <w:rFonts w:ascii="Arial" w:eastAsia="Times New Roman" w:hAnsi="Arial" w:cs="Arial"/>
                <w:sz w:val="18"/>
                <w:szCs w:val="18"/>
              </w:rPr>
              <w:t>528</w:t>
            </w:r>
          </w:p>
        </w:tc>
        <w:tc>
          <w:tcPr>
            <w:tcW w:w="958" w:type="dxa"/>
            <w:tcBorders>
              <w:top w:val="nil"/>
              <w:left w:val="nil"/>
              <w:bottom w:val="nil"/>
              <w:right w:val="single" w:sz="4" w:space="0" w:color="auto"/>
            </w:tcBorders>
            <w:shd w:val="clear" w:color="auto" w:fill="auto"/>
            <w:noWrap/>
            <w:vAlign w:val="bottom"/>
            <w:hideMark/>
          </w:tcPr>
          <w:p w14:paraId="2457DB60" w14:textId="68EFEEBA"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- 12.0</w:t>
            </w:r>
          </w:p>
        </w:tc>
        <w:tc>
          <w:tcPr>
            <w:tcW w:w="919" w:type="dxa"/>
            <w:tcBorders>
              <w:top w:val="nil"/>
              <w:left w:val="nil"/>
              <w:bottom w:val="nil"/>
              <w:right w:val="single" w:sz="4" w:space="0" w:color="auto"/>
            </w:tcBorders>
            <w:shd w:val="clear" w:color="auto" w:fill="auto"/>
            <w:noWrap/>
            <w:vAlign w:val="bottom"/>
            <w:hideMark/>
          </w:tcPr>
          <w:p w14:paraId="5987CABD"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25.9</w:t>
            </w:r>
          </w:p>
        </w:tc>
      </w:tr>
      <w:tr w:rsidR="008B30F2" w:rsidRPr="005526D8" w14:paraId="0DE311CC" w14:textId="77777777" w:rsidTr="003A0362">
        <w:trPr>
          <w:trHeight w:val="320"/>
        </w:trPr>
        <w:tc>
          <w:tcPr>
            <w:tcW w:w="2972" w:type="dxa"/>
            <w:tcBorders>
              <w:top w:val="nil"/>
              <w:left w:val="single" w:sz="4" w:space="0" w:color="auto"/>
              <w:bottom w:val="nil"/>
              <w:right w:val="single" w:sz="4" w:space="0" w:color="auto"/>
            </w:tcBorders>
            <w:shd w:val="clear" w:color="auto" w:fill="auto"/>
            <w:noWrap/>
            <w:vAlign w:val="bottom"/>
            <w:hideMark/>
          </w:tcPr>
          <w:p w14:paraId="59CF39FA"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Agencias de viajes y otros servicios de reserva</w:t>
            </w:r>
          </w:p>
        </w:tc>
        <w:tc>
          <w:tcPr>
            <w:tcW w:w="1041" w:type="dxa"/>
            <w:tcBorders>
              <w:top w:val="nil"/>
              <w:left w:val="nil"/>
              <w:bottom w:val="nil"/>
              <w:right w:val="single" w:sz="4" w:space="0" w:color="auto"/>
            </w:tcBorders>
            <w:shd w:val="clear" w:color="auto" w:fill="auto"/>
            <w:noWrap/>
            <w:vAlign w:val="bottom"/>
            <w:hideMark/>
          </w:tcPr>
          <w:p w14:paraId="7DF01B89" w14:textId="5D26594D"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14</w:t>
            </w:r>
            <w:r w:rsidR="00520DDB">
              <w:rPr>
                <w:rFonts w:ascii="Arial" w:eastAsia="Times New Roman" w:hAnsi="Arial" w:cs="Arial"/>
                <w:sz w:val="18"/>
                <w:szCs w:val="18"/>
              </w:rPr>
              <w:t xml:space="preserve"> </w:t>
            </w:r>
            <w:r w:rsidRPr="005526D8">
              <w:rPr>
                <w:rFonts w:ascii="Arial" w:eastAsia="Times New Roman" w:hAnsi="Arial" w:cs="Arial"/>
                <w:sz w:val="18"/>
                <w:szCs w:val="18"/>
              </w:rPr>
              <w:t>557</w:t>
            </w:r>
          </w:p>
        </w:tc>
        <w:tc>
          <w:tcPr>
            <w:tcW w:w="958" w:type="dxa"/>
            <w:tcBorders>
              <w:top w:val="nil"/>
              <w:left w:val="nil"/>
              <w:bottom w:val="nil"/>
              <w:right w:val="single" w:sz="4" w:space="0" w:color="auto"/>
            </w:tcBorders>
            <w:shd w:val="clear" w:color="auto" w:fill="auto"/>
            <w:noWrap/>
            <w:vAlign w:val="bottom"/>
            <w:hideMark/>
          </w:tcPr>
          <w:p w14:paraId="7F5D504D" w14:textId="6A861D9B"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- 2.8</w:t>
            </w:r>
          </w:p>
        </w:tc>
        <w:tc>
          <w:tcPr>
            <w:tcW w:w="958" w:type="dxa"/>
            <w:tcBorders>
              <w:top w:val="nil"/>
              <w:left w:val="nil"/>
              <w:bottom w:val="nil"/>
              <w:right w:val="single" w:sz="4" w:space="0" w:color="auto"/>
            </w:tcBorders>
            <w:shd w:val="clear" w:color="auto" w:fill="auto"/>
            <w:noWrap/>
            <w:vAlign w:val="bottom"/>
            <w:hideMark/>
          </w:tcPr>
          <w:p w14:paraId="39DE8BCA"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0.6</w:t>
            </w:r>
          </w:p>
        </w:tc>
        <w:tc>
          <w:tcPr>
            <w:tcW w:w="1120" w:type="dxa"/>
            <w:tcBorders>
              <w:top w:val="nil"/>
              <w:left w:val="nil"/>
              <w:bottom w:val="nil"/>
              <w:right w:val="single" w:sz="4" w:space="0" w:color="auto"/>
            </w:tcBorders>
            <w:shd w:val="clear" w:color="auto" w:fill="auto"/>
            <w:noWrap/>
            <w:vAlign w:val="bottom"/>
            <w:hideMark/>
          </w:tcPr>
          <w:p w14:paraId="29A59AED" w14:textId="60A85EE4"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12</w:t>
            </w:r>
            <w:r w:rsidR="00520DDB">
              <w:rPr>
                <w:rFonts w:ascii="Arial" w:eastAsia="Times New Roman" w:hAnsi="Arial" w:cs="Arial"/>
                <w:sz w:val="18"/>
                <w:szCs w:val="18"/>
              </w:rPr>
              <w:t xml:space="preserve"> </w:t>
            </w:r>
            <w:r w:rsidRPr="005526D8">
              <w:rPr>
                <w:rFonts w:ascii="Arial" w:eastAsia="Times New Roman" w:hAnsi="Arial" w:cs="Arial"/>
                <w:sz w:val="18"/>
                <w:szCs w:val="18"/>
              </w:rPr>
              <w:t>323</w:t>
            </w:r>
          </w:p>
        </w:tc>
        <w:tc>
          <w:tcPr>
            <w:tcW w:w="958" w:type="dxa"/>
            <w:tcBorders>
              <w:top w:val="nil"/>
              <w:left w:val="nil"/>
              <w:bottom w:val="nil"/>
              <w:right w:val="single" w:sz="4" w:space="0" w:color="auto"/>
            </w:tcBorders>
            <w:shd w:val="clear" w:color="auto" w:fill="auto"/>
            <w:noWrap/>
            <w:vAlign w:val="bottom"/>
            <w:hideMark/>
          </w:tcPr>
          <w:p w14:paraId="51354812" w14:textId="1F5B6AF6"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- 15.3</w:t>
            </w:r>
          </w:p>
        </w:tc>
        <w:tc>
          <w:tcPr>
            <w:tcW w:w="919" w:type="dxa"/>
            <w:tcBorders>
              <w:top w:val="nil"/>
              <w:left w:val="nil"/>
              <w:bottom w:val="nil"/>
              <w:right w:val="single" w:sz="4" w:space="0" w:color="auto"/>
            </w:tcBorders>
            <w:shd w:val="clear" w:color="auto" w:fill="auto"/>
            <w:noWrap/>
            <w:vAlign w:val="bottom"/>
            <w:hideMark/>
          </w:tcPr>
          <w:p w14:paraId="041AA971"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0.6</w:t>
            </w:r>
          </w:p>
        </w:tc>
      </w:tr>
      <w:tr w:rsidR="008B30F2" w:rsidRPr="005526D8" w14:paraId="38D262A1" w14:textId="77777777" w:rsidTr="003A0362">
        <w:trPr>
          <w:trHeight w:val="171"/>
        </w:trPr>
        <w:tc>
          <w:tcPr>
            <w:tcW w:w="2972" w:type="dxa"/>
            <w:tcBorders>
              <w:top w:val="nil"/>
              <w:left w:val="single" w:sz="4" w:space="0" w:color="auto"/>
              <w:bottom w:val="nil"/>
              <w:right w:val="single" w:sz="4" w:space="0" w:color="auto"/>
            </w:tcBorders>
            <w:shd w:val="clear" w:color="auto" w:fill="auto"/>
            <w:noWrap/>
            <w:vAlign w:val="bottom"/>
            <w:hideMark/>
          </w:tcPr>
          <w:p w14:paraId="5B2E65FF"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Alojamiento para visitantes</w:t>
            </w:r>
          </w:p>
        </w:tc>
        <w:tc>
          <w:tcPr>
            <w:tcW w:w="1041" w:type="dxa"/>
            <w:tcBorders>
              <w:top w:val="nil"/>
              <w:left w:val="nil"/>
              <w:bottom w:val="nil"/>
              <w:right w:val="single" w:sz="4" w:space="0" w:color="auto"/>
            </w:tcBorders>
            <w:shd w:val="clear" w:color="auto" w:fill="auto"/>
            <w:noWrap/>
            <w:vAlign w:val="bottom"/>
            <w:hideMark/>
          </w:tcPr>
          <w:p w14:paraId="1E0BCBE5" w14:textId="6BB0338D"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200</w:t>
            </w:r>
            <w:r w:rsidR="00520DDB">
              <w:rPr>
                <w:rFonts w:ascii="Arial" w:eastAsia="Times New Roman" w:hAnsi="Arial" w:cs="Arial"/>
                <w:sz w:val="18"/>
                <w:szCs w:val="18"/>
              </w:rPr>
              <w:t xml:space="preserve"> </w:t>
            </w:r>
            <w:r w:rsidRPr="005526D8">
              <w:rPr>
                <w:rFonts w:ascii="Arial" w:eastAsia="Times New Roman" w:hAnsi="Arial" w:cs="Arial"/>
                <w:sz w:val="18"/>
                <w:szCs w:val="18"/>
              </w:rPr>
              <w:t>230</w:t>
            </w:r>
          </w:p>
        </w:tc>
        <w:tc>
          <w:tcPr>
            <w:tcW w:w="958" w:type="dxa"/>
            <w:tcBorders>
              <w:top w:val="nil"/>
              <w:left w:val="nil"/>
              <w:bottom w:val="nil"/>
              <w:right w:val="single" w:sz="4" w:space="0" w:color="auto"/>
            </w:tcBorders>
            <w:shd w:val="clear" w:color="auto" w:fill="auto"/>
            <w:noWrap/>
            <w:vAlign w:val="bottom"/>
            <w:hideMark/>
          </w:tcPr>
          <w:p w14:paraId="4599C504"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0.6</w:t>
            </w:r>
          </w:p>
        </w:tc>
        <w:tc>
          <w:tcPr>
            <w:tcW w:w="958" w:type="dxa"/>
            <w:tcBorders>
              <w:top w:val="nil"/>
              <w:left w:val="nil"/>
              <w:bottom w:val="nil"/>
              <w:right w:val="single" w:sz="4" w:space="0" w:color="auto"/>
            </w:tcBorders>
            <w:shd w:val="clear" w:color="auto" w:fill="auto"/>
            <w:noWrap/>
            <w:vAlign w:val="bottom"/>
            <w:hideMark/>
          </w:tcPr>
          <w:p w14:paraId="37280677"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8.8</w:t>
            </w:r>
          </w:p>
        </w:tc>
        <w:tc>
          <w:tcPr>
            <w:tcW w:w="1120" w:type="dxa"/>
            <w:tcBorders>
              <w:top w:val="nil"/>
              <w:left w:val="nil"/>
              <w:bottom w:val="nil"/>
              <w:right w:val="single" w:sz="4" w:space="0" w:color="auto"/>
            </w:tcBorders>
            <w:shd w:val="clear" w:color="auto" w:fill="auto"/>
            <w:noWrap/>
            <w:vAlign w:val="bottom"/>
            <w:hideMark/>
          </w:tcPr>
          <w:p w14:paraId="158CDF2C" w14:textId="4C72D0E0"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204</w:t>
            </w:r>
            <w:r w:rsidR="00520DDB">
              <w:rPr>
                <w:rFonts w:ascii="Arial" w:eastAsia="Times New Roman" w:hAnsi="Arial" w:cs="Arial"/>
                <w:sz w:val="18"/>
                <w:szCs w:val="18"/>
              </w:rPr>
              <w:t xml:space="preserve"> </w:t>
            </w:r>
            <w:r w:rsidRPr="005526D8">
              <w:rPr>
                <w:rFonts w:ascii="Arial" w:eastAsia="Times New Roman" w:hAnsi="Arial" w:cs="Arial"/>
                <w:sz w:val="18"/>
                <w:szCs w:val="18"/>
              </w:rPr>
              <w:t>693</w:t>
            </w:r>
          </w:p>
        </w:tc>
        <w:tc>
          <w:tcPr>
            <w:tcW w:w="958" w:type="dxa"/>
            <w:tcBorders>
              <w:top w:val="nil"/>
              <w:left w:val="nil"/>
              <w:bottom w:val="nil"/>
              <w:right w:val="single" w:sz="4" w:space="0" w:color="auto"/>
            </w:tcBorders>
            <w:shd w:val="clear" w:color="auto" w:fill="auto"/>
            <w:noWrap/>
            <w:vAlign w:val="bottom"/>
            <w:hideMark/>
          </w:tcPr>
          <w:p w14:paraId="585A4997"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2.2</w:t>
            </w:r>
          </w:p>
        </w:tc>
        <w:tc>
          <w:tcPr>
            <w:tcW w:w="919" w:type="dxa"/>
            <w:tcBorders>
              <w:top w:val="nil"/>
              <w:left w:val="nil"/>
              <w:bottom w:val="nil"/>
              <w:right w:val="single" w:sz="4" w:space="0" w:color="auto"/>
            </w:tcBorders>
            <w:shd w:val="clear" w:color="auto" w:fill="auto"/>
            <w:noWrap/>
            <w:vAlign w:val="bottom"/>
            <w:hideMark/>
          </w:tcPr>
          <w:p w14:paraId="1AC5FEF3"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10.2</w:t>
            </w:r>
          </w:p>
        </w:tc>
      </w:tr>
      <w:tr w:rsidR="008B30F2" w:rsidRPr="005526D8" w14:paraId="537E95E6" w14:textId="77777777" w:rsidTr="003A0362">
        <w:trPr>
          <w:trHeight w:val="349"/>
        </w:trPr>
        <w:tc>
          <w:tcPr>
            <w:tcW w:w="2972" w:type="dxa"/>
            <w:tcBorders>
              <w:top w:val="nil"/>
              <w:left w:val="single" w:sz="4" w:space="0" w:color="auto"/>
              <w:bottom w:val="nil"/>
              <w:right w:val="single" w:sz="4" w:space="0" w:color="auto"/>
            </w:tcBorders>
            <w:shd w:val="clear" w:color="auto" w:fill="auto"/>
            <w:noWrap/>
            <w:vAlign w:val="bottom"/>
            <w:hideMark/>
          </w:tcPr>
          <w:p w14:paraId="7A1E96B9"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Restaurantes, bares y centros nocturnos</w:t>
            </w:r>
          </w:p>
        </w:tc>
        <w:tc>
          <w:tcPr>
            <w:tcW w:w="1041" w:type="dxa"/>
            <w:tcBorders>
              <w:top w:val="nil"/>
              <w:left w:val="nil"/>
              <w:bottom w:val="nil"/>
              <w:right w:val="single" w:sz="4" w:space="0" w:color="auto"/>
            </w:tcBorders>
            <w:shd w:val="clear" w:color="auto" w:fill="auto"/>
            <w:noWrap/>
            <w:vAlign w:val="bottom"/>
            <w:hideMark/>
          </w:tcPr>
          <w:p w14:paraId="0289280E" w14:textId="350F6A73"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665</w:t>
            </w:r>
            <w:r w:rsidR="00520DDB">
              <w:rPr>
                <w:rFonts w:ascii="Arial" w:eastAsia="Times New Roman" w:hAnsi="Arial" w:cs="Arial"/>
                <w:sz w:val="18"/>
                <w:szCs w:val="18"/>
              </w:rPr>
              <w:t xml:space="preserve"> </w:t>
            </w:r>
            <w:r w:rsidRPr="005526D8">
              <w:rPr>
                <w:rFonts w:ascii="Arial" w:eastAsia="Times New Roman" w:hAnsi="Arial" w:cs="Arial"/>
                <w:sz w:val="18"/>
                <w:szCs w:val="18"/>
              </w:rPr>
              <w:t>757</w:t>
            </w:r>
          </w:p>
        </w:tc>
        <w:tc>
          <w:tcPr>
            <w:tcW w:w="958" w:type="dxa"/>
            <w:tcBorders>
              <w:top w:val="nil"/>
              <w:left w:val="nil"/>
              <w:bottom w:val="nil"/>
              <w:right w:val="single" w:sz="4" w:space="0" w:color="auto"/>
            </w:tcBorders>
            <w:shd w:val="clear" w:color="auto" w:fill="auto"/>
            <w:noWrap/>
            <w:vAlign w:val="bottom"/>
            <w:hideMark/>
          </w:tcPr>
          <w:p w14:paraId="62D2437A"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2.2</w:t>
            </w:r>
          </w:p>
        </w:tc>
        <w:tc>
          <w:tcPr>
            <w:tcW w:w="958" w:type="dxa"/>
            <w:tcBorders>
              <w:top w:val="nil"/>
              <w:left w:val="nil"/>
              <w:bottom w:val="nil"/>
              <w:right w:val="single" w:sz="4" w:space="0" w:color="auto"/>
            </w:tcBorders>
            <w:shd w:val="clear" w:color="auto" w:fill="auto"/>
            <w:noWrap/>
            <w:vAlign w:val="bottom"/>
            <w:hideMark/>
          </w:tcPr>
          <w:p w14:paraId="37738779"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29.1</w:t>
            </w:r>
          </w:p>
        </w:tc>
        <w:tc>
          <w:tcPr>
            <w:tcW w:w="1120" w:type="dxa"/>
            <w:tcBorders>
              <w:top w:val="nil"/>
              <w:left w:val="nil"/>
              <w:bottom w:val="nil"/>
              <w:right w:val="single" w:sz="4" w:space="0" w:color="auto"/>
            </w:tcBorders>
            <w:shd w:val="clear" w:color="auto" w:fill="auto"/>
            <w:noWrap/>
            <w:vAlign w:val="bottom"/>
            <w:hideMark/>
          </w:tcPr>
          <w:p w14:paraId="662109DE" w14:textId="58723FB0"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549</w:t>
            </w:r>
            <w:r w:rsidR="00520DDB">
              <w:rPr>
                <w:rFonts w:ascii="Arial" w:eastAsia="Times New Roman" w:hAnsi="Arial" w:cs="Arial"/>
                <w:sz w:val="18"/>
                <w:szCs w:val="18"/>
              </w:rPr>
              <w:t xml:space="preserve"> </w:t>
            </w:r>
            <w:r w:rsidRPr="005526D8">
              <w:rPr>
                <w:rFonts w:ascii="Arial" w:eastAsia="Times New Roman" w:hAnsi="Arial" w:cs="Arial"/>
                <w:sz w:val="18"/>
                <w:szCs w:val="18"/>
              </w:rPr>
              <w:t>719</w:t>
            </w:r>
          </w:p>
        </w:tc>
        <w:tc>
          <w:tcPr>
            <w:tcW w:w="958" w:type="dxa"/>
            <w:tcBorders>
              <w:top w:val="nil"/>
              <w:left w:val="nil"/>
              <w:bottom w:val="nil"/>
              <w:right w:val="single" w:sz="4" w:space="0" w:color="auto"/>
            </w:tcBorders>
            <w:shd w:val="clear" w:color="auto" w:fill="auto"/>
            <w:noWrap/>
            <w:vAlign w:val="bottom"/>
            <w:hideMark/>
          </w:tcPr>
          <w:p w14:paraId="1C846C7B" w14:textId="0E6222EC"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- 17.4</w:t>
            </w:r>
          </w:p>
        </w:tc>
        <w:tc>
          <w:tcPr>
            <w:tcW w:w="919" w:type="dxa"/>
            <w:tcBorders>
              <w:top w:val="nil"/>
              <w:left w:val="nil"/>
              <w:bottom w:val="nil"/>
              <w:right w:val="single" w:sz="4" w:space="0" w:color="auto"/>
            </w:tcBorders>
            <w:shd w:val="clear" w:color="auto" w:fill="auto"/>
            <w:noWrap/>
            <w:vAlign w:val="bottom"/>
            <w:hideMark/>
          </w:tcPr>
          <w:p w14:paraId="1F427491"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27.4</w:t>
            </w:r>
          </w:p>
        </w:tc>
      </w:tr>
      <w:tr w:rsidR="008B30F2" w:rsidRPr="005526D8" w14:paraId="0A1BF125" w14:textId="77777777" w:rsidTr="003A0362">
        <w:trPr>
          <w:trHeight w:val="126"/>
        </w:trPr>
        <w:tc>
          <w:tcPr>
            <w:tcW w:w="2972" w:type="dxa"/>
            <w:tcBorders>
              <w:top w:val="nil"/>
              <w:left w:val="single" w:sz="4" w:space="0" w:color="auto"/>
              <w:bottom w:val="nil"/>
              <w:right w:val="single" w:sz="4" w:space="0" w:color="auto"/>
            </w:tcBorders>
            <w:shd w:val="clear" w:color="auto" w:fill="auto"/>
            <w:noWrap/>
            <w:vAlign w:val="bottom"/>
            <w:hideMark/>
          </w:tcPr>
          <w:p w14:paraId="3A496D60"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Comercio turístico</w:t>
            </w:r>
          </w:p>
        </w:tc>
        <w:tc>
          <w:tcPr>
            <w:tcW w:w="1041" w:type="dxa"/>
            <w:tcBorders>
              <w:top w:val="nil"/>
              <w:left w:val="nil"/>
              <w:bottom w:val="nil"/>
              <w:right w:val="single" w:sz="4" w:space="0" w:color="auto"/>
            </w:tcBorders>
            <w:shd w:val="clear" w:color="auto" w:fill="auto"/>
            <w:noWrap/>
            <w:vAlign w:val="bottom"/>
            <w:hideMark/>
          </w:tcPr>
          <w:p w14:paraId="2DF5C708" w14:textId="0B6A0723"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94</w:t>
            </w:r>
            <w:r w:rsidR="00520DDB">
              <w:rPr>
                <w:rFonts w:ascii="Arial" w:eastAsia="Times New Roman" w:hAnsi="Arial" w:cs="Arial"/>
                <w:sz w:val="18"/>
                <w:szCs w:val="18"/>
              </w:rPr>
              <w:t xml:space="preserve"> </w:t>
            </w:r>
            <w:r w:rsidRPr="005526D8">
              <w:rPr>
                <w:rFonts w:ascii="Arial" w:eastAsia="Times New Roman" w:hAnsi="Arial" w:cs="Arial"/>
                <w:sz w:val="18"/>
                <w:szCs w:val="18"/>
              </w:rPr>
              <w:t>009</w:t>
            </w:r>
          </w:p>
        </w:tc>
        <w:tc>
          <w:tcPr>
            <w:tcW w:w="958" w:type="dxa"/>
            <w:tcBorders>
              <w:top w:val="nil"/>
              <w:left w:val="nil"/>
              <w:bottom w:val="nil"/>
              <w:right w:val="single" w:sz="4" w:space="0" w:color="auto"/>
            </w:tcBorders>
            <w:shd w:val="clear" w:color="auto" w:fill="auto"/>
            <w:noWrap/>
            <w:vAlign w:val="bottom"/>
            <w:hideMark/>
          </w:tcPr>
          <w:p w14:paraId="48E13880"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2.4</w:t>
            </w:r>
          </w:p>
        </w:tc>
        <w:tc>
          <w:tcPr>
            <w:tcW w:w="958" w:type="dxa"/>
            <w:tcBorders>
              <w:top w:val="nil"/>
              <w:left w:val="nil"/>
              <w:bottom w:val="nil"/>
              <w:right w:val="single" w:sz="4" w:space="0" w:color="auto"/>
            </w:tcBorders>
            <w:shd w:val="clear" w:color="auto" w:fill="auto"/>
            <w:noWrap/>
            <w:vAlign w:val="bottom"/>
            <w:hideMark/>
          </w:tcPr>
          <w:p w14:paraId="034161FE"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4.1</w:t>
            </w:r>
          </w:p>
        </w:tc>
        <w:tc>
          <w:tcPr>
            <w:tcW w:w="1120" w:type="dxa"/>
            <w:tcBorders>
              <w:top w:val="nil"/>
              <w:left w:val="nil"/>
              <w:bottom w:val="nil"/>
              <w:right w:val="single" w:sz="4" w:space="0" w:color="auto"/>
            </w:tcBorders>
            <w:shd w:val="clear" w:color="auto" w:fill="auto"/>
            <w:noWrap/>
            <w:vAlign w:val="bottom"/>
            <w:hideMark/>
          </w:tcPr>
          <w:p w14:paraId="7E58F86E" w14:textId="153C59CC"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72</w:t>
            </w:r>
            <w:r w:rsidR="00520DDB">
              <w:rPr>
                <w:rFonts w:ascii="Arial" w:eastAsia="Times New Roman" w:hAnsi="Arial" w:cs="Arial"/>
                <w:sz w:val="18"/>
                <w:szCs w:val="18"/>
              </w:rPr>
              <w:t xml:space="preserve"> </w:t>
            </w:r>
            <w:r w:rsidRPr="005526D8">
              <w:rPr>
                <w:rFonts w:ascii="Arial" w:eastAsia="Times New Roman" w:hAnsi="Arial" w:cs="Arial"/>
                <w:sz w:val="18"/>
                <w:szCs w:val="18"/>
              </w:rPr>
              <w:t>248</w:t>
            </w:r>
          </w:p>
        </w:tc>
        <w:tc>
          <w:tcPr>
            <w:tcW w:w="958" w:type="dxa"/>
            <w:tcBorders>
              <w:top w:val="nil"/>
              <w:left w:val="nil"/>
              <w:bottom w:val="nil"/>
              <w:right w:val="single" w:sz="4" w:space="0" w:color="auto"/>
            </w:tcBorders>
            <w:shd w:val="clear" w:color="auto" w:fill="auto"/>
            <w:noWrap/>
            <w:vAlign w:val="bottom"/>
            <w:hideMark/>
          </w:tcPr>
          <w:p w14:paraId="363F85C8" w14:textId="3AE7206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- 23.1</w:t>
            </w:r>
          </w:p>
        </w:tc>
        <w:tc>
          <w:tcPr>
            <w:tcW w:w="919" w:type="dxa"/>
            <w:tcBorders>
              <w:top w:val="nil"/>
              <w:left w:val="nil"/>
              <w:bottom w:val="nil"/>
              <w:right w:val="single" w:sz="4" w:space="0" w:color="auto"/>
            </w:tcBorders>
            <w:shd w:val="clear" w:color="auto" w:fill="auto"/>
            <w:noWrap/>
            <w:vAlign w:val="bottom"/>
            <w:hideMark/>
          </w:tcPr>
          <w:p w14:paraId="3DFC10C3"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3.6</w:t>
            </w:r>
          </w:p>
        </w:tc>
      </w:tr>
      <w:tr w:rsidR="008B30F2" w:rsidRPr="005526D8" w14:paraId="202AE8A6" w14:textId="77777777" w:rsidTr="003A0362">
        <w:trPr>
          <w:trHeight w:val="213"/>
        </w:trPr>
        <w:tc>
          <w:tcPr>
            <w:tcW w:w="2972" w:type="dxa"/>
            <w:tcBorders>
              <w:top w:val="nil"/>
              <w:left w:val="single" w:sz="4" w:space="0" w:color="auto"/>
              <w:bottom w:val="nil"/>
              <w:right w:val="single" w:sz="4" w:space="0" w:color="auto"/>
            </w:tcBorders>
            <w:shd w:val="clear" w:color="auto" w:fill="auto"/>
            <w:noWrap/>
            <w:vAlign w:val="bottom"/>
            <w:hideMark/>
          </w:tcPr>
          <w:p w14:paraId="6CFEC5EC"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Servicios culturales</w:t>
            </w:r>
          </w:p>
        </w:tc>
        <w:tc>
          <w:tcPr>
            <w:tcW w:w="1041" w:type="dxa"/>
            <w:tcBorders>
              <w:top w:val="nil"/>
              <w:left w:val="nil"/>
              <w:bottom w:val="nil"/>
              <w:right w:val="single" w:sz="4" w:space="0" w:color="auto"/>
            </w:tcBorders>
            <w:shd w:val="clear" w:color="auto" w:fill="auto"/>
            <w:noWrap/>
            <w:vAlign w:val="bottom"/>
            <w:hideMark/>
          </w:tcPr>
          <w:p w14:paraId="04FBD265" w14:textId="1000FD36"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37</w:t>
            </w:r>
            <w:r w:rsidR="00520DDB">
              <w:rPr>
                <w:rFonts w:ascii="Arial" w:eastAsia="Times New Roman" w:hAnsi="Arial" w:cs="Arial"/>
                <w:sz w:val="18"/>
                <w:szCs w:val="18"/>
              </w:rPr>
              <w:t xml:space="preserve"> </w:t>
            </w:r>
            <w:r w:rsidRPr="005526D8">
              <w:rPr>
                <w:rFonts w:ascii="Arial" w:eastAsia="Times New Roman" w:hAnsi="Arial" w:cs="Arial"/>
                <w:sz w:val="18"/>
                <w:szCs w:val="18"/>
              </w:rPr>
              <w:t>691</w:t>
            </w:r>
          </w:p>
        </w:tc>
        <w:tc>
          <w:tcPr>
            <w:tcW w:w="958" w:type="dxa"/>
            <w:tcBorders>
              <w:top w:val="nil"/>
              <w:left w:val="nil"/>
              <w:bottom w:val="nil"/>
              <w:right w:val="single" w:sz="4" w:space="0" w:color="auto"/>
            </w:tcBorders>
            <w:shd w:val="clear" w:color="auto" w:fill="auto"/>
            <w:noWrap/>
            <w:vAlign w:val="bottom"/>
            <w:hideMark/>
          </w:tcPr>
          <w:p w14:paraId="4BC31048"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0.4</w:t>
            </w:r>
          </w:p>
        </w:tc>
        <w:tc>
          <w:tcPr>
            <w:tcW w:w="958" w:type="dxa"/>
            <w:tcBorders>
              <w:top w:val="nil"/>
              <w:left w:val="nil"/>
              <w:bottom w:val="nil"/>
              <w:right w:val="single" w:sz="4" w:space="0" w:color="auto"/>
            </w:tcBorders>
            <w:shd w:val="clear" w:color="auto" w:fill="auto"/>
            <w:noWrap/>
            <w:vAlign w:val="bottom"/>
            <w:hideMark/>
          </w:tcPr>
          <w:p w14:paraId="15547EB7"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1.6</w:t>
            </w:r>
          </w:p>
        </w:tc>
        <w:tc>
          <w:tcPr>
            <w:tcW w:w="1120" w:type="dxa"/>
            <w:tcBorders>
              <w:top w:val="nil"/>
              <w:left w:val="nil"/>
              <w:bottom w:val="nil"/>
              <w:right w:val="single" w:sz="4" w:space="0" w:color="auto"/>
            </w:tcBorders>
            <w:shd w:val="clear" w:color="auto" w:fill="auto"/>
            <w:noWrap/>
            <w:vAlign w:val="bottom"/>
            <w:hideMark/>
          </w:tcPr>
          <w:p w14:paraId="658DDCD0" w14:textId="08107415"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25</w:t>
            </w:r>
            <w:r w:rsidR="00520DDB">
              <w:rPr>
                <w:rFonts w:ascii="Arial" w:eastAsia="Times New Roman" w:hAnsi="Arial" w:cs="Arial"/>
                <w:sz w:val="18"/>
                <w:szCs w:val="18"/>
              </w:rPr>
              <w:t xml:space="preserve"> </w:t>
            </w:r>
            <w:r w:rsidRPr="005526D8">
              <w:rPr>
                <w:rFonts w:ascii="Arial" w:eastAsia="Times New Roman" w:hAnsi="Arial" w:cs="Arial"/>
                <w:sz w:val="18"/>
                <w:szCs w:val="18"/>
              </w:rPr>
              <w:t>297</w:t>
            </w:r>
          </w:p>
        </w:tc>
        <w:tc>
          <w:tcPr>
            <w:tcW w:w="958" w:type="dxa"/>
            <w:tcBorders>
              <w:top w:val="nil"/>
              <w:left w:val="nil"/>
              <w:bottom w:val="nil"/>
              <w:right w:val="single" w:sz="4" w:space="0" w:color="auto"/>
            </w:tcBorders>
            <w:shd w:val="clear" w:color="auto" w:fill="auto"/>
            <w:noWrap/>
            <w:vAlign w:val="bottom"/>
            <w:hideMark/>
          </w:tcPr>
          <w:p w14:paraId="0E5D0975" w14:textId="660CA006"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- 32.9</w:t>
            </w:r>
          </w:p>
        </w:tc>
        <w:tc>
          <w:tcPr>
            <w:tcW w:w="919" w:type="dxa"/>
            <w:tcBorders>
              <w:top w:val="nil"/>
              <w:left w:val="nil"/>
              <w:bottom w:val="nil"/>
              <w:right w:val="single" w:sz="4" w:space="0" w:color="auto"/>
            </w:tcBorders>
            <w:shd w:val="clear" w:color="auto" w:fill="auto"/>
            <w:noWrap/>
            <w:vAlign w:val="bottom"/>
            <w:hideMark/>
          </w:tcPr>
          <w:p w14:paraId="22408494"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1.3</w:t>
            </w:r>
          </w:p>
        </w:tc>
      </w:tr>
      <w:tr w:rsidR="008B30F2" w:rsidRPr="005526D8" w14:paraId="1E0A4E76" w14:textId="77777777" w:rsidTr="003A0362">
        <w:trPr>
          <w:trHeight w:val="349"/>
        </w:trPr>
        <w:tc>
          <w:tcPr>
            <w:tcW w:w="2972" w:type="dxa"/>
            <w:tcBorders>
              <w:top w:val="nil"/>
              <w:left w:val="single" w:sz="4" w:space="0" w:color="auto"/>
              <w:bottom w:val="nil"/>
              <w:right w:val="single" w:sz="4" w:space="0" w:color="auto"/>
            </w:tcBorders>
            <w:shd w:val="clear" w:color="auto" w:fill="auto"/>
            <w:noWrap/>
            <w:vAlign w:val="bottom"/>
            <w:hideMark/>
          </w:tcPr>
          <w:p w14:paraId="292BFBB4"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Servicios deportivos y recreativos</w:t>
            </w:r>
          </w:p>
        </w:tc>
        <w:tc>
          <w:tcPr>
            <w:tcW w:w="1041" w:type="dxa"/>
            <w:tcBorders>
              <w:top w:val="nil"/>
              <w:left w:val="nil"/>
              <w:bottom w:val="nil"/>
              <w:right w:val="single" w:sz="4" w:space="0" w:color="auto"/>
            </w:tcBorders>
            <w:shd w:val="clear" w:color="auto" w:fill="auto"/>
            <w:noWrap/>
            <w:vAlign w:val="bottom"/>
            <w:hideMark/>
          </w:tcPr>
          <w:p w14:paraId="1763E23D" w14:textId="15C5D49A"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54</w:t>
            </w:r>
            <w:r w:rsidR="00520DDB">
              <w:rPr>
                <w:rFonts w:ascii="Arial" w:eastAsia="Times New Roman" w:hAnsi="Arial" w:cs="Arial"/>
                <w:sz w:val="18"/>
                <w:szCs w:val="18"/>
              </w:rPr>
              <w:t xml:space="preserve"> </w:t>
            </w:r>
            <w:r w:rsidRPr="005526D8">
              <w:rPr>
                <w:rFonts w:ascii="Arial" w:eastAsia="Times New Roman" w:hAnsi="Arial" w:cs="Arial"/>
                <w:sz w:val="18"/>
                <w:szCs w:val="18"/>
              </w:rPr>
              <w:t>440</w:t>
            </w:r>
          </w:p>
        </w:tc>
        <w:tc>
          <w:tcPr>
            <w:tcW w:w="958" w:type="dxa"/>
            <w:tcBorders>
              <w:top w:val="nil"/>
              <w:left w:val="nil"/>
              <w:bottom w:val="nil"/>
              <w:right w:val="single" w:sz="4" w:space="0" w:color="auto"/>
            </w:tcBorders>
            <w:shd w:val="clear" w:color="auto" w:fill="auto"/>
            <w:noWrap/>
            <w:vAlign w:val="bottom"/>
            <w:hideMark/>
          </w:tcPr>
          <w:p w14:paraId="6DEAFA53" w14:textId="1EAD0C05"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- 3.2</w:t>
            </w:r>
          </w:p>
        </w:tc>
        <w:tc>
          <w:tcPr>
            <w:tcW w:w="958" w:type="dxa"/>
            <w:tcBorders>
              <w:top w:val="nil"/>
              <w:left w:val="nil"/>
              <w:bottom w:val="nil"/>
              <w:right w:val="single" w:sz="4" w:space="0" w:color="auto"/>
            </w:tcBorders>
            <w:shd w:val="clear" w:color="auto" w:fill="auto"/>
            <w:noWrap/>
            <w:vAlign w:val="bottom"/>
            <w:hideMark/>
          </w:tcPr>
          <w:p w14:paraId="6A923CE2"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2.4</w:t>
            </w:r>
          </w:p>
        </w:tc>
        <w:tc>
          <w:tcPr>
            <w:tcW w:w="1120" w:type="dxa"/>
            <w:tcBorders>
              <w:top w:val="nil"/>
              <w:left w:val="nil"/>
              <w:bottom w:val="nil"/>
              <w:right w:val="single" w:sz="4" w:space="0" w:color="auto"/>
            </w:tcBorders>
            <w:shd w:val="clear" w:color="auto" w:fill="auto"/>
            <w:noWrap/>
            <w:vAlign w:val="bottom"/>
            <w:hideMark/>
          </w:tcPr>
          <w:p w14:paraId="07369853" w14:textId="4E58E058"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42</w:t>
            </w:r>
            <w:r w:rsidR="00520DDB">
              <w:rPr>
                <w:rFonts w:ascii="Arial" w:eastAsia="Times New Roman" w:hAnsi="Arial" w:cs="Arial"/>
                <w:sz w:val="18"/>
                <w:szCs w:val="18"/>
              </w:rPr>
              <w:t xml:space="preserve"> </w:t>
            </w:r>
            <w:r w:rsidRPr="005526D8">
              <w:rPr>
                <w:rFonts w:ascii="Arial" w:eastAsia="Times New Roman" w:hAnsi="Arial" w:cs="Arial"/>
                <w:sz w:val="18"/>
                <w:szCs w:val="18"/>
              </w:rPr>
              <w:t>031</w:t>
            </w:r>
          </w:p>
        </w:tc>
        <w:tc>
          <w:tcPr>
            <w:tcW w:w="958" w:type="dxa"/>
            <w:tcBorders>
              <w:top w:val="nil"/>
              <w:left w:val="nil"/>
              <w:bottom w:val="nil"/>
              <w:right w:val="single" w:sz="4" w:space="0" w:color="auto"/>
            </w:tcBorders>
            <w:shd w:val="clear" w:color="auto" w:fill="auto"/>
            <w:noWrap/>
            <w:vAlign w:val="bottom"/>
            <w:hideMark/>
          </w:tcPr>
          <w:p w14:paraId="547E630C" w14:textId="4BC6CF4A"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- 22.8</w:t>
            </w:r>
          </w:p>
        </w:tc>
        <w:tc>
          <w:tcPr>
            <w:tcW w:w="919" w:type="dxa"/>
            <w:tcBorders>
              <w:top w:val="nil"/>
              <w:left w:val="nil"/>
              <w:bottom w:val="nil"/>
              <w:right w:val="single" w:sz="4" w:space="0" w:color="auto"/>
            </w:tcBorders>
            <w:shd w:val="clear" w:color="auto" w:fill="auto"/>
            <w:noWrap/>
            <w:vAlign w:val="bottom"/>
            <w:hideMark/>
          </w:tcPr>
          <w:p w14:paraId="0FAA945C"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2.1</w:t>
            </w:r>
          </w:p>
        </w:tc>
      </w:tr>
      <w:tr w:rsidR="008B30F2" w:rsidRPr="005526D8" w14:paraId="1CE41E8F" w14:textId="77777777" w:rsidTr="003A0362">
        <w:trPr>
          <w:trHeight w:val="151"/>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C70D1D2" w14:textId="77777777" w:rsidR="008B30F2" w:rsidRPr="005526D8" w:rsidRDefault="008B30F2" w:rsidP="003A0362">
            <w:pPr>
              <w:ind w:left="492"/>
              <w:rPr>
                <w:rFonts w:ascii="Arial" w:eastAsia="Times New Roman" w:hAnsi="Arial" w:cs="Arial"/>
                <w:sz w:val="18"/>
                <w:szCs w:val="18"/>
              </w:rPr>
            </w:pPr>
            <w:r w:rsidRPr="005526D8">
              <w:rPr>
                <w:rFonts w:ascii="Arial" w:eastAsia="Times New Roman" w:hAnsi="Arial" w:cs="Arial"/>
                <w:sz w:val="18"/>
                <w:szCs w:val="18"/>
              </w:rPr>
              <w:t>Otros servicios*</w:t>
            </w:r>
          </w:p>
        </w:tc>
        <w:tc>
          <w:tcPr>
            <w:tcW w:w="1041" w:type="dxa"/>
            <w:tcBorders>
              <w:top w:val="nil"/>
              <w:left w:val="nil"/>
              <w:bottom w:val="single" w:sz="4" w:space="0" w:color="auto"/>
              <w:right w:val="single" w:sz="4" w:space="0" w:color="auto"/>
            </w:tcBorders>
            <w:shd w:val="clear" w:color="auto" w:fill="auto"/>
            <w:noWrap/>
            <w:vAlign w:val="bottom"/>
            <w:hideMark/>
          </w:tcPr>
          <w:p w14:paraId="5F2E2DAB" w14:textId="1952765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547</w:t>
            </w:r>
            <w:r w:rsidR="00520DDB">
              <w:rPr>
                <w:rFonts w:ascii="Arial" w:eastAsia="Times New Roman" w:hAnsi="Arial" w:cs="Arial"/>
                <w:sz w:val="18"/>
                <w:szCs w:val="18"/>
              </w:rPr>
              <w:t xml:space="preserve"> </w:t>
            </w:r>
            <w:r w:rsidRPr="005526D8">
              <w:rPr>
                <w:rFonts w:ascii="Arial" w:eastAsia="Times New Roman" w:hAnsi="Arial" w:cs="Arial"/>
                <w:sz w:val="18"/>
                <w:szCs w:val="18"/>
              </w:rPr>
              <w:t>997</w:t>
            </w:r>
          </w:p>
        </w:tc>
        <w:tc>
          <w:tcPr>
            <w:tcW w:w="958" w:type="dxa"/>
            <w:tcBorders>
              <w:top w:val="nil"/>
              <w:left w:val="nil"/>
              <w:bottom w:val="single" w:sz="4" w:space="0" w:color="auto"/>
              <w:right w:val="single" w:sz="4" w:space="0" w:color="auto"/>
            </w:tcBorders>
            <w:shd w:val="clear" w:color="auto" w:fill="auto"/>
            <w:noWrap/>
            <w:vAlign w:val="bottom"/>
            <w:hideMark/>
          </w:tcPr>
          <w:p w14:paraId="099AE4CC" w14:textId="39ECA03D"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- 4.8</w:t>
            </w:r>
          </w:p>
        </w:tc>
        <w:tc>
          <w:tcPr>
            <w:tcW w:w="958" w:type="dxa"/>
            <w:tcBorders>
              <w:top w:val="nil"/>
              <w:left w:val="nil"/>
              <w:bottom w:val="single" w:sz="4" w:space="0" w:color="auto"/>
              <w:right w:val="single" w:sz="4" w:space="0" w:color="auto"/>
            </w:tcBorders>
            <w:shd w:val="clear" w:color="auto" w:fill="auto"/>
            <w:noWrap/>
            <w:vAlign w:val="bottom"/>
            <w:hideMark/>
          </w:tcPr>
          <w:p w14:paraId="16481A43"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24.0</w:t>
            </w:r>
          </w:p>
        </w:tc>
        <w:tc>
          <w:tcPr>
            <w:tcW w:w="1120" w:type="dxa"/>
            <w:tcBorders>
              <w:top w:val="nil"/>
              <w:left w:val="nil"/>
              <w:bottom w:val="single" w:sz="4" w:space="0" w:color="auto"/>
              <w:right w:val="single" w:sz="4" w:space="0" w:color="auto"/>
            </w:tcBorders>
            <w:shd w:val="clear" w:color="auto" w:fill="auto"/>
            <w:noWrap/>
            <w:vAlign w:val="bottom"/>
            <w:hideMark/>
          </w:tcPr>
          <w:p w14:paraId="67243FFF" w14:textId="14DC5C52"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508</w:t>
            </w:r>
            <w:r w:rsidR="00520DDB">
              <w:rPr>
                <w:rFonts w:ascii="Arial" w:eastAsia="Times New Roman" w:hAnsi="Arial" w:cs="Arial"/>
                <w:sz w:val="18"/>
                <w:szCs w:val="18"/>
              </w:rPr>
              <w:t xml:space="preserve"> </w:t>
            </w:r>
            <w:r w:rsidRPr="005526D8">
              <w:rPr>
                <w:rFonts w:ascii="Arial" w:eastAsia="Times New Roman" w:hAnsi="Arial" w:cs="Arial"/>
                <w:sz w:val="18"/>
                <w:szCs w:val="18"/>
              </w:rPr>
              <w:t>406</w:t>
            </w:r>
          </w:p>
        </w:tc>
        <w:tc>
          <w:tcPr>
            <w:tcW w:w="958" w:type="dxa"/>
            <w:tcBorders>
              <w:top w:val="nil"/>
              <w:left w:val="nil"/>
              <w:bottom w:val="single" w:sz="4" w:space="0" w:color="auto"/>
              <w:right w:val="single" w:sz="4" w:space="0" w:color="auto"/>
            </w:tcBorders>
            <w:shd w:val="clear" w:color="auto" w:fill="auto"/>
            <w:noWrap/>
            <w:vAlign w:val="bottom"/>
            <w:hideMark/>
          </w:tcPr>
          <w:p w14:paraId="74B81AA9" w14:textId="3854D725"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- 7.2</w:t>
            </w:r>
          </w:p>
        </w:tc>
        <w:tc>
          <w:tcPr>
            <w:tcW w:w="919" w:type="dxa"/>
            <w:tcBorders>
              <w:top w:val="nil"/>
              <w:left w:val="nil"/>
              <w:bottom w:val="single" w:sz="4" w:space="0" w:color="auto"/>
              <w:right w:val="single" w:sz="4" w:space="0" w:color="auto"/>
            </w:tcBorders>
            <w:shd w:val="clear" w:color="auto" w:fill="auto"/>
            <w:noWrap/>
            <w:vAlign w:val="bottom"/>
            <w:hideMark/>
          </w:tcPr>
          <w:p w14:paraId="55E3BD5B" w14:textId="77777777" w:rsidR="008B30F2" w:rsidRPr="005526D8" w:rsidRDefault="008B30F2" w:rsidP="003A0362">
            <w:pPr>
              <w:jc w:val="right"/>
              <w:rPr>
                <w:rFonts w:ascii="Arial" w:eastAsia="Times New Roman" w:hAnsi="Arial" w:cs="Arial"/>
                <w:sz w:val="18"/>
                <w:szCs w:val="18"/>
              </w:rPr>
            </w:pPr>
            <w:r w:rsidRPr="005526D8">
              <w:rPr>
                <w:rFonts w:ascii="Arial" w:eastAsia="Times New Roman" w:hAnsi="Arial" w:cs="Arial"/>
                <w:sz w:val="18"/>
                <w:szCs w:val="18"/>
              </w:rPr>
              <w:t>25.3</w:t>
            </w:r>
          </w:p>
        </w:tc>
      </w:tr>
    </w:tbl>
    <w:p w14:paraId="488E411F" w14:textId="61A64EEE" w:rsidR="00C727C1" w:rsidRDefault="00C727C1" w:rsidP="000353D6">
      <w:pPr>
        <w:autoSpaceDE w:val="0"/>
        <w:autoSpaceDN w:val="0"/>
        <w:adjustRightInd w:val="0"/>
        <w:ind w:left="142" w:hanging="142"/>
        <w:jc w:val="both"/>
        <w:rPr>
          <w:rFonts w:ascii="Arial" w:eastAsiaTheme="minorHAnsi" w:hAnsi="Arial" w:cs="Arial"/>
          <w:color w:val="000000"/>
          <w:sz w:val="16"/>
          <w:szCs w:val="16"/>
          <w:lang w:eastAsia="en-US"/>
        </w:rPr>
      </w:pPr>
      <w:r w:rsidRPr="006A10BE">
        <w:rPr>
          <w:rFonts w:ascii="Arial" w:eastAsiaTheme="minorHAnsi" w:hAnsi="Arial" w:cs="Arial"/>
          <w:color w:val="000000"/>
          <w:sz w:val="16"/>
          <w:szCs w:val="16"/>
          <w:lang w:eastAsia="en-US"/>
        </w:rPr>
        <w:t>* Incluye Servicios de Apoyo, servicios de información, servicios financieros, servicios inmobiliarios y de alquiler, servicios</w:t>
      </w:r>
      <w:r w:rsidR="000353D6">
        <w:rPr>
          <w:rFonts w:ascii="Arial" w:eastAsiaTheme="minorHAnsi" w:hAnsi="Arial" w:cs="Arial"/>
          <w:color w:val="000000"/>
          <w:sz w:val="16"/>
          <w:szCs w:val="16"/>
          <w:lang w:eastAsia="en-US"/>
        </w:rPr>
        <w:t xml:space="preserve">         </w:t>
      </w:r>
      <w:r w:rsidRPr="006A10BE">
        <w:rPr>
          <w:rFonts w:ascii="Arial" w:eastAsiaTheme="minorHAnsi" w:hAnsi="Arial" w:cs="Arial"/>
          <w:color w:val="000000"/>
          <w:sz w:val="16"/>
          <w:szCs w:val="16"/>
          <w:lang w:eastAsia="en-US"/>
        </w:rPr>
        <w:t xml:space="preserve">profesionales, servicios de salud y productos no destinados al consumo y otros. </w:t>
      </w:r>
    </w:p>
    <w:p w14:paraId="442EDD72" w14:textId="14E85181" w:rsidR="00263C34" w:rsidRPr="006A10BE" w:rsidRDefault="00263C34" w:rsidP="000353D6">
      <w:pPr>
        <w:autoSpaceDE w:val="0"/>
        <w:autoSpaceDN w:val="0"/>
        <w:adjustRightInd w:val="0"/>
        <w:ind w:left="142" w:hanging="142"/>
        <w:jc w:val="both"/>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NS No Significativo</w:t>
      </w:r>
    </w:p>
    <w:p w14:paraId="14651FB3" w14:textId="77777777" w:rsidR="00C727C1" w:rsidRDefault="00C727C1" w:rsidP="00C727C1">
      <w:pPr>
        <w:pStyle w:val="Textoindependiente"/>
        <w:rPr>
          <w:sz w:val="16"/>
          <w:szCs w:val="16"/>
        </w:rPr>
      </w:pPr>
      <w:bookmarkStart w:id="1" w:name="_Hlk88040837"/>
      <w:r>
        <w:rPr>
          <w:sz w:val="16"/>
          <w:szCs w:val="16"/>
        </w:rPr>
        <w:t xml:space="preserve">NOTA: La suma de los valores puede no coincidir con el total debido al redondeo. </w:t>
      </w:r>
    </w:p>
    <w:p w14:paraId="53C0CFF3" w14:textId="77777777" w:rsidR="00DF14EF" w:rsidRDefault="00C727C1" w:rsidP="005300C7">
      <w:pPr>
        <w:pStyle w:val="Textoindependiente"/>
        <w:spacing w:after="240"/>
        <w:rPr>
          <w:rFonts w:ascii="Arial" w:eastAsiaTheme="minorHAnsi" w:hAnsi="Arial" w:cs="Arial"/>
          <w:color w:val="000000"/>
          <w:sz w:val="16"/>
          <w:szCs w:val="16"/>
          <w:lang w:val="es-MX" w:eastAsia="en-US"/>
        </w:rPr>
      </w:pPr>
      <w:r w:rsidRPr="00C32F5B">
        <w:rPr>
          <w:rFonts w:ascii="Arial" w:eastAsiaTheme="minorHAnsi" w:hAnsi="Arial" w:cs="Arial"/>
          <w:color w:val="000000"/>
          <w:sz w:val="16"/>
          <w:szCs w:val="16"/>
          <w:lang w:val="es-MX" w:eastAsia="en-US"/>
        </w:rPr>
        <w:t>Fuente: INEGI</w:t>
      </w:r>
    </w:p>
    <w:bookmarkEnd w:id="1"/>
    <w:p w14:paraId="4EC7FEDA" w14:textId="4964D606" w:rsidR="00C77894" w:rsidRPr="00407D31" w:rsidRDefault="00E05292" w:rsidP="00520DDB">
      <w:pPr>
        <w:spacing w:after="240"/>
        <w:ind w:left="-567" w:right="-518"/>
        <w:rPr>
          <w:rFonts w:ascii="Arial" w:hAnsi="Arial" w:cs="Arial"/>
        </w:rPr>
      </w:pPr>
      <w:r w:rsidRPr="00407D31">
        <w:rPr>
          <w:rFonts w:ascii="Arial" w:hAnsi="Arial" w:cs="Arial"/>
          <w:b/>
          <w:iCs/>
          <w:smallCaps/>
        </w:rPr>
        <w:t>Consumo Turístico Interior</w:t>
      </w:r>
      <w:r w:rsidRPr="00407D31">
        <w:rPr>
          <w:rFonts w:ascii="Arial" w:hAnsi="Arial" w:cs="Arial"/>
        </w:rPr>
        <w:t xml:space="preserve"> </w:t>
      </w:r>
    </w:p>
    <w:p w14:paraId="4BBAC1BF" w14:textId="090041F6" w:rsidR="00CB284B" w:rsidRDefault="00C77894" w:rsidP="00520DDB">
      <w:pPr>
        <w:spacing w:after="240"/>
        <w:ind w:left="-567" w:right="-518"/>
        <w:jc w:val="both"/>
        <w:rPr>
          <w:rFonts w:ascii="Arial" w:hAnsi="Arial" w:cs="Arial"/>
        </w:rPr>
      </w:pPr>
      <w:r w:rsidRPr="00407D31">
        <w:rPr>
          <w:rFonts w:ascii="Arial" w:hAnsi="Arial" w:cs="Arial"/>
        </w:rPr>
        <w:t>La Cuenta Satélite del Turismo de México permite identificar el consumo turístico interior, entendido como el gasto realizado por los visitantes dentro del país, tanto residentes (consumo interno) como extranjeros (consumo receptivo); asimismo, registra el consumo turístico emisor, que se identifica como el gasto realizado por los residentes de México en calidad de visitantes en otros países.</w:t>
      </w:r>
    </w:p>
    <w:p w14:paraId="6600938B" w14:textId="57C74699" w:rsidR="00CB284B" w:rsidRDefault="00C77894" w:rsidP="00520DDB">
      <w:pPr>
        <w:spacing w:after="240"/>
        <w:ind w:left="-567" w:right="-518"/>
        <w:jc w:val="both"/>
        <w:rPr>
          <w:rFonts w:ascii="Arial" w:hAnsi="Arial" w:cs="Arial"/>
        </w:rPr>
      </w:pPr>
      <w:r w:rsidRPr="00453FC3">
        <w:rPr>
          <w:rFonts w:ascii="Arial" w:hAnsi="Arial" w:cs="Arial"/>
        </w:rPr>
        <w:t xml:space="preserve">Durante 2020, el gasto total del consumo turístico efectuado dentro y fuera del país alcanzó un monto de </w:t>
      </w:r>
      <w:r w:rsidR="00C11D99" w:rsidRPr="00453FC3">
        <w:rPr>
          <w:rFonts w:ascii="Arial" w:hAnsi="Arial" w:cs="Arial"/>
        </w:rPr>
        <w:t>2</w:t>
      </w:r>
      <w:r w:rsidR="00520DDB">
        <w:rPr>
          <w:rFonts w:ascii="Arial" w:hAnsi="Arial" w:cs="Arial"/>
        </w:rPr>
        <w:t xml:space="preserve"> </w:t>
      </w:r>
      <w:r w:rsidR="00C11D99" w:rsidRPr="00453FC3">
        <w:rPr>
          <w:rFonts w:ascii="Arial" w:hAnsi="Arial" w:cs="Arial"/>
        </w:rPr>
        <w:t>451</w:t>
      </w:r>
      <w:r w:rsidR="00520DDB">
        <w:rPr>
          <w:rFonts w:ascii="Arial" w:hAnsi="Arial" w:cs="Arial"/>
        </w:rPr>
        <w:t xml:space="preserve"> </w:t>
      </w:r>
      <w:r w:rsidR="00C11D99" w:rsidRPr="00453FC3">
        <w:rPr>
          <w:rFonts w:ascii="Arial" w:hAnsi="Arial" w:cs="Arial"/>
        </w:rPr>
        <w:t>879</w:t>
      </w:r>
      <w:r w:rsidRPr="00453FC3">
        <w:rPr>
          <w:rFonts w:ascii="Arial" w:hAnsi="Arial" w:cs="Arial"/>
        </w:rPr>
        <w:t xml:space="preserve"> millones de pesos corrientes, de los cuales el consumo interior aportó 9</w:t>
      </w:r>
      <w:r w:rsidR="00C11D99" w:rsidRPr="00453FC3">
        <w:rPr>
          <w:rFonts w:ascii="Arial" w:hAnsi="Arial" w:cs="Arial"/>
        </w:rPr>
        <w:t>6</w:t>
      </w:r>
      <w:r w:rsidRPr="00453FC3">
        <w:rPr>
          <w:rFonts w:ascii="Arial" w:hAnsi="Arial" w:cs="Arial"/>
        </w:rPr>
        <w:t xml:space="preserve">.3% del gasto total y el emisor representó el </w:t>
      </w:r>
      <w:r w:rsidR="00C11D99" w:rsidRPr="00453FC3">
        <w:rPr>
          <w:rFonts w:ascii="Arial" w:hAnsi="Arial" w:cs="Arial"/>
        </w:rPr>
        <w:t>3.7</w:t>
      </w:r>
      <w:r w:rsidRPr="00453FC3">
        <w:rPr>
          <w:rFonts w:ascii="Arial" w:hAnsi="Arial" w:cs="Arial"/>
        </w:rPr>
        <w:t>% restante.</w:t>
      </w:r>
    </w:p>
    <w:p w14:paraId="432F67AF" w14:textId="4B0AD261" w:rsidR="000D1A65" w:rsidRDefault="00C77894" w:rsidP="00520DDB">
      <w:pPr>
        <w:spacing w:after="240"/>
        <w:ind w:left="-567" w:right="-518"/>
        <w:jc w:val="both"/>
        <w:rPr>
          <w:rFonts w:ascii="Arial" w:hAnsi="Arial" w:cs="Arial"/>
        </w:rPr>
      </w:pPr>
      <w:r w:rsidRPr="00407D31">
        <w:rPr>
          <w:rFonts w:ascii="Arial" w:hAnsi="Arial" w:cs="Arial"/>
        </w:rPr>
        <w:t xml:space="preserve">Cabe señalar que </w:t>
      </w:r>
      <w:r w:rsidR="00F91C2E" w:rsidRPr="00407D31">
        <w:rPr>
          <w:rFonts w:ascii="Arial" w:hAnsi="Arial" w:cs="Arial"/>
        </w:rPr>
        <w:t>de</w:t>
      </w:r>
      <w:r w:rsidRPr="00407D31">
        <w:rPr>
          <w:rFonts w:ascii="Arial" w:hAnsi="Arial" w:cs="Arial"/>
        </w:rPr>
        <w:t xml:space="preserve"> cada 100 pesos </w:t>
      </w:r>
      <w:r w:rsidR="00F91C2E" w:rsidRPr="00407D31">
        <w:rPr>
          <w:rFonts w:ascii="Arial" w:hAnsi="Arial" w:cs="Arial"/>
        </w:rPr>
        <w:t xml:space="preserve">gastados por </w:t>
      </w:r>
      <w:r w:rsidRPr="00407D31">
        <w:rPr>
          <w:rFonts w:ascii="Arial" w:hAnsi="Arial" w:cs="Arial"/>
        </w:rPr>
        <w:t>turistas (internos y receptivos) dentro del país, los turistas residentes contribuyeron con alrededor de 8</w:t>
      </w:r>
      <w:r w:rsidR="00C11D99">
        <w:rPr>
          <w:rFonts w:ascii="Arial" w:hAnsi="Arial" w:cs="Arial"/>
        </w:rPr>
        <w:t>7</w:t>
      </w:r>
      <w:r w:rsidRPr="00407D31">
        <w:rPr>
          <w:rFonts w:ascii="Arial" w:hAnsi="Arial" w:cs="Arial"/>
        </w:rPr>
        <w:t xml:space="preserve"> pesos de dicho consumo. </w:t>
      </w:r>
    </w:p>
    <w:p w14:paraId="3B022537" w14:textId="5B1E2F07" w:rsidR="00B479DC" w:rsidRPr="00B479DC" w:rsidRDefault="00B479DC" w:rsidP="00CB284B">
      <w:pPr>
        <w:spacing w:after="240"/>
        <w:ind w:left="-425" w:right="-516"/>
        <w:contextualSpacing/>
        <w:jc w:val="center"/>
        <w:rPr>
          <w:rFonts w:ascii="Arial" w:hAnsi="Arial" w:cs="Arial"/>
        </w:rPr>
      </w:pPr>
      <w:r>
        <w:rPr>
          <w:rFonts w:ascii="Arial" w:hAnsi="Arial" w:cs="Arial"/>
        </w:rPr>
        <w:t>Cuadro</w:t>
      </w:r>
      <w:r w:rsidRPr="00ED417B">
        <w:rPr>
          <w:rFonts w:ascii="Arial" w:hAnsi="Arial" w:cs="Arial"/>
        </w:rPr>
        <w:t xml:space="preserve"> </w:t>
      </w:r>
      <w:r w:rsidR="000A419B">
        <w:rPr>
          <w:rFonts w:ascii="Arial" w:hAnsi="Arial" w:cs="Arial"/>
        </w:rPr>
        <w:t>4</w:t>
      </w:r>
    </w:p>
    <w:p w14:paraId="7E8D7D85" w14:textId="52068971" w:rsidR="00B479DC" w:rsidRPr="00191611" w:rsidRDefault="00B479DC" w:rsidP="00D609A0">
      <w:pPr>
        <w:ind w:left="-425" w:right="-516"/>
        <w:contextualSpacing/>
        <w:jc w:val="center"/>
        <w:rPr>
          <w:rFonts w:ascii="Arial" w:hAnsi="Arial" w:cs="Arial"/>
          <w:b/>
          <w:iCs/>
          <w:smallCaps/>
          <w:sz w:val="22"/>
          <w:szCs w:val="22"/>
        </w:rPr>
      </w:pPr>
      <w:r>
        <w:rPr>
          <w:rFonts w:ascii="Arial" w:hAnsi="Arial" w:cs="Arial"/>
          <w:b/>
          <w:iCs/>
          <w:smallCaps/>
          <w:sz w:val="22"/>
          <w:szCs w:val="22"/>
        </w:rPr>
        <w:t>Consumo</w:t>
      </w:r>
      <w:r w:rsidRPr="00191611">
        <w:rPr>
          <w:rFonts w:ascii="Arial" w:hAnsi="Arial" w:cs="Arial"/>
          <w:b/>
          <w:iCs/>
          <w:smallCaps/>
          <w:sz w:val="22"/>
          <w:szCs w:val="22"/>
        </w:rPr>
        <w:t xml:space="preserve"> Turístico</w:t>
      </w:r>
      <w:r>
        <w:rPr>
          <w:rFonts w:ascii="Arial" w:hAnsi="Arial" w:cs="Arial"/>
          <w:b/>
          <w:iCs/>
          <w:smallCaps/>
          <w:sz w:val="22"/>
          <w:szCs w:val="22"/>
        </w:rPr>
        <w:t xml:space="preserve"> Según Su Origen </w:t>
      </w:r>
    </w:p>
    <w:p w14:paraId="545B79F4" w14:textId="18DD8094" w:rsidR="00D609A0" w:rsidRPr="000353D6" w:rsidRDefault="00B479DC" w:rsidP="000353D6">
      <w:pPr>
        <w:pStyle w:val="Textoindependiente"/>
        <w:jc w:val="center"/>
        <w:rPr>
          <w:rFonts w:ascii="Arial" w:hAnsi="Arial" w:cs="Arial"/>
          <w:sz w:val="18"/>
          <w:szCs w:val="18"/>
        </w:rPr>
      </w:pPr>
      <w:r w:rsidRPr="00191611">
        <w:rPr>
          <w:rFonts w:ascii="Arial" w:hAnsi="Arial" w:cs="Arial"/>
          <w:sz w:val="18"/>
          <w:szCs w:val="18"/>
        </w:rPr>
        <w:t>(</w:t>
      </w:r>
      <w:r w:rsidRPr="00191611">
        <w:rPr>
          <w:rFonts w:ascii="Arial" w:hAnsi="Arial" w:cs="Arial"/>
          <w:sz w:val="18"/>
          <w:szCs w:val="18"/>
          <w:lang w:val="es-MX"/>
        </w:rPr>
        <w:t xml:space="preserve">Millones de </w:t>
      </w:r>
      <w:r>
        <w:rPr>
          <w:rFonts w:ascii="Arial" w:hAnsi="Arial" w:cs="Arial"/>
          <w:sz w:val="18"/>
          <w:szCs w:val="18"/>
          <w:lang w:val="es-MX"/>
        </w:rPr>
        <w:t>pesos corrientes</w:t>
      </w:r>
      <w:r w:rsidR="00EC3061">
        <w:rPr>
          <w:rFonts w:ascii="Arial" w:hAnsi="Arial" w:cs="Arial"/>
          <w:sz w:val="18"/>
          <w:szCs w:val="18"/>
          <w:lang w:val="es-MX"/>
        </w:rPr>
        <w:t xml:space="preserve"> y estructura porcentual</w:t>
      </w:r>
      <w:r w:rsidRPr="00191611">
        <w:rPr>
          <w:rFonts w:ascii="Arial" w:hAnsi="Arial" w:cs="Arial"/>
          <w:sz w:val="18"/>
          <w:szCs w:val="18"/>
        </w:rPr>
        <w:t>)</w:t>
      </w:r>
    </w:p>
    <w:tbl>
      <w:tblPr>
        <w:tblW w:w="8791" w:type="dxa"/>
        <w:tblCellMar>
          <w:left w:w="70" w:type="dxa"/>
          <w:right w:w="70" w:type="dxa"/>
        </w:tblCellMar>
        <w:tblLook w:val="04A0" w:firstRow="1" w:lastRow="0" w:firstColumn="1" w:lastColumn="0" w:noHBand="0" w:noVBand="1"/>
      </w:tblPr>
      <w:tblGrid>
        <w:gridCol w:w="2860"/>
        <w:gridCol w:w="1104"/>
        <w:gridCol w:w="993"/>
        <w:gridCol w:w="851"/>
        <w:gridCol w:w="12"/>
        <w:gridCol w:w="1122"/>
        <w:gridCol w:w="12"/>
        <w:gridCol w:w="974"/>
        <w:gridCol w:w="851"/>
        <w:gridCol w:w="12"/>
      </w:tblGrid>
      <w:tr w:rsidR="00D332E3" w:rsidRPr="00DB132B" w14:paraId="47CF69B5" w14:textId="77777777" w:rsidTr="003A0362">
        <w:trPr>
          <w:trHeight w:val="263"/>
        </w:trPr>
        <w:tc>
          <w:tcPr>
            <w:tcW w:w="2860" w:type="dxa"/>
            <w:vMerge w:val="restart"/>
            <w:tcBorders>
              <w:top w:val="single" w:sz="4" w:space="0" w:color="auto"/>
              <w:left w:val="single" w:sz="4" w:space="0" w:color="auto"/>
              <w:bottom w:val="single" w:sz="4" w:space="0" w:color="000000"/>
              <w:right w:val="single" w:sz="4" w:space="0" w:color="FFFFFF"/>
            </w:tcBorders>
            <w:shd w:val="clear" w:color="000000" w:fill="002060"/>
            <w:vAlign w:val="center"/>
            <w:hideMark/>
          </w:tcPr>
          <w:p w14:paraId="527FD9AF" w14:textId="77777777" w:rsidR="00D332E3" w:rsidRPr="00DB132B" w:rsidRDefault="00D332E3" w:rsidP="003A0362">
            <w:pPr>
              <w:jc w:val="center"/>
              <w:rPr>
                <w:rFonts w:ascii="Arial" w:eastAsia="Times New Roman" w:hAnsi="Arial" w:cs="Arial"/>
                <w:b/>
                <w:bCs/>
                <w:color w:val="FFFFFF"/>
                <w:sz w:val="20"/>
                <w:szCs w:val="20"/>
              </w:rPr>
            </w:pPr>
            <w:r w:rsidRPr="00DB132B">
              <w:rPr>
                <w:rFonts w:ascii="Arial" w:eastAsia="Times New Roman" w:hAnsi="Arial" w:cs="Arial"/>
                <w:b/>
                <w:bCs/>
                <w:color w:val="FFFFFF"/>
                <w:sz w:val="20"/>
                <w:szCs w:val="20"/>
              </w:rPr>
              <w:t xml:space="preserve">Concepto </w:t>
            </w:r>
          </w:p>
        </w:tc>
        <w:tc>
          <w:tcPr>
            <w:tcW w:w="1104" w:type="dxa"/>
            <w:vMerge w:val="restart"/>
            <w:tcBorders>
              <w:top w:val="single" w:sz="4" w:space="0" w:color="auto"/>
              <w:left w:val="single" w:sz="4" w:space="0" w:color="FFFFFF"/>
              <w:bottom w:val="single" w:sz="4" w:space="0" w:color="000000"/>
              <w:right w:val="single" w:sz="4" w:space="0" w:color="FFFFFF"/>
            </w:tcBorders>
            <w:shd w:val="clear" w:color="000000" w:fill="002060"/>
            <w:vAlign w:val="center"/>
            <w:hideMark/>
          </w:tcPr>
          <w:p w14:paraId="0DCEE100" w14:textId="77777777" w:rsidR="00D332E3" w:rsidRPr="00DB132B" w:rsidRDefault="00D332E3" w:rsidP="003A0362">
            <w:pPr>
              <w:jc w:val="center"/>
              <w:rPr>
                <w:rFonts w:ascii="Arial" w:eastAsia="Times New Roman" w:hAnsi="Arial" w:cs="Arial"/>
                <w:b/>
                <w:bCs/>
                <w:color w:val="FFFFFF"/>
                <w:sz w:val="20"/>
                <w:szCs w:val="20"/>
              </w:rPr>
            </w:pPr>
            <w:r w:rsidRPr="00DB132B">
              <w:rPr>
                <w:rFonts w:ascii="Arial" w:eastAsia="Times New Roman" w:hAnsi="Arial" w:cs="Arial"/>
                <w:b/>
                <w:bCs/>
                <w:color w:val="FFFFFF"/>
                <w:sz w:val="20"/>
                <w:szCs w:val="20"/>
              </w:rPr>
              <w:t>2019</w:t>
            </w:r>
          </w:p>
        </w:tc>
        <w:tc>
          <w:tcPr>
            <w:tcW w:w="1856" w:type="dxa"/>
            <w:gridSpan w:val="3"/>
            <w:tcBorders>
              <w:top w:val="single" w:sz="4" w:space="0" w:color="auto"/>
              <w:left w:val="nil"/>
              <w:bottom w:val="single" w:sz="4" w:space="0" w:color="FFFFFF"/>
              <w:right w:val="single" w:sz="4" w:space="0" w:color="FFFFFF"/>
            </w:tcBorders>
            <w:shd w:val="clear" w:color="000000" w:fill="002060"/>
            <w:vAlign w:val="center"/>
            <w:hideMark/>
          </w:tcPr>
          <w:p w14:paraId="549A68FB" w14:textId="77777777" w:rsidR="00D332E3" w:rsidRPr="00DB132B" w:rsidRDefault="00D332E3" w:rsidP="003A0362">
            <w:pPr>
              <w:jc w:val="center"/>
              <w:rPr>
                <w:rFonts w:ascii="Arial" w:eastAsia="Times New Roman" w:hAnsi="Arial" w:cs="Arial"/>
                <w:b/>
                <w:bCs/>
                <w:color w:val="FFFFFF"/>
                <w:sz w:val="20"/>
                <w:szCs w:val="20"/>
              </w:rPr>
            </w:pPr>
            <w:r w:rsidRPr="00DB132B">
              <w:rPr>
                <w:rFonts w:ascii="Arial" w:eastAsia="Times New Roman" w:hAnsi="Arial" w:cs="Arial"/>
                <w:b/>
                <w:bCs/>
                <w:color w:val="FFFFFF"/>
                <w:sz w:val="20"/>
                <w:szCs w:val="20"/>
              </w:rPr>
              <w:t xml:space="preserve">Estructura porcentual </w:t>
            </w:r>
          </w:p>
        </w:tc>
        <w:tc>
          <w:tcPr>
            <w:tcW w:w="1134" w:type="dxa"/>
            <w:gridSpan w:val="2"/>
            <w:vMerge w:val="restart"/>
            <w:tcBorders>
              <w:top w:val="single" w:sz="4" w:space="0" w:color="auto"/>
              <w:left w:val="single" w:sz="4" w:space="0" w:color="FFFFFF"/>
              <w:bottom w:val="single" w:sz="4" w:space="0" w:color="000000"/>
              <w:right w:val="single" w:sz="4" w:space="0" w:color="FFFFFF"/>
            </w:tcBorders>
            <w:shd w:val="clear" w:color="000000" w:fill="002060"/>
            <w:vAlign w:val="center"/>
            <w:hideMark/>
          </w:tcPr>
          <w:p w14:paraId="42BA56ED" w14:textId="77777777" w:rsidR="00D332E3" w:rsidRPr="00DB132B" w:rsidRDefault="00D332E3" w:rsidP="003A0362">
            <w:pPr>
              <w:jc w:val="center"/>
              <w:rPr>
                <w:rFonts w:ascii="Arial" w:eastAsia="Times New Roman" w:hAnsi="Arial" w:cs="Arial"/>
                <w:b/>
                <w:bCs/>
                <w:color w:val="FFFFFF"/>
                <w:sz w:val="20"/>
                <w:szCs w:val="20"/>
              </w:rPr>
            </w:pPr>
            <w:r w:rsidRPr="00DB132B">
              <w:rPr>
                <w:rFonts w:ascii="Arial" w:eastAsia="Times New Roman" w:hAnsi="Arial" w:cs="Arial"/>
                <w:b/>
                <w:bCs/>
                <w:color w:val="FFFFFF"/>
                <w:sz w:val="20"/>
                <w:szCs w:val="20"/>
              </w:rPr>
              <w:t>2020</w:t>
            </w:r>
          </w:p>
        </w:tc>
        <w:tc>
          <w:tcPr>
            <w:tcW w:w="1837" w:type="dxa"/>
            <w:gridSpan w:val="3"/>
            <w:tcBorders>
              <w:top w:val="single" w:sz="4" w:space="0" w:color="auto"/>
              <w:left w:val="nil"/>
              <w:bottom w:val="single" w:sz="4" w:space="0" w:color="FFFFFF"/>
              <w:right w:val="single" w:sz="4" w:space="0" w:color="000000"/>
            </w:tcBorders>
            <w:shd w:val="clear" w:color="000000" w:fill="002060"/>
            <w:vAlign w:val="center"/>
            <w:hideMark/>
          </w:tcPr>
          <w:p w14:paraId="01A5919A" w14:textId="77777777" w:rsidR="00D332E3" w:rsidRPr="00DB132B" w:rsidRDefault="00D332E3" w:rsidP="003A0362">
            <w:pPr>
              <w:jc w:val="center"/>
              <w:rPr>
                <w:rFonts w:ascii="Arial" w:eastAsia="Times New Roman" w:hAnsi="Arial" w:cs="Arial"/>
                <w:b/>
                <w:bCs/>
                <w:color w:val="FFFFFF"/>
                <w:sz w:val="20"/>
                <w:szCs w:val="20"/>
              </w:rPr>
            </w:pPr>
            <w:r w:rsidRPr="00DB132B">
              <w:rPr>
                <w:rFonts w:ascii="Arial" w:eastAsia="Times New Roman" w:hAnsi="Arial" w:cs="Arial"/>
                <w:b/>
                <w:bCs/>
                <w:color w:val="FFFFFF"/>
                <w:sz w:val="20"/>
                <w:szCs w:val="20"/>
              </w:rPr>
              <w:t xml:space="preserve">Estructura porcentual </w:t>
            </w:r>
          </w:p>
        </w:tc>
      </w:tr>
      <w:tr w:rsidR="00D332E3" w:rsidRPr="00DB132B" w14:paraId="02A4981C" w14:textId="77777777" w:rsidTr="003A0362">
        <w:trPr>
          <w:trHeight w:val="255"/>
        </w:trPr>
        <w:tc>
          <w:tcPr>
            <w:tcW w:w="2860" w:type="dxa"/>
            <w:vMerge/>
            <w:tcBorders>
              <w:top w:val="single" w:sz="4" w:space="0" w:color="auto"/>
              <w:left w:val="single" w:sz="4" w:space="0" w:color="auto"/>
              <w:bottom w:val="single" w:sz="4" w:space="0" w:color="000000"/>
              <w:right w:val="single" w:sz="4" w:space="0" w:color="FFFFFF"/>
            </w:tcBorders>
            <w:vAlign w:val="center"/>
            <w:hideMark/>
          </w:tcPr>
          <w:p w14:paraId="7B171766" w14:textId="77777777" w:rsidR="00D332E3" w:rsidRPr="00DB132B" w:rsidRDefault="00D332E3" w:rsidP="003A0362">
            <w:pPr>
              <w:rPr>
                <w:rFonts w:ascii="Arial" w:eastAsia="Times New Roman" w:hAnsi="Arial" w:cs="Arial"/>
                <w:b/>
                <w:bCs/>
                <w:color w:val="FFFFFF"/>
                <w:sz w:val="20"/>
                <w:szCs w:val="20"/>
              </w:rPr>
            </w:pPr>
          </w:p>
        </w:tc>
        <w:tc>
          <w:tcPr>
            <w:tcW w:w="1104" w:type="dxa"/>
            <w:vMerge/>
            <w:tcBorders>
              <w:top w:val="single" w:sz="4" w:space="0" w:color="auto"/>
              <w:left w:val="single" w:sz="4" w:space="0" w:color="FFFFFF"/>
              <w:bottom w:val="single" w:sz="4" w:space="0" w:color="000000"/>
              <w:right w:val="single" w:sz="4" w:space="0" w:color="FFFFFF"/>
            </w:tcBorders>
            <w:vAlign w:val="center"/>
            <w:hideMark/>
          </w:tcPr>
          <w:p w14:paraId="3FE996C5" w14:textId="77777777" w:rsidR="00D332E3" w:rsidRPr="00DB132B" w:rsidRDefault="00D332E3" w:rsidP="003A0362">
            <w:pPr>
              <w:rPr>
                <w:rFonts w:ascii="Arial" w:eastAsia="Times New Roman" w:hAnsi="Arial" w:cs="Arial"/>
                <w:b/>
                <w:bCs/>
                <w:color w:val="FFFFFF"/>
                <w:sz w:val="20"/>
                <w:szCs w:val="20"/>
              </w:rPr>
            </w:pPr>
          </w:p>
        </w:tc>
        <w:tc>
          <w:tcPr>
            <w:tcW w:w="1856" w:type="dxa"/>
            <w:gridSpan w:val="3"/>
            <w:tcBorders>
              <w:top w:val="single" w:sz="4" w:space="0" w:color="FFFFFF"/>
              <w:left w:val="nil"/>
              <w:bottom w:val="single" w:sz="4" w:space="0" w:color="auto"/>
              <w:right w:val="single" w:sz="4" w:space="0" w:color="FFFFFF"/>
            </w:tcBorders>
            <w:shd w:val="clear" w:color="000000" w:fill="002060"/>
            <w:vAlign w:val="center"/>
            <w:hideMark/>
          </w:tcPr>
          <w:p w14:paraId="7F49E100" w14:textId="77777777" w:rsidR="00D332E3" w:rsidRPr="00DB132B" w:rsidRDefault="00D332E3" w:rsidP="003A0362">
            <w:pPr>
              <w:jc w:val="center"/>
              <w:rPr>
                <w:rFonts w:ascii="Arial" w:eastAsia="Times New Roman" w:hAnsi="Arial" w:cs="Arial"/>
                <w:b/>
                <w:bCs/>
                <w:color w:val="FFFFFF"/>
                <w:sz w:val="20"/>
                <w:szCs w:val="20"/>
              </w:rPr>
            </w:pPr>
            <w:r w:rsidRPr="00DB132B">
              <w:rPr>
                <w:rFonts w:ascii="Arial" w:eastAsia="Times New Roman" w:hAnsi="Arial" w:cs="Arial"/>
                <w:b/>
                <w:bCs/>
                <w:color w:val="FFFFFF"/>
                <w:sz w:val="20"/>
                <w:szCs w:val="20"/>
              </w:rPr>
              <w:t>2019</w:t>
            </w:r>
          </w:p>
        </w:tc>
        <w:tc>
          <w:tcPr>
            <w:tcW w:w="1134" w:type="dxa"/>
            <w:gridSpan w:val="2"/>
            <w:vMerge/>
            <w:tcBorders>
              <w:top w:val="single" w:sz="4" w:space="0" w:color="auto"/>
              <w:left w:val="single" w:sz="4" w:space="0" w:color="FFFFFF"/>
              <w:bottom w:val="single" w:sz="4" w:space="0" w:color="000000"/>
              <w:right w:val="single" w:sz="4" w:space="0" w:color="FFFFFF"/>
            </w:tcBorders>
            <w:vAlign w:val="center"/>
            <w:hideMark/>
          </w:tcPr>
          <w:p w14:paraId="5049AA3F" w14:textId="77777777" w:rsidR="00D332E3" w:rsidRPr="00DB132B" w:rsidRDefault="00D332E3" w:rsidP="003A0362">
            <w:pPr>
              <w:rPr>
                <w:rFonts w:ascii="Arial" w:eastAsia="Times New Roman" w:hAnsi="Arial" w:cs="Arial"/>
                <w:b/>
                <w:bCs/>
                <w:color w:val="FFFFFF"/>
                <w:sz w:val="20"/>
                <w:szCs w:val="20"/>
              </w:rPr>
            </w:pPr>
          </w:p>
        </w:tc>
        <w:tc>
          <w:tcPr>
            <w:tcW w:w="1837" w:type="dxa"/>
            <w:gridSpan w:val="3"/>
            <w:tcBorders>
              <w:top w:val="single" w:sz="4" w:space="0" w:color="FFFFFF"/>
              <w:left w:val="nil"/>
              <w:bottom w:val="single" w:sz="4" w:space="0" w:color="auto"/>
              <w:right w:val="single" w:sz="4" w:space="0" w:color="000000"/>
            </w:tcBorders>
            <w:shd w:val="clear" w:color="000000" w:fill="002060"/>
            <w:vAlign w:val="center"/>
            <w:hideMark/>
          </w:tcPr>
          <w:p w14:paraId="3515066F" w14:textId="77777777" w:rsidR="00D332E3" w:rsidRPr="00DB132B" w:rsidRDefault="00D332E3" w:rsidP="003A0362">
            <w:pPr>
              <w:jc w:val="center"/>
              <w:rPr>
                <w:rFonts w:ascii="Arial" w:eastAsia="Times New Roman" w:hAnsi="Arial" w:cs="Arial"/>
                <w:b/>
                <w:bCs/>
                <w:color w:val="FFFFFF"/>
                <w:sz w:val="20"/>
                <w:szCs w:val="20"/>
              </w:rPr>
            </w:pPr>
            <w:r w:rsidRPr="00DB132B">
              <w:rPr>
                <w:rFonts w:ascii="Arial" w:eastAsia="Times New Roman" w:hAnsi="Arial" w:cs="Arial"/>
                <w:b/>
                <w:bCs/>
                <w:color w:val="FFFFFF"/>
                <w:sz w:val="20"/>
                <w:szCs w:val="20"/>
              </w:rPr>
              <w:t>2020</w:t>
            </w:r>
          </w:p>
        </w:tc>
      </w:tr>
      <w:tr w:rsidR="00D332E3" w:rsidRPr="00DB132B" w14:paraId="77FC3A1C" w14:textId="77777777" w:rsidTr="003A0362">
        <w:trPr>
          <w:gridAfter w:val="1"/>
          <w:wAfter w:w="12" w:type="dxa"/>
          <w:trHeight w:val="240"/>
        </w:trPr>
        <w:tc>
          <w:tcPr>
            <w:tcW w:w="2860" w:type="dxa"/>
            <w:tcBorders>
              <w:top w:val="nil"/>
              <w:left w:val="single" w:sz="4" w:space="0" w:color="auto"/>
              <w:bottom w:val="nil"/>
              <w:right w:val="single" w:sz="4" w:space="0" w:color="auto"/>
            </w:tcBorders>
            <w:shd w:val="clear" w:color="auto" w:fill="auto"/>
            <w:noWrap/>
            <w:vAlign w:val="bottom"/>
            <w:hideMark/>
          </w:tcPr>
          <w:p w14:paraId="7F6C1E18" w14:textId="77777777" w:rsidR="00D332E3" w:rsidRPr="00DB132B" w:rsidRDefault="00D332E3" w:rsidP="003A0362">
            <w:pPr>
              <w:rPr>
                <w:rFonts w:ascii="Arial" w:eastAsia="Times New Roman" w:hAnsi="Arial" w:cs="Arial"/>
                <w:b/>
                <w:bCs/>
                <w:sz w:val="18"/>
                <w:szCs w:val="18"/>
              </w:rPr>
            </w:pPr>
            <w:r w:rsidRPr="00DB132B">
              <w:rPr>
                <w:rFonts w:ascii="Arial" w:eastAsia="Times New Roman" w:hAnsi="Arial" w:cs="Arial"/>
                <w:b/>
                <w:bCs/>
                <w:sz w:val="18"/>
                <w:szCs w:val="18"/>
              </w:rPr>
              <w:t>Total</w:t>
            </w:r>
          </w:p>
        </w:tc>
        <w:tc>
          <w:tcPr>
            <w:tcW w:w="1104" w:type="dxa"/>
            <w:tcBorders>
              <w:top w:val="nil"/>
              <w:left w:val="nil"/>
              <w:bottom w:val="nil"/>
              <w:right w:val="single" w:sz="4" w:space="0" w:color="auto"/>
            </w:tcBorders>
            <w:shd w:val="clear" w:color="auto" w:fill="auto"/>
            <w:noWrap/>
            <w:vAlign w:val="bottom"/>
            <w:hideMark/>
          </w:tcPr>
          <w:p w14:paraId="71CB7A33" w14:textId="1D739E64" w:rsidR="00D332E3" w:rsidRPr="00DB132B" w:rsidRDefault="00D332E3" w:rsidP="003A0362">
            <w:pPr>
              <w:jc w:val="right"/>
              <w:rPr>
                <w:rFonts w:ascii="Arial" w:eastAsia="Times New Roman" w:hAnsi="Arial" w:cs="Arial"/>
                <w:b/>
                <w:bCs/>
                <w:sz w:val="18"/>
                <w:szCs w:val="18"/>
              </w:rPr>
            </w:pPr>
            <w:r w:rsidRPr="00DB132B">
              <w:rPr>
                <w:rFonts w:ascii="Arial" w:eastAsia="Times New Roman" w:hAnsi="Arial" w:cs="Arial"/>
                <w:b/>
                <w:bCs/>
                <w:sz w:val="18"/>
                <w:szCs w:val="18"/>
              </w:rPr>
              <w:t>3</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550</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482</w:t>
            </w:r>
          </w:p>
        </w:tc>
        <w:tc>
          <w:tcPr>
            <w:tcW w:w="993" w:type="dxa"/>
            <w:tcBorders>
              <w:top w:val="nil"/>
              <w:left w:val="nil"/>
              <w:bottom w:val="nil"/>
              <w:right w:val="single" w:sz="4" w:space="0" w:color="auto"/>
            </w:tcBorders>
            <w:shd w:val="clear" w:color="auto" w:fill="auto"/>
            <w:noWrap/>
            <w:vAlign w:val="bottom"/>
            <w:hideMark/>
          </w:tcPr>
          <w:p w14:paraId="261BF4A2"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100.0</w:t>
            </w:r>
          </w:p>
        </w:tc>
        <w:tc>
          <w:tcPr>
            <w:tcW w:w="851" w:type="dxa"/>
            <w:tcBorders>
              <w:top w:val="nil"/>
              <w:left w:val="nil"/>
              <w:bottom w:val="nil"/>
              <w:right w:val="single" w:sz="4" w:space="0" w:color="auto"/>
            </w:tcBorders>
            <w:shd w:val="clear" w:color="auto" w:fill="auto"/>
            <w:noWrap/>
            <w:vAlign w:val="bottom"/>
            <w:hideMark/>
          </w:tcPr>
          <w:p w14:paraId="1984B94E"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 </w:t>
            </w:r>
          </w:p>
        </w:tc>
        <w:tc>
          <w:tcPr>
            <w:tcW w:w="1134" w:type="dxa"/>
            <w:gridSpan w:val="2"/>
            <w:tcBorders>
              <w:top w:val="nil"/>
              <w:left w:val="nil"/>
              <w:bottom w:val="nil"/>
              <w:right w:val="single" w:sz="4" w:space="0" w:color="auto"/>
            </w:tcBorders>
            <w:shd w:val="clear" w:color="auto" w:fill="auto"/>
            <w:noWrap/>
            <w:vAlign w:val="bottom"/>
            <w:hideMark/>
          </w:tcPr>
          <w:p w14:paraId="13C59FA2" w14:textId="55C9656E" w:rsidR="00D332E3" w:rsidRPr="00DB132B" w:rsidRDefault="00D332E3" w:rsidP="003A0362">
            <w:pPr>
              <w:jc w:val="right"/>
              <w:rPr>
                <w:rFonts w:ascii="Arial" w:eastAsia="Times New Roman" w:hAnsi="Arial" w:cs="Arial"/>
                <w:b/>
                <w:bCs/>
                <w:sz w:val="18"/>
                <w:szCs w:val="18"/>
              </w:rPr>
            </w:pPr>
            <w:r w:rsidRPr="00DB132B">
              <w:rPr>
                <w:rFonts w:ascii="Arial" w:eastAsia="Times New Roman" w:hAnsi="Arial" w:cs="Arial"/>
                <w:b/>
                <w:bCs/>
                <w:sz w:val="18"/>
                <w:szCs w:val="18"/>
              </w:rPr>
              <w:t>2</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451</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879</w:t>
            </w:r>
          </w:p>
        </w:tc>
        <w:tc>
          <w:tcPr>
            <w:tcW w:w="986" w:type="dxa"/>
            <w:gridSpan w:val="2"/>
            <w:tcBorders>
              <w:top w:val="nil"/>
              <w:left w:val="nil"/>
              <w:bottom w:val="nil"/>
              <w:right w:val="single" w:sz="4" w:space="0" w:color="auto"/>
            </w:tcBorders>
            <w:shd w:val="clear" w:color="auto" w:fill="auto"/>
            <w:noWrap/>
            <w:vAlign w:val="bottom"/>
            <w:hideMark/>
          </w:tcPr>
          <w:p w14:paraId="1F89C978"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100.0</w:t>
            </w:r>
          </w:p>
        </w:tc>
        <w:tc>
          <w:tcPr>
            <w:tcW w:w="851" w:type="dxa"/>
            <w:tcBorders>
              <w:top w:val="nil"/>
              <w:left w:val="nil"/>
              <w:bottom w:val="nil"/>
              <w:right w:val="single" w:sz="4" w:space="0" w:color="auto"/>
            </w:tcBorders>
            <w:shd w:val="clear" w:color="auto" w:fill="auto"/>
            <w:noWrap/>
            <w:vAlign w:val="bottom"/>
            <w:hideMark/>
          </w:tcPr>
          <w:p w14:paraId="0402BC3E"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 </w:t>
            </w:r>
          </w:p>
        </w:tc>
      </w:tr>
      <w:tr w:rsidR="00D332E3" w:rsidRPr="00DB132B" w14:paraId="456081BE" w14:textId="77777777" w:rsidTr="003A0362">
        <w:trPr>
          <w:gridAfter w:val="1"/>
          <w:wAfter w:w="12" w:type="dxa"/>
          <w:trHeight w:val="282"/>
        </w:trPr>
        <w:tc>
          <w:tcPr>
            <w:tcW w:w="2860" w:type="dxa"/>
            <w:tcBorders>
              <w:top w:val="nil"/>
              <w:left w:val="single" w:sz="4" w:space="0" w:color="auto"/>
              <w:bottom w:val="nil"/>
              <w:right w:val="single" w:sz="4" w:space="0" w:color="auto"/>
            </w:tcBorders>
            <w:shd w:val="clear" w:color="auto" w:fill="auto"/>
            <w:noWrap/>
            <w:vAlign w:val="bottom"/>
            <w:hideMark/>
          </w:tcPr>
          <w:p w14:paraId="224E4F17" w14:textId="77777777" w:rsidR="00D332E3" w:rsidRPr="00DB132B" w:rsidRDefault="00D332E3" w:rsidP="003A0362">
            <w:pPr>
              <w:rPr>
                <w:rFonts w:ascii="Arial" w:eastAsia="Times New Roman" w:hAnsi="Arial" w:cs="Arial"/>
                <w:b/>
                <w:bCs/>
                <w:sz w:val="18"/>
                <w:szCs w:val="18"/>
              </w:rPr>
            </w:pPr>
            <w:r w:rsidRPr="00DB132B">
              <w:rPr>
                <w:rFonts w:ascii="Arial" w:eastAsia="Times New Roman" w:hAnsi="Arial" w:cs="Arial"/>
                <w:b/>
                <w:bCs/>
                <w:sz w:val="18"/>
                <w:szCs w:val="18"/>
              </w:rPr>
              <w:t>Consumo Turístico Interior</w:t>
            </w:r>
          </w:p>
        </w:tc>
        <w:tc>
          <w:tcPr>
            <w:tcW w:w="1104" w:type="dxa"/>
            <w:tcBorders>
              <w:top w:val="nil"/>
              <w:left w:val="nil"/>
              <w:bottom w:val="nil"/>
              <w:right w:val="single" w:sz="4" w:space="0" w:color="auto"/>
            </w:tcBorders>
            <w:shd w:val="clear" w:color="auto" w:fill="auto"/>
            <w:noWrap/>
            <w:vAlign w:val="bottom"/>
            <w:hideMark/>
          </w:tcPr>
          <w:p w14:paraId="313CF634" w14:textId="6E1FCBD1" w:rsidR="00D332E3" w:rsidRPr="00DB132B" w:rsidRDefault="00D332E3" w:rsidP="003A0362">
            <w:pPr>
              <w:jc w:val="right"/>
              <w:rPr>
                <w:rFonts w:ascii="Arial" w:eastAsia="Times New Roman" w:hAnsi="Arial" w:cs="Arial"/>
                <w:b/>
                <w:bCs/>
                <w:sz w:val="18"/>
                <w:szCs w:val="18"/>
              </w:rPr>
            </w:pPr>
            <w:r w:rsidRPr="00DB132B">
              <w:rPr>
                <w:rFonts w:ascii="Arial" w:eastAsia="Times New Roman" w:hAnsi="Arial" w:cs="Arial"/>
                <w:b/>
                <w:bCs/>
                <w:sz w:val="18"/>
                <w:szCs w:val="18"/>
              </w:rPr>
              <w:t>3</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313</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560</w:t>
            </w:r>
          </w:p>
        </w:tc>
        <w:tc>
          <w:tcPr>
            <w:tcW w:w="993" w:type="dxa"/>
            <w:tcBorders>
              <w:top w:val="nil"/>
              <w:left w:val="nil"/>
              <w:bottom w:val="nil"/>
              <w:right w:val="single" w:sz="4" w:space="0" w:color="auto"/>
            </w:tcBorders>
            <w:shd w:val="clear" w:color="auto" w:fill="auto"/>
            <w:noWrap/>
            <w:vAlign w:val="bottom"/>
            <w:hideMark/>
          </w:tcPr>
          <w:p w14:paraId="0ABE025C"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93.3</w:t>
            </w:r>
          </w:p>
        </w:tc>
        <w:tc>
          <w:tcPr>
            <w:tcW w:w="851" w:type="dxa"/>
            <w:tcBorders>
              <w:top w:val="nil"/>
              <w:left w:val="nil"/>
              <w:bottom w:val="nil"/>
              <w:right w:val="single" w:sz="4" w:space="0" w:color="auto"/>
            </w:tcBorders>
            <w:shd w:val="clear" w:color="auto" w:fill="auto"/>
            <w:noWrap/>
            <w:vAlign w:val="bottom"/>
            <w:hideMark/>
          </w:tcPr>
          <w:p w14:paraId="366D3241"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100.0</w:t>
            </w:r>
          </w:p>
        </w:tc>
        <w:tc>
          <w:tcPr>
            <w:tcW w:w="1134" w:type="dxa"/>
            <w:gridSpan w:val="2"/>
            <w:tcBorders>
              <w:top w:val="nil"/>
              <w:left w:val="nil"/>
              <w:bottom w:val="nil"/>
              <w:right w:val="single" w:sz="4" w:space="0" w:color="auto"/>
            </w:tcBorders>
            <w:shd w:val="clear" w:color="auto" w:fill="auto"/>
            <w:noWrap/>
            <w:vAlign w:val="bottom"/>
            <w:hideMark/>
          </w:tcPr>
          <w:p w14:paraId="162DAF3F" w14:textId="445CB932" w:rsidR="00D332E3" w:rsidRPr="00DB132B" w:rsidRDefault="00D332E3" w:rsidP="003A0362">
            <w:pPr>
              <w:jc w:val="right"/>
              <w:rPr>
                <w:rFonts w:ascii="Arial" w:eastAsia="Times New Roman" w:hAnsi="Arial" w:cs="Arial"/>
                <w:b/>
                <w:bCs/>
                <w:sz w:val="18"/>
                <w:szCs w:val="18"/>
              </w:rPr>
            </w:pPr>
            <w:r w:rsidRPr="00DB132B">
              <w:rPr>
                <w:rFonts w:ascii="Arial" w:eastAsia="Times New Roman" w:hAnsi="Arial" w:cs="Arial"/>
                <w:b/>
                <w:bCs/>
                <w:sz w:val="18"/>
                <w:szCs w:val="18"/>
              </w:rPr>
              <w:t>2</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361</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007</w:t>
            </w:r>
          </w:p>
        </w:tc>
        <w:tc>
          <w:tcPr>
            <w:tcW w:w="986" w:type="dxa"/>
            <w:gridSpan w:val="2"/>
            <w:tcBorders>
              <w:top w:val="nil"/>
              <w:left w:val="nil"/>
              <w:bottom w:val="nil"/>
              <w:right w:val="single" w:sz="4" w:space="0" w:color="auto"/>
            </w:tcBorders>
            <w:shd w:val="clear" w:color="auto" w:fill="auto"/>
            <w:noWrap/>
            <w:vAlign w:val="bottom"/>
            <w:hideMark/>
          </w:tcPr>
          <w:p w14:paraId="71A8D03C"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96.3</w:t>
            </w:r>
          </w:p>
        </w:tc>
        <w:tc>
          <w:tcPr>
            <w:tcW w:w="851" w:type="dxa"/>
            <w:tcBorders>
              <w:top w:val="nil"/>
              <w:left w:val="nil"/>
              <w:bottom w:val="nil"/>
              <w:right w:val="single" w:sz="4" w:space="0" w:color="auto"/>
            </w:tcBorders>
            <w:shd w:val="clear" w:color="auto" w:fill="auto"/>
            <w:noWrap/>
            <w:vAlign w:val="bottom"/>
            <w:hideMark/>
          </w:tcPr>
          <w:p w14:paraId="74499185"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100.0</w:t>
            </w:r>
          </w:p>
        </w:tc>
      </w:tr>
      <w:tr w:rsidR="00D332E3" w:rsidRPr="00DB132B" w14:paraId="4D7CAD8A" w14:textId="77777777" w:rsidTr="003A0362">
        <w:trPr>
          <w:gridAfter w:val="1"/>
          <w:wAfter w:w="12" w:type="dxa"/>
          <w:trHeight w:val="282"/>
        </w:trPr>
        <w:tc>
          <w:tcPr>
            <w:tcW w:w="2860" w:type="dxa"/>
            <w:tcBorders>
              <w:top w:val="nil"/>
              <w:left w:val="single" w:sz="4" w:space="0" w:color="auto"/>
              <w:bottom w:val="nil"/>
              <w:right w:val="single" w:sz="4" w:space="0" w:color="auto"/>
            </w:tcBorders>
            <w:shd w:val="clear" w:color="auto" w:fill="auto"/>
            <w:noWrap/>
            <w:vAlign w:val="bottom"/>
            <w:hideMark/>
          </w:tcPr>
          <w:p w14:paraId="225E3B8E" w14:textId="5CED0345" w:rsidR="00D332E3" w:rsidRPr="00DB132B" w:rsidRDefault="00D332E3" w:rsidP="00D332E3">
            <w:pPr>
              <w:ind w:left="209"/>
              <w:rPr>
                <w:rFonts w:ascii="Arial" w:eastAsia="Times New Roman" w:hAnsi="Arial" w:cs="Arial"/>
                <w:sz w:val="18"/>
                <w:szCs w:val="18"/>
              </w:rPr>
            </w:pPr>
            <w:r w:rsidRPr="00DB132B">
              <w:rPr>
                <w:rFonts w:ascii="Arial" w:eastAsia="Times New Roman" w:hAnsi="Arial" w:cs="Arial"/>
                <w:sz w:val="18"/>
                <w:szCs w:val="18"/>
              </w:rPr>
              <w:t>Consumo Turístico Interno</w:t>
            </w:r>
          </w:p>
        </w:tc>
        <w:tc>
          <w:tcPr>
            <w:tcW w:w="1104" w:type="dxa"/>
            <w:tcBorders>
              <w:top w:val="nil"/>
              <w:left w:val="nil"/>
              <w:bottom w:val="nil"/>
              <w:right w:val="single" w:sz="4" w:space="0" w:color="auto"/>
            </w:tcBorders>
            <w:shd w:val="clear" w:color="auto" w:fill="auto"/>
            <w:noWrap/>
            <w:vAlign w:val="bottom"/>
            <w:hideMark/>
          </w:tcPr>
          <w:p w14:paraId="141F6EC9" w14:textId="6439F70B" w:rsidR="00D332E3" w:rsidRPr="00DB132B" w:rsidRDefault="00D332E3" w:rsidP="003A0362">
            <w:pPr>
              <w:jc w:val="right"/>
              <w:rPr>
                <w:rFonts w:ascii="Arial" w:eastAsia="Times New Roman" w:hAnsi="Arial" w:cs="Arial"/>
                <w:sz w:val="18"/>
                <w:szCs w:val="18"/>
              </w:rPr>
            </w:pPr>
            <w:r w:rsidRPr="00DB132B">
              <w:rPr>
                <w:rFonts w:ascii="Arial" w:eastAsia="Times New Roman" w:hAnsi="Arial" w:cs="Arial"/>
                <w:sz w:val="18"/>
                <w:szCs w:val="18"/>
              </w:rPr>
              <w:t>2</w:t>
            </w:r>
            <w:r w:rsidR="00520DDB">
              <w:rPr>
                <w:rFonts w:ascii="Arial" w:eastAsia="Times New Roman" w:hAnsi="Arial" w:cs="Arial"/>
                <w:sz w:val="18"/>
                <w:szCs w:val="18"/>
              </w:rPr>
              <w:t xml:space="preserve"> </w:t>
            </w:r>
            <w:r w:rsidRPr="00DB132B">
              <w:rPr>
                <w:rFonts w:ascii="Arial" w:eastAsia="Times New Roman" w:hAnsi="Arial" w:cs="Arial"/>
                <w:sz w:val="18"/>
                <w:szCs w:val="18"/>
              </w:rPr>
              <w:t>720</w:t>
            </w:r>
            <w:r w:rsidR="00520DDB">
              <w:rPr>
                <w:rFonts w:ascii="Arial" w:eastAsia="Times New Roman" w:hAnsi="Arial" w:cs="Arial"/>
                <w:sz w:val="18"/>
                <w:szCs w:val="18"/>
              </w:rPr>
              <w:t xml:space="preserve"> </w:t>
            </w:r>
            <w:r w:rsidRPr="00DB132B">
              <w:rPr>
                <w:rFonts w:ascii="Arial" w:eastAsia="Times New Roman" w:hAnsi="Arial" w:cs="Arial"/>
                <w:sz w:val="18"/>
                <w:szCs w:val="18"/>
              </w:rPr>
              <w:t>856</w:t>
            </w:r>
          </w:p>
        </w:tc>
        <w:tc>
          <w:tcPr>
            <w:tcW w:w="993" w:type="dxa"/>
            <w:tcBorders>
              <w:top w:val="nil"/>
              <w:left w:val="nil"/>
              <w:bottom w:val="nil"/>
              <w:right w:val="single" w:sz="4" w:space="0" w:color="auto"/>
            </w:tcBorders>
            <w:shd w:val="clear" w:color="auto" w:fill="auto"/>
            <w:noWrap/>
            <w:vAlign w:val="bottom"/>
            <w:hideMark/>
          </w:tcPr>
          <w:p w14:paraId="14E9D157" w14:textId="77777777" w:rsidR="00D332E3" w:rsidRPr="00DB132B" w:rsidRDefault="00D332E3" w:rsidP="003A0362">
            <w:pPr>
              <w:jc w:val="center"/>
              <w:rPr>
                <w:rFonts w:ascii="Arial" w:eastAsia="Times New Roman" w:hAnsi="Arial" w:cs="Arial"/>
                <w:sz w:val="18"/>
                <w:szCs w:val="18"/>
              </w:rPr>
            </w:pPr>
            <w:r w:rsidRPr="00DB132B">
              <w:rPr>
                <w:rFonts w:ascii="Arial" w:eastAsia="Times New Roman" w:hAnsi="Arial" w:cs="Arial"/>
                <w:sz w:val="18"/>
                <w:szCs w:val="18"/>
              </w:rPr>
              <w:t>76.6</w:t>
            </w:r>
          </w:p>
        </w:tc>
        <w:tc>
          <w:tcPr>
            <w:tcW w:w="851" w:type="dxa"/>
            <w:tcBorders>
              <w:top w:val="nil"/>
              <w:left w:val="nil"/>
              <w:bottom w:val="nil"/>
              <w:right w:val="single" w:sz="4" w:space="0" w:color="auto"/>
            </w:tcBorders>
            <w:shd w:val="clear" w:color="auto" w:fill="auto"/>
            <w:noWrap/>
            <w:vAlign w:val="bottom"/>
            <w:hideMark/>
          </w:tcPr>
          <w:p w14:paraId="6910B28C" w14:textId="77777777" w:rsidR="00D332E3" w:rsidRPr="00DB132B" w:rsidRDefault="00D332E3" w:rsidP="003A0362">
            <w:pPr>
              <w:jc w:val="center"/>
              <w:rPr>
                <w:rFonts w:ascii="Arial" w:eastAsia="Times New Roman" w:hAnsi="Arial" w:cs="Arial"/>
                <w:sz w:val="18"/>
                <w:szCs w:val="18"/>
              </w:rPr>
            </w:pPr>
            <w:r w:rsidRPr="00DB132B">
              <w:rPr>
                <w:rFonts w:ascii="Arial" w:eastAsia="Times New Roman" w:hAnsi="Arial" w:cs="Arial"/>
                <w:sz w:val="18"/>
                <w:szCs w:val="18"/>
              </w:rPr>
              <w:t>82.1</w:t>
            </w:r>
          </w:p>
        </w:tc>
        <w:tc>
          <w:tcPr>
            <w:tcW w:w="1134" w:type="dxa"/>
            <w:gridSpan w:val="2"/>
            <w:tcBorders>
              <w:top w:val="nil"/>
              <w:left w:val="nil"/>
              <w:bottom w:val="nil"/>
              <w:right w:val="single" w:sz="4" w:space="0" w:color="auto"/>
            </w:tcBorders>
            <w:shd w:val="clear" w:color="auto" w:fill="auto"/>
            <w:noWrap/>
            <w:vAlign w:val="bottom"/>
            <w:hideMark/>
          </w:tcPr>
          <w:p w14:paraId="409E8AB0" w14:textId="1573FD49" w:rsidR="00D332E3" w:rsidRPr="00DB132B" w:rsidRDefault="00D332E3" w:rsidP="003A0362">
            <w:pPr>
              <w:jc w:val="right"/>
              <w:rPr>
                <w:rFonts w:ascii="Arial" w:eastAsia="Times New Roman" w:hAnsi="Arial" w:cs="Arial"/>
                <w:sz w:val="18"/>
                <w:szCs w:val="18"/>
              </w:rPr>
            </w:pPr>
            <w:r w:rsidRPr="00DB132B">
              <w:rPr>
                <w:rFonts w:ascii="Arial" w:eastAsia="Times New Roman" w:hAnsi="Arial" w:cs="Arial"/>
                <w:sz w:val="18"/>
                <w:szCs w:val="18"/>
              </w:rPr>
              <w:t>2</w:t>
            </w:r>
            <w:r w:rsidR="00520DDB">
              <w:rPr>
                <w:rFonts w:ascii="Arial" w:eastAsia="Times New Roman" w:hAnsi="Arial" w:cs="Arial"/>
                <w:sz w:val="18"/>
                <w:szCs w:val="18"/>
              </w:rPr>
              <w:t xml:space="preserve"> </w:t>
            </w:r>
            <w:r w:rsidRPr="00DB132B">
              <w:rPr>
                <w:rFonts w:ascii="Arial" w:eastAsia="Times New Roman" w:hAnsi="Arial" w:cs="Arial"/>
                <w:sz w:val="18"/>
                <w:szCs w:val="18"/>
              </w:rPr>
              <w:t>043</w:t>
            </w:r>
            <w:r w:rsidR="00520DDB">
              <w:rPr>
                <w:rFonts w:ascii="Arial" w:eastAsia="Times New Roman" w:hAnsi="Arial" w:cs="Arial"/>
                <w:sz w:val="18"/>
                <w:szCs w:val="18"/>
              </w:rPr>
              <w:t xml:space="preserve"> </w:t>
            </w:r>
            <w:r w:rsidRPr="00DB132B">
              <w:rPr>
                <w:rFonts w:ascii="Arial" w:eastAsia="Times New Roman" w:hAnsi="Arial" w:cs="Arial"/>
                <w:sz w:val="18"/>
                <w:szCs w:val="18"/>
              </w:rPr>
              <w:t>757</w:t>
            </w:r>
          </w:p>
        </w:tc>
        <w:tc>
          <w:tcPr>
            <w:tcW w:w="986" w:type="dxa"/>
            <w:gridSpan w:val="2"/>
            <w:tcBorders>
              <w:top w:val="nil"/>
              <w:left w:val="nil"/>
              <w:bottom w:val="nil"/>
              <w:right w:val="single" w:sz="4" w:space="0" w:color="auto"/>
            </w:tcBorders>
            <w:shd w:val="clear" w:color="auto" w:fill="auto"/>
            <w:noWrap/>
            <w:vAlign w:val="bottom"/>
            <w:hideMark/>
          </w:tcPr>
          <w:p w14:paraId="1D3B5602" w14:textId="77777777" w:rsidR="00D332E3" w:rsidRPr="00DB132B" w:rsidRDefault="00D332E3" w:rsidP="003A0362">
            <w:pPr>
              <w:jc w:val="center"/>
              <w:rPr>
                <w:rFonts w:ascii="Arial" w:eastAsia="Times New Roman" w:hAnsi="Arial" w:cs="Arial"/>
                <w:sz w:val="18"/>
                <w:szCs w:val="18"/>
              </w:rPr>
            </w:pPr>
            <w:r w:rsidRPr="00DB132B">
              <w:rPr>
                <w:rFonts w:ascii="Arial" w:eastAsia="Times New Roman" w:hAnsi="Arial" w:cs="Arial"/>
                <w:sz w:val="18"/>
                <w:szCs w:val="18"/>
              </w:rPr>
              <w:t>83.4</w:t>
            </w:r>
          </w:p>
        </w:tc>
        <w:tc>
          <w:tcPr>
            <w:tcW w:w="851" w:type="dxa"/>
            <w:tcBorders>
              <w:top w:val="nil"/>
              <w:left w:val="nil"/>
              <w:bottom w:val="nil"/>
              <w:right w:val="single" w:sz="4" w:space="0" w:color="auto"/>
            </w:tcBorders>
            <w:shd w:val="clear" w:color="auto" w:fill="auto"/>
            <w:noWrap/>
            <w:vAlign w:val="bottom"/>
            <w:hideMark/>
          </w:tcPr>
          <w:p w14:paraId="085F5CED" w14:textId="77777777" w:rsidR="00D332E3" w:rsidRPr="00DB132B" w:rsidRDefault="00D332E3" w:rsidP="003A0362">
            <w:pPr>
              <w:jc w:val="center"/>
              <w:rPr>
                <w:rFonts w:ascii="Arial" w:eastAsia="Times New Roman" w:hAnsi="Arial" w:cs="Arial"/>
                <w:sz w:val="18"/>
                <w:szCs w:val="18"/>
              </w:rPr>
            </w:pPr>
            <w:r w:rsidRPr="00DB132B">
              <w:rPr>
                <w:rFonts w:ascii="Arial" w:eastAsia="Times New Roman" w:hAnsi="Arial" w:cs="Arial"/>
                <w:sz w:val="18"/>
                <w:szCs w:val="18"/>
              </w:rPr>
              <w:t>86.6</w:t>
            </w:r>
          </w:p>
        </w:tc>
      </w:tr>
      <w:tr w:rsidR="00D332E3" w:rsidRPr="00DB132B" w14:paraId="151678E1" w14:textId="77777777" w:rsidTr="003A0362">
        <w:trPr>
          <w:gridAfter w:val="1"/>
          <w:wAfter w:w="12" w:type="dxa"/>
          <w:trHeight w:val="282"/>
        </w:trPr>
        <w:tc>
          <w:tcPr>
            <w:tcW w:w="2860" w:type="dxa"/>
            <w:tcBorders>
              <w:top w:val="nil"/>
              <w:left w:val="single" w:sz="4" w:space="0" w:color="auto"/>
              <w:bottom w:val="nil"/>
              <w:right w:val="single" w:sz="4" w:space="0" w:color="auto"/>
            </w:tcBorders>
            <w:shd w:val="clear" w:color="auto" w:fill="auto"/>
            <w:noWrap/>
            <w:vAlign w:val="bottom"/>
            <w:hideMark/>
          </w:tcPr>
          <w:p w14:paraId="431A5EE0" w14:textId="3A5565DC" w:rsidR="00D332E3" w:rsidRPr="00DB132B" w:rsidRDefault="00D332E3" w:rsidP="00D332E3">
            <w:pPr>
              <w:ind w:left="209"/>
              <w:rPr>
                <w:rFonts w:ascii="Arial" w:eastAsia="Times New Roman" w:hAnsi="Arial" w:cs="Arial"/>
                <w:sz w:val="18"/>
                <w:szCs w:val="18"/>
              </w:rPr>
            </w:pPr>
            <w:r w:rsidRPr="00DB132B">
              <w:rPr>
                <w:rFonts w:ascii="Arial" w:eastAsia="Times New Roman" w:hAnsi="Arial" w:cs="Arial"/>
                <w:sz w:val="18"/>
                <w:szCs w:val="18"/>
              </w:rPr>
              <w:t>Consumo Turístico Receptivo</w:t>
            </w:r>
          </w:p>
        </w:tc>
        <w:tc>
          <w:tcPr>
            <w:tcW w:w="1104" w:type="dxa"/>
            <w:tcBorders>
              <w:top w:val="nil"/>
              <w:left w:val="nil"/>
              <w:bottom w:val="nil"/>
              <w:right w:val="single" w:sz="4" w:space="0" w:color="auto"/>
            </w:tcBorders>
            <w:shd w:val="clear" w:color="auto" w:fill="auto"/>
            <w:noWrap/>
            <w:vAlign w:val="bottom"/>
            <w:hideMark/>
          </w:tcPr>
          <w:p w14:paraId="65B685BF" w14:textId="5F2872E2" w:rsidR="00D332E3" w:rsidRPr="00DB132B" w:rsidRDefault="00D332E3" w:rsidP="003A0362">
            <w:pPr>
              <w:jc w:val="right"/>
              <w:rPr>
                <w:rFonts w:ascii="Arial" w:eastAsia="Times New Roman" w:hAnsi="Arial" w:cs="Arial"/>
                <w:sz w:val="18"/>
                <w:szCs w:val="18"/>
              </w:rPr>
            </w:pPr>
            <w:r w:rsidRPr="00DB132B">
              <w:rPr>
                <w:rFonts w:ascii="Arial" w:eastAsia="Times New Roman" w:hAnsi="Arial" w:cs="Arial"/>
                <w:sz w:val="18"/>
                <w:szCs w:val="18"/>
              </w:rPr>
              <w:t>592</w:t>
            </w:r>
            <w:r w:rsidR="00520DDB">
              <w:rPr>
                <w:rFonts w:ascii="Arial" w:eastAsia="Times New Roman" w:hAnsi="Arial" w:cs="Arial"/>
                <w:sz w:val="18"/>
                <w:szCs w:val="18"/>
              </w:rPr>
              <w:t xml:space="preserve"> </w:t>
            </w:r>
            <w:r w:rsidRPr="00DB132B">
              <w:rPr>
                <w:rFonts w:ascii="Arial" w:eastAsia="Times New Roman" w:hAnsi="Arial" w:cs="Arial"/>
                <w:sz w:val="18"/>
                <w:szCs w:val="18"/>
              </w:rPr>
              <w:t>704</w:t>
            </w:r>
          </w:p>
        </w:tc>
        <w:tc>
          <w:tcPr>
            <w:tcW w:w="993" w:type="dxa"/>
            <w:tcBorders>
              <w:top w:val="nil"/>
              <w:left w:val="nil"/>
              <w:bottom w:val="nil"/>
              <w:right w:val="single" w:sz="4" w:space="0" w:color="auto"/>
            </w:tcBorders>
            <w:shd w:val="clear" w:color="auto" w:fill="auto"/>
            <w:noWrap/>
            <w:vAlign w:val="bottom"/>
            <w:hideMark/>
          </w:tcPr>
          <w:p w14:paraId="2635F071" w14:textId="77777777" w:rsidR="00D332E3" w:rsidRPr="00DB132B" w:rsidRDefault="00D332E3" w:rsidP="003A0362">
            <w:pPr>
              <w:jc w:val="center"/>
              <w:rPr>
                <w:rFonts w:ascii="Arial" w:eastAsia="Times New Roman" w:hAnsi="Arial" w:cs="Arial"/>
                <w:sz w:val="18"/>
                <w:szCs w:val="18"/>
              </w:rPr>
            </w:pPr>
            <w:r w:rsidRPr="00DB132B">
              <w:rPr>
                <w:rFonts w:ascii="Arial" w:eastAsia="Times New Roman" w:hAnsi="Arial" w:cs="Arial"/>
                <w:sz w:val="18"/>
                <w:szCs w:val="18"/>
              </w:rPr>
              <w:t>16.7</w:t>
            </w:r>
          </w:p>
        </w:tc>
        <w:tc>
          <w:tcPr>
            <w:tcW w:w="851" w:type="dxa"/>
            <w:tcBorders>
              <w:top w:val="nil"/>
              <w:left w:val="nil"/>
              <w:bottom w:val="nil"/>
              <w:right w:val="single" w:sz="4" w:space="0" w:color="auto"/>
            </w:tcBorders>
            <w:shd w:val="clear" w:color="auto" w:fill="auto"/>
            <w:noWrap/>
            <w:vAlign w:val="bottom"/>
            <w:hideMark/>
          </w:tcPr>
          <w:p w14:paraId="7E55E2C8" w14:textId="77777777" w:rsidR="00D332E3" w:rsidRPr="00DB132B" w:rsidRDefault="00D332E3" w:rsidP="003A0362">
            <w:pPr>
              <w:jc w:val="center"/>
              <w:rPr>
                <w:rFonts w:ascii="Arial" w:eastAsia="Times New Roman" w:hAnsi="Arial" w:cs="Arial"/>
                <w:sz w:val="18"/>
                <w:szCs w:val="18"/>
              </w:rPr>
            </w:pPr>
            <w:r w:rsidRPr="00DB132B">
              <w:rPr>
                <w:rFonts w:ascii="Arial" w:eastAsia="Times New Roman" w:hAnsi="Arial" w:cs="Arial"/>
                <w:sz w:val="18"/>
                <w:szCs w:val="18"/>
              </w:rPr>
              <w:t>17.9</w:t>
            </w:r>
          </w:p>
        </w:tc>
        <w:tc>
          <w:tcPr>
            <w:tcW w:w="1134" w:type="dxa"/>
            <w:gridSpan w:val="2"/>
            <w:tcBorders>
              <w:top w:val="nil"/>
              <w:left w:val="nil"/>
              <w:bottom w:val="nil"/>
              <w:right w:val="single" w:sz="4" w:space="0" w:color="auto"/>
            </w:tcBorders>
            <w:shd w:val="clear" w:color="auto" w:fill="auto"/>
            <w:noWrap/>
            <w:vAlign w:val="bottom"/>
            <w:hideMark/>
          </w:tcPr>
          <w:p w14:paraId="3FEA1AA7" w14:textId="346546D3" w:rsidR="00D332E3" w:rsidRPr="00DB132B" w:rsidRDefault="00D332E3" w:rsidP="003A0362">
            <w:pPr>
              <w:jc w:val="right"/>
              <w:rPr>
                <w:rFonts w:ascii="Arial" w:eastAsia="Times New Roman" w:hAnsi="Arial" w:cs="Arial"/>
                <w:sz w:val="18"/>
                <w:szCs w:val="18"/>
              </w:rPr>
            </w:pPr>
            <w:r w:rsidRPr="00DB132B">
              <w:rPr>
                <w:rFonts w:ascii="Arial" w:eastAsia="Times New Roman" w:hAnsi="Arial" w:cs="Arial"/>
                <w:sz w:val="18"/>
                <w:szCs w:val="18"/>
              </w:rPr>
              <w:t>317</w:t>
            </w:r>
            <w:r w:rsidR="00520DDB">
              <w:rPr>
                <w:rFonts w:ascii="Arial" w:eastAsia="Times New Roman" w:hAnsi="Arial" w:cs="Arial"/>
                <w:sz w:val="18"/>
                <w:szCs w:val="18"/>
              </w:rPr>
              <w:t xml:space="preserve"> </w:t>
            </w:r>
            <w:r w:rsidRPr="00DB132B">
              <w:rPr>
                <w:rFonts w:ascii="Arial" w:eastAsia="Times New Roman" w:hAnsi="Arial" w:cs="Arial"/>
                <w:sz w:val="18"/>
                <w:szCs w:val="18"/>
              </w:rPr>
              <w:t>250</w:t>
            </w:r>
          </w:p>
        </w:tc>
        <w:tc>
          <w:tcPr>
            <w:tcW w:w="986" w:type="dxa"/>
            <w:gridSpan w:val="2"/>
            <w:tcBorders>
              <w:top w:val="nil"/>
              <w:left w:val="nil"/>
              <w:bottom w:val="nil"/>
              <w:right w:val="single" w:sz="4" w:space="0" w:color="auto"/>
            </w:tcBorders>
            <w:shd w:val="clear" w:color="auto" w:fill="auto"/>
            <w:noWrap/>
            <w:vAlign w:val="bottom"/>
            <w:hideMark/>
          </w:tcPr>
          <w:p w14:paraId="130D4639" w14:textId="77777777" w:rsidR="00D332E3" w:rsidRPr="00DB132B" w:rsidRDefault="00D332E3" w:rsidP="003A0362">
            <w:pPr>
              <w:jc w:val="center"/>
              <w:rPr>
                <w:rFonts w:ascii="Arial" w:eastAsia="Times New Roman" w:hAnsi="Arial" w:cs="Arial"/>
                <w:sz w:val="18"/>
                <w:szCs w:val="18"/>
              </w:rPr>
            </w:pPr>
            <w:r w:rsidRPr="00DB132B">
              <w:rPr>
                <w:rFonts w:ascii="Arial" w:eastAsia="Times New Roman" w:hAnsi="Arial" w:cs="Arial"/>
                <w:sz w:val="18"/>
                <w:szCs w:val="18"/>
              </w:rPr>
              <w:t>12.9</w:t>
            </w:r>
          </w:p>
        </w:tc>
        <w:tc>
          <w:tcPr>
            <w:tcW w:w="851" w:type="dxa"/>
            <w:tcBorders>
              <w:top w:val="nil"/>
              <w:left w:val="nil"/>
              <w:bottom w:val="nil"/>
              <w:right w:val="single" w:sz="4" w:space="0" w:color="auto"/>
            </w:tcBorders>
            <w:shd w:val="clear" w:color="auto" w:fill="auto"/>
            <w:noWrap/>
            <w:vAlign w:val="bottom"/>
            <w:hideMark/>
          </w:tcPr>
          <w:p w14:paraId="7F4BAC1B" w14:textId="77777777" w:rsidR="00D332E3" w:rsidRPr="00DB132B" w:rsidRDefault="00D332E3" w:rsidP="003A0362">
            <w:pPr>
              <w:jc w:val="center"/>
              <w:rPr>
                <w:rFonts w:ascii="Arial" w:eastAsia="Times New Roman" w:hAnsi="Arial" w:cs="Arial"/>
                <w:sz w:val="18"/>
                <w:szCs w:val="18"/>
              </w:rPr>
            </w:pPr>
            <w:r w:rsidRPr="00DB132B">
              <w:rPr>
                <w:rFonts w:ascii="Arial" w:eastAsia="Times New Roman" w:hAnsi="Arial" w:cs="Arial"/>
                <w:sz w:val="18"/>
                <w:szCs w:val="18"/>
              </w:rPr>
              <w:t>13.4</w:t>
            </w:r>
          </w:p>
        </w:tc>
      </w:tr>
      <w:tr w:rsidR="00D332E3" w:rsidRPr="00DB132B" w14:paraId="60A53A5E" w14:textId="77777777" w:rsidTr="003A0362">
        <w:trPr>
          <w:gridAfter w:val="1"/>
          <w:wAfter w:w="12" w:type="dxa"/>
          <w:trHeight w:val="282"/>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1A2806F7" w14:textId="77777777" w:rsidR="00D332E3" w:rsidRPr="00DB132B" w:rsidRDefault="00D332E3" w:rsidP="003A0362">
            <w:pPr>
              <w:rPr>
                <w:rFonts w:ascii="Arial" w:eastAsia="Times New Roman" w:hAnsi="Arial" w:cs="Arial"/>
                <w:b/>
                <w:bCs/>
                <w:sz w:val="18"/>
                <w:szCs w:val="18"/>
              </w:rPr>
            </w:pPr>
            <w:r w:rsidRPr="00DB132B">
              <w:rPr>
                <w:rFonts w:ascii="Arial" w:eastAsia="Times New Roman" w:hAnsi="Arial" w:cs="Arial"/>
                <w:b/>
                <w:bCs/>
                <w:sz w:val="18"/>
                <w:szCs w:val="18"/>
              </w:rPr>
              <w:t xml:space="preserve">Consumo Turístico Emisor </w:t>
            </w:r>
          </w:p>
        </w:tc>
        <w:tc>
          <w:tcPr>
            <w:tcW w:w="1104" w:type="dxa"/>
            <w:tcBorders>
              <w:top w:val="nil"/>
              <w:left w:val="nil"/>
              <w:bottom w:val="single" w:sz="4" w:space="0" w:color="auto"/>
              <w:right w:val="single" w:sz="4" w:space="0" w:color="auto"/>
            </w:tcBorders>
            <w:shd w:val="clear" w:color="auto" w:fill="auto"/>
            <w:noWrap/>
            <w:vAlign w:val="bottom"/>
            <w:hideMark/>
          </w:tcPr>
          <w:p w14:paraId="0C9FE031" w14:textId="0D0237EC" w:rsidR="00D332E3" w:rsidRPr="00DB132B" w:rsidRDefault="00D332E3" w:rsidP="003A0362">
            <w:pPr>
              <w:jc w:val="right"/>
              <w:rPr>
                <w:rFonts w:ascii="Arial" w:eastAsia="Times New Roman" w:hAnsi="Arial" w:cs="Arial"/>
                <w:b/>
                <w:bCs/>
                <w:sz w:val="18"/>
                <w:szCs w:val="18"/>
              </w:rPr>
            </w:pPr>
            <w:r w:rsidRPr="00DB132B">
              <w:rPr>
                <w:rFonts w:ascii="Arial" w:eastAsia="Times New Roman" w:hAnsi="Arial" w:cs="Arial"/>
                <w:b/>
                <w:bCs/>
                <w:sz w:val="18"/>
                <w:szCs w:val="18"/>
              </w:rPr>
              <w:t>236</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922</w:t>
            </w:r>
          </w:p>
        </w:tc>
        <w:tc>
          <w:tcPr>
            <w:tcW w:w="993" w:type="dxa"/>
            <w:tcBorders>
              <w:top w:val="nil"/>
              <w:left w:val="nil"/>
              <w:bottom w:val="single" w:sz="4" w:space="0" w:color="auto"/>
              <w:right w:val="single" w:sz="4" w:space="0" w:color="auto"/>
            </w:tcBorders>
            <w:shd w:val="clear" w:color="auto" w:fill="auto"/>
            <w:noWrap/>
            <w:vAlign w:val="bottom"/>
            <w:hideMark/>
          </w:tcPr>
          <w:p w14:paraId="6C685C97"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6.7</w:t>
            </w:r>
          </w:p>
        </w:tc>
        <w:tc>
          <w:tcPr>
            <w:tcW w:w="851" w:type="dxa"/>
            <w:tcBorders>
              <w:top w:val="nil"/>
              <w:left w:val="nil"/>
              <w:bottom w:val="single" w:sz="4" w:space="0" w:color="auto"/>
              <w:right w:val="single" w:sz="4" w:space="0" w:color="auto"/>
            </w:tcBorders>
            <w:shd w:val="clear" w:color="auto" w:fill="auto"/>
            <w:noWrap/>
            <w:vAlign w:val="bottom"/>
            <w:hideMark/>
          </w:tcPr>
          <w:p w14:paraId="7AB4EDCF"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A142034" w14:textId="3363A2D0" w:rsidR="00D332E3" w:rsidRPr="00DB132B" w:rsidRDefault="00D332E3" w:rsidP="003A0362">
            <w:pPr>
              <w:jc w:val="right"/>
              <w:rPr>
                <w:rFonts w:ascii="Arial" w:eastAsia="Times New Roman" w:hAnsi="Arial" w:cs="Arial"/>
                <w:b/>
                <w:bCs/>
                <w:sz w:val="18"/>
                <w:szCs w:val="18"/>
              </w:rPr>
            </w:pPr>
            <w:r w:rsidRPr="00DB132B">
              <w:rPr>
                <w:rFonts w:ascii="Arial" w:eastAsia="Times New Roman" w:hAnsi="Arial" w:cs="Arial"/>
                <w:b/>
                <w:bCs/>
                <w:sz w:val="18"/>
                <w:szCs w:val="18"/>
              </w:rPr>
              <w:t>90</w:t>
            </w:r>
            <w:r w:rsidR="00520DDB">
              <w:rPr>
                <w:rFonts w:ascii="Arial" w:eastAsia="Times New Roman" w:hAnsi="Arial" w:cs="Arial"/>
                <w:b/>
                <w:bCs/>
                <w:sz w:val="18"/>
                <w:szCs w:val="18"/>
              </w:rPr>
              <w:t xml:space="preserve"> </w:t>
            </w:r>
            <w:r w:rsidRPr="00DB132B">
              <w:rPr>
                <w:rFonts w:ascii="Arial" w:eastAsia="Times New Roman" w:hAnsi="Arial" w:cs="Arial"/>
                <w:b/>
                <w:bCs/>
                <w:sz w:val="18"/>
                <w:szCs w:val="18"/>
              </w:rPr>
              <w:t>873</w:t>
            </w:r>
          </w:p>
        </w:tc>
        <w:tc>
          <w:tcPr>
            <w:tcW w:w="986" w:type="dxa"/>
            <w:gridSpan w:val="2"/>
            <w:tcBorders>
              <w:top w:val="nil"/>
              <w:left w:val="nil"/>
              <w:bottom w:val="single" w:sz="4" w:space="0" w:color="auto"/>
              <w:right w:val="single" w:sz="4" w:space="0" w:color="auto"/>
            </w:tcBorders>
            <w:shd w:val="clear" w:color="auto" w:fill="auto"/>
            <w:noWrap/>
            <w:vAlign w:val="bottom"/>
            <w:hideMark/>
          </w:tcPr>
          <w:p w14:paraId="41242410"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3.7</w:t>
            </w:r>
          </w:p>
        </w:tc>
        <w:tc>
          <w:tcPr>
            <w:tcW w:w="851" w:type="dxa"/>
            <w:tcBorders>
              <w:top w:val="nil"/>
              <w:left w:val="nil"/>
              <w:bottom w:val="single" w:sz="4" w:space="0" w:color="auto"/>
              <w:right w:val="single" w:sz="4" w:space="0" w:color="auto"/>
            </w:tcBorders>
            <w:shd w:val="clear" w:color="auto" w:fill="auto"/>
            <w:noWrap/>
            <w:vAlign w:val="bottom"/>
            <w:hideMark/>
          </w:tcPr>
          <w:p w14:paraId="228843FE" w14:textId="77777777" w:rsidR="00D332E3" w:rsidRPr="00DB132B" w:rsidRDefault="00D332E3" w:rsidP="003A0362">
            <w:pPr>
              <w:jc w:val="center"/>
              <w:rPr>
                <w:rFonts w:ascii="Arial" w:eastAsia="Times New Roman" w:hAnsi="Arial" w:cs="Arial"/>
                <w:b/>
                <w:bCs/>
                <w:sz w:val="18"/>
                <w:szCs w:val="18"/>
              </w:rPr>
            </w:pPr>
            <w:r w:rsidRPr="00DB132B">
              <w:rPr>
                <w:rFonts w:ascii="Arial" w:eastAsia="Times New Roman" w:hAnsi="Arial" w:cs="Arial"/>
                <w:b/>
                <w:bCs/>
                <w:sz w:val="18"/>
                <w:szCs w:val="18"/>
              </w:rPr>
              <w:t> </w:t>
            </w:r>
          </w:p>
        </w:tc>
      </w:tr>
    </w:tbl>
    <w:p w14:paraId="24E3C395" w14:textId="1CAE7F0C" w:rsidR="00B479DC" w:rsidRPr="00DF14EF" w:rsidRDefault="00B479DC" w:rsidP="00D332E3">
      <w:pPr>
        <w:pStyle w:val="Textoindependiente"/>
        <w:spacing w:after="240"/>
        <w:rPr>
          <w:rFonts w:ascii="Arial" w:eastAsiaTheme="minorHAnsi" w:hAnsi="Arial" w:cs="Arial"/>
          <w:color w:val="000000"/>
          <w:sz w:val="16"/>
          <w:szCs w:val="16"/>
          <w:lang w:val="es-MX" w:eastAsia="en-US"/>
        </w:rPr>
      </w:pPr>
      <w:r w:rsidRPr="006A10BE">
        <w:rPr>
          <w:rFonts w:ascii="Arial" w:eastAsiaTheme="minorHAnsi" w:hAnsi="Arial" w:cs="Arial"/>
          <w:color w:val="000000"/>
          <w:sz w:val="16"/>
          <w:szCs w:val="16"/>
          <w:lang w:val="es-MX" w:eastAsia="en-US"/>
        </w:rPr>
        <w:t>Fuente: INEGI</w:t>
      </w:r>
    </w:p>
    <w:p w14:paraId="0661679A" w14:textId="5F5C71CA" w:rsidR="00DF14EF" w:rsidRPr="008B6DD0" w:rsidRDefault="00E06122" w:rsidP="00520DDB">
      <w:pPr>
        <w:pStyle w:val="Default"/>
        <w:spacing w:after="240"/>
        <w:ind w:left="-567" w:right="-518"/>
        <w:jc w:val="both"/>
        <w:rPr>
          <w:rFonts w:eastAsia="Univers (W1)"/>
          <w:color w:val="auto"/>
          <w:lang w:eastAsia="es-MX"/>
        </w:rPr>
      </w:pPr>
      <w:r w:rsidRPr="008B6DD0">
        <w:rPr>
          <w:rFonts w:eastAsia="Univers (W1)"/>
          <w:color w:val="auto"/>
          <w:lang w:eastAsia="es-MX"/>
        </w:rPr>
        <w:lastRenderedPageBreak/>
        <w:t>Entre 2019 y 2020</w:t>
      </w:r>
      <w:r w:rsidR="00EC3061" w:rsidRPr="008B6DD0">
        <w:rPr>
          <w:rFonts w:eastAsia="Univers (W1)"/>
          <w:color w:val="auto"/>
          <w:lang w:eastAsia="es-MX"/>
        </w:rPr>
        <w:t>,</w:t>
      </w:r>
      <w:r w:rsidRPr="008B6DD0">
        <w:rPr>
          <w:rFonts w:eastAsia="Univers (W1)"/>
          <w:color w:val="auto"/>
          <w:lang w:eastAsia="es-MX"/>
        </w:rPr>
        <w:t xml:space="preserve"> el Consumo Turístico Interior presentó una</w:t>
      </w:r>
      <w:r w:rsidR="00AD79F5" w:rsidRPr="008B6DD0">
        <w:rPr>
          <w:rFonts w:eastAsia="Univers (W1)"/>
          <w:color w:val="auto"/>
          <w:lang w:eastAsia="es-MX"/>
        </w:rPr>
        <w:t xml:space="preserve"> disminución </w:t>
      </w:r>
      <w:r w:rsidRPr="008B6DD0">
        <w:rPr>
          <w:rFonts w:eastAsia="Univers (W1)"/>
          <w:color w:val="auto"/>
          <w:lang w:eastAsia="es-MX"/>
        </w:rPr>
        <w:t xml:space="preserve">de </w:t>
      </w:r>
      <w:r w:rsidR="00F85B0B" w:rsidRPr="008B6DD0">
        <w:rPr>
          <w:rFonts w:eastAsia="Univers (W1)"/>
          <w:color w:val="auto"/>
          <w:lang w:eastAsia="es-MX"/>
        </w:rPr>
        <w:t>28</w:t>
      </w:r>
      <w:r w:rsidR="00AD79F5" w:rsidRPr="008B6DD0">
        <w:rPr>
          <w:rFonts w:eastAsia="Univers (W1)"/>
          <w:color w:val="auto"/>
          <w:lang w:eastAsia="es-MX"/>
        </w:rPr>
        <w:t>.4</w:t>
      </w:r>
      <w:r w:rsidR="000942B0" w:rsidRPr="008B6DD0">
        <w:rPr>
          <w:rFonts w:eastAsia="Univers (W1)"/>
          <w:color w:val="auto"/>
          <w:lang w:eastAsia="es-MX"/>
        </w:rPr>
        <w:t xml:space="preserve"> por ciento. </w:t>
      </w:r>
      <w:r w:rsidRPr="008B6DD0">
        <w:rPr>
          <w:rFonts w:eastAsia="Univers (W1)"/>
          <w:color w:val="auto"/>
          <w:lang w:eastAsia="es-MX"/>
        </w:rPr>
        <w:t xml:space="preserve">Por componentes, el </w:t>
      </w:r>
      <w:r w:rsidR="00C727C1" w:rsidRPr="008B6DD0">
        <w:rPr>
          <w:rFonts w:eastAsia="Univers (W1)"/>
          <w:color w:val="auto"/>
          <w:lang w:eastAsia="es-MX"/>
        </w:rPr>
        <w:t>C</w:t>
      </w:r>
      <w:r w:rsidRPr="008B6DD0">
        <w:rPr>
          <w:rFonts w:eastAsia="Univers (W1)"/>
          <w:color w:val="auto"/>
          <w:lang w:eastAsia="es-MX"/>
        </w:rPr>
        <w:t xml:space="preserve">onsumo </w:t>
      </w:r>
      <w:r w:rsidR="00C727C1" w:rsidRPr="008B6DD0">
        <w:rPr>
          <w:rFonts w:eastAsia="Univers (W1)"/>
          <w:color w:val="auto"/>
          <w:lang w:eastAsia="es-MX"/>
        </w:rPr>
        <w:t>T</w:t>
      </w:r>
      <w:r w:rsidRPr="008B6DD0">
        <w:rPr>
          <w:rFonts w:eastAsia="Univers (W1)"/>
          <w:color w:val="auto"/>
          <w:lang w:eastAsia="es-MX"/>
        </w:rPr>
        <w:t xml:space="preserve">urístico </w:t>
      </w:r>
      <w:r w:rsidR="00C727C1" w:rsidRPr="008B6DD0">
        <w:rPr>
          <w:rFonts w:eastAsia="Univers (W1)"/>
          <w:color w:val="auto"/>
          <w:lang w:eastAsia="es-MX"/>
        </w:rPr>
        <w:t>I</w:t>
      </w:r>
      <w:r w:rsidRPr="008B6DD0">
        <w:rPr>
          <w:rFonts w:eastAsia="Univers (W1)"/>
          <w:color w:val="auto"/>
          <w:lang w:eastAsia="es-MX"/>
        </w:rPr>
        <w:t xml:space="preserve">nterno </w:t>
      </w:r>
      <w:r w:rsidR="00AD79F5" w:rsidRPr="008B6DD0">
        <w:rPr>
          <w:rFonts w:eastAsia="Univers (W1)"/>
          <w:color w:val="auto"/>
          <w:lang w:eastAsia="es-MX"/>
        </w:rPr>
        <w:t>disminuyó 24.4</w:t>
      </w:r>
      <w:r w:rsidRPr="008B6DD0">
        <w:rPr>
          <w:rFonts w:eastAsia="Univers (W1)"/>
          <w:color w:val="auto"/>
          <w:lang w:eastAsia="es-MX"/>
        </w:rPr>
        <w:t xml:space="preserve">%, </w:t>
      </w:r>
      <w:r w:rsidR="00EC3061" w:rsidRPr="008B6DD0">
        <w:rPr>
          <w:rFonts w:eastAsia="Univers (W1)"/>
          <w:color w:val="auto"/>
          <w:lang w:eastAsia="es-MX"/>
        </w:rPr>
        <w:t xml:space="preserve">mientras que </w:t>
      </w:r>
      <w:r w:rsidRPr="008B6DD0">
        <w:rPr>
          <w:rFonts w:eastAsia="Univers (W1)"/>
          <w:color w:val="auto"/>
          <w:lang w:eastAsia="es-MX"/>
        </w:rPr>
        <w:t xml:space="preserve">el </w:t>
      </w:r>
      <w:r w:rsidR="00C727C1" w:rsidRPr="008B6DD0">
        <w:rPr>
          <w:rFonts w:eastAsia="Univers (W1)"/>
          <w:color w:val="auto"/>
          <w:lang w:eastAsia="es-MX"/>
        </w:rPr>
        <w:t>C</w:t>
      </w:r>
      <w:r w:rsidRPr="008B6DD0">
        <w:rPr>
          <w:rFonts w:eastAsia="Univers (W1)"/>
          <w:color w:val="auto"/>
          <w:lang w:eastAsia="es-MX"/>
        </w:rPr>
        <w:t xml:space="preserve">onsumo </w:t>
      </w:r>
      <w:r w:rsidR="00C727C1" w:rsidRPr="008B6DD0">
        <w:rPr>
          <w:rFonts w:eastAsia="Univers (W1)"/>
          <w:color w:val="auto"/>
          <w:lang w:eastAsia="es-MX"/>
        </w:rPr>
        <w:t>T</w:t>
      </w:r>
      <w:r w:rsidRPr="008B6DD0">
        <w:rPr>
          <w:rFonts w:eastAsia="Univers (W1)"/>
          <w:color w:val="auto"/>
          <w:lang w:eastAsia="es-MX"/>
        </w:rPr>
        <w:t xml:space="preserve">urístico </w:t>
      </w:r>
      <w:r w:rsidR="00C727C1" w:rsidRPr="008B6DD0">
        <w:rPr>
          <w:rFonts w:eastAsia="Univers (W1)"/>
          <w:color w:val="auto"/>
          <w:lang w:eastAsia="es-MX"/>
        </w:rPr>
        <w:t>R</w:t>
      </w:r>
      <w:r w:rsidRPr="008B6DD0">
        <w:rPr>
          <w:rFonts w:eastAsia="Univers (W1)"/>
          <w:color w:val="auto"/>
          <w:lang w:eastAsia="es-MX"/>
        </w:rPr>
        <w:t xml:space="preserve">eceptivo </w:t>
      </w:r>
      <w:r w:rsidR="000942B0" w:rsidRPr="008B6DD0">
        <w:rPr>
          <w:rFonts w:eastAsia="Univers (W1)"/>
          <w:color w:val="auto"/>
          <w:lang w:eastAsia="es-MX"/>
        </w:rPr>
        <w:t xml:space="preserve">cayó </w:t>
      </w:r>
      <w:r w:rsidR="00AD79F5" w:rsidRPr="008B6DD0">
        <w:rPr>
          <w:rFonts w:eastAsia="Univers (W1)"/>
          <w:color w:val="auto"/>
          <w:lang w:eastAsia="es-MX"/>
        </w:rPr>
        <w:t>46.7</w:t>
      </w:r>
      <w:r w:rsidRPr="008B6DD0">
        <w:rPr>
          <w:rFonts w:eastAsia="Univers (W1)"/>
          <w:color w:val="auto"/>
          <w:lang w:eastAsia="es-MX"/>
        </w:rPr>
        <w:t xml:space="preserve">% </w:t>
      </w:r>
      <w:r w:rsidR="00EC3061" w:rsidRPr="008B6DD0">
        <w:rPr>
          <w:rFonts w:eastAsia="Univers (W1)"/>
          <w:color w:val="auto"/>
          <w:lang w:eastAsia="es-MX"/>
        </w:rPr>
        <w:t>para el</w:t>
      </w:r>
      <w:r w:rsidRPr="008B6DD0">
        <w:rPr>
          <w:rFonts w:eastAsia="Univers (W1)"/>
          <w:color w:val="auto"/>
          <w:lang w:eastAsia="es-MX"/>
        </w:rPr>
        <w:t xml:space="preserve"> mismo periodo. </w:t>
      </w:r>
    </w:p>
    <w:p w14:paraId="3CC7F0D4" w14:textId="51B9B195" w:rsidR="003515A9" w:rsidRDefault="00E06122" w:rsidP="00520DDB">
      <w:pPr>
        <w:pStyle w:val="Default"/>
        <w:spacing w:after="240"/>
        <w:ind w:left="-567" w:right="-518"/>
        <w:jc w:val="both"/>
      </w:pPr>
      <w:r w:rsidRPr="004F456F">
        <w:t xml:space="preserve">El </w:t>
      </w:r>
      <w:r w:rsidR="00B479DC" w:rsidRPr="004F456F">
        <w:rPr>
          <w:i/>
          <w:iCs/>
        </w:rPr>
        <w:t>C</w:t>
      </w:r>
      <w:r w:rsidRPr="004F456F">
        <w:rPr>
          <w:i/>
          <w:iCs/>
        </w:rPr>
        <w:t xml:space="preserve">onsumo </w:t>
      </w:r>
      <w:r w:rsidR="00B479DC" w:rsidRPr="004F456F">
        <w:rPr>
          <w:i/>
          <w:iCs/>
        </w:rPr>
        <w:t>T</w:t>
      </w:r>
      <w:r w:rsidRPr="004F456F">
        <w:rPr>
          <w:i/>
          <w:iCs/>
        </w:rPr>
        <w:t xml:space="preserve">urístico </w:t>
      </w:r>
      <w:r w:rsidR="00B479DC" w:rsidRPr="004F456F">
        <w:rPr>
          <w:i/>
          <w:iCs/>
        </w:rPr>
        <w:t>I</w:t>
      </w:r>
      <w:r w:rsidRPr="004F456F">
        <w:rPr>
          <w:i/>
          <w:iCs/>
        </w:rPr>
        <w:t>nterno</w:t>
      </w:r>
      <w:r w:rsidR="000942B0">
        <w:rPr>
          <w:i/>
          <w:iCs/>
        </w:rPr>
        <w:t>,</w:t>
      </w:r>
      <w:r w:rsidRPr="004F456F">
        <w:rPr>
          <w:i/>
          <w:iCs/>
        </w:rPr>
        <w:t xml:space="preserve"> </w:t>
      </w:r>
      <w:r w:rsidRPr="004F456F">
        <w:t>según los motivos de viaje</w:t>
      </w:r>
      <w:r w:rsidR="000942B0">
        <w:t>,</w:t>
      </w:r>
      <w:r w:rsidRPr="004F456F">
        <w:t xml:space="preserve"> se </w:t>
      </w:r>
      <w:r w:rsidR="003F5F00">
        <w:t>distribuye</w:t>
      </w:r>
      <w:r w:rsidRPr="004F456F">
        <w:t xml:space="preserve"> en </w:t>
      </w:r>
      <w:r w:rsidR="003F5F00" w:rsidRPr="004F456F">
        <w:t>viajes de negocios 5.3%</w:t>
      </w:r>
      <w:r w:rsidR="003F5F00">
        <w:t xml:space="preserve">, </w:t>
      </w:r>
      <w:r w:rsidR="003F5F00" w:rsidRPr="004F456F">
        <w:t>por vacaciones 30.5%,</w:t>
      </w:r>
      <w:r w:rsidR="003F5F00">
        <w:t xml:space="preserve"> </w:t>
      </w:r>
      <w:r w:rsidR="003F5F00" w:rsidRPr="004F456F">
        <w:t>otros motivos de viaje</w:t>
      </w:r>
      <w:r w:rsidR="003F5F00" w:rsidRPr="004F456F">
        <w:rPr>
          <w:rStyle w:val="Refdenotaalpie"/>
        </w:rPr>
        <w:footnoteReference w:id="4"/>
      </w:r>
      <w:r w:rsidR="003F5F00" w:rsidRPr="004F456F">
        <w:t xml:space="preserve"> con 44.3%, excursionistas </w:t>
      </w:r>
      <w:r w:rsidR="003515A9">
        <w:t xml:space="preserve">con </w:t>
      </w:r>
      <w:r w:rsidR="003F5F00" w:rsidRPr="004F456F">
        <w:t>12.4%,</w:t>
      </w:r>
      <w:r w:rsidR="003F5F00" w:rsidRPr="003F5F00">
        <w:t xml:space="preserve"> </w:t>
      </w:r>
      <w:r w:rsidR="003F5F00" w:rsidRPr="004F456F">
        <w:t xml:space="preserve">y </w:t>
      </w:r>
      <w:r w:rsidR="003515A9" w:rsidRPr="004F456F">
        <w:t>los gastos previos</w:t>
      </w:r>
      <w:r w:rsidR="003515A9">
        <w:rPr>
          <w:rStyle w:val="Refdenotaalpie"/>
        </w:rPr>
        <w:footnoteReference w:id="5"/>
      </w:r>
      <w:r w:rsidR="003515A9" w:rsidRPr="004F456F">
        <w:t xml:space="preserve"> </w:t>
      </w:r>
      <w:r w:rsidR="003F5F00" w:rsidRPr="004F456F">
        <w:t>7.</w:t>
      </w:r>
      <w:r w:rsidR="003515A9">
        <w:t xml:space="preserve">4 por ciento. </w:t>
      </w:r>
    </w:p>
    <w:p w14:paraId="482E2F45" w14:textId="4C699DC4" w:rsidR="00D332E3" w:rsidRDefault="00603371" w:rsidP="00520DDB">
      <w:pPr>
        <w:pStyle w:val="Default"/>
        <w:spacing w:after="240"/>
        <w:ind w:left="-567" w:right="-518"/>
        <w:jc w:val="both"/>
        <w:rPr>
          <w:sz w:val="23"/>
          <w:szCs w:val="23"/>
        </w:rPr>
      </w:pPr>
      <w:r w:rsidRPr="004F456F">
        <w:t>Para el turismo procedente del resto del mundo, el gasto por motivos vacacionales representa</w:t>
      </w:r>
      <w:r w:rsidR="00685646">
        <w:t xml:space="preserve"> </w:t>
      </w:r>
      <w:r w:rsidRPr="004F456F">
        <w:t>7</w:t>
      </w:r>
      <w:r w:rsidR="00C65E11" w:rsidRPr="004F456F">
        <w:t>8.0</w:t>
      </w:r>
      <w:r w:rsidRPr="004F456F">
        <w:t>%, otros motivos de viaje</w:t>
      </w:r>
      <w:r w:rsidR="009A6DFA" w:rsidRPr="004F456F">
        <w:t xml:space="preserve"> </w:t>
      </w:r>
      <w:r w:rsidRPr="004F456F">
        <w:t xml:space="preserve">contribuyen con </w:t>
      </w:r>
      <w:r w:rsidR="00C65E11" w:rsidRPr="004F456F">
        <w:t>7.4</w:t>
      </w:r>
      <w:r w:rsidRPr="004F456F">
        <w:t>%, excursionistas 7.</w:t>
      </w:r>
      <w:r w:rsidR="00C65E11" w:rsidRPr="004F456F">
        <w:t>5</w:t>
      </w:r>
      <w:r w:rsidRPr="004F456F">
        <w:t xml:space="preserve">% y </w:t>
      </w:r>
      <w:r w:rsidR="00520DDB">
        <w:t xml:space="preserve">a </w:t>
      </w:r>
      <w:r w:rsidRPr="004F456F">
        <w:t xml:space="preserve">motivos de negocios </w:t>
      </w:r>
      <w:r w:rsidR="00520DDB">
        <w:t xml:space="preserve">le </w:t>
      </w:r>
      <w:r w:rsidRPr="004F456F">
        <w:t>correspond</w:t>
      </w:r>
      <w:r w:rsidR="00685646">
        <w:t>e</w:t>
      </w:r>
      <w:r w:rsidRPr="004F456F">
        <w:t xml:space="preserve"> </w:t>
      </w:r>
      <w:r w:rsidR="00C65E11" w:rsidRPr="004F456F">
        <w:t>7.1</w:t>
      </w:r>
      <w:r w:rsidRPr="004F456F">
        <w:t xml:space="preserve"> por ciento.</w:t>
      </w:r>
      <w:r w:rsidRPr="004F456F">
        <w:rPr>
          <w:sz w:val="23"/>
          <w:szCs w:val="23"/>
        </w:rPr>
        <w:t xml:space="preserve"> </w:t>
      </w:r>
    </w:p>
    <w:p w14:paraId="6907D7FF" w14:textId="6516663C" w:rsidR="00B52782" w:rsidRPr="00B52782" w:rsidRDefault="00B52782" w:rsidP="00B52782">
      <w:pPr>
        <w:spacing w:after="240"/>
        <w:ind w:left="-425" w:right="-516"/>
        <w:contextualSpacing/>
        <w:jc w:val="center"/>
        <w:rPr>
          <w:rFonts w:ascii="Arial" w:hAnsi="Arial" w:cs="Arial"/>
        </w:rPr>
      </w:pPr>
      <w:r>
        <w:rPr>
          <w:rFonts w:ascii="Arial" w:hAnsi="Arial" w:cs="Arial"/>
        </w:rPr>
        <w:t>Cuadro</w:t>
      </w:r>
      <w:r w:rsidRPr="00ED417B">
        <w:rPr>
          <w:rFonts w:ascii="Arial" w:hAnsi="Arial" w:cs="Arial"/>
        </w:rPr>
        <w:t xml:space="preserve"> </w:t>
      </w:r>
      <w:r w:rsidR="000A419B">
        <w:rPr>
          <w:rFonts w:ascii="Arial" w:hAnsi="Arial" w:cs="Arial"/>
        </w:rPr>
        <w:t>5</w:t>
      </w:r>
    </w:p>
    <w:p w14:paraId="3E5D4A07" w14:textId="653CD016" w:rsidR="00F12621" w:rsidRPr="004F456F" w:rsidRDefault="00F12621" w:rsidP="00B52782">
      <w:pPr>
        <w:jc w:val="center"/>
        <w:rPr>
          <w:rFonts w:ascii="Arial" w:hAnsi="Arial" w:cs="Arial"/>
        </w:rPr>
      </w:pPr>
      <w:r w:rsidRPr="004F456F">
        <w:rPr>
          <w:rFonts w:ascii="Arial" w:hAnsi="Arial" w:cs="Arial"/>
          <w:b/>
          <w:iCs/>
          <w:smallCaps/>
          <w:sz w:val="22"/>
          <w:szCs w:val="22"/>
        </w:rPr>
        <w:t>Consumo Turístico Interior Por Motivos de Viaje, año 2020</w:t>
      </w:r>
    </w:p>
    <w:p w14:paraId="1BEDB7E6" w14:textId="2843D778" w:rsidR="00F12621" w:rsidRDefault="00F12621" w:rsidP="00B52782">
      <w:pPr>
        <w:pStyle w:val="Textoindependiente"/>
        <w:jc w:val="center"/>
        <w:rPr>
          <w:rFonts w:ascii="Arial" w:hAnsi="Arial" w:cs="Arial"/>
          <w:sz w:val="18"/>
          <w:szCs w:val="18"/>
        </w:rPr>
      </w:pPr>
      <w:r w:rsidRPr="004F456F">
        <w:rPr>
          <w:rFonts w:ascii="Arial" w:hAnsi="Arial" w:cs="Arial"/>
          <w:sz w:val="18"/>
          <w:szCs w:val="18"/>
        </w:rPr>
        <w:t>(</w:t>
      </w:r>
      <w:r w:rsidRPr="004F456F">
        <w:rPr>
          <w:rFonts w:ascii="Arial" w:hAnsi="Arial" w:cs="Arial"/>
          <w:sz w:val="18"/>
          <w:szCs w:val="18"/>
          <w:lang w:val="es-MX"/>
        </w:rPr>
        <w:t>Estructura porcentual</w:t>
      </w:r>
      <w:r w:rsidRPr="004F456F">
        <w:rPr>
          <w:rFonts w:ascii="Arial" w:hAnsi="Arial" w:cs="Arial"/>
          <w:sz w:val="18"/>
          <w:szCs w:val="18"/>
        </w:rPr>
        <w:t>)</w:t>
      </w:r>
    </w:p>
    <w:tbl>
      <w:tblPr>
        <w:tblW w:w="9074" w:type="dxa"/>
        <w:tblCellMar>
          <w:left w:w="70" w:type="dxa"/>
          <w:right w:w="70" w:type="dxa"/>
        </w:tblCellMar>
        <w:tblLook w:val="04A0" w:firstRow="1" w:lastRow="0" w:firstColumn="1" w:lastColumn="0" w:noHBand="0" w:noVBand="1"/>
      </w:tblPr>
      <w:tblGrid>
        <w:gridCol w:w="1696"/>
        <w:gridCol w:w="1843"/>
        <w:gridCol w:w="1848"/>
        <w:gridCol w:w="1838"/>
        <w:gridCol w:w="1843"/>
        <w:gridCol w:w="6"/>
      </w:tblGrid>
      <w:tr w:rsidR="00D332E3" w:rsidRPr="004C1888" w14:paraId="161A055C" w14:textId="77777777" w:rsidTr="00D332E3">
        <w:trPr>
          <w:trHeight w:val="469"/>
        </w:trPr>
        <w:tc>
          <w:tcPr>
            <w:tcW w:w="1696" w:type="dxa"/>
            <w:vMerge w:val="restart"/>
            <w:tcBorders>
              <w:top w:val="single" w:sz="4" w:space="0" w:color="auto"/>
              <w:left w:val="single" w:sz="4" w:space="0" w:color="auto"/>
              <w:bottom w:val="single" w:sz="4" w:space="0" w:color="000000"/>
              <w:right w:val="single" w:sz="4" w:space="0" w:color="FFFFFF"/>
            </w:tcBorders>
            <w:shd w:val="clear" w:color="000000" w:fill="002060"/>
            <w:vAlign w:val="center"/>
            <w:hideMark/>
          </w:tcPr>
          <w:p w14:paraId="7C2F1B5C" w14:textId="77777777" w:rsidR="00D332E3" w:rsidRPr="004C1888" w:rsidRDefault="00D332E3" w:rsidP="003A0362">
            <w:pPr>
              <w:jc w:val="center"/>
              <w:rPr>
                <w:rFonts w:ascii="Arial" w:eastAsia="Times New Roman" w:hAnsi="Arial" w:cs="Arial"/>
                <w:b/>
                <w:bCs/>
                <w:color w:val="FFFFFF"/>
                <w:sz w:val="20"/>
                <w:szCs w:val="20"/>
              </w:rPr>
            </w:pPr>
            <w:r w:rsidRPr="004C1888">
              <w:rPr>
                <w:rFonts w:ascii="Arial" w:eastAsia="Times New Roman" w:hAnsi="Arial" w:cs="Arial"/>
                <w:b/>
                <w:bCs/>
                <w:color w:val="FFFFFF"/>
                <w:sz w:val="20"/>
                <w:szCs w:val="20"/>
              </w:rPr>
              <w:t xml:space="preserve">Concepto </w:t>
            </w:r>
          </w:p>
        </w:tc>
        <w:tc>
          <w:tcPr>
            <w:tcW w:w="3691" w:type="dxa"/>
            <w:gridSpan w:val="2"/>
            <w:tcBorders>
              <w:top w:val="single" w:sz="4" w:space="0" w:color="auto"/>
              <w:left w:val="nil"/>
              <w:bottom w:val="single" w:sz="4" w:space="0" w:color="FFFFFF"/>
              <w:right w:val="single" w:sz="4" w:space="0" w:color="FFFFFF"/>
            </w:tcBorders>
            <w:shd w:val="clear" w:color="000000" w:fill="002060"/>
            <w:vAlign w:val="center"/>
            <w:hideMark/>
          </w:tcPr>
          <w:p w14:paraId="363980A6" w14:textId="77777777" w:rsidR="00D332E3" w:rsidRPr="004C1888" w:rsidRDefault="00D332E3" w:rsidP="003A0362">
            <w:pPr>
              <w:jc w:val="center"/>
              <w:rPr>
                <w:rFonts w:ascii="Arial" w:eastAsia="Times New Roman" w:hAnsi="Arial" w:cs="Arial"/>
                <w:b/>
                <w:bCs/>
                <w:color w:val="FFFFFF"/>
                <w:sz w:val="20"/>
                <w:szCs w:val="20"/>
              </w:rPr>
            </w:pPr>
            <w:r w:rsidRPr="004C1888">
              <w:rPr>
                <w:rFonts w:ascii="Arial" w:eastAsia="Times New Roman" w:hAnsi="Arial" w:cs="Arial"/>
                <w:b/>
                <w:bCs/>
                <w:color w:val="FFFFFF"/>
                <w:sz w:val="20"/>
                <w:szCs w:val="20"/>
              </w:rPr>
              <w:t>Estructura porcentual 20</w:t>
            </w:r>
            <w:r>
              <w:rPr>
                <w:rFonts w:ascii="Arial" w:eastAsia="Times New Roman" w:hAnsi="Arial" w:cs="Arial"/>
                <w:b/>
                <w:bCs/>
                <w:color w:val="FFFFFF"/>
                <w:sz w:val="20"/>
                <w:szCs w:val="20"/>
              </w:rPr>
              <w:t>19</w:t>
            </w:r>
          </w:p>
        </w:tc>
        <w:tc>
          <w:tcPr>
            <w:tcW w:w="3687" w:type="dxa"/>
            <w:gridSpan w:val="3"/>
            <w:tcBorders>
              <w:top w:val="single" w:sz="4" w:space="0" w:color="auto"/>
              <w:left w:val="nil"/>
              <w:bottom w:val="single" w:sz="4" w:space="0" w:color="FFFFFF"/>
              <w:right w:val="single" w:sz="4" w:space="0" w:color="000000"/>
            </w:tcBorders>
            <w:shd w:val="clear" w:color="000000" w:fill="002060"/>
            <w:vAlign w:val="center"/>
            <w:hideMark/>
          </w:tcPr>
          <w:p w14:paraId="57092D41" w14:textId="77777777" w:rsidR="00D332E3" w:rsidRPr="004C1888" w:rsidRDefault="00D332E3" w:rsidP="003A0362">
            <w:pPr>
              <w:jc w:val="center"/>
              <w:rPr>
                <w:rFonts w:ascii="Arial" w:eastAsia="Times New Roman" w:hAnsi="Arial" w:cs="Arial"/>
                <w:b/>
                <w:bCs/>
                <w:color w:val="FFFFFF"/>
                <w:sz w:val="20"/>
                <w:szCs w:val="20"/>
              </w:rPr>
            </w:pPr>
            <w:r w:rsidRPr="004C1888">
              <w:rPr>
                <w:rFonts w:ascii="Arial" w:eastAsia="Times New Roman" w:hAnsi="Arial" w:cs="Arial"/>
                <w:b/>
                <w:bCs/>
                <w:color w:val="FFFFFF"/>
                <w:sz w:val="20"/>
                <w:szCs w:val="20"/>
              </w:rPr>
              <w:t>Estructura porcentual 2020</w:t>
            </w:r>
          </w:p>
        </w:tc>
      </w:tr>
      <w:tr w:rsidR="00D332E3" w:rsidRPr="004C1888" w14:paraId="679B2EBD" w14:textId="77777777" w:rsidTr="00D332E3">
        <w:trPr>
          <w:gridAfter w:val="1"/>
          <w:wAfter w:w="6" w:type="dxa"/>
          <w:trHeight w:val="660"/>
        </w:trPr>
        <w:tc>
          <w:tcPr>
            <w:tcW w:w="1696" w:type="dxa"/>
            <w:vMerge/>
            <w:tcBorders>
              <w:top w:val="single" w:sz="4" w:space="0" w:color="auto"/>
              <w:left w:val="single" w:sz="4" w:space="0" w:color="auto"/>
              <w:bottom w:val="single" w:sz="4" w:space="0" w:color="000000"/>
              <w:right w:val="single" w:sz="4" w:space="0" w:color="FFFFFF"/>
            </w:tcBorders>
            <w:vAlign w:val="center"/>
            <w:hideMark/>
          </w:tcPr>
          <w:p w14:paraId="7F4C5FBA" w14:textId="77777777" w:rsidR="00D332E3" w:rsidRPr="004C1888" w:rsidRDefault="00D332E3" w:rsidP="003A0362">
            <w:pPr>
              <w:rPr>
                <w:rFonts w:ascii="Arial" w:eastAsia="Times New Roman" w:hAnsi="Arial" w:cs="Arial"/>
                <w:b/>
                <w:bCs/>
                <w:color w:val="FFFFFF"/>
                <w:sz w:val="20"/>
                <w:szCs w:val="20"/>
              </w:rPr>
            </w:pPr>
          </w:p>
        </w:tc>
        <w:tc>
          <w:tcPr>
            <w:tcW w:w="1843" w:type="dxa"/>
            <w:tcBorders>
              <w:top w:val="nil"/>
              <w:left w:val="nil"/>
              <w:bottom w:val="single" w:sz="4" w:space="0" w:color="auto"/>
              <w:right w:val="single" w:sz="4" w:space="0" w:color="FFFFFF"/>
            </w:tcBorders>
            <w:shd w:val="clear" w:color="000000" w:fill="002060"/>
            <w:vAlign w:val="center"/>
            <w:hideMark/>
          </w:tcPr>
          <w:p w14:paraId="30016373" w14:textId="77777777" w:rsidR="00D332E3" w:rsidRPr="00D332E3" w:rsidRDefault="00D332E3" w:rsidP="003A0362">
            <w:pPr>
              <w:jc w:val="center"/>
              <w:rPr>
                <w:rFonts w:ascii="Arial" w:eastAsia="Times New Roman" w:hAnsi="Arial" w:cs="Arial"/>
                <w:b/>
                <w:bCs/>
                <w:color w:val="FFFFFF"/>
                <w:sz w:val="18"/>
                <w:szCs w:val="18"/>
              </w:rPr>
            </w:pPr>
            <w:r w:rsidRPr="00D332E3">
              <w:rPr>
                <w:rFonts w:ascii="Arial" w:eastAsia="Times New Roman" w:hAnsi="Arial" w:cs="Arial"/>
                <w:b/>
                <w:bCs/>
                <w:color w:val="FFFFFF"/>
                <w:sz w:val="18"/>
                <w:szCs w:val="18"/>
              </w:rPr>
              <w:t xml:space="preserve">Consumo Turístico Interno </w:t>
            </w:r>
          </w:p>
        </w:tc>
        <w:tc>
          <w:tcPr>
            <w:tcW w:w="1848" w:type="dxa"/>
            <w:tcBorders>
              <w:top w:val="nil"/>
              <w:left w:val="nil"/>
              <w:bottom w:val="single" w:sz="4" w:space="0" w:color="auto"/>
              <w:right w:val="single" w:sz="4" w:space="0" w:color="FFFFFF"/>
            </w:tcBorders>
            <w:shd w:val="clear" w:color="000000" w:fill="002060"/>
            <w:vAlign w:val="center"/>
            <w:hideMark/>
          </w:tcPr>
          <w:p w14:paraId="4050F670" w14:textId="77777777" w:rsidR="00D332E3" w:rsidRPr="00D332E3" w:rsidRDefault="00D332E3" w:rsidP="003A0362">
            <w:pPr>
              <w:jc w:val="center"/>
              <w:rPr>
                <w:rFonts w:ascii="Arial" w:eastAsia="Times New Roman" w:hAnsi="Arial" w:cs="Arial"/>
                <w:b/>
                <w:bCs/>
                <w:color w:val="FFFFFF"/>
                <w:sz w:val="18"/>
                <w:szCs w:val="18"/>
              </w:rPr>
            </w:pPr>
            <w:r w:rsidRPr="00D332E3">
              <w:rPr>
                <w:rFonts w:ascii="Arial" w:eastAsia="Times New Roman" w:hAnsi="Arial" w:cs="Arial"/>
                <w:b/>
                <w:bCs/>
                <w:color w:val="FFFFFF"/>
                <w:sz w:val="18"/>
                <w:szCs w:val="18"/>
              </w:rPr>
              <w:t>Consumo Turístico Receptivo</w:t>
            </w:r>
          </w:p>
        </w:tc>
        <w:tc>
          <w:tcPr>
            <w:tcW w:w="1838" w:type="dxa"/>
            <w:tcBorders>
              <w:top w:val="nil"/>
              <w:left w:val="nil"/>
              <w:bottom w:val="single" w:sz="4" w:space="0" w:color="auto"/>
              <w:right w:val="single" w:sz="4" w:space="0" w:color="FFFFFF"/>
            </w:tcBorders>
            <w:shd w:val="clear" w:color="000000" w:fill="002060"/>
            <w:vAlign w:val="center"/>
            <w:hideMark/>
          </w:tcPr>
          <w:p w14:paraId="7D0B0159" w14:textId="77777777" w:rsidR="00D332E3" w:rsidRPr="00D332E3" w:rsidRDefault="00D332E3" w:rsidP="003A0362">
            <w:pPr>
              <w:jc w:val="center"/>
              <w:rPr>
                <w:rFonts w:ascii="Arial" w:eastAsia="Times New Roman" w:hAnsi="Arial" w:cs="Arial"/>
                <w:b/>
                <w:bCs/>
                <w:color w:val="FFFFFF"/>
                <w:sz w:val="18"/>
                <w:szCs w:val="18"/>
              </w:rPr>
            </w:pPr>
            <w:r w:rsidRPr="00D332E3">
              <w:rPr>
                <w:rFonts w:ascii="Arial" w:eastAsia="Times New Roman" w:hAnsi="Arial" w:cs="Arial"/>
                <w:b/>
                <w:bCs/>
                <w:color w:val="FFFFFF"/>
                <w:sz w:val="18"/>
                <w:szCs w:val="18"/>
              </w:rPr>
              <w:t xml:space="preserve">Consumo Turístico Interno </w:t>
            </w:r>
          </w:p>
        </w:tc>
        <w:tc>
          <w:tcPr>
            <w:tcW w:w="1843" w:type="dxa"/>
            <w:tcBorders>
              <w:top w:val="nil"/>
              <w:left w:val="nil"/>
              <w:bottom w:val="single" w:sz="4" w:space="0" w:color="auto"/>
              <w:right w:val="single" w:sz="4" w:space="0" w:color="auto"/>
            </w:tcBorders>
            <w:shd w:val="clear" w:color="000000" w:fill="002060"/>
            <w:vAlign w:val="center"/>
            <w:hideMark/>
          </w:tcPr>
          <w:p w14:paraId="2A3FAB4B" w14:textId="77777777" w:rsidR="00D332E3" w:rsidRPr="00D332E3" w:rsidRDefault="00D332E3" w:rsidP="003A0362">
            <w:pPr>
              <w:jc w:val="center"/>
              <w:rPr>
                <w:rFonts w:ascii="Arial" w:eastAsia="Times New Roman" w:hAnsi="Arial" w:cs="Arial"/>
                <w:b/>
                <w:bCs/>
                <w:color w:val="FFFFFF"/>
                <w:sz w:val="18"/>
                <w:szCs w:val="18"/>
              </w:rPr>
            </w:pPr>
            <w:r w:rsidRPr="00D332E3">
              <w:rPr>
                <w:rFonts w:ascii="Arial" w:eastAsia="Times New Roman" w:hAnsi="Arial" w:cs="Arial"/>
                <w:b/>
                <w:bCs/>
                <w:color w:val="FFFFFF"/>
                <w:sz w:val="18"/>
                <w:szCs w:val="18"/>
              </w:rPr>
              <w:t>Consumo Turístico Receptivo</w:t>
            </w:r>
          </w:p>
        </w:tc>
      </w:tr>
      <w:tr w:rsidR="00D332E3" w:rsidRPr="004C1888" w14:paraId="696C8133" w14:textId="77777777" w:rsidTr="00D332E3">
        <w:trPr>
          <w:gridAfter w:val="1"/>
          <w:wAfter w:w="6" w:type="dxa"/>
          <w:trHeight w:val="349"/>
        </w:trPr>
        <w:tc>
          <w:tcPr>
            <w:tcW w:w="1696" w:type="dxa"/>
            <w:tcBorders>
              <w:top w:val="nil"/>
              <w:left w:val="single" w:sz="4" w:space="0" w:color="auto"/>
              <w:bottom w:val="nil"/>
              <w:right w:val="nil"/>
            </w:tcBorders>
            <w:shd w:val="clear" w:color="auto" w:fill="auto"/>
            <w:noWrap/>
            <w:vAlign w:val="center"/>
            <w:hideMark/>
          </w:tcPr>
          <w:p w14:paraId="475D0856" w14:textId="77777777" w:rsidR="00D332E3" w:rsidRPr="004C1888" w:rsidRDefault="00D332E3" w:rsidP="003A0362">
            <w:pPr>
              <w:rPr>
                <w:rFonts w:ascii="Arial" w:eastAsia="Times New Roman" w:hAnsi="Arial" w:cs="Arial"/>
                <w:b/>
                <w:bCs/>
                <w:sz w:val="18"/>
                <w:szCs w:val="18"/>
              </w:rPr>
            </w:pPr>
            <w:r w:rsidRPr="004C1888">
              <w:rPr>
                <w:rFonts w:ascii="Arial" w:eastAsia="Times New Roman" w:hAnsi="Arial" w:cs="Arial"/>
                <w:b/>
                <w:bCs/>
                <w:sz w:val="18"/>
                <w:szCs w:val="18"/>
              </w:rPr>
              <w:t>Total</w:t>
            </w:r>
          </w:p>
        </w:tc>
        <w:tc>
          <w:tcPr>
            <w:tcW w:w="1843" w:type="dxa"/>
            <w:tcBorders>
              <w:top w:val="nil"/>
              <w:left w:val="single" w:sz="4" w:space="0" w:color="auto"/>
              <w:bottom w:val="nil"/>
              <w:right w:val="single" w:sz="4" w:space="0" w:color="auto"/>
            </w:tcBorders>
            <w:shd w:val="clear" w:color="auto" w:fill="auto"/>
            <w:noWrap/>
            <w:vAlign w:val="center"/>
            <w:hideMark/>
          </w:tcPr>
          <w:p w14:paraId="5715B8DC" w14:textId="77777777" w:rsidR="00D332E3" w:rsidRPr="004C1888" w:rsidRDefault="00D332E3" w:rsidP="003A0362">
            <w:pPr>
              <w:jc w:val="center"/>
              <w:rPr>
                <w:rFonts w:ascii="Arial" w:eastAsia="Times New Roman" w:hAnsi="Arial" w:cs="Arial"/>
                <w:b/>
                <w:bCs/>
                <w:sz w:val="18"/>
                <w:szCs w:val="18"/>
              </w:rPr>
            </w:pPr>
            <w:r w:rsidRPr="004C1888">
              <w:rPr>
                <w:rFonts w:ascii="Arial" w:eastAsia="Times New Roman" w:hAnsi="Arial" w:cs="Arial"/>
                <w:b/>
                <w:bCs/>
                <w:sz w:val="18"/>
                <w:szCs w:val="18"/>
              </w:rPr>
              <w:t>100.0</w:t>
            </w:r>
          </w:p>
        </w:tc>
        <w:tc>
          <w:tcPr>
            <w:tcW w:w="1848" w:type="dxa"/>
            <w:tcBorders>
              <w:top w:val="nil"/>
              <w:left w:val="nil"/>
              <w:bottom w:val="nil"/>
              <w:right w:val="single" w:sz="4" w:space="0" w:color="auto"/>
            </w:tcBorders>
            <w:shd w:val="clear" w:color="auto" w:fill="auto"/>
            <w:noWrap/>
            <w:vAlign w:val="center"/>
            <w:hideMark/>
          </w:tcPr>
          <w:p w14:paraId="7761C628" w14:textId="77777777" w:rsidR="00D332E3" w:rsidRPr="004C1888" w:rsidRDefault="00D332E3" w:rsidP="003A0362">
            <w:pPr>
              <w:jc w:val="center"/>
              <w:rPr>
                <w:rFonts w:ascii="Arial" w:eastAsia="Times New Roman" w:hAnsi="Arial" w:cs="Arial"/>
                <w:b/>
                <w:bCs/>
                <w:sz w:val="18"/>
                <w:szCs w:val="18"/>
              </w:rPr>
            </w:pPr>
            <w:r w:rsidRPr="004C1888">
              <w:rPr>
                <w:rFonts w:ascii="Arial" w:eastAsia="Times New Roman" w:hAnsi="Arial" w:cs="Arial"/>
                <w:b/>
                <w:bCs/>
                <w:sz w:val="18"/>
                <w:szCs w:val="18"/>
              </w:rPr>
              <w:t>100.0</w:t>
            </w:r>
          </w:p>
        </w:tc>
        <w:tc>
          <w:tcPr>
            <w:tcW w:w="1838" w:type="dxa"/>
            <w:tcBorders>
              <w:top w:val="nil"/>
              <w:left w:val="nil"/>
              <w:bottom w:val="nil"/>
              <w:right w:val="single" w:sz="4" w:space="0" w:color="auto"/>
            </w:tcBorders>
            <w:shd w:val="clear" w:color="auto" w:fill="auto"/>
            <w:noWrap/>
            <w:vAlign w:val="center"/>
            <w:hideMark/>
          </w:tcPr>
          <w:p w14:paraId="7CFBDE7E" w14:textId="77777777" w:rsidR="00D332E3" w:rsidRPr="004C1888" w:rsidRDefault="00D332E3" w:rsidP="003A0362">
            <w:pPr>
              <w:jc w:val="center"/>
              <w:rPr>
                <w:rFonts w:ascii="Arial" w:eastAsia="Times New Roman" w:hAnsi="Arial" w:cs="Arial"/>
                <w:b/>
                <w:bCs/>
                <w:sz w:val="18"/>
                <w:szCs w:val="18"/>
              </w:rPr>
            </w:pPr>
            <w:r w:rsidRPr="004C1888">
              <w:rPr>
                <w:rFonts w:ascii="Arial" w:eastAsia="Times New Roman" w:hAnsi="Arial" w:cs="Arial"/>
                <w:b/>
                <w:bCs/>
                <w:sz w:val="18"/>
                <w:szCs w:val="18"/>
              </w:rPr>
              <w:t>100.0</w:t>
            </w:r>
          </w:p>
        </w:tc>
        <w:tc>
          <w:tcPr>
            <w:tcW w:w="1843" w:type="dxa"/>
            <w:tcBorders>
              <w:top w:val="nil"/>
              <w:left w:val="nil"/>
              <w:bottom w:val="nil"/>
              <w:right w:val="single" w:sz="4" w:space="0" w:color="auto"/>
            </w:tcBorders>
            <w:shd w:val="clear" w:color="auto" w:fill="auto"/>
            <w:noWrap/>
            <w:vAlign w:val="center"/>
            <w:hideMark/>
          </w:tcPr>
          <w:p w14:paraId="6593929D" w14:textId="77777777" w:rsidR="00D332E3" w:rsidRPr="004C1888" w:rsidRDefault="00D332E3" w:rsidP="003A0362">
            <w:pPr>
              <w:jc w:val="center"/>
              <w:rPr>
                <w:rFonts w:ascii="Arial" w:eastAsia="Times New Roman" w:hAnsi="Arial" w:cs="Arial"/>
                <w:b/>
                <w:bCs/>
                <w:sz w:val="18"/>
                <w:szCs w:val="18"/>
              </w:rPr>
            </w:pPr>
            <w:r w:rsidRPr="004C1888">
              <w:rPr>
                <w:rFonts w:ascii="Arial" w:eastAsia="Times New Roman" w:hAnsi="Arial" w:cs="Arial"/>
                <w:b/>
                <w:bCs/>
                <w:sz w:val="18"/>
                <w:szCs w:val="18"/>
              </w:rPr>
              <w:t>100.0</w:t>
            </w:r>
          </w:p>
        </w:tc>
      </w:tr>
      <w:tr w:rsidR="00D332E3" w:rsidRPr="004C1888" w14:paraId="19382296" w14:textId="77777777" w:rsidTr="00D332E3">
        <w:trPr>
          <w:gridAfter w:val="1"/>
          <w:wAfter w:w="6" w:type="dxa"/>
          <w:trHeight w:val="247"/>
        </w:trPr>
        <w:tc>
          <w:tcPr>
            <w:tcW w:w="1696" w:type="dxa"/>
            <w:tcBorders>
              <w:top w:val="nil"/>
              <w:left w:val="single" w:sz="4" w:space="0" w:color="auto"/>
              <w:bottom w:val="nil"/>
              <w:right w:val="nil"/>
            </w:tcBorders>
            <w:shd w:val="clear" w:color="auto" w:fill="auto"/>
            <w:noWrap/>
            <w:vAlign w:val="center"/>
            <w:hideMark/>
          </w:tcPr>
          <w:p w14:paraId="02A57E83" w14:textId="77777777" w:rsidR="00D332E3" w:rsidRPr="004C1888" w:rsidRDefault="00D332E3" w:rsidP="003A0362">
            <w:pPr>
              <w:rPr>
                <w:rFonts w:ascii="Arial" w:eastAsia="Times New Roman" w:hAnsi="Arial" w:cs="Arial"/>
                <w:sz w:val="18"/>
                <w:szCs w:val="18"/>
              </w:rPr>
            </w:pPr>
            <w:r w:rsidRPr="004C1888">
              <w:rPr>
                <w:rFonts w:ascii="Arial" w:eastAsia="Times New Roman" w:hAnsi="Arial" w:cs="Arial"/>
                <w:sz w:val="18"/>
                <w:szCs w:val="18"/>
              </w:rPr>
              <w:t>Negocios</w:t>
            </w:r>
          </w:p>
        </w:tc>
        <w:tc>
          <w:tcPr>
            <w:tcW w:w="1843" w:type="dxa"/>
            <w:tcBorders>
              <w:top w:val="nil"/>
              <w:left w:val="single" w:sz="4" w:space="0" w:color="auto"/>
              <w:bottom w:val="nil"/>
              <w:right w:val="single" w:sz="4" w:space="0" w:color="auto"/>
            </w:tcBorders>
            <w:shd w:val="clear" w:color="auto" w:fill="auto"/>
            <w:noWrap/>
            <w:vAlign w:val="center"/>
            <w:hideMark/>
          </w:tcPr>
          <w:p w14:paraId="21F31A2B"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5.5</w:t>
            </w:r>
          </w:p>
        </w:tc>
        <w:tc>
          <w:tcPr>
            <w:tcW w:w="1848" w:type="dxa"/>
            <w:tcBorders>
              <w:top w:val="nil"/>
              <w:left w:val="nil"/>
              <w:bottom w:val="nil"/>
              <w:right w:val="single" w:sz="4" w:space="0" w:color="auto"/>
            </w:tcBorders>
            <w:shd w:val="clear" w:color="auto" w:fill="auto"/>
            <w:noWrap/>
            <w:vAlign w:val="center"/>
            <w:hideMark/>
          </w:tcPr>
          <w:p w14:paraId="063FAE68"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4.8</w:t>
            </w:r>
          </w:p>
        </w:tc>
        <w:tc>
          <w:tcPr>
            <w:tcW w:w="1838" w:type="dxa"/>
            <w:tcBorders>
              <w:top w:val="nil"/>
              <w:left w:val="nil"/>
              <w:bottom w:val="nil"/>
              <w:right w:val="single" w:sz="4" w:space="0" w:color="auto"/>
            </w:tcBorders>
            <w:shd w:val="clear" w:color="auto" w:fill="auto"/>
            <w:noWrap/>
            <w:vAlign w:val="center"/>
            <w:hideMark/>
          </w:tcPr>
          <w:p w14:paraId="54127A89"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5.3</w:t>
            </w:r>
          </w:p>
        </w:tc>
        <w:tc>
          <w:tcPr>
            <w:tcW w:w="1843" w:type="dxa"/>
            <w:tcBorders>
              <w:top w:val="nil"/>
              <w:left w:val="nil"/>
              <w:bottom w:val="nil"/>
              <w:right w:val="single" w:sz="4" w:space="0" w:color="auto"/>
            </w:tcBorders>
            <w:shd w:val="clear" w:color="auto" w:fill="auto"/>
            <w:noWrap/>
            <w:vAlign w:val="center"/>
            <w:hideMark/>
          </w:tcPr>
          <w:p w14:paraId="63F3C0CB"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7.1</w:t>
            </w:r>
          </w:p>
        </w:tc>
      </w:tr>
      <w:tr w:rsidR="00D332E3" w:rsidRPr="004C1888" w14:paraId="2621EFAC" w14:textId="77777777" w:rsidTr="00D332E3">
        <w:trPr>
          <w:gridAfter w:val="1"/>
          <w:wAfter w:w="6" w:type="dxa"/>
          <w:trHeight w:val="279"/>
        </w:trPr>
        <w:tc>
          <w:tcPr>
            <w:tcW w:w="1696" w:type="dxa"/>
            <w:tcBorders>
              <w:top w:val="nil"/>
              <w:left w:val="single" w:sz="4" w:space="0" w:color="auto"/>
              <w:bottom w:val="nil"/>
              <w:right w:val="nil"/>
            </w:tcBorders>
            <w:shd w:val="clear" w:color="auto" w:fill="auto"/>
            <w:noWrap/>
            <w:vAlign w:val="center"/>
            <w:hideMark/>
          </w:tcPr>
          <w:p w14:paraId="19938B1E" w14:textId="77777777" w:rsidR="00D332E3" w:rsidRPr="004C1888" w:rsidRDefault="00D332E3" w:rsidP="003A0362">
            <w:pPr>
              <w:rPr>
                <w:rFonts w:ascii="Arial" w:eastAsia="Times New Roman" w:hAnsi="Arial" w:cs="Arial"/>
                <w:sz w:val="18"/>
                <w:szCs w:val="18"/>
              </w:rPr>
            </w:pPr>
            <w:r w:rsidRPr="004C1888">
              <w:rPr>
                <w:rFonts w:ascii="Arial" w:eastAsia="Times New Roman" w:hAnsi="Arial" w:cs="Arial"/>
                <w:sz w:val="18"/>
                <w:szCs w:val="18"/>
              </w:rPr>
              <w:t>Vacaciones</w:t>
            </w:r>
          </w:p>
        </w:tc>
        <w:tc>
          <w:tcPr>
            <w:tcW w:w="1843" w:type="dxa"/>
            <w:tcBorders>
              <w:top w:val="nil"/>
              <w:left w:val="single" w:sz="4" w:space="0" w:color="auto"/>
              <w:bottom w:val="nil"/>
              <w:right w:val="single" w:sz="4" w:space="0" w:color="auto"/>
            </w:tcBorders>
            <w:shd w:val="clear" w:color="auto" w:fill="auto"/>
            <w:noWrap/>
            <w:vAlign w:val="center"/>
            <w:hideMark/>
          </w:tcPr>
          <w:p w14:paraId="4C4CC155"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30.9</w:t>
            </w:r>
          </w:p>
        </w:tc>
        <w:tc>
          <w:tcPr>
            <w:tcW w:w="1848" w:type="dxa"/>
            <w:tcBorders>
              <w:top w:val="nil"/>
              <w:left w:val="nil"/>
              <w:bottom w:val="nil"/>
              <w:right w:val="single" w:sz="4" w:space="0" w:color="auto"/>
            </w:tcBorders>
            <w:shd w:val="clear" w:color="auto" w:fill="auto"/>
            <w:noWrap/>
            <w:vAlign w:val="center"/>
            <w:hideMark/>
          </w:tcPr>
          <w:p w14:paraId="37A1C600"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73.4</w:t>
            </w:r>
          </w:p>
        </w:tc>
        <w:tc>
          <w:tcPr>
            <w:tcW w:w="1838" w:type="dxa"/>
            <w:tcBorders>
              <w:top w:val="nil"/>
              <w:left w:val="nil"/>
              <w:bottom w:val="nil"/>
              <w:right w:val="single" w:sz="4" w:space="0" w:color="auto"/>
            </w:tcBorders>
            <w:shd w:val="clear" w:color="auto" w:fill="auto"/>
            <w:noWrap/>
            <w:vAlign w:val="center"/>
            <w:hideMark/>
          </w:tcPr>
          <w:p w14:paraId="5435CBF6"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30.5</w:t>
            </w:r>
          </w:p>
        </w:tc>
        <w:tc>
          <w:tcPr>
            <w:tcW w:w="1843" w:type="dxa"/>
            <w:tcBorders>
              <w:top w:val="nil"/>
              <w:left w:val="nil"/>
              <w:bottom w:val="nil"/>
              <w:right w:val="single" w:sz="4" w:space="0" w:color="auto"/>
            </w:tcBorders>
            <w:shd w:val="clear" w:color="auto" w:fill="auto"/>
            <w:noWrap/>
            <w:vAlign w:val="center"/>
            <w:hideMark/>
          </w:tcPr>
          <w:p w14:paraId="2EDE6DAA"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78.0</w:t>
            </w:r>
          </w:p>
        </w:tc>
      </w:tr>
      <w:tr w:rsidR="00D332E3" w:rsidRPr="004C1888" w14:paraId="780E43D0" w14:textId="77777777" w:rsidTr="00D332E3">
        <w:trPr>
          <w:gridAfter w:val="1"/>
          <w:wAfter w:w="6" w:type="dxa"/>
          <w:trHeight w:val="283"/>
        </w:trPr>
        <w:tc>
          <w:tcPr>
            <w:tcW w:w="1696" w:type="dxa"/>
            <w:tcBorders>
              <w:top w:val="nil"/>
              <w:left w:val="single" w:sz="4" w:space="0" w:color="auto"/>
              <w:bottom w:val="nil"/>
              <w:right w:val="nil"/>
            </w:tcBorders>
            <w:shd w:val="clear" w:color="auto" w:fill="auto"/>
            <w:noWrap/>
            <w:vAlign w:val="center"/>
            <w:hideMark/>
          </w:tcPr>
          <w:p w14:paraId="7EF455F3" w14:textId="77777777" w:rsidR="00D332E3" w:rsidRPr="004C1888" w:rsidRDefault="00D332E3" w:rsidP="003A0362">
            <w:pPr>
              <w:rPr>
                <w:rFonts w:ascii="Arial" w:eastAsia="Times New Roman" w:hAnsi="Arial" w:cs="Arial"/>
                <w:sz w:val="18"/>
                <w:szCs w:val="18"/>
              </w:rPr>
            </w:pPr>
            <w:r w:rsidRPr="004C1888">
              <w:rPr>
                <w:rFonts w:ascii="Arial" w:eastAsia="Times New Roman" w:hAnsi="Arial" w:cs="Arial"/>
                <w:sz w:val="18"/>
                <w:szCs w:val="18"/>
              </w:rPr>
              <w:t xml:space="preserve">Otros </w:t>
            </w:r>
          </w:p>
        </w:tc>
        <w:tc>
          <w:tcPr>
            <w:tcW w:w="1843" w:type="dxa"/>
            <w:tcBorders>
              <w:top w:val="nil"/>
              <w:left w:val="single" w:sz="4" w:space="0" w:color="auto"/>
              <w:bottom w:val="nil"/>
              <w:right w:val="single" w:sz="4" w:space="0" w:color="auto"/>
            </w:tcBorders>
            <w:shd w:val="clear" w:color="auto" w:fill="auto"/>
            <w:noWrap/>
            <w:vAlign w:val="center"/>
            <w:hideMark/>
          </w:tcPr>
          <w:p w14:paraId="7E923B84"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39.9</w:t>
            </w:r>
          </w:p>
        </w:tc>
        <w:tc>
          <w:tcPr>
            <w:tcW w:w="1848" w:type="dxa"/>
            <w:tcBorders>
              <w:top w:val="nil"/>
              <w:left w:val="nil"/>
              <w:bottom w:val="nil"/>
              <w:right w:val="single" w:sz="4" w:space="0" w:color="auto"/>
            </w:tcBorders>
            <w:shd w:val="clear" w:color="auto" w:fill="auto"/>
            <w:noWrap/>
            <w:vAlign w:val="center"/>
            <w:hideMark/>
          </w:tcPr>
          <w:p w14:paraId="4B023B0D"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14.6</w:t>
            </w:r>
          </w:p>
        </w:tc>
        <w:tc>
          <w:tcPr>
            <w:tcW w:w="1838" w:type="dxa"/>
            <w:tcBorders>
              <w:top w:val="nil"/>
              <w:left w:val="nil"/>
              <w:bottom w:val="nil"/>
              <w:right w:val="single" w:sz="4" w:space="0" w:color="auto"/>
            </w:tcBorders>
            <w:shd w:val="clear" w:color="auto" w:fill="auto"/>
            <w:noWrap/>
            <w:vAlign w:val="center"/>
            <w:hideMark/>
          </w:tcPr>
          <w:p w14:paraId="2FA0448E"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44.3</w:t>
            </w:r>
          </w:p>
        </w:tc>
        <w:tc>
          <w:tcPr>
            <w:tcW w:w="1843" w:type="dxa"/>
            <w:tcBorders>
              <w:top w:val="nil"/>
              <w:left w:val="nil"/>
              <w:bottom w:val="nil"/>
              <w:right w:val="single" w:sz="4" w:space="0" w:color="auto"/>
            </w:tcBorders>
            <w:shd w:val="clear" w:color="auto" w:fill="auto"/>
            <w:noWrap/>
            <w:vAlign w:val="center"/>
            <w:hideMark/>
          </w:tcPr>
          <w:p w14:paraId="3272C577"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7.4</w:t>
            </w:r>
          </w:p>
        </w:tc>
      </w:tr>
      <w:tr w:rsidR="00D332E3" w:rsidRPr="004C1888" w14:paraId="24AD71BA" w14:textId="77777777" w:rsidTr="00D332E3">
        <w:trPr>
          <w:gridAfter w:val="1"/>
          <w:wAfter w:w="6" w:type="dxa"/>
          <w:trHeight w:val="279"/>
        </w:trPr>
        <w:tc>
          <w:tcPr>
            <w:tcW w:w="1696" w:type="dxa"/>
            <w:tcBorders>
              <w:top w:val="nil"/>
              <w:left w:val="single" w:sz="4" w:space="0" w:color="auto"/>
              <w:bottom w:val="nil"/>
              <w:right w:val="nil"/>
            </w:tcBorders>
            <w:shd w:val="clear" w:color="auto" w:fill="auto"/>
            <w:noWrap/>
            <w:vAlign w:val="center"/>
            <w:hideMark/>
          </w:tcPr>
          <w:p w14:paraId="564C7DBE" w14:textId="77777777" w:rsidR="00D332E3" w:rsidRPr="004C1888" w:rsidRDefault="00D332E3" w:rsidP="003A0362">
            <w:pPr>
              <w:rPr>
                <w:rFonts w:ascii="Arial" w:eastAsia="Times New Roman" w:hAnsi="Arial" w:cs="Arial"/>
                <w:sz w:val="18"/>
                <w:szCs w:val="18"/>
              </w:rPr>
            </w:pPr>
            <w:r w:rsidRPr="004C1888">
              <w:rPr>
                <w:rFonts w:ascii="Arial" w:eastAsia="Times New Roman" w:hAnsi="Arial" w:cs="Arial"/>
                <w:sz w:val="18"/>
                <w:szCs w:val="18"/>
              </w:rPr>
              <w:t>Excursionistas</w:t>
            </w:r>
          </w:p>
        </w:tc>
        <w:tc>
          <w:tcPr>
            <w:tcW w:w="1843" w:type="dxa"/>
            <w:tcBorders>
              <w:top w:val="nil"/>
              <w:left w:val="single" w:sz="4" w:space="0" w:color="auto"/>
              <w:bottom w:val="nil"/>
              <w:right w:val="single" w:sz="4" w:space="0" w:color="auto"/>
            </w:tcBorders>
            <w:shd w:val="clear" w:color="auto" w:fill="auto"/>
            <w:noWrap/>
            <w:vAlign w:val="center"/>
            <w:hideMark/>
          </w:tcPr>
          <w:p w14:paraId="4F80D38A"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12.3</w:t>
            </w:r>
          </w:p>
        </w:tc>
        <w:tc>
          <w:tcPr>
            <w:tcW w:w="1848" w:type="dxa"/>
            <w:tcBorders>
              <w:top w:val="nil"/>
              <w:left w:val="nil"/>
              <w:bottom w:val="nil"/>
              <w:right w:val="single" w:sz="4" w:space="0" w:color="auto"/>
            </w:tcBorders>
            <w:shd w:val="clear" w:color="auto" w:fill="auto"/>
            <w:noWrap/>
            <w:vAlign w:val="center"/>
            <w:hideMark/>
          </w:tcPr>
          <w:p w14:paraId="1C403618"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7.2</w:t>
            </w:r>
          </w:p>
        </w:tc>
        <w:tc>
          <w:tcPr>
            <w:tcW w:w="1838" w:type="dxa"/>
            <w:tcBorders>
              <w:top w:val="nil"/>
              <w:left w:val="nil"/>
              <w:bottom w:val="nil"/>
              <w:right w:val="single" w:sz="4" w:space="0" w:color="auto"/>
            </w:tcBorders>
            <w:shd w:val="clear" w:color="auto" w:fill="auto"/>
            <w:noWrap/>
            <w:vAlign w:val="center"/>
            <w:hideMark/>
          </w:tcPr>
          <w:p w14:paraId="6667EBD7"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12.4</w:t>
            </w:r>
          </w:p>
        </w:tc>
        <w:tc>
          <w:tcPr>
            <w:tcW w:w="1843" w:type="dxa"/>
            <w:tcBorders>
              <w:top w:val="nil"/>
              <w:left w:val="nil"/>
              <w:bottom w:val="nil"/>
              <w:right w:val="single" w:sz="4" w:space="0" w:color="auto"/>
            </w:tcBorders>
            <w:shd w:val="clear" w:color="auto" w:fill="auto"/>
            <w:noWrap/>
            <w:vAlign w:val="center"/>
            <w:hideMark/>
          </w:tcPr>
          <w:p w14:paraId="3BCF8EFE"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7.5</w:t>
            </w:r>
          </w:p>
        </w:tc>
      </w:tr>
      <w:tr w:rsidR="00D332E3" w:rsidRPr="004C1888" w14:paraId="145CFD6D" w14:textId="77777777" w:rsidTr="00D332E3">
        <w:trPr>
          <w:gridAfter w:val="1"/>
          <w:wAfter w:w="6" w:type="dxa"/>
          <w:trHeight w:val="213"/>
        </w:trPr>
        <w:tc>
          <w:tcPr>
            <w:tcW w:w="1696" w:type="dxa"/>
            <w:tcBorders>
              <w:top w:val="nil"/>
              <w:left w:val="single" w:sz="4" w:space="0" w:color="auto"/>
              <w:bottom w:val="single" w:sz="4" w:space="0" w:color="auto"/>
              <w:right w:val="nil"/>
            </w:tcBorders>
            <w:shd w:val="clear" w:color="auto" w:fill="auto"/>
            <w:noWrap/>
            <w:vAlign w:val="center"/>
            <w:hideMark/>
          </w:tcPr>
          <w:p w14:paraId="2CF0C30A" w14:textId="77777777" w:rsidR="00D332E3" w:rsidRPr="004C1888" w:rsidRDefault="00D332E3" w:rsidP="003A0362">
            <w:pPr>
              <w:rPr>
                <w:rFonts w:ascii="Arial" w:eastAsia="Times New Roman" w:hAnsi="Arial" w:cs="Arial"/>
                <w:sz w:val="18"/>
                <w:szCs w:val="18"/>
              </w:rPr>
            </w:pPr>
            <w:r w:rsidRPr="004C1888">
              <w:rPr>
                <w:rFonts w:ascii="Arial" w:eastAsia="Times New Roman" w:hAnsi="Arial" w:cs="Arial"/>
                <w:sz w:val="18"/>
                <w:szCs w:val="18"/>
              </w:rPr>
              <w:t>Gastos previos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B7721A3"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11.4</w:t>
            </w:r>
          </w:p>
        </w:tc>
        <w:tc>
          <w:tcPr>
            <w:tcW w:w="1848" w:type="dxa"/>
            <w:tcBorders>
              <w:top w:val="nil"/>
              <w:left w:val="nil"/>
              <w:bottom w:val="single" w:sz="4" w:space="0" w:color="auto"/>
              <w:right w:val="single" w:sz="4" w:space="0" w:color="auto"/>
            </w:tcBorders>
            <w:shd w:val="clear" w:color="auto" w:fill="auto"/>
            <w:noWrap/>
            <w:vAlign w:val="center"/>
            <w:hideMark/>
          </w:tcPr>
          <w:p w14:paraId="14523D3D"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 </w:t>
            </w:r>
          </w:p>
        </w:tc>
        <w:tc>
          <w:tcPr>
            <w:tcW w:w="1838" w:type="dxa"/>
            <w:tcBorders>
              <w:top w:val="nil"/>
              <w:left w:val="nil"/>
              <w:bottom w:val="single" w:sz="4" w:space="0" w:color="auto"/>
              <w:right w:val="single" w:sz="4" w:space="0" w:color="auto"/>
            </w:tcBorders>
            <w:shd w:val="clear" w:color="auto" w:fill="auto"/>
            <w:noWrap/>
            <w:vAlign w:val="center"/>
            <w:hideMark/>
          </w:tcPr>
          <w:p w14:paraId="32040A87"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7.4</w:t>
            </w:r>
          </w:p>
        </w:tc>
        <w:tc>
          <w:tcPr>
            <w:tcW w:w="1843" w:type="dxa"/>
            <w:tcBorders>
              <w:top w:val="nil"/>
              <w:left w:val="nil"/>
              <w:bottom w:val="single" w:sz="4" w:space="0" w:color="auto"/>
              <w:right w:val="single" w:sz="4" w:space="0" w:color="auto"/>
            </w:tcBorders>
            <w:shd w:val="clear" w:color="auto" w:fill="auto"/>
            <w:noWrap/>
            <w:vAlign w:val="center"/>
            <w:hideMark/>
          </w:tcPr>
          <w:p w14:paraId="6014ADD0" w14:textId="77777777" w:rsidR="00D332E3" w:rsidRPr="004C1888" w:rsidRDefault="00D332E3" w:rsidP="003A0362">
            <w:pPr>
              <w:jc w:val="center"/>
              <w:rPr>
                <w:rFonts w:ascii="Arial" w:eastAsia="Times New Roman" w:hAnsi="Arial" w:cs="Arial"/>
                <w:sz w:val="18"/>
                <w:szCs w:val="18"/>
              </w:rPr>
            </w:pPr>
            <w:r w:rsidRPr="004C1888">
              <w:rPr>
                <w:rFonts w:ascii="Arial" w:eastAsia="Times New Roman" w:hAnsi="Arial" w:cs="Arial"/>
                <w:sz w:val="18"/>
                <w:szCs w:val="18"/>
              </w:rPr>
              <w:t> </w:t>
            </w:r>
          </w:p>
        </w:tc>
      </w:tr>
    </w:tbl>
    <w:p w14:paraId="1AE0CF9F" w14:textId="77777777" w:rsidR="008E3F73" w:rsidRDefault="00225277" w:rsidP="00D332E3">
      <w:pPr>
        <w:pStyle w:val="Textoindependiente"/>
        <w:rPr>
          <w:sz w:val="16"/>
          <w:szCs w:val="16"/>
        </w:rPr>
      </w:pPr>
      <w:r>
        <w:rPr>
          <w:sz w:val="16"/>
          <w:szCs w:val="16"/>
        </w:rPr>
        <w:t xml:space="preserve">NOTA: La suma de los valores puede no coincidir con el total debido al redondeo. </w:t>
      </w:r>
    </w:p>
    <w:p w14:paraId="1ACB5657" w14:textId="0C31684B" w:rsidR="00225277" w:rsidRDefault="00225277" w:rsidP="00D332E3">
      <w:pPr>
        <w:pStyle w:val="Textoindependiente"/>
        <w:rPr>
          <w:rFonts w:ascii="Arial" w:eastAsiaTheme="minorHAnsi" w:hAnsi="Arial" w:cs="Arial"/>
          <w:color w:val="000000"/>
          <w:sz w:val="16"/>
          <w:szCs w:val="16"/>
          <w:lang w:val="es-MX" w:eastAsia="en-US"/>
        </w:rPr>
      </w:pPr>
      <w:r w:rsidRPr="00C32F5B">
        <w:rPr>
          <w:rFonts w:ascii="Arial" w:eastAsiaTheme="minorHAnsi" w:hAnsi="Arial" w:cs="Arial"/>
          <w:color w:val="000000"/>
          <w:sz w:val="16"/>
          <w:szCs w:val="16"/>
          <w:lang w:val="es-MX" w:eastAsia="en-US"/>
        </w:rPr>
        <w:t>Fuente: INEGI</w:t>
      </w:r>
    </w:p>
    <w:p w14:paraId="6899F64A" w14:textId="09924B7A" w:rsidR="00B52782" w:rsidRPr="00022CD2" w:rsidRDefault="00225277" w:rsidP="00520DDB">
      <w:pPr>
        <w:spacing w:before="240" w:after="160"/>
        <w:ind w:left="-567" w:right="-518"/>
        <w:jc w:val="both"/>
        <w:rPr>
          <w:rFonts w:ascii="Arial" w:hAnsi="Arial" w:cs="Arial"/>
        </w:rPr>
      </w:pPr>
      <w:r w:rsidRPr="00022CD2">
        <w:rPr>
          <w:rFonts w:ascii="Arial" w:hAnsi="Arial" w:cs="Arial"/>
        </w:rPr>
        <w:t xml:space="preserve">La Cuenta Satélite del Turismo proporciona una desagregación del </w:t>
      </w:r>
      <w:r w:rsidR="007C1DB3" w:rsidRPr="00022CD2">
        <w:rPr>
          <w:rFonts w:ascii="Arial" w:hAnsi="Arial" w:cs="Arial"/>
          <w:i/>
          <w:iCs/>
        </w:rPr>
        <w:t>C</w:t>
      </w:r>
      <w:r w:rsidRPr="00022CD2">
        <w:rPr>
          <w:rFonts w:ascii="Arial" w:hAnsi="Arial" w:cs="Arial"/>
          <w:i/>
          <w:iCs/>
        </w:rPr>
        <w:t xml:space="preserve">onsumo </w:t>
      </w:r>
      <w:r w:rsidR="007C1DB3" w:rsidRPr="00022CD2">
        <w:rPr>
          <w:rFonts w:ascii="Arial" w:hAnsi="Arial" w:cs="Arial"/>
          <w:i/>
          <w:iCs/>
        </w:rPr>
        <w:t>T</w:t>
      </w:r>
      <w:r w:rsidRPr="00022CD2">
        <w:rPr>
          <w:rFonts w:ascii="Arial" w:hAnsi="Arial" w:cs="Arial"/>
          <w:i/>
          <w:iCs/>
        </w:rPr>
        <w:t xml:space="preserve">urístico </w:t>
      </w:r>
      <w:r w:rsidR="007C1DB3" w:rsidRPr="00022CD2">
        <w:rPr>
          <w:rFonts w:ascii="Arial" w:hAnsi="Arial" w:cs="Arial"/>
          <w:i/>
          <w:iCs/>
        </w:rPr>
        <w:t>I</w:t>
      </w:r>
      <w:r w:rsidRPr="00022CD2">
        <w:rPr>
          <w:rFonts w:ascii="Arial" w:hAnsi="Arial" w:cs="Arial"/>
          <w:i/>
          <w:iCs/>
        </w:rPr>
        <w:t>nterior</w:t>
      </w:r>
      <w:r w:rsidRPr="00022CD2">
        <w:rPr>
          <w:rFonts w:ascii="Arial" w:hAnsi="Arial" w:cs="Arial"/>
        </w:rPr>
        <w:t xml:space="preserve"> que permite </w:t>
      </w:r>
      <w:r w:rsidR="001B5F7A">
        <w:rPr>
          <w:rFonts w:ascii="Arial" w:hAnsi="Arial" w:cs="Arial"/>
        </w:rPr>
        <w:t>identificar</w:t>
      </w:r>
      <w:r w:rsidRPr="00022CD2">
        <w:rPr>
          <w:rFonts w:ascii="Arial" w:hAnsi="Arial" w:cs="Arial"/>
        </w:rPr>
        <w:t xml:space="preserve"> </w:t>
      </w:r>
      <w:r w:rsidR="001B5F7A">
        <w:rPr>
          <w:rFonts w:ascii="Arial" w:hAnsi="Arial" w:cs="Arial"/>
        </w:rPr>
        <w:t xml:space="preserve">la distribución de </w:t>
      </w:r>
      <w:r w:rsidRPr="00022CD2">
        <w:rPr>
          <w:rFonts w:ascii="Arial" w:hAnsi="Arial" w:cs="Arial"/>
        </w:rPr>
        <w:t xml:space="preserve">los gastos que destinaron los turistas a diversas </w:t>
      </w:r>
      <w:r w:rsidR="00302DFC">
        <w:rPr>
          <w:rFonts w:ascii="Arial" w:hAnsi="Arial" w:cs="Arial"/>
        </w:rPr>
        <w:t>finalidades</w:t>
      </w:r>
      <w:r w:rsidRPr="00022CD2">
        <w:rPr>
          <w:rFonts w:ascii="Arial" w:hAnsi="Arial" w:cs="Arial"/>
        </w:rPr>
        <w:t>: servicios de transporte 2</w:t>
      </w:r>
      <w:r w:rsidR="00022CD2" w:rsidRPr="00022CD2">
        <w:rPr>
          <w:rFonts w:ascii="Arial" w:hAnsi="Arial" w:cs="Arial"/>
        </w:rPr>
        <w:t>0.2</w:t>
      </w:r>
      <w:r w:rsidRPr="00022CD2">
        <w:rPr>
          <w:rFonts w:ascii="Arial" w:hAnsi="Arial" w:cs="Arial"/>
        </w:rPr>
        <w:t xml:space="preserve">%; </w:t>
      </w:r>
      <w:r w:rsidRPr="002B1EA5">
        <w:rPr>
          <w:rFonts w:ascii="Arial" w:hAnsi="Arial" w:cs="Arial"/>
        </w:rPr>
        <w:t>alojamiento, electricidad, gas, agua y otros combustibles (alquiler, mantenimiento y reparación</w:t>
      </w:r>
      <w:r w:rsidR="001B5F7A" w:rsidRPr="002B1EA5">
        <w:rPr>
          <w:rFonts w:ascii="Arial" w:hAnsi="Arial" w:cs="Arial"/>
        </w:rPr>
        <w:t xml:space="preserve"> del alojamiento</w:t>
      </w:r>
      <w:r w:rsidRPr="002B1EA5">
        <w:rPr>
          <w:rFonts w:ascii="Arial" w:hAnsi="Arial" w:cs="Arial"/>
        </w:rPr>
        <w:t>) 2</w:t>
      </w:r>
      <w:r w:rsidR="00022CD2" w:rsidRPr="002B1EA5">
        <w:rPr>
          <w:rFonts w:ascii="Arial" w:hAnsi="Arial" w:cs="Arial"/>
        </w:rPr>
        <w:t>8.9</w:t>
      </w:r>
      <w:r w:rsidRPr="002B1EA5">
        <w:rPr>
          <w:rFonts w:ascii="Arial" w:hAnsi="Arial" w:cs="Arial"/>
        </w:rPr>
        <w:t>%; restaurantes y hoteles 1</w:t>
      </w:r>
      <w:r w:rsidR="00022CD2" w:rsidRPr="002B1EA5">
        <w:rPr>
          <w:rFonts w:ascii="Arial" w:hAnsi="Arial" w:cs="Arial"/>
        </w:rPr>
        <w:t>7.4</w:t>
      </w:r>
      <w:r w:rsidRPr="002B1EA5">
        <w:rPr>
          <w:rFonts w:ascii="Arial" w:hAnsi="Arial" w:cs="Arial"/>
        </w:rPr>
        <w:t>%; alimentos y bebidas</w:t>
      </w:r>
      <w:r w:rsidRPr="00022CD2">
        <w:rPr>
          <w:rFonts w:ascii="Arial" w:hAnsi="Arial" w:cs="Arial"/>
        </w:rPr>
        <w:t xml:space="preserve"> no alcohólicas 1</w:t>
      </w:r>
      <w:r w:rsidR="00022CD2" w:rsidRPr="00022CD2">
        <w:rPr>
          <w:rFonts w:ascii="Arial" w:hAnsi="Arial" w:cs="Arial"/>
        </w:rPr>
        <w:t>2.0</w:t>
      </w:r>
      <w:r w:rsidRPr="00022CD2">
        <w:rPr>
          <w:rFonts w:ascii="Arial" w:hAnsi="Arial" w:cs="Arial"/>
        </w:rPr>
        <w:t>%; recreación y cultura 1</w:t>
      </w:r>
      <w:r w:rsidR="00022CD2" w:rsidRPr="00022CD2">
        <w:rPr>
          <w:rFonts w:ascii="Arial" w:hAnsi="Arial" w:cs="Arial"/>
        </w:rPr>
        <w:t>1.2</w:t>
      </w:r>
      <w:r w:rsidRPr="00022CD2">
        <w:rPr>
          <w:rFonts w:ascii="Arial" w:hAnsi="Arial" w:cs="Arial"/>
        </w:rPr>
        <w:t>%; adquisición de bienes y servicios diversos (artesanías, cuidados y efectos personales, etc</w:t>
      </w:r>
      <w:r w:rsidR="001B5F7A">
        <w:rPr>
          <w:rFonts w:ascii="Arial" w:hAnsi="Arial" w:cs="Arial"/>
        </w:rPr>
        <w:t>étera</w:t>
      </w:r>
      <w:r w:rsidRPr="00022CD2">
        <w:rPr>
          <w:rFonts w:ascii="Arial" w:hAnsi="Arial" w:cs="Arial"/>
        </w:rPr>
        <w:t>) 6.</w:t>
      </w:r>
      <w:r w:rsidR="00022CD2" w:rsidRPr="00022CD2">
        <w:rPr>
          <w:rFonts w:ascii="Arial" w:hAnsi="Arial" w:cs="Arial"/>
        </w:rPr>
        <w:t>8</w:t>
      </w:r>
      <w:r w:rsidRPr="00022CD2">
        <w:rPr>
          <w:rFonts w:ascii="Arial" w:hAnsi="Arial" w:cs="Arial"/>
        </w:rPr>
        <w:t xml:space="preserve">%; sanidad, incluidos los productos medicinales y farmacéuticos, servicios médicos y paramédicos no hospitalarios y servicios hospitalarios </w:t>
      </w:r>
      <w:r w:rsidR="00022CD2" w:rsidRPr="00022CD2">
        <w:rPr>
          <w:rFonts w:ascii="Arial" w:hAnsi="Arial" w:cs="Arial"/>
        </w:rPr>
        <w:t>2.4</w:t>
      </w:r>
      <w:r w:rsidRPr="00022CD2">
        <w:rPr>
          <w:rFonts w:ascii="Arial" w:hAnsi="Arial" w:cs="Arial"/>
        </w:rPr>
        <w:t>%, y en las relacionadas con el vestido y el calzado 1.</w:t>
      </w:r>
      <w:r w:rsidR="00022CD2" w:rsidRPr="00022CD2">
        <w:rPr>
          <w:rFonts w:ascii="Arial" w:hAnsi="Arial" w:cs="Arial"/>
        </w:rPr>
        <w:t>1</w:t>
      </w:r>
      <w:r w:rsidRPr="00022CD2">
        <w:rPr>
          <w:rFonts w:ascii="Arial" w:hAnsi="Arial" w:cs="Arial"/>
        </w:rPr>
        <w:t xml:space="preserve"> por ciento.</w:t>
      </w:r>
    </w:p>
    <w:p w14:paraId="2BCFF458" w14:textId="6643CACF" w:rsidR="00022CD2" w:rsidRPr="00022CD2" w:rsidRDefault="00022CD2" w:rsidP="00520DDB">
      <w:pPr>
        <w:spacing w:after="160"/>
        <w:ind w:left="-567" w:right="-518"/>
        <w:jc w:val="both"/>
        <w:rPr>
          <w:rFonts w:ascii="Arial" w:hAnsi="Arial" w:cs="Arial"/>
        </w:rPr>
      </w:pPr>
      <w:r w:rsidRPr="00022CD2">
        <w:rPr>
          <w:rFonts w:ascii="Arial" w:hAnsi="Arial" w:cs="Arial"/>
        </w:rPr>
        <w:t>Respecto al consumo turístico emisor</w:t>
      </w:r>
      <w:r w:rsidR="00FE780A">
        <w:rPr>
          <w:rFonts w:ascii="Arial" w:hAnsi="Arial" w:cs="Arial"/>
        </w:rPr>
        <w:t>,</w:t>
      </w:r>
      <w:r w:rsidRPr="00022CD2">
        <w:rPr>
          <w:rFonts w:ascii="Arial" w:hAnsi="Arial" w:cs="Arial"/>
        </w:rPr>
        <w:t xml:space="preserve"> en 20</w:t>
      </w:r>
      <w:r>
        <w:rPr>
          <w:rFonts w:ascii="Arial" w:hAnsi="Arial" w:cs="Arial"/>
        </w:rPr>
        <w:t>20</w:t>
      </w:r>
      <w:r w:rsidRPr="00022CD2">
        <w:rPr>
          <w:rFonts w:ascii="Arial" w:hAnsi="Arial" w:cs="Arial"/>
        </w:rPr>
        <w:t>, de los residentes que visitaron el extranjero</w:t>
      </w:r>
      <w:r w:rsidR="001B5F7A">
        <w:rPr>
          <w:rFonts w:ascii="Arial" w:hAnsi="Arial" w:cs="Arial"/>
        </w:rPr>
        <w:t>,</w:t>
      </w:r>
      <w:r w:rsidRPr="00022CD2">
        <w:rPr>
          <w:rFonts w:ascii="Arial" w:hAnsi="Arial" w:cs="Arial"/>
        </w:rPr>
        <w:t xml:space="preserve"> el </w:t>
      </w:r>
      <w:r w:rsidR="00CD21D4">
        <w:rPr>
          <w:rFonts w:ascii="Arial" w:hAnsi="Arial" w:cs="Arial"/>
        </w:rPr>
        <w:t>27.0</w:t>
      </w:r>
      <w:r w:rsidRPr="00022CD2">
        <w:rPr>
          <w:rFonts w:ascii="Arial" w:hAnsi="Arial" w:cs="Arial"/>
        </w:rPr>
        <w:t>% del gasto lo hicieron principalmente como vacacionistas; 2</w:t>
      </w:r>
      <w:r w:rsidR="00CD21D4">
        <w:rPr>
          <w:rFonts w:ascii="Arial" w:hAnsi="Arial" w:cs="Arial"/>
        </w:rPr>
        <w:t>3.4</w:t>
      </w:r>
      <w:r w:rsidRPr="00022CD2">
        <w:rPr>
          <w:rFonts w:ascii="Arial" w:hAnsi="Arial" w:cs="Arial"/>
        </w:rPr>
        <w:t xml:space="preserve">% por “otros motivos de viaje”; </w:t>
      </w:r>
      <w:r w:rsidR="00CD21D4">
        <w:rPr>
          <w:rFonts w:ascii="Arial" w:hAnsi="Arial" w:cs="Arial"/>
        </w:rPr>
        <w:t>31.5</w:t>
      </w:r>
      <w:r w:rsidRPr="00022CD2">
        <w:rPr>
          <w:rFonts w:ascii="Arial" w:hAnsi="Arial" w:cs="Arial"/>
        </w:rPr>
        <w:t xml:space="preserve">% por excursión y </w:t>
      </w:r>
      <w:r w:rsidR="00CD21D4">
        <w:rPr>
          <w:rFonts w:ascii="Arial" w:hAnsi="Arial" w:cs="Arial"/>
        </w:rPr>
        <w:t>18.2</w:t>
      </w:r>
      <w:r w:rsidRPr="00022CD2">
        <w:rPr>
          <w:rFonts w:ascii="Arial" w:hAnsi="Arial" w:cs="Arial"/>
        </w:rPr>
        <w:t>% por viajes de negocios.</w:t>
      </w:r>
    </w:p>
    <w:p w14:paraId="073C5899" w14:textId="77777777" w:rsidR="00520DDB" w:rsidRDefault="00520DDB" w:rsidP="00520DDB">
      <w:pPr>
        <w:spacing w:before="240" w:after="160" w:line="259" w:lineRule="auto"/>
        <w:ind w:left="-567" w:right="-518"/>
        <w:rPr>
          <w:rFonts w:ascii="Arial" w:hAnsi="Arial" w:cs="Arial"/>
          <w:b/>
          <w:iCs/>
          <w:smallCaps/>
        </w:rPr>
      </w:pPr>
    </w:p>
    <w:p w14:paraId="22683B55" w14:textId="77777777" w:rsidR="00520DDB" w:rsidRDefault="00520DDB" w:rsidP="00520DDB">
      <w:pPr>
        <w:spacing w:before="240" w:after="160" w:line="259" w:lineRule="auto"/>
        <w:ind w:left="-567" w:right="-518"/>
        <w:rPr>
          <w:rFonts w:ascii="Arial" w:hAnsi="Arial" w:cs="Arial"/>
          <w:b/>
          <w:iCs/>
          <w:smallCaps/>
        </w:rPr>
      </w:pPr>
    </w:p>
    <w:p w14:paraId="0A50B9A1" w14:textId="311F8CC5" w:rsidR="00CD21D4" w:rsidRDefault="009A6DFA" w:rsidP="00520DDB">
      <w:pPr>
        <w:spacing w:before="240" w:after="160" w:line="259" w:lineRule="auto"/>
        <w:ind w:left="-567" w:right="-518"/>
        <w:rPr>
          <w:rFonts w:ascii="Arial" w:hAnsi="Arial" w:cs="Arial"/>
          <w:lang w:val="x-none" w:eastAsia="x-none"/>
        </w:rPr>
      </w:pPr>
      <w:r w:rsidRPr="00407D31">
        <w:rPr>
          <w:rFonts w:ascii="Arial" w:hAnsi="Arial" w:cs="Arial"/>
          <w:b/>
          <w:iCs/>
          <w:smallCaps/>
        </w:rPr>
        <w:lastRenderedPageBreak/>
        <w:t xml:space="preserve">Consumo Colectivo Turístico </w:t>
      </w:r>
    </w:p>
    <w:p w14:paraId="1FE0091D" w14:textId="30C0CAB9" w:rsidR="00407D31" w:rsidRPr="00CD21D4" w:rsidRDefault="009A6DFA" w:rsidP="00520DDB">
      <w:pPr>
        <w:spacing w:before="240" w:after="160"/>
        <w:ind w:left="-567" w:right="-518"/>
        <w:jc w:val="both"/>
        <w:rPr>
          <w:rFonts w:ascii="Arial" w:hAnsi="Arial" w:cs="Arial"/>
          <w:lang w:val="x-none" w:eastAsia="x-none"/>
        </w:rPr>
      </w:pPr>
      <w:r w:rsidRPr="009A6DFA">
        <w:rPr>
          <w:rFonts w:ascii="Arial" w:eastAsiaTheme="minorHAnsi" w:hAnsi="Arial" w:cs="Arial"/>
          <w:color w:val="000000"/>
          <w:lang w:eastAsia="en-US"/>
        </w:rPr>
        <w:t>El consumo colectivo turístico se conforma por el conjunto de servicios turísticos que proporciona el gobierno en sus distintos niveles y cuyo propósito es el de apoyar las actividades de promoción, reglamentación, orden y seguridad</w:t>
      </w:r>
      <w:r w:rsidR="00FE780A">
        <w:rPr>
          <w:rFonts w:ascii="Arial" w:eastAsiaTheme="minorHAnsi" w:hAnsi="Arial" w:cs="Arial"/>
          <w:color w:val="000000"/>
          <w:lang w:eastAsia="en-US"/>
        </w:rPr>
        <w:t>,</w:t>
      </w:r>
      <w:r w:rsidRPr="009A6DFA">
        <w:rPr>
          <w:rFonts w:ascii="Arial" w:eastAsiaTheme="minorHAnsi" w:hAnsi="Arial" w:cs="Arial"/>
          <w:color w:val="000000"/>
          <w:lang w:eastAsia="en-US"/>
        </w:rPr>
        <w:t xml:space="preserve"> a visitantes nacionales y extranjeros, fundamentalmente. </w:t>
      </w:r>
    </w:p>
    <w:p w14:paraId="3A82104A" w14:textId="55574510" w:rsidR="00CD21D4" w:rsidRDefault="009A6DFA" w:rsidP="00520DDB">
      <w:pPr>
        <w:spacing w:before="240" w:after="160"/>
        <w:ind w:left="-567" w:right="-518"/>
        <w:jc w:val="both"/>
        <w:rPr>
          <w:rFonts w:ascii="Arial" w:eastAsiaTheme="minorHAnsi" w:hAnsi="Arial" w:cs="Arial"/>
          <w:color w:val="000000"/>
          <w:lang w:eastAsia="en-US"/>
        </w:rPr>
      </w:pPr>
      <w:r w:rsidRPr="008B6DD0">
        <w:rPr>
          <w:rFonts w:ascii="Arial" w:eastAsiaTheme="minorHAnsi" w:hAnsi="Arial" w:cs="Arial"/>
          <w:color w:val="000000"/>
          <w:lang w:eastAsia="en-US"/>
        </w:rPr>
        <w:t>Así, en 20</w:t>
      </w:r>
      <w:r w:rsidR="00407D31" w:rsidRPr="008B6DD0">
        <w:rPr>
          <w:rFonts w:ascii="Arial" w:eastAsiaTheme="minorHAnsi" w:hAnsi="Arial" w:cs="Arial"/>
          <w:color w:val="000000"/>
          <w:lang w:eastAsia="en-US"/>
        </w:rPr>
        <w:t>20</w:t>
      </w:r>
      <w:r w:rsidR="00FE780A" w:rsidRPr="008B6DD0">
        <w:rPr>
          <w:rFonts w:ascii="Arial" w:eastAsiaTheme="minorHAnsi" w:hAnsi="Arial" w:cs="Arial"/>
          <w:color w:val="000000"/>
          <w:lang w:eastAsia="en-US"/>
        </w:rPr>
        <w:t>,</w:t>
      </w:r>
      <w:r w:rsidRPr="008B6DD0">
        <w:rPr>
          <w:rFonts w:ascii="Arial" w:eastAsiaTheme="minorHAnsi" w:hAnsi="Arial" w:cs="Arial"/>
          <w:color w:val="000000"/>
          <w:lang w:eastAsia="en-US"/>
        </w:rPr>
        <w:t xml:space="preserve"> este gasto ejercido a precios corrientes constituyó </w:t>
      </w:r>
      <w:r w:rsidR="00325ABC" w:rsidRPr="008B6DD0">
        <w:rPr>
          <w:rFonts w:ascii="Arial" w:eastAsiaTheme="minorHAnsi" w:hAnsi="Arial" w:cs="Arial"/>
          <w:color w:val="000000"/>
          <w:lang w:eastAsia="en-US"/>
        </w:rPr>
        <w:t>3.2</w:t>
      </w:r>
      <w:r w:rsidRPr="008B6DD0">
        <w:rPr>
          <w:rFonts w:ascii="Arial" w:eastAsiaTheme="minorHAnsi" w:hAnsi="Arial" w:cs="Arial"/>
          <w:color w:val="000000"/>
          <w:lang w:eastAsia="en-US"/>
        </w:rPr>
        <w:t xml:space="preserve">% del consumo total del </w:t>
      </w:r>
      <w:r w:rsidR="00520DDB">
        <w:rPr>
          <w:rFonts w:ascii="Arial" w:eastAsiaTheme="minorHAnsi" w:hAnsi="Arial" w:cs="Arial"/>
          <w:color w:val="000000"/>
          <w:lang w:eastAsia="en-US"/>
        </w:rPr>
        <w:t>g</w:t>
      </w:r>
      <w:r w:rsidRPr="008B6DD0">
        <w:rPr>
          <w:rFonts w:ascii="Arial" w:eastAsiaTheme="minorHAnsi" w:hAnsi="Arial" w:cs="Arial"/>
          <w:color w:val="000000"/>
          <w:lang w:eastAsia="en-US"/>
        </w:rPr>
        <w:t xml:space="preserve">obierno, lo que se traduce en </w:t>
      </w:r>
      <w:r w:rsidR="00325ABC" w:rsidRPr="008B6DD0">
        <w:rPr>
          <w:rFonts w:ascii="Arial" w:eastAsiaTheme="minorHAnsi" w:hAnsi="Arial" w:cs="Arial"/>
          <w:color w:val="000000"/>
          <w:lang w:eastAsia="en-US"/>
        </w:rPr>
        <w:t>94</w:t>
      </w:r>
      <w:r w:rsidR="00520DDB">
        <w:rPr>
          <w:rFonts w:ascii="Arial" w:eastAsiaTheme="minorHAnsi" w:hAnsi="Arial" w:cs="Arial"/>
          <w:color w:val="000000"/>
          <w:lang w:eastAsia="en-US"/>
        </w:rPr>
        <w:t xml:space="preserve"> </w:t>
      </w:r>
      <w:r w:rsidR="00325ABC" w:rsidRPr="008B6DD0">
        <w:rPr>
          <w:rFonts w:ascii="Arial" w:eastAsiaTheme="minorHAnsi" w:hAnsi="Arial" w:cs="Arial"/>
          <w:color w:val="000000"/>
          <w:lang w:eastAsia="en-US"/>
        </w:rPr>
        <w:t>737</w:t>
      </w:r>
      <w:r w:rsidRPr="008B6DD0">
        <w:rPr>
          <w:rFonts w:ascii="Arial" w:eastAsiaTheme="minorHAnsi" w:hAnsi="Arial" w:cs="Arial"/>
          <w:color w:val="000000"/>
          <w:lang w:eastAsia="en-US"/>
        </w:rPr>
        <w:t xml:space="preserve"> millones de pesos.</w:t>
      </w:r>
      <w:r w:rsidRPr="009A6DFA">
        <w:rPr>
          <w:rFonts w:ascii="Arial" w:eastAsiaTheme="minorHAnsi" w:hAnsi="Arial" w:cs="Arial"/>
          <w:color w:val="000000"/>
          <w:lang w:eastAsia="en-US"/>
        </w:rPr>
        <w:t xml:space="preserve"> </w:t>
      </w:r>
      <w:r w:rsidR="00FE780A">
        <w:rPr>
          <w:rFonts w:ascii="Arial" w:eastAsiaTheme="minorHAnsi" w:hAnsi="Arial" w:cs="Arial"/>
          <w:color w:val="000000"/>
          <w:lang w:eastAsia="en-US"/>
        </w:rPr>
        <w:t>Cabe señalar, que p</w:t>
      </w:r>
      <w:r w:rsidR="00F63543" w:rsidRPr="008B6DD0">
        <w:rPr>
          <w:rFonts w:ascii="Arial" w:eastAsiaTheme="minorHAnsi" w:hAnsi="Arial" w:cs="Arial"/>
          <w:color w:val="000000"/>
          <w:lang w:eastAsia="en-US"/>
        </w:rPr>
        <w:t>ara 2019 la participación fue de 4.4 por ciento.</w:t>
      </w:r>
    </w:p>
    <w:p w14:paraId="58EDD714" w14:textId="77777777" w:rsidR="0044221E" w:rsidRDefault="00407D31" w:rsidP="00520DDB">
      <w:pPr>
        <w:spacing w:before="360" w:after="240"/>
        <w:ind w:left="-567" w:right="-518"/>
        <w:rPr>
          <w:rFonts w:ascii="Arial" w:hAnsi="Arial" w:cs="Arial"/>
          <w:b/>
          <w:iCs/>
          <w:smallCaps/>
        </w:rPr>
      </w:pPr>
      <w:r>
        <w:rPr>
          <w:rFonts w:ascii="Arial" w:hAnsi="Arial" w:cs="Arial"/>
          <w:b/>
          <w:iCs/>
          <w:smallCaps/>
        </w:rPr>
        <w:t>Formación Bruta de Capital Fijo</w:t>
      </w:r>
    </w:p>
    <w:p w14:paraId="58AFB6ED" w14:textId="693DEFE2" w:rsidR="00214D7E" w:rsidRPr="008B6DD0" w:rsidRDefault="009A6DFA" w:rsidP="00520DDB">
      <w:pPr>
        <w:spacing w:before="240" w:after="160"/>
        <w:ind w:left="-567" w:right="-518"/>
        <w:jc w:val="both"/>
        <w:rPr>
          <w:rFonts w:ascii="Arial" w:eastAsiaTheme="minorHAnsi" w:hAnsi="Arial" w:cs="Arial"/>
          <w:color w:val="000000"/>
          <w:lang w:eastAsia="en-US"/>
        </w:rPr>
      </w:pPr>
      <w:r w:rsidRPr="008B6DD0">
        <w:rPr>
          <w:rFonts w:ascii="Arial" w:eastAsiaTheme="minorHAnsi" w:hAnsi="Arial" w:cs="Arial"/>
          <w:color w:val="000000"/>
          <w:lang w:eastAsia="en-US"/>
        </w:rPr>
        <w:t xml:space="preserve">La </w:t>
      </w:r>
      <w:r w:rsidR="00407D31" w:rsidRPr="008B6DD0">
        <w:rPr>
          <w:rFonts w:ascii="Arial" w:eastAsiaTheme="minorHAnsi" w:hAnsi="Arial" w:cs="Arial"/>
          <w:color w:val="000000"/>
          <w:lang w:eastAsia="en-US"/>
        </w:rPr>
        <w:t>F</w:t>
      </w:r>
      <w:r w:rsidRPr="008B6DD0">
        <w:rPr>
          <w:rFonts w:ascii="Arial" w:eastAsiaTheme="minorHAnsi" w:hAnsi="Arial" w:cs="Arial"/>
          <w:color w:val="000000"/>
          <w:lang w:eastAsia="en-US"/>
        </w:rPr>
        <w:t xml:space="preserve">ormación </w:t>
      </w:r>
      <w:r w:rsidR="00407D31" w:rsidRPr="008B6DD0">
        <w:rPr>
          <w:rFonts w:ascii="Arial" w:eastAsiaTheme="minorHAnsi" w:hAnsi="Arial" w:cs="Arial"/>
          <w:color w:val="000000"/>
          <w:lang w:eastAsia="en-US"/>
        </w:rPr>
        <w:t>B</w:t>
      </w:r>
      <w:r w:rsidRPr="008B6DD0">
        <w:rPr>
          <w:rFonts w:ascii="Arial" w:eastAsiaTheme="minorHAnsi" w:hAnsi="Arial" w:cs="Arial"/>
          <w:color w:val="000000"/>
          <w:lang w:eastAsia="en-US"/>
        </w:rPr>
        <w:t xml:space="preserve">ruta de </w:t>
      </w:r>
      <w:r w:rsidR="00407D31" w:rsidRPr="008B6DD0">
        <w:rPr>
          <w:rFonts w:ascii="Arial" w:eastAsiaTheme="minorHAnsi" w:hAnsi="Arial" w:cs="Arial"/>
          <w:color w:val="000000"/>
          <w:lang w:eastAsia="en-US"/>
        </w:rPr>
        <w:t>C</w:t>
      </w:r>
      <w:r w:rsidRPr="008B6DD0">
        <w:rPr>
          <w:rFonts w:ascii="Arial" w:eastAsiaTheme="minorHAnsi" w:hAnsi="Arial" w:cs="Arial"/>
          <w:color w:val="000000"/>
          <w:lang w:eastAsia="en-US"/>
        </w:rPr>
        <w:t xml:space="preserve">apital </w:t>
      </w:r>
      <w:r w:rsidR="00407D31" w:rsidRPr="008B6DD0">
        <w:rPr>
          <w:rFonts w:ascii="Arial" w:eastAsiaTheme="minorHAnsi" w:hAnsi="Arial" w:cs="Arial"/>
          <w:color w:val="000000"/>
          <w:lang w:eastAsia="en-US"/>
        </w:rPr>
        <w:t>F</w:t>
      </w:r>
      <w:r w:rsidRPr="008B6DD0">
        <w:rPr>
          <w:rFonts w:ascii="Arial" w:eastAsiaTheme="minorHAnsi" w:hAnsi="Arial" w:cs="Arial"/>
          <w:color w:val="000000"/>
          <w:lang w:eastAsia="en-US"/>
        </w:rPr>
        <w:t>ijo</w:t>
      </w:r>
      <w:r w:rsidR="00A429F9" w:rsidRPr="008B6DD0">
        <w:rPr>
          <w:rFonts w:ascii="Arial" w:eastAsiaTheme="minorHAnsi" w:hAnsi="Arial" w:cs="Arial"/>
          <w:color w:val="000000"/>
          <w:lang w:eastAsia="en-US"/>
        </w:rPr>
        <w:t>,</w:t>
      </w:r>
      <w:r w:rsidRPr="008B6DD0">
        <w:rPr>
          <w:rFonts w:ascii="Arial" w:eastAsiaTheme="minorHAnsi" w:hAnsi="Arial" w:cs="Arial"/>
          <w:color w:val="000000"/>
          <w:lang w:eastAsia="en-US"/>
        </w:rPr>
        <w:t xml:space="preserve"> relacionada con la actividad turística </w:t>
      </w:r>
      <w:r w:rsidR="00A429F9" w:rsidRPr="008B6DD0">
        <w:rPr>
          <w:rFonts w:ascii="Arial" w:eastAsiaTheme="minorHAnsi" w:hAnsi="Arial" w:cs="Arial"/>
          <w:color w:val="000000"/>
          <w:lang w:eastAsia="en-US"/>
        </w:rPr>
        <w:t xml:space="preserve">en </w:t>
      </w:r>
      <w:r w:rsidRPr="008B6DD0">
        <w:rPr>
          <w:rFonts w:ascii="Arial" w:eastAsiaTheme="minorHAnsi" w:hAnsi="Arial" w:cs="Arial"/>
          <w:color w:val="000000"/>
          <w:lang w:eastAsia="en-US"/>
        </w:rPr>
        <w:t>20</w:t>
      </w:r>
      <w:r w:rsidR="00407D31" w:rsidRPr="008B6DD0">
        <w:rPr>
          <w:rFonts w:ascii="Arial" w:eastAsiaTheme="minorHAnsi" w:hAnsi="Arial" w:cs="Arial"/>
          <w:color w:val="000000"/>
          <w:lang w:eastAsia="en-US"/>
        </w:rPr>
        <w:t>20</w:t>
      </w:r>
      <w:r w:rsidR="00A429F9" w:rsidRPr="008B6DD0">
        <w:rPr>
          <w:rFonts w:ascii="Arial" w:eastAsiaTheme="minorHAnsi" w:hAnsi="Arial" w:cs="Arial"/>
          <w:color w:val="000000"/>
          <w:lang w:eastAsia="en-US"/>
        </w:rPr>
        <w:t>,</w:t>
      </w:r>
      <w:r w:rsidR="00407D31" w:rsidRPr="008B6DD0">
        <w:rPr>
          <w:rFonts w:ascii="Arial" w:eastAsiaTheme="minorHAnsi" w:hAnsi="Arial" w:cs="Arial"/>
          <w:color w:val="000000"/>
          <w:lang w:eastAsia="en-US"/>
        </w:rPr>
        <w:t xml:space="preserve"> </w:t>
      </w:r>
      <w:r w:rsidRPr="008B6DD0">
        <w:rPr>
          <w:rFonts w:ascii="Arial" w:eastAsiaTheme="minorHAnsi" w:hAnsi="Arial" w:cs="Arial"/>
          <w:color w:val="000000"/>
          <w:lang w:eastAsia="en-US"/>
        </w:rPr>
        <w:t xml:space="preserve">representó </w:t>
      </w:r>
      <w:r w:rsidR="00325ABC" w:rsidRPr="008B6DD0">
        <w:rPr>
          <w:rFonts w:ascii="Arial" w:eastAsiaTheme="minorHAnsi" w:hAnsi="Arial" w:cs="Arial"/>
          <w:color w:val="000000"/>
          <w:lang w:eastAsia="en-US"/>
        </w:rPr>
        <w:t>2.8</w:t>
      </w:r>
      <w:r w:rsidRPr="008B6DD0">
        <w:rPr>
          <w:rFonts w:ascii="Arial" w:eastAsiaTheme="minorHAnsi" w:hAnsi="Arial" w:cs="Arial"/>
          <w:color w:val="000000"/>
          <w:lang w:eastAsia="en-US"/>
        </w:rPr>
        <w:t>% de la inversión fija total del país. La mayor parte se destinó a la construcción de infraestructura, edificaciones y otras construcciones turísticas</w:t>
      </w:r>
      <w:r w:rsidR="00A429F9" w:rsidRPr="008B6DD0">
        <w:rPr>
          <w:rFonts w:ascii="Arial" w:eastAsiaTheme="minorHAnsi" w:hAnsi="Arial" w:cs="Arial"/>
          <w:color w:val="000000"/>
          <w:lang w:eastAsia="en-US"/>
        </w:rPr>
        <w:t>,</w:t>
      </w:r>
      <w:r w:rsidRPr="008B6DD0">
        <w:rPr>
          <w:rFonts w:ascii="Arial" w:eastAsiaTheme="minorHAnsi" w:hAnsi="Arial" w:cs="Arial"/>
          <w:color w:val="000000"/>
          <w:lang w:eastAsia="en-US"/>
        </w:rPr>
        <w:t xml:space="preserve"> con 7</w:t>
      </w:r>
      <w:r w:rsidR="00325ABC" w:rsidRPr="008B6DD0">
        <w:rPr>
          <w:rFonts w:ascii="Arial" w:eastAsiaTheme="minorHAnsi" w:hAnsi="Arial" w:cs="Arial"/>
          <w:color w:val="000000"/>
          <w:lang w:eastAsia="en-US"/>
        </w:rPr>
        <w:t>2.9</w:t>
      </w:r>
      <w:r w:rsidRPr="008B6DD0">
        <w:rPr>
          <w:rFonts w:ascii="Arial" w:eastAsiaTheme="minorHAnsi" w:hAnsi="Arial" w:cs="Arial"/>
          <w:color w:val="000000"/>
          <w:lang w:eastAsia="en-US"/>
        </w:rPr>
        <w:t>%, mientras que el 2</w:t>
      </w:r>
      <w:r w:rsidR="00325ABC" w:rsidRPr="008B6DD0">
        <w:rPr>
          <w:rFonts w:ascii="Arial" w:eastAsiaTheme="minorHAnsi" w:hAnsi="Arial" w:cs="Arial"/>
          <w:color w:val="000000"/>
          <w:lang w:eastAsia="en-US"/>
        </w:rPr>
        <w:t>7.1</w:t>
      </w:r>
      <w:r w:rsidRPr="008B6DD0">
        <w:rPr>
          <w:rFonts w:ascii="Arial" w:eastAsiaTheme="minorHAnsi" w:hAnsi="Arial" w:cs="Arial"/>
          <w:color w:val="000000"/>
          <w:lang w:eastAsia="en-US"/>
        </w:rPr>
        <w:t>% restante se orientó a la adquisición de maquinaria y equipo.</w:t>
      </w:r>
      <w:r w:rsidR="00F63543" w:rsidRPr="008B6DD0">
        <w:rPr>
          <w:rFonts w:ascii="Arial" w:eastAsiaTheme="minorHAnsi" w:hAnsi="Arial" w:cs="Arial"/>
          <w:color w:val="000000"/>
          <w:lang w:eastAsia="en-US"/>
        </w:rPr>
        <w:t xml:space="preserve"> En 2019 la participación de la formación bruta de capital fijo fue de 2.9 por ciento.</w:t>
      </w:r>
    </w:p>
    <w:p w14:paraId="17DB2EDE" w14:textId="0E5C319D" w:rsidR="00407D31" w:rsidRPr="00C74D3F" w:rsidRDefault="00953232" w:rsidP="00520DDB">
      <w:pPr>
        <w:pStyle w:val="Textodebloque1"/>
        <w:tabs>
          <w:tab w:val="left" w:pos="0"/>
          <w:tab w:val="left" w:pos="8222"/>
        </w:tabs>
        <w:spacing w:before="0" w:after="240"/>
        <w:ind w:left="-567" w:right="-518" w:firstLine="0"/>
        <w:rPr>
          <w:rFonts w:ascii="Arial" w:hAnsi="Arial" w:cs="Arial"/>
          <w:i/>
          <w:iCs/>
          <w:smallCaps/>
          <w:sz w:val="24"/>
          <w:szCs w:val="24"/>
        </w:rPr>
      </w:pPr>
      <w:r w:rsidRPr="00C74D3F">
        <w:rPr>
          <w:rFonts w:ascii="Arial" w:hAnsi="Arial" w:cs="Arial"/>
          <w:i/>
          <w:iCs/>
          <w:smallCaps/>
          <w:sz w:val="24"/>
          <w:szCs w:val="24"/>
        </w:rPr>
        <w:t>Aspectos Metodológicos</w:t>
      </w:r>
    </w:p>
    <w:p w14:paraId="42A2AC6A" w14:textId="2C41AFAC" w:rsidR="00953232" w:rsidRPr="00953232" w:rsidRDefault="00953232" w:rsidP="00520DDB">
      <w:pPr>
        <w:pStyle w:val="Default"/>
        <w:spacing w:after="240"/>
        <w:ind w:left="-567" w:right="-518"/>
        <w:jc w:val="both"/>
      </w:pPr>
      <w:r w:rsidRPr="00953232">
        <w:t>La actualización de la Cuenta Satélite del Turismo de México, 20</w:t>
      </w:r>
      <w:r w:rsidR="00CD21D4">
        <w:t>20</w:t>
      </w:r>
      <w:r w:rsidRPr="00953232">
        <w:t xml:space="preserve">, </w:t>
      </w:r>
      <w:r w:rsidR="006E3E45">
        <w:t xml:space="preserve">Año Base </w:t>
      </w:r>
      <w:r w:rsidRPr="00953232">
        <w:t>2013, toma como marco de referencia</w:t>
      </w:r>
      <w:r w:rsidR="007F0A5C">
        <w:t xml:space="preserve"> los lineamientos internacionales del Manu</w:t>
      </w:r>
      <w:r w:rsidR="00CD21D4">
        <w:t>a</w:t>
      </w:r>
      <w:r w:rsidR="007F0A5C">
        <w:t xml:space="preserve">l del Sistema de Cuentas Nacionales (SCN 2008), elaborado de manera conjunta por la Organización de las Naciones Unidas (ONU), la Oficina de Estadística de la Comisión </w:t>
      </w:r>
      <w:r w:rsidR="001B10F8">
        <w:t>Europea (</w:t>
      </w:r>
      <w:r w:rsidR="007F0A5C">
        <w:t>EUROSTAT), el Fondo Monetario Internacional (FMI), la Organización para la Cooperación y el Desarrollo Económicos (OCDE) y el Banco Mundial (BM). Asimismo, se considera el</w:t>
      </w:r>
      <w:r w:rsidRPr="00953232">
        <w:t xml:space="preserve"> Manual “Cuenta Satélite de Turismo: Recomendaciones sobre el Marco Conceptual 2008” (CST: RMC 2008) de la Organización Mundial de Turismo (OMT). </w:t>
      </w:r>
    </w:p>
    <w:p w14:paraId="78697184" w14:textId="5E73292C" w:rsidR="00953232" w:rsidRPr="00953232" w:rsidRDefault="00953232" w:rsidP="00520DDB">
      <w:pPr>
        <w:autoSpaceDE w:val="0"/>
        <w:autoSpaceDN w:val="0"/>
        <w:adjustRightInd w:val="0"/>
        <w:spacing w:after="240"/>
        <w:ind w:left="-567" w:right="-518"/>
        <w:jc w:val="both"/>
        <w:rPr>
          <w:rFonts w:ascii="Arial" w:eastAsiaTheme="minorHAnsi" w:hAnsi="Arial" w:cs="Arial"/>
          <w:color w:val="000000"/>
          <w:lang w:eastAsia="en-US"/>
        </w:rPr>
      </w:pPr>
      <w:r w:rsidRPr="00953232">
        <w:rPr>
          <w:rFonts w:ascii="Arial" w:eastAsiaTheme="minorHAnsi" w:hAnsi="Arial" w:cs="Arial"/>
          <w:color w:val="000000"/>
          <w:lang w:eastAsia="en-US"/>
        </w:rPr>
        <w:t xml:space="preserve">Para su integración, se consideró la lista de actividades características del turismo (Industrias turísticas) agrupadas por categorías principales según la CIIU Rev. 4, integradas en el Anexo 3 de las Recomendaciones Internacionales para Estadísticas de Turismo (RIET 2008), así como el Sistema de Clasificación Industrial de América del Norte (SCIAN 2013), a efecto de alinearse con el SCNM base 2013. </w:t>
      </w:r>
    </w:p>
    <w:p w14:paraId="05A8B3DE" w14:textId="3D6BD51E" w:rsidR="00953232" w:rsidRPr="00953232" w:rsidRDefault="00953232" w:rsidP="00520DDB">
      <w:pPr>
        <w:autoSpaceDE w:val="0"/>
        <w:autoSpaceDN w:val="0"/>
        <w:adjustRightInd w:val="0"/>
        <w:spacing w:after="240"/>
        <w:ind w:left="-567" w:right="-518"/>
        <w:jc w:val="both"/>
        <w:rPr>
          <w:rFonts w:ascii="Arial" w:eastAsiaTheme="minorHAnsi" w:hAnsi="Arial" w:cs="Arial"/>
          <w:color w:val="000000"/>
          <w:lang w:eastAsia="en-US"/>
        </w:rPr>
      </w:pPr>
      <w:r w:rsidRPr="00953232">
        <w:rPr>
          <w:rFonts w:ascii="Arial" w:eastAsiaTheme="minorHAnsi" w:hAnsi="Arial" w:cs="Arial"/>
          <w:color w:val="000000"/>
          <w:lang w:eastAsia="en-US"/>
        </w:rPr>
        <w:t>La CSTM, Base 2013, utiliza como parte de sus fuentes de información la Matriz de Insumo Producto 2013, el Cuadro de Oferta y Utilización (COU) 2013 y la serie de la Cuenta de Bienes y Servicios 20</w:t>
      </w:r>
      <w:r w:rsidR="007F0A5C">
        <w:rPr>
          <w:rFonts w:ascii="Arial" w:eastAsiaTheme="minorHAnsi" w:hAnsi="Arial" w:cs="Arial"/>
          <w:color w:val="000000"/>
          <w:lang w:eastAsia="en-US"/>
        </w:rPr>
        <w:t>20</w:t>
      </w:r>
      <w:r w:rsidRPr="00953232">
        <w:rPr>
          <w:rFonts w:ascii="Arial" w:eastAsiaTheme="minorHAnsi" w:hAnsi="Arial" w:cs="Arial"/>
          <w:color w:val="000000"/>
          <w:lang w:eastAsia="en-US"/>
        </w:rPr>
        <w:t>, base 2013. La disponibilidad de estos ins</w:t>
      </w:r>
      <w:r w:rsidR="00CD5286">
        <w:rPr>
          <w:rFonts w:ascii="Arial" w:eastAsiaTheme="minorHAnsi" w:hAnsi="Arial" w:cs="Arial"/>
          <w:color w:val="000000"/>
          <w:lang w:eastAsia="en-US"/>
        </w:rPr>
        <w:t>umos</w:t>
      </w:r>
      <w:r w:rsidRPr="00953232">
        <w:rPr>
          <w:rFonts w:ascii="Arial" w:eastAsiaTheme="minorHAnsi" w:hAnsi="Arial" w:cs="Arial"/>
          <w:color w:val="000000"/>
          <w:lang w:eastAsia="en-US"/>
        </w:rPr>
        <w:t xml:space="preserve"> permitió contar con el detalle pormenorizado sobre el origen y destino tanto de la producción como de los insumos, posibilitando una caracterización detallada del quehacer de la actividad turística y su composición. </w:t>
      </w:r>
    </w:p>
    <w:p w14:paraId="5A04D996" w14:textId="1838DC38" w:rsidR="00953232" w:rsidRPr="00953232" w:rsidRDefault="00953232" w:rsidP="00520DDB">
      <w:pPr>
        <w:autoSpaceDE w:val="0"/>
        <w:autoSpaceDN w:val="0"/>
        <w:adjustRightInd w:val="0"/>
        <w:spacing w:after="240"/>
        <w:ind w:left="-567" w:right="-518"/>
        <w:jc w:val="both"/>
        <w:rPr>
          <w:rFonts w:ascii="Arial" w:eastAsiaTheme="minorHAnsi" w:hAnsi="Arial" w:cs="Arial"/>
          <w:color w:val="000000"/>
          <w:lang w:eastAsia="en-US"/>
        </w:rPr>
      </w:pPr>
      <w:r w:rsidRPr="00953232">
        <w:rPr>
          <w:rFonts w:ascii="Arial" w:eastAsiaTheme="minorHAnsi" w:hAnsi="Arial" w:cs="Arial"/>
          <w:color w:val="000000"/>
          <w:lang w:eastAsia="en-US"/>
        </w:rPr>
        <w:t xml:space="preserve">Adicionalmente, se aprovechan diferentes fuentes de información como la Secretaría de Turismo, la Secretaría de Comunicaciones y Transportes, Gobiernos de los Estados, el Instituto Mexicano del Seguro Social, el Instituto de Seguridad y Servicios Sociales de los Trabajadores del Estado, el Instituto Nacional de Migración, el Banco de México y el propio INEGI, por mencionar algunas. </w:t>
      </w:r>
    </w:p>
    <w:p w14:paraId="62C45179" w14:textId="1F04391B" w:rsidR="00953232" w:rsidRPr="00953232" w:rsidRDefault="00953232" w:rsidP="00520DDB">
      <w:pPr>
        <w:autoSpaceDE w:val="0"/>
        <w:autoSpaceDN w:val="0"/>
        <w:adjustRightInd w:val="0"/>
        <w:spacing w:after="240"/>
        <w:ind w:left="-567" w:right="-518"/>
        <w:jc w:val="both"/>
        <w:rPr>
          <w:rFonts w:ascii="Arial" w:eastAsiaTheme="minorHAnsi" w:hAnsi="Arial" w:cs="Arial"/>
          <w:color w:val="000000"/>
          <w:lang w:eastAsia="en-US"/>
        </w:rPr>
      </w:pPr>
      <w:r w:rsidRPr="00953232">
        <w:rPr>
          <w:rFonts w:ascii="Arial" w:eastAsiaTheme="minorHAnsi" w:hAnsi="Arial" w:cs="Arial"/>
          <w:color w:val="000000"/>
          <w:lang w:eastAsia="en-US"/>
        </w:rPr>
        <w:lastRenderedPageBreak/>
        <w:t>Con dicha información es posible efectuar el proceso de cálculo que permite integrar los cuadros de oferta y utilización de bienes y servicios turísticos; el consumo turístico interno, receptivo y emisor, por motivo de viaje, etcétera; el consumo colectivo turístico; la serie de la formación bruta de capital fijo turístico; las cuentas de producción y las variables macroeconómicas que las constituyen (valor bruto de producción, consumo intermedio y valor agregado bruto); la remuneración de asalariados y los puestos de trabajo ocupados remunerados.</w:t>
      </w:r>
    </w:p>
    <w:p w14:paraId="0F4AE7D1" w14:textId="1A88E1A2" w:rsidR="00953232" w:rsidRDefault="00953232" w:rsidP="00520DDB">
      <w:pPr>
        <w:autoSpaceDE w:val="0"/>
        <w:autoSpaceDN w:val="0"/>
        <w:adjustRightInd w:val="0"/>
        <w:spacing w:after="240"/>
        <w:ind w:left="-567" w:right="-518"/>
        <w:jc w:val="both"/>
        <w:rPr>
          <w:rFonts w:ascii="Arial" w:eastAsiaTheme="minorHAnsi" w:hAnsi="Arial" w:cs="Arial"/>
          <w:color w:val="000000"/>
          <w:lang w:eastAsia="en-US"/>
        </w:rPr>
      </w:pPr>
      <w:r w:rsidRPr="00953232">
        <w:rPr>
          <w:rFonts w:ascii="Arial" w:eastAsiaTheme="minorHAnsi" w:hAnsi="Arial" w:cs="Arial"/>
          <w:color w:val="000000"/>
          <w:lang w:eastAsia="en-US"/>
        </w:rPr>
        <w:t>Los resultados de la Cuenta Satélite del Turismo de México, 20</w:t>
      </w:r>
      <w:r>
        <w:rPr>
          <w:rFonts w:ascii="Arial" w:eastAsiaTheme="minorHAnsi" w:hAnsi="Arial" w:cs="Arial"/>
          <w:color w:val="000000"/>
          <w:lang w:eastAsia="en-US"/>
        </w:rPr>
        <w:t xml:space="preserve">20 </w:t>
      </w:r>
      <w:r w:rsidRPr="00953232">
        <w:rPr>
          <w:rFonts w:ascii="Arial" w:eastAsiaTheme="minorHAnsi" w:hAnsi="Arial" w:cs="Arial"/>
          <w:color w:val="000000"/>
          <w:lang w:eastAsia="en-US"/>
        </w:rPr>
        <w:t>Preliminar. Año base 2013 presentados en este documento, la serie histórica</w:t>
      </w:r>
      <w:r w:rsidR="00D86A44">
        <w:rPr>
          <w:rFonts w:ascii="Arial" w:eastAsiaTheme="minorHAnsi" w:hAnsi="Arial" w:cs="Arial"/>
          <w:color w:val="000000"/>
          <w:lang w:eastAsia="en-US"/>
        </w:rPr>
        <w:t>,</w:t>
      </w:r>
      <w:r w:rsidR="00D86A44" w:rsidRPr="00D86A44">
        <w:t xml:space="preserve"> </w:t>
      </w:r>
      <w:r w:rsidR="00D86A44">
        <w:rPr>
          <w:rFonts w:ascii="Arial" w:eastAsiaTheme="minorHAnsi" w:hAnsi="Arial" w:cs="Arial"/>
          <w:color w:val="000000"/>
          <w:lang w:eastAsia="en-US"/>
        </w:rPr>
        <w:t>así como</w:t>
      </w:r>
      <w:r w:rsidR="00D86A44" w:rsidRPr="00D86A44">
        <w:rPr>
          <w:rFonts w:ascii="Arial" w:eastAsiaTheme="minorHAnsi" w:hAnsi="Arial" w:cs="Arial"/>
          <w:color w:val="000000"/>
          <w:lang w:eastAsia="en-US"/>
        </w:rPr>
        <w:t xml:space="preserve"> la metodología</w:t>
      </w:r>
      <w:r w:rsidRPr="00953232">
        <w:rPr>
          <w:rFonts w:ascii="Arial" w:eastAsiaTheme="minorHAnsi" w:hAnsi="Arial" w:cs="Arial"/>
          <w:color w:val="000000"/>
          <w:lang w:eastAsia="en-US"/>
        </w:rPr>
        <w:t xml:space="preserve">, pueden ser consultados en la página </w:t>
      </w:r>
      <w:r w:rsidR="00D86A44">
        <w:rPr>
          <w:rFonts w:ascii="Arial" w:eastAsiaTheme="minorHAnsi" w:hAnsi="Arial" w:cs="Arial"/>
          <w:color w:val="000000"/>
          <w:lang w:eastAsia="en-US"/>
        </w:rPr>
        <w:t xml:space="preserve">web </w:t>
      </w:r>
      <w:r w:rsidRPr="00953232">
        <w:rPr>
          <w:rFonts w:ascii="Arial" w:eastAsiaTheme="minorHAnsi" w:hAnsi="Arial" w:cs="Arial"/>
          <w:color w:val="000000"/>
          <w:lang w:eastAsia="en-US"/>
        </w:rPr>
        <w:t>del Instituto:</w:t>
      </w:r>
    </w:p>
    <w:p w14:paraId="770A009C" w14:textId="77777777" w:rsidR="00953232" w:rsidRDefault="0017595C" w:rsidP="00520DDB">
      <w:pPr>
        <w:autoSpaceDE w:val="0"/>
        <w:autoSpaceDN w:val="0"/>
        <w:adjustRightInd w:val="0"/>
        <w:ind w:left="-567" w:right="-518"/>
        <w:jc w:val="both"/>
        <w:rPr>
          <w:rFonts w:eastAsiaTheme="minorHAnsi"/>
          <w:color w:val="000000"/>
          <w:lang w:eastAsia="en-US"/>
        </w:rPr>
      </w:pPr>
      <w:hyperlink r:id="rId24" w:history="1">
        <w:r w:rsidR="00953232" w:rsidRPr="0066043D">
          <w:rPr>
            <w:rStyle w:val="Hipervnculo"/>
            <w:rFonts w:eastAsiaTheme="minorHAnsi"/>
            <w:lang w:eastAsia="en-US"/>
          </w:rPr>
          <w:t>https://www.inegi.org.mx/temas/turismosat/</w:t>
        </w:r>
      </w:hyperlink>
    </w:p>
    <w:p w14:paraId="58407CEA" w14:textId="108CDCBC" w:rsidR="00407D31" w:rsidRPr="00CD21D4" w:rsidRDefault="0017595C" w:rsidP="00520DDB">
      <w:pPr>
        <w:autoSpaceDE w:val="0"/>
        <w:autoSpaceDN w:val="0"/>
        <w:adjustRightInd w:val="0"/>
        <w:ind w:left="-567" w:right="-518"/>
        <w:jc w:val="both"/>
        <w:rPr>
          <w:rFonts w:ascii="Arial" w:eastAsiaTheme="minorHAnsi" w:hAnsi="Arial" w:cs="Arial"/>
          <w:color w:val="000000"/>
          <w:lang w:eastAsia="en-US"/>
        </w:rPr>
      </w:pPr>
      <w:hyperlink r:id="rId25" w:history="1">
        <w:r w:rsidR="00953232" w:rsidRPr="0066043D">
          <w:rPr>
            <w:rStyle w:val="Hipervnculo"/>
            <w:rFonts w:eastAsiaTheme="minorHAnsi"/>
            <w:lang w:eastAsia="en-US"/>
          </w:rPr>
          <w:t>https://www.inegi.org.mx/programas/turismo/2013/</w:t>
        </w:r>
      </w:hyperlink>
      <w:r w:rsidR="00953232" w:rsidRPr="00953232">
        <w:rPr>
          <w:rFonts w:ascii="Arial" w:eastAsiaTheme="minorHAnsi" w:hAnsi="Arial" w:cs="Arial"/>
          <w:color w:val="000000"/>
          <w:lang w:eastAsia="en-US"/>
        </w:rPr>
        <w:t xml:space="preserve"> </w:t>
      </w:r>
    </w:p>
    <w:sectPr w:rsidR="00407D31" w:rsidRPr="00CD21D4" w:rsidSect="00520DDB">
      <w:headerReference w:type="default" r:id="rId26"/>
      <w:footerReference w:type="default" r:id="rId27"/>
      <w:type w:val="continuous"/>
      <w:pgSz w:w="12240" w:h="15840"/>
      <w:pgMar w:top="1560" w:right="1701" w:bottom="851"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E696E" w14:textId="77777777" w:rsidR="0017595C" w:rsidRDefault="0017595C" w:rsidP="00ED71F9">
      <w:r>
        <w:separator/>
      </w:r>
    </w:p>
  </w:endnote>
  <w:endnote w:type="continuationSeparator" w:id="0">
    <w:p w14:paraId="380A8F6A" w14:textId="77777777" w:rsidR="0017595C" w:rsidRDefault="0017595C" w:rsidP="00ED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577836"/>
      <w:docPartObj>
        <w:docPartGallery w:val="Page Numbers (Bottom of Page)"/>
        <w:docPartUnique/>
      </w:docPartObj>
    </w:sdtPr>
    <w:sdtEndPr>
      <w:rPr>
        <w:b/>
        <w:color w:val="002060"/>
        <w:sz w:val="20"/>
        <w:szCs w:val="20"/>
      </w:rPr>
    </w:sdtEndPr>
    <w:sdtContent>
      <w:p w14:paraId="268578B4" w14:textId="77777777" w:rsidR="00142902" w:rsidRPr="00787C13" w:rsidRDefault="00142902" w:rsidP="00787C13">
        <w:pPr>
          <w:pStyle w:val="Piedepgina"/>
          <w:ind w:left="-426" w:right="-233"/>
          <w:jc w:val="center"/>
          <w:rPr>
            <w:b/>
            <w:color w:val="002060"/>
            <w:sz w:val="20"/>
            <w:szCs w:val="20"/>
          </w:rPr>
        </w:pPr>
        <w:r w:rsidRPr="00787C13">
          <w:rPr>
            <w:b/>
            <w:color w:val="002060"/>
            <w:sz w:val="20"/>
            <w:szCs w:val="20"/>
          </w:rPr>
          <w:t>COMUNICACIÓN SOCIAL</w:t>
        </w:r>
      </w:p>
    </w:sdtContent>
  </w:sdt>
  <w:p w14:paraId="69746994" w14:textId="77777777" w:rsidR="00142902" w:rsidRDefault="00142902" w:rsidP="003076C4">
    <w:pPr>
      <w:pStyle w:val="Piedepgina"/>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F4B9" w14:textId="493AEAFE" w:rsidR="00D1584D" w:rsidRPr="00D1584D" w:rsidRDefault="00D1584D" w:rsidP="00D1584D">
    <w:pPr>
      <w:pStyle w:val="Piedepgina"/>
      <w:tabs>
        <w:tab w:val="clear" w:pos="4419"/>
        <w:tab w:val="clear" w:pos="8838"/>
      </w:tabs>
      <w:ind w:right="-518" w:hanging="567"/>
      <w:jc w:val="center"/>
      <w:rPr>
        <w:rFonts w:ascii="Arial" w:hAnsi="Arial" w:cs="Arial"/>
        <w:b/>
        <w:color w:val="002060"/>
        <w:sz w:val="20"/>
        <w:szCs w:val="20"/>
      </w:rPr>
    </w:pPr>
    <w:r w:rsidRPr="00D1584D">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78480" w14:textId="77777777" w:rsidR="0017595C" w:rsidRDefault="0017595C" w:rsidP="00ED71F9">
      <w:r>
        <w:separator/>
      </w:r>
    </w:p>
  </w:footnote>
  <w:footnote w:type="continuationSeparator" w:id="0">
    <w:p w14:paraId="50DD77E3" w14:textId="77777777" w:rsidR="0017595C" w:rsidRDefault="0017595C" w:rsidP="00ED71F9">
      <w:r>
        <w:continuationSeparator/>
      </w:r>
    </w:p>
  </w:footnote>
  <w:footnote w:id="1">
    <w:p w14:paraId="1ED03D8A" w14:textId="77777777" w:rsidR="003A0362" w:rsidRDefault="003A0362" w:rsidP="00D1584D">
      <w:pPr>
        <w:pStyle w:val="Textonotapie"/>
        <w:ind w:left="-567"/>
        <w:jc w:val="both"/>
      </w:pPr>
      <w:r>
        <w:rPr>
          <w:rStyle w:val="Refdenotaalpie"/>
        </w:rPr>
        <w:footnoteRef/>
      </w:r>
      <w:r>
        <w:t xml:space="preserve"> </w:t>
      </w:r>
      <w:r>
        <w:rPr>
          <w:rFonts w:ascii="Arial" w:hAnsi="Arial" w:cs="Arial"/>
          <w:sz w:val="16"/>
          <w:szCs w:val="16"/>
        </w:rPr>
        <w:t>Se hace referencia al Valor Agregado Bruto, en esta y en las siguientes menciones sobre el PIB Turístico o el PIB Nacional</w:t>
      </w:r>
      <w:r w:rsidRPr="00F11CB4">
        <w:rPr>
          <w:rFonts w:ascii="Arial" w:hAnsi="Arial" w:cs="Arial"/>
          <w:sz w:val="16"/>
          <w:szCs w:val="16"/>
        </w:rPr>
        <w:t>.</w:t>
      </w:r>
    </w:p>
  </w:footnote>
  <w:footnote w:id="2">
    <w:p w14:paraId="52F61267" w14:textId="01977D84" w:rsidR="003A0362" w:rsidRDefault="003A0362" w:rsidP="00A634AF">
      <w:pPr>
        <w:pStyle w:val="Textonotapie"/>
        <w:ind w:left="-567"/>
        <w:jc w:val="both"/>
      </w:pPr>
      <w:r>
        <w:rPr>
          <w:rStyle w:val="Refdenotaalpie"/>
        </w:rPr>
        <w:footnoteRef/>
      </w:r>
      <w:r>
        <w:t xml:space="preserve"> </w:t>
      </w:r>
      <w:r>
        <w:rPr>
          <w:rFonts w:ascii="Arial" w:hAnsi="Arial" w:cs="Arial"/>
          <w:sz w:val="16"/>
          <w:szCs w:val="16"/>
        </w:rPr>
        <w:t>Se hace referencia al Valor Agregado Bruto, en esta y en las siguientes menciones sobre el PIB Turístico o el PIB Nacional</w:t>
      </w:r>
      <w:r w:rsidRPr="00F11CB4">
        <w:rPr>
          <w:rFonts w:ascii="Arial" w:hAnsi="Arial" w:cs="Arial"/>
          <w:sz w:val="16"/>
          <w:szCs w:val="16"/>
        </w:rPr>
        <w:t>.</w:t>
      </w:r>
    </w:p>
  </w:footnote>
  <w:footnote w:id="3">
    <w:p w14:paraId="4787D574" w14:textId="02186DC0" w:rsidR="003A0362" w:rsidRPr="0041288F" w:rsidRDefault="003A0362" w:rsidP="00A634AF">
      <w:pPr>
        <w:pStyle w:val="Textonotapie"/>
        <w:ind w:left="-426" w:right="-518" w:hanging="141"/>
        <w:jc w:val="both"/>
        <w:rPr>
          <w:sz w:val="16"/>
          <w:szCs w:val="16"/>
        </w:rPr>
      </w:pPr>
      <w:r w:rsidRPr="0041288F">
        <w:rPr>
          <w:rStyle w:val="Refdenotaalpie"/>
          <w:sz w:val="16"/>
          <w:szCs w:val="16"/>
        </w:rPr>
        <w:footnoteRef/>
      </w:r>
      <w:r w:rsidRPr="0041288F">
        <w:rPr>
          <w:sz w:val="16"/>
          <w:szCs w:val="16"/>
        </w:rPr>
        <w:t xml:space="preserve"> Incluye Alojamiento tradicional, </w:t>
      </w:r>
      <w:r>
        <w:rPr>
          <w:sz w:val="16"/>
          <w:szCs w:val="16"/>
        </w:rPr>
        <w:t>S</w:t>
      </w:r>
      <w:r w:rsidRPr="0041288F">
        <w:rPr>
          <w:sz w:val="16"/>
          <w:szCs w:val="16"/>
        </w:rPr>
        <w:t xml:space="preserve">egundas </w:t>
      </w:r>
      <w:r>
        <w:rPr>
          <w:sz w:val="16"/>
          <w:szCs w:val="16"/>
        </w:rPr>
        <w:t>V</w:t>
      </w:r>
      <w:r w:rsidRPr="0041288F">
        <w:rPr>
          <w:sz w:val="16"/>
          <w:szCs w:val="16"/>
        </w:rPr>
        <w:t xml:space="preserve">iviendas con fines turísticos, </w:t>
      </w:r>
      <w:r>
        <w:rPr>
          <w:sz w:val="16"/>
          <w:szCs w:val="16"/>
        </w:rPr>
        <w:t>T</w:t>
      </w:r>
      <w:r w:rsidRPr="0041288F">
        <w:rPr>
          <w:sz w:val="16"/>
          <w:szCs w:val="16"/>
        </w:rPr>
        <w:t xml:space="preserve">iempos </w:t>
      </w:r>
      <w:r>
        <w:rPr>
          <w:sz w:val="16"/>
          <w:szCs w:val="16"/>
        </w:rPr>
        <w:t>C</w:t>
      </w:r>
      <w:r w:rsidRPr="0041288F">
        <w:rPr>
          <w:sz w:val="16"/>
          <w:szCs w:val="16"/>
        </w:rPr>
        <w:t xml:space="preserve">ompartidos y </w:t>
      </w:r>
      <w:r>
        <w:rPr>
          <w:sz w:val="16"/>
          <w:szCs w:val="16"/>
        </w:rPr>
        <w:t>A</w:t>
      </w:r>
      <w:r w:rsidRPr="0041288F">
        <w:rPr>
          <w:sz w:val="16"/>
          <w:szCs w:val="16"/>
        </w:rPr>
        <w:t xml:space="preserve">lojamiento en </w:t>
      </w:r>
      <w:r>
        <w:rPr>
          <w:sz w:val="16"/>
          <w:szCs w:val="16"/>
        </w:rPr>
        <w:t>C</w:t>
      </w:r>
      <w:r w:rsidRPr="0041288F">
        <w:rPr>
          <w:sz w:val="16"/>
          <w:szCs w:val="16"/>
        </w:rPr>
        <w:t xml:space="preserve">asa de </w:t>
      </w:r>
      <w:r>
        <w:rPr>
          <w:sz w:val="16"/>
          <w:szCs w:val="16"/>
        </w:rPr>
        <w:t>F</w:t>
      </w:r>
      <w:r w:rsidRPr="0041288F">
        <w:rPr>
          <w:sz w:val="16"/>
          <w:szCs w:val="16"/>
        </w:rPr>
        <w:t xml:space="preserve">amiliares y </w:t>
      </w:r>
      <w:r>
        <w:rPr>
          <w:sz w:val="16"/>
          <w:szCs w:val="16"/>
        </w:rPr>
        <w:t>A</w:t>
      </w:r>
      <w:r w:rsidRPr="0041288F">
        <w:rPr>
          <w:sz w:val="16"/>
          <w:szCs w:val="16"/>
        </w:rPr>
        <w:t>migos.</w:t>
      </w:r>
    </w:p>
  </w:footnote>
  <w:footnote w:id="4">
    <w:p w14:paraId="0F099CCD" w14:textId="77777777" w:rsidR="003A0362" w:rsidRPr="0041288F" w:rsidRDefault="003A0362" w:rsidP="00520DDB">
      <w:pPr>
        <w:pStyle w:val="Textonotapie"/>
        <w:ind w:left="-284" w:right="-518" w:hanging="283"/>
        <w:jc w:val="both"/>
        <w:rPr>
          <w:sz w:val="16"/>
          <w:szCs w:val="16"/>
        </w:rPr>
      </w:pPr>
      <w:r w:rsidRPr="004324B3">
        <w:rPr>
          <w:rFonts w:ascii="Univers" w:hAnsi="Univers" w:cs="Arial"/>
          <w:sz w:val="16"/>
          <w:szCs w:val="16"/>
          <w:vertAlign w:val="superscript"/>
        </w:rPr>
        <w:footnoteRef/>
      </w:r>
      <w:r w:rsidRPr="008B6DD0">
        <w:rPr>
          <w:rFonts w:ascii="Arial" w:hAnsi="Arial" w:cs="Arial"/>
          <w:sz w:val="14"/>
          <w:szCs w:val="14"/>
        </w:rPr>
        <w:t xml:space="preserve"> </w:t>
      </w:r>
      <w:r w:rsidRPr="0041288F">
        <w:rPr>
          <w:sz w:val="16"/>
          <w:szCs w:val="16"/>
        </w:rPr>
        <w:t xml:space="preserve">Representa los gastos realizados por visitantes que se desplazan con objeto de visitar a familiares y amigos; estudiar o bien por motivos de salud, religión, etcétera.  </w:t>
      </w:r>
    </w:p>
  </w:footnote>
  <w:footnote w:id="5">
    <w:p w14:paraId="69D4B566" w14:textId="556A29EB" w:rsidR="003A0362" w:rsidRPr="0041288F" w:rsidRDefault="003A0362" w:rsidP="00520DDB">
      <w:pPr>
        <w:pStyle w:val="Textonotapie"/>
        <w:ind w:left="-284" w:right="-518" w:hanging="283"/>
        <w:jc w:val="both"/>
        <w:rPr>
          <w:sz w:val="16"/>
          <w:szCs w:val="16"/>
        </w:rPr>
      </w:pPr>
      <w:r w:rsidRPr="004324B3">
        <w:rPr>
          <w:rFonts w:ascii="Univers" w:hAnsi="Univers" w:cs="Arial"/>
          <w:sz w:val="16"/>
          <w:szCs w:val="16"/>
          <w:vertAlign w:val="superscript"/>
        </w:rPr>
        <w:footnoteRef/>
      </w:r>
      <w:r w:rsidRPr="004324B3">
        <w:rPr>
          <w:rFonts w:ascii="Univers" w:hAnsi="Univers" w:cs="Arial"/>
          <w:sz w:val="16"/>
          <w:szCs w:val="16"/>
          <w:vertAlign w:val="superscript"/>
        </w:rPr>
        <w:t xml:space="preserve"> </w:t>
      </w:r>
      <w:r w:rsidRPr="0041288F">
        <w:rPr>
          <w:sz w:val="16"/>
          <w:szCs w:val="16"/>
        </w:rPr>
        <w:t>Gastos efectuados antes de un viaje internacional, tales como: la adquisición del transporte por vía aérea y/o terrestre; así como, la contratación de paquetes turísticos en alguna agencia de viajes residente.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8CEC" w14:textId="26386756" w:rsidR="00142902" w:rsidRPr="009F1076" w:rsidRDefault="00142902" w:rsidP="00A634AF">
    <w:pPr>
      <w:pStyle w:val="Encabezado"/>
      <w:framePr w:w="5398" w:hSpace="141" w:wrap="auto" w:vAnchor="text" w:hAnchor="page" w:x="5905" w:y="34"/>
      <w:ind w:left="567" w:right="-2" w:hanging="11"/>
      <w:jc w:val="right"/>
      <w:rPr>
        <w:rFonts w:ascii="Arial" w:hAnsi="Arial" w:cs="Arial"/>
        <w:b/>
        <w:color w:val="002060"/>
      </w:rPr>
    </w:pPr>
    <w:r w:rsidRPr="009F1076">
      <w:rPr>
        <w:rFonts w:ascii="Arial" w:hAnsi="Arial" w:cs="Arial"/>
        <w:b/>
        <w:color w:val="002060"/>
      </w:rPr>
      <w:t>COMUNICADO DE PRENSA NÚM. 7</w:t>
    </w:r>
    <w:r w:rsidR="00A634AF">
      <w:rPr>
        <w:rFonts w:ascii="Arial" w:hAnsi="Arial" w:cs="Arial"/>
        <w:b/>
        <w:color w:val="002060"/>
      </w:rPr>
      <w:t>73</w:t>
    </w:r>
    <w:r w:rsidRPr="009F1076">
      <w:rPr>
        <w:rFonts w:ascii="Arial" w:hAnsi="Arial" w:cs="Arial"/>
        <w:b/>
        <w:color w:val="002060"/>
      </w:rPr>
      <w:t>/21</w:t>
    </w:r>
  </w:p>
  <w:p w14:paraId="5288E98A" w14:textId="417E6553" w:rsidR="00142902" w:rsidRPr="009F1076" w:rsidRDefault="00142902" w:rsidP="00A634AF">
    <w:pPr>
      <w:pStyle w:val="Encabezado"/>
      <w:framePr w:w="5398" w:hSpace="141" w:wrap="auto" w:vAnchor="text" w:hAnchor="page" w:x="5905" w:y="34"/>
      <w:ind w:left="567" w:right="-2" w:hanging="11"/>
      <w:jc w:val="right"/>
      <w:rPr>
        <w:rFonts w:ascii="Arial" w:hAnsi="Arial" w:cs="Arial"/>
        <w:b/>
        <w:color w:val="002060"/>
        <w:lang w:val="pt-BR"/>
      </w:rPr>
    </w:pPr>
    <w:r w:rsidRPr="009F1076">
      <w:rPr>
        <w:rFonts w:ascii="Arial" w:hAnsi="Arial" w:cs="Arial"/>
        <w:b/>
        <w:color w:val="002060"/>
        <w:lang w:val="pt-BR"/>
      </w:rPr>
      <w:t>1</w:t>
    </w:r>
    <w:r w:rsidR="00A634AF">
      <w:rPr>
        <w:rFonts w:ascii="Arial" w:hAnsi="Arial" w:cs="Arial"/>
        <w:b/>
        <w:color w:val="002060"/>
        <w:lang w:val="pt-BR"/>
      </w:rPr>
      <w:t>5</w:t>
    </w:r>
    <w:r w:rsidRPr="009F1076">
      <w:rPr>
        <w:rFonts w:ascii="Arial" w:hAnsi="Arial" w:cs="Arial"/>
        <w:b/>
        <w:color w:val="002060"/>
        <w:lang w:val="pt-BR"/>
      </w:rPr>
      <w:t xml:space="preserve"> DE DICIEMBRE DE 2021</w:t>
    </w:r>
  </w:p>
  <w:p w14:paraId="697428A0" w14:textId="77777777" w:rsidR="00142902" w:rsidRPr="009F1076" w:rsidRDefault="00142902" w:rsidP="00A634AF">
    <w:pPr>
      <w:pStyle w:val="Encabezado"/>
      <w:framePr w:w="5398" w:hSpace="141" w:wrap="auto" w:vAnchor="text" w:hAnchor="page" w:x="5905" w:y="34"/>
      <w:ind w:left="567" w:right="-2" w:hanging="11"/>
      <w:jc w:val="right"/>
      <w:rPr>
        <w:rFonts w:ascii="Arial" w:hAnsi="Arial" w:cs="Arial"/>
        <w:b/>
        <w:color w:val="002060"/>
        <w:lang w:val="pt-BR"/>
      </w:rPr>
    </w:pPr>
    <w:r w:rsidRPr="009F1076">
      <w:rPr>
        <w:rFonts w:ascii="Arial" w:hAnsi="Arial" w:cs="Arial"/>
        <w:b/>
        <w:color w:val="002060"/>
        <w:lang w:val="pt-BR"/>
      </w:rPr>
      <w:t xml:space="preserve">PÁGINA </w:t>
    </w:r>
    <w:r w:rsidRPr="009F1076">
      <w:rPr>
        <w:rFonts w:ascii="Arial" w:hAnsi="Arial" w:cs="Arial"/>
        <w:b/>
        <w:color w:val="002060"/>
      </w:rPr>
      <w:fldChar w:fldCharType="begin"/>
    </w:r>
    <w:r w:rsidRPr="009F1076">
      <w:rPr>
        <w:rFonts w:ascii="Arial" w:hAnsi="Arial" w:cs="Arial"/>
        <w:b/>
        <w:color w:val="002060"/>
        <w:lang w:val="pt-BR"/>
      </w:rPr>
      <w:instrText xml:space="preserve">\PAGE </w:instrText>
    </w:r>
    <w:r w:rsidRPr="009F1076">
      <w:rPr>
        <w:rFonts w:ascii="Arial" w:hAnsi="Arial" w:cs="Arial"/>
        <w:color w:val="002060"/>
      </w:rPr>
      <w:fldChar w:fldCharType="separate"/>
    </w:r>
    <w:r w:rsidRPr="009F1076">
      <w:rPr>
        <w:rFonts w:ascii="Arial" w:hAnsi="Arial" w:cs="Arial"/>
        <w:color w:val="002060"/>
      </w:rPr>
      <w:t>1</w:t>
    </w:r>
    <w:r w:rsidRPr="009F1076">
      <w:rPr>
        <w:rFonts w:ascii="Arial" w:hAnsi="Arial" w:cs="Arial"/>
        <w:color w:val="002060"/>
      </w:rPr>
      <w:fldChar w:fldCharType="end"/>
    </w:r>
    <w:r w:rsidRPr="009F1076">
      <w:rPr>
        <w:rFonts w:ascii="Arial" w:hAnsi="Arial" w:cs="Arial"/>
        <w:b/>
        <w:color w:val="002060"/>
        <w:lang w:val="pt-BR"/>
      </w:rPr>
      <w:t>/2</w:t>
    </w:r>
  </w:p>
  <w:p w14:paraId="284765A2" w14:textId="77777777" w:rsidR="00142902" w:rsidRDefault="00142902" w:rsidP="00A634AF">
    <w:pPr>
      <w:pStyle w:val="Encabezado"/>
      <w:tabs>
        <w:tab w:val="center" w:pos="1713"/>
      </w:tabs>
      <w:ind w:left="-567"/>
    </w:pPr>
    <w:r w:rsidRPr="008309F1">
      <w:rPr>
        <w:noProof/>
      </w:rPr>
      <w:drawing>
        <wp:inline distT="0" distB="0" distL="0" distR="0" wp14:anchorId="435F339B" wp14:editId="364B874B">
          <wp:extent cx="742950" cy="769466"/>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731D" w14:textId="2D821536" w:rsidR="00D1584D" w:rsidRDefault="00A634AF" w:rsidP="00A634AF">
    <w:pPr>
      <w:pStyle w:val="Encabezado"/>
      <w:tabs>
        <w:tab w:val="center" w:pos="1713"/>
      </w:tabs>
      <w:ind w:left="-567" w:firstLine="567"/>
      <w:jc w:val="center"/>
    </w:pPr>
    <w:r w:rsidRPr="008309F1">
      <w:rPr>
        <w:noProof/>
      </w:rPr>
      <w:drawing>
        <wp:inline distT="0" distB="0" distL="0" distR="0" wp14:anchorId="4D8D68C6" wp14:editId="44F95D6E">
          <wp:extent cx="742950" cy="769466"/>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31324"/>
    <w:multiLevelType w:val="hybridMultilevel"/>
    <w:tmpl w:val="F138A73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10E1444C"/>
    <w:multiLevelType w:val="hybridMultilevel"/>
    <w:tmpl w:val="BB52B8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20FC266C"/>
    <w:multiLevelType w:val="hybridMultilevel"/>
    <w:tmpl w:val="741E17F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7396102E"/>
    <w:multiLevelType w:val="hybridMultilevel"/>
    <w:tmpl w:val="018E1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94"/>
    <w:rsid w:val="00000486"/>
    <w:rsid w:val="00001B4D"/>
    <w:rsid w:val="00005C5E"/>
    <w:rsid w:val="000161AC"/>
    <w:rsid w:val="00022CD2"/>
    <w:rsid w:val="0002598E"/>
    <w:rsid w:val="00027A58"/>
    <w:rsid w:val="00027C30"/>
    <w:rsid w:val="00033CE3"/>
    <w:rsid w:val="000353D6"/>
    <w:rsid w:val="00042EAF"/>
    <w:rsid w:val="00043FC8"/>
    <w:rsid w:val="00047B93"/>
    <w:rsid w:val="0006168D"/>
    <w:rsid w:val="00066560"/>
    <w:rsid w:val="00066944"/>
    <w:rsid w:val="00066E89"/>
    <w:rsid w:val="0007127C"/>
    <w:rsid w:val="0007202D"/>
    <w:rsid w:val="000771A5"/>
    <w:rsid w:val="00081AD6"/>
    <w:rsid w:val="000850BD"/>
    <w:rsid w:val="000942B0"/>
    <w:rsid w:val="000979E1"/>
    <w:rsid w:val="000A2285"/>
    <w:rsid w:val="000A419B"/>
    <w:rsid w:val="000B2914"/>
    <w:rsid w:val="000C1D0A"/>
    <w:rsid w:val="000D19E8"/>
    <w:rsid w:val="000D1A65"/>
    <w:rsid w:val="000E75B3"/>
    <w:rsid w:val="000E7DC1"/>
    <w:rsid w:val="000F0AC9"/>
    <w:rsid w:val="000F26A9"/>
    <w:rsid w:val="00102B54"/>
    <w:rsid w:val="00107C3F"/>
    <w:rsid w:val="001201DD"/>
    <w:rsid w:val="00121B1B"/>
    <w:rsid w:val="00124A38"/>
    <w:rsid w:val="00125305"/>
    <w:rsid w:val="001263BA"/>
    <w:rsid w:val="00130F5D"/>
    <w:rsid w:val="00134475"/>
    <w:rsid w:val="00140BDE"/>
    <w:rsid w:val="00141A97"/>
    <w:rsid w:val="00142902"/>
    <w:rsid w:val="00146E06"/>
    <w:rsid w:val="00147A7F"/>
    <w:rsid w:val="00151583"/>
    <w:rsid w:val="001573E0"/>
    <w:rsid w:val="001633FE"/>
    <w:rsid w:val="001650B4"/>
    <w:rsid w:val="00166DD8"/>
    <w:rsid w:val="0017551E"/>
    <w:rsid w:val="0017595C"/>
    <w:rsid w:val="001811D3"/>
    <w:rsid w:val="001911C9"/>
    <w:rsid w:val="00191611"/>
    <w:rsid w:val="001A0262"/>
    <w:rsid w:val="001A08F0"/>
    <w:rsid w:val="001A1044"/>
    <w:rsid w:val="001A2ADC"/>
    <w:rsid w:val="001A3420"/>
    <w:rsid w:val="001B10F8"/>
    <w:rsid w:val="001B269C"/>
    <w:rsid w:val="001B33B3"/>
    <w:rsid w:val="001B3AF4"/>
    <w:rsid w:val="001B5F7A"/>
    <w:rsid w:val="001C0FF0"/>
    <w:rsid w:val="001C1A11"/>
    <w:rsid w:val="001D3128"/>
    <w:rsid w:val="001D4F80"/>
    <w:rsid w:val="001E4B4A"/>
    <w:rsid w:val="001E5EC1"/>
    <w:rsid w:val="001E6B57"/>
    <w:rsid w:val="001F0EC2"/>
    <w:rsid w:val="001F11C1"/>
    <w:rsid w:val="002042ED"/>
    <w:rsid w:val="00214D7E"/>
    <w:rsid w:val="0021770F"/>
    <w:rsid w:val="00217F98"/>
    <w:rsid w:val="002209A6"/>
    <w:rsid w:val="0022125A"/>
    <w:rsid w:val="002218E4"/>
    <w:rsid w:val="00222648"/>
    <w:rsid w:val="00225277"/>
    <w:rsid w:val="00225A19"/>
    <w:rsid w:val="00227EE5"/>
    <w:rsid w:val="00233335"/>
    <w:rsid w:val="002357DA"/>
    <w:rsid w:val="002531C2"/>
    <w:rsid w:val="00253D77"/>
    <w:rsid w:val="00254DE5"/>
    <w:rsid w:val="00254DF7"/>
    <w:rsid w:val="00263C34"/>
    <w:rsid w:val="00267C47"/>
    <w:rsid w:val="0027223C"/>
    <w:rsid w:val="00274756"/>
    <w:rsid w:val="00274D0F"/>
    <w:rsid w:val="00274DC6"/>
    <w:rsid w:val="00277267"/>
    <w:rsid w:val="00277390"/>
    <w:rsid w:val="00277477"/>
    <w:rsid w:val="002779E8"/>
    <w:rsid w:val="00283788"/>
    <w:rsid w:val="00286103"/>
    <w:rsid w:val="002902AA"/>
    <w:rsid w:val="00291CE7"/>
    <w:rsid w:val="00293C75"/>
    <w:rsid w:val="002A2E84"/>
    <w:rsid w:val="002A426A"/>
    <w:rsid w:val="002A47E3"/>
    <w:rsid w:val="002B1EA5"/>
    <w:rsid w:val="002B2F15"/>
    <w:rsid w:val="002B46D3"/>
    <w:rsid w:val="002D2731"/>
    <w:rsid w:val="002D3890"/>
    <w:rsid w:val="002D61DC"/>
    <w:rsid w:val="002D6823"/>
    <w:rsid w:val="002E35B2"/>
    <w:rsid w:val="002E4CCA"/>
    <w:rsid w:val="002F00A2"/>
    <w:rsid w:val="002F0D07"/>
    <w:rsid w:val="002F1847"/>
    <w:rsid w:val="002F2271"/>
    <w:rsid w:val="002F68AE"/>
    <w:rsid w:val="00300627"/>
    <w:rsid w:val="00302DFC"/>
    <w:rsid w:val="00303B5F"/>
    <w:rsid w:val="00306AE8"/>
    <w:rsid w:val="00323E72"/>
    <w:rsid w:val="00325ABC"/>
    <w:rsid w:val="00337432"/>
    <w:rsid w:val="00340410"/>
    <w:rsid w:val="00341B85"/>
    <w:rsid w:val="00342E8D"/>
    <w:rsid w:val="00345D36"/>
    <w:rsid w:val="003515A9"/>
    <w:rsid w:val="00354C45"/>
    <w:rsid w:val="00364D3B"/>
    <w:rsid w:val="003770BC"/>
    <w:rsid w:val="003817BD"/>
    <w:rsid w:val="00385041"/>
    <w:rsid w:val="003915C1"/>
    <w:rsid w:val="00391D2A"/>
    <w:rsid w:val="00397661"/>
    <w:rsid w:val="003A0362"/>
    <w:rsid w:val="003B0293"/>
    <w:rsid w:val="003B155E"/>
    <w:rsid w:val="003B20B5"/>
    <w:rsid w:val="003B295A"/>
    <w:rsid w:val="003B6D7E"/>
    <w:rsid w:val="003E6EC3"/>
    <w:rsid w:val="003F5F00"/>
    <w:rsid w:val="003F7B57"/>
    <w:rsid w:val="00403D89"/>
    <w:rsid w:val="00406AB6"/>
    <w:rsid w:val="00407D31"/>
    <w:rsid w:val="0041288F"/>
    <w:rsid w:val="00415020"/>
    <w:rsid w:val="00420B7E"/>
    <w:rsid w:val="00424788"/>
    <w:rsid w:val="004277E7"/>
    <w:rsid w:val="00431377"/>
    <w:rsid w:val="004324B3"/>
    <w:rsid w:val="0043460B"/>
    <w:rsid w:val="00436D15"/>
    <w:rsid w:val="0044221E"/>
    <w:rsid w:val="00444F0A"/>
    <w:rsid w:val="00445B61"/>
    <w:rsid w:val="00452246"/>
    <w:rsid w:val="00453FC3"/>
    <w:rsid w:val="00454778"/>
    <w:rsid w:val="00456422"/>
    <w:rsid w:val="00456800"/>
    <w:rsid w:val="0046058A"/>
    <w:rsid w:val="00463C39"/>
    <w:rsid w:val="00470754"/>
    <w:rsid w:val="00473CF4"/>
    <w:rsid w:val="00480DD5"/>
    <w:rsid w:val="00491D5E"/>
    <w:rsid w:val="004A119F"/>
    <w:rsid w:val="004B0D3D"/>
    <w:rsid w:val="004B5D1C"/>
    <w:rsid w:val="004C260D"/>
    <w:rsid w:val="004D2BC1"/>
    <w:rsid w:val="004E07E9"/>
    <w:rsid w:val="004F017B"/>
    <w:rsid w:val="004F29C0"/>
    <w:rsid w:val="004F3767"/>
    <w:rsid w:val="004F456F"/>
    <w:rsid w:val="005001BE"/>
    <w:rsid w:val="00500CFB"/>
    <w:rsid w:val="00503A60"/>
    <w:rsid w:val="00503EDE"/>
    <w:rsid w:val="00510CE0"/>
    <w:rsid w:val="0051194B"/>
    <w:rsid w:val="00512537"/>
    <w:rsid w:val="005127FA"/>
    <w:rsid w:val="005144D9"/>
    <w:rsid w:val="00514B7D"/>
    <w:rsid w:val="00514E65"/>
    <w:rsid w:val="00517A51"/>
    <w:rsid w:val="00520DDB"/>
    <w:rsid w:val="00524FB1"/>
    <w:rsid w:val="00525A88"/>
    <w:rsid w:val="00526D2F"/>
    <w:rsid w:val="005300C7"/>
    <w:rsid w:val="0054251E"/>
    <w:rsid w:val="00544E03"/>
    <w:rsid w:val="0054587D"/>
    <w:rsid w:val="005504CF"/>
    <w:rsid w:val="00555BE8"/>
    <w:rsid w:val="00566298"/>
    <w:rsid w:val="00572392"/>
    <w:rsid w:val="00573734"/>
    <w:rsid w:val="005833AB"/>
    <w:rsid w:val="00585FDD"/>
    <w:rsid w:val="005872B5"/>
    <w:rsid w:val="005953CD"/>
    <w:rsid w:val="005A220E"/>
    <w:rsid w:val="005B0DEE"/>
    <w:rsid w:val="005B3174"/>
    <w:rsid w:val="005B4D9D"/>
    <w:rsid w:val="005C270C"/>
    <w:rsid w:val="005C4D14"/>
    <w:rsid w:val="005C6912"/>
    <w:rsid w:val="005C72E0"/>
    <w:rsid w:val="005D36EB"/>
    <w:rsid w:val="005E0D38"/>
    <w:rsid w:val="005E12D2"/>
    <w:rsid w:val="005F0FE3"/>
    <w:rsid w:val="005F3DFE"/>
    <w:rsid w:val="005F758B"/>
    <w:rsid w:val="005F7E75"/>
    <w:rsid w:val="00600486"/>
    <w:rsid w:val="00600944"/>
    <w:rsid w:val="00603371"/>
    <w:rsid w:val="00614B51"/>
    <w:rsid w:val="00615093"/>
    <w:rsid w:val="00624BD8"/>
    <w:rsid w:val="00634AD1"/>
    <w:rsid w:val="00636D65"/>
    <w:rsid w:val="00640966"/>
    <w:rsid w:val="0064338D"/>
    <w:rsid w:val="0064746D"/>
    <w:rsid w:val="00654AA4"/>
    <w:rsid w:val="00662579"/>
    <w:rsid w:val="006634BD"/>
    <w:rsid w:val="006635BC"/>
    <w:rsid w:val="00666272"/>
    <w:rsid w:val="00671E0B"/>
    <w:rsid w:val="006770FE"/>
    <w:rsid w:val="0067746C"/>
    <w:rsid w:val="006821D6"/>
    <w:rsid w:val="00682C6D"/>
    <w:rsid w:val="00684A97"/>
    <w:rsid w:val="00685646"/>
    <w:rsid w:val="00691419"/>
    <w:rsid w:val="00694001"/>
    <w:rsid w:val="006A10BE"/>
    <w:rsid w:val="006A2B5D"/>
    <w:rsid w:val="006B0A79"/>
    <w:rsid w:val="006B7D6F"/>
    <w:rsid w:val="006C18E3"/>
    <w:rsid w:val="006C4671"/>
    <w:rsid w:val="006C6EF7"/>
    <w:rsid w:val="006D437B"/>
    <w:rsid w:val="006D7133"/>
    <w:rsid w:val="006E2358"/>
    <w:rsid w:val="006E2D46"/>
    <w:rsid w:val="006E3E45"/>
    <w:rsid w:val="006E7D39"/>
    <w:rsid w:val="006F69D3"/>
    <w:rsid w:val="00704067"/>
    <w:rsid w:val="0070781E"/>
    <w:rsid w:val="007108EB"/>
    <w:rsid w:val="007122BD"/>
    <w:rsid w:val="00713731"/>
    <w:rsid w:val="00713947"/>
    <w:rsid w:val="00724605"/>
    <w:rsid w:val="00730F6D"/>
    <w:rsid w:val="00735658"/>
    <w:rsid w:val="00735D49"/>
    <w:rsid w:val="00736927"/>
    <w:rsid w:val="00736DAD"/>
    <w:rsid w:val="007400A0"/>
    <w:rsid w:val="007412D4"/>
    <w:rsid w:val="00744A09"/>
    <w:rsid w:val="007457B4"/>
    <w:rsid w:val="00751527"/>
    <w:rsid w:val="00754391"/>
    <w:rsid w:val="00761753"/>
    <w:rsid w:val="00761F8D"/>
    <w:rsid w:val="007716F9"/>
    <w:rsid w:val="00773175"/>
    <w:rsid w:val="00776332"/>
    <w:rsid w:val="00777D18"/>
    <w:rsid w:val="007807B7"/>
    <w:rsid w:val="00782122"/>
    <w:rsid w:val="007A0065"/>
    <w:rsid w:val="007A0E91"/>
    <w:rsid w:val="007A23D0"/>
    <w:rsid w:val="007A25D7"/>
    <w:rsid w:val="007A5EFC"/>
    <w:rsid w:val="007A7036"/>
    <w:rsid w:val="007B32C1"/>
    <w:rsid w:val="007B5CCF"/>
    <w:rsid w:val="007B68A5"/>
    <w:rsid w:val="007C1DB3"/>
    <w:rsid w:val="007C53D8"/>
    <w:rsid w:val="007C54B2"/>
    <w:rsid w:val="007D0EC2"/>
    <w:rsid w:val="007D7541"/>
    <w:rsid w:val="007F0A5C"/>
    <w:rsid w:val="007F2A2D"/>
    <w:rsid w:val="00800EF9"/>
    <w:rsid w:val="00801629"/>
    <w:rsid w:val="0080258B"/>
    <w:rsid w:val="00805C7B"/>
    <w:rsid w:val="00806BEB"/>
    <w:rsid w:val="008149FE"/>
    <w:rsid w:val="00815B1F"/>
    <w:rsid w:val="008274BF"/>
    <w:rsid w:val="00831A7E"/>
    <w:rsid w:val="00834F8F"/>
    <w:rsid w:val="008352F5"/>
    <w:rsid w:val="0083638E"/>
    <w:rsid w:val="0083674E"/>
    <w:rsid w:val="00845188"/>
    <w:rsid w:val="0084672E"/>
    <w:rsid w:val="0085042C"/>
    <w:rsid w:val="008524FE"/>
    <w:rsid w:val="00860186"/>
    <w:rsid w:val="00863BCA"/>
    <w:rsid w:val="00865764"/>
    <w:rsid w:val="00866368"/>
    <w:rsid w:val="008725A2"/>
    <w:rsid w:val="00875719"/>
    <w:rsid w:val="0088113F"/>
    <w:rsid w:val="008831DA"/>
    <w:rsid w:val="0088456D"/>
    <w:rsid w:val="00886176"/>
    <w:rsid w:val="008869DE"/>
    <w:rsid w:val="00886CD5"/>
    <w:rsid w:val="00891779"/>
    <w:rsid w:val="00895520"/>
    <w:rsid w:val="008A1CAE"/>
    <w:rsid w:val="008A2EC3"/>
    <w:rsid w:val="008A3E90"/>
    <w:rsid w:val="008A777B"/>
    <w:rsid w:val="008B30F2"/>
    <w:rsid w:val="008B5E63"/>
    <w:rsid w:val="008B6DD0"/>
    <w:rsid w:val="008C7264"/>
    <w:rsid w:val="008D1D78"/>
    <w:rsid w:val="008D2D36"/>
    <w:rsid w:val="008D3481"/>
    <w:rsid w:val="008D46A7"/>
    <w:rsid w:val="008D7709"/>
    <w:rsid w:val="008E3F73"/>
    <w:rsid w:val="008E4269"/>
    <w:rsid w:val="008E5845"/>
    <w:rsid w:val="008E63C1"/>
    <w:rsid w:val="008E6FD1"/>
    <w:rsid w:val="0090294C"/>
    <w:rsid w:val="00903295"/>
    <w:rsid w:val="00903752"/>
    <w:rsid w:val="00904A80"/>
    <w:rsid w:val="00904E2B"/>
    <w:rsid w:val="00906F1F"/>
    <w:rsid w:val="00910613"/>
    <w:rsid w:val="00910871"/>
    <w:rsid w:val="00915033"/>
    <w:rsid w:val="00916A87"/>
    <w:rsid w:val="00926507"/>
    <w:rsid w:val="00930014"/>
    <w:rsid w:val="009337B1"/>
    <w:rsid w:val="00936432"/>
    <w:rsid w:val="00936545"/>
    <w:rsid w:val="00936B14"/>
    <w:rsid w:val="0094090A"/>
    <w:rsid w:val="009530AE"/>
    <w:rsid w:val="00953232"/>
    <w:rsid w:val="009558A1"/>
    <w:rsid w:val="00966BF8"/>
    <w:rsid w:val="00971814"/>
    <w:rsid w:val="00977D98"/>
    <w:rsid w:val="00981BDF"/>
    <w:rsid w:val="00991502"/>
    <w:rsid w:val="00991B7D"/>
    <w:rsid w:val="00994BB9"/>
    <w:rsid w:val="009A09CB"/>
    <w:rsid w:val="009A45F4"/>
    <w:rsid w:val="009A6DFA"/>
    <w:rsid w:val="009B609B"/>
    <w:rsid w:val="009C0C0B"/>
    <w:rsid w:val="009C11D7"/>
    <w:rsid w:val="009C4AF5"/>
    <w:rsid w:val="009C5F83"/>
    <w:rsid w:val="009C7ACE"/>
    <w:rsid w:val="009C7F29"/>
    <w:rsid w:val="009D04C0"/>
    <w:rsid w:val="009D0C99"/>
    <w:rsid w:val="009D7D2D"/>
    <w:rsid w:val="009F2B76"/>
    <w:rsid w:val="009F5CC3"/>
    <w:rsid w:val="00A002F8"/>
    <w:rsid w:val="00A00AB6"/>
    <w:rsid w:val="00A0732E"/>
    <w:rsid w:val="00A13089"/>
    <w:rsid w:val="00A13F13"/>
    <w:rsid w:val="00A245C6"/>
    <w:rsid w:val="00A262D8"/>
    <w:rsid w:val="00A314A9"/>
    <w:rsid w:val="00A31608"/>
    <w:rsid w:val="00A359BF"/>
    <w:rsid w:val="00A37384"/>
    <w:rsid w:val="00A41169"/>
    <w:rsid w:val="00A41CD4"/>
    <w:rsid w:val="00A429F9"/>
    <w:rsid w:val="00A42AC9"/>
    <w:rsid w:val="00A46EB4"/>
    <w:rsid w:val="00A61BA7"/>
    <w:rsid w:val="00A634AF"/>
    <w:rsid w:val="00A63879"/>
    <w:rsid w:val="00A67060"/>
    <w:rsid w:val="00A71650"/>
    <w:rsid w:val="00A71EC8"/>
    <w:rsid w:val="00A72E80"/>
    <w:rsid w:val="00A81A2F"/>
    <w:rsid w:val="00A830B6"/>
    <w:rsid w:val="00A83369"/>
    <w:rsid w:val="00A9464B"/>
    <w:rsid w:val="00A964B2"/>
    <w:rsid w:val="00AA0612"/>
    <w:rsid w:val="00AA1552"/>
    <w:rsid w:val="00AA4E4A"/>
    <w:rsid w:val="00AA653F"/>
    <w:rsid w:val="00AA757E"/>
    <w:rsid w:val="00AB07AB"/>
    <w:rsid w:val="00AB2B3C"/>
    <w:rsid w:val="00AB48B2"/>
    <w:rsid w:val="00AB4D35"/>
    <w:rsid w:val="00AB561B"/>
    <w:rsid w:val="00AB5F83"/>
    <w:rsid w:val="00AC5066"/>
    <w:rsid w:val="00AD032C"/>
    <w:rsid w:val="00AD0359"/>
    <w:rsid w:val="00AD1872"/>
    <w:rsid w:val="00AD3A37"/>
    <w:rsid w:val="00AD704B"/>
    <w:rsid w:val="00AD79F5"/>
    <w:rsid w:val="00AE2EA3"/>
    <w:rsid w:val="00AE4C7F"/>
    <w:rsid w:val="00AE7186"/>
    <w:rsid w:val="00AF1CA2"/>
    <w:rsid w:val="00AF2326"/>
    <w:rsid w:val="00AF2E50"/>
    <w:rsid w:val="00B16B4A"/>
    <w:rsid w:val="00B479DC"/>
    <w:rsid w:val="00B5002C"/>
    <w:rsid w:val="00B511F8"/>
    <w:rsid w:val="00B51BA1"/>
    <w:rsid w:val="00B52782"/>
    <w:rsid w:val="00B55B80"/>
    <w:rsid w:val="00B6193A"/>
    <w:rsid w:val="00B65AED"/>
    <w:rsid w:val="00B66CF2"/>
    <w:rsid w:val="00B66DDA"/>
    <w:rsid w:val="00B729A2"/>
    <w:rsid w:val="00B74004"/>
    <w:rsid w:val="00B81CF9"/>
    <w:rsid w:val="00B94C95"/>
    <w:rsid w:val="00BA3ACE"/>
    <w:rsid w:val="00BA73FC"/>
    <w:rsid w:val="00BB1BF1"/>
    <w:rsid w:val="00BB69C2"/>
    <w:rsid w:val="00BE2872"/>
    <w:rsid w:val="00BE4F88"/>
    <w:rsid w:val="00BE70F2"/>
    <w:rsid w:val="00BE7F20"/>
    <w:rsid w:val="00BF1C41"/>
    <w:rsid w:val="00C04AF5"/>
    <w:rsid w:val="00C105B1"/>
    <w:rsid w:val="00C11D99"/>
    <w:rsid w:val="00C11F89"/>
    <w:rsid w:val="00C13E7E"/>
    <w:rsid w:val="00C1453E"/>
    <w:rsid w:val="00C22EA8"/>
    <w:rsid w:val="00C27100"/>
    <w:rsid w:val="00C276EA"/>
    <w:rsid w:val="00C32F5B"/>
    <w:rsid w:val="00C33EEA"/>
    <w:rsid w:val="00C33F02"/>
    <w:rsid w:val="00C41F82"/>
    <w:rsid w:val="00C5178F"/>
    <w:rsid w:val="00C535D7"/>
    <w:rsid w:val="00C623C3"/>
    <w:rsid w:val="00C62773"/>
    <w:rsid w:val="00C64BE5"/>
    <w:rsid w:val="00C64E7A"/>
    <w:rsid w:val="00C65625"/>
    <w:rsid w:val="00C65E11"/>
    <w:rsid w:val="00C67178"/>
    <w:rsid w:val="00C709E2"/>
    <w:rsid w:val="00C71643"/>
    <w:rsid w:val="00C727C1"/>
    <w:rsid w:val="00C74828"/>
    <w:rsid w:val="00C74C79"/>
    <w:rsid w:val="00C74D3F"/>
    <w:rsid w:val="00C77894"/>
    <w:rsid w:val="00C81259"/>
    <w:rsid w:val="00C83753"/>
    <w:rsid w:val="00C866AD"/>
    <w:rsid w:val="00C9079B"/>
    <w:rsid w:val="00C946ED"/>
    <w:rsid w:val="00C95294"/>
    <w:rsid w:val="00CA0BAE"/>
    <w:rsid w:val="00CA21F2"/>
    <w:rsid w:val="00CA3090"/>
    <w:rsid w:val="00CA3CD2"/>
    <w:rsid w:val="00CB284B"/>
    <w:rsid w:val="00CB2951"/>
    <w:rsid w:val="00CD0C93"/>
    <w:rsid w:val="00CD21D4"/>
    <w:rsid w:val="00CD22F2"/>
    <w:rsid w:val="00CD23F2"/>
    <w:rsid w:val="00CD5286"/>
    <w:rsid w:val="00CD5430"/>
    <w:rsid w:val="00CD7B00"/>
    <w:rsid w:val="00CE042F"/>
    <w:rsid w:val="00CE093B"/>
    <w:rsid w:val="00CE634C"/>
    <w:rsid w:val="00CE68A9"/>
    <w:rsid w:val="00CF29A6"/>
    <w:rsid w:val="00CF6BEC"/>
    <w:rsid w:val="00CF7D16"/>
    <w:rsid w:val="00D0449A"/>
    <w:rsid w:val="00D10D59"/>
    <w:rsid w:val="00D112B7"/>
    <w:rsid w:val="00D1584D"/>
    <w:rsid w:val="00D1632C"/>
    <w:rsid w:val="00D1734E"/>
    <w:rsid w:val="00D20DE5"/>
    <w:rsid w:val="00D2511C"/>
    <w:rsid w:val="00D3170A"/>
    <w:rsid w:val="00D332E3"/>
    <w:rsid w:val="00D36189"/>
    <w:rsid w:val="00D37314"/>
    <w:rsid w:val="00D429A3"/>
    <w:rsid w:val="00D43002"/>
    <w:rsid w:val="00D433A4"/>
    <w:rsid w:val="00D43B51"/>
    <w:rsid w:val="00D474AA"/>
    <w:rsid w:val="00D609A0"/>
    <w:rsid w:val="00D61EAC"/>
    <w:rsid w:val="00D661D1"/>
    <w:rsid w:val="00D662A5"/>
    <w:rsid w:val="00D73FA7"/>
    <w:rsid w:val="00D75D7D"/>
    <w:rsid w:val="00D76629"/>
    <w:rsid w:val="00D8495B"/>
    <w:rsid w:val="00D86A44"/>
    <w:rsid w:val="00D91ED0"/>
    <w:rsid w:val="00D92E38"/>
    <w:rsid w:val="00D92FDE"/>
    <w:rsid w:val="00D955B4"/>
    <w:rsid w:val="00DA1337"/>
    <w:rsid w:val="00DA2125"/>
    <w:rsid w:val="00DA2B0E"/>
    <w:rsid w:val="00DB3CF7"/>
    <w:rsid w:val="00DB4B09"/>
    <w:rsid w:val="00DB7532"/>
    <w:rsid w:val="00DC31BC"/>
    <w:rsid w:val="00DC5972"/>
    <w:rsid w:val="00DC668B"/>
    <w:rsid w:val="00DD1448"/>
    <w:rsid w:val="00DD2FBC"/>
    <w:rsid w:val="00DD7B8C"/>
    <w:rsid w:val="00DE2B72"/>
    <w:rsid w:val="00DF14EF"/>
    <w:rsid w:val="00DF409B"/>
    <w:rsid w:val="00E01EE3"/>
    <w:rsid w:val="00E02DD2"/>
    <w:rsid w:val="00E02EDC"/>
    <w:rsid w:val="00E0427B"/>
    <w:rsid w:val="00E05292"/>
    <w:rsid w:val="00E06122"/>
    <w:rsid w:val="00E077AC"/>
    <w:rsid w:val="00E2407B"/>
    <w:rsid w:val="00E323FF"/>
    <w:rsid w:val="00E432AF"/>
    <w:rsid w:val="00E46925"/>
    <w:rsid w:val="00E54442"/>
    <w:rsid w:val="00E572D8"/>
    <w:rsid w:val="00E62903"/>
    <w:rsid w:val="00E67751"/>
    <w:rsid w:val="00E7208E"/>
    <w:rsid w:val="00E7232B"/>
    <w:rsid w:val="00E87C97"/>
    <w:rsid w:val="00E92592"/>
    <w:rsid w:val="00E96C8B"/>
    <w:rsid w:val="00E97BD6"/>
    <w:rsid w:val="00E97CEE"/>
    <w:rsid w:val="00EA155B"/>
    <w:rsid w:val="00EA1A96"/>
    <w:rsid w:val="00EB3764"/>
    <w:rsid w:val="00EB7C06"/>
    <w:rsid w:val="00EC3061"/>
    <w:rsid w:val="00ED082D"/>
    <w:rsid w:val="00ED417B"/>
    <w:rsid w:val="00ED61A6"/>
    <w:rsid w:val="00ED71F9"/>
    <w:rsid w:val="00EE638B"/>
    <w:rsid w:val="00EE7F94"/>
    <w:rsid w:val="00EF2C29"/>
    <w:rsid w:val="00F00E35"/>
    <w:rsid w:val="00F02CD9"/>
    <w:rsid w:val="00F0626E"/>
    <w:rsid w:val="00F070BC"/>
    <w:rsid w:val="00F10C79"/>
    <w:rsid w:val="00F11CB4"/>
    <w:rsid w:val="00F12621"/>
    <w:rsid w:val="00F1338E"/>
    <w:rsid w:val="00F2064E"/>
    <w:rsid w:val="00F22E86"/>
    <w:rsid w:val="00F419B5"/>
    <w:rsid w:val="00F50862"/>
    <w:rsid w:val="00F54852"/>
    <w:rsid w:val="00F62081"/>
    <w:rsid w:val="00F63543"/>
    <w:rsid w:val="00F6376F"/>
    <w:rsid w:val="00F63AED"/>
    <w:rsid w:val="00F65F10"/>
    <w:rsid w:val="00F67734"/>
    <w:rsid w:val="00F74F89"/>
    <w:rsid w:val="00F76C3D"/>
    <w:rsid w:val="00F8104D"/>
    <w:rsid w:val="00F811B6"/>
    <w:rsid w:val="00F85B0B"/>
    <w:rsid w:val="00F8734E"/>
    <w:rsid w:val="00F91C2E"/>
    <w:rsid w:val="00FA02E4"/>
    <w:rsid w:val="00FA04A9"/>
    <w:rsid w:val="00FA203A"/>
    <w:rsid w:val="00FA5325"/>
    <w:rsid w:val="00FA6023"/>
    <w:rsid w:val="00FB2A46"/>
    <w:rsid w:val="00FB5F80"/>
    <w:rsid w:val="00FB74E0"/>
    <w:rsid w:val="00FC0A2D"/>
    <w:rsid w:val="00FC146E"/>
    <w:rsid w:val="00FC5F7D"/>
    <w:rsid w:val="00FC5F98"/>
    <w:rsid w:val="00FD09B5"/>
    <w:rsid w:val="00FD49C8"/>
    <w:rsid w:val="00FD4AFE"/>
    <w:rsid w:val="00FE00F8"/>
    <w:rsid w:val="00FE3D66"/>
    <w:rsid w:val="00FE780A"/>
    <w:rsid w:val="00FF5178"/>
    <w:rsid w:val="00FF7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6F570"/>
  <w15:docId w15:val="{25AB2F02-4A33-4A6E-8183-57FBC92E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1F9"/>
    <w:pPr>
      <w:spacing w:after="0" w:line="240" w:lineRule="auto"/>
    </w:pPr>
    <w:rPr>
      <w:rFonts w:ascii="Univers (W1)" w:eastAsia="Univers (W1)" w:hAnsi="Univers (W1)" w:cs="Univers (W1)"/>
      <w:sz w:val="24"/>
      <w:szCs w:val="24"/>
      <w:lang w:eastAsia="es-MX"/>
    </w:rPr>
  </w:style>
  <w:style w:type="paragraph" w:styleId="Ttulo1">
    <w:name w:val="heading 1"/>
    <w:basedOn w:val="Normal"/>
    <w:next w:val="Normal"/>
    <w:link w:val="Ttulo1Car"/>
    <w:uiPriority w:val="9"/>
    <w:qFormat/>
    <w:rsid w:val="00C145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94BB9"/>
    <w:pPr>
      <w:keepNext/>
      <w:spacing w:before="240"/>
      <w:jc w:val="both"/>
      <w:outlineLvl w:val="1"/>
    </w:pPr>
    <w:rPr>
      <w:rFonts w:ascii="MS Sans Serif" w:hAnsi="MS Sans Serif" w:cs="MS Sans Serif"/>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D71F9"/>
    <w:pPr>
      <w:tabs>
        <w:tab w:val="center" w:pos="4419"/>
        <w:tab w:val="right" w:pos="8838"/>
      </w:tabs>
    </w:pPr>
  </w:style>
  <w:style w:type="character" w:customStyle="1" w:styleId="EncabezadoCar">
    <w:name w:val="Encabezado Car"/>
    <w:basedOn w:val="Fuentedeprrafopredeter"/>
    <w:link w:val="Encabezado"/>
    <w:rsid w:val="00ED71F9"/>
  </w:style>
  <w:style w:type="paragraph" w:styleId="Piedepgina">
    <w:name w:val="footer"/>
    <w:basedOn w:val="Normal"/>
    <w:link w:val="PiedepginaCar"/>
    <w:uiPriority w:val="99"/>
    <w:unhideWhenUsed/>
    <w:rsid w:val="00ED71F9"/>
    <w:pPr>
      <w:tabs>
        <w:tab w:val="center" w:pos="4419"/>
        <w:tab w:val="right" w:pos="8838"/>
      </w:tabs>
    </w:pPr>
  </w:style>
  <w:style w:type="character" w:customStyle="1" w:styleId="PiedepginaCar">
    <w:name w:val="Pie de página Car"/>
    <w:basedOn w:val="Fuentedeprrafopredeter"/>
    <w:link w:val="Piedepgina"/>
    <w:uiPriority w:val="99"/>
    <w:rsid w:val="00ED71F9"/>
  </w:style>
  <w:style w:type="paragraph" w:styleId="Textonotapie">
    <w:name w:val="footnote text"/>
    <w:basedOn w:val="Normal"/>
    <w:link w:val="TextonotapieCar"/>
    <w:rsid w:val="00ED71F9"/>
    <w:rPr>
      <w:sz w:val="20"/>
      <w:szCs w:val="20"/>
    </w:rPr>
  </w:style>
  <w:style w:type="character" w:customStyle="1" w:styleId="TextonotapieCar">
    <w:name w:val="Texto nota pie Car"/>
    <w:basedOn w:val="Fuentedeprrafopredeter"/>
    <w:link w:val="Textonotapie"/>
    <w:rsid w:val="00ED71F9"/>
    <w:rPr>
      <w:rFonts w:ascii="Univers (W1)" w:eastAsia="Univers (W1)" w:hAnsi="Univers (W1)" w:cs="Univers (W1)"/>
      <w:sz w:val="20"/>
      <w:szCs w:val="20"/>
      <w:lang w:eastAsia="es-MX"/>
    </w:rPr>
  </w:style>
  <w:style w:type="character" w:styleId="Refdenotaalpie">
    <w:name w:val="footnote reference"/>
    <w:rsid w:val="00ED71F9"/>
    <w:rPr>
      <w:vertAlign w:val="superscript"/>
    </w:rPr>
  </w:style>
  <w:style w:type="paragraph" w:styleId="Textoindependiente">
    <w:name w:val="Body Text"/>
    <w:basedOn w:val="Normal"/>
    <w:link w:val="TextoindependienteCar"/>
    <w:rsid w:val="00ED71F9"/>
    <w:pPr>
      <w:jc w:val="both"/>
    </w:pPr>
    <w:rPr>
      <w:rFonts w:ascii="MS Sans Serif" w:hAnsi="MS Sans Serif"/>
      <w:lang w:val="x-none" w:eastAsia="x-none"/>
    </w:rPr>
  </w:style>
  <w:style w:type="character" w:customStyle="1" w:styleId="TextoindependienteCar">
    <w:name w:val="Texto independiente Car"/>
    <w:basedOn w:val="Fuentedeprrafopredeter"/>
    <w:link w:val="Textoindependiente"/>
    <w:rsid w:val="00ED71F9"/>
    <w:rPr>
      <w:rFonts w:ascii="MS Sans Serif" w:eastAsia="Univers (W1)" w:hAnsi="MS Sans Serif" w:cs="Univers (W1)"/>
      <w:sz w:val="24"/>
      <w:szCs w:val="24"/>
      <w:lang w:val="x-none" w:eastAsia="x-none"/>
    </w:rPr>
  </w:style>
  <w:style w:type="paragraph" w:customStyle="1" w:styleId="Profesin">
    <w:name w:val="Profesión"/>
    <w:basedOn w:val="Normal"/>
    <w:rsid w:val="00ED71F9"/>
    <w:pPr>
      <w:jc w:val="center"/>
    </w:pPr>
    <w:rPr>
      <w:rFonts w:ascii="MS Sans Serif" w:hAnsi="MS Sans Serif"/>
      <w:b/>
      <w:caps/>
      <w:sz w:val="28"/>
      <w:szCs w:val="20"/>
      <w:lang w:val="es-ES_tradnl" w:eastAsia="es-ES"/>
    </w:rPr>
  </w:style>
  <w:style w:type="paragraph" w:customStyle="1" w:styleId="n01">
    <w:name w:val="n01"/>
    <w:basedOn w:val="Normal"/>
    <w:rsid w:val="00ED71F9"/>
    <w:pPr>
      <w:keepLines/>
      <w:spacing w:before="240"/>
      <w:ind w:left="720" w:hanging="720"/>
      <w:jc w:val="both"/>
    </w:pPr>
    <w:rPr>
      <w:rFonts w:ascii="MT Extra" w:hAnsi="MT Extra"/>
      <w:color w:val="800080"/>
      <w:szCs w:val="20"/>
      <w:lang w:val="es-ES_tradnl" w:eastAsia="es-ES"/>
    </w:rPr>
  </w:style>
  <w:style w:type="paragraph" w:customStyle="1" w:styleId="Textodebloque1">
    <w:name w:val="Texto de bloque1"/>
    <w:basedOn w:val="Normal"/>
    <w:rsid w:val="00ED71F9"/>
    <w:pPr>
      <w:spacing w:before="240"/>
      <w:ind w:left="1843" w:right="1361" w:hanging="273"/>
      <w:jc w:val="both"/>
    </w:pPr>
    <w:rPr>
      <w:rFonts w:ascii="MS Sans Serif" w:hAnsi="MS Sans Serif"/>
      <w:b/>
      <w:sz w:val="22"/>
      <w:szCs w:val="20"/>
      <w:lang w:val="es-ES_tradnl" w:eastAsia="es-ES"/>
    </w:rPr>
  </w:style>
  <w:style w:type="character" w:styleId="Hipervnculo">
    <w:name w:val="Hyperlink"/>
    <w:rsid w:val="009D0C99"/>
    <w:rPr>
      <w:color w:val="0000FF"/>
      <w:u w:val="single"/>
    </w:rPr>
  </w:style>
  <w:style w:type="character" w:styleId="Mencinsinresolver">
    <w:name w:val="Unresolved Mention"/>
    <w:basedOn w:val="Fuentedeprrafopredeter"/>
    <w:uiPriority w:val="99"/>
    <w:semiHidden/>
    <w:unhideWhenUsed/>
    <w:rsid w:val="009D0C99"/>
    <w:rPr>
      <w:color w:val="605E5C"/>
      <w:shd w:val="clear" w:color="auto" w:fill="E1DFDD"/>
    </w:rPr>
  </w:style>
  <w:style w:type="character" w:styleId="Refdecomentario">
    <w:name w:val="annotation reference"/>
    <w:basedOn w:val="Fuentedeprrafopredeter"/>
    <w:uiPriority w:val="99"/>
    <w:semiHidden/>
    <w:unhideWhenUsed/>
    <w:rsid w:val="00B16B4A"/>
    <w:rPr>
      <w:sz w:val="16"/>
      <w:szCs w:val="16"/>
    </w:rPr>
  </w:style>
  <w:style w:type="paragraph" w:styleId="Textocomentario">
    <w:name w:val="annotation text"/>
    <w:basedOn w:val="Normal"/>
    <w:link w:val="TextocomentarioCar"/>
    <w:uiPriority w:val="99"/>
    <w:semiHidden/>
    <w:unhideWhenUsed/>
    <w:rsid w:val="00B16B4A"/>
    <w:rPr>
      <w:sz w:val="20"/>
      <w:szCs w:val="20"/>
    </w:rPr>
  </w:style>
  <w:style w:type="character" w:customStyle="1" w:styleId="TextocomentarioCar">
    <w:name w:val="Texto comentario Car"/>
    <w:basedOn w:val="Fuentedeprrafopredeter"/>
    <w:link w:val="Textocomentario"/>
    <w:uiPriority w:val="99"/>
    <w:semiHidden/>
    <w:rsid w:val="00B16B4A"/>
    <w:rPr>
      <w:rFonts w:ascii="Univers (W1)" w:eastAsia="Univers (W1)" w:hAnsi="Univers (W1)" w:cs="Univers (W1)"/>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16B4A"/>
    <w:rPr>
      <w:b/>
      <w:bCs/>
    </w:rPr>
  </w:style>
  <w:style w:type="character" w:customStyle="1" w:styleId="AsuntodelcomentarioCar">
    <w:name w:val="Asunto del comentario Car"/>
    <w:basedOn w:val="TextocomentarioCar"/>
    <w:link w:val="Asuntodelcomentario"/>
    <w:uiPriority w:val="99"/>
    <w:semiHidden/>
    <w:rsid w:val="00B16B4A"/>
    <w:rPr>
      <w:rFonts w:ascii="Univers (W1)" w:eastAsia="Univers (W1)" w:hAnsi="Univers (W1)" w:cs="Univers (W1)"/>
      <w:b/>
      <w:bCs/>
      <w:sz w:val="20"/>
      <w:szCs w:val="20"/>
      <w:lang w:eastAsia="es-MX"/>
    </w:rPr>
  </w:style>
  <w:style w:type="paragraph" w:styleId="Textodeglobo">
    <w:name w:val="Balloon Text"/>
    <w:basedOn w:val="Normal"/>
    <w:link w:val="TextodegloboCar"/>
    <w:uiPriority w:val="99"/>
    <w:semiHidden/>
    <w:unhideWhenUsed/>
    <w:rsid w:val="00B16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4A"/>
    <w:rPr>
      <w:rFonts w:ascii="Segoe UI" w:eastAsia="Univers (W1)" w:hAnsi="Segoe UI" w:cs="Segoe UI"/>
      <w:sz w:val="18"/>
      <w:szCs w:val="18"/>
      <w:lang w:eastAsia="es-MX"/>
    </w:rPr>
  </w:style>
  <w:style w:type="character" w:styleId="Hipervnculovisitado">
    <w:name w:val="FollowedHyperlink"/>
    <w:basedOn w:val="Fuentedeprrafopredeter"/>
    <w:uiPriority w:val="99"/>
    <w:semiHidden/>
    <w:unhideWhenUsed/>
    <w:rsid w:val="00BA3ACE"/>
    <w:rPr>
      <w:color w:val="954F72" w:themeColor="followedHyperlink"/>
      <w:u w:val="single"/>
    </w:rPr>
  </w:style>
  <w:style w:type="character" w:customStyle="1" w:styleId="Ttulo2Car">
    <w:name w:val="Título 2 Car"/>
    <w:basedOn w:val="Fuentedeprrafopredeter"/>
    <w:link w:val="Ttulo2"/>
    <w:rsid w:val="00994BB9"/>
    <w:rPr>
      <w:rFonts w:ascii="MS Sans Serif" w:eastAsia="Univers (W1)" w:hAnsi="MS Sans Serif" w:cs="MS Sans Serif"/>
      <w:b/>
      <w:i/>
      <w:sz w:val="24"/>
      <w:szCs w:val="24"/>
      <w:lang w:eastAsia="es-MX"/>
    </w:rPr>
  </w:style>
  <w:style w:type="paragraph" w:styleId="NormalWeb">
    <w:name w:val="Normal (Web)"/>
    <w:basedOn w:val="Normal"/>
    <w:uiPriority w:val="99"/>
    <w:rsid w:val="00994BB9"/>
    <w:pPr>
      <w:spacing w:before="100" w:beforeAutospacing="1" w:after="100" w:afterAutospacing="1"/>
    </w:pPr>
    <w:rPr>
      <w:lang w:val="es-ES" w:eastAsia="es-ES"/>
    </w:rPr>
  </w:style>
  <w:style w:type="table" w:styleId="Tabladelista3-nfasis2">
    <w:name w:val="List Table 3 Accent 2"/>
    <w:basedOn w:val="Tablanormal"/>
    <w:uiPriority w:val="48"/>
    <w:rsid w:val="002779E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concuadrculaclara">
    <w:name w:val="Grid Table Light"/>
    <w:basedOn w:val="Tablanormal"/>
    <w:uiPriority w:val="40"/>
    <w:rsid w:val="004A11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A2285"/>
    <w:pPr>
      <w:spacing w:before="120"/>
      <w:ind w:left="720"/>
      <w:contextualSpacing/>
    </w:pPr>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uiPriority w:val="9"/>
    <w:rsid w:val="00C1453E"/>
    <w:rPr>
      <w:rFonts w:asciiTheme="majorHAnsi" w:eastAsiaTheme="majorEastAsia" w:hAnsiTheme="majorHAnsi" w:cstheme="majorBidi"/>
      <w:color w:val="2F5496" w:themeColor="accent1" w:themeShade="BF"/>
      <w:sz w:val="32"/>
      <w:szCs w:val="32"/>
      <w:lang w:eastAsia="es-MX"/>
    </w:rPr>
  </w:style>
  <w:style w:type="paragraph" w:styleId="Revisin">
    <w:name w:val="Revision"/>
    <w:hidden/>
    <w:uiPriority w:val="99"/>
    <w:semiHidden/>
    <w:rsid w:val="00CA21F2"/>
    <w:pPr>
      <w:spacing w:after="0" w:line="240" w:lineRule="auto"/>
    </w:pPr>
    <w:rPr>
      <w:rFonts w:ascii="Univers (W1)" w:eastAsia="Univers (W1)" w:hAnsi="Univers (W1)" w:cs="Univers (W1)"/>
      <w:sz w:val="24"/>
      <w:szCs w:val="24"/>
      <w:lang w:eastAsia="es-MX"/>
    </w:rPr>
  </w:style>
  <w:style w:type="paragraph" w:styleId="Textonotaalfinal">
    <w:name w:val="endnote text"/>
    <w:basedOn w:val="Normal"/>
    <w:link w:val="TextonotaalfinalCar"/>
    <w:uiPriority w:val="99"/>
    <w:semiHidden/>
    <w:unhideWhenUsed/>
    <w:rsid w:val="00A359BF"/>
    <w:rPr>
      <w:sz w:val="20"/>
      <w:szCs w:val="20"/>
    </w:rPr>
  </w:style>
  <w:style w:type="character" w:customStyle="1" w:styleId="TextonotaalfinalCar">
    <w:name w:val="Texto nota al final Car"/>
    <w:basedOn w:val="Fuentedeprrafopredeter"/>
    <w:link w:val="Textonotaalfinal"/>
    <w:uiPriority w:val="99"/>
    <w:semiHidden/>
    <w:rsid w:val="00A359BF"/>
    <w:rPr>
      <w:rFonts w:ascii="Univers (W1)" w:eastAsia="Univers (W1)" w:hAnsi="Univers (W1)" w:cs="Univers (W1)"/>
      <w:sz w:val="20"/>
      <w:szCs w:val="20"/>
      <w:lang w:eastAsia="es-MX"/>
    </w:rPr>
  </w:style>
  <w:style w:type="character" w:styleId="Refdenotaalfinal">
    <w:name w:val="endnote reference"/>
    <w:basedOn w:val="Fuentedeprrafopredeter"/>
    <w:uiPriority w:val="99"/>
    <w:semiHidden/>
    <w:unhideWhenUsed/>
    <w:rsid w:val="00A359BF"/>
    <w:rPr>
      <w:vertAlign w:val="superscript"/>
    </w:rPr>
  </w:style>
  <w:style w:type="paragraph" w:customStyle="1" w:styleId="Default">
    <w:name w:val="Default"/>
    <w:rsid w:val="00E0612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363">
      <w:bodyDiv w:val="1"/>
      <w:marLeft w:val="0"/>
      <w:marRight w:val="0"/>
      <w:marTop w:val="0"/>
      <w:marBottom w:val="0"/>
      <w:divBdr>
        <w:top w:val="none" w:sz="0" w:space="0" w:color="auto"/>
        <w:left w:val="none" w:sz="0" w:space="0" w:color="auto"/>
        <w:bottom w:val="none" w:sz="0" w:space="0" w:color="auto"/>
        <w:right w:val="none" w:sz="0" w:space="0" w:color="auto"/>
      </w:divBdr>
    </w:div>
    <w:div w:id="95446901">
      <w:bodyDiv w:val="1"/>
      <w:marLeft w:val="0"/>
      <w:marRight w:val="0"/>
      <w:marTop w:val="0"/>
      <w:marBottom w:val="0"/>
      <w:divBdr>
        <w:top w:val="none" w:sz="0" w:space="0" w:color="auto"/>
        <w:left w:val="none" w:sz="0" w:space="0" w:color="auto"/>
        <w:bottom w:val="none" w:sz="0" w:space="0" w:color="auto"/>
        <w:right w:val="none" w:sz="0" w:space="0" w:color="auto"/>
      </w:divBdr>
    </w:div>
    <w:div w:id="121118640">
      <w:bodyDiv w:val="1"/>
      <w:marLeft w:val="0"/>
      <w:marRight w:val="0"/>
      <w:marTop w:val="0"/>
      <w:marBottom w:val="0"/>
      <w:divBdr>
        <w:top w:val="none" w:sz="0" w:space="0" w:color="auto"/>
        <w:left w:val="none" w:sz="0" w:space="0" w:color="auto"/>
        <w:bottom w:val="none" w:sz="0" w:space="0" w:color="auto"/>
        <w:right w:val="none" w:sz="0" w:space="0" w:color="auto"/>
      </w:divBdr>
    </w:div>
    <w:div w:id="124081778">
      <w:bodyDiv w:val="1"/>
      <w:marLeft w:val="0"/>
      <w:marRight w:val="0"/>
      <w:marTop w:val="0"/>
      <w:marBottom w:val="0"/>
      <w:divBdr>
        <w:top w:val="none" w:sz="0" w:space="0" w:color="auto"/>
        <w:left w:val="none" w:sz="0" w:space="0" w:color="auto"/>
        <w:bottom w:val="none" w:sz="0" w:space="0" w:color="auto"/>
        <w:right w:val="none" w:sz="0" w:space="0" w:color="auto"/>
      </w:divBdr>
    </w:div>
    <w:div w:id="165026111">
      <w:bodyDiv w:val="1"/>
      <w:marLeft w:val="0"/>
      <w:marRight w:val="0"/>
      <w:marTop w:val="0"/>
      <w:marBottom w:val="0"/>
      <w:divBdr>
        <w:top w:val="none" w:sz="0" w:space="0" w:color="auto"/>
        <w:left w:val="none" w:sz="0" w:space="0" w:color="auto"/>
        <w:bottom w:val="none" w:sz="0" w:space="0" w:color="auto"/>
        <w:right w:val="none" w:sz="0" w:space="0" w:color="auto"/>
      </w:divBdr>
    </w:div>
    <w:div w:id="384523012">
      <w:bodyDiv w:val="1"/>
      <w:marLeft w:val="0"/>
      <w:marRight w:val="0"/>
      <w:marTop w:val="0"/>
      <w:marBottom w:val="0"/>
      <w:divBdr>
        <w:top w:val="none" w:sz="0" w:space="0" w:color="auto"/>
        <w:left w:val="none" w:sz="0" w:space="0" w:color="auto"/>
        <w:bottom w:val="none" w:sz="0" w:space="0" w:color="auto"/>
        <w:right w:val="none" w:sz="0" w:space="0" w:color="auto"/>
      </w:divBdr>
    </w:div>
    <w:div w:id="386496126">
      <w:bodyDiv w:val="1"/>
      <w:marLeft w:val="0"/>
      <w:marRight w:val="0"/>
      <w:marTop w:val="0"/>
      <w:marBottom w:val="0"/>
      <w:divBdr>
        <w:top w:val="none" w:sz="0" w:space="0" w:color="auto"/>
        <w:left w:val="none" w:sz="0" w:space="0" w:color="auto"/>
        <w:bottom w:val="none" w:sz="0" w:space="0" w:color="auto"/>
        <w:right w:val="none" w:sz="0" w:space="0" w:color="auto"/>
      </w:divBdr>
    </w:div>
    <w:div w:id="411701939">
      <w:bodyDiv w:val="1"/>
      <w:marLeft w:val="0"/>
      <w:marRight w:val="0"/>
      <w:marTop w:val="0"/>
      <w:marBottom w:val="0"/>
      <w:divBdr>
        <w:top w:val="none" w:sz="0" w:space="0" w:color="auto"/>
        <w:left w:val="none" w:sz="0" w:space="0" w:color="auto"/>
        <w:bottom w:val="none" w:sz="0" w:space="0" w:color="auto"/>
        <w:right w:val="none" w:sz="0" w:space="0" w:color="auto"/>
      </w:divBdr>
    </w:div>
    <w:div w:id="502431391">
      <w:bodyDiv w:val="1"/>
      <w:marLeft w:val="0"/>
      <w:marRight w:val="0"/>
      <w:marTop w:val="0"/>
      <w:marBottom w:val="0"/>
      <w:divBdr>
        <w:top w:val="none" w:sz="0" w:space="0" w:color="auto"/>
        <w:left w:val="none" w:sz="0" w:space="0" w:color="auto"/>
        <w:bottom w:val="none" w:sz="0" w:space="0" w:color="auto"/>
        <w:right w:val="none" w:sz="0" w:space="0" w:color="auto"/>
      </w:divBdr>
    </w:div>
    <w:div w:id="531454766">
      <w:bodyDiv w:val="1"/>
      <w:marLeft w:val="0"/>
      <w:marRight w:val="0"/>
      <w:marTop w:val="0"/>
      <w:marBottom w:val="0"/>
      <w:divBdr>
        <w:top w:val="none" w:sz="0" w:space="0" w:color="auto"/>
        <w:left w:val="none" w:sz="0" w:space="0" w:color="auto"/>
        <w:bottom w:val="none" w:sz="0" w:space="0" w:color="auto"/>
        <w:right w:val="none" w:sz="0" w:space="0" w:color="auto"/>
      </w:divBdr>
    </w:div>
    <w:div w:id="813595650">
      <w:bodyDiv w:val="1"/>
      <w:marLeft w:val="0"/>
      <w:marRight w:val="0"/>
      <w:marTop w:val="0"/>
      <w:marBottom w:val="0"/>
      <w:divBdr>
        <w:top w:val="none" w:sz="0" w:space="0" w:color="auto"/>
        <w:left w:val="none" w:sz="0" w:space="0" w:color="auto"/>
        <w:bottom w:val="none" w:sz="0" w:space="0" w:color="auto"/>
        <w:right w:val="none" w:sz="0" w:space="0" w:color="auto"/>
      </w:divBdr>
    </w:div>
    <w:div w:id="851335034">
      <w:bodyDiv w:val="1"/>
      <w:marLeft w:val="0"/>
      <w:marRight w:val="0"/>
      <w:marTop w:val="0"/>
      <w:marBottom w:val="0"/>
      <w:divBdr>
        <w:top w:val="none" w:sz="0" w:space="0" w:color="auto"/>
        <w:left w:val="none" w:sz="0" w:space="0" w:color="auto"/>
        <w:bottom w:val="none" w:sz="0" w:space="0" w:color="auto"/>
        <w:right w:val="none" w:sz="0" w:space="0" w:color="auto"/>
      </w:divBdr>
    </w:div>
    <w:div w:id="966425185">
      <w:bodyDiv w:val="1"/>
      <w:marLeft w:val="0"/>
      <w:marRight w:val="0"/>
      <w:marTop w:val="0"/>
      <w:marBottom w:val="0"/>
      <w:divBdr>
        <w:top w:val="none" w:sz="0" w:space="0" w:color="auto"/>
        <w:left w:val="none" w:sz="0" w:space="0" w:color="auto"/>
        <w:bottom w:val="none" w:sz="0" w:space="0" w:color="auto"/>
        <w:right w:val="none" w:sz="0" w:space="0" w:color="auto"/>
      </w:divBdr>
    </w:div>
    <w:div w:id="1059088162">
      <w:bodyDiv w:val="1"/>
      <w:marLeft w:val="0"/>
      <w:marRight w:val="0"/>
      <w:marTop w:val="0"/>
      <w:marBottom w:val="0"/>
      <w:divBdr>
        <w:top w:val="none" w:sz="0" w:space="0" w:color="auto"/>
        <w:left w:val="none" w:sz="0" w:space="0" w:color="auto"/>
        <w:bottom w:val="none" w:sz="0" w:space="0" w:color="auto"/>
        <w:right w:val="none" w:sz="0" w:space="0" w:color="auto"/>
      </w:divBdr>
    </w:div>
    <w:div w:id="1064912644">
      <w:bodyDiv w:val="1"/>
      <w:marLeft w:val="0"/>
      <w:marRight w:val="0"/>
      <w:marTop w:val="0"/>
      <w:marBottom w:val="0"/>
      <w:divBdr>
        <w:top w:val="none" w:sz="0" w:space="0" w:color="auto"/>
        <w:left w:val="none" w:sz="0" w:space="0" w:color="auto"/>
        <w:bottom w:val="none" w:sz="0" w:space="0" w:color="auto"/>
        <w:right w:val="none" w:sz="0" w:space="0" w:color="auto"/>
      </w:divBdr>
    </w:div>
    <w:div w:id="1322732541">
      <w:bodyDiv w:val="1"/>
      <w:marLeft w:val="0"/>
      <w:marRight w:val="0"/>
      <w:marTop w:val="0"/>
      <w:marBottom w:val="0"/>
      <w:divBdr>
        <w:top w:val="none" w:sz="0" w:space="0" w:color="auto"/>
        <w:left w:val="none" w:sz="0" w:space="0" w:color="auto"/>
        <w:bottom w:val="none" w:sz="0" w:space="0" w:color="auto"/>
        <w:right w:val="none" w:sz="0" w:space="0" w:color="auto"/>
      </w:divBdr>
    </w:div>
    <w:div w:id="1419713902">
      <w:bodyDiv w:val="1"/>
      <w:marLeft w:val="0"/>
      <w:marRight w:val="0"/>
      <w:marTop w:val="0"/>
      <w:marBottom w:val="0"/>
      <w:divBdr>
        <w:top w:val="none" w:sz="0" w:space="0" w:color="auto"/>
        <w:left w:val="none" w:sz="0" w:space="0" w:color="auto"/>
        <w:bottom w:val="none" w:sz="0" w:space="0" w:color="auto"/>
        <w:right w:val="none" w:sz="0" w:space="0" w:color="auto"/>
      </w:divBdr>
    </w:div>
    <w:div w:id="1422795543">
      <w:bodyDiv w:val="1"/>
      <w:marLeft w:val="0"/>
      <w:marRight w:val="0"/>
      <w:marTop w:val="0"/>
      <w:marBottom w:val="0"/>
      <w:divBdr>
        <w:top w:val="none" w:sz="0" w:space="0" w:color="auto"/>
        <w:left w:val="none" w:sz="0" w:space="0" w:color="auto"/>
        <w:bottom w:val="none" w:sz="0" w:space="0" w:color="auto"/>
        <w:right w:val="none" w:sz="0" w:space="0" w:color="auto"/>
      </w:divBdr>
    </w:div>
    <w:div w:id="1505441571">
      <w:bodyDiv w:val="1"/>
      <w:marLeft w:val="0"/>
      <w:marRight w:val="0"/>
      <w:marTop w:val="0"/>
      <w:marBottom w:val="0"/>
      <w:divBdr>
        <w:top w:val="none" w:sz="0" w:space="0" w:color="auto"/>
        <w:left w:val="none" w:sz="0" w:space="0" w:color="auto"/>
        <w:bottom w:val="none" w:sz="0" w:space="0" w:color="auto"/>
        <w:right w:val="none" w:sz="0" w:space="0" w:color="auto"/>
      </w:divBdr>
    </w:div>
    <w:div w:id="1541285920">
      <w:bodyDiv w:val="1"/>
      <w:marLeft w:val="0"/>
      <w:marRight w:val="0"/>
      <w:marTop w:val="0"/>
      <w:marBottom w:val="0"/>
      <w:divBdr>
        <w:top w:val="none" w:sz="0" w:space="0" w:color="auto"/>
        <w:left w:val="none" w:sz="0" w:space="0" w:color="auto"/>
        <w:bottom w:val="none" w:sz="0" w:space="0" w:color="auto"/>
        <w:right w:val="none" w:sz="0" w:space="0" w:color="auto"/>
      </w:divBdr>
    </w:div>
    <w:div w:id="1614677067">
      <w:bodyDiv w:val="1"/>
      <w:marLeft w:val="0"/>
      <w:marRight w:val="0"/>
      <w:marTop w:val="0"/>
      <w:marBottom w:val="0"/>
      <w:divBdr>
        <w:top w:val="none" w:sz="0" w:space="0" w:color="auto"/>
        <w:left w:val="none" w:sz="0" w:space="0" w:color="auto"/>
        <w:bottom w:val="none" w:sz="0" w:space="0" w:color="auto"/>
        <w:right w:val="none" w:sz="0" w:space="0" w:color="auto"/>
      </w:divBdr>
    </w:div>
    <w:div w:id="1663191205">
      <w:bodyDiv w:val="1"/>
      <w:marLeft w:val="0"/>
      <w:marRight w:val="0"/>
      <w:marTop w:val="0"/>
      <w:marBottom w:val="0"/>
      <w:divBdr>
        <w:top w:val="none" w:sz="0" w:space="0" w:color="auto"/>
        <w:left w:val="none" w:sz="0" w:space="0" w:color="auto"/>
        <w:bottom w:val="none" w:sz="0" w:space="0" w:color="auto"/>
        <w:right w:val="none" w:sz="0" w:space="0" w:color="auto"/>
      </w:divBdr>
    </w:div>
    <w:div w:id="1776514565">
      <w:bodyDiv w:val="1"/>
      <w:marLeft w:val="0"/>
      <w:marRight w:val="0"/>
      <w:marTop w:val="0"/>
      <w:marBottom w:val="0"/>
      <w:divBdr>
        <w:top w:val="none" w:sz="0" w:space="0" w:color="auto"/>
        <w:left w:val="none" w:sz="0" w:space="0" w:color="auto"/>
        <w:bottom w:val="none" w:sz="0" w:space="0" w:color="auto"/>
        <w:right w:val="none" w:sz="0" w:space="0" w:color="auto"/>
      </w:divBdr>
    </w:div>
    <w:div w:id="1782340779">
      <w:bodyDiv w:val="1"/>
      <w:marLeft w:val="0"/>
      <w:marRight w:val="0"/>
      <w:marTop w:val="0"/>
      <w:marBottom w:val="0"/>
      <w:divBdr>
        <w:top w:val="none" w:sz="0" w:space="0" w:color="auto"/>
        <w:left w:val="none" w:sz="0" w:space="0" w:color="auto"/>
        <w:bottom w:val="none" w:sz="0" w:space="0" w:color="auto"/>
        <w:right w:val="none" w:sz="0" w:space="0" w:color="auto"/>
      </w:divBdr>
    </w:div>
    <w:div w:id="1795247443">
      <w:bodyDiv w:val="1"/>
      <w:marLeft w:val="0"/>
      <w:marRight w:val="0"/>
      <w:marTop w:val="0"/>
      <w:marBottom w:val="0"/>
      <w:divBdr>
        <w:top w:val="none" w:sz="0" w:space="0" w:color="auto"/>
        <w:left w:val="none" w:sz="0" w:space="0" w:color="auto"/>
        <w:bottom w:val="none" w:sz="0" w:space="0" w:color="auto"/>
        <w:right w:val="none" w:sz="0" w:space="0" w:color="auto"/>
      </w:divBdr>
    </w:div>
    <w:div w:id="1800565851">
      <w:bodyDiv w:val="1"/>
      <w:marLeft w:val="0"/>
      <w:marRight w:val="0"/>
      <w:marTop w:val="0"/>
      <w:marBottom w:val="0"/>
      <w:divBdr>
        <w:top w:val="none" w:sz="0" w:space="0" w:color="auto"/>
        <w:left w:val="none" w:sz="0" w:space="0" w:color="auto"/>
        <w:bottom w:val="none" w:sz="0" w:space="0" w:color="auto"/>
        <w:right w:val="none" w:sz="0" w:space="0" w:color="auto"/>
      </w:divBdr>
    </w:div>
    <w:div w:id="1828782254">
      <w:bodyDiv w:val="1"/>
      <w:marLeft w:val="0"/>
      <w:marRight w:val="0"/>
      <w:marTop w:val="0"/>
      <w:marBottom w:val="0"/>
      <w:divBdr>
        <w:top w:val="none" w:sz="0" w:space="0" w:color="auto"/>
        <w:left w:val="none" w:sz="0" w:space="0" w:color="auto"/>
        <w:bottom w:val="none" w:sz="0" w:space="0" w:color="auto"/>
        <w:right w:val="none" w:sz="0" w:space="0" w:color="auto"/>
      </w:divBdr>
    </w:div>
    <w:div w:id="1884562751">
      <w:bodyDiv w:val="1"/>
      <w:marLeft w:val="0"/>
      <w:marRight w:val="0"/>
      <w:marTop w:val="0"/>
      <w:marBottom w:val="0"/>
      <w:divBdr>
        <w:top w:val="none" w:sz="0" w:space="0" w:color="auto"/>
        <w:left w:val="none" w:sz="0" w:space="0" w:color="auto"/>
        <w:bottom w:val="none" w:sz="0" w:space="0" w:color="auto"/>
        <w:right w:val="none" w:sz="0" w:space="0" w:color="auto"/>
      </w:divBdr>
    </w:div>
    <w:div w:id="210221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hyperlink" Target="https://www.inegi.org.mx/programas/turismo/201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negi.org.mx/temas/turismosat/" TargetMode="Externa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chart" Target="charts/chart2.xml"/><Relationship Id="rId28" Type="http://schemas.openxmlformats.org/officeDocument/2006/relationships/fontTable" Target="fontTable.xml"/><Relationship Id="rId10" Type="http://schemas.openxmlformats.org/officeDocument/2006/relationships/hyperlink" Target="https://www.inegi.org.mx/programas/turismo/2013/" TargetMode="Externa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hyperlink" Target="https://www.inegi.org.mx/temas/turismosat/" TargetMode="Externa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73863245180956E-2"/>
          <c:y val="7.4437637823866953E-3"/>
          <c:w val="0.98048798599751741"/>
          <c:h val="0.87654857417958465"/>
        </c:manualLayout>
      </c:layout>
      <c:barChart>
        <c:barDir val="col"/>
        <c:grouping val="clustered"/>
        <c:varyColors val="0"/>
        <c:ser>
          <c:idx val="2"/>
          <c:order val="0"/>
          <c:tx>
            <c:strRef>
              <c:f>'PIBT_19 y 20_cor'!$A$3</c:f>
              <c:strCache>
                <c:ptCount val="1"/>
                <c:pt idx="0">
                  <c:v>PIBT (CSTM 2020)</c:v>
                </c:pt>
              </c:strCache>
            </c:strRef>
          </c:tx>
          <c:spPr>
            <a:solidFill>
              <a:srgbClr val="002060"/>
            </a:solidFill>
            <a:ln w="92075">
              <a:solidFill>
                <a:srgbClr val="002060"/>
              </a:solidFill>
            </a:ln>
            <a:effectLst/>
          </c:spPr>
          <c:invertIfNegative val="0"/>
          <c:dPt>
            <c:idx val="6"/>
            <c:invertIfNegative val="0"/>
            <c:bubble3D val="0"/>
            <c:spPr>
              <a:solidFill>
                <a:srgbClr val="002060"/>
              </a:solidFill>
              <a:ln w="92075">
                <a:solidFill>
                  <a:srgbClr val="002060"/>
                </a:solidFill>
              </a:ln>
              <a:effectLst/>
            </c:spPr>
            <c:extLst>
              <c:ext xmlns:c16="http://schemas.microsoft.com/office/drawing/2014/chart" uri="{C3380CC4-5D6E-409C-BE32-E72D297353CC}">
                <c16:uniqueId val="{00000001-0A33-4A47-A347-8E28A326DF39}"/>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'PIBT_19 y 20_cor'!$B$1:$N$1</c:f>
              <c:strCache>
                <c:ptCount val="13"/>
                <c:pt idx="0">
                  <c:v>2008</c:v>
                </c:pt>
                <c:pt idx="1">
                  <c:v>2009</c:v>
                </c:pt>
                <c:pt idx="2">
                  <c:v>2010</c:v>
                </c:pt>
                <c:pt idx="3">
                  <c:v>2011</c:v>
                </c:pt>
                <c:pt idx="4">
                  <c:v>2012</c:v>
                </c:pt>
                <c:pt idx="5">
                  <c:v>2013</c:v>
                </c:pt>
                <c:pt idx="6">
                  <c:v>2014</c:v>
                </c:pt>
                <c:pt idx="7">
                  <c:v>2015</c:v>
                </c:pt>
                <c:pt idx="8">
                  <c:v>2016</c:v>
                </c:pt>
                <c:pt idx="9">
                  <c:v>2017</c:v>
                </c:pt>
                <c:pt idx="10">
                  <c:v>2018</c:v>
                </c:pt>
                <c:pt idx="11">
                  <c:v>2019P</c:v>
                </c:pt>
                <c:pt idx="12">
                  <c:v>2020P</c:v>
                </c:pt>
              </c:strCache>
            </c:strRef>
          </c:cat>
          <c:val>
            <c:numRef>
              <c:f>'PIBT_19 y 20_cor'!$B$3:$N$3</c:f>
              <c:numCache>
                <c:formatCode>0.0</c:formatCode>
                <c:ptCount val="13"/>
                <c:pt idx="0">
                  <c:v>8.3000000000000007</c:v>
                </c:pt>
                <c:pt idx="1">
                  <c:v>8.5</c:v>
                </c:pt>
                <c:pt idx="2">
                  <c:v>8.4</c:v>
                </c:pt>
                <c:pt idx="3">
                  <c:v>8.1999999999999993</c:v>
                </c:pt>
                <c:pt idx="4">
                  <c:v>8.1999999999999993</c:v>
                </c:pt>
                <c:pt idx="5">
                  <c:v>8.5</c:v>
                </c:pt>
                <c:pt idx="6">
                  <c:v>8.5</c:v>
                </c:pt>
                <c:pt idx="7">
                  <c:v>8.6999999999999993</c:v>
                </c:pt>
                <c:pt idx="8">
                  <c:v>8.6</c:v>
                </c:pt>
                <c:pt idx="9">
                  <c:v>8.5</c:v>
                </c:pt>
                <c:pt idx="10">
                  <c:v>8.4</c:v>
                </c:pt>
                <c:pt idx="11">
                  <c:v>8.5</c:v>
                </c:pt>
                <c:pt idx="12">
                  <c:v>6.7</c:v>
                </c:pt>
              </c:numCache>
            </c:numRef>
          </c:val>
          <c:extLst>
            <c:ext xmlns:c16="http://schemas.microsoft.com/office/drawing/2014/chart" uri="{C3380CC4-5D6E-409C-BE32-E72D297353CC}">
              <c16:uniqueId val="{00000002-0A33-4A47-A347-8E28A326DF39}"/>
            </c:ext>
          </c:extLst>
        </c:ser>
        <c:dLbls>
          <c:showLegendKey val="0"/>
          <c:showVal val="0"/>
          <c:showCatName val="0"/>
          <c:showSerName val="0"/>
          <c:showPercent val="0"/>
          <c:showBubbleSize val="0"/>
        </c:dLbls>
        <c:gapWidth val="100"/>
        <c:axId val="466856304"/>
        <c:axId val="466856720"/>
      </c:barChart>
      <c:catAx>
        <c:axId val="46685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66856720"/>
        <c:crosses val="autoZero"/>
        <c:auto val="1"/>
        <c:lblAlgn val="ctr"/>
        <c:lblOffset val="100"/>
        <c:noMultiLvlLbl val="0"/>
      </c:catAx>
      <c:valAx>
        <c:axId val="466856720"/>
        <c:scaling>
          <c:orientation val="minMax"/>
        </c:scaling>
        <c:delete val="1"/>
        <c:axPos val="l"/>
        <c:numFmt formatCode="0.0" sourceLinked="1"/>
        <c:majorTickMark val="none"/>
        <c:minorTickMark val="none"/>
        <c:tickLblPos val="nextTo"/>
        <c:crossAx val="466856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73863245180956E-2"/>
          <c:y val="7.4437637823866953E-3"/>
          <c:w val="0.98048798599751741"/>
          <c:h val="0.87654857417958465"/>
        </c:manualLayout>
      </c:layout>
      <c:barChart>
        <c:barDir val="col"/>
        <c:grouping val="clustered"/>
        <c:varyColors val="0"/>
        <c:ser>
          <c:idx val="2"/>
          <c:order val="0"/>
          <c:tx>
            <c:strRef>
              <c:f>'PIBT_19 y 20_cor'!$A$3</c:f>
              <c:strCache>
                <c:ptCount val="1"/>
                <c:pt idx="0">
                  <c:v>PIBT (CSTM 2020)</c:v>
                </c:pt>
              </c:strCache>
            </c:strRef>
          </c:tx>
          <c:spPr>
            <a:solidFill>
              <a:srgbClr val="002060"/>
            </a:solidFill>
            <a:ln w="92075">
              <a:solidFill>
                <a:srgbClr val="002060"/>
              </a:solidFill>
            </a:ln>
            <a:effectLst/>
          </c:spPr>
          <c:invertIfNegative val="0"/>
          <c:dPt>
            <c:idx val="6"/>
            <c:invertIfNegative val="0"/>
            <c:bubble3D val="0"/>
            <c:spPr>
              <a:solidFill>
                <a:srgbClr val="002060"/>
              </a:solidFill>
              <a:ln w="92075">
                <a:solidFill>
                  <a:srgbClr val="002060"/>
                </a:solidFill>
              </a:ln>
              <a:effectLst/>
            </c:spPr>
            <c:extLst>
              <c:ext xmlns:c16="http://schemas.microsoft.com/office/drawing/2014/chart" uri="{C3380CC4-5D6E-409C-BE32-E72D297353CC}">
                <c16:uniqueId val="{00000001-3E08-4B32-9CC4-06DF006F4E94}"/>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'PIBT_19 y 20_cor'!$B$1:$N$1</c:f>
              <c:strCache>
                <c:ptCount val="13"/>
                <c:pt idx="0">
                  <c:v>2008</c:v>
                </c:pt>
                <c:pt idx="1">
                  <c:v>2009</c:v>
                </c:pt>
                <c:pt idx="2">
                  <c:v>2010</c:v>
                </c:pt>
                <c:pt idx="3">
                  <c:v>2011</c:v>
                </c:pt>
                <c:pt idx="4">
                  <c:v>2012</c:v>
                </c:pt>
                <c:pt idx="5">
                  <c:v>2013</c:v>
                </c:pt>
                <c:pt idx="6">
                  <c:v>2014</c:v>
                </c:pt>
                <c:pt idx="7">
                  <c:v>2015</c:v>
                </c:pt>
                <c:pt idx="8">
                  <c:v>2016</c:v>
                </c:pt>
                <c:pt idx="9">
                  <c:v>2017</c:v>
                </c:pt>
                <c:pt idx="10">
                  <c:v>2018</c:v>
                </c:pt>
                <c:pt idx="11">
                  <c:v>2019P</c:v>
                </c:pt>
                <c:pt idx="12">
                  <c:v>2020P</c:v>
                </c:pt>
              </c:strCache>
            </c:strRef>
          </c:cat>
          <c:val>
            <c:numRef>
              <c:f>'PIBT_19 y 20_cor'!$B$3:$N$3</c:f>
              <c:numCache>
                <c:formatCode>0.0</c:formatCode>
                <c:ptCount val="13"/>
                <c:pt idx="0">
                  <c:v>8.3000000000000007</c:v>
                </c:pt>
                <c:pt idx="1">
                  <c:v>8.5</c:v>
                </c:pt>
                <c:pt idx="2">
                  <c:v>8.4</c:v>
                </c:pt>
                <c:pt idx="3">
                  <c:v>8.1999999999999993</c:v>
                </c:pt>
                <c:pt idx="4">
                  <c:v>8.1999999999999993</c:v>
                </c:pt>
                <c:pt idx="5">
                  <c:v>8.5</c:v>
                </c:pt>
                <c:pt idx="6">
                  <c:v>8.5</c:v>
                </c:pt>
                <c:pt idx="7">
                  <c:v>8.6999999999999993</c:v>
                </c:pt>
                <c:pt idx="8">
                  <c:v>8.6</c:v>
                </c:pt>
                <c:pt idx="9">
                  <c:v>8.5</c:v>
                </c:pt>
                <c:pt idx="10">
                  <c:v>8.4</c:v>
                </c:pt>
                <c:pt idx="11">
                  <c:v>8.5</c:v>
                </c:pt>
                <c:pt idx="12">
                  <c:v>6.7</c:v>
                </c:pt>
              </c:numCache>
            </c:numRef>
          </c:val>
          <c:extLst>
            <c:ext xmlns:c16="http://schemas.microsoft.com/office/drawing/2014/chart" uri="{C3380CC4-5D6E-409C-BE32-E72D297353CC}">
              <c16:uniqueId val="{00000002-3E08-4B32-9CC4-06DF006F4E94}"/>
            </c:ext>
          </c:extLst>
        </c:ser>
        <c:dLbls>
          <c:showLegendKey val="0"/>
          <c:showVal val="0"/>
          <c:showCatName val="0"/>
          <c:showSerName val="0"/>
          <c:showPercent val="0"/>
          <c:showBubbleSize val="0"/>
        </c:dLbls>
        <c:gapWidth val="100"/>
        <c:axId val="466856304"/>
        <c:axId val="466856720"/>
      </c:barChart>
      <c:catAx>
        <c:axId val="46685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66856720"/>
        <c:crosses val="autoZero"/>
        <c:auto val="1"/>
        <c:lblAlgn val="ctr"/>
        <c:lblOffset val="100"/>
        <c:noMultiLvlLbl val="0"/>
      </c:catAx>
      <c:valAx>
        <c:axId val="466856720"/>
        <c:scaling>
          <c:orientation val="minMax"/>
        </c:scaling>
        <c:delete val="1"/>
        <c:axPos val="l"/>
        <c:numFmt formatCode="0.0" sourceLinked="1"/>
        <c:majorTickMark val="none"/>
        <c:minorTickMark val="none"/>
        <c:tickLblPos val="nextTo"/>
        <c:crossAx val="466856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8810-3B18-4FCD-B6D5-A7D67E70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2884</Words>
  <Characters>15865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Comunicado de Prensa. Cuenta Satélite del Turismo de México 2020</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Cuenta Satélite del Turismo de México 2020</dc:title>
  <dc:subject/>
  <dc:creator>INEGI</dc:creator>
  <cp:keywords/>
  <dc:description/>
  <cp:lastModifiedBy>GUILLEN MEDINA MOISES</cp:lastModifiedBy>
  <cp:revision>4</cp:revision>
  <cp:lastPrinted>2020-09-29T00:33:00Z</cp:lastPrinted>
  <dcterms:created xsi:type="dcterms:W3CDTF">2021-12-14T19:30:00Z</dcterms:created>
  <dcterms:modified xsi:type="dcterms:W3CDTF">2021-12-15T02:51:00Z</dcterms:modified>
</cp:coreProperties>
</file>